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8"/>
        <w:rPr>
          <w:rFonts w:hint="eastAsia"/>
        </w:rPr>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hint="eastAsia" w:ascii="宋体" w:hAnsi="宋体"/>
          <w:sz w:val="48"/>
          <w:szCs w:val="48"/>
        </w:rPr>
      </w:pPr>
    </w:p>
    <w:p>
      <w:pPr>
        <w:ind w:right="280"/>
        <w:jc w:val="center"/>
        <w:rPr>
          <w:rFonts w:hint="eastAsia" w:ascii="宋体" w:hAnsi="宋体"/>
          <w:sz w:val="48"/>
          <w:szCs w:val="48"/>
        </w:rPr>
      </w:pPr>
    </w:p>
    <w:p>
      <w:pPr>
        <w:ind w:right="280"/>
        <w:jc w:val="center"/>
        <w:rPr>
          <w:rFonts w:hint="eastAsia" w:ascii="宋体" w:hAnsi="宋体"/>
          <w:sz w:val="48"/>
          <w:szCs w:val="48"/>
        </w:rPr>
      </w:pPr>
    </w:p>
    <w:p>
      <w:pPr>
        <w:ind w:right="280"/>
        <w:jc w:val="both"/>
        <w:rPr>
          <w:rFonts w:hint="eastAsia" w:ascii="楷体_GB2312" w:hAnsi="宋体" w:eastAsia="楷体_GB2312"/>
          <w:sz w:val="52"/>
          <w:szCs w:val="52"/>
        </w:rPr>
      </w:pPr>
    </w:p>
    <w:p>
      <w:pPr>
        <w:jc w:val="center"/>
        <w:rPr>
          <w:rFonts w:hint="eastAsia" w:ascii="楷体_GB2312" w:hAnsi="宋体" w:eastAsia="楷体_GB2312"/>
          <w:sz w:val="52"/>
          <w:szCs w:val="52"/>
          <w:lang w:val="en-US" w:eastAsia="zh-CN"/>
        </w:rPr>
      </w:pPr>
      <w:r>
        <w:rPr>
          <w:rFonts w:hint="eastAsia" w:ascii="楷体_GB2312" w:hAnsi="宋体" w:eastAsia="楷体_GB2312"/>
          <w:sz w:val="52"/>
          <w:szCs w:val="52"/>
          <w:lang w:val="en-US" w:eastAsia="zh-CN"/>
        </w:rPr>
        <w:t>中国重汽集团SAP运维服务项目</w:t>
      </w:r>
    </w:p>
    <w:p>
      <w:pPr>
        <w:jc w:val="center"/>
        <w:rPr>
          <w:rFonts w:hint="eastAsia" w:ascii="宋体" w:hAnsi="宋体" w:cs="宋体"/>
          <w:sz w:val="72"/>
          <w:szCs w:val="72"/>
        </w:rPr>
      </w:pPr>
      <w:r>
        <w:rPr>
          <w:rFonts w:hint="eastAsia" w:ascii="宋体" w:hAnsi="宋体" w:cs="宋体"/>
          <w:sz w:val="72"/>
          <w:szCs w:val="72"/>
        </w:rPr>
        <w:t>招标文件</w:t>
      </w:r>
    </w:p>
    <w:p>
      <w:pPr>
        <w:jc w:val="center"/>
        <w:rPr>
          <w:rFonts w:hint="eastAsia" w:ascii="宋体" w:hAnsi="宋体"/>
          <w:sz w:val="48"/>
          <w:szCs w:val="48"/>
        </w:rPr>
      </w:pPr>
    </w:p>
    <w:p>
      <w:pPr>
        <w:jc w:val="center"/>
        <w:rPr>
          <w:rFonts w:hint="eastAsia" w:ascii="宋体" w:hAnsi="宋体"/>
          <w:sz w:val="48"/>
          <w:szCs w:val="48"/>
        </w:rPr>
      </w:pPr>
    </w:p>
    <w:p>
      <w:pPr>
        <w:jc w:val="center"/>
        <w:rPr>
          <w:rFonts w:hint="eastAsia" w:ascii="宋体" w:hAnsi="宋体"/>
          <w:sz w:val="28"/>
          <w:szCs w:val="28"/>
        </w:rPr>
      </w:pPr>
      <w:r>
        <w:rPr>
          <w:rFonts w:hint="eastAsia" w:ascii="宋体" w:hAnsi="宋体" w:cs="宋体"/>
          <w:b/>
          <w:bCs/>
          <w:kern w:val="0"/>
          <w:sz w:val="32"/>
          <w:szCs w:val="32"/>
        </w:rPr>
        <w:t>项目编号</w:t>
      </w:r>
      <w:r>
        <w:rPr>
          <w:rFonts w:hint="eastAsia" w:ascii="宋体" w:hAnsi="宋体" w:cs="宋体"/>
          <w:b/>
          <w:bCs/>
          <w:color w:val="000000" w:themeColor="text1"/>
          <w:kern w:val="0"/>
          <w:sz w:val="32"/>
          <w:szCs w:val="32"/>
          <w:highlight w:val="none"/>
          <w14:textFill>
            <w14:solidFill>
              <w14:schemeClr w14:val="tx1"/>
            </w14:solidFill>
          </w14:textFill>
        </w:rPr>
        <w:t>：FSCZB2025110510</w:t>
      </w:r>
    </w:p>
    <w:p>
      <w:pPr>
        <w:pStyle w:val="16"/>
        <w:rPr>
          <w:rFonts w:hint="eastAsia" w:ascii="宋体" w:hAnsi="宋体"/>
          <w:sz w:val="28"/>
          <w:szCs w:val="28"/>
        </w:rPr>
      </w:pPr>
    </w:p>
    <w:p>
      <w:pPr>
        <w:pStyle w:val="16"/>
        <w:rPr>
          <w:rFonts w:hint="eastAsia" w:ascii="宋体" w:hAnsi="宋体"/>
          <w:sz w:val="28"/>
          <w:szCs w:val="28"/>
        </w:rPr>
      </w:pPr>
    </w:p>
    <w:p>
      <w:pPr>
        <w:pStyle w:val="12"/>
        <w:rPr>
          <w:rFonts w:hint="eastAsia"/>
        </w:rPr>
      </w:pPr>
    </w:p>
    <w:p>
      <w:pPr>
        <w:jc w:val="center"/>
        <w:rPr>
          <w:rFonts w:hint="eastAsia" w:ascii="宋体" w:hAnsi="宋体"/>
          <w:sz w:val="28"/>
          <w:szCs w:val="28"/>
        </w:rPr>
      </w:pPr>
    </w:p>
    <w:p>
      <w:pPr>
        <w:jc w:val="center"/>
        <w:rPr>
          <w:rFonts w:hint="eastAsia" w:ascii="宋体" w:hAnsi="宋体"/>
          <w:sz w:val="28"/>
          <w:szCs w:val="28"/>
        </w:rPr>
      </w:pPr>
      <w:r>
        <w:rPr>
          <w:rFonts w:hint="eastAsia" w:ascii="宋体" w:hAnsi="宋体"/>
          <w:sz w:val="28"/>
          <w:szCs w:val="28"/>
        </w:rPr>
        <w:t>招 标 人：中国重汽集</w:t>
      </w:r>
      <w:r>
        <w:rPr>
          <w:rFonts w:hint="eastAsia" w:ascii="宋体" w:hAnsi="宋体"/>
          <w:sz w:val="28"/>
          <w:szCs w:val="28"/>
          <w:highlight w:val="none"/>
          <w:u w:val="none"/>
        </w:rPr>
        <w:t>团济南动力有</w:t>
      </w:r>
      <w:r>
        <w:rPr>
          <w:rFonts w:hint="eastAsia" w:ascii="宋体" w:hAnsi="宋体"/>
          <w:sz w:val="28"/>
          <w:szCs w:val="28"/>
          <w:highlight w:val="none"/>
        </w:rPr>
        <w:t>限</w:t>
      </w:r>
      <w:r>
        <w:rPr>
          <w:rFonts w:hint="eastAsia" w:ascii="宋体" w:hAnsi="宋体"/>
          <w:sz w:val="28"/>
          <w:szCs w:val="28"/>
        </w:rPr>
        <w:t>公司</w:t>
      </w:r>
    </w:p>
    <w:p>
      <w:pPr>
        <w:jc w:val="center"/>
        <w:rPr>
          <w:rFonts w:hint="eastAsia" w:ascii="宋体" w:hAnsi="宋体"/>
          <w:sz w:val="28"/>
          <w:szCs w:val="28"/>
        </w:rPr>
      </w:pPr>
    </w:p>
    <w:p>
      <w:pPr>
        <w:jc w:val="center"/>
        <w:rPr>
          <w:rFonts w:hint="eastAsia" w:ascii="宋体" w:hAnsi="宋体"/>
          <w:sz w:val="28"/>
          <w:szCs w:val="28"/>
          <w:u w:val="single"/>
        </w:rPr>
      </w:pPr>
      <w:r>
        <w:rPr>
          <w:rFonts w:hint="eastAsia" w:ascii="宋体" w:hAnsi="宋体"/>
          <w:sz w:val="28"/>
          <w:szCs w:val="28"/>
          <w:u w:val="single"/>
        </w:rPr>
        <w:t>2025年</w:t>
      </w:r>
      <w:r>
        <w:rPr>
          <w:rFonts w:hint="eastAsia" w:ascii="宋体" w:hAnsi="宋体"/>
          <w:sz w:val="28"/>
          <w:szCs w:val="28"/>
          <w:u w:val="single"/>
          <w:lang w:val="en-US" w:eastAsia="zh-CN"/>
        </w:rPr>
        <w:t>11</w:t>
      </w:r>
      <w:r>
        <w:rPr>
          <w:rFonts w:hint="eastAsia" w:ascii="宋体" w:hAnsi="宋体"/>
          <w:sz w:val="28"/>
          <w:szCs w:val="28"/>
          <w:u w:val="single"/>
        </w:rPr>
        <w:t>月</w:t>
      </w:r>
    </w:p>
    <w:p>
      <w:pPr>
        <w:spacing w:line="480" w:lineRule="auto"/>
        <w:jc w:val="center"/>
        <w:rPr>
          <w:rFonts w:hint="eastAsia"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decimal" w:start="1"/>
          <w:cols w:space="720" w:num="1"/>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pPr>
            <w:pStyle w:val="72"/>
            <w:jc w:val="center"/>
            <w:rPr>
              <w:rFonts w:hint="eastAsia"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22"/>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_Toc1117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_Toc1117 \h </w:instrText>
          </w:r>
          <w:r>
            <w:fldChar w:fldCharType="separate"/>
          </w:r>
          <w:r>
            <w:t>1</w:t>
          </w:r>
          <w:r>
            <w:fldChar w:fldCharType="end"/>
          </w:r>
          <w:r>
            <w:rPr>
              <w:rFonts w:hint="eastAsia" w:ascii="Calibri" w:hAnsi="Calibri"/>
              <w:bCs/>
              <w:kern w:val="44"/>
              <w:szCs w:val="44"/>
            </w:rPr>
            <w:fldChar w:fldCharType="end"/>
          </w:r>
        </w:p>
        <w:p>
          <w:pPr>
            <w:pStyle w:val="22"/>
            <w:tabs>
              <w:tab w:val="right" w:leader="dot" w:pos="9070"/>
              <w:tab w:val="clear" w:pos="8729"/>
            </w:tabs>
          </w:pPr>
          <w:r>
            <w:rPr>
              <w:rFonts w:hint="eastAsia" w:ascii="Calibri" w:hAnsi="Calibri"/>
              <w:bCs/>
              <w:kern w:val="44"/>
              <w:szCs w:val="44"/>
            </w:rPr>
            <w:fldChar w:fldCharType="begin"/>
          </w:r>
          <w:r>
            <w:rPr>
              <w:rFonts w:hint="eastAsia" w:ascii="Calibri" w:hAnsi="Calibri"/>
              <w:bCs/>
              <w:kern w:val="44"/>
              <w:szCs w:val="44"/>
            </w:rPr>
            <w:instrText xml:space="preserve"> HYPERLINK \l _Toc22358 </w:instrText>
          </w:r>
          <w:r>
            <w:rPr>
              <w:rFonts w:hint="eastAsia" w:ascii="Calibri" w:hAnsi="Calibri"/>
              <w:bCs/>
              <w:kern w:val="44"/>
              <w:szCs w:val="44"/>
            </w:rPr>
            <w:fldChar w:fldCharType="separate"/>
          </w:r>
          <w:r>
            <w:rPr>
              <w:rFonts w:hint="eastAsia"/>
            </w:rPr>
            <w:t>第一部分  投标人须知</w:t>
          </w:r>
          <w:r>
            <w:tab/>
          </w:r>
          <w:r>
            <w:fldChar w:fldCharType="begin"/>
          </w:r>
          <w:r>
            <w:instrText xml:space="preserve"> PAGEREF _Toc22358 \h </w:instrText>
          </w:r>
          <w:r>
            <w:fldChar w:fldCharType="separate"/>
          </w:r>
          <w:r>
            <w:t>5</w:t>
          </w:r>
          <w:r>
            <w:fldChar w:fldCharType="end"/>
          </w:r>
          <w:r>
            <w:rPr>
              <w:rFonts w:hint="eastAsia" w:ascii="Calibri" w:hAnsi="Calibri"/>
              <w:bCs/>
              <w:kern w:val="44"/>
              <w:szCs w:val="44"/>
            </w:rPr>
            <w:fldChar w:fldCharType="end"/>
          </w:r>
        </w:p>
        <w:p>
          <w:pPr>
            <w:pStyle w:val="22"/>
            <w:tabs>
              <w:tab w:val="right" w:leader="dot" w:pos="9070"/>
              <w:tab w:val="clear" w:pos="8729"/>
            </w:tabs>
          </w:pPr>
          <w:r>
            <w:rPr>
              <w:rFonts w:hint="eastAsia" w:ascii="Calibri" w:hAnsi="Calibri"/>
              <w:bCs/>
              <w:kern w:val="44"/>
              <w:szCs w:val="44"/>
            </w:rPr>
            <w:fldChar w:fldCharType="begin"/>
          </w:r>
          <w:r>
            <w:rPr>
              <w:rFonts w:hint="eastAsia" w:ascii="Calibri" w:hAnsi="Calibri"/>
              <w:bCs/>
              <w:kern w:val="44"/>
              <w:szCs w:val="44"/>
            </w:rPr>
            <w:instrText xml:space="preserve"> HYPERLINK \l _Toc6365 </w:instrText>
          </w:r>
          <w:r>
            <w:rPr>
              <w:rFonts w:hint="eastAsia" w:ascii="Calibri" w:hAnsi="Calibri"/>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_Toc6365 \h </w:instrText>
          </w:r>
          <w:r>
            <w:fldChar w:fldCharType="separate"/>
          </w:r>
          <w:r>
            <w:t>16</w:t>
          </w:r>
          <w:r>
            <w:fldChar w:fldCharType="end"/>
          </w:r>
          <w:r>
            <w:rPr>
              <w:rFonts w:hint="eastAsia" w:ascii="Calibri" w:hAnsi="Calibri"/>
              <w:bCs/>
              <w:kern w:val="44"/>
              <w:szCs w:val="44"/>
            </w:rPr>
            <w:fldChar w:fldCharType="end"/>
          </w:r>
        </w:p>
        <w:p>
          <w:pPr>
            <w:pStyle w:val="22"/>
            <w:tabs>
              <w:tab w:val="right" w:leader="dot" w:pos="9070"/>
              <w:tab w:val="clear" w:pos="8729"/>
            </w:tabs>
            <w:rPr>
              <w:rFonts w:hint="default" w:eastAsia="宋体"/>
              <w:lang w:val="en-US" w:eastAsia="zh-CN"/>
            </w:rPr>
          </w:pPr>
          <w:r>
            <w:rPr>
              <w:rFonts w:hint="eastAsia" w:ascii="Calibri" w:hAnsi="Calibri"/>
              <w:bCs/>
              <w:kern w:val="44"/>
              <w:szCs w:val="44"/>
            </w:rPr>
            <w:fldChar w:fldCharType="begin"/>
          </w:r>
          <w:r>
            <w:rPr>
              <w:rFonts w:hint="eastAsia" w:ascii="Calibri" w:hAnsi="Calibri"/>
              <w:bCs/>
              <w:kern w:val="44"/>
              <w:szCs w:val="44"/>
            </w:rPr>
            <w:instrText xml:space="preserve"> HYPERLINK \l _Toc25874 </w:instrText>
          </w:r>
          <w:r>
            <w:rPr>
              <w:rFonts w:hint="eastAsia" w:ascii="Calibri" w:hAnsi="Calibri"/>
              <w:bCs/>
              <w:kern w:val="44"/>
              <w:szCs w:val="44"/>
            </w:rPr>
            <w:fldChar w:fldCharType="separate"/>
          </w:r>
          <w:r>
            <w:rPr>
              <w:rFonts w:hint="eastAsia"/>
            </w:rPr>
            <w:t>第</w:t>
          </w:r>
          <w:r>
            <w:rPr>
              <w:rFonts w:hint="eastAsia"/>
              <w:lang w:val="en-US" w:eastAsia="zh-CN"/>
            </w:rPr>
            <w:t>三</w:t>
          </w:r>
          <w:r>
            <w:rPr>
              <w:rFonts w:hint="eastAsia"/>
            </w:rPr>
            <w:t>部分　合同主要条款</w:t>
          </w:r>
          <w:r>
            <w:tab/>
          </w:r>
          <w:r>
            <w:rPr>
              <w:rFonts w:hint="eastAsia" w:ascii="Calibri" w:hAnsi="Calibri"/>
              <w:bCs/>
              <w:kern w:val="44"/>
              <w:szCs w:val="44"/>
            </w:rPr>
            <w:fldChar w:fldCharType="end"/>
          </w:r>
          <w:r>
            <w:rPr>
              <w:rFonts w:hint="eastAsia" w:ascii="宋体" w:hAnsi="宋体" w:eastAsia="宋体" w:cs="宋体"/>
              <w:bCs/>
              <w:kern w:val="44"/>
              <w:szCs w:val="44"/>
              <w:lang w:val="en-US" w:eastAsia="zh-CN"/>
            </w:rPr>
            <w:t>24</w:t>
          </w:r>
        </w:p>
        <w:p>
          <w:pPr>
            <w:pStyle w:val="22"/>
            <w:tabs>
              <w:tab w:val="right" w:leader="dot" w:pos="9070"/>
              <w:tab w:val="clear" w:pos="8729"/>
            </w:tabs>
          </w:pPr>
          <w:r>
            <w:rPr>
              <w:rFonts w:hint="eastAsia" w:ascii="Calibri" w:hAnsi="Calibri"/>
              <w:bCs/>
              <w:kern w:val="44"/>
              <w:szCs w:val="44"/>
            </w:rPr>
            <w:fldChar w:fldCharType="begin"/>
          </w:r>
          <w:r>
            <w:rPr>
              <w:rFonts w:hint="eastAsia" w:ascii="Calibri" w:hAnsi="Calibri"/>
              <w:bCs/>
              <w:kern w:val="44"/>
              <w:szCs w:val="44"/>
            </w:rPr>
            <w:instrText xml:space="preserve"> HYPERLINK \l _Toc17503 </w:instrText>
          </w:r>
          <w:r>
            <w:rPr>
              <w:rFonts w:hint="eastAsia" w:ascii="Calibri" w:hAnsi="Calibri"/>
              <w:bCs/>
              <w:kern w:val="44"/>
              <w:szCs w:val="44"/>
            </w:rPr>
            <w:fldChar w:fldCharType="separate"/>
          </w:r>
          <w:r>
            <w:rPr>
              <w:rFonts w:hint="eastAsia"/>
            </w:rPr>
            <w:t>第</w:t>
          </w:r>
          <w:r>
            <w:rPr>
              <w:rFonts w:hint="eastAsia"/>
              <w:lang w:val="en-US" w:eastAsia="zh-CN"/>
            </w:rPr>
            <w:t>三</w:t>
          </w:r>
          <w:r>
            <w:rPr>
              <w:rFonts w:hint="eastAsia"/>
            </w:rPr>
            <w:t>部分　投标文件附件</w:t>
          </w:r>
          <w:r>
            <w:tab/>
          </w:r>
          <w:r>
            <w:fldChar w:fldCharType="begin"/>
          </w:r>
          <w:r>
            <w:instrText xml:space="preserve"> PAGEREF _Toc17503 \h </w:instrText>
          </w:r>
          <w:r>
            <w:fldChar w:fldCharType="separate"/>
          </w:r>
          <w:r>
            <w:t>27</w:t>
          </w:r>
          <w:r>
            <w:fldChar w:fldCharType="end"/>
          </w:r>
          <w:r>
            <w:rPr>
              <w:rFonts w:hint="eastAsia" w:ascii="Calibri" w:hAnsi="Calibri"/>
              <w:bCs/>
              <w:kern w:val="44"/>
              <w:szCs w:val="44"/>
            </w:rPr>
            <w:fldChar w:fldCharType="end"/>
          </w:r>
        </w:p>
        <w:p>
          <w:pPr>
            <w:pStyle w:val="22"/>
            <w:rPr>
              <w:rFonts w:hint="eastAsia"/>
            </w:rPr>
          </w:pPr>
          <w:r>
            <w:rPr>
              <w:rFonts w:hint="eastAsia" w:ascii="Calibri" w:hAnsi="Calibri"/>
              <w:bCs/>
              <w:kern w:val="44"/>
              <w:szCs w:val="44"/>
            </w:rPr>
            <w:fldChar w:fldCharType="end"/>
          </w:r>
        </w:p>
      </w:sdtContent>
    </w:sdt>
    <w:p>
      <w:pPr>
        <w:pStyle w:val="16"/>
        <w:tabs>
          <w:tab w:val="left" w:pos="2940"/>
        </w:tabs>
        <w:spacing w:line="360" w:lineRule="auto"/>
        <w:rPr>
          <w:rFonts w:hint="eastAsia"/>
        </w:rPr>
        <w:sectPr>
          <w:footerReference r:id="rId8" w:type="first"/>
          <w:footerReference r:id="rId7" w:type="default"/>
          <w:pgSz w:w="11906" w:h="16838"/>
          <w:pgMar w:top="1701" w:right="1418" w:bottom="1134" w:left="1418" w:header="851" w:footer="992" w:gutter="0"/>
          <w:pgNumType w:fmt="decimal" w:start="1"/>
          <w:cols w:space="720" w:num="1"/>
          <w:titlePg/>
          <w:docGrid w:type="lines" w:linePitch="312" w:charSpace="0"/>
        </w:sectPr>
      </w:pPr>
      <w:r>
        <w:tab/>
      </w:r>
    </w:p>
    <w:p>
      <w:pPr>
        <w:pStyle w:val="80"/>
        <w:rPr>
          <w:rFonts w:hint="eastAsia"/>
        </w:rPr>
      </w:pPr>
    </w:p>
    <w:p>
      <w:pPr>
        <w:pStyle w:val="75"/>
      </w:pPr>
      <w:bookmarkStart w:id="0" w:name="_Toc1117"/>
      <w:bookmarkStart w:id="1" w:name="_Toc1910"/>
      <w:bookmarkStart w:id="2" w:name="_Toc47976607"/>
      <w:r>
        <w:rPr>
          <w:rFonts w:hint="eastAsia"/>
        </w:rPr>
        <w:t>招标公告</w:t>
      </w:r>
      <w:bookmarkEnd w:id="0"/>
    </w:p>
    <w:p>
      <w:pPr>
        <w:ind w:right="280"/>
        <w:jc w:val="center"/>
        <w:rPr>
          <w:rFonts w:hint="eastAsia"/>
        </w:rPr>
      </w:pPr>
      <w:bookmarkStart w:id="3" w:name="_Toc32474"/>
      <w:r>
        <w:rPr>
          <w:rFonts w:hint="eastAsia" w:ascii="黑体" w:hAnsi="黑体" w:eastAsia="黑体" w:cs="黑体"/>
          <w:b/>
          <w:bCs/>
          <w:sz w:val="28"/>
          <w:u w:val="single"/>
          <w:lang w:val="en-US" w:eastAsia="zh-CN"/>
        </w:rPr>
        <w:t>中国重汽集团SAP运维服务项目</w:t>
      </w:r>
      <w:r>
        <w:rPr>
          <w:rFonts w:hint="eastAsia" w:ascii="黑体" w:hAnsi="黑体" w:eastAsia="黑体" w:cs="黑体"/>
          <w:b/>
          <w:bCs/>
          <w:sz w:val="28"/>
        </w:rPr>
        <w:t>招标公告</w:t>
      </w:r>
      <w:bookmarkEnd w:id="3"/>
    </w:p>
    <w:p>
      <w:pPr>
        <w:pStyle w:val="76"/>
      </w:pPr>
      <w:bookmarkStart w:id="4" w:name="_Toc47976588"/>
      <w:r>
        <w:rPr>
          <w:rFonts w:hint="eastAsia"/>
        </w:rPr>
        <w:t>项目名称及项目编号</w:t>
      </w:r>
      <w:bookmarkEnd w:id="4"/>
    </w:p>
    <w:p>
      <w:pPr>
        <w:pStyle w:val="77"/>
      </w:pPr>
      <w:r>
        <w:rPr>
          <w:rFonts w:hint="eastAsia"/>
        </w:rPr>
        <w:t>项目名称：</w:t>
      </w:r>
      <w:r>
        <w:rPr>
          <w:rFonts w:hint="eastAsia"/>
          <w:highlight w:val="none"/>
        </w:rPr>
        <w:t xml:space="preserve"> </w:t>
      </w:r>
      <w:r>
        <w:rPr>
          <w:rFonts w:hint="eastAsia"/>
          <w:highlight w:val="none"/>
          <w:lang w:val="en-US" w:eastAsia="zh-CN"/>
        </w:rPr>
        <w:t>中国重汽集团SAP运维服务项目</w:t>
      </w:r>
    </w:p>
    <w:p>
      <w:pPr>
        <w:pStyle w:val="77"/>
      </w:pPr>
      <w:r>
        <w:rPr>
          <w:rFonts w:hint="eastAsia"/>
        </w:rPr>
        <w:t>项目编号：</w:t>
      </w:r>
      <w:r>
        <w:rPr>
          <w:rFonts w:hint="eastAsia" w:ascii="宋体" w:eastAsia="宋体" w:cs="Times New Roman"/>
          <w:highlight w:val="none"/>
          <w:lang w:val="en-US" w:eastAsia="zh-CN"/>
        </w:rPr>
        <w:t xml:space="preserve"> FSCZB2025110510</w:t>
      </w:r>
    </w:p>
    <w:p>
      <w:pPr>
        <w:pStyle w:val="76"/>
      </w:pPr>
      <w:bookmarkStart w:id="5" w:name="_Toc47976589"/>
      <w:r>
        <w:rPr>
          <w:rFonts w:hint="eastAsia"/>
          <w:lang w:val="en-US" w:eastAsia="zh-CN"/>
        </w:rPr>
        <w:t>项目概况</w:t>
      </w:r>
      <w:r>
        <w:rPr>
          <w:rFonts w:hint="eastAsia"/>
        </w:rPr>
        <w:t>及招标形式</w:t>
      </w:r>
      <w:bookmarkEnd w:id="5"/>
    </w:p>
    <w:p>
      <w:pPr>
        <w:pStyle w:val="77"/>
        <w:numPr>
          <w:ilvl w:val="0"/>
          <w:numId w:val="12"/>
        </w:numPr>
        <w:rPr>
          <w:rFonts w:hint="default" w:ascii="宋体" w:hAnsi="Courier New" w:eastAsia="宋体" w:cs="Times New Roman"/>
          <w:b/>
          <w:kern w:val="2"/>
          <w:sz w:val="21"/>
          <w:lang w:val="en-US" w:eastAsia="zh-CN" w:bidi="ar-SA"/>
        </w:rPr>
      </w:pPr>
      <w:r>
        <w:rPr>
          <w:rFonts w:hint="eastAsia"/>
        </w:rPr>
        <w:t>招标内容：</w:t>
      </w:r>
      <w:r>
        <w:rPr>
          <w:rFonts w:hint="eastAsia"/>
          <w:lang w:val="en-US" w:eastAsia="zh-CN"/>
        </w:rPr>
        <w:t>为</w:t>
      </w:r>
      <w:r>
        <w:rPr>
          <w:rFonts w:hint="eastAsia" w:cs="宋体"/>
          <w:lang w:eastAsia="zh-CN"/>
        </w:rPr>
        <w:t>中国重汽集团</w:t>
      </w:r>
      <w:r>
        <w:rPr>
          <w:rFonts w:hint="eastAsia" w:cs="宋体"/>
          <w:lang w:val="en-US" w:eastAsia="zh-CN"/>
        </w:rPr>
        <w:t>SAP系统运维服务</w:t>
      </w:r>
      <w:r>
        <w:rPr>
          <w:rFonts w:hint="eastAsia" w:cs="宋体"/>
        </w:rPr>
        <w:t>厂商进行招标</w:t>
      </w:r>
      <w:r>
        <w:rPr>
          <w:rFonts w:hint="eastAsia" w:cs="宋体"/>
          <w:lang w:eastAsia="zh-CN"/>
        </w:rPr>
        <w:t>，</w:t>
      </w:r>
      <w:r>
        <w:rPr>
          <w:rFonts w:hint="eastAsia" w:cs="宋体"/>
          <w:lang w:val="en-US" w:eastAsia="zh-CN"/>
        </w:rPr>
        <w:t>主要负责系统基础运维和业务应用运维，</w:t>
      </w:r>
      <w:r>
        <w:rPr>
          <w:rFonts w:hint="eastAsia" w:ascii="宋体" w:eastAsia="宋体" w:cs="宋体"/>
        </w:rPr>
        <w:t>保障系统运行稳定性及新功能需求及时响应</w:t>
      </w:r>
      <w:r>
        <w:rPr>
          <w:rFonts w:hint="eastAsia" w:ascii="宋体" w:eastAsia="宋体" w:cs="宋体"/>
          <w:lang w:eastAsia="zh-CN"/>
        </w:rPr>
        <w:t>。</w:t>
      </w:r>
    </w:p>
    <w:p>
      <w:pPr>
        <w:pStyle w:val="77"/>
        <w:rPr>
          <w:highlight w:val="none"/>
        </w:rPr>
      </w:pPr>
      <w:r>
        <w:rPr>
          <w:rFonts w:hint="eastAsia"/>
        </w:rPr>
        <w:t>招标形式：</w:t>
      </w:r>
      <w:r>
        <w:rPr>
          <w:rFonts w:hint="eastAsia"/>
          <w:lang w:val="en-US" w:eastAsia="zh-CN"/>
        </w:rPr>
        <w:t>公开</w:t>
      </w:r>
      <w:r>
        <w:rPr>
          <w:rFonts w:hint="eastAsia"/>
          <w:highlight w:val="none"/>
          <w:lang w:val="en-US" w:eastAsia="zh-CN"/>
        </w:rPr>
        <w:t>招标</w:t>
      </w:r>
      <w:r>
        <w:rPr>
          <w:rStyle w:val="101"/>
          <w:rFonts w:hint="eastAsia"/>
          <w:b w:val="0"/>
          <w:highlight w:val="none"/>
        </w:rPr>
        <w:t>。</w:t>
      </w:r>
    </w:p>
    <w:p>
      <w:pPr>
        <w:pStyle w:val="76"/>
        <w:rPr>
          <w:highlight w:val="yellow"/>
        </w:rPr>
      </w:pPr>
      <w:bookmarkStart w:id="6" w:name="_Toc47976590"/>
      <w:r>
        <w:rPr>
          <w:rFonts w:hint="eastAsia"/>
          <w:highlight w:val="yellow"/>
        </w:rPr>
        <w:t>投标人资格要求</w:t>
      </w:r>
      <w:bookmarkEnd w:id="6"/>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b w:val="0"/>
          <w:bCs/>
        </w:rPr>
      </w:pPr>
      <w:r>
        <w:rPr>
          <w:rFonts w:hint="eastAsia"/>
          <w:b w:val="0"/>
          <w:bCs/>
        </w:rPr>
        <w:t>投标人须遵守《中华人民共和国招标投标法》及其它有关的法律和法规；为中华人民共和国境内注册的独立法人机构，具有独立承担民事责任能力；</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b w:val="0"/>
          <w:bCs/>
        </w:rPr>
      </w:pPr>
      <w:r>
        <w:rPr>
          <w:rFonts w:hint="eastAsia"/>
          <w:b w:val="0"/>
          <w:bCs/>
        </w:rPr>
        <w:t>拟标投人必须是在中华人民共和国境内注册的独立法人机构，具有独立承担民事责任能力；注册资金不少于</w:t>
      </w:r>
      <w:r>
        <w:rPr>
          <w:rFonts w:hint="eastAsia"/>
          <w:b w:val="0"/>
          <w:bCs/>
          <w:highlight w:val="yellow"/>
          <w:u w:val="single"/>
          <w:lang w:val="en-US" w:eastAsia="zh-CN"/>
        </w:rPr>
        <w:t>1000</w:t>
      </w:r>
      <w:r>
        <w:rPr>
          <w:rFonts w:hint="eastAsia"/>
          <w:b w:val="0"/>
          <w:bCs/>
        </w:rPr>
        <w:t>万人民币（或等值其他货币）；公司成立</w:t>
      </w:r>
      <w:r>
        <w:rPr>
          <w:rFonts w:hint="eastAsia"/>
          <w:b w:val="0"/>
          <w:bCs/>
          <w:highlight w:val="yellow"/>
          <w:u w:val="single"/>
          <w:lang w:val="en-US" w:eastAsia="zh-CN"/>
        </w:rPr>
        <w:t>5</w:t>
      </w:r>
      <w:r>
        <w:rPr>
          <w:rFonts w:hint="eastAsia"/>
          <w:b w:val="0"/>
          <w:bCs/>
        </w:rPr>
        <w:t>年以上（以营业执照成立日期到开标当日满</w:t>
      </w:r>
      <w:r>
        <w:rPr>
          <w:rFonts w:hint="eastAsia"/>
          <w:b w:val="0"/>
          <w:bCs/>
          <w:highlight w:val="yellow"/>
          <w:u w:val="single"/>
          <w:lang w:val="en-US" w:eastAsia="zh-CN"/>
        </w:rPr>
        <w:t>5</w:t>
      </w:r>
      <w:r>
        <w:rPr>
          <w:rFonts w:hint="eastAsia"/>
          <w:b w:val="0"/>
          <w:bCs/>
        </w:rPr>
        <w:t>年为准），且经营范围满足招标人需求；并在人员、设备、资金等方面具有承本项目的能力；</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b w:val="0"/>
          <w:bCs/>
        </w:rPr>
      </w:pPr>
      <w:r>
        <w:rPr>
          <w:rFonts w:hint="eastAsia"/>
          <w:b w:val="0"/>
          <w:bCs/>
        </w:rPr>
        <w:t>投标人在“信用中国”中未列入联合惩戒失信人名单，且工商行政管理局的《国家企业信用信息公示系统》中查询不存在不良记录；</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b w:val="0"/>
          <w:bCs/>
        </w:rPr>
      </w:pPr>
      <w:r>
        <w:rPr>
          <w:rFonts w:hint="eastAsia"/>
          <w:b w:val="0"/>
          <w:bCs/>
        </w:rPr>
        <w:t>无招标违规、谎报年度报告信息、提供虚假资质资料等行为或其他行政处罚记录；</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b w:val="0"/>
          <w:bCs/>
        </w:rPr>
      </w:pPr>
      <w:r>
        <w:rPr>
          <w:rFonts w:hint="eastAsia"/>
          <w:b w:val="0"/>
          <w:bCs/>
        </w:rPr>
        <w:t>近三年内在经营活动中无与本项目有关的违法及重大违规情况；</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b w:val="0"/>
          <w:bCs/>
        </w:rPr>
        <w:sectPr>
          <w:headerReference r:id="rId10" w:type="first"/>
          <w:footerReference r:id="rId12" w:type="first"/>
          <w:headerReference r:id="rId9" w:type="default"/>
          <w:footerReference r:id="rId11" w:type="default"/>
          <w:pgSz w:w="11906" w:h="16838"/>
          <w:pgMar w:top="1701" w:right="1418" w:bottom="1134" w:left="1418" w:header="851" w:footer="992" w:gutter="0"/>
          <w:pgNumType w:fmt="decimal" w:start="1"/>
          <w:cols w:space="720" w:num="1"/>
          <w:titlePg/>
          <w:docGrid w:type="lines" w:linePitch="312" w:charSpace="0"/>
        </w:sectPr>
      </w:pPr>
      <w:r>
        <w:rPr>
          <w:rFonts w:hint="eastAsia"/>
          <w:b w:val="0"/>
          <w:bCs/>
        </w:rPr>
        <w:t>投标人没有被列入招标人处《黑名单》（《黑名单》指投标人与招标人在以往或正在进行</w:t>
      </w:r>
    </w:p>
    <w:p>
      <w:pPr>
        <w:pStyle w:val="77"/>
        <w:keepNext w:val="0"/>
        <w:keepLines w:val="0"/>
        <w:pageBreakBefore w:val="0"/>
        <w:widowControl w:val="0"/>
        <w:numPr>
          <w:ilvl w:val="0"/>
          <w:numId w:val="0"/>
        </w:numPr>
        <w:kinsoku/>
        <w:wordWrap/>
        <w:overflowPunct/>
        <w:topLinePunct w:val="0"/>
        <w:autoSpaceDE/>
        <w:autoSpaceDN/>
        <w:bidi w:val="0"/>
        <w:adjustRightInd/>
        <w:snapToGrid/>
        <w:textAlignment w:val="auto"/>
        <w:rPr>
          <w:b w:val="0"/>
          <w:bCs/>
        </w:rPr>
      </w:pP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b w:val="0"/>
          <w:bCs/>
        </w:rPr>
      </w:pPr>
      <w:r>
        <w:rPr>
          <w:rFonts w:hint="eastAsia"/>
          <w:b w:val="0"/>
          <w:bCs/>
        </w:rPr>
        <w:t>的合作中，存在招标人认为的违反合同约定或违反法律法规等的失信行为）的；</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b w:val="0"/>
          <w:bCs/>
        </w:rPr>
      </w:pPr>
      <w:r>
        <w:rPr>
          <w:rFonts w:hint="eastAsia"/>
          <w:b w:val="0"/>
          <w:bCs/>
        </w:rPr>
        <w:t>公司经营范围满足招标项目需求；</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b w:val="0"/>
          <w:bCs/>
        </w:rPr>
      </w:pPr>
      <w:r>
        <w:rPr>
          <w:rFonts w:hint="eastAsia"/>
          <w:b w:val="0"/>
          <w:bCs/>
          <w:strike w:val="0"/>
          <w:dstrike w:val="0"/>
          <w:highlight w:val="none"/>
        </w:rPr>
        <w:t>投标人须具有履行招标文件所有设备、专业技术等要求的能力；</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b w:val="0"/>
          <w:bCs/>
        </w:rPr>
      </w:pPr>
      <w:r>
        <w:rPr>
          <w:rFonts w:hint="eastAsia"/>
          <w:b w:val="0"/>
          <w:bCs/>
        </w:rPr>
        <w:t>投标人须有依法缴纳税收和社会保障资金的良好记录；</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b w:val="0"/>
          <w:bCs/>
        </w:rPr>
      </w:pPr>
      <w:r>
        <w:rPr>
          <w:rFonts w:hint="eastAsia"/>
          <w:b w:val="0"/>
          <w:bCs/>
        </w:rPr>
        <w:t>投标人须认可招标人的工作指令，包括节、假日能正常开展工作的要求。</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b w:val="0"/>
          <w:bCs/>
        </w:rPr>
      </w:pPr>
      <w:r>
        <w:rPr>
          <w:rFonts w:hint="eastAsia"/>
          <w:b w:val="0"/>
          <w:bCs/>
        </w:rPr>
        <w:t>拟投标人的直接或间接股东、法定代表人、董事、监事、高管非重汽员工及其亲属；</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b w:val="0"/>
          <w:bCs/>
        </w:rPr>
      </w:pPr>
      <w:r>
        <w:rPr>
          <w:rFonts w:hint="eastAsia"/>
          <w:b w:val="0"/>
          <w:bCs/>
        </w:rPr>
        <w:t>投标人必须是最终投标、签订合同的单位，不得以任何理由将已中标项目以任何形式转包或者分包给其他单位；</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b w:val="0"/>
          <w:bCs/>
        </w:rPr>
      </w:pPr>
      <w:r>
        <w:rPr>
          <w:rFonts w:hint="eastAsia"/>
          <w:b w:val="0"/>
          <w:bCs/>
        </w:rPr>
        <w:t>本次招标项</w:t>
      </w:r>
      <w:r>
        <w:rPr>
          <w:rFonts w:hint="eastAsia"/>
          <w:b w:val="0"/>
          <w:bCs/>
          <w:highlight w:val="none"/>
        </w:rPr>
        <w:t>目不接受联</w:t>
      </w:r>
      <w:r>
        <w:rPr>
          <w:rFonts w:hint="eastAsia"/>
          <w:b w:val="0"/>
          <w:bCs/>
        </w:rPr>
        <w:t>合体投标；</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b w:val="0"/>
          <w:bCs/>
        </w:rPr>
      </w:pPr>
      <w:r>
        <w:rPr>
          <w:rFonts w:hint="eastAsia"/>
          <w:b w:val="0"/>
          <w:bCs/>
        </w:rPr>
        <w:t>法律、行政法规规定的其他条件；</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rFonts w:hint="eastAsia" w:ascii="宋体" w:eastAsia="宋体" w:cs="Times New Roman"/>
          <w:b w:val="0"/>
          <w:bCs/>
          <w:highlight w:val="yellow"/>
        </w:rPr>
      </w:pPr>
      <w:r>
        <w:rPr>
          <w:rFonts w:hint="eastAsia" w:ascii="宋体" w:eastAsia="宋体" w:cs="Times New Roman"/>
          <w:b w:val="0"/>
          <w:bCs/>
          <w:highlight w:val="yellow"/>
        </w:rPr>
        <w:t>投标人须具备ISO27001信息技术服务管理体系认证证书、IS020000信息技术服务管理体系认证证书</w:t>
      </w:r>
      <w:r>
        <w:rPr>
          <w:rFonts w:hint="eastAsia" w:ascii="宋体" w:eastAsia="宋体" w:cs="Times New Roman"/>
          <w:b w:val="0"/>
          <w:bCs/>
          <w:highlight w:val="yellow"/>
          <w:lang w:eastAsia="zh-CN"/>
        </w:rPr>
        <w:t>；</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rFonts w:hint="default" w:ascii="宋体" w:eastAsia="宋体" w:cs="Times New Roman"/>
          <w:b w:val="0"/>
          <w:bCs/>
          <w:lang w:val="en-US" w:eastAsia="zh-CN"/>
        </w:rPr>
      </w:pPr>
      <w:r>
        <w:rPr>
          <w:rFonts w:hint="eastAsia" w:ascii="宋体" w:eastAsia="宋体" w:cs="Times New Roman"/>
          <w:b w:val="0"/>
          <w:bCs/>
          <w:lang w:val="en-US" w:eastAsia="zh-CN"/>
        </w:rPr>
        <w:t>不允许代理商投标。</w:t>
      </w:r>
    </w:p>
    <w:p>
      <w:pPr>
        <w:pStyle w:val="77"/>
        <w:keepNext w:val="0"/>
        <w:keepLines w:val="0"/>
        <w:pageBreakBefore w:val="0"/>
        <w:widowControl w:val="0"/>
        <w:numPr>
          <w:ilvl w:val="0"/>
          <w:numId w:val="13"/>
        </w:numPr>
        <w:kinsoku/>
        <w:wordWrap/>
        <w:overflowPunct/>
        <w:topLinePunct w:val="0"/>
        <w:autoSpaceDE/>
        <w:autoSpaceDN/>
        <w:bidi w:val="0"/>
        <w:adjustRightInd/>
        <w:snapToGrid/>
        <w:ind w:left="263" w:leftChars="125" w:firstLine="420" w:firstLineChars="200"/>
        <w:textAlignment w:val="auto"/>
        <w:rPr>
          <w:rFonts w:hint="default" w:ascii="宋体" w:eastAsia="宋体" w:cs="Times New Roman"/>
          <w:b w:val="0"/>
          <w:bCs/>
          <w:lang w:val="en-US" w:eastAsia="zh-CN"/>
        </w:rPr>
      </w:pPr>
      <w:r>
        <w:rPr>
          <w:rFonts w:hint="default" w:ascii="宋体" w:eastAsia="宋体" w:cs="Times New Roman"/>
          <w:b w:val="0"/>
          <w:bCs/>
          <w:lang w:val="en-US" w:eastAsia="zh-CN"/>
        </w:rPr>
        <w:t>投标人须具备</w:t>
      </w:r>
      <w:r>
        <w:rPr>
          <w:rFonts w:hint="eastAsia" w:ascii="宋体" w:eastAsia="宋体" w:cs="Times New Roman"/>
          <w:b w:val="0"/>
          <w:bCs/>
          <w:highlight w:val="yellow"/>
          <w:lang w:val="en-US" w:eastAsia="zh-CN"/>
        </w:rPr>
        <w:t>5</w:t>
      </w:r>
      <w:r>
        <w:rPr>
          <w:rFonts w:hint="default" w:ascii="宋体" w:eastAsia="宋体" w:cs="Times New Roman"/>
          <w:b w:val="0"/>
          <w:bCs/>
          <w:lang w:val="en-US" w:eastAsia="zh-CN"/>
        </w:rPr>
        <w:t>个以上SAP</w:t>
      </w:r>
      <w:r>
        <w:rPr>
          <w:rFonts w:hint="eastAsia" w:ascii="宋体" w:eastAsia="宋体" w:cs="Times New Roman"/>
          <w:b w:val="0"/>
          <w:bCs/>
          <w:lang w:val="en-US" w:eastAsia="zh-CN"/>
        </w:rPr>
        <w:t>产品</w:t>
      </w:r>
      <w:r>
        <w:rPr>
          <w:rFonts w:hint="default" w:ascii="宋体" w:eastAsia="宋体" w:cs="Times New Roman"/>
          <w:b w:val="0"/>
          <w:bCs/>
          <w:lang w:val="en-US" w:eastAsia="zh-CN"/>
        </w:rPr>
        <w:t>运维服务案例。</w:t>
      </w:r>
    </w:p>
    <w:p>
      <w:pPr>
        <w:pStyle w:val="76"/>
        <w:rPr>
          <w:highlight w:val="yellow"/>
        </w:rPr>
      </w:pPr>
      <w:bookmarkStart w:id="7" w:name="_Toc47976591"/>
      <w:r>
        <w:rPr>
          <w:rFonts w:hint="eastAsia"/>
          <w:highlight w:val="yellow"/>
        </w:rPr>
        <w:t>报名及招标文件的获取</w:t>
      </w:r>
      <w:bookmarkEnd w:id="7"/>
    </w:p>
    <w:p>
      <w:pPr>
        <w:keepNext w:val="0"/>
        <w:keepLines w:val="0"/>
        <w:pageBreakBefore w:val="0"/>
        <w:kinsoku/>
        <w:wordWrap/>
        <w:overflowPunct/>
        <w:topLinePunct w:val="0"/>
        <w:autoSpaceDE/>
        <w:autoSpaceDN/>
        <w:bidi w:val="0"/>
        <w:spacing w:line="360" w:lineRule="auto"/>
        <w:ind w:left="263" w:leftChars="125" w:firstLine="420" w:firstLineChars="200"/>
        <w:textAlignment w:val="auto"/>
        <w:rPr>
          <w:rFonts w:hint="default" w:ascii="宋体" w:hAnsi="宋体" w:eastAsia="宋体" w:cs="宋体"/>
          <w:color w:val="FF0000"/>
          <w:sz w:val="21"/>
          <w:szCs w:val="21"/>
          <w:highlight w:val="yellow"/>
          <w:lang w:val="en-US" w:eastAsia="zh-CN"/>
        </w:rPr>
      </w:pPr>
      <w:r>
        <w:rPr>
          <w:rFonts w:hint="eastAsia" w:ascii="宋体" w:hAnsi="宋体" w:eastAsia="宋体" w:cs="宋体"/>
          <w:color w:val="auto"/>
          <w:sz w:val="21"/>
          <w:szCs w:val="21"/>
          <w:highlight w:val="none"/>
        </w:rPr>
        <w:t>凡有意参加投标者，请于202</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月</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日下午17:00前，按照1-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顺序及所列项相关资料的原件扫描件（要求每一页原文件扫描在一页上，禁止两页或多页合并扫描在一页，扫描文件必须清晰可辨否则影响报名的审核，扫描文件格式为pdf格式，禁止采用压缩文件格式或图片格式，所有扫描文件都集成到1个pdf文档并设置目录）</w:t>
      </w:r>
      <w:r>
        <w:rPr>
          <w:rFonts w:hint="eastAsia" w:ascii="宋体" w:hAnsi="宋体" w:cs="宋体"/>
          <w:color w:val="auto"/>
          <w:sz w:val="21"/>
          <w:szCs w:val="21"/>
          <w:highlight w:val="none"/>
          <w:lang w:val="en-US" w:eastAsia="zh-CN"/>
        </w:rPr>
        <w:t>提交到e采通系统。</w:t>
      </w:r>
    </w:p>
    <w:p>
      <w:pPr>
        <w:keepNext w:val="0"/>
        <w:keepLines w:val="0"/>
        <w:pageBreakBefore w:val="0"/>
        <w:widowControl/>
        <w:tabs>
          <w:tab w:val="left" w:pos="556"/>
          <w:tab w:val="left" w:pos="1080"/>
        </w:tabs>
        <w:kinsoku/>
        <w:wordWrap/>
        <w:overflowPunct/>
        <w:topLinePunct w:val="0"/>
        <w:autoSpaceDE/>
        <w:autoSpaceDN/>
        <w:bidi w:val="0"/>
        <w:spacing w:line="360" w:lineRule="auto"/>
        <w:ind w:left="263" w:leftChars="125"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格式为：</w:t>
      </w:r>
      <w:r>
        <w:rPr>
          <w:rFonts w:hint="eastAsia" w:ascii="宋体" w:hAnsi="宋体" w:eastAsia="宋体" w:cs="宋体"/>
          <w:color w:val="auto"/>
          <w:sz w:val="21"/>
          <w:szCs w:val="21"/>
          <w:highlight w:val="none"/>
          <w:lang w:val="en-US" w:eastAsia="zh-CN"/>
        </w:rPr>
        <w:t>中国重汽集团SAP运维服务项目</w:t>
      </w:r>
      <w:r>
        <w:rPr>
          <w:rFonts w:hint="eastAsia" w:ascii="宋体" w:hAnsi="宋体" w:eastAsia="宋体" w:cs="宋体"/>
          <w:b/>
          <w:bCs/>
          <w:color w:val="auto"/>
          <w:sz w:val="21"/>
          <w:szCs w:val="21"/>
          <w:highlight w:val="none"/>
        </w:rPr>
        <w:t>-***公司（五个字以内公司简称）-报名资料。</w:t>
      </w:r>
    </w:p>
    <w:p>
      <w:pPr>
        <w:pStyle w:val="119"/>
        <w:keepNext w:val="0"/>
        <w:keepLines w:val="0"/>
        <w:pageBreakBefore w:val="0"/>
        <w:widowControl/>
        <w:numPr>
          <w:ilvl w:val="0"/>
          <w:numId w:val="14"/>
        </w:numPr>
        <w:tabs>
          <w:tab w:val="left" w:pos="420"/>
        </w:tabs>
        <w:kinsoku/>
        <w:wordWrap/>
        <w:overflowPunct/>
        <w:topLinePunct w:val="0"/>
        <w:autoSpaceDE/>
        <w:autoSpaceDN/>
        <w:bidi w:val="0"/>
        <w:adjustRightInd w:val="0"/>
        <w:snapToGrid w:val="0"/>
        <w:spacing w:line="360" w:lineRule="auto"/>
        <w:ind w:left="263" w:leftChars="125" w:firstLine="425" w:firstLineChars="0"/>
        <w:textAlignment w:val="auto"/>
        <w:rPr>
          <w:rFonts w:hint="eastAsia" w:ascii="宋体" w:hAnsi="宋体" w:eastAsia="宋体" w:cs="宋体"/>
          <w:sz w:val="21"/>
          <w:szCs w:val="21"/>
        </w:rPr>
      </w:pPr>
      <w:r>
        <w:rPr>
          <w:rFonts w:hint="eastAsia" w:ascii="宋体" w:hAnsi="宋体" w:eastAsia="宋体" w:cs="宋体"/>
          <w:sz w:val="21"/>
          <w:szCs w:val="21"/>
        </w:rPr>
        <w:t>法定代表人授权委托书（见附件2）；</w:t>
      </w:r>
    </w:p>
    <w:p>
      <w:pPr>
        <w:pStyle w:val="119"/>
        <w:keepNext w:val="0"/>
        <w:keepLines w:val="0"/>
        <w:pageBreakBefore w:val="0"/>
        <w:widowControl/>
        <w:numPr>
          <w:ilvl w:val="0"/>
          <w:numId w:val="14"/>
        </w:numPr>
        <w:tabs>
          <w:tab w:val="left" w:pos="420"/>
        </w:tabs>
        <w:kinsoku/>
        <w:wordWrap/>
        <w:overflowPunct/>
        <w:topLinePunct w:val="0"/>
        <w:autoSpaceDE/>
        <w:autoSpaceDN/>
        <w:bidi w:val="0"/>
        <w:adjustRightInd w:val="0"/>
        <w:snapToGrid w:val="0"/>
        <w:spacing w:line="360" w:lineRule="auto"/>
        <w:ind w:left="263" w:leftChars="125" w:firstLine="425" w:firstLineChars="0"/>
        <w:textAlignment w:val="auto"/>
        <w:rPr>
          <w:rFonts w:hint="eastAsia" w:ascii="宋体" w:hAnsi="宋体" w:eastAsia="宋体" w:cs="宋体"/>
          <w:sz w:val="21"/>
          <w:szCs w:val="21"/>
        </w:rPr>
      </w:pPr>
      <w:r>
        <w:rPr>
          <w:rFonts w:hint="eastAsia" w:ascii="宋体" w:hAnsi="宋体" w:eastAsia="宋体" w:cs="宋体"/>
          <w:sz w:val="21"/>
          <w:szCs w:val="21"/>
        </w:rPr>
        <w:t>企业营业执照副本复印件（加盖法人单位公章）；</w:t>
      </w:r>
    </w:p>
    <w:p>
      <w:pPr>
        <w:pStyle w:val="119"/>
        <w:keepNext w:val="0"/>
        <w:keepLines w:val="0"/>
        <w:pageBreakBefore w:val="0"/>
        <w:widowControl/>
        <w:numPr>
          <w:ilvl w:val="0"/>
          <w:numId w:val="14"/>
        </w:numPr>
        <w:tabs>
          <w:tab w:val="left" w:pos="420"/>
        </w:tabs>
        <w:kinsoku/>
        <w:wordWrap/>
        <w:overflowPunct/>
        <w:topLinePunct w:val="0"/>
        <w:autoSpaceDE/>
        <w:autoSpaceDN/>
        <w:bidi w:val="0"/>
        <w:adjustRightInd w:val="0"/>
        <w:snapToGrid w:val="0"/>
        <w:spacing w:line="360" w:lineRule="auto"/>
        <w:ind w:left="263" w:leftChars="125" w:firstLine="425" w:firstLineChars="0"/>
        <w:textAlignment w:val="auto"/>
        <w:rPr>
          <w:rFonts w:hint="eastAsia" w:ascii="宋体" w:hAnsi="宋体" w:eastAsia="宋体" w:cs="宋体"/>
          <w:sz w:val="21"/>
          <w:szCs w:val="21"/>
        </w:rPr>
      </w:pPr>
      <w:r>
        <w:rPr>
          <w:rFonts w:hint="eastAsia" w:ascii="宋体" w:hAnsi="宋体" w:eastAsia="宋体" w:cs="宋体"/>
          <w:sz w:val="21"/>
          <w:szCs w:val="21"/>
        </w:rPr>
        <w:t>法人代表或授权代表有效身份证（盖有法人单位公章的复印件，包括正反两面）；</w:t>
      </w:r>
    </w:p>
    <w:p>
      <w:pPr>
        <w:pStyle w:val="119"/>
        <w:keepNext w:val="0"/>
        <w:keepLines w:val="0"/>
        <w:pageBreakBefore w:val="0"/>
        <w:widowControl/>
        <w:numPr>
          <w:ilvl w:val="0"/>
          <w:numId w:val="14"/>
        </w:numPr>
        <w:tabs>
          <w:tab w:val="left" w:pos="420"/>
        </w:tabs>
        <w:kinsoku/>
        <w:wordWrap/>
        <w:overflowPunct/>
        <w:topLinePunct w:val="0"/>
        <w:autoSpaceDE/>
        <w:autoSpaceDN/>
        <w:bidi w:val="0"/>
        <w:adjustRightInd w:val="0"/>
        <w:snapToGrid w:val="0"/>
        <w:spacing w:line="360" w:lineRule="auto"/>
        <w:ind w:left="263" w:leftChars="125" w:firstLine="425" w:firstLineChars="0"/>
        <w:textAlignment w:val="auto"/>
        <w:rPr>
          <w:rFonts w:hint="eastAsia" w:ascii="宋体" w:hAnsi="宋体" w:eastAsia="宋体" w:cs="宋体"/>
          <w:sz w:val="21"/>
          <w:szCs w:val="21"/>
        </w:rPr>
      </w:pPr>
      <w:r>
        <w:rPr>
          <w:rFonts w:hint="eastAsia" w:ascii="宋体" w:hAnsi="宋体" w:eastAsia="宋体" w:cs="宋体"/>
          <w:sz w:val="21"/>
          <w:szCs w:val="21"/>
        </w:rPr>
        <w:t>提供财务相关证明材料，包括近三年的年度财务审计报告、近三年的财务报表、企业最近半年完税证明及信用证明材料、年度纳税信用评价信息、企业对外担保说明等</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详见标书</w:t>
      </w:r>
      <w:r>
        <w:rPr>
          <w:rFonts w:hint="eastAsia" w:ascii="宋体" w:hAnsi="宋体" w:eastAsia="宋体" w:cs="宋体"/>
          <w:sz w:val="21"/>
          <w:szCs w:val="21"/>
        </w:rPr>
        <w:t>投标人须知；</w:t>
      </w:r>
    </w:p>
    <w:p>
      <w:pPr>
        <w:pStyle w:val="119"/>
        <w:keepNext w:val="0"/>
        <w:keepLines w:val="0"/>
        <w:pageBreakBefore w:val="0"/>
        <w:widowControl/>
        <w:numPr>
          <w:ilvl w:val="0"/>
          <w:numId w:val="14"/>
        </w:numPr>
        <w:tabs>
          <w:tab w:val="left" w:pos="420"/>
        </w:tabs>
        <w:kinsoku/>
        <w:wordWrap/>
        <w:overflowPunct/>
        <w:topLinePunct w:val="0"/>
        <w:autoSpaceDE/>
        <w:autoSpaceDN/>
        <w:bidi w:val="0"/>
        <w:adjustRightInd w:val="0"/>
        <w:snapToGrid w:val="0"/>
        <w:spacing w:line="360" w:lineRule="auto"/>
        <w:ind w:left="263" w:leftChars="125" w:firstLine="425"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项目</w:t>
      </w:r>
      <w:r>
        <w:rPr>
          <w:rFonts w:hint="eastAsia" w:ascii="宋体" w:hAnsi="宋体" w:eastAsia="宋体" w:cs="宋体"/>
          <w:sz w:val="21"/>
          <w:szCs w:val="21"/>
        </w:rPr>
        <w:t>成功案例。列举与此招标项目类似的成功案例，包括项目实施时间、单位、应用范围、投标人参与的核心成员等；</w:t>
      </w:r>
      <w:r>
        <w:rPr>
          <w:rFonts w:hint="eastAsia" w:ascii="宋体" w:hAnsi="宋体" w:eastAsia="宋体" w:cs="宋体"/>
          <w:sz w:val="21"/>
          <w:szCs w:val="21"/>
          <w:lang w:val="en-US" w:eastAsia="zh-CN"/>
        </w:rPr>
        <w:t>需提供项目合同复印件</w:t>
      </w:r>
      <w:r>
        <w:rPr>
          <w:rFonts w:hint="eastAsia" w:ascii="宋体" w:hAnsi="宋体" w:cs="宋体"/>
          <w:sz w:val="21"/>
          <w:szCs w:val="21"/>
          <w:lang w:val="en-US" w:eastAsia="zh-CN"/>
        </w:rPr>
        <w:t>；</w:t>
      </w:r>
    </w:p>
    <w:p>
      <w:pPr>
        <w:pStyle w:val="119"/>
        <w:keepNext w:val="0"/>
        <w:keepLines w:val="0"/>
        <w:pageBreakBefore w:val="0"/>
        <w:widowControl/>
        <w:numPr>
          <w:ilvl w:val="0"/>
          <w:numId w:val="14"/>
        </w:numPr>
        <w:tabs>
          <w:tab w:val="left" w:pos="420"/>
        </w:tabs>
        <w:kinsoku/>
        <w:wordWrap/>
        <w:overflowPunct/>
        <w:topLinePunct w:val="0"/>
        <w:autoSpaceDE/>
        <w:autoSpaceDN/>
        <w:bidi w:val="0"/>
        <w:adjustRightInd w:val="0"/>
        <w:snapToGrid w:val="0"/>
        <w:spacing w:line="360" w:lineRule="auto"/>
        <w:ind w:left="263" w:leftChars="125" w:firstLine="425"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rPr>
        <w:t>提供</w:t>
      </w:r>
      <w:r>
        <w:rPr>
          <w:rFonts w:hint="eastAsia" w:ascii="宋体" w:hAnsi="宋体" w:eastAsia="宋体" w:cs="宋体"/>
          <w:color w:val="000000"/>
          <w:sz w:val="21"/>
          <w:szCs w:val="21"/>
        </w:rPr>
        <w:t>投标人资质要求</w:t>
      </w:r>
      <w:r>
        <w:rPr>
          <w:rFonts w:hint="eastAsia" w:ascii="宋体" w:hAnsi="宋体" w:eastAsia="宋体" w:cs="宋体"/>
          <w:color w:val="000000"/>
          <w:sz w:val="21"/>
          <w:szCs w:val="21"/>
          <w:lang w:val="en-US" w:eastAsia="zh-CN"/>
        </w:rPr>
        <w:t>的其它</w:t>
      </w:r>
      <w:r>
        <w:rPr>
          <w:rFonts w:hint="eastAsia" w:ascii="宋体" w:hAnsi="宋体" w:eastAsia="宋体" w:cs="宋体"/>
          <w:color w:val="000000"/>
          <w:sz w:val="21"/>
          <w:szCs w:val="21"/>
        </w:rPr>
        <w:t>相关证明材料</w:t>
      </w:r>
      <w:r>
        <w:rPr>
          <w:rFonts w:hint="eastAsia" w:ascii="宋体" w:hAnsi="宋体" w:eastAsia="宋体" w:cs="宋体"/>
          <w:color w:val="000000"/>
          <w:sz w:val="21"/>
          <w:szCs w:val="21"/>
          <w:lang w:val="en-US" w:eastAsia="zh-CN"/>
        </w:rPr>
        <w:t>;</w:t>
      </w:r>
      <w:r>
        <w:rPr>
          <w:rFonts w:hint="eastAsia" w:ascii="宋体" w:hAnsi="宋体" w:eastAsia="宋体" w:cs="宋体"/>
          <w:sz w:val="21"/>
          <w:szCs w:val="21"/>
          <w:lang w:val="en-US" w:eastAsia="zh-CN"/>
        </w:rPr>
        <w:t>详见标书</w:t>
      </w:r>
      <w:r>
        <w:rPr>
          <w:rFonts w:hint="eastAsia" w:ascii="宋体" w:hAnsi="宋体" w:eastAsia="宋体" w:cs="宋体"/>
          <w:sz w:val="21"/>
          <w:szCs w:val="21"/>
        </w:rPr>
        <w:t>投标人须知</w:t>
      </w:r>
      <w:r>
        <w:rPr>
          <w:rFonts w:hint="eastAsia" w:ascii="宋体" w:hAnsi="宋体" w:cs="宋体"/>
          <w:sz w:val="21"/>
          <w:szCs w:val="21"/>
          <w:lang w:eastAsia="zh-CN"/>
        </w:rPr>
        <w:t>；</w:t>
      </w:r>
    </w:p>
    <w:p>
      <w:pPr>
        <w:pStyle w:val="119"/>
        <w:keepNext w:val="0"/>
        <w:keepLines w:val="0"/>
        <w:pageBreakBefore w:val="0"/>
        <w:widowControl/>
        <w:numPr>
          <w:ilvl w:val="0"/>
          <w:numId w:val="14"/>
        </w:numPr>
        <w:tabs>
          <w:tab w:val="left" w:pos="420"/>
        </w:tabs>
        <w:kinsoku/>
        <w:wordWrap/>
        <w:overflowPunct/>
        <w:topLinePunct w:val="0"/>
        <w:autoSpaceDE/>
        <w:autoSpaceDN/>
        <w:bidi w:val="0"/>
        <w:adjustRightInd w:val="0"/>
        <w:snapToGrid w:val="0"/>
        <w:spacing w:line="360" w:lineRule="auto"/>
        <w:ind w:left="263" w:leftChars="125" w:firstLine="425" w:firstLineChars="0"/>
        <w:textAlignment w:val="auto"/>
        <w:rPr>
          <w:rFonts w:hint="eastAsia" w:ascii="宋体" w:hAnsi="宋体" w:eastAsia="宋体" w:cs="宋体"/>
          <w:color w:val="auto"/>
          <w:sz w:val="21"/>
          <w:szCs w:val="21"/>
          <w:highlight w:val="none"/>
        </w:rPr>
      </w:pPr>
      <w:r>
        <w:rPr>
          <w:rFonts w:hint="eastAsia" w:ascii="宋体" w:hAnsi="宋体" w:eastAsia="宋体" w:cs="宋体"/>
          <w:sz w:val="21"/>
          <w:szCs w:val="21"/>
        </w:rPr>
        <w:t>项目报名表（见附件</w:t>
      </w:r>
      <w:r>
        <w:rPr>
          <w:rFonts w:hint="eastAsia" w:ascii="宋体" w:hAnsi="宋体" w:eastAsia="宋体" w:cs="宋体"/>
          <w:sz w:val="21"/>
          <w:szCs w:val="21"/>
          <w:lang w:val="en-US" w:eastAsia="zh-CN"/>
        </w:rPr>
        <w:t>4</w:t>
      </w:r>
      <w:r>
        <w:rPr>
          <w:rFonts w:hint="eastAsia" w:ascii="宋体" w:hAnsi="宋体" w:eastAsia="宋体" w:cs="宋体"/>
          <w:sz w:val="21"/>
          <w:szCs w:val="21"/>
        </w:rPr>
        <w:t>）。</w:t>
      </w:r>
    </w:p>
    <w:p>
      <w:pPr>
        <w:keepNext w:val="0"/>
        <w:keepLines w:val="0"/>
        <w:pageBreakBefore w:val="0"/>
        <w:kinsoku/>
        <w:wordWrap/>
        <w:overflowPunct/>
        <w:topLinePunct w:val="0"/>
        <w:autoSpaceDE/>
        <w:autoSpaceDN/>
        <w:bidi w:val="0"/>
        <w:adjustRightInd/>
        <w:snapToGrid/>
        <w:spacing w:line="360" w:lineRule="auto"/>
        <w:ind w:left="263" w:leftChars="125" w:firstLine="422" w:firstLineChars="200"/>
        <w:textAlignment w:val="auto"/>
        <w:rPr>
          <w:rFonts w:hint="eastAsia" w:ascii="宋体" w:hAnsi="宋体" w:eastAsia="宋体" w:cs="宋体"/>
          <w:sz w:val="24"/>
          <w:szCs w:val="24"/>
          <w:highlight w:val="none"/>
          <w:u w:val="single"/>
        </w:rPr>
      </w:pPr>
      <w:r>
        <w:rPr>
          <w:rFonts w:hint="eastAsia" w:ascii="宋体" w:hAnsi="宋体" w:eastAsia="宋体" w:cs="宋体"/>
          <w:b/>
          <w:bCs/>
          <w:color w:val="auto"/>
          <w:sz w:val="21"/>
          <w:szCs w:val="21"/>
          <w:highlight w:val="none"/>
        </w:rPr>
        <w:t>本项目实行资格后审，报名成功不代表资格审查通过，以最终通过招标工作小组的审查为准。</w:t>
      </w:r>
    </w:p>
    <w:p>
      <w:pPr>
        <w:tabs>
          <w:tab w:val="left" w:pos="932"/>
        </w:tabs>
        <w:ind w:firstLine="420" w:firstLineChars="20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投标保证金的金额：人民币20000.00元</w:t>
      </w:r>
    </w:p>
    <w:p>
      <w:pPr>
        <w:tabs>
          <w:tab w:val="left" w:pos="932"/>
        </w:tabs>
        <w:ind w:firstLine="420" w:firstLineChars="20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开户名称：中国重汽集团济南动力有限公司</w:t>
      </w:r>
    </w:p>
    <w:p>
      <w:pPr>
        <w:tabs>
          <w:tab w:val="left" w:pos="932"/>
        </w:tabs>
        <w:ind w:firstLine="420" w:firstLineChars="20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开户银行：中国建设银行股份有限公司济南天桥支行</w:t>
      </w:r>
    </w:p>
    <w:p>
      <w:pPr>
        <w:tabs>
          <w:tab w:val="left" w:pos="932"/>
        </w:tabs>
        <w:ind w:firstLine="420" w:firstLineChars="20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银行帐号：37001616508050150300</w:t>
      </w:r>
    </w:p>
    <w:p>
      <w:pPr>
        <w:ind w:firstLine="420" w:firstLineChars="200"/>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联行号：105451000362</w:t>
      </w:r>
    </w:p>
    <w:p>
      <w:pPr>
        <w:keepNext w:val="0"/>
        <w:keepLines w:val="0"/>
        <w:pageBreakBefore w:val="0"/>
        <w:widowControl/>
        <w:kinsoku/>
        <w:wordWrap/>
        <w:overflowPunct/>
        <w:topLinePunct w:val="0"/>
        <w:autoSpaceDE/>
        <w:autoSpaceDN/>
        <w:bidi w:val="0"/>
        <w:adjustRightInd/>
        <w:snapToGrid/>
        <w:spacing w:line="360" w:lineRule="auto"/>
        <w:ind w:left="263" w:leftChars="125" w:firstLine="420" w:firstLineChars="200"/>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投标保证金应从投标人基本账户转出至上述账户并到账，否则视为无效投标，未中标单位招标后一个付款周期内退还，中标单位合同签定生效后退还。</w:t>
      </w:r>
    </w:p>
    <w:p>
      <w:pPr>
        <w:pStyle w:val="16"/>
      </w:pPr>
      <w:r>
        <w:rPr>
          <w:rFonts w:hint="eastAsia" w:ascii="宋体" w:hAnsi="宋体" w:eastAsia="宋体" w:cs="宋体"/>
          <w:sz w:val="24"/>
          <w:szCs w:val="24"/>
        </w:rPr>
        <w:t>Ⅱ.</w:t>
      </w:r>
      <w:r>
        <w:rPr>
          <w:rFonts w:hint="eastAsia" w:ascii="宋体" w:hAnsi="宋体" w:eastAsia="宋体" w:cs="宋体"/>
          <w:sz w:val="24"/>
          <w:szCs w:val="24"/>
          <w:highlight w:val="yellow"/>
        </w:rPr>
        <w:t>转账附言：公司名称+项目名称+投标保证金（</w:t>
      </w:r>
      <w:r>
        <w:rPr>
          <w:rFonts w:hint="eastAsia" w:ascii="宋体" w:hAnsi="宋体" w:cs="宋体"/>
          <w:sz w:val="24"/>
          <w:szCs w:val="24"/>
          <w:highlight w:val="yellow"/>
          <w:lang w:val="en-US" w:eastAsia="zh-CN"/>
        </w:rPr>
        <w:t>不按照此格式备注，不保证退还时间</w:t>
      </w:r>
      <w:r>
        <w:rPr>
          <w:rFonts w:hint="eastAsia" w:ascii="宋体" w:hAnsi="宋体" w:eastAsia="宋体" w:cs="宋体"/>
          <w:sz w:val="24"/>
          <w:szCs w:val="24"/>
          <w:highlight w:val="yellow"/>
        </w:rPr>
        <w:t>）。</w:t>
      </w:r>
    </w:p>
    <w:p>
      <w:pPr>
        <w:pStyle w:val="76"/>
        <w:rPr>
          <w:highlight w:val="yellow"/>
        </w:rPr>
      </w:pPr>
      <w:bookmarkStart w:id="8" w:name="_Toc47976592"/>
      <w:r>
        <w:rPr>
          <w:rFonts w:hint="eastAsia"/>
          <w:highlight w:val="yellow"/>
        </w:rPr>
        <w:t>投标文件的递交</w:t>
      </w:r>
      <w:bookmarkEnd w:id="8"/>
    </w:p>
    <w:p>
      <w:pPr>
        <w:pStyle w:val="77"/>
        <w:keepNext w:val="0"/>
        <w:keepLines w:val="0"/>
        <w:pageBreakBefore w:val="0"/>
        <w:widowControl w:val="0"/>
        <w:numPr>
          <w:ilvl w:val="0"/>
          <w:numId w:val="15"/>
        </w:numPr>
        <w:kinsoku/>
        <w:wordWrap/>
        <w:overflowPunct/>
        <w:topLinePunct w:val="0"/>
        <w:autoSpaceDE/>
        <w:autoSpaceDN/>
        <w:bidi w:val="0"/>
        <w:adjustRightInd/>
        <w:snapToGrid/>
        <w:ind w:left="263" w:leftChars="125" w:firstLine="420" w:firstLineChars="200"/>
        <w:textAlignment w:val="auto"/>
        <w:rPr>
          <w:rFonts w:hint="eastAsia" w:ascii="宋体" w:eastAsia="宋体" w:cs="Times New Roman"/>
          <w:b w:val="0"/>
          <w:bCs/>
          <w:lang w:val="en-US" w:eastAsia="zh-CN"/>
        </w:rPr>
      </w:pPr>
      <w:r>
        <w:rPr>
          <w:rFonts w:hint="eastAsia" w:ascii="宋体" w:eastAsia="宋体" w:cs="Times New Roman"/>
          <w:b w:val="0"/>
          <w:bCs/>
          <w:lang w:val="en-US" w:eastAsia="zh-CN"/>
        </w:rPr>
        <w:t>投标文件递交的截止时间详见招标文件。</w:t>
      </w:r>
    </w:p>
    <w:p>
      <w:pPr>
        <w:pStyle w:val="77"/>
        <w:keepNext w:val="0"/>
        <w:keepLines w:val="0"/>
        <w:pageBreakBefore w:val="0"/>
        <w:widowControl w:val="0"/>
        <w:numPr>
          <w:ilvl w:val="0"/>
          <w:numId w:val="15"/>
        </w:numPr>
        <w:kinsoku/>
        <w:wordWrap/>
        <w:overflowPunct/>
        <w:topLinePunct w:val="0"/>
        <w:autoSpaceDE/>
        <w:autoSpaceDN/>
        <w:bidi w:val="0"/>
        <w:adjustRightInd/>
        <w:snapToGrid/>
        <w:ind w:left="263" w:leftChars="125" w:firstLine="420" w:firstLineChars="200"/>
        <w:textAlignment w:val="auto"/>
        <w:rPr>
          <w:rFonts w:hint="eastAsia" w:ascii="宋体" w:eastAsia="宋体" w:cs="Times New Roman"/>
          <w:b w:val="0"/>
          <w:bCs/>
          <w:lang w:val="en-US" w:eastAsia="zh-CN"/>
        </w:rPr>
      </w:pPr>
      <w:r>
        <w:rPr>
          <w:rFonts w:hint="eastAsia" w:ascii="宋体" w:eastAsia="宋体" w:cs="Times New Roman"/>
          <w:b w:val="0"/>
          <w:bCs/>
          <w:lang w:val="en-US" w:eastAsia="zh-CN"/>
        </w:rPr>
        <w:t>逾期送达的或者未送达指定地点的投标文件，招标人不予受理。</w:t>
      </w:r>
    </w:p>
    <w:p>
      <w:pPr>
        <w:pStyle w:val="77"/>
        <w:keepNext w:val="0"/>
        <w:keepLines w:val="0"/>
        <w:pageBreakBefore w:val="0"/>
        <w:widowControl w:val="0"/>
        <w:numPr>
          <w:ilvl w:val="0"/>
          <w:numId w:val="15"/>
        </w:numPr>
        <w:kinsoku/>
        <w:wordWrap/>
        <w:overflowPunct/>
        <w:topLinePunct w:val="0"/>
        <w:autoSpaceDE/>
        <w:autoSpaceDN/>
        <w:bidi w:val="0"/>
        <w:adjustRightInd/>
        <w:snapToGrid/>
        <w:ind w:left="263" w:leftChars="125" w:firstLine="420" w:firstLineChars="200"/>
        <w:textAlignment w:val="auto"/>
        <w:rPr>
          <w:rFonts w:hint="eastAsia" w:ascii="宋体" w:eastAsia="宋体" w:cs="Times New Roman"/>
          <w:b w:val="0"/>
          <w:bCs/>
          <w:lang w:val="en-US" w:eastAsia="zh-CN"/>
        </w:rPr>
      </w:pPr>
      <w:r>
        <w:rPr>
          <w:rFonts w:hint="eastAsia" w:ascii="宋体" w:eastAsia="宋体" w:cs="Times New Roman"/>
          <w:b w:val="0"/>
          <w:bCs/>
          <w:lang w:val="en-US" w:eastAsia="zh-CN"/>
        </w:rPr>
        <w:t>本次招标通过E采通系统（https://ecaitong.sinotruk.com:8012/）进行澄清和报价，请务必在截止时间前完成注册并投标，上传资质、业绩、财务报表、商务标等文档，具体操作请查看文档。</w:t>
      </w:r>
      <w:r>
        <w:rPr>
          <w:rFonts w:hint="eastAsia" w:cs="Times New Roman"/>
          <w:b w:val="0"/>
          <w:bCs/>
          <w:highlight w:val="yellow"/>
          <w:lang w:val="en-US" w:eastAsia="zh-CN"/>
        </w:rPr>
        <w:t>参考附件15和16。</w:t>
      </w:r>
    </w:p>
    <w:p>
      <w:pPr>
        <w:spacing w:line="360" w:lineRule="auto"/>
        <w:ind w:left="1890" w:hanging="1890" w:hangingChars="900"/>
        <w:rPr>
          <w:rFonts w:hint="eastAsia" w:ascii="宋体" w:eastAsia="宋体" w:cs="Times New Roman"/>
          <w:b w:val="0"/>
          <w:bCs/>
          <w:lang w:val="en-US" w:eastAsia="zh-CN"/>
        </w:rPr>
      </w:pPr>
      <w:r>
        <w:rPr>
          <w:rFonts w:hint="eastAsia" w:ascii="宋体" w:hAnsi="宋体" w:eastAsia="宋体" w:cs="宋体"/>
          <w:color w:val="000000" w:themeColor="text1"/>
          <w:szCs w:val="20"/>
          <w:lang w:bidi="ar"/>
          <w14:textFill>
            <w14:solidFill>
              <w14:schemeClr w14:val="tx1"/>
            </w14:solidFill>
          </w14:textFill>
        </w:rPr>
        <w:object>
          <v:shape id="_x0000_i1025" o:spt="75" type="#_x0000_t75" style="height:67.6pt;width:72pt;" o:ole="t" filled="f" o:preferrelative="t" stroked="f" coordsize="21600,21600">
            <v:path/>
            <v:fill on="f" focussize="0,0"/>
            <v:stroke on="f" joinstyle="miter"/>
            <v:imagedata r:id="rId22" o:title=""/>
            <o:lock v:ext="edit" aspectratio="t"/>
            <w10:wrap type="none"/>
            <w10:anchorlock/>
          </v:shape>
          <o:OLEObject Type="Embed" ProgID="Package" ShapeID="_x0000_i1025" DrawAspect="Icon" ObjectID="_1468075725" r:id="rId21">
            <o:LockedField>false</o:LockedField>
          </o:OLEObject>
        </w:object>
      </w:r>
      <w:r>
        <w:rPr>
          <w:rFonts w:hint="eastAsia" w:ascii="宋体" w:hAnsi="宋体" w:eastAsia="宋体" w:cs="宋体"/>
          <w:color w:val="000000" w:themeColor="text1"/>
          <w:szCs w:val="20"/>
          <w:lang w:bidi="ar"/>
          <w14:textFill>
            <w14:solidFill>
              <w14:schemeClr w14:val="tx1"/>
            </w14:solidFill>
          </w14:textFill>
        </w:rPr>
        <w:object>
          <v:shape id="_x0000_i1026" o:spt="75" type="#_x0000_t75" style="height:67.6pt;width:72pt;" o:ole="t" filled="f" o:preferrelative="t" stroked="f" coordsize="21600,21600">
            <v:path/>
            <v:fill on="f" focussize="0,0"/>
            <v:stroke on="f" joinstyle="miter"/>
            <v:imagedata r:id="rId24" o:title=""/>
            <o:lock v:ext="edit" aspectratio="t"/>
            <w10:wrap type="none"/>
            <w10:anchorlock/>
          </v:shape>
          <o:OLEObject Type="Embed" ProgID="Word.Document.12" ShapeID="_x0000_i1026" DrawAspect="Icon" ObjectID="_1468075726" r:id="rId23">
            <o:LockedField>false</o:LockedField>
          </o:OLEObject>
        </w:object>
      </w:r>
    </w:p>
    <w:p>
      <w:pPr>
        <w:pStyle w:val="76"/>
        <w:rPr>
          <w:highlight w:val="yellow"/>
        </w:rPr>
      </w:pPr>
      <w:r>
        <w:rPr>
          <w:rFonts w:hint="eastAsia"/>
          <w:highlight w:val="yellow"/>
          <w:lang w:val="en-US" w:eastAsia="zh-CN"/>
        </w:rPr>
        <w:t>开标时间和地点</w:t>
      </w:r>
    </w:p>
    <w:p>
      <w:pPr>
        <w:pStyle w:val="77"/>
        <w:keepNext w:val="0"/>
        <w:keepLines w:val="0"/>
        <w:pageBreakBefore w:val="0"/>
        <w:widowControl w:val="0"/>
        <w:numPr>
          <w:ilvl w:val="0"/>
          <w:numId w:val="16"/>
        </w:numPr>
        <w:kinsoku/>
        <w:wordWrap/>
        <w:overflowPunct/>
        <w:topLinePunct w:val="0"/>
        <w:autoSpaceDE/>
        <w:autoSpaceDN/>
        <w:bidi w:val="0"/>
        <w:adjustRightInd/>
        <w:snapToGrid/>
        <w:ind w:left="263" w:leftChars="125" w:firstLine="420" w:firstLineChars="200"/>
        <w:textAlignment w:val="auto"/>
        <w:rPr>
          <w:rFonts w:hint="eastAsia" w:ascii="宋体" w:eastAsia="宋体" w:cs="Times New Roman"/>
          <w:b w:val="0"/>
          <w:bCs/>
          <w:lang w:val="en-US" w:eastAsia="zh-CN"/>
        </w:rPr>
      </w:pPr>
      <w:r>
        <w:rPr>
          <w:rFonts w:hint="eastAsia" w:ascii="宋体" w:eastAsia="宋体" w:cs="Times New Roman"/>
          <w:b w:val="0"/>
          <w:bCs/>
          <w:lang w:val="en-US" w:eastAsia="zh-CN"/>
        </w:rPr>
        <w:t>开标时间：暂定2025年1</w:t>
      </w:r>
      <w:r>
        <w:rPr>
          <w:rFonts w:hint="eastAsia" w:cs="Times New Roman"/>
          <w:b w:val="0"/>
          <w:bCs/>
          <w:lang w:val="en-US" w:eastAsia="zh-CN"/>
        </w:rPr>
        <w:t>2</w:t>
      </w:r>
      <w:r>
        <w:rPr>
          <w:rFonts w:hint="eastAsia" w:ascii="宋体" w:eastAsia="宋体" w:cs="Times New Roman"/>
          <w:b w:val="0"/>
          <w:bCs/>
          <w:lang w:val="en-US" w:eastAsia="zh-CN"/>
        </w:rPr>
        <w:t>月</w:t>
      </w:r>
      <w:r>
        <w:rPr>
          <w:rFonts w:hint="eastAsia" w:cs="Times New Roman"/>
          <w:b w:val="0"/>
          <w:bCs/>
          <w:lang w:val="en-US" w:eastAsia="zh-CN"/>
        </w:rPr>
        <w:t>11</w:t>
      </w:r>
      <w:r>
        <w:rPr>
          <w:rFonts w:hint="eastAsia" w:ascii="宋体" w:eastAsia="宋体" w:cs="Times New Roman"/>
          <w:b w:val="0"/>
          <w:bCs/>
          <w:lang w:val="en-US" w:eastAsia="zh-CN"/>
        </w:rPr>
        <w:t>日</w:t>
      </w:r>
      <w:r>
        <w:rPr>
          <w:rFonts w:hint="eastAsia" w:cs="Times New Roman"/>
          <w:b w:val="0"/>
          <w:bCs/>
          <w:lang w:val="en-US" w:eastAsia="zh-CN"/>
        </w:rPr>
        <w:t>9</w:t>
      </w:r>
      <w:r>
        <w:rPr>
          <w:rFonts w:hint="eastAsia" w:ascii="宋体" w:eastAsia="宋体" w:cs="Times New Roman"/>
          <w:b w:val="0"/>
          <w:bCs/>
          <w:lang w:val="en-US" w:eastAsia="zh-CN"/>
        </w:rPr>
        <w:t>时</w:t>
      </w:r>
      <w:r>
        <w:rPr>
          <w:rFonts w:hint="eastAsia" w:cs="Times New Roman"/>
          <w:b w:val="0"/>
          <w:bCs/>
          <w:lang w:val="en-US" w:eastAsia="zh-CN"/>
        </w:rPr>
        <w:t>00</w:t>
      </w:r>
      <w:r>
        <w:rPr>
          <w:rFonts w:hint="eastAsia" w:ascii="宋体" w:eastAsia="宋体" w:cs="Times New Roman"/>
          <w:b w:val="0"/>
          <w:bCs/>
          <w:lang w:val="en-US" w:eastAsia="zh-CN"/>
        </w:rPr>
        <w:t>分，若有变动另行通知。</w:t>
      </w:r>
    </w:p>
    <w:p>
      <w:pPr>
        <w:pStyle w:val="77"/>
        <w:keepNext w:val="0"/>
        <w:keepLines w:val="0"/>
        <w:pageBreakBefore w:val="0"/>
        <w:widowControl w:val="0"/>
        <w:numPr>
          <w:ilvl w:val="0"/>
          <w:numId w:val="16"/>
        </w:numPr>
        <w:kinsoku/>
        <w:wordWrap/>
        <w:overflowPunct/>
        <w:topLinePunct w:val="0"/>
        <w:autoSpaceDE/>
        <w:autoSpaceDN/>
        <w:bidi w:val="0"/>
        <w:adjustRightInd/>
        <w:snapToGrid/>
        <w:ind w:left="263" w:leftChars="125" w:firstLine="420" w:firstLineChars="200"/>
        <w:textAlignment w:val="auto"/>
        <w:rPr>
          <w:rFonts w:hint="eastAsia" w:ascii="宋体" w:eastAsia="宋体" w:cs="Times New Roman"/>
          <w:b w:val="0"/>
          <w:bCs/>
          <w:lang w:val="en-US" w:eastAsia="zh-CN"/>
        </w:rPr>
      </w:pPr>
      <w:r>
        <w:rPr>
          <w:rFonts w:hint="eastAsia" w:ascii="宋体" w:eastAsia="宋体" w:cs="Times New Roman"/>
          <w:b w:val="0"/>
          <w:bCs/>
          <w:lang w:val="en-US" w:eastAsia="zh-CN"/>
        </w:rPr>
        <w:t>开标地点：</w:t>
      </w:r>
      <w:bookmarkStart w:id="9" w:name="OLE_LINK3"/>
      <w:bookmarkStart w:id="10" w:name="OLE_LINK2"/>
      <w:r>
        <w:rPr>
          <w:rFonts w:hint="eastAsia" w:ascii="宋体" w:eastAsia="宋体" w:cs="Times New Roman"/>
          <w:b w:val="0"/>
          <w:bCs/>
          <w:lang w:val="en-US" w:eastAsia="zh-CN"/>
        </w:rPr>
        <w:t>暂定中国重汽未来科技大厦</w:t>
      </w:r>
      <w:r>
        <w:rPr>
          <w:rFonts w:hint="eastAsia" w:cs="Times New Roman"/>
          <w:b w:val="0"/>
          <w:bCs/>
          <w:lang w:val="en-US" w:eastAsia="zh-CN"/>
        </w:rPr>
        <w:t>3楼</w:t>
      </w:r>
      <w:r>
        <w:rPr>
          <w:rFonts w:hint="eastAsia" w:ascii="宋体" w:eastAsia="宋体" w:cs="Times New Roman"/>
          <w:b w:val="0"/>
          <w:bCs/>
          <w:lang w:val="en-US" w:eastAsia="zh-CN"/>
        </w:rPr>
        <w:t>会议室</w:t>
      </w:r>
      <w:bookmarkEnd w:id="9"/>
      <w:bookmarkEnd w:id="10"/>
      <w:r>
        <w:rPr>
          <w:rFonts w:hint="eastAsia" w:ascii="宋体" w:eastAsia="宋体" w:cs="Times New Roman"/>
          <w:b w:val="0"/>
          <w:bCs/>
          <w:lang w:val="en-US" w:eastAsia="zh-CN"/>
        </w:rPr>
        <w:t xml:space="preserve"> </w:t>
      </w:r>
    </w:p>
    <w:p>
      <w:pPr>
        <w:pStyle w:val="76"/>
        <w:rPr>
          <w:highlight w:val="yellow"/>
        </w:rPr>
      </w:pPr>
      <w:bookmarkStart w:id="11" w:name="_Toc47976593"/>
      <w:r>
        <w:rPr>
          <w:rFonts w:hint="eastAsia"/>
          <w:highlight w:val="yellow"/>
        </w:rPr>
        <w:t>招标公告发布媒介</w:t>
      </w:r>
      <w:bookmarkEnd w:id="11"/>
    </w:p>
    <w:p>
      <w:pPr>
        <w:pStyle w:val="77"/>
        <w:keepNext w:val="0"/>
        <w:keepLines w:val="0"/>
        <w:pageBreakBefore w:val="0"/>
        <w:widowControl w:val="0"/>
        <w:numPr>
          <w:ilvl w:val="0"/>
          <w:numId w:val="0"/>
        </w:numPr>
        <w:kinsoku/>
        <w:wordWrap/>
        <w:overflowPunct/>
        <w:topLinePunct w:val="0"/>
        <w:autoSpaceDE/>
        <w:autoSpaceDN/>
        <w:bidi w:val="0"/>
        <w:adjustRightInd/>
        <w:snapToGrid/>
        <w:ind w:leftChars="325"/>
        <w:textAlignment w:val="auto"/>
        <w:rPr>
          <w:rFonts w:hint="eastAsia" w:ascii="宋体" w:eastAsia="宋体" w:cs="Times New Roman"/>
          <w:b w:val="0"/>
          <w:bCs/>
          <w:lang w:val="en-US" w:eastAsia="zh-CN"/>
        </w:rPr>
      </w:pPr>
      <w:bookmarkStart w:id="12" w:name="_Toc47976594"/>
      <w:r>
        <w:rPr>
          <w:rFonts w:hint="eastAsia" w:ascii="宋体" w:eastAsia="宋体" w:cs="Times New Roman"/>
          <w:b w:val="0"/>
          <w:bCs/>
          <w:lang w:val="en-US" w:eastAsia="zh-CN"/>
        </w:rPr>
        <w:t>本次招标公告在中国重汽官方网站发布。</w:t>
      </w:r>
    </w:p>
    <w:p>
      <w:pPr>
        <w:pStyle w:val="76"/>
        <w:rPr>
          <w:highlight w:val="yellow"/>
        </w:rPr>
      </w:pPr>
      <w:r>
        <w:rPr>
          <w:rFonts w:hint="eastAsia"/>
          <w:highlight w:val="yellow"/>
        </w:rPr>
        <w:t>联系方式</w:t>
      </w:r>
      <w:bookmarkEnd w:id="12"/>
    </w:p>
    <w:p>
      <w:pPr>
        <w:pStyle w:val="76"/>
      </w:pPr>
      <w:r>
        <w:rPr>
          <w:rFonts w:hint="eastAsia"/>
          <w:highlight w:val="cyan"/>
          <w:lang w:val="en-US" w:eastAsia="zh-CN"/>
        </w:rPr>
        <w:t>其他说明</w:t>
      </w:r>
    </w:p>
    <w:p>
      <w:pPr>
        <w:pStyle w:val="80"/>
        <w:jc w:val="both"/>
        <w:rPr>
          <w:rFonts w:hint="eastAsia"/>
          <w:highlight w:val="cyan"/>
          <w:u w:val="single"/>
          <w:lang w:val="en-US" w:eastAsia="zh-CN"/>
        </w:rPr>
      </w:pPr>
    </w:p>
    <w:p>
      <w:pPr>
        <w:pStyle w:val="80"/>
        <w:ind w:firstLine="6510" w:firstLineChars="3100"/>
        <w:jc w:val="both"/>
        <w:rPr>
          <w:u w:val="single"/>
        </w:rPr>
      </w:pPr>
      <w:r>
        <w:rPr>
          <w:rFonts w:hint="eastAsia"/>
          <w:highlight w:val="none"/>
          <w:u w:val="single"/>
          <w:lang w:val="en-US" w:eastAsia="zh-CN"/>
        </w:rPr>
        <w:t>2025</w:t>
      </w:r>
      <w:r>
        <w:rPr>
          <w:rFonts w:hint="eastAsia"/>
          <w:u w:val="single"/>
        </w:rPr>
        <w:t>年</w:t>
      </w:r>
      <w:r>
        <w:rPr>
          <w:rFonts w:hint="eastAsia"/>
          <w:u w:val="single"/>
          <w:lang w:val="en-US" w:eastAsia="zh-CN"/>
        </w:rPr>
        <w:t>11</w:t>
      </w:r>
      <w:r>
        <w:rPr>
          <w:rFonts w:hint="eastAsia"/>
          <w:u w:val="single"/>
        </w:rPr>
        <w:t>月</w:t>
      </w:r>
      <w:r>
        <w:rPr>
          <w:rFonts w:hint="eastAsia"/>
          <w:u w:val="single"/>
          <w:lang w:val="en-US" w:eastAsia="zh-CN"/>
        </w:rPr>
        <w:t>14</w:t>
      </w:r>
      <w:r>
        <w:rPr>
          <w:rFonts w:hint="eastAsia"/>
          <w:u w:val="single"/>
        </w:rPr>
        <w:t>日</w:t>
      </w:r>
    </w:p>
    <w:p>
      <w:pPr>
        <w:pStyle w:val="119"/>
        <w:keepNext w:val="0"/>
        <w:keepLines w:val="0"/>
        <w:pageBreakBefore w:val="0"/>
        <w:widowControl/>
        <w:numPr>
          <w:ilvl w:val="0"/>
          <w:numId w:val="0"/>
        </w:numPr>
        <w:tabs>
          <w:tab w:val="left" w:pos="420"/>
        </w:tabs>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sectPr>
          <w:footerReference r:id="rId14" w:type="first"/>
          <w:footerReference r:id="rId13" w:type="default"/>
          <w:pgSz w:w="11906" w:h="16838"/>
          <w:pgMar w:top="1701" w:right="1418" w:bottom="1134" w:left="1418" w:header="851" w:footer="992" w:gutter="0"/>
          <w:pgNumType w:fmt="decimal"/>
          <w:cols w:space="720" w:num="1"/>
          <w:titlePg/>
          <w:docGrid w:type="lines" w:linePitch="312" w:charSpace="0"/>
        </w:sectPr>
      </w:pPr>
    </w:p>
    <w:p>
      <w:pPr>
        <w:pStyle w:val="119"/>
        <w:keepNext w:val="0"/>
        <w:keepLines w:val="0"/>
        <w:pageBreakBefore w:val="0"/>
        <w:widowControl/>
        <w:numPr>
          <w:ilvl w:val="0"/>
          <w:numId w:val="0"/>
        </w:numPr>
        <w:tabs>
          <w:tab w:val="left" w:pos="420"/>
        </w:tabs>
        <w:kinsoku/>
        <w:wordWrap/>
        <w:overflowPunct/>
        <w:topLinePunct w:val="0"/>
        <w:autoSpaceDE/>
        <w:autoSpaceDN/>
        <w:bidi w:val="0"/>
        <w:adjustRightInd w:val="0"/>
        <w:snapToGrid w:val="0"/>
        <w:spacing w:line="360" w:lineRule="auto"/>
        <w:textAlignment w:val="auto"/>
        <w:rPr>
          <w:rFonts w:hint="eastAsia" w:ascii="宋体" w:hAnsi="宋体" w:eastAsia="宋体" w:cs="宋体"/>
          <w:sz w:val="21"/>
          <w:szCs w:val="21"/>
        </w:rPr>
      </w:pPr>
    </w:p>
    <w:p>
      <w:pPr>
        <w:pStyle w:val="80"/>
        <w:rPr>
          <w:rFonts w:hint="eastAsia"/>
        </w:rPr>
      </w:pPr>
    </w:p>
    <w:p>
      <w:pPr>
        <w:pStyle w:val="75"/>
      </w:pPr>
      <w:bookmarkStart w:id="13" w:name="_Toc47976595"/>
      <w:bookmarkStart w:id="14" w:name="_Toc22358"/>
      <w:r>
        <w:rPr>
          <w:rFonts w:hint="eastAsia"/>
        </w:rPr>
        <w:t>第一部分  投标人须知</w:t>
      </w:r>
      <w:bookmarkEnd w:id="13"/>
      <w:bookmarkEnd w:id="14"/>
    </w:p>
    <w:p>
      <w:pPr>
        <w:pStyle w:val="76"/>
        <w:numPr>
          <w:ilvl w:val="0"/>
          <w:numId w:val="17"/>
        </w:numPr>
        <w:ind w:left="420"/>
        <w:jc w:val="left"/>
      </w:pPr>
      <w:bookmarkStart w:id="15" w:name="_Toc47976596"/>
      <w:r>
        <w:rPr>
          <w:rFonts w:hint="eastAsia"/>
        </w:rPr>
        <w:t>项目介绍</w:t>
      </w:r>
      <w:bookmarkEnd w:id="15"/>
    </w:p>
    <w:p>
      <w:pPr>
        <w:pStyle w:val="80"/>
        <w:numPr>
          <w:ilvl w:val="0"/>
          <w:numId w:val="18"/>
        </w:numPr>
      </w:pPr>
      <w:r>
        <w:rPr>
          <w:rFonts w:hint="eastAsia"/>
        </w:rPr>
        <w:t>项目名称：SAP运维服务项目</w:t>
      </w:r>
    </w:p>
    <w:p>
      <w:pPr>
        <w:pStyle w:val="80"/>
        <w:numPr>
          <w:ilvl w:val="0"/>
          <w:numId w:val="18"/>
        </w:numPr>
      </w:pPr>
      <w:r>
        <w:rPr>
          <w:rFonts w:hint="eastAsia"/>
        </w:rPr>
        <w:t>项目编号：FSCZB2025110510</w:t>
      </w:r>
    </w:p>
    <w:p>
      <w:pPr>
        <w:pStyle w:val="80"/>
        <w:numPr>
          <w:ilvl w:val="0"/>
          <w:numId w:val="18"/>
        </w:numPr>
      </w:pPr>
      <w:r>
        <w:rPr>
          <w:rFonts w:hint="eastAsia"/>
        </w:rPr>
        <w:t>招标形式：</w:t>
      </w:r>
      <w:bookmarkStart w:id="16" w:name="_Toc47112482"/>
      <w:r>
        <w:rPr>
          <w:rFonts w:hint="eastAsia"/>
          <w:lang w:val="en-US" w:eastAsia="zh-CN"/>
        </w:rPr>
        <w:t>公开招标</w:t>
      </w:r>
    </w:p>
    <w:p>
      <w:pPr>
        <w:pStyle w:val="80"/>
        <w:numPr>
          <w:ilvl w:val="0"/>
          <w:numId w:val="18"/>
        </w:numPr>
      </w:pPr>
      <w:r>
        <w:rPr>
          <w:rFonts w:hint="eastAsia"/>
        </w:rPr>
        <w:t>项目概况：</w:t>
      </w:r>
      <w:r>
        <w:rPr>
          <w:rFonts w:hint="eastAsia"/>
          <w:lang w:val="en-US" w:eastAsia="zh-CN"/>
        </w:rPr>
        <w:t>为中国重汽集团SAP系统运维服务厂商进行招标，主要负责系统基础运维和业务应用运维。</w:t>
      </w:r>
    </w:p>
    <w:p>
      <w:pPr>
        <w:pStyle w:val="80"/>
        <w:numPr>
          <w:ilvl w:val="0"/>
          <w:numId w:val="18"/>
        </w:numPr>
        <w:rPr>
          <w:rFonts w:hint="eastAsia" w:ascii="仿宋_GB2312" w:hAnsi="仿宋_GB2312" w:eastAsia="仿宋_GB2312" w:cs="仿宋_GB2312"/>
          <w:color w:val="000000"/>
          <w:sz w:val="24"/>
          <w:szCs w:val="24"/>
        </w:rPr>
      </w:pPr>
      <w:r>
        <w:rPr>
          <w:rFonts w:hint="eastAsia"/>
        </w:rPr>
        <w:t>招标内容具体要求</w:t>
      </w:r>
      <w:r>
        <w:rPr>
          <w:rFonts w:hint="eastAsia"/>
          <w:highlight w:val="none"/>
        </w:rPr>
        <w:t>详见</w:t>
      </w:r>
      <w:r>
        <w:rPr>
          <w:rFonts w:hint="eastAsia"/>
          <w:b w:val="0"/>
          <w:bCs/>
          <w:highlight w:val="none"/>
          <w:lang w:val="en-US" w:eastAsia="zh-CN"/>
        </w:rPr>
        <w:t>《第二部：技术标书》</w:t>
      </w:r>
      <w:r>
        <w:rPr>
          <w:rFonts w:hint="eastAsia"/>
        </w:rPr>
        <w:t>。</w:t>
      </w:r>
    </w:p>
    <w:p>
      <w:pPr>
        <w:pStyle w:val="80"/>
        <w:keepNext w:val="0"/>
        <w:keepLines w:val="0"/>
        <w:pageBreakBefore w:val="0"/>
        <w:widowControl w:val="0"/>
        <w:numPr>
          <w:ilvl w:val="0"/>
          <w:numId w:val="18"/>
        </w:numPr>
        <w:kinsoku/>
        <w:wordWrap/>
        <w:overflowPunct/>
        <w:topLinePunct w:val="0"/>
        <w:autoSpaceDE/>
        <w:autoSpaceDN/>
        <w:bidi w:val="0"/>
        <w:adjustRightInd/>
        <w:snapToGrid/>
        <w:ind w:left="420" w:hanging="420" w:hangingChars="200"/>
        <w:jc w:val="both"/>
        <w:textAlignment w:val="auto"/>
        <w:rPr>
          <w:rFonts w:hint="eastAsia" w:ascii="宋体" w:hAnsi="宋体" w:eastAsia="宋体" w:cs="宋体"/>
          <w:sz w:val="21"/>
          <w:szCs w:val="21"/>
        </w:rPr>
      </w:pPr>
      <w:r>
        <w:rPr>
          <w:rFonts w:hint="eastAsia"/>
        </w:rPr>
        <w:t>报价：</w:t>
      </w:r>
      <w:r>
        <w:rPr>
          <w:rFonts w:hint="eastAsia"/>
          <w:lang w:eastAsia="zh-CN"/>
        </w:rPr>
        <w:t>（</w:t>
      </w:r>
      <w:r>
        <w:rPr>
          <w:rFonts w:hint="eastAsia"/>
          <w:lang w:val="en-US" w:eastAsia="zh-CN"/>
        </w:rPr>
        <w:t>1</w:t>
      </w:r>
      <w:r>
        <w:rPr>
          <w:rFonts w:hint="eastAsia"/>
          <w:lang w:eastAsia="zh-CN"/>
        </w:rPr>
        <w:t>）</w:t>
      </w:r>
      <w:r>
        <w:rPr>
          <w:rFonts w:hint="eastAsia" w:ascii="宋体" w:hAnsi="宋体" w:eastAsia="宋体" w:cs="宋体"/>
          <w:color w:val="000000"/>
          <w:sz w:val="21"/>
          <w:szCs w:val="21"/>
          <w:lang w:val="en-US" w:eastAsia="zh-CN"/>
        </w:rPr>
        <w:t>本</w:t>
      </w:r>
      <w:r>
        <w:rPr>
          <w:rFonts w:hint="eastAsia" w:ascii="宋体" w:hAnsi="宋体" w:eastAsia="宋体" w:cs="宋体"/>
          <w:color w:val="000000"/>
          <w:sz w:val="21"/>
          <w:szCs w:val="21"/>
        </w:rPr>
        <w:t>次招投标为公开招标，投标总报价应包括项目规划设计、实施服务、及相关资料、保险、税费、运杂、差旅等全部费用，并对各主要报价构成项列报价清单。</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highlight w:val="yellow"/>
          <w:lang w:val="en-US" w:eastAsia="zh-CN"/>
        </w:rPr>
        <w:t>2</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rPr>
        <w:t>本次项目初始报价不得超过</w:t>
      </w:r>
      <w:r>
        <w:rPr>
          <w:rFonts w:hint="eastAsia" w:ascii="宋体" w:hAnsi="宋体" w:eastAsia="宋体" w:cs="宋体"/>
          <w:color w:val="000000"/>
          <w:sz w:val="21"/>
          <w:szCs w:val="21"/>
          <w:highlight w:val="yellow"/>
          <w:lang w:val="en-US" w:eastAsia="zh-CN"/>
        </w:rPr>
        <w:t>300</w:t>
      </w:r>
      <w:r>
        <w:rPr>
          <w:rFonts w:hint="eastAsia" w:ascii="宋体" w:hAnsi="宋体" w:eastAsia="宋体" w:cs="宋体"/>
          <w:color w:val="000000"/>
          <w:sz w:val="21"/>
          <w:szCs w:val="21"/>
          <w:highlight w:val="yellow"/>
        </w:rPr>
        <w:t>万元</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含税</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含系统基础运维不得超过70万元</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含税</w:t>
      </w:r>
      <w:r>
        <w:rPr>
          <w:rFonts w:hint="eastAsia" w:ascii="宋体" w:hAnsi="宋体" w:eastAsia="宋体" w:cs="宋体"/>
          <w:color w:val="000000"/>
          <w:sz w:val="21"/>
          <w:szCs w:val="21"/>
          <w:highlight w:val="yellow"/>
          <w:lang w:eastAsia="zh-CN"/>
        </w:rPr>
        <w:t>）</w:t>
      </w:r>
      <w:r>
        <w:rPr>
          <w:rFonts w:hint="eastAsia" w:hAnsi="宋体" w:cs="宋体"/>
          <w:color w:val="000000"/>
          <w:sz w:val="21"/>
          <w:szCs w:val="21"/>
          <w:highlight w:val="yellow"/>
          <w:lang w:val="en-US" w:eastAsia="zh-CN"/>
        </w:rPr>
        <w:t>和</w:t>
      </w:r>
      <w:r>
        <w:rPr>
          <w:rFonts w:hint="eastAsia" w:ascii="宋体" w:hAnsi="宋体" w:eastAsia="宋体" w:cs="宋体"/>
          <w:color w:val="000000"/>
          <w:sz w:val="21"/>
          <w:szCs w:val="21"/>
          <w:highlight w:val="yellow"/>
          <w:lang w:val="en-US" w:eastAsia="zh-CN"/>
        </w:rPr>
        <w:t>业务应用服务不得超过230万元</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highlight w:val="yellow"/>
          <w:lang w:val="en-US" w:eastAsia="zh-CN"/>
        </w:rPr>
        <w:t>含税</w:t>
      </w:r>
      <w:r>
        <w:rPr>
          <w:rFonts w:hint="eastAsia" w:ascii="宋体" w:hAnsi="宋体" w:eastAsia="宋体" w:cs="宋体"/>
          <w:color w:val="000000"/>
          <w:sz w:val="21"/>
          <w:szCs w:val="21"/>
          <w:highlight w:val="yellow"/>
          <w:lang w:eastAsia="zh-CN"/>
        </w:rPr>
        <w:t>）</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ab/>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所有参加投标的单位必须结合自身的实际情况，对此次招标项目</w:t>
      </w:r>
      <w:r>
        <w:rPr>
          <w:rFonts w:hint="eastAsia" w:hAnsi="宋体" w:cs="宋体"/>
          <w:color w:val="000000"/>
          <w:sz w:val="21"/>
          <w:szCs w:val="21"/>
          <w:lang w:val="en-US" w:eastAsia="zh-CN"/>
        </w:rPr>
        <w:t>的服务范围及服务内容详细说明，</w:t>
      </w:r>
      <w:r>
        <w:rPr>
          <w:rFonts w:hint="eastAsia" w:ascii="宋体" w:hAnsi="宋体" w:eastAsia="宋体" w:cs="宋体"/>
          <w:color w:val="000000"/>
          <w:sz w:val="21"/>
          <w:szCs w:val="21"/>
        </w:rPr>
        <w:t>以实际产生的费用，据实报价。</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4</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供应商免费提供的项目，应先填写该项目的实际价格，并注明免费。此项不计入总报价。</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项目的报价货币单位为：人民币。要求投标人报价包含不含税金额、税率及价税合计金额。</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6</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最后磋商报价在合同执行过程中是固定不变的，不得以任何理由予以变更。</w:t>
      </w:r>
    </w:p>
    <w:p>
      <w:pPr>
        <w:pStyle w:val="80"/>
        <w:numPr>
          <w:ilvl w:val="0"/>
          <w:numId w:val="18"/>
        </w:numPr>
      </w:pPr>
      <w:r>
        <w:rPr>
          <w:rFonts w:hint="eastAsia"/>
        </w:rPr>
        <w:t>招标人信息：</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招标人地址：济南市历城区华奥路777号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技术联系人：</w:t>
      </w:r>
      <w:r>
        <w:rPr>
          <w:rFonts w:hint="eastAsia" w:ascii="宋体" w:hAnsi="Courier New" w:cs="Times New Roman"/>
          <w:kern w:val="2"/>
          <w:sz w:val="21"/>
          <w:lang w:val="en-US" w:eastAsia="zh-CN" w:bidi="ar-SA"/>
        </w:rPr>
        <w:t>庄莎莎</w:t>
      </w:r>
      <w:r>
        <w:rPr>
          <w:rFonts w:hint="eastAsia" w:ascii="宋体" w:hAnsi="Courier New" w:eastAsia="宋体" w:cs="Times New Roman"/>
          <w:kern w:val="2"/>
          <w:sz w:val="21"/>
          <w:lang w:val="en-US" w:eastAsia="zh-CN" w:bidi="ar-SA"/>
        </w:rPr>
        <w:t xml:space="preserve">     </w:t>
      </w:r>
    </w:p>
    <w:p>
      <w:pPr>
        <w:pStyle w:val="8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电话：18366158823</w:t>
      </w:r>
    </w:p>
    <w:p>
      <w:pPr>
        <w:pStyle w:val="8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cs="Times New Roman"/>
          <w:kern w:val="2"/>
          <w:sz w:val="21"/>
          <w:lang w:val="en-US" w:eastAsia="zh-CN" w:bidi="ar-SA"/>
        </w:rPr>
        <w:fldChar w:fldCharType="begin"/>
      </w:r>
      <w:r>
        <w:rPr>
          <w:rFonts w:hint="eastAsia" w:cs="Times New Roman"/>
          <w:kern w:val="2"/>
          <w:sz w:val="21"/>
          <w:lang w:val="en-US" w:eastAsia="zh-CN" w:bidi="ar-SA"/>
        </w:rPr>
        <w:instrText xml:space="preserve"> HYPERLINK "mailto:zhuangshasha@sinotruk.com" </w:instrText>
      </w:r>
      <w:r>
        <w:rPr>
          <w:rFonts w:hint="eastAsia" w:cs="Times New Roman"/>
          <w:kern w:val="2"/>
          <w:sz w:val="21"/>
          <w:lang w:val="en-US" w:eastAsia="zh-CN" w:bidi="ar-SA"/>
        </w:rPr>
        <w:fldChar w:fldCharType="separate"/>
      </w:r>
      <w:r>
        <w:rPr>
          <w:rStyle w:val="41"/>
          <w:rFonts w:hint="eastAsia" w:cs="Times New Roman"/>
          <w:kern w:val="2"/>
          <w:sz w:val="21"/>
          <w:lang w:val="en-US" w:eastAsia="zh-CN" w:bidi="ar-SA"/>
        </w:rPr>
        <w:t>zhuangshasha@sinotruk.com</w:t>
      </w:r>
      <w:r>
        <w:rPr>
          <w:rFonts w:hint="eastAsia" w:cs="Times New Roman"/>
          <w:kern w:val="2"/>
          <w:sz w:val="21"/>
          <w:lang w:val="en-US" w:eastAsia="zh-CN" w:bidi="ar-SA"/>
        </w:rPr>
        <w:fldChar w:fldCharType="end"/>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商务联系人：赵力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电话：17860606595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邮箱：zhaoli@sinotruk.com</w:t>
      </w:r>
    </w:p>
    <w:p>
      <w:pPr>
        <w:pStyle w:val="80"/>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cs="Times New Roman"/>
          <w:kern w:val="2"/>
          <w:sz w:val="21"/>
          <w:lang w:val="en-US" w:eastAsia="zh-CN" w:bidi="ar-SA"/>
        </w:rPr>
      </w:pPr>
    </w:p>
    <w:bookmarkEnd w:id="16"/>
    <w:p>
      <w:pPr>
        <w:pStyle w:val="76"/>
      </w:pPr>
      <w:bookmarkStart w:id="17" w:name="_Toc47976598"/>
      <w:r>
        <w:rPr>
          <w:rFonts w:hint="eastAsia"/>
        </w:rPr>
        <w:t>合格的投标人。</w:t>
      </w:r>
      <w:bookmarkEnd w:id="17"/>
    </w:p>
    <w:p>
      <w:pPr>
        <w:pStyle w:val="77"/>
        <w:numPr>
          <w:ilvl w:val="0"/>
          <w:numId w:val="19"/>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pPr>
        <w:pStyle w:val="77"/>
        <w:numPr>
          <w:ilvl w:val="0"/>
          <w:numId w:val="19"/>
        </w:numPr>
        <w:ind w:left="0" w:firstLine="0"/>
        <w:rPr>
          <w:b w:val="0"/>
          <w:bCs/>
        </w:rPr>
      </w:pPr>
      <w:r>
        <w:rPr>
          <w:rFonts w:hint="eastAsia"/>
          <w:b w:val="0"/>
          <w:bCs/>
        </w:rPr>
        <w:t>拟标投人必须是在中华人民共和国境内注册的独立法人机构，具有独立承担民事责任能力；注册资金不少于</w:t>
      </w:r>
      <w:r>
        <w:rPr>
          <w:rFonts w:hint="eastAsia"/>
          <w:b w:val="0"/>
          <w:bCs/>
          <w:lang w:val="en-US" w:eastAsia="zh-CN"/>
        </w:rPr>
        <w:t>10</w:t>
      </w:r>
      <w:r>
        <w:rPr>
          <w:rFonts w:hint="eastAsia"/>
          <w:b w:val="0"/>
          <w:bCs/>
          <w:highlight w:val="yellow"/>
          <w:u w:val="single"/>
          <w:lang w:val="en-US" w:eastAsia="zh-CN"/>
        </w:rPr>
        <w:t>00</w:t>
      </w:r>
      <w:r>
        <w:rPr>
          <w:rFonts w:hint="eastAsia"/>
          <w:b w:val="0"/>
          <w:bCs/>
        </w:rPr>
        <w:t>万人民币（或等值其他货币）；公司成立</w:t>
      </w:r>
      <w:r>
        <w:rPr>
          <w:rFonts w:hint="eastAsia"/>
          <w:b w:val="0"/>
          <w:bCs/>
          <w:highlight w:val="yellow"/>
          <w:u w:val="single"/>
          <w:lang w:val="en-US" w:eastAsia="zh-CN"/>
        </w:rPr>
        <w:t>5</w:t>
      </w:r>
      <w:r>
        <w:rPr>
          <w:rFonts w:hint="eastAsia"/>
          <w:b w:val="0"/>
          <w:bCs/>
        </w:rPr>
        <w:t>年以上（以营业执照成立日期到开标当日满</w:t>
      </w:r>
      <w:r>
        <w:rPr>
          <w:rFonts w:hint="eastAsia"/>
          <w:b w:val="0"/>
          <w:bCs/>
          <w:highlight w:val="yellow"/>
          <w:u w:val="single"/>
          <w:lang w:val="en-US" w:eastAsia="zh-CN"/>
        </w:rPr>
        <w:t>5</w:t>
      </w:r>
      <w:r>
        <w:rPr>
          <w:rFonts w:hint="eastAsia"/>
          <w:b w:val="0"/>
          <w:bCs/>
        </w:rPr>
        <w:t>年为准），且经营范围满足招标人需求；并在人员、设备、资金等方面具有承担本项目的能力；</w:t>
      </w:r>
    </w:p>
    <w:p>
      <w:pPr>
        <w:pStyle w:val="77"/>
        <w:numPr>
          <w:ilvl w:val="0"/>
          <w:numId w:val="19"/>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pPr>
        <w:pStyle w:val="77"/>
        <w:numPr>
          <w:ilvl w:val="0"/>
          <w:numId w:val="19"/>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pPr>
        <w:pStyle w:val="77"/>
        <w:numPr>
          <w:ilvl w:val="0"/>
          <w:numId w:val="19"/>
        </w:numPr>
        <w:ind w:left="0" w:firstLine="0"/>
        <w:rPr>
          <w:b w:val="0"/>
          <w:bCs/>
        </w:rPr>
      </w:pPr>
      <w:r>
        <w:rPr>
          <w:rFonts w:hint="eastAsia"/>
          <w:b w:val="0"/>
          <w:bCs/>
        </w:rPr>
        <w:t>无招标违规、谎报年度报告信息、提供虚假资质资料等行为或其他行政处罚记录；</w:t>
      </w:r>
    </w:p>
    <w:p>
      <w:pPr>
        <w:pStyle w:val="77"/>
        <w:numPr>
          <w:ilvl w:val="0"/>
          <w:numId w:val="19"/>
        </w:numPr>
        <w:ind w:left="0" w:firstLine="0"/>
        <w:rPr>
          <w:b w:val="0"/>
          <w:bCs/>
        </w:rPr>
      </w:pPr>
      <w:r>
        <w:rPr>
          <w:rFonts w:hint="eastAsia"/>
          <w:b w:val="0"/>
          <w:bCs/>
        </w:rPr>
        <w:t>近三年内在经营活动中无与本项目有关的违法及重大违规情况；</w:t>
      </w:r>
    </w:p>
    <w:p>
      <w:pPr>
        <w:pStyle w:val="77"/>
        <w:numPr>
          <w:ilvl w:val="0"/>
          <w:numId w:val="19"/>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pPr>
        <w:pStyle w:val="77"/>
        <w:numPr>
          <w:ilvl w:val="0"/>
          <w:numId w:val="19"/>
        </w:numPr>
        <w:ind w:left="0" w:firstLine="0"/>
        <w:rPr>
          <w:b w:val="0"/>
          <w:bCs/>
        </w:rPr>
      </w:pPr>
      <w:r>
        <w:rPr>
          <w:rFonts w:hint="eastAsia"/>
          <w:b w:val="0"/>
          <w:bCs/>
        </w:rPr>
        <w:t>公司经营范围满足招标项目需求；</w:t>
      </w:r>
    </w:p>
    <w:p>
      <w:pPr>
        <w:pStyle w:val="77"/>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bCs/>
        </w:rPr>
      </w:pPr>
      <w:r>
        <w:rPr>
          <w:rFonts w:hint="eastAsia"/>
          <w:b w:val="0"/>
          <w:bCs/>
          <w:strike w:val="0"/>
          <w:dstrike w:val="0"/>
          <w:highlight w:val="none"/>
        </w:rPr>
        <w:t>投标人须具有履行招标文件所有设备、专业技术等要求的能力；</w:t>
      </w:r>
    </w:p>
    <w:p>
      <w:pPr>
        <w:pStyle w:val="77"/>
        <w:numPr>
          <w:ilvl w:val="0"/>
          <w:numId w:val="19"/>
        </w:numPr>
        <w:ind w:left="0" w:firstLine="0"/>
        <w:rPr>
          <w:b w:val="0"/>
          <w:bCs/>
        </w:rPr>
      </w:pPr>
      <w:r>
        <w:rPr>
          <w:rFonts w:hint="eastAsia"/>
          <w:b w:val="0"/>
          <w:bCs/>
        </w:rPr>
        <w:t>投标人须有依法缴纳税收和社会保障资金的良好记录；</w:t>
      </w:r>
    </w:p>
    <w:p>
      <w:pPr>
        <w:pStyle w:val="77"/>
        <w:numPr>
          <w:ilvl w:val="0"/>
          <w:numId w:val="19"/>
        </w:numPr>
        <w:ind w:left="0" w:firstLine="0"/>
        <w:rPr>
          <w:b w:val="0"/>
          <w:bCs/>
        </w:rPr>
      </w:pPr>
      <w:r>
        <w:rPr>
          <w:rFonts w:hint="eastAsia"/>
          <w:b w:val="0"/>
          <w:bCs/>
        </w:rPr>
        <w:t>投标人须认可招标人的工作指令，包括节、假日能正常开展工作的要求。</w:t>
      </w:r>
    </w:p>
    <w:p>
      <w:pPr>
        <w:pStyle w:val="77"/>
        <w:numPr>
          <w:ilvl w:val="0"/>
          <w:numId w:val="19"/>
        </w:numPr>
        <w:ind w:left="0" w:firstLine="0"/>
        <w:rPr>
          <w:b w:val="0"/>
          <w:bCs/>
        </w:rPr>
      </w:pPr>
      <w:r>
        <w:rPr>
          <w:rFonts w:hint="eastAsia"/>
          <w:b w:val="0"/>
          <w:bCs/>
        </w:rPr>
        <w:t>拟投标人的直接或间接股东、法定代表人、董事、监事、高管非重汽员工及其亲属；</w:t>
      </w:r>
    </w:p>
    <w:p>
      <w:pPr>
        <w:pStyle w:val="77"/>
        <w:numPr>
          <w:ilvl w:val="0"/>
          <w:numId w:val="19"/>
        </w:numPr>
        <w:ind w:left="0" w:firstLine="0"/>
        <w:rPr>
          <w:b w:val="0"/>
          <w:bCs/>
        </w:rPr>
      </w:pPr>
      <w:r>
        <w:rPr>
          <w:rFonts w:hint="eastAsia"/>
          <w:b w:val="0"/>
          <w:bCs/>
        </w:rPr>
        <w:t>投标人必须是最终投标、签订合同的单位，不得以任何理由将已中标项目以任何形式转包或者分包给其他单位；</w:t>
      </w:r>
    </w:p>
    <w:p>
      <w:pPr>
        <w:pStyle w:val="77"/>
        <w:numPr>
          <w:ilvl w:val="0"/>
          <w:numId w:val="19"/>
        </w:numPr>
        <w:ind w:left="0" w:firstLine="0"/>
        <w:rPr>
          <w:b w:val="0"/>
          <w:bCs/>
        </w:rPr>
      </w:pPr>
      <w:r>
        <w:rPr>
          <w:rFonts w:hint="eastAsia"/>
          <w:b w:val="0"/>
          <w:bCs/>
        </w:rPr>
        <w:t>本次招标项目</w:t>
      </w:r>
      <w:r>
        <w:rPr>
          <w:rFonts w:hint="eastAsia"/>
          <w:b w:val="0"/>
          <w:bCs/>
          <w:highlight w:val="yellow"/>
        </w:rPr>
        <w:t>不接受</w:t>
      </w:r>
      <w:r>
        <w:rPr>
          <w:rFonts w:hint="eastAsia"/>
          <w:b w:val="0"/>
          <w:bCs/>
        </w:rPr>
        <w:t>联合体投标；</w:t>
      </w:r>
    </w:p>
    <w:p>
      <w:pPr>
        <w:pStyle w:val="77"/>
        <w:numPr>
          <w:ilvl w:val="0"/>
          <w:numId w:val="19"/>
        </w:numPr>
        <w:ind w:left="0" w:firstLine="0"/>
        <w:rPr>
          <w:rFonts w:hint="eastAsia" w:ascii="宋体" w:eastAsia="宋体" w:cs="Times New Roman"/>
          <w:b w:val="0"/>
          <w:bCs/>
        </w:rPr>
      </w:pPr>
      <w:r>
        <w:rPr>
          <w:rFonts w:hint="eastAsia"/>
          <w:b w:val="0"/>
          <w:bCs/>
        </w:rPr>
        <w:t>法律、行政法规规定的其他条件；</w:t>
      </w:r>
    </w:p>
    <w:p>
      <w:pPr>
        <w:pStyle w:val="77"/>
        <w:numPr>
          <w:ilvl w:val="0"/>
          <w:numId w:val="19"/>
        </w:numPr>
        <w:ind w:left="0" w:firstLine="0"/>
        <w:rPr>
          <w:rFonts w:hint="default" w:ascii="宋体" w:eastAsia="宋体" w:cs="Times New Roman"/>
          <w:b w:val="0"/>
          <w:bCs/>
          <w:lang w:val="en-US" w:eastAsia="zh-CN"/>
        </w:rPr>
      </w:pPr>
      <w:r>
        <w:rPr>
          <w:rFonts w:hint="eastAsia" w:ascii="宋体" w:eastAsia="宋体" w:cs="Times New Roman"/>
          <w:b w:val="0"/>
          <w:bCs/>
        </w:rPr>
        <w:t>投标人须具备ISO27001信息技术服务管理体系认证证书、IS020000信息技术服务管理体系认证证书</w:t>
      </w:r>
      <w:r>
        <w:rPr>
          <w:rFonts w:hint="eastAsia" w:ascii="宋体" w:eastAsia="宋体" w:cs="Times New Roman"/>
          <w:b w:val="0"/>
          <w:bCs/>
          <w:lang w:eastAsia="zh-CN"/>
        </w:rPr>
        <w:t>；</w:t>
      </w:r>
    </w:p>
    <w:p>
      <w:pPr>
        <w:pStyle w:val="77"/>
        <w:numPr>
          <w:ilvl w:val="0"/>
          <w:numId w:val="19"/>
        </w:numPr>
        <w:ind w:left="0" w:firstLine="0"/>
        <w:rPr>
          <w:rFonts w:hint="default" w:ascii="宋体" w:eastAsia="宋体" w:cs="Times New Roman"/>
          <w:b w:val="0"/>
          <w:bCs/>
          <w:lang w:val="en-US" w:eastAsia="zh-CN"/>
        </w:rPr>
      </w:pPr>
      <w:r>
        <w:rPr>
          <w:rFonts w:hint="eastAsia" w:ascii="宋体" w:eastAsia="宋体" w:cs="Times New Roman"/>
          <w:b w:val="0"/>
          <w:bCs/>
          <w:lang w:val="en-US" w:eastAsia="zh-CN"/>
        </w:rPr>
        <w:t>不允许代理商投标。</w:t>
      </w:r>
    </w:p>
    <w:p>
      <w:pPr>
        <w:pStyle w:val="77"/>
        <w:numPr>
          <w:ilvl w:val="0"/>
          <w:numId w:val="19"/>
        </w:numPr>
        <w:ind w:left="0" w:firstLine="0"/>
        <w:rPr>
          <w:rFonts w:hint="default" w:ascii="宋体" w:eastAsia="宋体" w:cs="Times New Roman"/>
          <w:b w:val="0"/>
          <w:bCs/>
          <w:lang w:val="en-US" w:eastAsia="zh-CN"/>
        </w:rPr>
        <w:sectPr>
          <w:headerReference r:id="rId16" w:type="first"/>
          <w:headerReference r:id="rId15" w:type="default"/>
          <w:pgSz w:w="11906" w:h="16838"/>
          <w:pgMar w:top="1701" w:right="1418" w:bottom="1134" w:left="1418" w:header="851" w:footer="992" w:gutter="0"/>
          <w:pgNumType w:fmt="decimal"/>
          <w:cols w:space="720" w:num="1"/>
          <w:titlePg/>
          <w:docGrid w:type="lines" w:linePitch="312" w:charSpace="0"/>
        </w:sectPr>
      </w:pPr>
      <w:r>
        <w:rPr>
          <w:rFonts w:hint="default" w:ascii="宋体" w:eastAsia="宋体" w:cs="Times New Roman"/>
          <w:b w:val="0"/>
          <w:bCs/>
          <w:lang w:val="en-US" w:eastAsia="zh-CN"/>
        </w:rPr>
        <w:t>投标人须具备</w:t>
      </w:r>
      <w:r>
        <w:rPr>
          <w:rFonts w:hint="eastAsia" w:ascii="宋体" w:eastAsia="宋体" w:cs="Times New Roman"/>
          <w:b w:val="0"/>
          <w:bCs/>
          <w:highlight w:val="yellow"/>
          <w:lang w:val="en-US" w:eastAsia="zh-CN"/>
        </w:rPr>
        <w:t>5</w:t>
      </w:r>
      <w:r>
        <w:rPr>
          <w:rFonts w:hint="default" w:ascii="宋体" w:eastAsia="宋体" w:cs="Times New Roman"/>
          <w:b w:val="0"/>
          <w:bCs/>
          <w:lang w:val="en-US" w:eastAsia="zh-CN"/>
        </w:rPr>
        <w:t>个以上SAP</w:t>
      </w:r>
      <w:r>
        <w:rPr>
          <w:rFonts w:hint="eastAsia" w:ascii="宋体" w:eastAsia="宋体" w:cs="Times New Roman"/>
          <w:b w:val="0"/>
          <w:bCs/>
          <w:lang w:val="en-US" w:eastAsia="zh-CN"/>
        </w:rPr>
        <w:t>产品</w:t>
      </w:r>
      <w:r>
        <w:rPr>
          <w:rFonts w:hint="default" w:ascii="宋体" w:eastAsia="宋体" w:cs="Times New Roman"/>
          <w:b w:val="0"/>
          <w:bCs/>
          <w:lang w:val="en-US" w:eastAsia="zh-CN"/>
        </w:rPr>
        <w:t>运维服务案例。</w:t>
      </w:r>
    </w:p>
    <w:p>
      <w:pPr>
        <w:pStyle w:val="76"/>
        <w:rPr>
          <w:rFonts w:hint="eastAsia"/>
        </w:rPr>
      </w:pPr>
      <w:r>
        <w:rPr>
          <w:rFonts w:hint="eastAsia"/>
        </w:rPr>
        <w:t>招标文件的领取、答疑、应标及投标报名</w:t>
      </w:r>
    </w:p>
    <w:p>
      <w:pPr>
        <w:pStyle w:val="80"/>
        <w:numPr>
          <w:ilvl w:val="0"/>
          <w:numId w:val="20"/>
        </w:numPr>
        <w:jc w:val="both"/>
        <w:rPr>
          <w:color w:val="C00000"/>
          <w:highlight w:val="none"/>
        </w:rPr>
      </w:pPr>
      <w:r>
        <w:rPr>
          <w:rFonts w:hint="eastAsia"/>
          <w:color w:val="C00000"/>
          <w:highlight w:val="none"/>
        </w:rPr>
        <w:t>发标时间：20</w:t>
      </w:r>
      <w:r>
        <w:rPr>
          <w:rFonts w:hint="eastAsia"/>
          <w:color w:val="C00000"/>
          <w:highlight w:val="none"/>
          <w:lang w:val="en-US" w:eastAsia="zh-CN"/>
        </w:rPr>
        <w:t>25</w:t>
      </w:r>
      <w:r>
        <w:rPr>
          <w:rFonts w:hint="eastAsia"/>
          <w:color w:val="C00000"/>
          <w:highlight w:val="none"/>
        </w:rPr>
        <w:t>年</w:t>
      </w:r>
      <w:r>
        <w:rPr>
          <w:rFonts w:hint="eastAsia"/>
          <w:color w:val="C00000"/>
          <w:highlight w:val="none"/>
          <w:lang w:val="en-US" w:eastAsia="zh-CN"/>
        </w:rPr>
        <w:t>11</w:t>
      </w:r>
      <w:r>
        <w:rPr>
          <w:rFonts w:hint="eastAsia"/>
          <w:color w:val="C00000"/>
          <w:highlight w:val="none"/>
        </w:rPr>
        <w:t>月</w:t>
      </w:r>
      <w:r>
        <w:rPr>
          <w:rFonts w:hint="eastAsia"/>
          <w:color w:val="C00000"/>
          <w:highlight w:val="none"/>
          <w:lang w:val="en-US" w:eastAsia="zh-CN"/>
        </w:rPr>
        <w:t>29</w:t>
      </w:r>
      <w:r>
        <w:rPr>
          <w:rFonts w:hint="eastAsia"/>
          <w:color w:val="C00000"/>
          <w:highlight w:val="none"/>
        </w:rPr>
        <w:t>日</w:t>
      </w:r>
      <w:r>
        <w:rPr>
          <w:rFonts w:hint="eastAsia"/>
          <w:color w:val="C00000"/>
          <w:highlight w:val="none"/>
          <w:lang w:eastAsia="zh-CN"/>
        </w:rPr>
        <w:t>。</w:t>
      </w:r>
    </w:p>
    <w:p>
      <w:pPr>
        <w:pStyle w:val="80"/>
        <w:numPr>
          <w:ilvl w:val="0"/>
          <w:numId w:val="20"/>
        </w:numPr>
        <w:jc w:val="both"/>
        <w:rPr>
          <w:color w:val="C00000"/>
          <w:highlight w:val="none"/>
        </w:rPr>
      </w:pPr>
      <w:r>
        <w:rPr>
          <w:rFonts w:hint="eastAsia"/>
          <w:color w:val="C00000"/>
          <w:highlight w:val="none"/>
        </w:rPr>
        <w:t>招标文件领取方式、地点及领取截止时间</w:t>
      </w:r>
      <w:r>
        <w:rPr>
          <w:rFonts w:hint="eastAsia"/>
          <w:color w:val="C00000"/>
          <w:highlight w:val="none"/>
          <w:lang w:eastAsia="zh-CN"/>
        </w:rPr>
        <w:t>：</w:t>
      </w:r>
      <w:r>
        <w:rPr>
          <w:rFonts w:hint="eastAsia"/>
          <w:color w:val="000000" w:themeColor="text1"/>
          <w:highlight w:val="none"/>
          <w14:textFill>
            <w14:solidFill>
              <w14:schemeClr w14:val="tx1"/>
            </w14:solidFill>
          </w14:textFill>
        </w:rPr>
        <w:t>招标文件采取电子版文件，通过电子邮箱方式发送。</w:t>
      </w:r>
    </w:p>
    <w:p>
      <w:pPr>
        <w:pStyle w:val="80"/>
        <w:numPr>
          <w:ilvl w:val="0"/>
          <w:numId w:val="20"/>
        </w:numPr>
        <w:jc w:val="both"/>
        <w:rPr>
          <w:color w:val="C00000"/>
          <w:highlight w:val="none"/>
        </w:rPr>
      </w:pPr>
      <w:r>
        <w:rPr>
          <w:rFonts w:hint="eastAsia"/>
          <w:color w:val="C00000"/>
          <w:highlight w:val="none"/>
        </w:rPr>
        <w:t>答疑时间：20</w:t>
      </w:r>
      <w:r>
        <w:rPr>
          <w:rFonts w:hint="eastAsia"/>
          <w:color w:val="C00000"/>
          <w:highlight w:val="none"/>
          <w:lang w:val="en-US" w:eastAsia="zh-CN"/>
        </w:rPr>
        <w:t>25</w:t>
      </w:r>
      <w:r>
        <w:rPr>
          <w:rFonts w:hint="eastAsia"/>
          <w:color w:val="C00000"/>
          <w:highlight w:val="none"/>
        </w:rPr>
        <w:t>年</w:t>
      </w:r>
      <w:r>
        <w:rPr>
          <w:rFonts w:hint="eastAsia"/>
          <w:color w:val="C00000"/>
          <w:highlight w:val="none"/>
          <w:lang w:val="en-US" w:eastAsia="zh-CN"/>
        </w:rPr>
        <w:t>12</w:t>
      </w:r>
      <w:r>
        <w:rPr>
          <w:rFonts w:hint="eastAsia"/>
          <w:color w:val="C00000"/>
          <w:highlight w:val="none"/>
        </w:rPr>
        <w:t>月</w:t>
      </w:r>
      <w:r>
        <w:rPr>
          <w:rFonts w:hint="eastAsia"/>
          <w:color w:val="C00000"/>
          <w:highlight w:val="none"/>
          <w:lang w:val="en-US" w:eastAsia="zh-CN"/>
        </w:rPr>
        <w:t>5</w:t>
      </w:r>
      <w:r>
        <w:rPr>
          <w:rFonts w:hint="eastAsia"/>
          <w:color w:val="C00000"/>
          <w:highlight w:val="none"/>
        </w:rPr>
        <w:t>日前</w:t>
      </w:r>
    </w:p>
    <w:p>
      <w:pPr>
        <w:pStyle w:val="80"/>
        <w:numPr>
          <w:ilvl w:val="0"/>
          <w:numId w:val="20"/>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pPr>
        <w:pStyle w:val="80"/>
        <w:numPr>
          <w:ilvl w:val="0"/>
          <w:numId w:val="20"/>
        </w:numPr>
        <w:jc w:val="both"/>
        <w:rPr>
          <w:rFonts w:hint="eastAsia" w:ascii="宋体" w:eastAsia="宋体"/>
          <w:color w:val="C00000"/>
          <w:highlight w:val="none"/>
          <w:lang w:val="en-US" w:eastAsia="zh-CN"/>
        </w:rPr>
      </w:pPr>
      <w:r>
        <w:rPr>
          <w:rFonts w:hint="eastAsia" w:ascii="宋体" w:eastAsia="宋体"/>
          <w:color w:val="C00000"/>
          <w:highlight w:val="none"/>
          <w:lang w:val="en-US" w:eastAsia="zh-CN"/>
        </w:rPr>
        <w:t>领取答疑、澄清和修改文件时间：2025年1</w:t>
      </w:r>
      <w:r>
        <w:rPr>
          <w:rFonts w:hint="eastAsia"/>
          <w:color w:val="C00000"/>
          <w:highlight w:val="none"/>
          <w:lang w:val="en-US" w:eastAsia="zh-CN"/>
        </w:rPr>
        <w:t>2</w:t>
      </w:r>
      <w:r>
        <w:rPr>
          <w:rFonts w:hint="eastAsia" w:ascii="宋体" w:eastAsia="宋体"/>
          <w:color w:val="C00000"/>
          <w:highlight w:val="none"/>
          <w:lang w:val="en-US" w:eastAsia="zh-CN"/>
        </w:rPr>
        <w:t>月</w:t>
      </w:r>
      <w:r>
        <w:rPr>
          <w:rFonts w:hint="eastAsia"/>
          <w:color w:val="C00000"/>
          <w:highlight w:val="none"/>
          <w:lang w:val="en-US" w:eastAsia="zh-CN"/>
        </w:rPr>
        <w:t>5</w:t>
      </w:r>
      <w:r>
        <w:rPr>
          <w:rFonts w:hint="eastAsia" w:ascii="宋体" w:eastAsia="宋体"/>
          <w:color w:val="C00000"/>
          <w:highlight w:val="none"/>
          <w:lang w:val="en-US" w:eastAsia="zh-CN"/>
        </w:rPr>
        <w:t>日前：</w:t>
      </w:r>
    </w:p>
    <w:p>
      <w:pPr>
        <w:pStyle w:val="80"/>
        <w:numPr>
          <w:ilvl w:val="0"/>
          <w:numId w:val="20"/>
        </w:numPr>
        <w:ind w:left="0" w:firstLine="0"/>
        <w:jc w:val="both"/>
      </w:pPr>
      <w:r>
        <w:rPr>
          <w:rFonts w:hint="eastAsia"/>
        </w:rPr>
        <w:t>答疑、澄清和修改文件方式：招标人将以电子邮件的方式将招标文件的答疑澄清文件发送至答疑文件提交时登记的电子邮箱。</w:t>
      </w:r>
    </w:p>
    <w:p>
      <w:pPr>
        <w:pStyle w:val="80"/>
        <w:numPr>
          <w:ilvl w:val="0"/>
          <w:numId w:val="20"/>
        </w:numPr>
        <w:jc w:val="both"/>
        <w:rPr>
          <w:rFonts w:hint="eastAsia" w:ascii="宋体" w:eastAsia="宋体"/>
          <w:color w:val="C00000"/>
          <w:highlight w:val="none"/>
          <w:lang w:val="en-US" w:eastAsia="zh-CN"/>
        </w:rPr>
      </w:pPr>
      <w:r>
        <w:rPr>
          <w:rFonts w:hint="eastAsia"/>
          <w:color w:val="000000" w:themeColor="text1"/>
          <w:highlight w:val="none"/>
          <w14:textFill>
            <w14:solidFill>
              <w14:schemeClr w14:val="tx1"/>
            </w14:solidFill>
          </w14:textFill>
        </w:rPr>
        <w:t>报名方式</w:t>
      </w:r>
      <w:r>
        <w:rPr>
          <w:rFonts w:hint="eastAsia"/>
          <w:color w:val="000000" w:themeColor="text1"/>
          <w:highlight w:val="none"/>
          <w:lang w:eastAsia="zh-CN"/>
          <w14:textFill>
            <w14:solidFill>
              <w14:schemeClr w14:val="tx1"/>
            </w14:solidFill>
          </w14:textFill>
        </w:rPr>
        <w:t>：将附表</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lang w:eastAsia="zh-CN"/>
          <w14:textFill>
            <w14:solidFill>
              <w14:schemeClr w14:val="tx1"/>
            </w14:solidFill>
          </w14:textFill>
        </w:rPr>
        <w:t>填写完毕后，加盖公章，扫</w:t>
      </w:r>
      <w:r>
        <w:rPr>
          <w:rFonts w:hint="eastAsia"/>
          <w:color w:val="C00000"/>
          <w:highlight w:val="none"/>
          <w:lang w:eastAsia="zh-CN"/>
        </w:rPr>
        <w:t>描成PDF</w:t>
      </w:r>
      <w:r>
        <w:rPr>
          <w:rFonts w:hint="eastAsia"/>
          <w:color w:val="C00000"/>
          <w:highlight w:val="none"/>
          <w:lang w:val="en-US" w:eastAsia="zh-CN"/>
        </w:rPr>
        <w:t>提交至e采通系统。</w:t>
      </w:r>
    </w:p>
    <w:p>
      <w:pPr>
        <w:pStyle w:val="80"/>
        <w:numPr>
          <w:ilvl w:val="0"/>
          <w:numId w:val="20"/>
        </w:numPr>
        <w:jc w:val="both"/>
        <w:rPr>
          <w:rFonts w:hint="eastAsia" w:ascii="宋体" w:eastAsia="宋体"/>
          <w:color w:val="C00000"/>
          <w:highlight w:val="none"/>
          <w:lang w:val="en-US" w:eastAsia="zh-CN"/>
        </w:rPr>
      </w:pPr>
      <w:r>
        <w:rPr>
          <w:rFonts w:hint="eastAsia" w:ascii="宋体" w:eastAsia="宋体"/>
          <w:color w:val="C00000"/>
          <w:highlight w:val="none"/>
          <w:lang w:val="en-US" w:eastAsia="zh-CN"/>
        </w:rPr>
        <w:t>应标截止时间：2025年1</w:t>
      </w:r>
      <w:r>
        <w:rPr>
          <w:rFonts w:hint="eastAsia"/>
          <w:color w:val="C00000"/>
          <w:highlight w:val="none"/>
          <w:lang w:val="en-US" w:eastAsia="zh-CN"/>
        </w:rPr>
        <w:t>2</w:t>
      </w:r>
      <w:r>
        <w:rPr>
          <w:rFonts w:hint="eastAsia" w:ascii="宋体" w:eastAsia="宋体"/>
          <w:color w:val="C00000"/>
          <w:highlight w:val="none"/>
          <w:lang w:val="en-US" w:eastAsia="zh-CN"/>
        </w:rPr>
        <w:t>月</w:t>
      </w:r>
      <w:r>
        <w:rPr>
          <w:rFonts w:hint="eastAsia"/>
          <w:color w:val="C00000"/>
          <w:highlight w:val="none"/>
          <w:lang w:val="en-US" w:eastAsia="zh-CN"/>
        </w:rPr>
        <w:t>5</w:t>
      </w:r>
      <w:r>
        <w:rPr>
          <w:rFonts w:hint="eastAsia" w:ascii="宋体" w:eastAsia="宋体"/>
          <w:color w:val="C00000"/>
          <w:highlight w:val="none"/>
          <w:lang w:val="en-US" w:eastAsia="zh-CN"/>
        </w:rPr>
        <w:t>日下午5点前，逾期不受理</w:t>
      </w:r>
    </w:p>
    <w:p>
      <w:pPr>
        <w:pStyle w:val="76"/>
        <w:rPr>
          <w:rFonts w:ascii="宋体" w:eastAsia="宋体"/>
        </w:rPr>
      </w:pPr>
      <w:r>
        <w:rPr>
          <w:rFonts w:hint="eastAsia"/>
        </w:rPr>
        <w:t>投标文件编制</w:t>
      </w:r>
    </w:p>
    <w:p>
      <w:pPr>
        <w:pStyle w:val="77"/>
        <w:numPr>
          <w:ilvl w:val="0"/>
          <w:numId w:val="21"/>
        </w:numPr>
        <w:ind w:firstLine="0"/>
        <w:rPr>
          <w:b w:val="0"/>
        </w:rPr>
      </w:pPr>
      <w:r>
        <w:rPr>
          <w:rFonts w:hint="eastAsia"/>
          <w:b w:val="0"/>
        </w:rPr>
        <w:t>投标文件的组成</w:t>
      </w:r>
    </w:p>
    <w:p>
      <w:pPr>
        <w:pStyle w:val="77"/>
        <w:numPr>
          <w:ilvl w:val="0"/>
          <w:numId w:val="0"/>
        </w:numPr>
        <w:rPr>
          <w:b w:val="0"/>
          <w:bCs/>
        </w:rPr>
      </w:pPr>
      <w:r>
        <w:rPr>
          <w:rFonts w:hint="eastAsia"/>
          <w:b w:val="0"/>
          <w:bCs/>
        </w:rPr>
        <w:t>投标人编写的投标文件由《投标文件（资质标）》、</w:t>
      </w:r>
      <w:r>
        <w:rPr>
          <w:rFonts w:hint="eastAsia" w:ascii="宋体" w:hAnsi="Courier New" w:eastAsia="宋体" w:cs="Times New Roman"/>
          <w:b w:val="0"/>
          <w:bCs/>
          <w:highlight w:val="none"/>
          <w:lang w:val="en-US" w:eastAsia="zh-CN"/>
        </w:rPr>
        <w:t>《投标文件（技术标）》</w:t>
      </w:r>
      <w:r>
        <w:rPr>
          <w:rFonts w:hint="eastAsia"/>
          <w:b w:val="0"/>
          <w:bCs/>
          <w:lang w:eastAsia="zh-CN"/>
        </w:rPr>
        <w:t>、</w:t>
      </w:r>
      <w:r>
        <w:rPr>
          <w:rFonts w:hint="eastAsia"/>
          <w:b w:val="0"/>
          <w:bCs/>
        </w:rPr>
        <w:t>《投标文件（商务标）》（开标一览表）文件组成，共计</w:t>
      </w:r>
      <w:r>
        <w:rPr>
          <w:rFonts w:hint="eastAsia"/>
          <w:b w:val="0"/>
          <w:bCs/>
          <w:lang w:val="en-US" w:eastAsia="zh-CN"/>
        </w:rPr>
        <w:t>3</w:t>
      </w:r>
      <w:r>
        <w:rPr>
          <w:rFonts w:hint="eastAsia"/>
          <w:b w:val="0"/>
          <w:bCs/>
        </w:rPr>
        <w:t>个文件。</w:t>
      </w:r>
    </w:p>
    <w:p>
      <w:pPr>
        <w:pStyle w:val="78"/>
        <w:numPr>
          <w:ilvl w:val="0"/>
          <w:numId w:val="22"/>
        </w:numPr>
        <w:rPr>
          <w:b w:val="0"/>
          <w:bCs/>
        </w:rPr>
      </w:pPr>
      <w:r>
        <w:rPr>
          <w:rFonts w:hint="eastAsia"/>
          <w:b w:val="0"/>
          <w:bCs/>
        </w:rPr>
        <w:t>资质文件：</w:t>
      </w:r>
    </w:p>
    <w:p>
      <w:pPr>
        <w:pStyle w:val="79"/>
        <w:numPr>
          <w:ilvl w:val="0"/>
          <w:numId w:val="23"/>
        </w:numPr>
        <w:rPr>
          <w:bCs/>
        </w:rPr>
      </w:pPr>
      <w:r>
        <w:rPr>
          <w:rFonts w:hint="eastAsia"/>
          <w:bCs/>
        </w:rPr>
        <w:t>法定代表人身份证明；</w:t>
      </w:r>
    </w:p>
    <w:p>
      <w:pPr>
        <w:pStyle w:val="79"/>
        <w:numPr>
          <w:ilvl w:val="0"/>
          <w:numId w:val="23"/>
        </w:numPr>
        <w:rPr>
          <w:bCs/>
        </w:rPr>
      </w:pPr>
      <w:r>
        <w:rPr>
          <w:rFonts w:hint="eastAsia"/>
          <w:bCs/>
        </w:rPr>
        <w:t>法定代表人授权委托书（授权人需带身份证原件）；</w:t>
      </w:r>
    </w:p>
    <w:p>
      <w:pPr>
        <w:pStyle w:val="79"/>
        <w:numPr>
          <w:ilvl w:val="0"/>
          <w:numId w:val="23"/>
        </w:numPr>
        <w:rPr>
          <w:bCs/>
        </w:rPr>
      </w:pPr>
      <w:r>
        <w:rPr>
          <w:rFonts w:hint="eastAsia"/>
          <w:bCs/>
        </w:rPr>
        <w:t>营业执照副本原件或复印件并加盖公章；</w:t>
      </w:r>
    </w:p>
    <w:p>
      <w:pPr>
        <w:pStyle w:val="79"/>
        <w:numPr>
          <w:ilvl w:val="0"/>
          <w:numId w:val="23"/>
        </w:numPr>
        <w:ind w:left="0" w:firstLine="0"/>
        <w:rPr>
          <w:bCs/>
        </w:rPr>
      </w:pPr>
      <w:r>
        <w:rPr>
          <w:rFonts w:hint="eastAsia"/>
          <w:bCs/>
        </w:rPr>
        <w:t>经会计师事务所审计且出具无保留意见的近三年的财务审计报告，并加盖公章，包括但不限于报告页、经审计的资产负债表、利润表、现金流量表。如投标人公司没有经审计的财务报告，可提供加盖公章的近三年财务报表，包括但不限于资产负债表、利润表、现金流量表及报表附注。应提供中文版本的审计报告或财务报表；</w:t>
      </w:r>
    </w:p>
    <w:p>
      <w:pPr>
        <w:pStyle w:val="79"/>
        <w:numPr>
          <w:ilvl w:val="0"/>
          <w:numId w:val="23"/>
        </w:numPr>
        <w:rPr>
          <w:bCs/>
        </w:rPr>
      </w:pPr>
      <w:r>
        <w:rPr>
          <w:rFonts w:hint="eastAsia"/>
          <w:bCs/>
        </w:rPr>
        <w:t>企业最近半年完税证明、信用证明材料（征信报告）；</w:t>
      </w:r>
    </w:p>
    <w:p>
      <w:pPr>
        <w:pStyle w:val="79"/>
        <w:numPr>
          <w:ilvl w:val="0"/>
          <w:numId w:val="23"/>
        </w:numPr>
        <w:rPr>
          <w:bCs/>
        </w:rPr>
      </w:pPr>
      <w:r>
        <w:rPr>
          <w:rFonts w:hint="eastAsia"/>
          <w:bCs/>
        </w:rPr>
        <w:t>年度纳税信用评价信息（可从电子税务局查询截图，需加盖公章）；</w:t>
      </w:r>
    </w:p>
    <w:p>
      <w:pPr>
        <w:pStyle w:val="79"/>
        <w:numPr>
          <w:ilvl w:val="0"/>
          <w:numId w:val="23"/>
        </w:numPr>
        <w:rPr>
          <w:bCs/>
        </w:rPr>
      </w:pPr>
      <w:r>
        <w:rPr>
          <w:rFonts w:hint="eastAsia"/>
          <w:bCs/>
        </w:rPr>
        <w:t>信用中国截图或国家企业信用信息公示系统截图；</w:t>
      </w:r>
    </w:p>
    <w:p>
      <w:pPr>
        <w:pStyle w:val="79"/>
        <w:numPr>
          <w:ilvl w:val="0"/>
          <w:numId w:val="23"/>
        </w:numPr>
        <w:ind w:left="0" w:firstLine="0"/>
        <w:rPr>
          <w:rFonts w:hint="eastAsia" w:ascii="宋体" w:eastAsia="宋体" w:cs="Times New Roman"/>
          <w:bCs/>
          <w:color w:val="000000" w:themeColor="text1"/>
          <w:highlight w:val="none"/>
          <w14:textFill>
            <w14:solidFill>
              <w14:schemeClr w14:val="tx1"/>
            </w14:solidFill>
          </w14:textFill>
        </w:rPr>
      </w:pPr>
      <w:r>
        <w:rPr>
          <w:rFonts w:hint="eastAsia" w:ascii="宋体" w:eastAsia="宋体" w:cs="Times New Roman"/>
          <w:bCs/>
          <w:color w:val="000000" w:themeColor="text1"/>
          <w:highlight w:val="none"/>
          <w14:textFill>
            <w14:solidFill>
              <w14:schemeClr w14:val="tx1"/>
            </w14:solidFill>
          </w14:textFill>
        </w:rPr>
        <w:t>ISO27001、IS020000认证证书</w:t>
      </w:r>
      <w:r>
        <w:rPr>
          <w:rFonts w:hint="eastAsia" w:ascii="宋体" w:eastAsia="宋体" w:cs="Times New Roman"/>
          <w:bCs/>
          <w:color w:val="000000" w:themeColor="text1"/>
          <w:highlight w:val="none"/>
          <w:lang w:eastAsia="zh-CN"/>
          <w14:textFill>
            <w14:solidFill>
              <w14:schemeClr w14:val="tx1"/>
            </w14:solidFill>
          </w14:textFill>
        </w:rPr>
        <w:t>；</w:t>
      </w:r>
    </w:p>
    <w:p>
      <w:pPr>
        <w:pStyle w:val="79"/>
        <w:numPr>
          <w:ilvl w:val="0"/>
          <w:numId w:val="23"/>
        </w:numPr>
        <w:rPr>
          <w:bCs/>
        </w:rPr>
      </w:pPr>
      <w:r>
        <w:rPr>
          <w:rFonts w:hint="eastAsia"/>
          <w:bCs/>
        </w:rPr>
        <w:t>招标文件中要求的其它资格证明文件。</w:t>
      </w:r>
    </w:p>
    <w:p>
      <w:pPr>
        <w:pStyle w:val="79"/>
        <w:numPr>
          <w:ilvl w:val="0"/>
          <w:numId w:val="24"/>
        </w:numPr>
        <w:ind w:left="10" w:firstLine="0"/>
        <w:rPr>
          <w:bCs/>
        </w:rPr>
      </w:pPr>
      <w:r>
        <w:rPr>
          <w:rFonts w:hint="eastAsia"/>
          <w:bCs/>
        </w:rPr>
        <w:t>对于投标人资质审核不通过的，招标人有权拒绝其投标。</w:t>
      </w:r>
    </w:p>
    <w:p>
      <w:pPr>
        <w:pStyle w:val="78"/>
        <w:numPr>
          <w:ilvl w:val="0"/>
          <w:numId w:val="22"/>
        </w:numPr>
        <w:ind w:left="425" w:leftChars="0" w:hanging="425" w:firstLineChars="0"/>
        <w:rPr>
          <w:b w:val="0"/>
          <w:bCs/>
          <w:highlight w:val="yellow"/>
        </w:rPr>
      </w:pPr>
      <w:r>
        <w:rPr>
          <w:rFonts w:hint="eastAsia" w:cs="Times New Roman"/>
          <w:b w:val="0"/>
          <w:bCs/>
          <w:highlight w:val="yellow"/>
        </w:rPr>
        <w:t>技术标：</w:t>
      </w:r>
    </w:p>
    <w:p>
      <w:pPr>
        <w:pStyle w:val="79"/>
        <w:widowControl w:val="0"/>
        <w:numPr>
          <w:ilvl w:val="0"/>
          <w:numId w:val="25"/>
        </w:numPr>
        <w:spacing w:line="360" w:lineRule="auto"/>
        <w:ind w:left="425" w:leftChars="0" w:hanging="425" w:firstLineChars="0"/>
        <w:jc w:val="both"/>
        <w:outlineLvl w:val="4"/>
        <w:rPr>
          <w:rFonts w:hint="eastAsia" w:eastAsia="宋体"/>
          <w:b w:val="0"/>
          <w:bCs/>
          <w:highlight w:val="none"/>
          <w:lang w:eastAsia="zh-CN"/>
        </w:rPr>
      </w:pPr>
      <w:r>
        <w:rPr>
          <w:rFonts w:hint="eastAsia"/>
          <w:b w:val="0"/>
          <w:bCs/>
          <w:highlight w:val="none"/>
          <w:lang w:eastAsia="zh-CN"/>
        </w:rPr>
        <w:t>运维服务范围与内容：</w:t>
      </w:r>
      <w:r>
        <w:rPr>
          <w:rFonts w:hint="eastAsia"/>
          <w:b w:val="0"/>
          <w:bCs/>
          <w:highlight w:val="none"/>
          <w:lang w:val="en-US" w:eastAsia="zh-CN"/>
        </w:rPr>
        <w:t>包括系统技术运维和业务应用运维；</w:t>
      </w:r>
    </w:p>
    <w:p>
      <w:pPr>
        <w:pStyle w:val="79"/>
        <w:widowControl w:val="0"/>
        <w:numPr>
          <w:ilvl w:val="0"/>
          <w:numId w:val="25"/>
        </w:numPr>
        <w:spacing w:line="360" w:lineRule="auto"/>
        <w:ind w:left="425" w:leftChars="0" w:hanging="425" w:firstLineChars="0"/>
        <w:jc w:val="both"/>
        <w:outlineLvl w:val="4"/>
        <w:rPr>
          <w:rFonts w:hint="eastAsia" w:eastAsia="宋体"/>
          <w:b w:val="0"/>
          <w:bCs/>
          <w:highlight w:val="none"/>
          <w:lang w:eastAsia="zh-CN"/>
        </w:rPr>
      </w:pPr>
      <w:r>
        <w:rPr>
          <w:rFonts w:hint="eastAsia" w:eastAsia="宋体"/>
          <w:b w:val="0"/>
          <w:bCs/>
          <w:highlight w:val="none"/>
          <w:lang w:eastAsia="zh-CN"/>
        </w:rPr>
        <w:t>服务团队与资源要求</w:t>
      </w:r>
      <w:r>
        <w:rPr>
          <w:rFonts w:hint="eastAsia"/>
          <w:b w:val="0"/>
          <w:bCs/>
          <w:highlight w:val="none"/>
          <w:lang w:eastAsia="zh-CN"/>
        </w:rPr>
        <w:t>。详细列出拟参与项目的所有团队成员，包括角色</w:t>
      </w:r>
      <w:r>
        <w:rPr>
          <w:rFonts w:hint="eastAsia"/>
          <w:b w:val="0"/>
          <w:bCs/>
          <w:highlight w:val="none"/>
          <w:lang w:val="en-US" w:eastAsia="zh-CN"/>
        </w:rPr>
        <w:t>与职责</w:t>
      </w:r>
      <w:r>
        <w:rPr>
          <w:rFonts w:hint="eastAsia"/>
          <w:b w:val="0"/>
          <w:bCs/>
          <w:highlight w:val="none"/>
          <w:lang w:eastAsia="zh-CN"/>
        </w:rPr>
        <w:t>、人员资质、人天单价及工作简历；</w:t>
      </w:r>
      <w:r>
        <w:rPr>
          <w:rFonts w:hint="eastAsia"/>
          <w:b w:val="0"/>
          <w:bCs/>
          <w:highlight w:val="none"/>
          <w:lang w:val="en-US" w:eastAsia="zh-CN"/>
        </w:rPr>
        <w:t>列出其将采用的服</w:t>
      </w:r>
      <w:r>
        <w:rPr>
          <w:rFonts w:hint="eastAsia" w:ascii="宋体" w:eastAsia="宋体"/>
          <w:b w:val="0"/>
          <w:bCs/>
          <w:highlight w:val="none"/>
          <w:lang w:val="en-US" w:eastAsia="zh-CN"/>
        </w:rPr>
        <w:t>务管理工具</w:t>
      </w:r>
      <w:r>
        <w:rPr>
          <w:rFonts w:hint="eastAsia" w:ascii="宋体" w:eastAsia="宋体"/>
          <w:b w:val="0"/>
          <w:bCs/>
          <w:highlight w:val="none"/>
          <w:lang w:eastAsia="zh-CN"/>
        </w:rPr>
        <w:t>与平台</w:t>
      </w:r>
      <w:r>
        <w:rPr>
          <w:rFonts w:hint="eastAsia"/>
          <w:b w:val="0"/>
          <w:bCs/>
          <w:highlight w:val="none"/>
          <w:lang w:val="en-US" w:eastAsia="zh-CN"/>
        </w:rPr>
        <w:t>；</w:t>
      </w:r>
    </w:p>
    <w:p>
      <w:pPr>
        <w:pStyle w:val="79"/>
        <w:widowControl w:val="0"/>
        <w:numPr>
          <w:ilvl w:val="0"/>
          <w:numId w:val="25"/>
        </w:numPr>
        <w:spacing w:line="360" w:lineRule="auto"/>
        <w:ind w:left="425" w:leftChars="0" w:hanging="425" w:firstLineChars="0"/>
        <w:jc w:val="both"/>
        <w:outlineLvl w:val="4"/>
        <w:rPr>
          <w:rFonts w:hint="eastAsia" w:eastAsia="宋体"/>
          <w:b w:val="0"/>
          <w:bCs/>
          <w:highlight w:val="none"/>
          <w:lang w:eastAsia="zh-CN"/>
        </w:rPr>
      </w:pPr>
      <w:r>
        <w:rPr>
          <w:rFonts w:hint="eastAsia" w:eastAsia="宋体"/>
          <w:b w:val="0"/>
          <w:bCs/>
          <w:highlight w:val="none"/>
          <w:lang w:eastAsia="zh-CN"/>
        </w:rPr>
        <w:t>同行业或相似行业的SAP运维服务项目案例介绍，并提供不少于</w:t>
      </w:r>
      <w:r>
        <w:rPr>
          <w:rFonts w:hint="eastAsia" w:eastAsia="宋体"/>
          <w:b w:val="0"/>
          <w:bCs/>
          <w:highlight w:val="none"/>
          <w:lang w:val="en-US" w:eastAsia="zh-CN"/>
        </w:rPr>
        <w:t>3</w:t>
      </w:r>
      <w:r>
        <w:rPr>
          <w:rFonts w:hint="eastAsia" w:eastAsia="宋体"/>
          <w:b w:val="0"/>
          <w:bCs/>
          <w:highlight w:val="none"/>
          <w:lang w:eastAsia="zh-CN"/>
        </w:rPr>
        <w:t>个成功案例</w:t>
      </w:r>
      <w:r>
        <w:rPr>
          <w:rFonts w:hint="eastAsia"/>
          <w:b w:val="0"/>
          <w:bCs/>
          <w:highlight w:val="none"/>
          <w:lang w:eastAsia="zh-CN"/>
        </w:rPr>
        <w:t>；</w:t>
      </w:r>
    </w:p>
    <w:p>
      <w:pPr>
        <w:pStyle w:val="79"/>
        <w:widowControl w:val="0"/>
        <w:numPr>
          <w:ilvl w:val="0"/>
          <w:numId w:val="25"/>
        </w:numPr>
        <w:spacing w:line="360" w:lineRule="auto"/>
        <w:ind w:left="425" w:leftChars="0" w:hanging="425" w:firstLineChars="0"/>
        <w:jc w:val="both"/>
        <w:outlineLvl w:val="4"/>
      </w:pPr>
      <w:r>
        <w:rPr>
          <w:rFonts w:hint="eastAsia" w:eastAsia="宋体"/>
          <w:b w:val="0"/>
          <w:bCs/>
          <w:highlight w:val="none"/>
          <w:lang w:eastAsia="zh-CN"/>
        </w:rPr>
        <w:t>项目管理与</w:t>
      </w:r>
      <w:r>
        <w:rPr>
          <w:rFonts w:hint="eastAsia"/>
          <w:b w:val="0"/>
          <w:bCs/>
          <w:highlight w:val="none"/>
          <w:lang w:val="en-US" w:eastAsia="zh-CN"/>
        </w:rPr>
        <w:t>服务</w:t>
      </w:r>
      <w:r>
        <w:rPr>
          <w:rFonts w:hint="eastAsia" w:eastAsia="宋体"/>
          <w:b w:val="0"/>
          <w:bCs/>
          <w:highlight w:val="none"/>
          <w:lang w:eastAsia="zh-CN"/>
        </w:rPr>
        <w:t>报告机制</w:t>
      </w:r>
      <w:r>
        <w:rPr>
          <w:rFonts w:hint="eastAsia"/>
          <w:b w:val="0"/>
          <w:bCs/>
          <w:highlight w:val="none"/>
          <w:lang w:val="en-US" w:eastAsia="zh-CN"/>
        </w:rPr>
        <w:t>.</w:t>
      </w:r>
    </w:p>
    <w:p>
      <w:pPr>
        <w:pStyle w:val="79"/>
        <w:widowControl w:val="0"/>
        <w:numPr>
          <w:ilvl w:val="0"/>
          <w:numId w:val="25"/>
        </w:numPr>
        <w:spacing w:line="360" w:lineRule="auto"/>
        <w:ind w:left="425" w:leftChars="0" w:hanging="425" w:firstLineChars="0"/>
        <w:jc w:val="both"/>
        <w:outlineLvl w:val="4"/>
      </w:pPr>
      <w:r>
        <w:rPr>
          <w:rFonts w:hint="eastAsia"/>
          <w:b w:val="0"/>
          <w:bCs/>
          <w:highlight w:val="none"/>
          <w:lang w:val="en-US" w:eastAsia="zh-CN"/>
        </w:rPr>
        <w:t>技术投标偏离表。</w:t>
      </w:r>
      <w:bookmarkStart w:id="76" w:name="_GoBack"/>
      <w:bookmarkEnd w:id="76"/>
    </w:p>
    <w:p>
      <w:pPr>
        <w:pStyle w:val="78"/>
        <w:numPr>
          <w:ilvl w:val="0"/>
          <w:numId w:val="22"/>
        </w:numPr>
        <w:rPr>
          <w:b w:val="0"/>
          <w:bCs/>
          <w:highlight w:val="yellow"/>
        </w:rPr>
      </w:pPr>
      <w:r>
        <w:rPr>
          <w:rFonts w:hint="eastAsia"/>
          <w:b w:val="0"/>
          <w:bCs/>
          <w:highlight w:val="yellow"/>
        </w:rPr>
        <w:t>商务标：</w:t>
      </w:r>
    </w:p>
    <w:p>
      <w:pPr>
        <w:pStyle w:val="79"/>
        <w:numPr>
          <w:ilvl w:val="0"/>
          <w:numId w:val="26"/>
        </w:numPr>
        <w:rPr>
          <w:rFonts w:hint="eastAsia"/>
          <w:bCs/>
          <w:highlight w:val="none"/>
          <w:lang w:eastAsia="zh-CN"/>
        </w:rPr>
      </w:pPr>
      <w:r>
        <w:rPr>
          <w:rFonts w:hint="eastAsia"/>
          <w:bCs/>
          <w:highlight w:val="none"/>
        </w:rPr>
        <w:t>开标一览表中所有报价均采用人民币报价</w:t>
      </w:r>
      <w:r>
        <w:rPr>
          <w:rFonts w:hint="eastAsia"/>
          <w:bCs/>
          <w:highlight w:val="none"/>
          <w:lang w:eastAsia="zh-CN"/>
        </w:rPr>
        <w:t>，其金额应包括：培训、实施、服务支持等一切费用。价格构成如下：</w:t>
      </w:r>
    </w:p>
    <w:p>
      <w:pPr>
        <w:pStyle w:val="79"/>
        <w:numPr>
          <w:ilvl w:val="0"/>
          <w:numId w:val="27"/>
        </w:numPr>
        <w:ind w:left="840" w:leftChars="0" w:hanging="420" w:firstLineChars="0"/>
        <w:rPr>
          <w:rFonts w:hint="eastAsia"/>
          <w:bCs/>
          <w:highlight w:val="none"/>
          <w:lang w:eastAsia="zh-CN"/>
        </w:rPr>
      </w:pPr>
      <w:r>
        <w:rPr>
          <w:rFonts w:hint="eastAsia"/>
          <w:bCs/>
          <w:highlight w:val="none"/>
          <w:lang w:val="en-US" w:eastAsia="zh-CN"/>
        </w:rPr>
        <w:t>系统基础运维费用：按基础服务包报价；</w:t>
      </w:r>
    </w:p>
    <w:p>
      <w:pPr>
        <w:pStyle w:val="79"/>
        <w:numPr>
          <w:ilvl w:val="0"/>
          <w:numId w:val="27"/>
        </w:numPr>
        <w:ind w:left="840" w:leftChars="0" w:hanging="420" w:firstLineChars="0"/>
        <w:rPr>
          <w:rFonts w:hint="eastAsia"/>
          <w:bCs/>
          <w:highlight w:val="none"/>
          <w:lang w:eastAsia="zh-CN"/>
        </w:rPr>
      </w:pPr>
      <w:r>
        <w:rPr>
          <w:rFonts w:hint="eastAsia"/>
          <w:bCs/>
          <w:highlight w:val="none"/>
          <w:lang w:val="en-US" w:eastAsia="zh-CN"/>
        </w:rPr>
        <w:t>业务应用服务</w:t>
      </w:r>
      <w:r>
        <w:rPr>
          <w:rFonts w:hint="eastAsia"/>
          <w:bCs/>
          <w:highlight w:val="none"/>
          <w:lang w:eastAsia="zh-CN"/>
        </w:rPr>
        <w:t>费用：</w:t>
      </w:r>
      <w:r>
        <w:rPr>
          <w:rFonts w:hint="eastAsia"/>
          <w:bCs/>
          <w:highlight w:val="none"/>
          <w:lang w:val="en-US" w:eastAsia="zh-CN"/>
        </w:rPr>
        <w:t>实施顾问和开发顾问</w:t>
      </w:r>
      <w:r>
        <w:rPr>
          <w:rFonts w:hint="eastAsia"/>
          <w:bCs/>
          <w:highlight w:val="none"/>
          <w:lang w:eastAsia="zh-CN"/>
        </w:rPr>
        <w:t>的费用，按照人天报价；</w:t>
      </w:r>
    </w:p>
    <w:p>
      <w:pPr>
        <w:pStyle w:val="79"/>
        <w:numPr>
          <w:ilvl w:val="0"/>
          <w:numId w:val="26"/>
        </w:numPr>
        <w:rPr>
          <w:rFonts w:hint="eastAsia" w:ascii="宋体" w:eastAsia="宋体"/>
          <w:bCs/>
          <w:highlight w:val="none"/>
        </w:rPr>
      </w:pPr>
      <w:r>
        <w:rPr>
          <w:rFonts w:hint="eastAsia" w:ascii="宋体" w:eastAsia="宋体"/>
          <w:bCs/>
          <w:highlight w:val="none"/>
          <w:lang w:eastAsia="zh-CN"/>
        </w:rPr>
        <w:t>投标价格分解表。针对招标文件的要求，提供产品的详细信息，对于软件应包括模块功能介绍及报价（见附件</w:t>
      </w:r>
      <w:r>
        <w:rPr>
          <w:rFonts w:hint="eastAsia" w:ascii="宋体" w:eastAsia="宋体"/>
          <w:bCs/>
          <w:highlight w:val="none"/>
          <w:lang w:val="en-US" w:eastAsia="zh-CN"/>
        </w:rPr>
        <w:t>5</w:t>
      </w:r>
      <w:r>
        <w:rPr>
          <w:rFonts w:hint="eastAsia" w:ascii="宋体" w:eastAsia="宋体"/>
          <w:bCs/>
          <w:highlight w:val="none"/>
          <w:lang w:eastAsia="zh-CN"/>
        </w:rPr>
        <w:t>）。</w:t>
      </w:r>
    </w:p>
    <w:p>
      <w:pPr>
        <w:pStyle w:val="79"/>
        <w:numPr>
          <w:ilvl w:val="0"/>
          <w:numId w:val="26"/>
        </w:numPr>
        <w:rPr>
          <w:bCs/>
          <w:highlight w:val="none"/>
        </w:rPr>
      </w:pPr>
      <w:r>
        <w:rPr>
          <w:rFonts w:hint="eastAsia"/>
          <w:bCs/>
          <w:highlight w:val="none"/>
        </w:rPr>
        <w:t>投标函（见附件</w:t>
      </w:r>
      <w:r>
        <w:rPr>
          <w:rFonts w:hint="eastAsia"/>
          <w:bCs/>
          <w:highlight w:val="none"/>
          <w:lang w:val="en-US" w:eastAsia="zh-CN"/>
        </w:rPr>
        <w:t>1</w:t>
      </w:r>
      <w:r>
        <w:rPr>
          <w:rFonts w:hint="eastAsia"/>
          <w:bCs/>
          <w:highlight w:val="none"/>
        </w:rPr>
        <w:t>）;</w:t>
      </w:r>
    </w:p>
    <w:p>
      <w:pPr>
        <w:pStyle w:val="79"/>
        <w:numPr>
          <w:ilvl w:val="0"/>
          <w:numId w:val="26"/>
        </w:numPr>
        <w:rPr>
          <w:bCs/>
          <w:highlight w:val="none"/>
        </w:rPr>
      </w:pPr>
      <w:r>
        <w:rPr>
          <w:rFonts w:hint="eastAsia"/>
          <w:bCs/>
          <w:highlight w:val="none"/>
        </w:rPr>
        <w:t>商务条款偏离表；</w:t>
      </w:r>
    </w:p>
    <w:p>
      <w:pPr>
        <w:pStyle w:val="79"/>
        <w:numPr>
          <w:ilvl w:val="0"/>
          <w:numId w:val="0"/>
        </w:numPr>
        <w:ind w:left="10" w:leftChars="0"/>
        <w:rPr>
          <w:bCs/>
        </w:rPr>
      </w:pPr>
      <w:r>
        <w:rPr>
          <w:rFonts w:hint="eastAsia"/>
          <w:b/>
          <w:bCs w:val="0"/>
        </w:rPr>
        <w:t>商务报价注意内容：最高投标限价（招标控制价）：人民币</w:t>
      </w:r>
      <w:r>
        <w:rPr>
          <w:rFonts w:hint="eastAsia"/>
          <w:b/>
          <w:bCs w:val="0"/>
          <w:lang w:val="en-US" w:eastAsia="zh-CN"/>
        </w:rPr>
        <w:t>300</w:t>
      </w:r>
      <w:r>
        <w:rPr>
          <w:rFonts w:hint="eastAsia"/>
          <w:b/>
          <w:bCs w:val="0"/>
        </w:rPr>
        <w:t>万元（含</w:t>
      </w:r>
      <w:r>
        <w:rPr>
          <w:rFonts w:hint="eastAsia"/>
          <w:b/>
          <w:bCs w:val="0"/>
          <w:lang w:val="en-US" w:eastAsia="zh-CN"/>
        </w:rPr>
        <w:t>6</w:t>
      </w:r>
      <w:r>
        <w:rPr>
          <w:rFonts w:hint="eastAsia"/>
          <w:b/>
          <w:bCs w:val="0"/>
        </w:rPr>
        <w:t>%增值税），</w:t>
      </w:r>
      <w:r>
        <w:rPr>
          <w:rFonts w:hint="eastAsia"/>
          <w:b/>
          <w:bCs w:val="0"/>
          <w:lang w:val="en-US" w:eastAsia="zh-CN"/>
        </w:rPr>
        <w:t>包括</w:t>
      </w:r>
      <w:r>
        <w:rPr>
          <w:rFonts w:hint="eastAsia"/>
          <w:b/>
          <w:bCs w:val="0"/>
        </w:rPr>
        <w:t>系统基础运维不得超过70万元（含</w:t>
      </w:r>
      <w:r>
        <w:rPr>
          <w:rFonts w:hint="eastAsia"/>
          <w:b/>
          <w:bCs w:val="0"/>
          <w:lang w:val="en-US" w:eastAsia="zh-CN"/>
        </w:rPr>
        <w:t>6</w:t>
      </w:r>
      <w:r>
        <w:rPr>
          <w:rFonts w:hint="eastAsia"/>
          <w:b/>
          <w:bCs w:val="0"/>
        </w:rPr>
        <w:t>%增值税），业务应用服务不得超过230万元（含</w:t>
      </w:r>
      <w:r>
        <w:rPr>
          <w:rFonts w:hint="eastAsia"/>
          <w:b/>
          <w:bCs w:val="0"/>
          <w:lang w:val="en-US" w:eastAsia="zh-CN"/>
        </w:rPr>
        <w:t>6</w:t>
      </w:r>
      <w:r>
        <w:rPr>
          <w:rFonts w:hint="eastAsia"/>
          <w:b/>
          <w:bCs w:val="0"/>
        </w:rPr>
        <w:t>%增值税）</w:t>
      </w:r>
      <w:r>
        <w:rPr>
          <w:rFonts w:hint="eastAsia"/>
          <w:b/>
          <w:bCs w:val="0"/>
          <w:lang w:eastAsia="zh-CN"/>
        </w:rPr>
        <w:t>，</w:t>
      </w:r>
      <w:r>
        <w:rPr>
          <w:rFonts w:hint="eastAsia"/>
          <w:b/>
          <w:bCs w:val="0"/>
        </w:rPr>
        <w:t>超过投标限价无法投标</w:t>
      </w:r>
      <w:r>
        <w:rPr>
          <w:rFonts w:hint="eastAsia"/>
          <w:bCs/>
        </w:rPr>
        <w:t>。</w:t>
      </w:r>
    </w:p>
    <w:p>
      <w:pPr>
        <w:pStyle w:val="77"/>
        <w:numPr>
          <w:ilvl w:val="0"/>
          <w:numId w:val="21"/>
        </w:numPr>
        <w:ind w:firstLine="0"/>
        <w:rPr>
          <w:b w:val="0"/>
        </w:rPr>
      </w:pPr>
      <w:r>
        <w:rPr>
          <w:rFonts w:hint="eastAsia"/>
          <w:b w:val="0"/>
        </w:rPr>
        <w:t>投标文件的投递</w:t>
      </w:r>
    </w:p>
    <w:p>
      <w:pPr>
        <w:pStyle w:val="79"/>
        <w:numPr>
          <w:ilvl w:val="0"/>
          <w:numId w:val="0"/>
        </w:numPr>
        <w:ind w:leftChars="0"/>
        <w:rPr>
          <w:bCs/>
          <w:color w:val="C00000"/>
          <w:highlight w:val="none"/>
        </w:rPr>
      </w:pPr>
      <w:r>
        <w:rPr>
          <w:rFonts w:hint="eastAsia" w:ascii="宋体" w:hAnsi="Courier New" w:eastAsia="宋体" w:cs="Times New Roman"/>
          <w:bCs/>
          <w:highlight w:val="none"/>
          <w:lang w:val="en-US" w:eastAsia="zh-CN"/>
        </w:rPr>
        <w:t>1.投标方式： 在中国重汽e采通平台应标成功后，进入“供应商投标”环节，投递盖章扫描版电子标书（包含资质标书、商务标书）</w:t>
      </w:r>
      <w:r>
        <w:rPr>
          <w:rFonts w:hint="eastAsia" w:cs="Times New Roman"/>
          <w:bCs/>
          <w:highlight w:val="none"/>
          <w:lang w:val="en-US" w:eastAsia="zh-CN"/>
        </w:rPr>
        <w:t>。</w:t>
      </w:r>
    </w:p>
    <w:p>
      <w:pPr>
        <w:pStyle w:val="79"/>
        <w:numPr>
          <w:ilvl w:val="0"/>
          <w:numId w:val="0"/>
        </w:numPr>
        <w:ind w:leftChars="0"/>
        <w:rPr>
          <w:rFonts w:hint="eastAsia"/>
          <w:color w:val="C00000"/>
          <w:highlight w:val="none"/>
          <w:lang w:val="en-US" w:eastAsia="zh-CN"/>
        </w:rPr>
      </w:pPr>
      <w:r>
        <w:rPr>
          <w:rFonts w:hint="eastAsia" w:ascii="宋体" w:hAnsi="Courier New" w:eastAsia="宋体" w:cs="Times New Roman"/>
          <w:bCs/>
          <w:color w:val="C00000"/>
          <w:highlight w:val="none"/>
          <w:lang w:val="en-US" w:eastAsia="zh-CN"/>
        </w:rPr>
        <w:t>4.投标文件递交截止时间：20</w:t>
      </w:r>
      <w:r>
        <w:rPr>
          <w:rFonts w:hint="eastAsia" w:cs="Times New Roman"/>
          <w:bCs/>
          <w:color w:val="C00000"/>
          <w:highlight w:val="none"/>
          <w:lang w:val="en-US" w:eastAsia="zh-CN"/>
        </w:rPr>
        <w:t>25</w:t>
      </w:r>
      <w:r>
        <w:rPr>
          <w:rFonts w:hint="eastAsia"/>
          <w:bCs/>
          <w:color w:val="C00000"/>
          <w:highlight w:val="none"/>
        </w:rPr>
        <w:t>年</w:t>
      </w:r>
      <w:r>
        <w:rPr>
          <w:rFonts w:hint="eastAsia"/>
          <w:bCs/>
          <w:color w:val="C00000"/>
          <w:highlight w:val="none"/>
          <w:lang w:val="en-US" w:eastAsia="zh-CN"/>
        </w:rPr>
        <w:t>12</w:t>
      </w:r>
      <w:r>
        <w:rPr>
          <w:rFonts w:hint="eastAsia"/>
          <w:bCs/>
          <w:color w:val="C00000"/>
          <w:highlight w:val="none"/>
        </w:rPr>
        <w:t>月</w:t>
      </w:r>
      <w:r>
        <w:rPr>
          <w:rFonts w:hint="eastAsia"/>
          <w:bCs/>
          <w:color w:val="C00000"/>
          <w:highlight w:val="none"/>
          <w:lang w:val="en-US" w:eastAsia="zh-CN"/>
        </w:rPr>
        <w:t>10</w:t>
      </w:r>
      <w:r>
        <w:rPr>
          <w:rFonts w:hint="eastAsia"/>
          <w:bCs/>
          <w:color w:val="C00000"/>
          <w:highlight w:val="none"/>
        </w:rPr>
        <w:t>日</w:t>
      </w:r>
      <w:r>
        <w:rPr>
          <w:rFonts w:hint="eastAsia"/>
          <w:bCs/>
          <w:color w:val="C00000"/>
          <w:highlight w:val="none"/>
          <w:lang w:val="en-US" w:eastAsia="zh-CN"/>
        </w:rPr>
        <w:t>17</w:t>
      </w:r>
      <w:r>
        <w:rPr>
          <w:rFonts w:hint="eastAsia"/>
          <w:bCs/>
          <w:color w:val="C00000"/>
          <w:highlight w:val="none"/>
        </w:rPr>
        <w:t>:</w:t>
      </w:r>
      <w:r>
        <w:rPr>
          <w:rFonts w:hint="eastAsia"/>
          <w:bCs/>
          <w:color w:val="C00000"/>
          <w:highlight w:val="none"/>
          <w:lang w:val="en-US" w:eastAsia="zh-CN"/>
        </w:rPr>
        <w:t>00</w:t>
      </w:r>
      <w:r>
        <w:rPr>
          <w:rFonts w:hint="eastAsia"/>
          <w:bCs/>
          <w:color w:val="C00000"/>
          <w:highlight w:val="none"/>
        </w:rPr>
        <w:t>:</w:t>
      </w:r>
      <w:r>
        <w:rPr>
          <w:rFonts w:hint="eastAsia"/>
          <w:bCs/>
          <w:color w:val="C00000"/>
          <w:highlight w:val="none"/>
          <w:lang w:val="en-US" w:eastAsia="zh-CN"/>
        </w:rPr>
        <w:t>00</w:t>
      </w:r>
    </w:p>
    <w:p>
      <w:pPr>
        <w:pStyle w:val="76"/>
        <w:rPr>
          <w:rFonts w:hint="eastAsia" w:hAnsi="Courier New" w:cs="Times New Roman"/>
          <w:highlight w:val="none"/>
        </w:rPr>
      </w:pPr>
      <w:bookmarkStart w:id="18"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pStyle w:val="76"/>
        <w:numPr>
          <w:ilvl w:val="0"/>
          <w:numId w:val="28"/>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pPr>
        <w:pStyle w:val="76"/>
        <w:numPr>
          <w:ilvl w:val="0"/>
          <w:numId w:val="29"/>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pPr>
        <w:pStyle w:val="76"/>
        <w:numPr>
          <w:ilvl w:val="0"/>
          <w:numId w:val="29"/>
        </w:numPr>
        <w:ind w:left="425" w:leftChars="0" w:hanging="425" w:firstLineChars="0"/>
        <w:rPr>
          <w:rFonts w:hint="default" w:ascii="宋体" w:hAnsi="宋体" w:eastAsia="宋体" w:cs="宋体"/>
          <w:b w:val="0"/>
          <w:bCs w:val="0"/>
          <w:color w:val="C00000"/>
          <w:sz w:val="21"/>
          <w:szCs w:val="21"/>
          <w:highlight w:val="none"/>
          <w:u w:val="single"/>
          <w:lang w:val="en-US" w:eastAsia="zh-CN"/>
        </w:rPr>
      </w:pPr>
      <w:r>
        <w:rPr>
          <w:rFonts w:hint="eastAsia" w:ascii="宋体" w:hAnsi="宋体" w:eastAsia="宋体" w:cs="宋体"/>
          <w:b w:val="0"/>
          <w:bCs w:val="0"/>
          <w:color w:val="C00000"/>
          <w:sz w:val="21"/>
          <w:szCs w:val="21"/>
          <w:highlight w:val="none"/>
        </w:rPr>
        <w:t>投标保证金的金额：人民币</w:t>
      </w:r>
      <w:r>
        <w:rPr>
          <w:rFonts w:hint="eastAsia" w:ascii="宋体" w:hAnsi="宋体" w:eastAsia="宋体" w:cs="宋体"/>
          <w:b w:val="0"/>
          <w:bCs w:val="0"/>
          <w:color w:val="C00000"/>
          <w:sz w:val="21"/>
          <w:szCs w:val="21"/>
          <w:highlight w:val="none"/>
          <w:u w:val="single"/>
          <w:lang w:val="en-US" w:eastAsia="zh-CN"/>
        </w:rPr>
        <w:t xml:space="preserve">  20000   </w:t>
      </w:r>
      <w:r>
        <w:rPr>
          <w:rFonts w:hint="eastAsia" w:ascii="宋体" w:hAnsi="宋体" w:eastAsia="宋体" w:cs="宋体"/>
          <w:b w:val="0"/>
          <w:bCs w:val="0"/>
          <w:color w:val="C00000"/>
          <w:sz w:val="21"/>
          <w:szCs w:val="21"/>
          <w:highlight w:val="none"/>
        </w:rPr>
        <w:t>元</w:t>
      </w:r>
    </w:p>
    <w:p>
      <w:pPr>
        <w:pStyle w:val="76"/>
        <w:numPr>
          <w:ilvl w:val="0"/>
          <w:numId w:val="29"/>
        </w:numPr>
        <w:ind w:left="425" w:leftChars="0" w:hanging="425" w:firstLineChars="0"/>
        <w:rPr>
          <w:rFonts w:hint="default" w:ascii="宋体" w:hAnsi="宋体" w:eastAsia="宋体" w:cs="宋体"/>
          <w:b w:val="0"/>
          <w:bCs w:val="0"/>
          <w:color w:val="C00000"/>
          <w:sz w:val="21"/>
          <w:szCs w:val="21"/>
          <w:highlight w:val="none"/>
          <w:u w:val="single"/>
          <w:lang w:val="en-US" w:eastAsia="zh-CN"/>
        </w:rPr>
      </w:pPr>
      <w:r>
        <w:rPr>
          <w:rFonts w:hint="eastAsia" w:ascii="宋体" w:hAnsi="宋体" w:eastAsia="宋体" w:cs="宋体"/>
          <w:b w:val="0"/>
          <w:bCs w:val="0"/>
          <w:color w:val="C00000"/>
          <w:sz w:val="21"/>
          <w:szCs w:val="21"/>
          <w:highlight w:val="none"/>
        </w:rPr>
        <w:t>开户名称：</w:t>
      </w:r>
      <w:r>
        <w:rPr>
          <w:rFonts w:hint="eastAsia" w:ascii="宋体" w:hAnsi="宋体" w:eastAsia="宋体" w:cs="宋体"/>
          <w:b w:val="0"/>
          <w:bCs w:val="0"/>
          <w:color w:val="C00000"/>
          <w:sz w:val="21"/>
          <w:szCs w:val="21"/>
          <w:highlight w:val="none"/>
          <w:u w:val="single"/>
          <w:lang w:val="en-US" w:eastAsia="zh-CN"/>
        </w:rPr>
        <w:t>中国重汽集团济南动力有限公司</w:t>
      </w:r>
    </w:p>
    <w:p>
      <w:pPr>
        <w:pStyle w:val="76"/>
        <w:numPr>
          <w:ilvl w:val="0"/>
          <w:numId w:val="0"/>
        </w:numPr>
        <w:ind w:leftChars="0"/>
        <w:rPr>
          <w:rFonts w:hint="eastAsia" w:ascii="宋体" w:hAnsi="宋体" w:eastAsia="宋体" w:cs="宋体"/>
          <w:b w:val="0"/>
          <w:bCs w:val="0"/>
          <w:color w:val="C00000"/>
          <w:sz w:val="21"/>
          <w:szCs w:val="21"/>
          <w:highlight w:val="none"/>
          <w:u w:val="single"/>
        </w:rPr>
      </w:pPr>
      <w:r>
        <w:rPr>
          <w:rFonts w:hint="eastAsia" w:ascii="宋体" w:hAnsi="宋体" w:eastAsia="宋体" w:cs="宋体"/>
          <w:b w:val="0"/>
          <w:bCs w:val="0"/>
          <w:color w:val="C00000"/>
          <w:sz w:val="21"/>
          <w:szCs w:val="21"/>
          <w:highlight w:val="none"/>
        </w:rPr>
        <w:t>开户银行：</w:t>
      </w:r>
      <w:r>
        <w:rPr>
          <w:rFonts w:hint="eastAsia" w:ascii="宋体" w:hAnsi="宋体" w:eastAsia="宋体" w:cs="宋体"/>
          <w:b w:val="0"/>
          <w:bCs w:val="0"/>
          <w:color w:val="C00000"/>
          <w:sz w:val="21"/>
          <w:szCs w:val="21"/>
          <w:highlight w:val="none"/>
          <w:u w:val="single"/>
        </w:rPr>
        <w:t>中国建设银行济南市天桥区支行</w:t>
      </w:r>
    </w:p>
    <w:p>
      <w:pPr>
        <w:pStyle w:val="76"/>
        <w:numPr>
          <w:ilvl w:val="0"/>
          <w:numId w:val="0"/>
        </w:numPr>
        <w:ind w:leftChars="0"/>
        <w:rPr>
          <w:rFonts w:hint="eastAsia" w:ascii="宋体" w:hAnsi="宋体" w:eastAsia="宋体" w:cs="宋体"/>
          <w:b w:val="0"/>
          <w:bCs w:val="0"/>
          <w:color w:val="C00000"/>
          <w:sz w:val="21"/>
          <w:szCs w:val="21"/>
          <w:highlight w:val="none"/>
          <w:u w:val="single"/>
        </w:rPr>
      </w:pPr>
      <w:r>
        <w:rPr>
          <w:rFonts w:hint="eastAsia" w:ascii="宋体" w:hAnsi="宋体" w:eastAsia="宋体" w:cs="宋体"/>
          <w:b w:val="0"/>
          <w:bCs w:val="0"/>
          <w:color w:val="C00000"/>
          <w:sz w:val="21"/>
          <w:szCs w:val="21"/>
          <w:highlight w:val="none"/>
        </w:rPr>
        <w:t>银行帐号：</w:t>
      </w:r>
      <w:r>
        <w:rPr>
          <w:rFonts w:hint="eastAsia" w:ascii="宋体" w:hAnsi="宋体" w:eastAsia="宋体" w:cs="宋体"/>
          <w:b w:val="0"/>
          <w:bCs w:val="0"/>
          <w:color w:val="C00000"/>
          <w:sz w:val="21"/>
          <w:szCs w:val="21"/>
          <w:highlight w:val="none"/>
          <w:u w:val="single"/>
        </w:rPr>
        <w:t>37001616508050150300</w:t>
      </w:r>
    </w:p>
    <w:p>
      <w:pPr>
        <w:pStyle w:val="76"/>
        <w:numPr>
          <w:ilvl w:val="0"/>
          <w:numId w:val="0"/>
        </w:numPr>
        <w:ind w:leftChars="0"/>
        <w:rPr>
          <w:rFonts w:hint="eastAsia" w:ascii="宋体" w:hAnsi="宋体" w:eastAsia="宋体" w:cs="宋体"/>
          <w:b w:val="0"/>
          <w:bCs w:val="0"/>
          <w:color w:val="C00000"/>
          <w:sz w:val="21"/>
          <w:szCs w:val="21"/>
          <w:highlight w:val="none"/>
          <w:u w:val="single"/>
          <w:lang w:val="en-US" w:eastAsia="zh-CN"/>
        </w:rPr>
      </w:pPr>
      <w:r>
        <w:rPr>
          <w:rFonts w:hint="eastAsia" w:ascii="宋体" w:hAnsi="宋体" w:eastAsia="宋体" w:cs="宋体"/>
          <w:b w:val="0"/>
          <w:bCs w:val="0"/>
          <w:color w:val="C00000"/>
          <w:sz w:val="21"/>
          <w:szCs w:val="21"/>
          <w:highlight w:val="none"/>
        </w:rPr>
        <w:t>开户行联号：</w:t>
      </w:r>
      <w:r>
        <w:rPr>
          <w:rFonts w:hint="eastAsia" w:ascii="宋体" w:hAnsi="宋体" w:eastAsia="宋体" w:cs="宋体"/>
          <w:b w:val="0"/>
          <w:bCs w:val="0"/>
          <w:color w:val="C00000"/>
          <w:sz w:val="21"/>
          <w:szCs w:val="21"/>
          <w:highlight w:val="none"/>
          <w:u w:val="single"/>
          <w:lang w:val="en-US" w:eastAsia="zh-CN"/>
        </w:rPr>
        <w:t xml:space="preserve">               </w:t>
      </w:r>
    </w:p>
    <w:p>
      <w:pPr>
        <w:pStyle w:val="79"/>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w:t>
      </w:r>
      <w:r>
        <w:rPr>
          <w:rFonts w:hint="eastAsia"/>
          <w:lang w:eastAsia="zh-CN"/>
        </w:rPr>
        <w:t>中国重汽集团</w:t>
      </w:r>
      <w:r>
        <w:rPr>
          <w:rFonts w:hint="eastAsia"/>
          <w:lang w:val="en-US" w:eastAsia="zh-CN"/>
        </w:rPr>
        <w:t>SAP运维服务</w:t>
      </w:r>
      <w:r>
        <w:rPr>
          <w:rFonts w:hint="eastAsia"/>
          <w:lang w:eastAsia="zh-CN"/>
        </w:rPr>
        <w:t>项目</w:t>
      </w:r>
      <w:r>
        <w:rPr>
          <w:rFonts w:hint="eastAsia" w:cs="Times New Roman"/>
          <w:b w:val="0"/>
          <w:bCs/>
          <w:highlight w:val="none"/>
          <w:lang w:val="en-US" w:eastAsia="zh-CN"/>
        </w:rPr>
        <w:t>+投标保证金。</w:t>
      </w:r>
    </w:p>
    <w:p>
      <w:pPr>
        <w:pStyle w:val="76"/>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color w:val="C00000"/>
          <w:sz w:val="21"/>
          <w:szCs w:val="21"/>
          <w:highlight w:val="none"/>
        </w:rPr>
        <w:t>202</w:t>
      </w:r>
      <w:r>
        <w:rPr>
          <w:rFonts w:hint="eastAsia" w:ascii="宋体" w:hAnsi="宋体" w:eastAsia="宋体" w:cs="宋体"/>
          <w:b w:val="0"/>
          <w:bCs w:val="0"/>
          <w:color w:val="C00000"/>
          <w:sz w:val="21"/>
          <w:szCs w:val="21"/>
          <w:highlight w:val="none"/>
          <w:lang w:val="en-US" w:eastAsia="zh-CN"/>
        </w:rPr>
        <w:t>5</w:t>
      </w:r>
      <w:r>
        <w:rPr>
          <w:rFonts w:hint="eastAsia" w:ascii="宋体" w:hAnsi="宋体" w:eastAsia="宋体" w:cs="宋体"/>
          <w:b w:val="0"/>
          <w:bCs w:val="0"/>
          <w:color w:val="C00000"/>
          <w:sz w:val="21"/>
          <w:szCs w:val="21"/>
          <w:highlight w:val="none"/>
        </w:rPr>
        <w:t>年</w:t>
      </w:r>
      <w:r>
        <w:rPr>
          <w:rFonts w:hint="eastAsia" w:ascii="宋体" w:hAnsi="宋体" w:eastAsia="宋体" w:cs="宋体"/>
          <w:b w:val="0"/>
          <w:bCs w:val="0"/>
          <w:color w:val="C00000"/>
          <w:sz w:val="21"/>
          <w:szCs w:val="21"/>
          <w:highlight w:val="none"/>
          <w:lang w:val="en-US" w:eastAsia="zh-CN"/>
        </w:rPr>
        <w:t>12</w:t>
      </w:r>
      <w:r>
        <w:rPr>
          <w:rFonts w:hint="eastAsia" w:ascii="宋体" w:hAnsi="宋体" w:eastAsia="宋体" w:cs="宋体"/>
          <w:b w:val="0"/>
          <w:bCs w:val="0"/>
          <w:color w:val="C00000"/>
          <w:sz w:val="21"/>
          <w:szCs w:val="21"/>
          <w:highlight w:val="none"/>
        </w:rPr>
        <w:t>月</w:t>
      </w:r>
      <w:r>
        <w:rPr>
          <w:rFonts w:hint="eastAsia" w:ascii="宋体" w:hAnsi="宋体" w:eastAsia="宋体" w:cs="宋体"/>
          <w:b w:val="0"/>
          <w:bCs w:val="0"/>
          <w:color w:val="C00000"/>
          <w:sz w:val="21"/>
          <w:szCs w:val="21"/>
          <w:highlight w:val="none"/>
          <w:lang w:val="en-US" w:eastAsia="zh-CN"/>
        </w:rPr>
        <w:t>10</w:t>
      </w:r>
      <w:r>
        <w:rPr>
          <w:rFonts w:hint="eastAsia" w:ascii="宋体" w:hAnsi="宋体" w:eastAsia="宋体" w:cs="宋体"/>
          <w:b w:val="0"/>
          <w:bCs w:val="0"/>
          <w:color w:val="C00000"/>
          <w:sz w:val="21"/>
          <w:szCs w:val="21"/>
          <w:highlight w:val="none"/>
        </w:rPr>
        <w:t>日</w:t>
      </w:r>
      <w:r>
        <w:rPr>
          <w:rFonts w:hint="eastAsia" w:ascii="宋体" w:hAnsi="宋体" w:eastAsia="宋体" w:cs="宋体"/>
          <w:b w:val="0"/>
          <w:bCs w:val="0"/>
          <w:color w:val="C00000"/>
          <w:sz w:val="21"/>
          <w:szCs w:val="21"/>
          <w:highlight w:val="none"/>
          <w:lang w:val="en-US" w:eastAsia="zh-CN"/>
        </w:rPr>
        <w:t>17</w:t>
      </w:r>
      <w:r>
        <w:rPr>
          <w:rFonts w:hint="eastAsia" w:ascii="宋体" w:hAnsi="宋体" w:eastAsia="宋体" w:cs="宋体"/>
          <w:b w:val="0"/>
          <w:bCs w:val="0"/>
          <w:color w:val="C00000"/>
          <w:sz w:val="21"/>
          <w:szCs w:val="21"/>
          <w:highlight w:val="none"/>
        </w:rPr>
        <w:t>：</w:t>
      </w:r>
      <w:r>
        <w:rPr>
          <w:rFonts w:hint="eastAsia" w:ascii="宋体" w:hAnsi="宋体" w:eastAsia="宋体" w:cs="宋体"/>
          <w:b w:val="0"/>
          <w:bCs w:val="0"/>
          <w:color w:val="C00000"/>
          <w:sz w:val="21"/>
          <w:szCs w:val="21"/>
          <w:highlight w:val="none"/>
          <w:lang w:val="en-US" w:eastAsia="zh-CN"/>
        </w:rPr>
        <w:t>00</w:t>
      </w:r>
      <w:r>
        <w:rPr>
          <w:rFonts w:hint="eastAsia" w:ascii="宋体" w:hAnsi="宋体" w:eastAsia="宋体" w:cs="宋体"/>
          <w:b w:val="0"/>
          <w:bCs w:val="0"/>
          <w:color w:val="C0000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同应标截止时间</w:t>
      </w:r>
      <w:r>
        <w:rPr>
          <w:rFonts w:hint="eastAsia" w:ascii="宋体" w:hAnsi="宋体" w:eastAsia="宋体" w:cs="宋体"/>
          <w:b w:val="0"/>
          <w:bCs w:val="0"/>
          <w:sz w:val="21"/>
          <w:szCs w:val="21"/>
          <w:highlight w:val="none"/>
          <w:lang w:eastAsia="zh-CN"/>
        </w:rPr>
        <w:t>）</w:t>
      </w:r>
    </w:p>
    <w:p>
      <w:pPr>
        <w:pStyle w:val="76"/>
        <w:keepNext w:val="0"/>
        <w:keepLines w:val="0"/>
        <w:pageBreakBefore w:val="0"/>
        <w:widowControl w:val="0"/>
        <w:numPr>
          <w:ilvl w:val="0"/>
          <w:numId w:val="28"/>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pPr>
        <w:pStyle w:val="76"/>
        <w:keepNext w:val="0"/>
        <w:keepLines w:val="0"/>
        <w:pageBreakBefore w:val="0"/>
        <w:widowControl w:val="0"/>
        <w:numPr>
          <w:ilvl w:val="0"/>
          <w:numId w:val="28"/>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pPr>
        <w:pStyle w:val="76"/>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color w:val="C00000"/>
          <w:sz w:val="21"/>
          <w:szCs w:val="21"/>
          <w:highlight w:val="none"/>
          <w:u w:val="single"/>
          <w:lang w:val="en-US" w:eastAsia="zh-CN"/>
        </w:rPr>
        <w:t xml:space="preserve"> 5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color w:val="C00000"/>
          <w:sz w:val="21"/>
          <w:szCs w:val="21"/>
          <w:highlight w:val="none"/>
          <w:u w:val="single"/>
          <w:lang w:val="en-US" w:eastAsia="zh-CN"/>
        </w:rPr>
        <w:t xml:space="preserve"> 5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pPr>
        <w:pStyle w:val="76"/>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default"/>
          <w:bCs/>
          <w:highlight w:val="yellow"/>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bookmarkEnd w:id="18"/>
    </w:p>
    <w:p>
      <w:pPr>
        <w:pStyle w:val="76"/>
      </w:pPr>
      <w:r>
        <w:rPr>
          <w:rFonts w:hint="eastAsia"/>
        </w:rPr>
        <w:t>开评标</w:t>
      </w:r>
    </w:p>
    <w:p>
      <w:pPr>
        <w:pStyle w:val="76"/>
        <w:numPr>
          <w:ilvl w:val="0"/>
          <w:numId w:val="30"/>
        </w:numPr>
        <w:ind w:firstLine="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开标时间：暂定</w:t>
      </w:r>
      <w:r>
        <w:rPr>
          <w:rFonts w:hint="eastAsia" w:ascii="宋体" w:hAnsi="宋体" w:eastAsia="宋体" w:cs="宋体"/>
          <w:b w:val="0"/>
          <w:bCs w:val="0"/>
          <w:color w:val="C00000"/>
          <w:sz w:val="21"/>
          <w:szCs w:val="21"/>
          <w:highlight w:val="none"/>
        </w:rPr>
        <w:t>2025年</w:t>
      </w:r>
      <w:r>
        <w:rPr>
          <w:rFonts w:hint="eastAsia" w:ascii="宋体" w:hAnsi="宋体" w:eastAsia="宋体" w:cs="宋体"/>
          <w:b w:val="0"/>
          <w:bCs w:val="0"/>
          <w:color w:val="C00000"/>
          <w:sz w:val="21"/>
          <w:szCs w:val="21"/>
          <w:highlight w:val="none"/>
          <w:lang w:val="en-US" w:eastAsia="zh-CN"/>
        </w:rPr>
        <w:t>12</w:t>
      </w:r>
      <w:r>
        <w:rPr>
          <w:rFonts w:hint="eastAsia" w:ascii="宋体" w:hAnsi="宋体" w:eastAsia="宋体" w:cs="宋体"/>
          <w:b w:val="0"/>
          <w:bCs w:val="0"/>
          <w:color w:val="C00000"/>
          <w:sz w:val="21"/>
          <w:szCs w:val="21"/>
          <w:highlight w:val="none"/>
        </w:rPr>
        <w:t>月</w:t>
      </w:r>
      <w:r>
        <w:rPr>
          <w:rFonts w:hint="eastAsia" w:ascii="宋体" w:hAnsi="宋体" w:eastAsia="宋体" w:cs="宋体"/>
          <w:b w:val="0"/>
          <w:bCs w:val="0"/>
          <w:color w:val="C00000"/>
          <w:sz w:val="21"/>
          <w:szCs w:val="21"/>
          <w:highlight w:val="none"/>
          <w:lang w:val="en-US" w:eastAsia="zh-CN"/>
        </w:rPr>
        <w:t>11</w:t>
      </w:r>
      <w:r>
        <w:rPr>
          <w:rFonts w:hint="eastAsia" w:ascii="宋体" w:hAnsi="宋体" w:eastAsia="宋体" w:cs="宋体"/>
          <w:b w:val="0"/>
          <w:bCs w:val="0"/>
          <w:color w:val="C00000"/>
          <w:sz w:val="21"/>
          <w:szCs w:val="21"/>
          <w:highlight w:val="none"/>
        </w:rPr>
        <w:t>日</w:t>
      </w:r>
      <w:r>
        <w:rPr>
          <w:rFonts w:hint="eastAsia" w:ascii="宋体" w:hAnsi="宋体" w:eastAsia="宋体" w:cs="宋体"/>
          <w:b w:val="0"/>
          <w:bCs w:val="0"/>
          <w:color w:val="C00000"/>
          <w:sz w:val="21"/>
          <w:szCs w:val="21"/>
          <w:highlight w:val="none"/>
          <w:lang w:val="en-US" w:eastAsia="zh-CN"/>
        </w:rPr>
        <w:t>9</w:t>
      </w:r>
      <w:r>
        <w:rPr>
          <w:rFonts w:hint="eastAsia" w:ascii="宋体" w:hAnsi="宋体" w:eastAsia="宋体" w:cs="宋体"/>
          <w:b w:val="0"/>
          <w:bCs w:val="0"/>
          <w:color w:val="C00000"/>
          <w:sz w:val="21"/>
          <w:szCs w:val="21"/>
          <w:highlight w:val="none"/>
        </w:rPr>
        <w:t>时</w:t>
      </w:r>
      <w:r>
        <w:rPr>
          <w:rFonts w:hint="eastAsia" w:ascii="宋体" w:hAnsi="宋体" w:eastAsia="宋体" w:cs="宋体"/>
          <w:b w:val="0"/>
          <w:bCs w:val="0"/>
          <w:color w:val="C00000"/>
          <w:sz w:val="21"/>
          <w:szCs w:val="21"/>
          <w:highlight w:val="none"/>
          <w:lang w:val="en-US" w:eastAsia="zh-CN"/>
        </w:rPr>
        <w:t>00</w:t>
      </w:r>
      <w:r>
        <w:rPr>
          <w:rFonts w:hint="eastAsia" w:ascii="宋体" w:hAnsi="宋体" w:eastAsia="宋体" w:cs="宋体"/>
          <w:b w:val="0"/>
          <w:bCs w:val="0"/>
          <w:color w:val="C00000"/>
          <w:sz w:val="21"/>
          <w:szCs w:val="21"/>
          <w:highlight w:val="none"/>
        </w:rPr>
        <w:t>分</w:t>
      </w:r>
      <w:r>
        <w:rPr>
          <w:rFonts w:hint="eastAsia" w:ascii="宋体" w:hAnsi="宋体" w:eastAsia="宋体" w:cs="宋体"/>
          <w:b w:val="0"/>
          <w:bCs w:val="0"/>
          <w:sz w:val="21"/>
          <w:szCs w:val="21"/>
          <w:highlight w:val="none"/>
        </w:rPr>
        <w:t>，若有变动另行通知。</w:t>
      </w:r>
    </w:p>
    <w:p>
      <w:pPr>
        <w:pStyle w:val="76"/>
        <w:numPr>
          <w:ilvl w:val="0"/>
          <w:numId w:val="30"/>
        </w:numPr>
        <w:ind w:firstLine="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开标地点：暂定</w:t>
      </w:r>
      <w:r>
        <w:rPr>
          <w:rFonts w:hint="eastAsia" w:ascii="宋体" w:hAnsi="宋体" w:eastAsia="宋体" w:cs="宋体"/>
          <w:b w:val="0"/>
          <w:bCs w:val="0"/>
          <w:color w:val="C00000"/>
          <w:sz w:val="21"/>
          <w:szCs w:val="21"/>
          <w:highlight w:val="none"/>
          <w:lang w:val="en-US" w:eastAsia="zh-CN"/>
        </w:rPr>
        <w:t>中国</w:t>
      </w:r>
      <w:r>
        <w:rPr>
          <w:rFonts w:hint="eastAsia" w:ascii="宋体" w:hAnsi="宋体" w:eastAsia="宋体" w:cs="宋体"/>
          <w:b w:val="0"/>
          <w:bCs w:val="0"/>
          <w:color w:val="C00000"/>
          <w:sz w:val="21"/>
          <w:szCs w:val="21"/>
          <w:highlight w:val="none"/>
        </w:rPr>
        <w:t>重汽</w:t>
      </w:r>
      <w:r>
        <w:rPr>
          <w:rFonts w:hint="eastAsia" w:ascii="宋体" w:hAnsi="宋体" w:eastAsia="宋体" w:cs="宋体"/>
          <w:b w:val="0"/>
          <w:bCs w:val="0"/>
          <w:color w:val="C00000"/>
          <w:sz w:val="21"/>
          <w:szCs w:val="21"/>
          <w:highlight w:val="none"/>
          <w:lang w:val="en-US" w:eastAsia="zh-CN"/>
        </w:rPr>
        <w:t>未来</w:t>
      </w:r>
      <w:r>
        <w:rPr>
          <w:rFonts w:hint="eastAsia" w:ascii="宋体" w:hAnsi="宋体" w:eastAsia="宋体" w:cs="宋体"/>
          <w:b w:val="0"/>
          <w:bCs w:val="0"/>
          <w:color w:val="C00000"/>
          <w:sz w:val="21"/>
          <w:szCs w:val="21"/>
          <w:highlight w:val="none"/>
        </w:rPr>
        <w:t>科技大厦</w:t>
      </w:r>
      <w:r>
        <w:rPr>
          <w:rFonts w:hint="eastAsia" w:ascii="宋体" w:hAnsi="宋体" w:eastAsia="宋体" w:cs="宋体"/>
          <w:b w:val="0"/>
          <w:bCs w:val="0"/>
          <w:color w:val="C00000"/>
          <w:sz w:val="21"/>
          <w:szCs w:val="21"/>
          <w:highlight w:val="none"/>
          <w:lang w:val="en-US" w:eastAsia="zh-CN"/>
        </w:rPr>
        <w:t>3楼</w:t>
      </w:r>
      <w:r>
        <w:rPr>
          <w:rFonts w:hint="eastAsia" w:ascii="宋体" w:hAnsi="宋体" w:eastAsia="宋体" w:cs="宋体"/>
          <w:b w:val="0"/>
          <w:bCs w:val="0"/>
          <w:color w:val="C00000"/>
          <w:sz w:val="21"/>
          <w:szCs w:val="21"/>
          <w:highlight w:val="none"/>
        </w:rPr>
        <w:t xml:space="preserve">会议室 </w:t>
      </w:r>
    </w:p>
    <w:p>
      <w:pPr>
        <w:pStyle w:val="76"/>
        <w:numPr>
          <w:ilvl w:val="0"/>
          <w:numId w:val="30"/>
        </w:numPr>
        <w:ind w:firstLine="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开标方式：</w:t>
      </w:r>
      <w:r>
        <w:rPr>
          <w:rFonts w:hint="eastAsia" w:ascii="宋体" w:hAnsi="宋体" w:eastAsia="宋体" w:cs="宋体"/>
          <w:b w:val="0"/>
          <w:bCs w:val="0"/>
          <w:sz w:val="21"/>
          <w:szCs w:val="21"/>
          <w:highlight w:val="none"/>
          <w:lang w:val="en-US" w:eastAsia="zh-CN"/>
        </w:rPr>
        <w:t>现场招标</w:t>
      </w:r>
    </w:p>
    <w:p>
      <w:pPr>
        <w:numPr>
          <w:ilvl w:val="0"/>
          <w:numId w:val="31"/>
        </w:numPr>
        <w:spacing w:line="360" w:lineRule="auto"/>
        <w:ind w:left="11" w:firstLine="0"/>
        <w:rPr>
          <w:rFonts w:hint="eastAsia" w:ascii="宋体" w:hAnsi="宋体" w:cs="宋体"/>
          <w:color w:val="000000"/>
          <w:szCs w:val="21"/>
        </w:rPr>
      </w:pPr>
      <w:r>
        <w:rPr>
          <w:rFonts w:hint="eastAsia" w:ascii="宋体" w:hAnsi="Courier New"/>
          <w:bCs/>
        </w:rPr>
        <w:t>现场招</w:t>
      </w:r>
      <w:r>
        <w:rPr>
          <w:rFonts w:hint="eastAsia" w:ascii="宋体" w:hAnsi="宋体" w:cs="宋体"/>
          <w:szCs w:val="21"/>
        </w:rPr>
        <w:t>标：</w:t>
      </w:r>
      <w:r>
        <w:rPr>
          <w:rFonts w:hint="eastAsia" w:ascii="宋体" w:hAnsi="宋体" w:cs="宋体"/>
          <w:color w:val="000000"/>
          <w:szCs w:val="21"/>
        </w:rPr>
        <w:t>原则上来现场参与开标。如因特殊情况无法现场参与，需在开标前三日，通知招标人，由招标人创建视频链接，并在报名结束后统一通知。</w:t>
      </w:r>
    </w:p>
    <w:p>
      <w:pPr>
        <w:pStyle w:val="76"/>
        <w:numPr>
          <w:ilvl w:val="0"/>
          <w:numId w:val="30"/>
        </w:numPr>
        <w:ind w:firstLine="0"/>
        <w:rPr>
          <w:rFonts w:hint="eastAsia" w:ascii="宋体" w:hAnsi="宋体" w:eastAsia="宋体" w:cs="宋体"/>
          <w:b w:val="0"/>
          <w:bCs w:val="0"/>
          <w:sz w:val="21"/>
          <w:szCs w:val="21"/>
        </w:rPr>
      </w:pPr>
      <w:r>
        <w:rPr>
          <w:rFonts w:hint="eastAsia" w:ascii="宋体" w:hAnsi="宋体" w:eastAsia="宋体" w:cs="宋体"/>
          <w:b w:val="0"/>
          <w:bCs w:val="0"/>
          <w:sz w:val="21"/>
          <w:szCs w:val="21"/>
        </w:rPr>
        <w:t>评标</w:t>
      </w:r>
    </w:p>
    <w:p>
      <w:pPr>
        <w:pStyle w:val="76"/>
        <w:numPr>
          <w:ilvl w:val="0"/>
          <w:numId w:val="32"/>
        </w:numPr>
        <w:ind w:left="0"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评标方法</w:t>
      </w:r>
    </w:p>
    <w:p>
      <w:pPr>
        <w:pStyle w:val="79"/>
        <w:keepNext w:val="0"/>
        <w:keepLines w:val="0"/>
        <w:pageBreakBefore w:val="0"/>
        <w:widowControl w:val="0"/>
        <w:numPr>
          <w:ilvl w:val="0"/>
          <w:numId w:val="24"/>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pPr>
        <w:pStyle w:val="76"/>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pPr>
        <w:pStyle w:val="76"/>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pPr>
        <w:pStyle w:val="76"/>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投标人得分＝∑评委评价得分/评委人数＋商务标得分</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w:t>
      </w:r>
      <w:r>
        <w:rPr>
          <w:rFonts w:hint="eastAsia" w:ascii="宋体" w:hAnsi="宋体" w:eastAsia="宋体" w:cs="宋体"/>
          <w:b/>
          <w:bCs/>
          <w:color w:val="000000"/>
          <w:sz w:val="21"/>
          <w:szCs w:val="21"/>
          <w:highlight w:val="none"/>
          <w:lang w:val="en-US" w:eastAsia="zh-CN"/>
        </w:rPr>
        <w:t>9</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pPr>
        <w:keepNext w:val="0"/>
        <w:keepLines w:val="0"/>
        <w:pageBreakBefore w:val="0"/>
        <w:widowControl w:val="0"/>
        <w:numPr>
          <w:ilvl w:val="0"/>
          <w:numId w:val="33"/>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pPr>
        <w:pStyle w:val="79"/>
        <w:numPr>
          <w:ilvl w:val="0"/>
          <w:numId w:val="24"/>
        </w:numPr>
        <w:ind w:left="10" w:firstLine="0"/>
        <w:rPr>
          <w:rFonts w:hint="eastAsia" w:ascii="宋体" w:hAnsi="宋体" w:eastAsia="宋体" w:cs="宋体"/>
          <w:b w:val="0"/>
          <w:bCs w:val="0"/>
          <w:sz w:val="24"/>
          <w:szCs w:val="24"/>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pPr>
        <w:pStyle w:val="76"/>
        <w:keepNext w:val="0"/>
        <w:keepLines w:val="0"/>
        <w:pageBreakBefore w:val="0"/>
        <w:widowControl w:val="0"/>
        <w:numPr>
          <w:ilvl w:val="0"/>
          <w:numId w:val="32"/>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tbl>
      <w:tblPr>
        <w:tblStyle w:val="34"/>
        <w:tblW w:w="9732" w:type="dxa"/>
        <w:jc w:val="center"/>
        <w:tblLayout w:type="fixed"/>
        <w:tblCellMar>
          <w:top w:w="0" w:type="dxa"/>
          <w:left w:w="108" w:type="dxa"/>
          <w:bottom w:w="0" w:type="dxa"/>
          <w:right w:w="108" w:type="dxa"/>
        </w:tblCellMar>
      </w:tblPr>
      <w:tblGrid>
        <w:gridCol w:w="1057"/>
        <w:gridCol w:w="1150"/>
        <w:gridCol w:w="1150"/>
        <w:gridCol w:w="1150"/>
        <w:gridCol w:w="5225"/>
      </w:tblGrid>
      <w:tr>
        <w:tblPrEx>
          <w:tblCellMar>
            <w:top w:w="0" w:type="dxa"/>
            <w:left w:w="108" w:type="dxa"/>
            <w:bottom w:w="0" w:type="dxa"/>
            <w:right w:w="108" w:type="dxa"/>
          </w:tblCellMar>
        </w:tblPrEx>
        <w:trPr>
          <w:trHeight w:val="600" w:hRule="atLeast"/>
          <w:jc w:val="center"/>
        </w:trPr>
        <w:tc>
          <w:tcPr>
            <w:tcW w:w="1057"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360" w:lineRule="auto"/>
              <w:jc w:val="center"/>
              <w:textAlignment w:val="center"/>
              <w:rPr>
                <w:rFonts w:hint="eastAsia" w:ascii="宋体" w:hAnsi="宋体" w:eastAsia="宋体" w:cs="宋体"/>
                <w:b/>
                <w:sz w:val="21"/>
                <w:szCs w:val="21"/>
              </w:rPr>
            </w:pPr>
            <w:r>
              <w:rPr>
                <w:rFonts w:hint="eastAsia" w:ascii="宋体" w:hAnsi="宋体" w:eastAsia="宋体" w:cs="宋体"/>
                <w:b/>
                <w:kern w:val="0"/>
                <w:sz w:val="21"/>
                <w:szCs w:val="21"/>
              </w:rPr>
              <w:t>评分项目</w:t>
            </w:r>
          </w:p>
        </w:tc>
        <w:tc>
          <w:tcPr>
            <w:tcW w:w="11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360" w:lineRule="auto"/>
              <w:jc w:val="center"/>
              <w:textAlignment w:val="center"/>
              <w:rPr>
                <w:rFonts w:hint="eastAsia" w:ascii="宋体" w:hAnsi="宋体" w:eastAsia="宋体" w:cs="宋体"/>
                <w:b/>
                <w:kern w:val="0"/>
                <w:sz w:val="21"/>
                <w:szCs w:val="21"/>
                <w:lang w:val="en-US" w:eastAsia="zh-CN"/>
              </w:rPr>
            </w:pPr>
            <w:r>
              <w:rPr>
                <w:rFonts w:hint="eastAsia" w:ascii="宋体" w:hAnsi="宋体" w:eastAsia="宋体" w:cs="宋体"/>
                <w:b/>
                <w:kern w:val="0"/>
                <w:sz w:val="21"/>
                <w:szCs w:val="21"/>
                <w:lang w:val="en-US" w:eastAsia="zh-CN"/>
              </w:rPr>
              <w:t>总分</w:t>
            </w:r>
          </w:p>
        </w:tc>
        <w:tc>
          <w:tcPr>
            <w:tcW w:w="11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15" w:type="dxa"/>
              <w:right w:w="15" w:type="dxa"/>
            </w:tcMar>
            <w:vAlign w:val="center"/>
          </w:tcPr>
          <w:p>
            <w:pPr>
              <w:widowControl/>
              <w:spacing w:line="360" w:lineRule="auto"/>
              <w:jc w:val="center"/>
              <w:textAlignment w:val="center"/>
              <w:rPr>
                <w:rFonts w:hint="eastAsia" w:ascii="宋体" w:hAnsi="宋体" w:eastAsia="宋体" w:cs="宋体"/>
                <w:b/>
                <w:kern w:val="0"/>
                <w:sz w:val="21"/>
                <w:szCs w:val="21"/>
                <w:lang w:val="en-US" w:eastAsia="zh-CN" w:bidi="ar-SA"/>
              </w:rPr>
            </w:pPr>
            <w:r>
              <w:rPr>
                <w:rFonts w:hint="eastAsia" w:ascii="宋体" w:hAnsi="宋体" w:eastAsia="宋体" w:cs="宋体"/>
                <w:b/>
                <w:kern w:val="0"/>
                <w:sz w:val="21"/>
                <w:szCs w:val="21"/>
              </w:rPr>
              <w:t>评分</w:t>
            </w:r>
            <w:r>
              <w:rPr>
                <w:rFonts w:hint="eastAsia" w:ascii="宋体" w:hAnsi="宋体" w:eastAsia="宋体" w:cs="宋体"/>
                <w:b/>
                <w:kern w:val="0"/>
                <w:sz w:val="21"/>
                <w:szCs w:val="21"/>
                <w:lang w:val="en-US" w:eastAsia="zh-CN"/>
              </w:rPr>
              <w:t>内容</w:t>
            </w:r>
          </w:p>
        </w:tc>
        <w:tc>
          <w:tcPr>
            <w:tcW w:w="1150"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360" w:lineRule="auto"/>
              <w:jc w:val="center"/>
              <w:textAlignment w:val="center"/>
              <w:rPr>
                <w:rFonts w:hint="default" w:ascii="宋体" w:hAnsi="宋体" w:eastAsia="宋体" w:cs="宋体"/>
                <w:b/>
                <w:kern w:val="0"/>
                <w:sz w:val="21"/>
                <w:szCs w:val="21"/>
                <w:lang w:val="en-US" w:eastAsia="zh-CN"/>
              </w:rPr>
            </w:pPr>
            <w:r>
              <w:rPr>
                <w:rFonts w:hint="eastAsia" w:ascii="宋体" w:hAnsi="宋体" w:eastAsia="宋体" w:cs="宋体"/>
                <w:b/>
                <w:kern w:val="0"/>
                <w:sz w:val="21"/>
                <w:szCs w:val="21"/>
                <w:lang w:val="en-US" w:eastAsia="zh-CN"/>
              </w:rPr>
              <w:t>最高得分</w:t>
            </w:r>
          </w:p>
        </w:tc>
        <w:tc>
          <w:tcPr>
            <w:tcW w:w="5225" w:type="dxa"/>
            <w:tcBorders>
              <w:top w:val="single" w:color="000000" w:sz="4" w:space="0"/>
              <w:left w:val="single" w:color="000000" w:sz="4" w:space="0"/>
              <w:bottom w:val="single" w:color="000000" w:sz="4" w:space="0"/>
              <w:right w:val="single" w:color="000000" w:sz="4" w:space="0"/>
            </w:tcBorders>
            <w:tcMar>
              <w:top w:w="15" w:type="dxa"/>
              <w:left w:w="15" w:type="dxa"/>
              <w:bottom w:w="15" w:type="dxa"/>
              <w:right w:w="15" w:type="dxa"/>
            </w:tcMar>
            <w:vAlign w:val="center"/>
          </w:tcPr>
          <w:p>
            <w:pPr>
              <w:widowControl/>
              <w:spacing w:line="360" w:lineRule="auto"/>
              <w:jc w:val="center"/>
              <w:textAlignment w:val="center"/>
              <w:rPr>
                <w:rFonts w:hint="eastAsia" w:ascii="宋体" w:hAnsi="宋体" w:eastAsia="宋体" w:cs="宋体"/>
                <w:b/>
                <w:sz w:val="21"/>
                <w:szCs w:val="21"/>
              </w:rPr>
            </w:pPr>
            <w:r>
              <w:rPr>
                <w:rFonts w:hint="eastAsia" w:ascii="宋体" w:hAnsi="宋体" w:eastAsia="宋体" w:cs="宋体"/>
                <w:b/>
                <w:kern w:val="0"/>
                <w:sz w:val="21"/>
                <w:szCs w:val="21"/>
              </w:rPr>
              <w:t>说明</w:t>
            </w:r>
          </w:p>
        </w:tc>
      </w:tr>
      <w:tr>
        <w:tblPrEx>
          <w:tblCellMar>
            <w:top w:w="0" w:type="dxa"/>
            <w:left w:w="108" w:type="dxa"/>
            <w:bottom w:w="0" w:type="dxa"/>
            <w:right w:w="108" w:type="dxa"/>
          </w:tblCellMar>
        </w:tblPrEx>
        <w:trPr>
          <w:trHeight w:val="473" w:hRule="atLeast"/>
          <w:jc w:val="center"/>
        </w:trPr>
        <w:tc>
          <w:tcPr>
            <w:tcW w:w="105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ind w:left="0" w:leftChars="0" w:firstLine="0" w:firstLineChars="0"/>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p>
            <w:pPr>
              <w:widowControl/>
              <w:ind w:left="0" w:leftChars="0" w:firstLine="0" w:firstLineChars="0"/>
              <w:jc w:val="center"/>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60%</w:t>
            </w:r>
            <w:r>
              <w:rPr>
                <w:rFonts w:hint="eastAsia" w:ascii="宋体" w:hAnsi="宋体" w:eastAsia="宋体" w:cs="宋体"/>
                <w:b/>
                <w:color w:val="auto"/>
                <w:sz w:val="21"/>
                <w:szCs w:val="21"/>
                <w:highlight w:val="none"/>
              </w:rPr>
              <w:t>）</w:t>
            </w:r>
          </w:p>
        </w:tc>
        <w:tc>
          <w:tcPr>
            <w:tcW w:w="1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ind w:left="0" w:leftChars="0" w:firstLine="0" w:firstLineChars="0"/>
              <w:jc w:val="center"/>
              <w:rPr>
                <w:rFonts w:hint="eastAsia" w:ascii="宋体" w:hAnsi="宋体" w:eastAsia="宋体" w:cs="宋体"/>
                <w:b w:val="0"/>
                <w:bCs/>
                <w:color w:val="auto"/>
                <w:kern w:val="0"/>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100</w:t>
            </w:r>
          </w:p>
        </w:tc>
        <w:tc>
          <w:tcPr>
            <w:tcW w:w="1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ind w:left="0" w:leftChars="0" w:firstLine="0" w:firstLineChars="0"/>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投标报价</w:t>
            </w:r>
          </w:p>
        </w:tc>
        <w:tc>
          <w:tcPr>
            <w:tcW w:w="1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ind w:left="0" w:leftChars="0" w:firstLine="0" w:firstLineChars="0"/>
              <w:jc w:val="center"/>
              <w:rPr>
                <w:rFonts w:hint="eastAsia" w:ascii="宋体" w:hAnsi="宋体" w:eastAsia="宋体" w:cs="宋体"/>
                <w:kern w:val="2"/>
                <w:sz w:val="21"/>
                <w:szCs w:val="21"/>
                <w:lang w:val="en-US" w:eastAsia="zh-CN" w:bidi="ar-SA"/>
              </w:rPr>
            </w:pPr>
          </w:p>
        </w:tc>
        <w:tc>
          <w:tcPr>
            <w:tcW w:w="52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jc w:val="left"/>
              <w:rPr>
                <w:rFonts w:hint="eastAsia" w:ascii="宋体" w:hAnsi="宋体" w:eastAsia="宋体" w:cs="宋体"/>
                <w:b w:val="0"/>
                <w:bCs w:val="0"/>
                <w:kern w:val="2"/>
                <w:sz w:val="21"/>
                <w:szCs w:val="21"/>
                <w:lang w:val="en-US" w:eastAsia="zh-CN" w:bidi="ar-SA"/>
              </w:rPr>
            </w:pPr>
            <w:r>
              <w:rPr>
                <w:rFonts w:ascii="Arial" w:hAnsi="Arial" w:cs="Arial"/>
                <w:b w:val="0"/>
                <w:bCs w:val="0"/>
                <w:kern w:val="0"/>
                <w:szCs w:val="21"/>
              </w:rPr>
              <w:t>1.</w:t>
            </w:r>
            <w:r>
              <w:rPr>
                <w:rFonts w:hint="eastAsia" w:ascii="Arial" w:hAnsi="Arial" w:cs="Arial"/>
                <w:b w:val="0"/>
                <w:bCs w:val="0"/>
                <w:kern w:val="0"/>
                <w:szCs w:val="21"/>
              </w:rPr>
              <w:t>商务标得分=当前轮次最低价/供方投标价X商务标总分。</w:t>
            </w:r>
          </w:p>
          <w:p>
            <w:pPr>
              <w:widowControl/>
              <w:ind w:left="0" w:leftChars="0" w:firstLine="0" w:firstLineChars="0"/>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2、</w:t>
            </w:r>
            <w:r>
              <w:rPr>
                <w:rFonts w:ascii="Arial" w:hAnsi="Arial" w:cs="Arial"/>
                <w:b w:val="0"/>
                <w:bCs w:val="0"/>
                <w:kern w:val="0"/>
                <w:szCs w:val="21"/>
              </w:rPr>
              <w:t>评标价格均以元（RMB）为单位计算，百分率、得分值小数点后保留二位，第三位四舍五入。</w:t>
            </w:r>
          </w:p>
          <w:p>
            <w:pPr>
              <w:widowControl/>
              <w:ind w:left="0" w:lef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r>
              <w:rPr>
                <w:rFonts w:hint="eastAsia" w:ascii="宋体" w:hAnsi="宋体" w:eastAsia="宋体" w:cs="宋体"/>
                <w:b/>
                <w:bCs/>
                <w:kern w:val="2"/>
                <w:sz w:val="21"/>
                <w:szCs w:val="21"/>
                <w:lang w:val="en-US" w:eastAsia="zh-CN" w:bidi="ar-SA"/>
              </w:rPr>
              <w:t>评标委员会二分之一以上人员认为某投标总报价有低于成本价嫌疑的，经价值工程部评审确认、价值工程部集团公司业务分管领导审批后，可视为无效报价，不进入下一步评审。</w:t>
            </w:r>
          </w:p>
        </w:tc>
      </w:tr>
      <w:tr>
        <w:tblPrEx>
          <w:tblCellMar>
            <w:top w:w="0" w:type="dxa"/>
            <w:left w:w="108" w:type="dxa"/>
            <w:bottom w:w="0" w:type="dxa"/>
            <w:right w:w="108" w:type="dxa"/>
          </w:tblCellMar>
        </w:tblPrEx>
        <w:trPr>
          <w:trHeight w:val="473" w:hRule="atLeast"/>
          <w:jc w:val="center"/>
        </w:trPr>
        <w:tc>
          <w:tcPr>
            <w:tcW w:w="1057" w:type="dxa"/>
            <w:vMerge w:val="restart"/>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技术部分</w:t>
            </w:r>
          </w:p>
          <w:p>
            <w:pPr>
              <w:jc w:val="center"/>
              <w:rPr>
                <w:rFonts w:hint="eastAsia" w:ascii="宋体" w:hAnsi="宋体" w:eastAsia="宋体" w:cs="宋体"/>
                <w:sz w:val="21"/>
                <w:szCs w:val="21"/>
              </w:rPr>
            </w:pPr>
          </w:p>
          <w:p>
            <w:pPr>
              <w:jc w:val="center"/>
              <w:rPr>
                <w:rFonts w:hint="eastAsia" w:ascii="宋体" w:hAnsi="宋体" w:eastAsia="宋体" w:cs="宋体"/>
                <w:sz w:val="21"/>
                <w:szCs w:val="21"/>
              </w:rPr>
            </w:pP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40%</w:t>
            </w:r>
            <w:r>
              <w:rPr>
                <w:rFonts w:hint="eastAsia" w:ascii="宋体" w:hAnsi="宋体" w:eastAsia="宋体" w:cs="宋体"/>
                <w:b/>
                <w:color w:val="auto"/>
                <w:sz w:val="21"/>
                <w:szCs w:val="21"/>
                <w:highlight w:val="none"/>
              </w:rPr>
              <w:t>）</w:t>
            </w:r>
          </w:p>
        </w:tc>
        <w:tc>
          <w:tcPr>
            <w:tcW w:w="1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rFonts w:hint="default" w:ascii="宋体" w:hAnsi="宋体" w:eastAsia="宋体" w:cs="宋体"/>
                <w:b w:val="0"/>
                <w:bCs/>
                <w:kern w:val="2"/>
                <w:sz w:val="21"/>
                <w:szCs w:val="21"/>
                <w:lang w:val="en-US" w:eastAsia="zh-CN" w:bidi="ar-SA"/>
              </w:rPr>
            </w:pPr>
            <w:r>
              <w:rPr>
                <w:rFonts w:hint="eastAsia" w:ascii="宋体" w:hAnsi="宋体" w:eastAsia="宋体" w:cs="宋体"/>
                <w:b w:val="0"/>
                <w:bCs/>
                <w:sz w:val="21"/>
                <w:szCs w:val="21"/>
                <w:lang w:val="en-US" w:eastAsia="zh-CN"/>
              </w:rPr>
              <w:t>40</w:t>
            </w:r>
          </w:p>
        </w:tc>
        <w:tc>
          <w:tcPr>
            <w:tcW w:w="1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服务方案</w:t>
            </w:r>
          </w:p>
        </w:tc>
        <w:tc>
          <w:tcPr>
            <w:tcW w:w="115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hint="eastAsia" w:ascii="宋体" w:hAnsi="宋体" w:eastAsia="宋体" w:cs="宋体"/>
                <w:sz w:val="21"/>
                <w:szCs w:val="21"/>
              </w:rPr>
            </w:pPr>
          </w:p>
        </w:tc>
        <w:tc>
          <w:tcPr>
            <w:tcW w:w="522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tcPr>
          <w:p>
            <w:pPr>
              <w:pStyle w:val="66"/>
              <w:widowControl/>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1、 服务体系描</w:t>
            </w:r>
            <w:r>
              <w:rPr>
                <w:rFonts w:hint="eastAsia" w:ascii="宋体" w:hAnsi="宋体" w:eastAsia="宋体" w:cs="宋体"/>
                <w:sz w:val="21"/>
                <w:szCs w:val="21"/>
                <w:lang w:val="en-US" w:eastAsia="zh-CN"/>
              </w:rPr>
              <w:t>完整性</w:t>
            </w:r>
            <w:r>
              <w:rPr>
                <w:rFonts w:hint="eastAsia" w:ascii="宋体" w:hAnsi="宋体" w:eastAsia="宋体" w:cs="宋体"/>
                <w:sz w:val="21"/>
                <w:szCs w:val="21"/>
              </w:rPr>
              <w:t>、流程清晰（如事件管理、变更管理），主动运维措施具体。SLA承诺指标（如可用性、响应时间）。（0-</w:t>
            </w:r>
            <w:r>
              <w:rPr>
                <w:rFonts w:hint="eastAsia" w:ascii="宋体" w:hAnsi="宋体" w:eastAsia="宋体" w:cs="宋体"/>
                <w:sz w:val="21"/>
                <w:szCs w:val="21"/>
                <w:lang w:val="en-US" w:eastAsia="zh-CN"/>
              </w:rPr>
              <w:t>15</w:t>
            </w:r>
            <w:r>
              <w:rPr>
                <w:rFonts w:hint="eastAsia" w:ascii="宋体" w:hAnsi="宋体" w:eastAsia="宋体" w:cs="宋体"/>
                <w:sz w:val="21"/>
                <w:szCs w:val="21"/>
              </w:rPr>
              <w:t>分）</w:t>
            </w:r>
          </w:p>
          <w:p>
            <w:pPr>
              <w:pStyle w:val="66"/>
              <w:widowControl/>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2、根据投标人对本项目</w:t>
            </w:r>
            <w:r>
              <w:rPr>
                <w:rFonts w:hint="eastAsia" w:ascii="宋体" w:hAnsi="宋体" w:eastAsia="宋体" w:cs="宋体"/>
                <w:sz w:val="21"/>
                <w:szCs w:val="21"/>
                <w:lang w:val="en-US" w:eastAsia="zh-CN"/>
              </w:rPr>
              <w:t>整体运维</w:t>
            </w:r>
            <w:r>
              <w:rPr>
                <w:rFonts w:hint="eastAsia" w:ascii="宋体" w:hAnsi="宋体" w:eastAsia="宋体" w:cs="宋体"/>
                <w:sz w:val="21"/>
                <w:szCs w:val="21"/>
              </w:rPr>
              <w:t>方案综合评价，根据方案设计合理性和</w:t>
            </w:r>
            <w:r>
              <w:rPr>
                <w:rFonts w:hint="eastAsia" w:ascii="宋体" w:hAnsi="宋体" w:eastAsia="宋体" w:cs="宋体"/>
                <w:sz w:val="21"/>
                <w:szCs w:val="21"/>
                <w:lang w:val="en-US" w:eastAsia="zh-CN"/>
              </w:rPr>
              <w:t>目标可达成</w:t>
            </w:r>
            <w:r>
              <w:rPr>
                <w:rFonts w:hint="eastAsia" w:ascii="宋体" w:hAnsi="宋体" w:eastAsia="宋体" w:cs="宋体"/>
                <w:sz w:val="21"/>
                <w:szCs w:val="21"/>
              </w:rPr>
              <w:t>性综合打分。（0-</w:t>
            </w:r>
            <w:r>
              <w:rPr>
                <w:rFonts w:hint="eastAsia" w:ascii="宋体" w:hAnsi="宋体" w:eastAsia="宋体" w:cs="宋体"/>
                <w:sz w:val="21"/>
                <w:szCs w:val="21"/>
                <w:lang w:val="en-US" w:eastAsia="zh-CN"/>
              </w:rPr>
              <w:t>1</w:t>
            </w:r>
            <w:r>
              <w:rPr>
                <w:rFonts w:hint="eastAsia" w:ascii="宋体" w:hAnsi="宋体" w:eastAsia="宋体" w:cs="宋体"/>
                <w:sz w:val="21"/>
                <w:szCs w:val="21"/>
              </w:rPr>
              <w:t>5分）</w:t>
            </w:r>
          </w:p>
          <w:p>
            <w:pPr>
              <w:pStyle w:val="66"/>
              <w:widowControl/>
              <w:spacing w:line="360" w:lineRule="auto"/>
              <w:ind w:firstLine="0" w:firstLineChars="0"/>
              <w:rPr>
                <w:rFonts w:hint="eastAsia" w:ascii="宋体" w:hAnsi="宋体" w:eastAsia="宋体" w:cs="宋体"/>
                <w:sz w:val="21"/>
                <w:szCs w:val="21"/>
              </w:rPr>
            </w:pPr>
            <w:r>
              <w:rPr>
                <w:rFonts w:hint="eastAsia" w:ascii="宋体" w:hAnsi="宋体" w:eastAsia="宋体" w:cs="宋体"/>
                <w:sz w:val="21"/>
                <w:szCs w:val="21"/>
              </w:rPr>
              <w:t>3、根据投标人制定的项目进度计划安排的合理性、有效性进行综合打分。（0-</w:t>
            </w:r>
            <w:r>
              <w:rPr>
                <w:rFonts w:hint="eastAsia" w:ascii="宋体" w:hAnsi="宋体" w:eastAsia="宋体" w:cs="宋体"/>
                <w:sz w:val="21"/>
                <w:szCs w:val="21"/>
                <w:lang w:val="en-US" w:eastAsia="zh-CN"/>
              </w:rPr>
              <w:t>1</w:t>
            </w:r>
            <w:r>
              <w:rPr>
                <w:rFonts w:hint="eastAsia" w:ascii="宋体" w:hAnsi="宋体" w:eastAsia="宋体" w:cs="宋体"/>
                <w:sz w:val="21"/>
                <w:szCs w:val="21"/>
              </w:rPr>
              <w:t>0分）</w:t>
            </w:r>
          </w:p>
        </w:tc>
      </w:tr>
      <w:tr>
        <w:tblPrEx>
          <w:tblCellMar>
            <w:top w:w="0" w:type="dxa"/>
            <w:left w:w="108" w:type="dxa"/>
            <w:bottom w:w="0" w:type="dxa"/>
            <w:right w:w="108" w:type="dxa"/>
          </w:tblCellMar>
        </w:tblPrEx>
        <w:trPr>
          <w:trHeight w:val="1076" w:hRule="atLeast"/>
          <w:jc w:val="center"/>
        </w:trPr>
        <w:tc>
          <w:tcPr>
            <w:tcW w:w="1057"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hint="eastAsia" w:ascii="宋体" w:hAnsi="宋体" w:eastAsia="宋体" w:cs="宋体"/>
                <w:b/>
                <w:kern w:val="0"/>
                <w:sz w:val="21"/>
                <w:szCs w:val="21"/>
              </w:rPr>
            </w:pPr>
          </w:p>
        </w:tc>
        <w:tc>
          <w:tcPr>
            <w:tcW w:w="1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spacing w:line="360" w:lineRule="auto"/>
              <w:jc w:val="center"/>
              <w:textAlignment w:val="center"/>
              <w:rPr>
                <w:rFonts w:hint="default"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40</w:t>
            </w:r>
          </w:p>
        </w:tc>
        <w:tc>
          <w:tcPr>
            <w:tcW w:w="1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pStyle w:val="66"/>
              <w:widowControl/>
              <w:spacing w:line="360" w:lineRule="auto"/>
              <w:ind w:firstLine="0" w:firstLine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同类行业</w:t>
            </w:r>
          </w:p>
          <w:p>
            <w:pPr>
              <w:pStyle w:val="66"/>
              <w:widowControl/>
              <w:spacing w:line="360" w:lineRule="auto"/>
              <w:ind w:firstLine="0" w:firstLineChars="0"/>
              <w:jc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经验</w:t>
            </w:r>
          </w:p>
        </w:tc>
        <w:tc>
          <w:tcPr>
            <w:tcW w:w="115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66"/>
              <w:widowControl/>
              <w:spacing w:line="360" w:lineRule="auto"/>
              <w:ind w:firstLine="0" w:firstLineChars="0"/>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522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66"/>
              <w:widowControl/>
              <w:numPr>
                <w:ilvl w:val="0"/>
                <w:numId w:val="34"/>
              </w:numPr>
              <w:spacing w:line="276" w:lineRule="auto"/>
              <w:ind w:firstLine="0" w:firstLine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投标人具有</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SAP运维服务实施成功案例</w:t>
            </w:r>
            <w:r>
              <w:rPr>
                <w:rFonts w:hint="eastAsia" w:ascii="宋体" w:hAnsi="宋体" w:eastAsia="宋体" w:cs="宋体"/>
                <w:color w:val="000000" w:themeColor="text1"/>
                <w:kern w:val="2"/>
                <w:sz w:val="21"/>
                <w:szCs w:val="21"/>
                <w:lang w:val="en-US" w:eastAsia="zh-CN" w:bidi="ar-SA"/>
                <w14:textFill>
                  <w14:solidFill>
                    <w14:schemeClr w14:val="tx1"/>
                  </w14:solidFill>
                </w14:textFill>
              </w:rPr>
              <w:t>，每个得分4分，封顶20分。提供相应证明材料（投标人需加盖公章证明）；（0-20分）</w:t>
            </w:r>
          </w:p>
          <w:p>
            <w:pPr>
              <w:pStyle w:val="66"/>
              <w:widowControl/>
              <w:spacing w:line="276" w:lineRule="auto"/>
              <w:ind w:firstLine="0" w:firstLineChars="0"/>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2、根据投标人</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SAP运维服务案例的实施</w:t>
            </w:r>
            <w:r>
              <w:rPr>
                <w:rFonts w:hint="eastAsia" w:ascii="宋体" w:hAnsi="宋体" w:eastAsia="宋体" w:cs="宋体"/>
                <w:color w:val="000000" w:themeColor="text1"/>
                <w:kern w:val="2"/>
                <w:sz w:val="21"/>
                <w:szCs w:val="21"/>
                <w:lang w:val="en-US" w:eastAsia="zh-CN" w:bidi="ar-SA"/>
                <w14:textFill>
                  <w14:solidFill>
                    <w14:schemeClr w14:val="tx1"/>
                  </w14:solidFill>
                </w14:textFill>
              </w:rPr>
              <w:t>过程综合评分</w:t>
            </w:r>
            <w:r>
              <w:rPr>
                <w:rFonts w:hint="eastAsia" w:ascii="宋体" w:hAnsi="宋体" w:eastAsia="宋体" w:cs="宋体"/>
                <w:sz w:val="21"/>
                <w:szCs w:val="21"/>
              </w:rPr>
              <w:t>。（0-</w:t>
            </w:r>
            <w:r>
              <w:rPr>
                <w:rFonts w:hint="eastAsia" w:ascii="宋体" w:hAnsi="宋体" w:eastAsia="宋体" w:cs="宋体"/>
                <w:sz w:val="21"/>
                <w:szCs w:val="21"/>
                <w:lang w:val="en-US" w:eastAsia="zh-CN"/>
              </w:rPr>
              <w:t>20</w:t>
            </w:r>
            <w:r>
              <w:rPr>
                <w:rFonts w:hint="eastAsia" w:ascii="宋体" w:hAnsi="宋体" w:eastAsia="宋体" w:cs="宋体"/>
                <w:sz w:val="21"/>
                <w:szCs w:val="21"/>
              </w:rPr>
              <w:t>分）</w:t>
            </w:r>
          </w:p>
        </w:tc>
      </w:tr>
      <w:tr>
        <w:tblPrEx>
          <w:tblCellMar>
            <w:top w:w="0" w:type="dxa"/>
            <w:left w:w="108" w:type="dxa"/>
            <w:bottom w:w="0" w:type="dxa"/>
            <w:right w:w="108" w:type="dxa"/>
          </w:tblCellMar>
        </w:tblPrEx>
        <w:trPr>
          <w:trHeight w:val="516" w:hRule="atLeast"/>
          <w:jc w:val="center"/>
        </w:trPr>
        <w:tc>
          <w:tcPr>
            <w:tcW w:w="1057" w:type="dxa"/>
            <w:vMerge w:val="continue"/>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hint="eastAsia" w:ascii="宋体" w:hAnsi="宋体" w:eastAsia="宋体" w:cs="宋体"/>
                <w:b/>
                <w:kern w:val="0"/>
                <w:sz w:val="21"/>
                <w:szCs w:val="21"/>
              </w:rPr>
            </w:pPr>
          </w:p>
        </w:tc>
        <w:tc>
          <w:tcPr>
            <w:tcW w:w="1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widowControl/>
              <w:spacing w:line="360" w:lineRule="auto"/>
              <w:jc w:val="center"/>
              <w:textAlignment w:val="center"/>
              <w:rPr>
                <w:rFonts w:hint="eastAsia" w:ascii="宋体" w:hAnsi="宋体" w:eastAsia="宋体" w:cs="宋体"/>
                <w:kern w:val="0"/>
                <w:sz w:val="21"/>
                <w:szCs w:val="21"/>
                <w:lang w:val="en-US" w:eastAsia="zh-CN" w:bidi="ar-SA"/>
              </w:rPr>
            </w:pPr>
            <w:r>
              <w:rPr>
                <w:rFonts w:hint="eastAsia" w:ascii="宋体" w:hAnsi="宋体" w:eastAsia="宋体" w:cs="宋体"/>
                <w:b/>
                <w:sz w:val="21"/>
                <w:szCs w:val="21"/>
                <w:lang w:val="en-US" w:eastAsia="zh-CN"/>
              </w:rPr>
              <w:t>20</w:t>
            </w:r>
          </w:p>
        </w:tc>
        <w:tc>
          <w:tcPr>
            <w:tcW w:w="115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rFonts w:hint="eastAsia" w:ascii="宋体" w:hAnsi="宋体" w:eastAsia="宋体" w:cs="宋体"/>
                <w:sz w:val="21"/>
                <w:szCs w:val="21"/>
              </w:rPr>
            </w:pPr>
            <w:r>
              <w:rPr>
                <w:rFonts w:hint="eastAsia" w:ascii="宋体" w:hAnsi="宋体" w:eastAsia="宋体" w:cs="宋体"/>
                <w:sz w:val="21"/>
                <w:szCs w:val="21"/>
              </w:rPr>
              <w:t>技术保障能力</w:t>
            </w:r>
          </w:p>
          <w:p>
            <w:pPr>
              <w:pStyle w:val="66"/>
              <w:widowControl/>
              <w:spacing w:line="360" w:lineRule="auto"/>
              <w:ind w:firstLine="0" w:firstLineChars="0"/>
              <w:jc w:val="center"/>
              <w:rPr>
                <w:rFonts w:hint="eastAsia" w:ascii="宋体" w:hAnsi="宋体" w:eastAsia="宋体" w:cs="宋体"/>
                <w:kern w:val="2"/>
                <w:sz w:val="21"/>
                <w:szCs w:val="21"/>
                <w:lang w:val="en-US" w:eastAsia="zh-CN" w:bidi="ar-SA"/>
              </w:rPr>
            </w:pPr>
          </w:p>
        </w:tc>
        <w:tc>
          <w:tcPr>
            <w:tcW w:w="115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66"/>
              <w:widowControl/>
              <w:spacing w:line="360" w:lineRule="auto"/>
              <w:ind w:firstLine="0" w:firstLineChars="0"/>
              <w:jc w:val="center"/>
              <w:rPr>
                <w:rFonts w:hint="eastAsia" w:ascii="宋体" w:hAnsi="宋体" w:eastAsia="宋体" w:cs="宋体"/>
                <w:sz w:val="21"/>
                <w:szCs w:val="21"/>
              </w:rPr>
            </w:pPr>
          </w:p>
        </w:tc>
        <w:tc>
          <w:tcPr>
            <w:tcW w:w="5225"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widowControl/>
              <w:numPr>
                <w:ilvl w:val="0"/>
                <w:numId w:val="35"/>
              </w:numPr>
              <w:spacing w:line="360" w:lineRule="auto"/>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明确项目技术团队成员及相应在该项目中承担的角色；</w:t>
            </w:r>
            <w:r>
              <w:rPr>
                <w:rFonts w:hint="eastAsia" w:ascii="宋体" w:hAnsi="宋体" w:eastAsia="宋体" w:cs="宋体"/>
                <w:color w:val="000000"/>
                <w:kern w:val="0"/>
                <w:sz w:val="21"/>
                <w:szCs w:val="21"/>
                <w:lang w:bidi="ar"/>
              </w:rPr>
              <w:t>项目人员名单应包含至少姓名、工种、级别、学历或学位、工作经历等信息。且需提供团队高级人员与应答人的劳务合同或近3个月内其中1个月的缴纳社保证明、学历或学位证书，未提供的视为该成员信息无效。工作年限以学历或学位证书颁发时间作为起始计算。</w:t>
            </w:r>
            <w:r>
              <w:rPr>
                <w:rFonts w:hint="eastAsia" w:ascii="宋体" w:hAnsi="宋体" w:eastAsia="宋体" w:cs="宋体"/>
                <w:kern w:val="0"/>
                <w:sz w:val="21"/>
                <w:szCs w:val="21"/>
                <w:lang w:bidi="ar"/>
              </w:rPr>
              <w:t>（0-</w:t>
            </w:r>
            <w:r>
              <w:rPr>
                <w:rFonts w:hint="eastAsia" w:ascii="宋体" w:hAnsi="宋体" w:eastAsia="宋体" w:cs="宋体"/>
                <w:kern w:val="0"/>
                <w:sz w:val="21"/>
                <w:szCs w:val="21"/>
                <w:lang w:val="en-US" w:eastAsia="zh-CN" w:bidi="ar"/>
              </w:rPr>
              <w:t>10</w:t>
            </w:r>
            <w:r>
              <w:rPr>
                <w:rFonts w:hint="eastAsia" w:ascii="宋体" w:hAnsi="宋体" w:eastAsia="宋体" w:cs="宋体"/>
                <w:kern w:val="0"/>
                <w:sz w:val="21"/>
                <w:szCs w:val="21"/>
                <w:lang w:bidi="ar"/>
              </w:rPr>
              <w:t>分）</w:t>
            </w:r>
          </w:p>
          <w:p>
            <w:pPr>
              <w:widowControl/>
              <w:numPr>
                <w:ilvl w:val="0"/>
                <w:numId w:val="35"/>
              </w:numPr>
              <w:spacing w:line="360" w:lineRule="auto"/>
              <w:jc w:val="left"/>
              <w:textAlignment w:val="center"/>
              <w:rPr>
                <w:rFonts w:hint="eastAsia" w:ascii="宋体" w:hAnsi="宋体" w:eastAsia="宋体" w:cs="宋体"/>
                <w:sz w:val="21"/>
                <w:szCs w:val="21"/>
              </w:rPr>
            </w:pPr>
            <w:r>
              <w:rPr>
                <w:rFonts w:hint="eastAsia" w:ascii="宋体" w:hAnsi="宋体" w:eastAsia="宋体" w:cs="宋体"/>
                <w:kern w:val="0"/>
                <w:sz w:val="21"/>
                <w:szCs w:val="21"/>
                <w:lang w:bidi="ar"/>
              </w:rPr>
              <w:t>满足招标文件（见“项目技术要求”）中服务要求的赋基本分</w:t>
            </w:r>
            <w:r>
              <w:rPr>
                <w:rFonts w:hint="eastAsia" w:ascii="宋体" w:hAnsi="宋体" w:eastAsia="宋体" w:cs="宋体"/>
                <w:kern w:val="0"/>
                <w:sz w:val="21"/>
                <w:szCs w:val="21"/>
                <w:lang w:val="en-US" w:eastAsia="zh-CN" w:bidi="ar"/>
              </w:rPr>
              <w:t>4</w:t>
            </w:r>
            <w:r>
              <w:rPr>
                <w:rFonts w:hint="eastAsia" w:ascii="宋体" w:hAnsi="宋体" w:eastAsia="宋体" w:cs="宋体"/>
                <w:kern w:val="0"/>
                <w:sz w:val="21"/>
                <w:szCs w:val="21"/>
                <w:lang w:bidi="ar"/>
              </w:rPr>
              <w:t>分，承诺有其它额外免费的、或对招标人有利的服务项目或措施的可以加分。（</w:t>
            </w:r>
            <w:r>
              <w:rPr>
                <w:rFonts w:hint="eastAsia" w:ascii="宋体" w:hAnsi="宋体" w:eastAsia="宋体" w:cs="宋体"/>
                <w:kern w:val="0"/>
                <w:sz w:val="21"/>
                <w:szCs w:val="21"/>
                <w:lang w:val="en-US" w:eastAsia="zh-CN" w:bidi="ar"/>
              </w:rPr>
              <w:t>0-10</w:t>
            </w:r>
            <w:r>
              <w:rPr>
                <w:rFonts w:hint="eastAsia" w:ascii="宋体" w:hAnsi="宋体" w:eastAsia="宋体" w:cs="宋体"/>
                <w:kern w:val="0"/>
                <w:sz w:val="21"/>
                <w:szCs w:val="21"/>
                <w:lang w:bidi="ar"/>
              </w:rPr>
              <w:t>分）</w:t>
            </w:r>
          </w:p>
        </w:tc>
      </w:tr>
      <w:tr>
        <w:tblPrEx>
          <w:tblCellMar>
            <w:top w:w="0" w:type="dxa"/>
            <w:left w:w="108" w:type="dxa"/>
            <w:bottom w:w="0" w:type="dxa"/>
            <w:right w:w="108" w:type="dxa"/>
          </w:tblCellMar>
        </w:tblPrEx>
        <w:trPr>
          <w:trHeight w:val="856" w:hRule="atLeast"/>
          <w:jc w:val="center"/>
        </w:trPr>
        <w:tc>
          <w:tcPr>
            <w:tcW w:w="1057" w:type="dxa"/>
            <w:tcBorders>
              <w:top w:val="single" w:color="auto" w:sz="4" w:space="0"/>
              <w:left w:val="single" w:color="000000" w:sz="4" w:space="0"/>
              <w:bottom w:val="single" w:color="auto" w:sz="4" w:space="0"/>
              <w:right w:val="single" w:color="000000" w:sz="4" w:space="0"/>
            </w:tcBorders>
            <w:vAlign w:val="center"/>
          </w:tcPr>
          <w:p>
            <w:pPr>
              <w:widowControl/>
              <w:jc w:val="left"/>
              <w:textAlignment w:val="center"/>
              <w:rPr>
                <w:rFonts w:hint="eastAsia" w:ascii="宋体" w:hAnsi="宋体" w:eastAsia="宋体" w:cs="宋体"/>
                <w:kern w:val="0"/>
                <w:sz w:val="21"/>
                <w:szCs w:val="21"/>
                <w:lang w:bidi="ar"/>
              </w:rPr>
            </w:pPr>
            <w:r>
              <w:rPr>
                <w:rFonts w:hint="eastAsia" w:ascii="宋体" w:hAnsi="宋体" w:eastAsia="宋体" w:cs="宋体"/>
                <w:b/>
                <w:bCs/>
                <w:kern w:val="0"/>
                <w:sz w:val="21"/>
                <w:szCs w:val="21"/>
                <w:lang w:bidi="ar"/>
              </w:rPr>
              <w:t>合计</w:t>
            </w:r>
          </w:p>
        </w:tc>
        <w:tc>
          <w:tcPr>
            <w:tcW w:w="1150" w:type="dxa"/>
            <w:tcBorders>
              <w:top w:val="single" w:color="auto"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b/>
                <w:sz w:val="21"/>
                <w:szCs w:val="21"/>
              </w:rPr>
              <w:t>100</w:t>
            </w:r>
          </w:p>
        </w:tc>
        <w:tc>
          <w:tcPr>
            <w:tcW w:w="1150" w:type="dxa"/>
            <w:tcBorders>
              <w:top w:val="single" w:color="auto" w:sz="4" w:space="0"/>
              <w:left w:val="single" w:color="000000" w:sz="4" w:space="0"/>
              <w:bottom w:val="single" w:color="auto" w:sz="4" w:space="0"/>
              <w:right w:val="single" w:color="000000" w:sz="4" w:space="0"/>
            </w:tcBorders>
            <w:vAlign w:val="center"/>
          </w:tcPr>
          <w:p>
            <w:pPr>
              <w:jc w:val="center"/>
              <w:rPr>
                <w:rFonts w:hint="eastAsia" w:ascii="宋体" w:hAnsi="宋体" w:eastAsia="宋体" w:cs="宋体"/>
                <w:b/>
                <w:sz w:val="21"/>
                <w:szCs w:val="21"/>
              </w:rPr>
            </w:pPr>
          </w:p>
        </w:tc>
        <w:tc>
          <w:tcPr>
            <w:tcW w:w="1150" w:type="dxa"/>
            <w:tcBorders>
              <w:top w:val="single" w:color="auto" w:sz="4" w:space="0"/>
              <w:left w:val="single" w:color="000000" w:sz="4" w:space="0"/>
              <w:bottom w:val="single" w:color="auto" w:sz="4" w:space="0"/>
              <w:right w:val="single" w:color="000000" w:sz="4" w:space="0"/>
            </w:tcBorders>
            <w:vAlign w:val="center"/>
          </w:tcPr>
          <w:p>
            <w:pPr>
              <w:widowControl/>
              <w:jc w:val="left"/>
              <w:textAlignment w:val="center"/>
              <w:rPr>
                <w:rFonts w:hint="eastAsia" w:ascii="宋体" w:hAnsi="宋体" w:eastAsia="宋体" w:cs="宋体"/>
                <w:kern w:val="0"/>
                <w:sz w:val="21"/>
                <w:szCs w:val="21"/>
                <w:lang w:bidi="ar"/>
              </w:rPr>
            </w:pPr>
          </w:p>
        </w:tc>
        <w:tc>
          <w:tcPr>
            <w:tcW w:w="5225" w:type="dxa"/>
            <w:tcBorders>
              <w:top w:val="single" w:color="auto" w:sz="4" w:space="0"/>
              <w:left w:val="single" w:color="000000" w:sz="4" w:space="0"/>
              <w:bottom w:val="single" w:color="auto" w:sz="4" w:space="0"/>
              <w:right w:val="single" w:color="000000" w:sz="4" w:space="0"/>
            </w:tcBorders>
            <w:vAlign w:val="center"/>
          </w:tcPr>
          <w:p>
            <w:pPr>
              <w:widowControl/>
              <w:jc w:val="left"/>
              <w:textAlignment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总分=商务部分*60%+技术部分*40%</w:t>
            </w:r>
          </w:p>
        </w:tc>
      </w:tr>
      <w:tr>
        <w:tblPrEx>
          <w:tblCellMar>
            <w:top w:w="0" w:type="dxa"/>
            <w:left w:w="108" w:type="dxa"/>
            <w:bottom w:w="0" w:type="dxa"/>
            <w:right w:w="108" w:type="dxa"/>
          </w:tblCellMar>
        </w:tblPrEx>
        <w:trPr>
          <w:trHeight w:val="856" w:hRule="atLeast"/>
          <w:jc w:val="center"/>
        </w:trPr>
        <w:tc>
          <w:tcPr>
            <w:tcW w:w="9732" w:type="dxa"/>
            <w:gridSpan w:val="5"/>
            <w:tcBorders>
              <w:top w:val="single" w:color="auto" w:sz="4" w:space="0"/>
              <w:left w:val="single" w:color="000000" w:sz="4" w:space="0"/>
              <w:bottom w:val="single" w:color="000000" w:sz="4" w:space="0"/>
              <w:right w:val="single" w:color="000000" w:sz="4" w:space="0"/>
            </w:tcBorders>
            <w:vAlign w:val="center"/>
          </w:tcPr>
          <w:p>
            <w:pPr>
              <w:rPr>
                <w:rFonts w:ascii="宋体"/>
                <w:szCs w:val="21"/>
              </w:rPr>
            </w:pPr>
            <w:r>
              <w:rPr>
                <w:rFonts w:hint="eastAsia" w:ascii="宋体" w:hAnsi="宋体"/>
              </w:rPr>
              <w:t>备注：</w:t>
            </w:r>
          </w:p>
          <w:p>
            <w:pPr>
              <w:rPr>
                <w:rFonts w:ascii="宋体"/>
              </w:rPr>
            </w:pPr>
            <w:r>
              <w:rPr>
                <w:rFonts w:hint="eastAsia" w:ascii="宋体" w:hAnsi="宋体"/>
              </w:rPr>
              <w:t>1、通过初审者为有效投标。</w:t>
            </w:r>
          </w:p>
          <w:p>
            <w:pPr>
              <w:rPr>
                <w:rFonts w:hint="eastAsia" w:ascii="宋体" w:hAnsi="宋体"/>
              </w:rPr>
            </w:pPr>
            <w:r>
              <w:rPr>
                <w:rFonts w:hint="eastAsia" w:ascii="宋体" w:hAnsi="宋体"/>
                <w:lang w:val="en-US" w:eastAsia="zh-CN"/>
              </w:rPr>
              <w:t>2</w:t>
            </w:r>
            <w:r>
              <w:rPr>
                <w:rFonts w:hint="eastAsia" w:ascii="宋体" w:hAnsi="宋体"/>
              </w:rPr>
              <w:t>、评委打分超过得分界限或未按本方法赋分时，该评委的打分按废票处理。</w:t>
            </w:r>
          </w:p>
          <w:p>
            <w:pPr>
              <w:widowControl/>
              <w:jc w:val="left"/>
              <w:textAlignment w:val="center"/>
              <w:rPr>
                <w:rFonts w:hint="eastAsia" w:ascii="宋体" w:hAnsi="宋体" w:eastAsia="宋体" w:cs="宋体"/>
                <w:kern w:val="0"/>
                <w:sz w:val="21"/>
                <w:szCs w:val="21"/>
                <w:lang w:val="en-US" w:eastAsia="zh-CN" w:bidi="ar"/>
              </w:rPr>
            </w:pPr>
            <w:r>
              <w:rPr>
                <w:rFonts w:hint="eastAsia" w:ascii="宋体" w:hAnsi="宋体"/>
                <w:lang w:val="en-US" w:eastAsia="zh-CN"/>
              </w:rPr>
              <w:t>3</w:t>
            </w: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pPr>
        <w:pStyle w:val="76"/>
      </w:pPr>
      <w:r>
        <w:rPr>
          <w:rFonts w:hint="eastAsia"/>
        </w:rPr>
        <w:t>定标</w:t>
      </w:r>
    </w:p>
    <w:p>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pPr>
        <w:pStyle w:val="76"/>
      </w:pPr>
      <w:r>
        <w:rPr>
          <w:rFonts w:hint="eastAsia"/>
        </w:rPr>
        <w:t>废标及终止招标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yellow"/>
          <w:lang w:val="en-US" w:eastAsia="zh-CN" w:bidi="ar-SA"/>
        </w:rPr>
        <w:t>(9)</w:t>
      </w:r>
      <w:r>
        <w:rPr>
          <w:rFonts w:hint="eastAsia" w:ascii="宋体" w:hAnsi="宋体" w:eastAsia="宋体" w:cs="宋体"/>
          <w:sz w:val="21"/>
          <w:szCs w:val="21"/>
          <w:highlight w:val="yellow"/>
        </w:rPr>
        <w:t>有效投标不足三家</w:t>
      </w:r>
      <w:r>
        <w:rPr>
          <w:rFonts w:hint="eastAsia" w:ascii="宋体" w:hAnsi="宋体" w:eastAsia="宋体" w:cs="宋体"/>
          <w:sz w:val="21"/>
          <w:szCs w:val="21"/>
          <w:highlight w:val="none"/>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cs="宋体"/>
          <w:color w:val="000000"/>
          <w:szCs w:val="21"/>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pPr>
        <w:spacing w:line="360" w:lineRule="auto"/>
        <w:ind w:left="425" w:right="2" w:hanging="425"/>
        <w:rPr>
          <w:rFonts w:hint="eastAsia"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9" w:name="OLE_LINK27"/>
      <w:bookmarkStart w:id="20" w:name="OLE_LINK28"/>
      <w:bookmarkStart w:id="21" w:name="OLE_LINK25"/>
      <w:bookmarkStart w:id="22" w:name="OLE_LINK26"/>
      <w:bookmarkStart w:id="23" w:name="OLE_LINK29"/>
      <w:r>
        <w:rPr>
          <w:rFonts w:hint="eastAsia" w:ascii="宋体" w:hAnsi="宋体" w:eastAsia="宋体" w:cs="宋体"/>
          <w:bCs/>
          <w:sz w:val="21"/>
          <w:szCs w:val="21"/>
          <w:highlight w:val="none"/>
        </w:rPr>
        <w:t>；</w:t>
      </w:r>
      <w:bookmarkEnd w:id="19"/>
      <w:bookmarkEnd w:id="20"/>
      <w:bookmarkEnd w:id="21"/>
      <w:bookmarkEnd w:id="22"/>
      <w:bookmarkEnd w:id="23"/>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76"/>
      </w:pPr>
      <w:r>
        <w:rPr>
          <w:rFonts w:hint="eastAsia"/>
        </w:rPr>
        <w:t>合同签订</w:t>
      </w:r>
    </w:p>
    <w:p>
      <w:pPr>
        <w:spacing w:line="360" w:lineRule="auto"/>
        <w:rPr>
          <w:rFonts w:hint="eastAsia"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pPr>
        <w:spacing w:line="360" w:lineRule="auto"/>
        <w:rPr>
          <w:rFonts w:hint="eastAsia"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pPr>
        <w:spacing w:line="360" w:lineRule="auto"/>
        <w:rPr>
          <w:rFonts w:hint="eastAsia"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pPr>
        <w:spacing w:line="360" w:lineRule="auto"/>
        <w:rPr>
          <w:rFonts w:hint="eastAsia"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pPr>
        <w:spacing w:line="360" w:lineRule="auto"/>
        <w:rPr>
          <w:rFonts w:hint="eastAsia" w:ascii="宋体" w:hAnsi="宋体" w:cs="宋体"/>
          <w:color w:val="000000"/>
          <w:szCs w:val="21"/>
        </w:rPr>
      </w:pPr>
      <w:r>
        <w:rPr>
          <w:rFonts w:hint="eastAsia" w:ascii="宋体" w:hAnsi="宋体" w:cs="宋体"/>
          <w:b/>
          <w:szCs w:val="21"/>
        </w:rPr>
        <w:t>5.合同以双方最终签署的版本为准。</w:t>
      </w:r>
    </w:p>
    <w:p>
      <w:pPr>
        <w:pStyle w:val="76"/>
      </w:pPr>
      <w:r>
        <w:rPr>
          <w:rFonts w:hint="eastAsia"/>
        </w:rPr>
        <w:t>交货及付款</w:t>
      </w:r>
    </w:p>
    <w:p>
      <w:pPr>
        <w:pStyle w:val="76"/>
        <w:numPr>
          <w:ilvl w:val="0"/>
          <w:numId w:val="36"/>
        </w:numP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交货期：</w:t>
      </w:r>
      <w:r>
        <w:rPr>
          <w:rFonts w:hint="eastAsia" w:ascii="宋体" w:hAnsi="宋体" w:eastAsia="宋体" w:cs="宋体"/>
          <w:b w:val="0"/>
          <w:bCs w:val="0"/>
          <w:sz w:val="21"/>
          <w:szCs w:val="21"/>
          <w:highlight w:val="yellow"/>
          <w:lang w:val="en-US" w:eastAsia="zh-CN"/>
        </w:rPr>
        <w:t xml:space="preserve"> 合同生效起至该项目验收前</w:t>
      </w:r>
    </w:p>
    <w:p>
      <w:pPr>
        <w:pStyle w:val="76"/>
        <w:numPr>
          <w:ilvl w:val="0"/>
          <w:numId w:val="36"/>
        </w:numP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交货地点：招标人指定地点</w:t>
      </w:r>
    </w:p>
    <w:p>
      <w:pPr>
        <w:pStyle w:val="76"/>
        <w:numPr>
          <w:ilvl w:val="0"/>
          <w:numId w:val="36"/>
        </w:numPr>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交货方式：</w:t>
      </w:r>
      <w:r>
        <w:rPr>
          <w:rFonts w:hint="eastAsia" w:ascii="宋体" w:hAnsi="宋体" w:eastAsia="宋体" w:cs="宋体"/>
          <w:b w:val="0"/>
          <w:bCs w:val="0"/>
          <w:sz w:val="21"/>
          <w:szCs w:val="21"/>
          <w:highlight w:val="yellow"/>
          <w:lang w:val="en-US" w:eastAsia="zh-CN"/>
        </w:rPr>
        <w:t>现场服务+远程支持</w:t>
      </w:r>
    </w:p>
    <w:p>
      <w:pPr>
        <w:pStyle w:val="76"/>
        <w:numPr>
          <w:ilvl w:val="0"/>
          <w:numId w:val="36"/>
        </w:numP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付款方式：半年期商业汇票（包括银行承兑汇票和商业承兑汇票）</w:t>
      </w:r>
    </w:p>
    <w:p>
      <w:pPr>
        <w:pStyle w:val="76"/>
        <w:numPr>
          <w:ilvl w:val="0"/>
          <w:numId w:val="36"/>
        </w:numPr>
        <w:ind w:left="425" w:leftChars="0" w:hanging="425" w:firstLine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付款节点：</w:t>
      </w:r>
    </w:p>
    <w:p>
      <w:pPr>
        <w:pStyle w:val="66"/>
        <w:keepNext w:val="0"/>
        <w:keepLines w:val="0"/>
        <w:pageBreakBefore w:val="0"/>
        <w:widowControl w:val="0"/>
        <w:numPr>
          <w:ilvl w:val="0"/>
          <w:numId w:val="37"/>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cs="宋体"/>
          <w:b w:val="0"/>
          <w:bCs w:val="0"/>
          <w:kern w:val="2"/>
          <w:sz w:val="21"/>
          <w:szCs w:val="21"/>
          <w:highlight w:val="none"/>
          <w:lang w:val="en-US" w:eastAsia="zh-CN" w:bidi="ar-SA"/>
        </w:rPr>
      </w:pPr>
      <w:r>
        <w:rPr>
          <w:rFonts w:hint="eastAsia" w:ascii="宋体" w:hAnsi="宋体" w:eastAsia="宋体" w:cs="宋体"/>
          <w:sz w:val="21"/>
          <w:szCs w:val="21"/>
          <w:highlight w:val="none"/>
          <w:lang w:val="en-US" w:eastAsia="zh-CN"/>
        </w:rPr>
        <w:t>系统运维服务费（</w:t>
      </w:r>
      <w:r>
        <w:rPr>
          <w:rFonts w:hint="eastAsia" w:ascii="宋体" w:hAnsi="宋体" w:cs="宋体"/>
          <w:sz w:val="21"/>
          <w:szCs w:val="21"/>
          <w:highlight w:val="none"/>
          <w:lang w:val="en-US" w:eastAsia="zh-CN"/>
        </w:rPr>
        <w:t>9</w:t>
      </w: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w:t>
      </w:r>
      <w:r>
        <w:rPr>
          <w:rFonts w:hint="eastAsia" w:ascii="宋体" w:hAnsi="宋体" w:cs="宋体"/>
          <w:sz w:val="21"/>
          <w:szCs w:val="21"/>
          <w:highlight w:val="none"/>
          <w:lang w:val="en-US" w:eastAsia="zh-CN"/>
        </w:rPr>
        <w:t>一年</w:t>
      </w:r>
      <w:r>
        <w:rPr>
          <w:rFonts w:hint="eastAsia" w:ascii="宋体" w:hAnsi="宋体" w:eastAsia="宋体" w:cs="宋体"/>
          <w:sz w:val="21"/>
          <w:szCs w:val="21"/>
          <w:highlight w:val="none"/>
        </w:rPr>
        <w:t>后开具合同价款10%的收据后支付</w:t>
      </w:r>
    </w:p>
    <w:p>
      <w:pPr>
        <w:pStyle w:val="66"/>
        <w:keepNext w:val="0"/>
        <w:keepLines w:val="0"/>
        <w:pageBreakBefore w:val="0"/>
        <w:widowControl w:val="0"/>
        <w:numPr>
          <w:ilvl w:val="0"/>
          <w:numId w:val="37"/>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业务应用运维（100%）</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按季度结算，</w:t>
      </w:r>
      <w:r>
        <w:rPr>
          <w:rFonts w:hint="eastAsia" w:ascii="宋体" w:hAnsi="宋体" w:eastAsia="宋体" w:cs="宋体"/>
          <w:sz w:val="21"/>
          <w:szCs w:val="21"/>
          <w:highlight w:val="none"/>
        </w:rPr>
        <w:t>乙方完成甲方的需求，乙方开具合同价款100%的收据并增值税专用发票，经甲方核对无误后支付。</w:t>
      </w:r>
    </w:p>
    <w:p>
      <w:pPr>
        <w:pStyle w:val="119"/>
        <w:numPr>
          <w:ilvl w:val="0"/>
          <w:numId w:val="0"/>
        </w:numPr>
        <w:ind w:leftChars="200"/>
        <w:jc w:val="both"/>
        <w:rPr>
          <w:rFonts w:hint="eastAsia" w:ascii="宋体" w:hAnsi="宋体" w:eastAsia="宋体" w:cs="宋体"/>
          <w:b w:val="0"/>
          <w:bCs w:val="0"/>
          <w:kern w:val="2"/>
          <w:sz w:val="21"/>
          <w:szCs w:val="21"/>
          <w:highlight w:val="none"/>
          <w:lang w:val="en-US" w:eastAsia="zh-CN" w:bidi="ar-SA"/>
        </w:rPr>
      </w:pPr>
    </w:p>
    <w:p>
      <w:pPr>
        <w:pStyle w:val="76"/>
      </w:pPr>
      <w:r>
        <w:rPr>
          <w:rFonts w:hint="eastAsia"/>
        </w:rPr>
        <w:t>质保金</w:t>
      </w:r>
    </w:p>
    <w:p>
      <w:pPr>
        <w:pStyle w:val="76"/>
        <w:numPr>
          <w:ilvl w:val="0"/>
          <w:numId w:val="0"/>
        </w:numPr>
        <w:ind w:leftChars="0"/>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项目上线并验收后1年后，剩余百分之十待甲方评估且签署确认文件后在30日内支付。</w:t>
      </w:r>
    </w:p>
    <w:p>
      <w:pPr>
        <w:pStyle w:val="76"/>
        <w:rPr>
          <w:rFonts w:hint="eastAsia"/>
        </w:rPr>
      </w:pPr>
      <w:r>
        <w:rPr>
          <w:rFonts w:hint="eastAsia"/>
        </w:rPr>
        <w:t>本次招标最终解释权归中国重汽集团</w:t>
      </w:r>
      <w:r>
        <w:rPr>
          <w:rFonts w:hint="eastAsia"/>
          <w:lang w:val="en-US" w:eastAsia="zh-CN"/>
        </w:rPr>
        <w:t>济南动力</w:t>
      </w:r>
      <w:r>
        <w:rPr>
          <w:rFonts w:hint="eastAsia"/>
        </w:rPr>
        <w:t>有限</w:t>
      </w:r>
      <w:r>
        <w:rPr>
          <w:rFonts w:hint="eastAsia"/>
          <w:lang w:val="en-US" w:eastAsia="zh-CN"/>
        </w:rPr>
        <w:t>公司。</w:t>
      </w:r>
    </w:p>
    <w:p>
      <w:pPr>
        <w:rPr>
          <w:rFonts w:hint="eastAsia" w:hAnsi="宋体"/>
          <w:sz w:val="24"/>
        </w:rPr>
      </w:pPr>
      <w:r>
        <w:rPr>
          <w:rFonts w:hint="eastAsia" w:hAnsi="宋体"/>
          <w:sz w:val="24"/>
        </w:rPr>
        <w:br w:type="page"/>
      </w:r>
    </w:p>
    <w:p>
      <w:pPr>
        <w:pStyle w:val="75"/>
        <w:jc w:val="center"/>
        <w:rPr>
          <w:rFonts w:hint="default" w:eastAsia="黑体"/>
          <w:lang w:val="en-US" w:eastAsia="zh-CN"/>
        </w:rPr>
      </w:pPr>
      <w:bookmarkStart w:id="24" w:name="_Toc6365"/>
      <w:r>
        <w:rPr>
          <w:rFonts w:hint="eastAsia"/>
        </w:rPr>
        <w:t>第二部分　</w:t>
      </w:r>
      <w:r>
        <w:rPr>
          <w:rFonts w:hint="eastAsia"/>
          <w:lang w:val="en-US" w:eastAsia="zh-CN"/>
        </w:rPr>
        <w:t>技术标书</w:t>
      </w:r>
      <w:bookmarkEnd w:id="24"/>
    </w:p>
    <w:p>
      <w:pPr>
        <w:pStyle w:val="80"/>
        <w:rPr>
          <w:rFonts w:hint="eastAsia" w:hAnsi="宋体"/>
          <w:sz w:val="24"/>
        </w:rPr>
      </w:pPr>
    </w:p>
    <w:bookmarkEnd w:id="1"/>
    <w:bookmarkEnd w:id="2"/>
    <w:p>
      <w:pPr>
        <w:pStyle w:val="3"/>
        <w:keepNext w:val="0"/>
        <w:keepLines w:val="0"/>
        <w:pageBreakBefore w:val="0"/>
        <w:widowControl w:val="0"/>
        <w:numPr>
          <w:ilvl w:val="0"/>
          <w:numId w:val="38"/>
        </w:numPr>
        <w:kinsoku/>
        <w:wordWrap/>
        <w:overflowPunct/>
        <w:topLinePunct w:val="0"/>
        <w:autoSpaceDE/>
        <w:autoSpaceDN/>
        <w:bidi w:val="0"/>
        <w:adjustRightInd/>
        <w:snapToGrid/>
        <w:spacing w:before="0" w:after="0" w:line="360" w:lineRule="auto"/>
        <w:ind w:left="0" w:leftChars="0" w:firstLine="420" w:firstLineChars="0"/>
        <w:textAlignment w:val="auto"/>
        <w:rPr>
          <w:rFonts w:ascii="黑体" w:hAnsi="黑体" w:eastAsia="黑体"/>
          <w:b/>
          <w:bCs w:val="0"/>
          <w:sz w:val="28"/>
          <w:szCs w:val="28"/>
          <w:highlight w:val="none"/>
        </w:rPr>
      </w:pPr>
      <w:bookmarkStart w:id="25" w:name="_Toc1388"/>
      <w:bookmarkStart w:id="26" w:name="_Toc164776209"/>
      <w:bookmarkStart w:id="27" w:name="_Toc47976609"/>
      <w:r>
        <w:rPr>
          <w:rFonts w:hint="eastAsia" w:ascii="黑体" w:hAnsi="黑体" w:eastAsia="黑体"/>
          <w:b/>
          <w:bCs w:val="0"/>
          <w:sz w:val="28"/>
          <w:szCs w:val="28"/>
          <w:highlight w:val="none"/>
        </w:rPr>
        <w:t>项目说明</w:t>
      </w:r>
      <w:bookmarkEnd w:id="25"/>
      <w:bookmarkEnd w:id="26"/>
    </w:p>
    <w:p>
      <w:pPr>
        <w:autoSpaceDE w:val="0"/>
        <w:autoSpaceDN w:val="0"/>
        <w:adjustRightInd w:val="0"/>
        <w:snapToGrid w:val="0"/>
        <w:spacing w:line="360" w:lineRule="auto"/>
        <w:ind w:firstLine="403" w:firstLineChars="192"/>
        <w:jc w:val="both"/>
        <w:rPr>
          <w:rFonts w:hint="eastAsia" w:ascii="宋体" w:hAnsi="宋体" w:eastAsia="宋体" w:cs="宋体"/>
          <w:sz w:val="21"/>
          <w:szCs w:val="21"/>
          <w:highlight w:val="none"/>
          <w:lang w:val="zh-CN"/>
        </w:rPr>
      </w:pPr>
      <w:bookmarkStart w:id="28" w:name="_Toc519161988"/>
      <w:r>
        <w:rPr>
          <w:rFonts w:hint="eastAsia" w:ascii="宋体" w:hAnsi="宋体" w:eastAsia="宋体" w:cs="宋体"/>
          <w:sz w:val="21"/>
          <w:szCs w:val="21"/>
          <w:highlight w:val="none"/>
          <w:lang w:val="zh-CN"/>
        </w:rPr>
        <w:t>目前中国重汽集团</w:t>
      </w:r>
      <w:r>
        <w:rPr>
          <w:rFonts w:hint="eastAsia" w:ascii="宋体" w:hAnsi="宋体" w:eastAsia="宋体" w:cs="宋体"/>
          <w:sz w:val="21"/>
          <w:szCs w:val="21"/>
          <w:highlight w:val="none"/>
          <w:lang w:val="en-US" w:eastAsia="zh-CN"/>
        </w:rPr>
        <w:t>已实现</w:t>
      </w:r>
      <w:r>
        <w:rPr>
          <w:rFonts w:hint="eastAsia" w:ascii="宋体" w:hAnsi="宋体" w:eastAsia="宋体" w:cs="宋体"/>
          <w:sz w:val="21"/>
          <w:szCs w:val="21"/>
          <w:highlight w:val="none"/>
          <w:lang w:val="zh-CN"/>
        </w:rPr>
        <w:t>19家制造单位和59家财务公司SAP系统</w:t>
      </w:r>
      <w:r>
        <w:rPr>
          <w:rFonts w:hint="eastAsia" w:ascii="宋体" w:hAnsi="宋体" w:eastAsia="宋体" w:cs="宋体"/>
          <w:sz w:val="21"/>
          <w:szCs w:val="21"/>
          <w:highlight w:val="none"/>
          <w:lang w:val="en-US" w:eastAsia="zh-CN"/>
        </w:rPr>
        <w:t>的</w:t>
      </w:r>
      <w:r>
        <w:rPr>
          <w:rFonts w:hint="eastAsia" w:ascii="宋体" w:hAnsi="宋体" w:eastAsia="宋体" w:cs="宋体"/>
          <w:sz w:val="21"/>
          <w:szCs w:val="21"/>
          <w:highlight w:val="none"/>
          <w:lang w:val="zh-CN"/>
        </w:rPr>
        <w:t>上线，实现业务财务一体化。随公司运营需要、数字化建设快速推进和各子公司业务变化及增长，对SAP系统及其运维工作也提出了更高的要求。</w:t>
      </w:r>
    </w:p>
    <w:p>
      <w:pPr>
        <w:autoSpaceDE w:val="0"/>
        <w:autoSpaceDN w:val="0"/>
        <w:adjustRightInd w:val="0"/>
        <w:snapToGrid w:val="0"/>
        <w:spacing w:line="360" w:lineRule="auto"/>
        <w:ind w:firstLine="403" w:firstLineChars="192"/>
        <w:jc w:val="both"/>
        <w:rPr>
          <w:rFonts w:hint="eastAsia" w:ascii="仿宋" w:hAnsi="仿宋" w:eastAsia="仿宋"/>
          <w:sz w:val="24"/>
          <w:highlight w:val="none"/>
          <w:lang w:val="zh-CN"/>
        </w:rPr>
      </w:pPr>
      <w:r>
        <w:rPr>
          <w:rFonts w:hint="eastAsia" w:ascii="宋体" w:hAnsi="宋体" w:eastAsia="宋体" w:cs="宋体"/>
          <w:sz w:val="21"/>
          <w:szCs w:val="21"/>
          <w:highlight w:val="none"/>
          <w:lang w:val="en-US" w:eastAsia="zh-CN"/>
        </w:rPr>
        <w:t>项目</w:t>
      </w:r>
      <w:r>
        <w:rPr>
          <w:rFonts w:hint="eastAsia" w:ascii="宋体" w:hAnsi="宋体" w:eastAsia="宋体" w:cs="宋体"/>
          <w:sz w:val="21"/>
          <w:szCs w:val="21"/>
          <w:highlight w:val="none"/>
          <w:lang w:val="zh-CN"/>
        </w:rPr>
        <w:t>旨在通过公平、公正的</w:t>
      </w:r>
      <w:r>
        <w:rPr>
          <w:rFonts w:hint="eastAsia" w:ascii="宋体" w:hAnsi="宋体" w:eastAsia="宋体" w:cs="宋体"/>
          <w:sz w:val="21"/>
          <w:szCs w:val="21"/>
          <w:highlight w:val="none"/>
          <w:lang w:val="en-US" w:eastAsia="zh-CN"/>
        </w:rPr>
        <w:t>公开招标</w:t>
      </w:r>
      <w:r>
        <w:rPr>
          <w:rFonts w:hint="eastAsia" w:ascii="宋体" w:hAnsi="宋体" w:eastAsia="宋体" w:cs="宋体"/>
          <w:sz w:val="21"/>
          <w:szCs w:val="21"/>
          <w:highlight w:val="none"/>
          <w:lang w:val="zh-CN"/>
        </w:rPr>
        <w:t>机制，选择技术能力、行业经验、服务质量及成本控制等方面综合实力突出的合作伙伴，为中国重汽提供全面的SAP系统运维服务，保障系统安全、稳定、高效运行</w:t>
      </w:r>
      <w:r>
        <w:rPr>
          <w:rFonts w:hint="eastAsia" w:ascii="仿宋" w:hAnsi="仿宋" w:eastAsia="仿宋"/>
          <w:sz w:val="24"/>
          <w:highlight w:val="none"/>
          <w:lang w:val="zh-CN"/>
        </w:rPr>
        <w:t>。</w:t>
      </w:r>
    </w:p>
    <w:p>
      <w:pPr>
        <w:pStyle w:val="3"/>
        <w:keepNext w:val="0"/>
        <w:keepLines w:val="0"/>
        <w:pageBreakBefore w:val="0"/>
        <w:widowControl w:val="0"/>
        <w:numPr>
          <w:ilvl w:val="0"/>
          <w:numId w:val="38"/>
        </w:numPr>
        <w:kinsoku/>
        <w:wordWrap/>
        <w:overflowPunct/>
        <w:topLinePunct w:val="0"/>
        <w:autoSpaceDE/>
        <w:autoSpaceDN/>
        <w:bidi w:val="0"/>
        <w:adjustRightInd/>
        <w:snapToGrid/>
        <w:spacing w:before="0" w:after="0" w:line="360" w:lineRule="auto"/>
        <w:ind w:left="0" w:leftChars="0" w:firstLine="420" w:firstLineChars="0"/>
        <w:jc w:val="both"/>
        <w:textAlignment w:val="auto"/>
        <w:rPr>
          <w:rFonts w:ascii="黑体" w:hAnsi="黑体" w:eastAsia="黑体"/>
          <w:b/>
          <w:bCs w:val="0"/>
          <w:sz w:val="28"/>
          <w:szCs w:val="28"/>
          <w:highlight w:val="none"/>
          <w:lang w:val="zh-CN"/>
        </w:rPr>
      </w:pPr>
      <w:bookmarkStart w:id="29" w:name="_Toc12586"/>
      <w:r>
        <w:rPr>
          <w:rFonts w:hint="eastAsia" w:ascii="黑体" w:hAnsi="黑体" w:eastAsia="黑体"/>
          <w:b/>
          <w:bCs w:val="0"/>
          <w:sz w:val="28"/>
          <w:szCs w:val="28"/>
          <w:highlight w:val="none"/>
          <w:lang w:val="en-US" w:eastAsia="zh-CN"/>
        </w:rPr>
        <w:t>项目目标</w:t>
      </w:r>
      <w:bookmarkEnd w:id="29"/>
    </w:p>
    <w:p>
      <w:pPr>
        <w:pStyle w:val="121"/>
        <w:numPr>
          <w:ilvl w:val="0"/>
          <w:numId w:val="39"/>
        </w:numPr>
        <w:ind w:left="425" w:leftChars="0" w:hanging="425" w:firstLineChars="0"/>
        <w:jc w:val="both"/>
        <w:rPr>
          <w:rFonts w:hint="eastAsia" w:ascii="宋体" w:hAnsi="宋体" w:eastAsia="宋体" w:cs="宋体"/>
          <w:b/>
          <w:bCs/>
          <w:kern w:val="2"/>
          <w:sz w:val="21"/>
          <w:szCs w:val="21"/>
          <w:highlight w:val="none"/>
          <w:lang w:val="zh-CN" w:eastAsia="zh-CN" w:bidi="ar-SA"/>
        </w:rPr>
      </w:pPr>
      <w:r>
        <w:rPr>
          <w:rFonts w:hint="eastAsia" w:ascii="宋体" w:hAnsi="宋体" w:eastAsia="宋体" w:cs="宋体"/>
          <w:b/>
          <w:bCs/>
          <w:kern w:val="2"/>
          <w:sz w:val="21"/>
          <w:szCs w:val="21"/>
          <w:highlight w:val="none"/>
          <w:lang w:val="en-US" w:eastAsia="zh-CN" w:bidi="ar-SA"/>
        </w:rPr>
        <w:t>系统基础运维</w:t>
      </w:r>
    </w:p>
    <w:p>
      <w:pPr>
        <w:numPr>
          <w:ilvl w:val="0"/>
          <w:numId w:val="40"/>
        </w:numPr>
        <w:spacing w:line="360" w:lineRule="auto"/>
        <w:ind w:left="425" w:leftChars="0" w:hanging="425" w:firstLineChars="0"/>
        <w:jc w:val="both"/>
        <w:rPr>
          <w:rFonts w:hint="eastAsia"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zh-CN" w:eastAsia="zh-CN" w:bidi="ar-SA"/>
        </w:rPr>
        <w:t>保障</w:t>
      </w:r>
      <w:r>
        <w:rPr>
          <w:rFonts w:hint="eastAsia" w:ascii="宋体" w:hAnsi="宋体" w:eastAsia="宋体" w:cs="宋体"/>
          <w:kern w:val="2"/>
          <w:sz w:val="21"/>
          <w:szCs w:val="21"/>
          <w:highlight w:val="none"/>
          <w:lang w:val="en-US" w:eastAsia="zh-CN" w:bidi="ar-SA"/>
        </w:rPr>
        <w:t>SAP</w:t>
      </w:r>
      <w:r>
        <w:rPr>
          <w:rFonts w:hint="eastAsia" w:ascii="宋体" w:hAnsi="宋体" w:eastAsia="宋体" w:cs="宋体"/>
          <w:kern w:val="2"/>
          <w:sz w:val="21"/>
          <w:szCs w:val="21"/>
          <w:highlight w:val="none"/>
          <w:lang w:val="zh-CN" w:eastAsia="zh-CN" w:bidi="ar-SA"/>
        </w:rPr>
        <w:t>系统稳定与高可用：</w:t>
      </w:r>
      <w:r>
        <w:rPr>
          <w:rFonts w:hint="eastAsia" w:ascii="宋体" w:hAnsi="宋体" w:eastAsia="宋体" w:cs="宋体"/>
          <w:kern w:val="2"/>
          <w:sz w:val="21"/>
          <w:szCs w:val="21"/>
          <w:highlight w:val="none"/>
          <w:lang w:val="en-US" w:eastAsia="zh-CN" w:bidi="ar-SA"/>
        </w:rPr>
        <w:t>供方</w:t>
      </w:r>
      <w:r>
        <w:rPr>
          <w:rFonts w:hint="eastAsia" w:ascii="宋体" w:hAnsi="宋体" w:eastAsia="宋体" w:cs="宋体"/>
          <w:kern w:val="2"/>
          <w:sz w:val="21"/>
          <w:szCs w:val="21"/>
          <w:highlight w:val="none"/>
          <w:lang w:val="zh-CN" w:eastAsia="zh-CN" w:bidi="ar-SA"/>
        </w:rPr>
        <w:t>通过7x24小时监控、定期健康检查和快速故障响应</w:t>
      </w:r>
      <w:r>
        <w:rPr>
          <w:rFonts w:hint="eastAsia" w:ascii="宋体" w:hAnsi="宋体" w:eastAsia="宋体" w:cs="宋体"/>
          <w:kern w:val="2"/>
          <w:sz w:val="21"/>
          <w:szCs w:val="21"/>
          <w:highlight w:val="none"/>
          <w:lang w:val="en-US" w:eastAsia="zh-CN" w:bidi="ar-SA"/>
        </w:rPr>
        <w:t>机制</w:t>
      </w:r>
      <w:r>
        <w:rPr>
          <w:rFonts w:hint="eastAsia" w:ascii="宋体" w:hAnsi="宋体" w:eastAsia="宋体" w:cs="宋体"/>
          <w:kern w:val="2"/>
          <w:sz w:val="21"/>
          <w:szCs w:val="21"/>
          <w:highlight w:val="none"/>
          <w:lang w:val="zh-CN" w:eastAsia="zh-CN" w:bidi="ar-SA"/>
        </w:rPr>
        <w:t>，致力于减少意外停机，确保业务连续。</w:t>
      </w:r>
    </w:p>
    <w:p>
      <w:pPr>
        <w:numPr>
          <w:ilvl w:val="0"/>
          <w:numId w:val="40"/>
        </w:numPr>
        <w:spacing w:line="360" w:lineRule="auto"/>
        <w:ind w:left="425" w:leftChars="0" w:hanging="425" w:firstLineChars="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优化性能与效率，通过监控系统响应时间、HANA数据库性能、垃圾内存清理、索引优化及接口中间件维护等手段，保障用户操作流畅，提升体验和工作效率。</w:t>
      </w:r>
    </w:p>
    <w:p>
      <w:pPr>
        <w:numPr>
          <w:ilvl w:val="0"/>
          <w:numId w:val="40"/>
        </w:numPr>
        <w:spacing w:line="360" w:lineRule="auto"/>
        <w:ind w:left="425" w:leftChars="0" w:hanging="425" w:firstLineChars="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确保安全与合规：包括用户权限管理（定期审计与清理）、漏洞管理（及时应用SAP安全补丁）、数据备份与恢复（定期测试验证灾难恢复计划的有效性），以及满足等保、CSV（计算机化系统验证）等特定行业合规要求</w:t>
      </w:r>
    </w:p>
    <w:p>
      <w:pPr>
        <w:numPr>
          <w:ilvl w:val="0"/>
          <w:numId w:val="40"/>
        </w:numPr>
        <w:spacing w:line="360" w:lineRule="auto"/>
        <w:ind w:left="425" w:leftChars="0" w:hanging="425" w:firstLineChars="0"/>
        <w:jc w:val="both"/>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管理变更与版本控制：运维服务需确保所有传输请求（如Client拷贝）、系统升级、补丁应用等的可控、可追溯，减少对现有业务的影响。</w:t>
      </w:r>
    </w:p>
    <w:p>
      <w:pPr>
        <w:pStyle w:val="121"/>
        <w:numPr>
          <w:ilvl w:val="0"/>
          <w:numId w:val="39"/>
        </w:numPr>
        <w:ind w:left="425" w:leftChars="0" w:hanging="425" w:firstLineChars="0"/>
        <w:jc w:val="both"/>
        <w:rPr>
          <w:rFonts w:hint="eastAsia" w:ascii="宋体" w:hAnsi="宋体" w:eastAsia="宋体" w:cs="宋体"/>
          <w:b/>
          <w:bCs/>
          <w:kern w:val="2"/>
          <w:sz w:val="21"/>
          <w:szCs w:val="21"/>
          <w:highlight w:val="none"/>
          <w:lang w:val="zh-CN" w:eastAsia="zh-CN" w:bidi="ar-SA"/>
        </w:rPr>
      </w:pPr>
      <w:r>
        <w:rPr>
          <w:rFonts w:hint="eastAsia" w:ascii="宋体" w:hAnsi="宋体" w:eastAsia="宋体" w:cs="宋体"/>
          <w:b/>
          <w:bCs/>
          <w:kern w:val="2"/>
          <w:sz w:val="21"/>
          <w:szCs w:val="21"/>
          <w:highlight w:val="none"/>
          <w:lang w:val="zh-CN" w:eastAsia="zh-CN" w:bidi="ar-SA"/>
        </w:rPr>
        <w:t>业务应用支持</w:t>
      </w:r>
    </w:p>
    <w:p>
      <w:pPr>
        <w:keepNext w:val="0"/>
        <w:keepLines w:val="0"/>
        <w:pageBreakBefore w:val="0"/>
        <w:widowControl w:val="0"/>
        <w:numPr>
          <w:ilvl w:val="0"/>
          <w:numId w:val="41"/>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kern w:val="2"/>
          <w:sz w:val="21"/>
          <w:szCs w:val="21"/>
          <w:highlight w:val="none"/>
          <w:lang w:val="en-US" w:eastAsia="zh-CN" w:bidi="ar-SA"/>
        </w:rPr>
      </w:pPr>
      <w:bookmarkStart w:id="30" w:name="OLE_LINK1"/>
      <w:r>
        <w:rPr>
          <w:rFonts w:hint="eastAsia" w:ascii="宋体" w:hAnsi="宋体" w:eastAsia="宋体" w:cs="宋体"/>
          <w:kern w:val="2"/>
          <w:sz w:val="21"/>
          <w:szCs w:val="21"/>
          <w:highlight w:val="none"/>
          <w:lang w:val="en-US" w:eastAsia="zh-CN" w:bidi="ar-SA"/>
        </w:rPr>
        <w:t>完保障业务连续与流畅：确保日常业务操作顺畅。快速响应用户问题（操作报错、数据疑问等）、提供财务月结和年结支持、处理自开发程序BUG及接口异常，减少因系统问题导致的业务中断或效率低下。</w:t>
      </w:r>
    </w:p>
    <w:p>
      <w:pPr>
        <w:keepNext w:val="0"/>
        <w:keepLines w:val="0"/>
        <w:pageBreakBefore w:val="0"/>
        <w:widowControl w:val="0"/>
        <w:numPr>
          <w:ilvl w:val="0"/>
          <w:numId w:val="41"/>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深化应用与流程优化：分析现有业务流程瓶颈，提供优化建议与系统配置实现；响应用户的新需求（如开发新报表、优化界面）；并提供业务培训与指导，提升用户操作水平和自主能力，充分发挥SAP系统价值。</w:t>
      </w:r>
    </w:p>
    <w:p>
      <w:pPr>
        <w:keepNext w:val="0"/>
        <w:keepLines w:val="0"/>
        <w:pageBreakBefore w:val="0"/>
        <w:widowControl w:val="0"/>
        <w:numPr>
          <w:ilvl w:val="0"/>
          <w:numId w:val="41"/>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支持数据驱动决策：维护和开发BI报表（如使用SAP BW/BO等工具）、支持财务合并报表（如SAP BPC）和获利能力分析，为管理层提供及时、准确的数据洞察，辅助战略和运营决策。</w:t>
      </w:r>
    </w:p>
    <w:p>
      <w:pPr>
        <w:keepNext w:val="0"/>
        <w:keepLines w:val="0"/>
        <w:pageBreakBefore w:val="0"/>
        <w:widowControl w:val="0"/>
        <w:numPr>
          <w:ilvl w:val="0"/>
          <w:numId w:val="41"/>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赋能创新与战略项目：支持企业将SAP系统能力拓展到新的业务领域或商业模式，如支持新公司代码或工厂的扩展、集成新的外围系统（如MES、SRM、CRM、WMS等），构建更强大的一体化数字核心。</w:t>
      </w:r>
    </w:p>
    <w:bookmarkEnd w:id="30"/>
    <w:p>
      <w:pPr>
        <w:pStyle w:val="3"/>
        <w:keepNext w:val="0"/>
        <w:keepLines w:val="0"/>
        <w:pageBreakBefore w:val="0"/>
        <w:widowControl w:val="0"/>
        <w:numPr>
          <w:ilvl w:val="0"/>
          <w:numId w:val="38"/>
        </w:numPr>
        <w:kinsoku/>
        <w:wordWrap/>
        <w:overflowPunct/>
        <w:topLinePunct w:val="0"/>
        <w:autoSpaceDE/>
        <w:autoSpaceDN/>
        <w:bidi w:val="0"/>
        <w:adjustRightInd/>
        <w:snapToGrid/>
        <w:spacing w:before="0" w:after="0" w:line="360" w:lineRule="auto"/>
        <w:ind w:left="0" w:leftChars="0" w:firstLine="420" w:firstLineChars="0"/>
        <w:textAlignment w:val="auto"/>
        <w:rPr>
          <w:rFonts w:ascii="黑体" w:hAnsi="黑体" w:eastAsia="黑体"/>
          <w:b/>
          <w:bCs w:val="0"/>
          <w:sz w:val="28"/>
          <w:szCs w:val="28"/>
          <w:highlight w:val="none"/>
        </w:rPr>
      </w:pPr>
      <w:bookmarkStart w:id="31" w:name="_Toc164776211"/>
      <w:bookmarkStart w:id="32" w:name="_Toc48823744"/>
      <w:bookmarkStart w:id="33" w:name="_Toc12417"/>
      <w:r>
        <w:rPr>
          <w:rFonts w:hint="eastAsia" w:ascii="黑体" w:hAnsi="黑体" w:eastAsia="黑体"/>
          <w:b/>
          <w:bCs w:val="0"/>
          <w:sz w:val="28"/>
          <w:szCs w:val="28"/>
          <w:highlight w:val="none"/>
        </w:rPr>
        <w:t>项目</w:t>
      </w:r>
      <w:bookmarkEnd w:id="28"/>
      <w:bookmarkEnd w:id="31"/>
      <w:bookmarkEnd w:id="32"/>
      <w:r>
        <w:rPr>
          <w:rFonts w:hint="eastAsia" w:ascii="黑体" w:hAnsi="黑体" w:eastAsia="黑体"/>
          <w:b/>
          <w:bCs w:val="0"/>
          <w:sz w:val="28"/>
          <w:szCs w:val="28"/>
          <w:highlight w:val="none"/>
          <w:lang w:val="en-US" w:eastAsia="zh-CN"/>
        </w:rPr>
        <w:t>组织范围</w:t>
      </w:r>
      <w:bookmarkEnd w:id="33"/>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03" w:firstLineChars="192"/>
        <w:textAlignment w:val="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en-US" w:eastAsia="zh-CN"/>
        </w:rPr>
        <w:t>本次SAP</w:t>
      </w:r>
      <w:r>
        <w:rPr>
          <w:rFonts w:hint="eastAsia" w:ascii="宋体" w:hAnsi="宋体" w:eastAsia="宋体" w:cs="宋体"/>
          <w:sz w:val="21"/>
          <w:szCs w:val="21"/>
          <w:highlight w:val="none"/>
          <w:lang w:val="zh-CN" w:eastAsia="zh-CN"/>
        </w:rPr>
        <w:t>运维服务范围包括</w:t>
      </w:r>
      <w:r>
        <w:rPr>
          <w:rFonts w:hint="eastAsia" w:ascii="宋体" w:hAnsi="宋体" w:eastAsia="宋体" w:cs="宋体"/>
          <w:sz w:val="21"/>
          <w:szCs w:val="21"/>
          <w:highlight w:val="none"/>
          <w:lang w:val="en-US" w:eastAsia="zh-CN"/>
        </w:rPr>
        <w:t>中国重汽集团</w:t>
      </w:r>
      <w:r>
        <w:rPr>
          <w:rFonts w:hint="eastAsia" w:ascii="宋体" w:hAnsi="宋体" w:eastAsia="宋体" w:cs="宋体"/>
          <w:sz w:val="21"/>
          <w:szCs w:val="21"/>
          <w:highlight w:val="none"/>
          <w:lang w:val="zh-CN" w:eastAsia="zh-CN"/>
        </w:rPr>
        <w:t>ERP项目所有上线SAP单位、所有上线SAP模块以及与外围系统的对接SAP系统端接口和SAP服务器系统运维。业务主体包含所有SAP上线单位，包括卡车公司、商用车公司、轻卡公司</w:t>
      </w:r>
      <w:r>
        <w:rPr>
          <w:rFonts w:hint="eastAsia" w:ascii="宋体" w:hAnsi="宋体" w:eastAsia="宋体" w:cs="宋体"/>
          <w:sz w:val="21"/>
          <w:szCs w:val="21"/>
          <w:highlight w:val="none"/>
          <w:lang w:val="en-US" w:eastAsia="zh-CN"/>
        </w:rPr>
        <w:t>等整车单位，</w:t>
      </w:r>
      <w:r>
        <w:rPr>
          <w:rFonts w:hint="eastAsia" w:ascii="宋体" w:hAnsi="宋体" w:eastAsia="宋体" w:cs="宋体"/>
          <w:sz w:val="21"/>
          <w:szCs w:val="21"/>
          <w:highlight w:val="none"/>
          <w:lang w:val="zh-CN" w:eastAsia="zh-CN"/>
        </w:rPr>
        <w:t>动力公司、车桥公司</w:t>
      </w:r>
      <w:r>
        <w:rPr>
          <w:rFonts w:hint="eastAsia" w:ascii="宋体" w:hAnsi="宋体" w:eastAsia="宋体" w:cs="宋体"/>
          <w:sz w:val="21"/>
          <w:szCs w:val="21"/>
          <w:highlight w:val="none"/>
          <w:lang w:val="en-US" w:eastAsia="zh-CN"/>
        </w:rPr>
        <w:t>等总成单位、</w:t>
      </w:r>
      <w:r>
        <w:rPr>
          <w:rFonts w:hint="eastAsia" w:ascii="宋体" w:hAnsi="宋体" w:eastAsia="宋体" w:cs="宋体"/>
          <w:sz w:val="21"/>
          <w:szCs w:val="21"/>
          <w:highlight w:val="none"/>
          <w:lang w:val="zh-CN" w:eastAsia="zh-CN"/>
        </w:rPr>
        <w:t>财务</w:t>
      </w:r>
      <w:r>
        <w:rPr>
          <w:rFonts w:hint="eastAsia" w:ascii="宋体" w:hAnsi="宋体" w:eastAsia="宋体" w:cs="宋体"/>
          <w:sz w:val="21"/>
          <w:szCs w:val="21"/>
          <w:highlight w:val="none"/>
          <w:lang w:val="en-US" w:eastAsia="zh-CN"/>
        </w:rPr>
        <w:t>公司</w:t>
      </w:r>
      <w:r>
        <w:rPr>
          <w:rFonts w:hint="eastAsia" w:ascii="宋体" w:hAnsi="宋体" w:eastAsia="宋体" w:cs="宋体"/>
          <w:sz w:val="21"/>
          <w:szCs w:val="21"/>
          <w:highlight w:val="none"/>
          <w:lang w:val="zh-CN" w:eastAsia="zh-CN"/>
        </w:rPr>
        <w:t>及</w:t>
      </w:r>
      <w:r>
        <w:rPr>
          <w:rFonts w:hint="eastAsia" w:ascii="宋体" w:hAnsi="宋体" w:eastAsia="宋体" w:cs="宋体"/>
          <w:sz w:val="21"/>
          <w:szCs w:val="21"/>
          <w:highlight w:val="none"/>
          <w:lang w:val="en-US" w:eastAsia="zh-CN"/>
        </w:rPr>
        <w:t>专用车公司</w:t>
      </w:r>
      <w:r>
        <w:rPr>
          <w:rFonts w:hint="eastAsia" w:ascii="宋体" w:hAnsi="宋体" w:eastAsia="宋体" w:cs="宋体"/>
          <w:sz w:val="21"/>
          <w:szCs w:val="21"/>
          <w:highlight w:val="none"/>
          <w:lang w:val="zh-CN" w:eastAsia="zh-CN"/>
        </w:rPr>
        <w:t>，系统范围包括已上线单位所有模块及外围接口，包括S4/HANA、BPC、BW/BI、EWM、PO等系统及SAP服务器系统运维。为了保障ERP系统的稳定运行，服务商负责为中国重汽提供专业的系统优化服务，按时提供服务交付物。</w:t>
      </w:r>
    </w:p>
    <w:p>
      <w:pPr>
        <w:pStyle w:val="3"/>
        <w:keepNext w:val="0"/>
        <w:keepLines w:val="0"/>
        <w:pageBreakBefore w:val="0"/>
        <w:widowControl w:val="0"/>
        <w:numPr>
          <w:ilvl w:val="0"/>
          <w:numId w:val="38"/>
        </w:numPr>
        <w:kinsoku/>
        <w:wordWrap/>
        <w:overflowPunct/>
        <w:topLinePunct w:val="0"/>
        <w:autoSpaceDE/>
        <w:autoSpaceDN/>
        <w:bidi w:val="0"/>
        <w:adjustRightInd/>
        <w:snapToGrid/>
        <w:spacing w:before="0" w:after="0" w:line="360" w:lineRule="auto"/>
        <w:ind w:left="0" w:leftChars="0" w:firstLine="420" w:firstLineChars="0"/>
        <w:textAlignment w:val="auto"/>
        <w:rPr>
          <w:rFonts w:ascii="黑体" w:hAnsi="黑体" w:eastAsia="黑体"/>
          <w:b/>
          <w:bCs w:val="0"/>
          <w:sz w:val="28"/>
          <w:szCs w:val="28"/>
          <w:highlight w:val="none"/>
        </w:rPr>
      </w:pPr>
      <w:bookmarkStart w:id="34" w:name="_Toc28668"/>
      <w:r>
        <w:rPr>
          <w:rFonts w:hint="eastAsia" w:ascii="黑体" w:hAnsi="黑体" w:eastAsia="黑体"/>
          <w:b/>
          <w:bCs w:val="0"/>
          <w:sz w:val="28"/>
          <w:szCs w:val="28"/>
          <w:highlight w:val="none"/>
        </w:rPr>
        <w:t>项目</w:t>
      </w:r>
      <w:r>
        <w:rPr>
          <w:rFonts w:hint="eastAsia" w:ascii="黑体" w:hAnsi="黑体" w:eastAsia="黑体"/>
          <w:b/>
          <w:bCs w:val="0"/>
          <w:sz w:val="28"/>
          <w:szCs w:val="28"/>
          <w:highlight w:val="none"/>
          <w:lang w:val="en-US" w:eastAsia="zh-CN"/>
        </w:rPr>
        <w:t>服务内容</w:t>
      </w:r>
      <w:bookmarkEnd w:id="34"/>
    </w:p>
    <w:p>
      <w:pPr>
        <w:spacing w:line="360" w:lineRule="auto"/>
        <w:ind w:firstLine="416" w:firstLineChars="200"/>
        <w:rPr>
          <w:rFonts w:hint="eastAsia" w:ascii="宋体" w:hAnsi="宋体" w:eastAsia="宋体" w:cs="宋体"/>
          <w:spacing w:val="-1"/>
          <w:kern w:val="0"/>
          <w:sz w:val="21"/>
          <w:szCs w:val="21"/>
          <w:highlight w:val="yellow"/>
        </w:rPr>
      </w:pPr>
      <w:r>
        <w:rPr>
          <w:rFonts w:hint="eastAsia" w:ascii="宋体" w:hAnsi="宋体" w:eastAsia="宋体" w:cs="宋体"/>
          <w:spacing w:val="-1"/>
          <w:kern w:val="0"/>
          <w:sz w:val="21"/>
          <w:szCs w:val="21"/>
          <w:highlight w:val="none"/>
        </w:rPr>
        <w:t>本次</w:t>
      </w:r>
      <w:r>
        <w:rPr>
          <w:rFonts w:hint="eastAsia" w:ascii="宋体" w:hAnsi="宋体" w:eastAsia="宋体" w:cs="宋体"/>
          <w:spacing w:val="-1"/>
          <w:kern w:val="0"/>
          <w:sz w:val="21"/>
          <w:szCs w:val="21"/>
          <w:highlight w:val="none"/>
          <w:lang w:val="en-US" w:eastAsia="zh-CN"/>
        </w:rPr>
        <w:t>SAP运维服务</w:t>
      </w:r>
      <w:r>
        <w:rPr>
          <w:rFonts w:hint="eastAsia" w:ascii="宋体" w:hAnsi="宋体" w:eastAsia="宋体" w:cs="宋体"/>
          <w:spacing w:val="-1"/>
          <w:kern w:val="0"/>
          <w:sz w:val="21"/>
          <w:szCs w:val="21"/>
          <w:highlight w:val="none"/>
        </w:rPr>
        <w:t>项目具体包含</w:t>
      </w:r>
      <w:r>
        <w:rPr>
          <w:rFonts w:hint="eastAsia" w:ascii="宋体" w:hAnsi="宋体" w:eastAsia="宋体" w:cs="宋体"/>
          <w:spacing w:val="-1"/>
          <w:kern w:val="0"/>
          <w:sz w:val="21"/>
          <w:szCs w:val="21"/>
          <w:highlight w:val="none"/>
          <w:lang w:val="en-US" w:eastAsia="zh-CN"/>
        </w:rPr>
        <w:t>SAP</w:t>
      </w:r>
      <w:r>
        <w:rPr>
          <w:rFonts w:hint="eastAsia" w:ascii="宋体" w:hAnsi="宋体" w:eastAsia="宋体" w:cs="宋体"/>
          <w:spacing w:val="-1"/>
          <w:kern w:val="0"/>
          <w:sz w:val="21"/>
          <w:szCs w:val="21"/>
          <w:highlight w:val="none"/>
        </w:rPr>
        <w:t>系统基础运维服务、业务应用类服务以及开发类服务</w:t>
      </w:r>
      <w:r>
        <w:rPr>
          <w:rFonts w:hint="eastAsia" w:ascii="宋体" w:hAnsi="宋体" w:eastAsia="宋体" w:cs="宋体"/>
          <w:spacing w:val="-1"/>
          <w:kern w:val="0"/>
          <w:sz w:val="21"/>
          <w:szCs w:val="21"/>
          <w:highlight w:val="none"/>
          <w:lang w:val="en-US" w:eastAsia="zh-CN"/>
        </w:rPr>
        <w:t>，具体服务内容要求如下</w:t>
      </w:r>
      <w:r>
        <w:rPr>
          <w:rFonts w:hint="eastAsia" w:ascii="宋体" w:hAnsi="宋体" w:eastAsia="宋体" w:cs="宋体"/>
          <w:spacing w:val="-1"/>
          <w:kern w:val="0"/>
          <w:sz w:val="21"/>
          <w:szCs w:val="21"/>
          <w:highlight w:val="none"/>
        </w:rPr>
        <w:t>：</w:t>
      </w:r>
    </w:p>
    <w:tbl>
      <w:tblPr>
        <w:tblStyle w:val="34"/>
        <w:tblW w:w="9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141"/>
        <w:gridCol w:w="1327"/>
        <w:gridCol w:w="4284"/>
        <w:gridCol w:w="1368"/>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3" w:hRule="atLeast"/>
        </w:trPr>
        <w:tc>
          <w:tcPr>
            <w:tcW w:w="1141" w:type="dxa"/>
            <w:shd w:val="clear" w:color="auto" w:fill="D8D8D8"/>
            <w:vAlign w:val="center"/>
          </w:tcPr>
          <w:p>
            <w:pPr>
              <w:pStyle w:val="122"/>
              <w:keepNext w:val="0"/>
              <w:keepLines w:val="0"/>
              <w:pageBreakBefore w:val="0"/>
              <w:widowControl w:val="0"/>
              <w:kinsoku/>
              <w:wordWrap/>
              <w:overflowPunct/>
              <w:topLinePunct w:val="0"/>
              <w:autoSpaceDE/>
              <w:autoSpaceDN/>
              <w:bidi w:val="0"/>
              <w:spacing w:line="400" w:lineRule="exact"/>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类型</w:t>
            </w:r>
          </w:p>
        </w:tc>
        <w:tc>
          <w:tcPr>
            <w:tcW w:w="1327" w:type="dxa"/>
            <w:shd w:val="clear" w:color="auto" w:fill="D8D8D8"/>
            <w:vAlign w:val="center"/>
          </w:tcPr>
          <w:p>
            <w:pPr>
              <w:pStyle w:val="122"/>
              <w:keepNext w:val="0"/>
              <w:keepLines w:val="0"/>
              <w:pageBreakBefore w:val="0"/>
              <w:widowControl w:val="0"/>
              <w:kinsoku/>
              <w:wordWrap/>
              <w:overflowPunct/>
              <w:topLinePunct w:val="0"/>
              <w:autoSpaceDE/>
              <w:autoSpaceDN/>
              <w:bidi w:val="0"/>
              <w:spacing w:line="400" w:lineRule="exact"/>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服务</w:t>
            </w:r>
          </w:p>
        </w:tc>
        <w:tc>
          <w:tcPr>
            <w:tcW w:w="4284" w:type="dxa"/>
            <w:shd w:val="clear" w:color="auto" w:fill="D8D8D8"/>
            <w:vAlign w:val="center"/>
          </w:tcPr>
          <w:p>
            <w:pPr>
              <w:pStyle w:val="122"/>
              <w:keepNext w:val="0"/>
              <w:keepLines w:val="0"/>
              <w:pageBreakBefore w:val="0"/>
              <w:widowControl w:val="0"/>
              <w:kinsoku/>
              <w:wordWrap/>
              <w:overflowPunct/>
              <w:topLinePunct w:val="0"/>
              <w:autoSpaceDE/>
              <w:autoSpaceDN/>
              <w:bidi w:val="0"/>
              <w:spacing w:line="400" w:lineRule="exact"/>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服务内容</w:t>
            </w:r>
          </w:p>
        </w:tc>
        <w:tc>
          <w:tcPr>
            <w:tcW w:w="1368" w:type="dxa"/>
            <w:shd w:val="clear" w:color="auto" w:fill="D8D8D8"/>
            <w:vAlign w:val="center"/>
          </w:tcPr>
          <w:p>
            <w:pPr>
              <w:pStyle w:val="122"/>
              <w:keepNext w:val="0"/>
              <w:keepLines w:val="0"/>
              <w:pageBreakBefore w:val="0"/>
              <w:widowControl w:val="0"/>
              <w:kinsoku/>
              <w:wordWrap/>
              <w:overflowPunct/>
              <w:topLinePunct w:val="0"/>
              <w:autoSpaceDE/>
              <w:autoSpaceDN/>
              <w:bidi w:val="0"/>
              <w:spacing w:line="400" w:lineRule="exact"/>
              <w:jc w:val="center"/>
              <w:rPr>
                <w:rFonts w:hint="eastAsia" w:ascii="宋体" w:hAnsi="宋体" w:eastAsia="宋体" w:cs="宋体"/>
                <w:b/>
                <w:color w:val="000000"/>
                <w:sz w:val="21"/>
                <w:szCs w:val="21"/>
                <w:lang w:val="en-US" w:eastAsia="zh-CN"/>
              </w:rPr>
            </w:pPr>
            <w:r>
              <w:rPr>
                <w:rFonts w:hint="eastAsia" w:ascii="宋体" w:hAnsi="宋体" w:eastAsia="宋体" w:cs="宋体"/>
                <w:b/>
                <w:color w:val="000000"/>
                <w:sz w:val="21"/>
                <w:szCs w:val="21"/>
                <w:lang w:val="en-US" w:eastAsia="zh-CN"/>
              </w:rPr>
              <w:t>交付物</w:t>
            </w:r>
          </w:p>
        </w:tc>
        <w:tc>
          <w:tcPr>
            <w:tcW w:w="1457" w:type="dxa"/>
            <w:shd w:val="clear" w:color="auto" w:fill="D8D8D8"/>
            <w:vAlign w:val="center"/>
          </w:tcPr>
          <w:p>
            <w:pPr>
              <w:pStyle w:val="122"/>
              <w:keepNext w:val="0"/>
              <w:keepLines w:val="0"/>
              <w:pageBreakBefore w:val="0"/>
              <w:widowControl w:val="0"/>
              <w:kinsoku/>
              <w:wordWrap/>
              <w:overflowPunct/>
              <w:topLinePunct w:val="0"/>
              <w:autoSpaceDE/>
              <w:autoSpaceDN/>
              <w:bidi w:val="0"/>
              <w:spacing w:line="400" w:lineRule="exact"/>
              <w:jc w:val="center"/>
              <w:rPr>
                <w:rFonts w:hint="eastAsia" w:ascii="宋体" w:hAnsi="宋体" w:eastAsia="宋体" w:cs="宋体"/>
                <w:b/>
                <w:color w:val="000000"/>
                <w:sz w:val="21"/>
                <w:szCs w:val="21"/>
              </w:rPr>
            </w:pPr>
            <w:r>
              <w:rPr>
                <w:rFonts w:hint="eastAsia" w:ascii="宋体" w:hAnsi="宋体" w:eastAsia="宋体" w:cs="宋体"/>
                <w:b/>
                <w:color w:val="000000"/>
                <w:sz w:val="21"/>
                <w:szCs w:val="21"/>
              </w:rPr>
              <w:t>商务模式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3" w:hRule="atLeast"/>
          <w:hidden/>
        </w:trPr>
        <w:tc>
          <w:tcPr>
            <w:tcW w:w="1141"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运维方案</w:t>
            </w:r>
          </w:p>
        </w:tc>
        <w:tc>
          <w:tcPr>
            <w:tcW w:w="6979" w:type="dxa"/>
            <w:gridSpan w:val="3"/>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jc w:val="cente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SAP应用成熟度专业诊断，输出诊断报告和年度运维方案</w:t>
            </w:r>
          </w:p>
        </w:tc>
        <w:tc>
          <w:tcPr>
            <w:tcW w:w="145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基础服务包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11" w:hRule="atLeast"/>
          <w:hidden/>
        </w:trPr>
        <w:tc>
          <w:tcPr>
            <w:tcW w:w="1141" w:type="dxa"/>
            <w:vMerge w:val="restart"/>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p>
        </w:tc>
        <w:tc>
          <w:tcPr>
            <w:tcW w:w="132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业务支持</w:t>
            </w:r>
          </w:p>
        </w:tc>
        <w:tc>
          <w:tcPr>
            <w:tcW w:w="4284"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-支持用户系统使用，如功能咨询、操作指导等；</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-分析和处理用户问题事件，如业务问题、数据问题、操作不当、程序报错等；</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-跨系统业务或接口问题配合分析和处理；</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-原系统配置、程序、增强等缺陷和漏洞解决；</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-原厂应用BUG解决，查找SAP notes以及与SAP原厂沟通；</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-用户权限管理，包括权限检查、清理、维护。</w:t>
            </w:r>
          </w:p>
        </w:tc>
        <w:tc>
          <w:tcPr>
            <w:tcW w:w="1368" w:type="dxa"/>
            <w:vMerge w:val="restart"/>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en-US"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《需求分析报告》、《业务调整方案》、《系统调整配置手册》、《开发功能说明书》、《程序代码》、《系统操作说明》、《测试方案与测试报告》、《月结/年结支持报告》</w:t>
            </w: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en-US" w:eastAsia="zh-CN" w:bidi="ar-SA"/>
              </w:rPr>
              <w:t>等</w:t>
            </w:r>
          </w:p>
        </w:tc>
        <w:tc>
          <w:tcPr>
            <w:tcW w:w="145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en-US" w:eastAsia="zh-CN" w:bidi="ar-SA"/>
              </w:rPr>
              <w:t>人天</w:t>
            </w: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服务包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25" w:hRule="atLeast"/>
          <w:hidden/>
        </w:trPr>
        <w:tc>
          <w:tcPr>
            <w:tcW w:w="1141" w:type="dxa"/>
            <w:vMerge w:val="continue"/>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p>
        </w:tc>
        <w:tc>
          <w:tcPr>
            <w:tcW w:w="132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主数据</w:t>
            </w:r>
          </w:p>
        </w:tc>
        <w:tc>
          <w:tcPr>
            <w:tcW w:w="4284"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-依照主数据管理制度和流程，管理维护集团层管控的SAP或MDM主数据，如客商、物料、会计科目、银行账户、成本中心、利润中心等主数据</w:t>
            </w:r>
          </w:p>
        </w:tc>
        <w:tc>
          <w:tcPr>
            <w:tcW w:w="1368" w:type="dxa"/>
            <w:vMerge w:val="continue"/>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p>
        </w:tc>
        <w:tc>
          <w:tcPr>
            <w:tcW w:w="145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en-US" w:eastAsia="zh-CN" w:bidi="ar-SA"/>
              </w:rPr>
              <w:t>人天</w:t>
            </w: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服务包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29" w:hRule="atLeast"/>
          <w:hidden/>
        </w:trPr>
        <w:tc>
          <w:tcPr>
            <w:tcW w:w="1141" w:type="dxa"/>
            <w:vMerge w:val="continue"/>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p>
        </w:tc>
        <w:tc>
          <w:tcPr>
            <w:tcW w:w="132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月结和合并报表</w:t>
            </w:r>
          </w:p>
        </w:tc>
        <w:tc>
          <w:tcPr>
            <w:tcW w:w="4284"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-财务月结(包括年结)和重点运维支持，形成月度常态备战和专注服务机制，涉及月结和出具相关法定与管理口径报表运维的问题均定性为紧急问题，必须快速响应和解决。</w:t>
            </w:r>
          </w:p>
        </w:tc>
        <w:tc>
          <w:tcPr>
            <w:tcW w:w="1368" w:type="dxa"/>
            <w:vMerge w:val="continue"/>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p>
        </w:tc>
        <w:tc>
          <w:tcPr>
            <w:tcW w:w="145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en-US" w:eastAsia="zh-CN" w:bidi="ar-SA"/>
              </w:rPr>
              <w:t>人天</w:t>
            </w: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服务包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36" w:hRule="atLeast"/>
          <w:hidden/>
        </w:trPr>
        <w:tc>
          <w:tcPr>
            <w:tcW w:w="1141" w:type="dxa"/>
            <w:vMerge w:val="continue"/>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p>
        </w:tc>
        <w:tc>
          <w:tcPr>
            <w:tcW w:w="132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变更服务</w:t>
            </w:r>
          </w:p>
        </w:tc>
        <w:tc>
          <w:tcPr>
            <w:tcW w:w="4284"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-因业务需求或系统优化需要提出的变更需求（新增、修改、优化）进行评估、提供业务方案和系统方案、实现实施，包括系统配置变更、系统开发变更、流程变更、跨系统对接</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-因业务需求或系统优化需要提出的现场运维服务需求</w:t>
            </w:r>
          </w:p>
        </w:tc>
        <w:tc>
          <w:tcPr>
            <w:tcW w:w="1368" w:type="dxa"/>
            <w:vMerge w:val="continue"/>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p>
        </w:tc>
        <w:tc>
          <w:tcPr>
            <w:tcW w:w="145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人天服务包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11" w:hRule="atLeast"/>
          <w:hidden/>
        </w:trPr>
        <w:tc>
          <w:tcPr>
            <w:tcW w:w="1141" w:type="dxa"/>
            <w:vMerge w:val="restart"/>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SAP系统集基础运维服务</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p>
        </w:tc>
        <w:tc>
          <w:tcPr>
            <w:tcW w:w="132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系统支持</w:t>
            </w:r>
          </w:p>
        </w:tc>
        <w:tc>
          <w:tcPr>
            <w:tcW w:w="4284"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
                <w:bCs w:val="0"/>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
                <w:bCs w:val="0"/>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应用层服务：</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-SAP GUI安装及登录协助、请求传输管理维护、后台作业管理维护、打印管理维护等；</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-启动/停止SAP系统、SAP性能参数调整、系统日志错误分析、系统dump分析处理；</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-软件维护更新，SAP Notes、补丁包、升级包适用性鉴定和安装</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
                <w:bCs w:val="0"/>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
                <w:bCs w:val="0"/>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数据库层服务：</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-数据库备份作业制定与调整;</w:t>
            </w: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br w:type="textWrapping"/>
            </w: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-数据库空间扩展</w:t>
            </w: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br w:type="textWrapping"/>
            </w: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-数据库备份</w:t>
            </w:r>
          </w:p>
        </w:tc>
        <w:tc>
          <w:tcPr>
            <w:tcW w:w="1368" w:type="dxa"/>
            <w:vMerge w:val="restart"/>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en-US"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SAP系统月度/季度性能分析报告》、《变更请求（CR）记录单》、《系统刷新/Client拷贝操作报告》、《备份任务执行日志与验证报告》、《用户权限定期审计报告》、《安全补丁管理清单》、《系统安全基线配置文档》、《运维知识库（KB）》</w:t>
            </w: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en-US" w:eastAsia="zh-CN" w:bidi="ar-SA"/>
              </w:rPr>
              <w:t>等</w:t>
            </w:r>
          </w:p>
        </w:tc>
        <w:tc>
          <w:tcPr>
            <w:tcW w:w="145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基础服务包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21" w:hRule="atLeast"/>
          <w:hidden/>
        </w:trPr>
        <w:tc>
          <w:tcPr>
            <w:tcW w:w="1141" w:type="dxa"/>
            <w:vMerge w:val="continue"/>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p>
        </w:tc>
        <w:tc>
          <w:tcPr>
            <w:tcW w:w="132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监控巡检</w:t>
            </w:r>
          </w:p>
        </w:tc>
        <w:tc>
          <w:tcPr>
            <w:tcW w:w="4284"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w:t>
            </w:r>
            <w:r>
              <w:rPr>
                <w:rFonts w:hint="eastAsia" w:ascii="宋体" w:hAnsi="宋体" w:eastAsia="宋体" w:cs="宋体"/>
                <w:b/>
                <w:bCs w:val="0"/>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系统应用层监控，</w:t>
            </w: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包括系统日志、工作进程、后台作业、更新报错、锁定条目、接口数据传输等；</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w:t>
            </w:r>
            <w:r>
              <w:rPr>
                <w:rFonts w:hint="eastAsia" w:ascii="宋体" w:hAnsi="宋体" w:eastAsia="宋体" w:cs="宋体"/>
                <w:b/>
                <w:bCs w:val="0"/>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数据库层监控，</w:t>
            </w: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包括数据库日志、表空间、数据文件、临时文件、数据库进程执行情况等；</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w:t>
            </w:r>
            <w:r>
              <w:rPr>
                <w:rFonts w:hint="eastAsia" w:ascii="宋体" w:hAnsi="宋体" w:eastAsia="宋体" w:cs="宋体"/>
                <w:b/>
                <w:bCs w:val="0"/>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操作系统层监控</w:t>
            </w: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，包括CPU、内存、系统日志、文件系统状态等；</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
                <w:bCs w:val="0"/>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-系统信息巡检</w:t>
            </w: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，硬件配置、服务器架构、软件信息；</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
                <w:bCs w:val="0"/>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-系统应用层巡检，</w:t>
            </w: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系统负载分析、系统运行情况分析等；</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
                <w:bCs w:val="0"/>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-数据库层巡检，</w:t>
            </w: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数据库性能分析、数据库空间使用分析、数据库备份分析等；</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
                <w:bCs w:val="0"/>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-操作系统层巡检，</w:t>
            </w: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文件系统使用情况分析、操作系统资源使用情况分析等</w:t>
            </w:r>
          </w:p>
        </w:tc>
        <w:tc>
          <w:tcPr>
            <w:tcW w:w="1368" w:type="dxa"/>
            <w:vMerge w:val="continue"/>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p>
        </w:tc>
        <w:tc>
          <w:tcPr>
            <w:tcW w:w="145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基础服务包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17" w:hRule="atLeast"/>
          <w:hidden/>
        </w:trPr>
        <w:tc>
          <w:tcPr>
            <w:tcW w:w="1141" w:type="dxa"/>
            <w:vMerge w:val="continue"/>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p>
        </w:tc>
        <w:tc>
          <w:tcPr>
            <w:tcW w:w="132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故障处理</w:t>
            </w:r>
          </w:p>
        </w:tc>
        <w:tc>
          <w:tcPr>
            <w:tcW w:w="4284"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-对应用和数据库层技术问题故障进行分析、方案建议、处理和恢复</w:t>
            </w:r>
          </w:p>
        </w:tc>
        <w:tc>
          <w:tcPr>
            <w:tcW w:w="1368" w:type="dxa"/>
            <w:vMerge w:val="continue"/>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p>
        </w:tc>
        <w:tc>
          <w:tcPr>
            <w:tcW w:w="145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基础服务包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21" w:hRule="atLeast"/>
          <w:hidden/>
        </w:trPr>
        <w:tc>
          <w:tcPr>
            <w:tcW w:w="1141" w:type="dxa"/>
            <w:vMerge w:val="continue"/>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p>
        </w:tc>
        <w:tc>
          <w:tcPr>
            <w:tcW w:w="132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leftChars="0" w:right="0" w:rightChars="0" w:firstLine="0" w:firstLineChars="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知识库搭建</w:t>
            </w:r>
          </w:p>
        </w:tc>
        <w:tc>
          <w:tcPr>
            <w:tcW w:w="4284"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leftChars="0" w:right="0" w:rightChars="0" w:firstLine="0" w:firstLineChars="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在项目接手后的两个月内，通过对过往运维记录的分析，构建出运维知识库。实现日常问题的处理清单。</w:t>
            </w:r>
          </w:p>
        </w:tc>
        <w:tc>
          <w:tcPr>
            <w:tcW w:w="1368" w:type="dxa"/>
            <w:vMerge w:val="continue"/>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leftChars="0" w:right="0" w:rightChars="0" w:firstLine="0" w:firstLineChars="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p>
        </w:tc>
        <w:tc>
          <w:tcPr>
            <w:tcW w:w="145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leftChars="0" w:right="0" w:rightChars="0" w:firstLine="0" w:firstLineChars="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基础服务包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53" w:hRule="atLeast"/>
          <w:hidden/>
        </w:trPr>
        <w:tc>
          <w:tcPr>
            <w:tcW w:w="1141" w:type="dxa"/>
            <w:vMerge w:val="continue"/>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p>
        </w:tc>
        <w:tc>
          <w:tcPr>
            <w:tcW w:w="132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变更服务</w:t>
            </w:r>
          </w:p>
        </w:tc>
        <w:tc>
          <w:tcPr>
            <w:tcW w:w="4284"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-应用层，系统参数调整、系统架构调整(增加或减少应用服务器等)、SAP内核更新、系统恢复、数据归档；</w:t>
            </w:r>
          </w:p>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-数据库层，数据库参数调整、外部数据库连接配置、数据库补丁更新、数据库恢复。</w:t>
            </w:r>
          </w:p>
        </w:tc>
        <w:tc>
          <w:tcPr>
            <w:tcW w:w="1368" w:type="dxa"/>
            <w:vMerge w:val="continue"/>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p>
        </w:tc>
        <w:tc>
          <w:tcPr>
            <w:tcW w:w="145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基础服务包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85" w:hRule="atLeast"/>
          <w:hidden/>
        </w:trPr>
        <w:tc>
          <w:tcPr>
            <w:tcW w:w="1141"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优化服务</w:t>
            </w:r>
          </w:p>
        </w:tc>
        <w:tc>
          <w:tcPr>
            <w:tcW w:w="132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专项优化</w:t>
            </w:r>
          </w:p>
        </w:tc>
        <w:tc>
          <w:tcPr>
            <w:tcW w:w="4284"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-根据年度运维方案和每季度运维总结分析主动提出或按甲方需要，提供数据/业务/流程/系统等方面的优化建议及方案，并实现或实施，及配套的用户培训和考核。</w:t>
            </w:r>
          </w:p>
        </w:tc>
        <w:tc>
          <w:tcPr>
            <w:tcW w:w="1368"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《专项优化项目总结报告》</w:t>
            </w:r>
          </w:p>
        </w:tc>
        <w:tc>
          <w:tcPr>
            <w:tcW w:w="1457" w:type="dxa"/>
            <w:vAlign w:val="center"/>
          </w:tcPr>
          <w:p>
            <w:pPr>
              <w:pStyle w:val="8"/>
              <w:keepNext w:val="0"/>
              <w:keepLines w:val="0"/>
              <w:pageBreakBefore w:val="0"/>
              <w:widowControl w:val="0"/>
              <w:tabs>
                <w:tab w:val="left" w:pos="2880"/>
              </w:tabs>
              <w:kinsoku/>
              <w:wordWrap/>
              <w:overflowPunct/>
              <w:topLinePunct w:val="0"/>
              <w:autoSpaceDE/>
              <w:autoSpaceDN/>
              <w:bidi w:val="0"/>
              <w:spacing w:beforeLines="0" w:line="400" w:lineRule="exact"/>
              <w:ind w:left="0"/>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人天服务包</w:t>
            </w:r>
          </w:p>
        </w:tc>
      </w:tr>
    </w:tbl>
    <w:p>
      <w:pPr>
        <w:pStyle w:val="3"/>
        <w:keepNext w:val="0"/>
        <w:keepLines w:val="0"/>
        <w:pageBreakBefore w:val="0"/>
        <w:widowControl w:val="0"/>
        <w:numPr>
          <w:ilvl w:val="0"/>
          <w:numId w:val="38"/>
        </w:numPr>
        <w:kinsoku/>
        <w:wordWrap/>
        <w:overflowPunct/>
        <w:topLinePunct w:val="0"/>
        <w:autoSpaceDE/>
        <w:autoSpaceDN/>
        <w:bidi w:val="0"/>
        <w:adjustRightInd/>
        <w:snapToGrid/>
        <w:spacing w:before="0" w:after="0" w:line="360" w:lineRule="auto"/>
        <w:ind w:left="0" w:leftChars="0" w:firstLine="420" w:firstLineChars="0"/>
        <w:textAlignment w:val="auto"/>
        <w:rPr>
          <w:rFonts w:hint="eastAsia" w:ascii="黑体" w:hAnsi="黑体" w:eastAsia="黑体" w:cs="Times New Roman"/>
          <w:b/>
          <w:bCs w:val="0"/>
          <w:sz w:val="28"/>
          <w:szCs w:val="28"/>
          <w:highlight w:val="none"/>
        </w:rPr>
      </w:pPr>
      <w:bookmarkStart w:id="35" w:name="_Toc26998"/>
      <w:r>
        <w:rPr>
          <w:rFonts w:hint="eastAsia" w:ascii="黑体" w:hAnsi="黑体" w:eastAsia="黑体" w:cs="Times New Roman"/>
          <w:b/>
          <w:bCs w:val="0"/>
          <w:sz w:val="28"/>
          <w:szCs w:val="28"/>
          <w:highlight w:val="none"/>
        </w:rPr>
        <w:t>项目</w:t>
      </w:r>
      <w:r>
        <w:rPr>
          <w:rFonts w:hint="eastAsia" w:ascii="黑体" w:hAnsi="黑体" w:eastAsia="黑体" w:cs="Times New Roman"/>
          <w:b/>
          <w:bCs w:val="0"/>
          <w:sz w:val="28"/>
          <w:szCs w:val="28"/>
          <w:highlight w:val="none"/>
          <w:lang w:val="en-US" w:eastAsia="zh-CN"/>
        </w:rPr>
        <w:t>完成标准</w:t>
      </w:r>
      <w:bookmarkEnd w:id="35"/>
    </w:p>
    <w:p>
      <w:pPr>
        <w:numPr>
          <w:ilvl w:val="0"/>
          <w:numId w:val="42"/>
        </w:numPr>
        <w:spacing w:line="360" w:lineRule="auto"/>
        <w:ind w:left="425" w:leftChars="0" w:hanging="425" w:firstLineChars="0"/>
        <w:rPr>
          <w:rFonts w:hint="eastAsia" w:ascii="宋体" w:hAnsi="宋体" w:eastAsia="宋体" w:cs="宋体"/>
          <w:b/>
          <w:bCs/>
          <w:spacing w:val="-1"/>
          <w:kern w:val="0"/>
          <w:sz w:val="21"/>
          <w:szCs w:val="21"/>
          <w:highlight w:val="none"/>
        </w:rPr>
      </w:pPr>
      <w:bookmarkStart w:id="36" w:name="_Toc468115607"/>
      <w:r>
        <w:rPr>
          <w:rFonts w:hint="eastAsia" w:ascii="宋体" w:hAnsi="宋体" w:eastAsia="宋体" w:cs="宋体"/>
          <w:b/>
          <w:bCs/>
          <w:spacing w:val="-1"/>
          <w:kern w:val="0"/>
          <w:sz w:val="21"/>
          <w:szCs w:val="21"/>
          <w:highlight w:val="none"/>
        </w:rPr>
        <w:t>验收过程</w:t>
      </w:r>
      <w:bookmarkEnd w:id="36"/>
    </w:p>
    <w:p>
      <w:pPr>
        <w:spacing w:line="360" w:lineRule="auto"/>
        <w:ind w:firstLine="416" w:firstLineChars="200"/>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本项目所有项目交付物须以电子文档、书面文档或电子/书面文档形式进行提交。项目交付物电子文档的内容、格式必须与书面文档形式一致，当电子文档与书面文档不一致时，以书面文档的为准，电子文档则应根据书面文档形式改正。</w:t>
      </w:r>
    </w:p>
    <w:p>
      <w:pPr>
        <w:numPr>
          <w:ilvl w:val="0"/>
          <w:numId w:val="42"/>
        </w:numPr>
        <w:spacing w:line="360" w:lineRule="auto"/>
        <w:ind w:left="425" w:leftChars="0" w:hanging="425" w:firstLineChars="0"/>
        <w:rPr>
          <w:rFonts w:hint="eastAsia" w:ascii="宋体" w:hAnsi="宋体" w:eastAsia="宋体" w:cs="宋体"/>
          <w:b/>
          <w:bCs/>
          <w:spacing w:val="-1"/>
          <w:kern w:val="0"/>
          <w:sz w:val="21"/>
          <w:szCs w:val="21"/>
          <w:highlight w:val="none"/>
        </w:rPr>
      </w:pPr>
      <w:bookmarkStart w:id="37" w:name="_Toc468115608"/>
      <w:bookmarkStart w:id="38" w:name="_Toc229509374"/>
      <w:r>
        <w:rPr>
          <w:rFonts w:hint="eastAsia" w:ascii="宋体" w:hAnsi="宋体" w:eastAsia="宋体" w:cs="宋体"/>
          <w:b/>
          <w:bCs/>
          <w:spacing w:val="-1"/>
          <w:kern w:val="0"/>
          <w:sz w:val="21"/>
          <w:szCs w:val="21"/>
          <w:highlight w:val="none"/>
        </w:rPr>
        <w:t>项目完成标志</w:t>
      </w:r>
      <w:bookmarkEnd w:id="37"/>
      <w:bookmarkEnd w:id="38"/>
    </w:p>
    <w:p>
      <w:pPr>
        <w:spacing w:line="360" w:lineRule="auto"/>
        <w:ind w:firstLine="416" w:firstLineChars="200"/>
        <w:rPr>
          <w:rFonts w:hint="eastAsia" w:ascii="宋体" w:hAnsi="宋体" w:eastAsia="宋体" w:cs="宋体"/>
          <w:spacing w:val="-1"/>
          <w:kern w:val="0"/>
          <w:sz w:val="21"/>
          <w:szCs w:val="21"/>
          <w:highlight w:val="none"/>
          <w:lang w:val="en-US" w:eastAsia="zh-CN"/>
        </w:rPr>
      </w:pPr>
      <w:r>
        <w:rPr>
          <w:rFonts w:hint="eastAsia" w:ascii="宋体" w:hAnsi="宋体" w:eastAsia="宋体" w:cs="宋体"/>
          <w:spacing w:val="-1"/>
          <w:kern w:val="0"/>
          <w:sz w:val="21"/>
          <w:szCs w:val="21"/>
          <w:highlight w:val="none"/>
        </w:rPr>
        <w:t>以下事项中任何一项首先发生，即表明乙方已履行完毕本工作说明书中的责任，项目结束：</w:t>
      </w:r>
      <w:r>
        <w:rPr>
          <w:rFonts w:hint="eastAsia" w:ascii="宋体" w:hAnsi="宋体" w:eastAsia="宋体" w:cs="宋体"/>
          <w:spacing w:val="-1"/>
          <w:kern w:val="0"/>
          <w:sz w:val="21"/>
          <w:szCs w:val="21"/>
          <w:highlight w:val="none"/>
          <w:lang w:val="en-US" w:eastAsia="zh-CN"/>
        </w:rPr>
        <w:t xml:space="preserve">      </w:t>
      </w:r>
    </w:p>
    <w:p>
      <w:pPr>
        <w:numPr>
          <w:ilvl w:val="0"/>
          <w:numId w:val="43"/>
        </w:numPr>
        <w:spacing w:line="360" w:lineRule="auto"/>
        <w:ind w:left="425" w:leftChars="0" w:hanging="425" w:firstLineChars="0"/>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乙方完成了“项目服务内容”章节中规定的乙方的责任，包括向甲方交付了“交付件清单”中列出的作品；</w:t>
      </w:r>
    </w:p>
    <w:p>
      <w:pPr>
        <w:numPr>
          <w:ilvl w:val="0"/>
          <w:numId w:val="43"/>
        </w:numPr>
        <w:spacing w:line="360" w:lineRule="auto"/>
        <w:ind w:left="425" w:leftChars="0" w:hanging="425" w:firstLineChars="0"/>
        <w:rPr>
          <w:rFonts w:hint="eastAsia" w:ascii="宋体" w:hAnsi="宋体" w:eastAsia="宋体" w:cs="宋体"/>
          <w:kern w:val="0"/>
          <w:sz w:val="21"/>
          <w:szCs w:val="21"/>
          <w:highlight w:val="none"/>
        </w:rPr>
      </w:pPr>
      <w:r>
        <w:rPr>
          <w:rFonts w:hint="eastAsia" w:ascii="宋体" w:hAnsi="宋体" w:eastAsia="宋体" w:cs="宋体"/>
          <w:spacing w:val="-1"/>
          <w:kern w:val="0"/>
          <w:sz w:val="21"/>
          <w:szCs w:val="21"/>
          <w:highlight w:val="none"/>
        </w:rPr>
        <w:t>由甲方或乙方按照合同终止本项目。</w:t>
      </w:r>
    </w:p>
    <w:p>
      <w:pPr>
        <w:numPr>
          <w:ilvl w:val="0"/>
          <w:numId w:val="42"/>
        </w:numPr>
        <w:spacing w:line="360" w:lineRule="auto"/>
        <w:ind w:left="425" w:leftChars="0" w:hanging="425" w:firstLineChars="0"/>
        <w:rPr>
          <w:rFonts w:hint="eastAsia" w:ascii="宋体" w:hAnsi="宋体" w:eastAsia="宋体" w:cs="宋体"/>
          <w:b/>
          <w:bCs/>
          <w:spacing w:val="-1"/>
          <w:kern w:val="0"/>
          <w:sz w:val="21"/>
          <w:szCs w:val="21"/>
          <w:highlight w:val="none"/>
        </w:rPr>
      </w:pPr>
      <w:r>
        <w:rPr>
          <w:rFonts w:hint="eastAsia" w:ascii="宋体" w:hAnsi="宋体" w:eastAsia="宋体" w:cs="宋体"/>
          <w:b/>
          <w:bCs/>
          <w:spacing w:val="-1"/>
          <w:kern w:val="0"/>
          <w:sz w:val="21"/>
          <w:szCs w:val="21"/>
          <w:highlight w:val="none"/>
        </w:rPr>
        <w:t>验收标准</w:t>
      </w:r>
    </w:p>
    <w:p>
      <w:pPr>
        <w:spacing w:line="360" w:lineRule="auto"/>
        <w:ind w:firstLine="416" w:firstLineChars="200"/>
        <w:rPr>
          <w:rFonts w:hint="eastAsia" w:ascii="宋体" w:hAnsi="宋体" w:eastAsia="宋体" w:cs="宋体"/>
          <w:spacing w:val="-1"/>
          <w:kern w:val="0"/>
          <w:sz w:val="21"/>
          <w:szCs w:val="21"/>
          <w:highlight w:val="none"/>
          <w:lang w:val="en-US" w:eastAsia="zh-CN"/>
        </w:rPr>
      </w:pPr>
      <w:r>
        <w:rPr>
          <w:rFonts w:hint="eastAsia" w:ascii="宋体" w:hAnsi="宋体" w:eastAsia="宋体" w:cs="宋体"/>
          <w:spacing w:val="-1"/>
          <w:kern w:val="0"/>
          <w:sz w:val="21"/>
          <w:szCs w:val="21"/>
          <w:highlight w:val="none"/>
          <w:lang w:val="en-US" w:eastAsia="zh-CN"/>
        </w:rPr>
        <w:t>验收必须达到以下要求：</w:t>
      </w:r>
    </w:p>
    <w:p>
      <w:pPr>
        <w:numPr>
          <w:ilvl w:val="0"/>
          <w:numId w:val="44"/>
        </w:numPr>
        <w:spacing w:line="360" w:lineRule="auto"/>
        <w:ind w:left="425" w:leftChars="0" w:hanging="425" w:firstLineChars="0"/>
        <w:rPr>
          <w:rFonts w:hint="eastAsia" w:ascii="宋体" w:hAnsi="宋体" w:eastAsia="宋体" w:cs="宋体"/>
          <w:spacing w:val="-1"/>
          <w:kern w:val="0"/>
          <w:sz w:val="21"/>
          <w:szCs w:val="21"/>
          <w:highlight w:val="none"/>
          <w:lang w:val="en-US" w:eastAsia="zh-CN"/>
        </w:rPr>
      </w:pPr>
      <w:r>
        <w:rPr>
          <w:rFonts w:hint="eastAsia" w:ascii="宋体" w:hAnsi="宋体" w:eastAsia="宋体" w:cs="宋体"/>
          <w:spacing w:val="-1"/>
          <w:kern w:val="0"/>
          <w:sz w:val="21"/>
          <w:szCs w:val="21"/>
          <w:highlight w:val="none"/>
          <w:lang w:val="en-US" w:eastAsia="zh-CN"/>
        </w:rPr>
        <w:t>在整个交付过程中没有合同履行纠纷；</w:t>
      </w:r>
    </w:p>
    <w:p>
      <w:pPr>
        <w:numPr>
          <w:ilvl w:val="0"/>
          <w:numId w:val="44"/>
        </w:numPr>
        <w:spacing w:line="360" w:lineRule="auto"/>
        <w:ind w:left="425" w:leftChars="0" w:hanging="425" w:firstLineChars="0"/>
        <w:rPr>
          <w:rFonts w:hint="eastAsia" w:ascii="宋体" w:hAnsi="宋体" w:eastAsia="宋体" w:cs="宋体"/>
          <w:spacing w:val="-1"/>
          <w:kern w:val="0"/>
          <w:sz w:val="21"/>
          <w:szCs w:val="21"/>
          <w:highlight w:val="none"/>
          <w:lang w:val="en-US" w:eastAsia="zh-CN"/>
        </w:rPr>
      </w:pPr>
      <w:r>
        <w:rPr>
          <w:rFonts w:hint="eastAsia" w:ascii="宋体" w:hAnsi="宋体" w:eastAsia="宋体" w:cs="宋体"/>
          <w:spacing w:val="-1"/>
          <w:kern w:val="0"/>
          <w:sz w:val="21"/>
          <w:szCs w:val="21"/>
          <w:highlight w:val="none"/>
          <w:lang w:val="en-US" w:eastAsia="zh-CN"/>
        </w:rPr>
        <w:t>交付物齐全、完整和有效；</w:t>
      </w:r>
    </w:p>
    <w:p>
      <w:pPr>
        <w:numPr>
          <w:ilvl w:val="0"/>
          <w:numId w:val="44"/>
        </w:numPr>
        <w:spacing w:line="360" w:lineRule="auto"/>
        <w:ind w:left="425" w:leftChars="0" w:hanging="425" w:firstLineChars="0"/>
        <w:rPr>
          <w:rFonts w:hint="eastAsia" w:ascii="宋体" w:hAnsi="宋体" w:eastAsia="宋体" w:cs="宋体"/>
          <w:spacing w:val="-1"/>
          <w:kern w:val="0"/>
          <w:sz w:val="21"/>
          <w:szCs w:val="21"/>
          <w:highlight w:val="none"/>
          <w:lang w:val="en-US" w:eastAsia="zh-CN"/>
        </w:rPr>
      </w:pPr>
      <w:r>
        <w:rPr>
          <w:rFonts w:hint="eastAsia" w:ascii="宋体" w:hAnsi="宋体" w:eastAsia="宋体" w:cs="宋体"/>
          <w:spacing w:val="-1"/>
          <w:kern w:val="0"/>
          <w:sz w:val="21"/>
          <w:szCs w:val="21"/>
          <w:highlight w:val="none"/>
          <w:lang w:val="en-US" w:eastAsia="zh-CN"/>
        </w:rPr>
        <w:t>系统及功能能够满足业务需要，系统持续运行稳定、可靠、安全；</w:t>
      </w:r>
    </w:p>
    <w:p>
      <w:pPr>
        <w:numPr>
          <w:ilvl w:val="0"/>
          <w:numId w:val="44"/>
        </w:numPr>
        <w:spacing w:line="360" w:lineRule="auto"/>
        <w:ind w:left="425" w:leftChars="0" w:hanging="425" w:firstLineChars="0"/>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lang w:val="en-US" w:eastAsia="zh-CN"/>
        </w:rPr>
        <w:t>待完成后，</w:t>
      </w:r>
      <w:r>
        <w:rPr>
          <w:rFonts w:hint="eastAsia" w:ascii="宋体" w:hAnsi="宋体" w:eastAsia="宋体" w:cs="宋体"/>
          <w:spacing w:val="-1"/>
          <w:kern w:val="0"/>
          <w:sz w:val="21"/>
          <w:szCs w:val="21"/>
          <w:highlight w:val="none"/>
        </w:rPr>
        <w:t>由项目经理负责落实项目验收单</w:t>
      </w:r>
      <w:r>
        <w:rPr>
          <w:rFonts w:hint="eastAsia" w:ascii="宋体" w:hAnsi="宋体" w:eastAsia="宋体" w:cs="宋体"/>
          <w:spacing w:val="-1"/>
          <w:kern w:val="0"/>
          <w:sz w:val="21"/>
          <w:szCs w:val="21"/>
          <w:highlight w:val="none"/>
          <w:lang w:eastAsia="zh-CN"/>
        </w:rPr>
        <w:t>，</w:t>
      </w:r>
      <w:r>
        <w:rPr>
          <w:rFonts w:hint="eastAsia" w:ascii="宋体" w:hAnsi="宋体" w:eastAsia="宋体" w:cs="宋体"/>
          <w:spacing w:val="-1"/>
          <w:kern w:val="0"/>
          <w:sz w:val="21"/>
          <w:szCs w:val="21"/>
          <w:highlight w:val="none"/>
        </w:rPr>
        <w:t>并由商务经理完成最终回款及客户满意度调查工作。</w:t>
      </w:r>
    </w:p>
    <w:p>
      <w:pPr>
        <w:pStyle w:val="8"/>
        <w:keepNext w:val="0"/>
        <w:keepLines w:val="0"/>
        <w:pageBreakBefore w:val="0"/>
        <w:widowControl w:val="0"/>
        <w:numPr>
          <w:ilvl w:val="0"/>
          <w:numId w:val="44"/>
        </w:numPr>
        <w:kinsoku/>
        <w:wordWrap/>
        <w:overflowPunct/>
        <w:topLinePunct w:val="0"/>
        <w:autoSpaceDE/>
        <w:autoSpaceDN/>
        <w:bidi w:val="0"/>
        <w:adjustRightInd/>
        <w:snapToGrid/>
        <w:spacing w:line="520" w:lineRule="exact"/>
        <w:ind w:left="425" w:leftChars="0" w:hanging="425"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系统可用性：利用SAP内置的系统监控功能或第三方监控工具精确记录每个SAP实例的启用和停止时间，对于SAP生产系统的可用性目标≥99.5%（系统可用性 = (总时间 - 宕机时间) / 总时间 × 100%；总时间：通常指一个自然月或一个季度的总分钟数；宕机时间：指在“总时间”范围内，系统在计划外因故无法提供服务的总分钟数）。</w:t>
      </w:r>
    </w:p>
    <w:p>
      <w:pPr>
        <w:pStyle w:val="8"/>
        <w:keepNext w:val="0"/>
        <w:keepLines w:val="0"/>
        <w:pageBreakBefore w:val="0"/>
        <w:widowControl w:val="0"/>
        <w:numPr>
          <w:ilvl w:val="0"/>
          <w:numId w:val="44"/>
        </w:numPr>
        <w:kinsoku/>
        <w:wordWrap/>
        <w:overflowPunct/>
        <w:topLinePunct w:val="0"/>
        <w:autoSpaceDE/>
        <w:autoSpaceDN/>
        <w:bidi w:val="0"/>
        <w:adjustRightInd/>
        <w:snapToGrid/>
        <w:spacing w:line="520" w:lineRule="exact"/>
        <w:ind w:left="425" w:leftChars="0" w:hanging="425" w:firstLineChars="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事件管理：</w:t>
      </w:r>
    </w:p>
    <w:p>
      <w:pPr>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adjustRightInd w:val="0"/>
        <w:snapToGrid/>
        <w:spacing w:after="60" w:afterAutospacing="0" w:line="360" w:lineRule="auto"/>
        <w:ind w:leftChars="0" w:right="0" w:rightChars="0"/>
        <w:contextualSpacing w:val="0"/>
        <w:jc w:val="both"/>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服务人员对关键事件的响应及处理应同时符合以下要求：</w:t>
      </w:r>
    </w:p>
    <w:tbl>
      <w:tblPr>
        <w:tblStyle w:val="34"/>
        <w:tblW w:w="8448" w:type="dxa"/>
        <w:tblInd w:w="0" w:type="dxa"/>
        <w:tblBorders>
          <w:top w:val="single" w:color="auto" w:sz="4" w:space="0"/>
          <w:left w:val="single" w:color="auto" w:sz="4" w:space="0"/>
          <w:bottom w:val="single" w:color="auto" w:sz="4" w:space="0"/>
          <w:right w:val="single" w:color="auto" w:sz="4" w:space="0"/>
          <w:insideH w:val="outset" w:color="auto" w:sz="4" w:space="0"/>
          <w:insideV w:val="outset" w:color="auto" w:sz="4" w:space="0"/>
        </w:tblBorders>
        <w:tblLayout w:type="fixed"/>
        <w:tblCellMar>
          <w:top w:w="0" w:type="dxa"/>
          <w:left w:w="108" w:type="dxa"/>
          <w:bottom w:w="0" w:type="dxa"/>
          <w:right w:w="108" w:type="dxa"/>
        </w:tblCellMar>
      </w:tblPr>
      <w:tblGrid>
        <w:gridCol w:w="2484"/>
        <w:gridCol w:w="2981"/>
        <w:gridCol w:w="2975"/>
      </w:tblGrid>
      <w:tr>
        <w:tblPrEx>
          <w:tblBorders>
            <w:top w:val="single" w:color="auto" w:sz="4" w:space="0"/>
            <w:left w:val="single" w:color="auto" w:sz="4" w:space="0"/>
            <w:bottom w:val="single" w:color="auto" w:sz="4" w:space="0"/>
            <w:right w:val="single" w:color="auto" w:sz="4" w:space="0"/>
            <w:insideH w:val="outset" w:color="auto" w:sz="4" w:space="0"/>
            <w:insideV w:val="outset" w:color="auto" w:sz="4" w:space="0"/>
          </w:tblBorders>
          <w:tblCellMar>
            <w:top w:w="0" w:type="dxa"/>
            <w:left w:w="108" w:type="dxa"/>
            <w:bottom w:w="0" w:type="dxa"/>
            <w:right w:w="108" w:type="dxa"/>
          </w:tblCellMar>
        </w:tblPrEx>
        <w:trPr>
          <w:trHeight w:val="454" w:hRule="atLeast"/>
          <w:hidden/>
        </w:trPr>
        <w:tc>
          <w:tcPr>
            <w:tcW w:w="2484" w:type="dxa"/>
            <w:tcBorders>
              <w:top w:val="single" w:color="auto" w:sz="4" w:space="0"/>
              <w:left w:val="single" w:color="auto" w:sz="4" w:space="0"/>
              <w:bottom w:val="single" w:color="auto" w:sz="4" w:space="0"/>
              <w:right w:val="single" w:color="auto" w:sz="4" w:space="0"/>
              <w:tl2br w:val="nil"/>
              <w:tr2bl w:val="nil"/>
            </w:tcBorders>
            <w:shd w:val="clear" w:color="auto" w:fill="D9D9D9"/>
            <w:vAlign w:val="center"/>
          </w:tcPr>
          <w:p>
            <w:pPr>
              <w:keepLines w:val="0"/>
              <w:widowControl/>
              <w:numPr>
                <w:ilvl w:val="0"/>
                <w:numId w:val="0"/>
              </w:numPr>
              <w:suppressLineNumbers w:val="0"/>
              <w:pBdr>
                <w:top w:val="none" w:color="auto" w:sz="0" w:space="0"/>
                <w:left w:val="none" w:color="auto" w:sz="0" w:space="0"/>
                <w:bottom w:val="none" w:color="auto" w:sz="0" w:space="0"/>
                <w:right w:val="none" w:color="auto" w:sz="0" w:space="0"/>
              </w:pBdr>
              <w:spacing w:after="48" w:afterAutospacing="0" w:line="360" w:lineRule="auto"/>
              <w:ind w:leftChars="0" w:right="0" w:rightChars="0"/>
              <w:jc w:val="center"/>
              <w:rPr>
                <w:rFonts w:hint="eastAsia" w:ascii="宋体" w:hAnsi="宋体" w:eastAsia="宋体" w:cs="宋体"/>
                <w:b/>
                <w:bCs/>
                <w:strike w:val="0"/>
                <w:dstrike w:val="0"/>
                <w:vanish w:val="0"/>
                <w:color w:val="000000"/>
                <w:sz w:val="21"/>
                <w:szCs w:val="21"/>
              </w:rPr>
            </w:pPr>
            <w:r>
              <w:rPr>
                <w:rFonts w:hint="eastAsia" w:ascii="宋体" w:hAnsi="宋体" w:eastAsia="宋体" w:cs="宋体"/>
                <w:b/>
                <w:bCs/>
                <w:strike w:val="0"/>
                <w:dstrike w:val="0"/>
                <w:vanish w:val="0"/>
                <w:color w:val="000000"/>
                <w:sz w:val="21"/>
                <w:szCs w:val="21"/>
              </w:rPr>
              <w:t>描述</w:t>
            </w:r>
          </w:p>
        </w:tc>
        <w:tc>
          <w:tcPr>
            <w:tcW w:w="2981" w:type="dxa"/>
            <w:tcBorders>
              <w:top w:val="single" w:color="auto" w:sz="4" w:space="0"/>
              <w:left w:val="single" w:color="auto" w:sz="4" w:space="0"/>
              <w:bottom w:val="single" w:color="auto" w:sz="4" w:space="0"/>
              <w:right w:val="single" w:color="auto" w:sz="4" w:space="0"/>
              <w:tl2br w:val="nil"/>
              <w:tr2bl w:val="nil"/>
            </w:tcBorders>
            <w:shd w:val="clear" w:color="auto" w:fill="D9D9D9"/>
            <w:vAlign w:val="center"/>
          </w:tcPr>
          <w:p>
            <w:pPr>
              <w:keepLines w:val="0"/>
              <w:widowControl/>
              <w:numPr>
                <w:ilvl w:val="0"/>
                <w:numId w:val="0"/>
              </w:numPr>
              <w:suppressLineNumbers w:val="0"/>
              <w:pBdr>
                <w:top w:val="none" w:color="auto" w:sz="0" w:space="0"/>
                <w:left w:val="none" w:color="auto" w:sz="0" w:space="0"/>
                <w:bottom w:val="none" w:color="auto" w:sz="0" w:space="0"/>
                <w:right w:val="none" w:color="auto" w:sz="0" w:space="0"/>
              </w:pBdr>
              <w:spacing w:after="48" w:afterAutospacing="0" w:line="360" w:lineRule="auto"/>
              <w:ind w:leftChars="0" w:right="0" w:rightChars="0"/>
              <w:jc w:val="center"/>
              <w:rPr>
                <w:rFonts w:hint="eastAsia" w:ascii="宋体" w:hAnsi="宋体" w:eastAsia="宋体" w:cs="宋体"/>
                <w:b/>
                <w:bCs/>
                <w:strike w:val="0"/>
                <w:dstrike w:val="0"/>
                <w:vanish w:val="0"/>
                <w:color w:val="000000"/>
                <w:sz w:val="21"/>
                <w:szCs w:val="21"/>
              </w:rPr>
            </w:pPr>
            <w:r>
              <w:rPr>
                <w:rFonts w:hint="eastAsia" w:ascii="宋体" w:hAnsi="宋体" w:eastAsia="宋体" w:cs="宋体"/>
                <w:b/>
                <w:bCs/>
                <w:strike w:val="0"/>
                <w:dstrike w:val="0"/>
                <w:vanish w:val="0"/>
                <w:color w:val="000000"/>
                <w:sz w:val="21"/>
                <w:szCs w:val="21"/>
              </w:rPr>
              <w:t>初始回应时间</w:t>
            </w:r>
          </w:p>
        </w:tc>
        <w:tc>
          <w:tcPr>
            <w:tcW w:w="2975" w:type="dxa"/>
            <w:tcBorders>
              <w:top w:val="single" w:color="auto" w:sz="4" w:space="0"/>
              <w:left w:val="single" w:color="auto" w:sz="4" w:space="0"/>
              <w:bottom w:val="single" w:color="auto" w:sz="4" w:space="0"/>
              <w:right w:val="single" w:color="auto" w:sz="4" w:space="0"/>
              <w:tl2br w:val="nil"/>
              <w:tr2bl w:val="nil"/>
            </w:tcBorders>
            <w:shd w:val="clear" w:color="auto" w:fill="D9D9D9"/>
            <w:vAlign w:val="center"/>
          </w:tcPr>
          <w:p>
            <w:pPr>
              <w:keepLines w:val="0"/>
              <w:widowControl/>
              <w:numPr>
                <w:ilvl w:val="0"/>
                <w:numId w:val="0"/>
              </w:numPr>
              <w:suppressLineNumbers w:val="0"/>
              <w:pBdr>
                <w:top w:val="none" w:color="auto" w:sz="0" w:space="0"/>
                <w:left w:val="none" w:color="auto" w:sz="0" w:space="0"/>
                <w:bottom w:val="none" w:color="auto" w:sz="0" w:space="0"/>
                <w:right w:val="none" w:color="auto" w:sz="0" w:space="0"/>
              </w:pBdr>
              <w:spacing w:after="48" w:afterAutospacing="0" w:line="360" w:lineRule="auto"/>
              <w:ind w:leftChars="0" w:right="0" w:rightChars="0"/>
              <w:jc w:val="center"/>
              <w:rPr>
                <w:rFonts w:hint="eastAsia" w:ascii="宋体" w:hAnsi="宋体" w:eastAsia="宋体" w:cs="宋体"/>
                <w:b/>
                <w:bCs/>
                <w:strike w:val="0"/>
                <w:dstrike w:val="0"/>
                <w:vanish w:val="0"/>
                <w:color w:val="000000"/>
                <w:sz w:val="21"/>
                <w:szCs w:val="21"/>
              </w:rPr>
            </w:pPr>
            <w:r>
              <w:rPr>
                <w:rFonts w:hint="eastAsia" w:ascii="宋体" w:hAnsi="宋体" w:eastAsia="宋体" w:cs="宋体"/>
                <w:b/>
                <w:bCs/>
                <w:strike w:val="0"/>
                <w:dstrike w:val="0"/>
                <w:vanish w:val="0"/>
                <w:color w:val="000000"/>
                <w:sz w:val="21"/>
                <w:szCs w:val="21"/>
              </w:rPr>
              <w:t>人员到场时间</w:t>
            </w:r>
          </w:p>
        </w:tc>
      </w:tr>
      <w:tr>
        <w:tblPrEx>
          <w:tblBorders>
            <w:top w:val="single" w:color="auto" w:sz="4" w:space="0"/>
            <w:left w:val="single" w:color="auto" w:sz="4" w:space="0"/>
            <w:bottom w:val="single" w:color="auto" w:sz="4" w:space="0"/>
            <w:right w:val="single" w:color="auto" w:sz="4" w:space="0"/>
            <w:insideH w:val="outset" w:color="auto" w:sz="4" w:space="0"/>
            <w:insideV w:val="outset" w:color="auto" w:sz="4" w:space="0"/>
          </w:tblBorders>
          <w:tblCellMar>
            <w:top w:w="0" w:type="dxa"/>
            <w:left w:w="108" w:type="dxa"/>
            <w:bottom w:w="0" w:type="dxa"/>
            <w:right w:w="108" w:type="dxa"/>
          </w:tblCellMar>
        </w:tblPrEx>
        <w:trPr>
          <w:trHeight w:val="454" w:hRule="atLeast"/>
        </w:trPr>
        <w:tc>
          <w:tcPr>
            <w:tcW w:w="2484" w:type="dxa"/>
            <w:tcBorders>
              <w:top w:val="single" w:color="auto" w:sz="4" w:space="0"/>
              <w:left w:val="single" w:color="auto" w:sz="4" w:space="0"/>
              <w:bottom w:val="single" w:color="auto" w:sz="4" w:space="0"/>
              <w:right w:val="single" w:color="auto" w:sz="4" w:space="0"/>
              <w:tl2br w:val="nil"/>
              <w:tr2bl w:val="nil"/>
            </w:tcBorders>
            <w:vAlign w:val="center"/>
          </w:tcPr>
          <w:p>
            <w:pPr>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adjustRightInd w:val="0"/>
              <w:snapToGrid/>
              <w:spacing w:after="60" w:afterAutospacing="0" w:line="360" w:lineRule="auto"/>
              <w:ind w:leftChars="0" w:right="0" w:rightChars="0"/>
              <w:contextualSpacing w:val="0"/>
              <w:jc w:val="center"/>
              <w:rPr>
                <w:rFonts w:hint="eastAsia" w:ascii="宋体" w:hAnsi="宋体" w:eastAsia="宋体" w:cs="宋体"/>
                <w:strike w:val="0"/>
                <w:dstrike w:val="0"/>
                <w:vanish w:val="0"/>
                <w:color w:val="000000"/>
                <w:sz w:val="21"/>
                <w:szCs w:val="21"/>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紧急</w:t>
            </w:r>
          </w:p>
        </w:tc>
        <w:tc>
          <w:tcPr>
            <w:tcW w:w="2981" w:type="dxa"/>
            <w:tcBorders>
              <w:top w:val="single" w:color="auto" w:sz="4" w:space="0"/>
              <w:left w:val="single" w:color="auto" w:sz="4" w:space="0"/>
              <w:bottom w:val="single" w:color="auto" w:sz="4" w:space="0"/>
              <w:right w:val="single" w:color="auto" w:sz="4" w:space="0"/>
              <w:tl2br w:val="nil"/>
              <w:tr2bl w:val="nil"/>
            </w:tcBorders>
            <w:vAlign w:val="center"/>
          </w:tcPr>
          <w:p>
            <w:pPr>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adjustRightInd w:val="0"/>
              <w:snapToGrid/>
              <w:spacing w:after="60" w:afterAutospacing="0" w:line="360" w:lineRule="auto"/>
              <w:ind w:leftChars="0" w:right="0" w:rightChars="0"/>
              <w:contextualSpacing w:val="0"/>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15分钟以内</w:t>
            </w:r>
          </w:p>
        </w:tc>
        <w:tc>
          <w:tcPr>
            <w:tcW w:w="2975" w:type="dxa"/>
            <w:tcBorders>
              <w:top w:val="single" w:color="auto" w:sz="4" w:space="0"/>
              <w:left w:val="single" w:color="auto" w:sz="4" w:space="0"/>
              <w:bottom w:val="single" w:color="auto" w:sz="4" w:space="0"/>
              <w:right w:val="single" w:color="auto" w:sz="4" w:space="0"/>
              <w:tl2br w:val="nil"/>
              <w:tr2bl w:val="nil"/>
            </w:tcBorders>
            <w:vAlign w:val="center"/>
          </w:tcPr>
          <w:p>
            <w:pPr>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adjustRightInd w:val="0"/>
              <w:snapToGrid/>
              <w:spacing w:after="60" w:afterAutospacing="0" w:line="360" w:lineRule="auto"/>
              <w:ind w:leftChars="0" w:right="0" w:rightChars="0"/>
              <w:contextualSpacing w:val="0"/>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1个小时</w:t>
            </w:r>
          </w:p>
        </w:tc>
      </w:tr>
      <w:tr>
        <w:tblPrEx>
          <w:tblBorders>
            <w:top w:val="single" w:color="auto" w:sz="4" w:space="0"/>
            <w:left w:val="single" w:color="auto" w:sz="4" w:space="0"/>
            <w:bottom w:val="single" w:color="auto" w:sz="4" w:space="0"/>
            <w:right w:val="single" w:color="auto" w:sz="4" w:space="0"/>
            <w:insideH w:val="outset" w:color="auto" w:sz="4" w:space="0"/>
            <w:insideV w:val="outset" w:color="auto" w:sz="4" w:space="0"/>
          </w:tblBorders>
          <w:tblCellMar>
            <w:top w:w="0" w:type="dxa"/>
            <w:left w:w="108" w:type="dxa"/>
            <w:bottom w:w="0" w:type="dxa"/>
            <w:right w:w="108" w:type="dxa"/>
          </w:tblCellMar>
        </w:tblPrEx>
        <w:trPr>
          <w:trHeight w:val="454" w:hRule="atLeast"/>
        </w:trPr>
        <w:tc>
          <w:tcPr>
            <w:tcW w:w="2484" w:type="dxa"/>
            <w:tcBorders>
              <w:top w:val="single" w:color="auto" w:sz="4" w:space="0"/>
              <w:left w:val="single" w:color="auto" w:sz="4" w:space="0"/>
              <w:bottom w:val="single" w:color="auto" w:sz="4" w:space="0"/>
              <w:right w:val="single" w:color="auto" w:sz="4" w:space="0"/>
              <w:tl2br w:val="nil"/>
              <w:tr2bl w:val="nil"/>
            </w:tcBorders>
            <w:vAlign w:val="center"/>
          </w:tcPr>
          <w:p>
            <w:pPr>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adjustRightInd w:val="0"/>
              <w:snapToGrid/>
              <w:spacing w:after="60" w:afterAutospacing="0" w:line="360" w:lineRule="auto"/>
              <w:ind w:leftChars="0" w:right="0" w:rightChars="0"/>
              <w:contextualSpacing w:val="0"/>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严重</w:t>
            </w:r>
          </w:p>
        </w:tc>
        <w:tc>
          <w:tcPr>
            <w:tcW w:w="2981" w:type="dxa"/>
            <w:tcBorders>
              <w:top w:val="single" w:color="auto" w:sz="4" w:space="0"/>
              <w:left w:val="single" w:color="auto" w:sz="4" w:space="0"/>
              <w:bottom w:val="single" w:color="auto" w:sz="4" w:space="0"/>
              <w:right w:val="single" w:color="auto" w:sz="4" w:space="0"/>
              <w:tl2br w:val="nil"/>
              <w:tr2bl w:val="nil"/>
            </w:tcBorders>
            <w:vAlign w:val="center"/>
          </w:tcPr>
          <w:p>
            <w:pPr>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adjustRightInd w:val="0"/>
              <w:snapToGrid/>
              <w:spacing w:after="60" w:afterAutospacing="0" w:line="360" w:lineRule="auto"/>
              <w:ind w:leftChars="0" w:right="0" w:rightChars="0"/>
              <w:contextualSpacing w:val="0"/>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30分钟以内</w:t>
            </w:r>
          </w:p>
        </w:tc>
        <w:tc>
          <w:tcPr>
            <w:tcW w:w="2975" w:type="dxa"/>
            <w:tcBorders>
              <w:top w:val="single" w:color="auto" w:sz="4" w:space="0"/>
              <w:left w:val="single" w:color="auto" w:sz="4" w:space="0"/>
              <w:bottom w:val="single" w:color="auto" w:sz="4" w:space="0"/>
              <w:right w:val="single" w:color="auto" w:sz="4" w:space="0"/>
              <w:tl2br w:val="nil"/>
              <w:tr2bl w:val="nil"/>
            </w:tcBorders>
            <w:vAlign w:val="center"/>
          </w:tcPr>
          <w:p>
            <w:pPr>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adjustRightInd w:val="0"/>
              <w:snapToGrid/>
              <w:spacing w:after="60" w:afterAutospacing="0" w:line="360" w:lineRule="auto"/>
              <w:ind w:leftChars="0" w:right="0" w:rightChars="0"/>
              <w:contextualSpacing w:val="0"/>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2个小时</w:t>
            </w:r>
          </w:p>
        </w:tc>
      </w:tr>
      <w:tr>
        <w:tblPrEx>
          <w:tblBorders>
            <w:top w:val="single" w:color="auto" w:sz="4" w:space="0"/>
            <w:left w:val="single" w:color="auto" w:sz="4" w:space="0"/>
            <w:bottom w:val="single" w:color="auto" w:sz="4" w:space="0"/>
            <w:right w:val="single" w:color="auto" w:sz="4" w:space="0"/>
            <w:insideH w:val="outset" w:color="auto" w:sz="4" w:space="0"/>
            <w:insideV w:val="outset" w:color="auto" w:sz="4" w:space="0"/>
          </w:tblBorders>
          <w:tblCellMar>
            <w:top w:w="0" w:type="dxa"/>
            <w:left w:w="108" w:type="dxa"/>
            <w:bottom w:w="0" w:type="dxa"/>
            <w:right w:w="108" w:type="dxa"/>
          </w:tblCellMar>
        </w:tblPrEx>
        <w:trPr>
          <w:trHeight w:val="454" w:hRule="atLeast"/>
        </w:trPr>
        <w:tc>
          <w:tcPr>
            <w:tcW w:w="2484" w:type="dxa"/>
            <w:tcBorders>
              <w:top w:val="single" w:color="auto" w:sz="4" w:space="0"/>
              <w:left w:val="single" w:color="auto" w:sz="4" w:space="0"/>
              <w:bottom w:val="single" w:color="auto" w:sz="4" w:space="0"/>
              <w:right w:val="single" w:color="auto" w:sz="4" w:space="0"/>
              <w:tl2br w:val="nil"/>
              <w:tr2bl w:val="nil"/>
            </w:tcBorders>
            <w:vAlign w:val="center"/>
          </w:tcPr>
          <w:p>
            <w:pPr>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adjustRightInd w:val="0"/>
              <w:snapToGrid/>
              <w:spacing w:after="60" w:afterAutospacing="0" w:line="360" w:lineRule="auto"/>
              <w:ind w:leftChars="0" w:right="0" w:rightChars="0"/>
              <w:contextualSpacing w:val="0"/>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中等</w:t>
            </w:r>
          </w:p>
        </w:tc>
        <w:tc>
          <w:tcPr>
            <w:tcW w:w="2981" w:type="dxa"/>
            <w:tcBorders>
              <w:top w:val="single" w:color="auto" w:sz="4" w:space="0"/>
              <w:left w:val="single" w:color="auto" w:sz="4" w:space="0"/>
              <w:bottom w:val="single" w:color="auto" w:sz="4" w:space="0"/>
              <w:right w:val="single" w:color="auto" w:sz="4" w:space="0"/>
              <w:tl2br w:val="nil"/>
              <w:tr2bl w:val="nil"/>
            </w:tcBorders>
            <w:vAlign w:val="center"/>
          </w:tcPr>
          <w:p>
            <w:pPr>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adjustRightInd w:val="0"/>
              <w:snapToGrid/>
              <w:spacing w:after="60" w:afterAutospacing="0" w:line="360" w:lineRule="auto"/>
              <w:ind w:leftChars="0" w:right="0" w:rightChars="0"/>
              <w:contextualSpacing w:val="0"/>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1小时以内</w:t>
            </w:r>
          </w:p>
        </w:tc>
        <w:tc>
          <w:tcPr>
            <w:tcW w:w="2975" w:type="dxa"/>
            <w:tcBorders>
              <w:top w:val="single" w:color="auto" w:sz="4" w:space="0"/>
              <w:left w:val="single" w:color="auto" w:sz="4" w:space="0"/>
              <w:bottom w:val="single" w:color="auto" w:sz="4" w:space="0"/>
              <w:right w:val="single" w:color="auto" w:sz="4" w:space="0"/>
              <w:tl2br w:val="nil"/>
              <w:tr2bl w:val="nil"/>
            </w:tcBorders>
            <w:vAlign w:val="center"/>
          </w:tcPr>
          <w:p>
            <w:pPr>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adjustRightInd w:val="0"/>
              <w:snapToGrid/>
              <w:spacing w:after="60" w:afterAutospacing="0" w:line="360" w:lineRule="auto"/>
              <w:ind w:leftChars="0" w:right="0" w:rightChars="0"/>
              <w:contextualSpacing w:val="0"/>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4个小时</w:t>
            </w:r>
          </w:p>
        </w:tc>
      </w:tr>
      <w:tr>
        <w:tblPrEx>
          <w:tblBorders>
            <w:top w:val="single" w:color="auto" w:sz="4" w:space="0"/>
            <w:left w:val="single" w:color="auto" w:sz="4" w:space="0"/>
            <w:bottom w:val="single" w:color="auto" w:sz="4" w:space="0"/>
            <w:right w:val="single" w:color="auto" w:sz="4" w:space="0"/>
            <w:insideH w:val="outset" w:color="auto" w:sz="4" w:space="0"/>
            <w:insideV w:val="outset" w:color="auto" w:sz="4" w:space="0"/>
          </w:tblBorders>
          <w:tblCellMar>
            <w:top w:w="0" w:type="dxa"/>
            <w:left w:w="108" w:type="dxa"/>
            <w:bottom w:w="0" w:type="dxa"/>
            <w:right w:w="108" w:type="dxa"/>
          </w:tblCellMar>
        </w:tblPrEx>
        <w:trPr>
          <w:trHeight w:val="454" w:hRule="atLeast"/>
        </w:trPr>
        <w:tc>
          <w:tcPr>
            <w:tcW w:w="2484" w:type="dxa"/>
            <w:tcBorders>
              <w:top w:val="single" w:color="auto" w:sz="4" w:space="0"/>
              <w:left w:val="single" w:color="auto" w:sz="4" w:space="0"/>
              <w:bottom w:val="single" w:color="auto" w:sz="4" w:space="0"/>
              <w:right w:val="single" w:color="auto" w:sz="4" w:space="0"/>
              <w:tl2br w:val="nil"/>
              <w:tr2bl w:val="nil"/>
            </w:tcBorders>
            <w:vAlign w:val="center"/>
          </w:tcPr>
          <w:p>
            <w:pPr>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adjustRightInd w:val="0"/>
              <w:snapToGrid/>
              <w:spacing w:after="60" w:afterAutospacing="0" w:line="360" w:lineRule="auto"/>
              <w:ind w:leftChars="0" w:right="0" w:rightChars="0"/>
              <w:contextualSpacing w:val="0"/>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一般</w:t>
            </w:r>
          </w:p>
        </w:tc>
        <w:tc>
          <w:tcPr>
            <w:tcW w:w="2981" w:type="dxa"/>
            <w:tcBorders>
              <w:top w:val="single" w:color="auto" w:sz="4" w:space="0"/>
              <w:left w:val="single" w:color="auto" w:sz="4" w:space="0"/>
              <w:bottom w:val="single" w:color="auto" w:sz="4" w:space="0"/>
              <w:right w:val="single" w:color="auto" w:sz="4" w:space="0"/>
              <w:tl2br w:val="nil"/>
              <w:tr2bl w:val="nil"/>
            </w:tcBorders>
            <w:vAlign w:val="center"/>
          </w:tcPr>
          <w:p>
            <w:pPr>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adjustRightInd w:val="0"/>
              <w:snapToGrid/>
              <w:spacing w:after="60" w:afterAutospacing="0" w:line="360" w:lineRule="auto"/>
              <w:ind w:leftChars="0" w:right="0" w:rightChars="0"/>
              <w:contextualSpacing w:val="0"/>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8小时内</w:t>
            </w:r>
          </w:p>
        </w:tc>
        <w:tc>
          <w:tcPr>
            <w:tcW w:w="2975" w:type="dxa"/>
            <w:tcBorders>
              <w:top w:val="single" w:color="auto" w:sz="4" w:space="0"/>
              <w:left w:val="single" w:color="auto" w:sz="4" w:space="0"/>
              <w:bottom w:val="single" w:color="auto" w:sz="4" w:space="0"/>
              <w:right w:val="single" w:color="auto" w:sz="4" w:space="0"/>
              <w:tl2br w:val="nil"/>
              <w:tr2bl w:val="nil"/>
            </w:tcBorders>
            <w:vAlign w:val="center"/>
          </w:tcPr>
          <w:p>
            <w:pPr>
              <w:keepLines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val="0"/>
              <w:adjustRightInd w:val="0"/>
              <w:snapToGrid/>
              <w:spacing w:after="60" w:afterAutospacing="0" w:line="360" w:lineRule="auto"/>
              <w:ind w:leftChars="0" w:right="0" w:rightChars="0"/>
              <w:contextualSpacing w:val="0"/>
              <w:jc w:val="cente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24小时</w:t>
            </w:r>
          </w:p>
        </w:tc>
      </w:tr>
    </w:tbl>
    <w:p>
      <w:pPr>
        <w:pStyle w:val="8"/>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jc w:val="both"/>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SLA（服务级别协议）月度/季度达标率≥95%，（(SLA达成事件之和 / 事件总数) × 100%）。</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jc w:val="both"/>
        <w:textAlignment w:val="auto"/>
        <w:rPr>
          <w:rFonts w:hint="eastAsia"/>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（7）系统功能验收：关键键业务流程（如订单-发运-应收-收款、采购-接收-应付-付款）符合预设逻辑，需100%通过测试，无重大缺陷。检查关键业务操作（如开票、月结/年结等）的响应时间，应无显著延迟。</w:t>
      </w:r>
    </w:p>
    <w:p>
      <w:pPr>
        <w:numPr>
          <w:ilvl w:val="0"/>
          <w:numId w:val="42"/>
        </w:numPr>
        <w:spacing w:line="360" w:lineRule="auto"/>
        <w:ind w:left="425" w:leftChars="0" w:hanging="425" w:firstLineChars="0"/>
        <w:rPr>
          <w:rFonts w:hint="eastAsia" w:ascii="宋体" w:hAnsi="宋体" w:eastAsia="宋体" w:cs="宋体"/>
          <w:b/>
          <w:bCs/>
          <w:spacing w:val="-1"/>
          <w:kern w:val="0"/>
          <w:sz w:val="21"/>
          <w:szCs w:val="21"/>
          <w:highlight w:val="none"/>
        </w:rPr>
      </w:pPr>
      <w:r>
        <w:rPr>
          <w:rFonts w:hint="eastAsia" w:ascii="宋体" w:hAnsi="宋体" w:eastAsia="宋体" w:cs="宋体"/>
          <w:b/>
          <w:bCs/>
          <w:spacing w:val="-1"/>
          <w:kern w:val="0"/>
          <w:sz w:val="21"/>
          <w:szCs w:val="21"/>
          <w:highlight w:val="none"/>
        </w:rPr>
        <w:t>验收内容</w:t>
      </w:r>
    </w:p>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乙方提供的技术支持包含但不限于：与本项目相关的技术咨询</w:t>
      </w:r>
      <w:r>
        <w:rPr>
          <w:rFonts w:hint="eastAsia" w:ascii="宋体" w:hAnsi="宋体" w:eastAsia="宋体" w:cs="宋体"/>
          <w:spacing w:val="-1"/>
          <w:kern w:val="0"/>
          <w:sz w:val="21"/>
          <w:szCs w:val="21"/>
          <w:highlight w:val="none"/>
          <w:lang w:eastAsia="zh-CN"/>
        </w:rPr>
        <w:t>，</w:t>
      </w:r>
      <w:r>
        <w:rPr>
          <w:rFonts w:hint="eastAsia" w:ascii="宋体" w:hAnsi="宋体" w:eastAsia="宋体" w:cs="宋体"/>
          <w:spacing w:val="-1"/>
          <w:kern w:val="0"/>
          <w:sz w:val="21"/>
          <w:szCs w:val="21"/>
          <w:highlight w:val="none"/>
          <w:lang w:val="en-US" w:eastAsia="zh-CN"/>
        </w:rPr>
        <w:t>包括</w:t>
      </w:r>
      <w:r>
        <w:rPr>
          <w:rFonts w:hint="eastAsia" w:ascii="宋体" w:hAnsi="宋体" w:eastAsia="宋体" w:cs="宋体"/>
          <w:spacing w:val="-1"/>
          <w:kern w:val="0"/>
          <w:sz w:val="21"/>
          <w:szCs w:val="21"/>
          <w:highlight w:val="none"/>
          <w:lang w:eastAsia="zh-CN"/>
        </w:rPr>
        <w:t>SAP运维服务</w:t>
      </w:r>
      <w:r>
        <w:rPr>
          <w:rFonts w:hint="eastAsia" w:ascii="宋体" w:hAnsi="宋体" w:eastAsia="宋体" w:cs="宋体"/>
          <w:spacing w:val="-1"/>
          <w:kern w:val="0"/>
          <w:sz w:val="21"/>
          <w:szCs w:val="21"/>
          <w:highlight w:val="none"/>
        </w:rPr>
        <w:t>方面的技术</w:t>
      </w:r>
      <w:r>
        <w:rPr>
          <w:rFonts w:hint="eastAsia" w:ascii="宋体" w:hAnsi="宋体" w:eastAsia="宋体" w:cs="宋体"/>
          <w:spacing w:val="-1"/>
          <w:kern w:val="0"/>
          <w:sz w:val="21"/>
          <w:szCs w:val="21"/>
          <w:highlight w:val="none"/>
          <w:lang w:val="en-US" w:eastAsia="zh-CN"/>
        </w:rPr>
        <w:t>方法</w:t>
      </w:r>
      <w:r>
        <w:rPr>
          <w:rFonts w:hint="eastAsia" w:ascii="宋体" w:hAnsi="宋体" w:eastAsia="宋体" w:cs="宋体"/>
          <w:spacing w:val="-1"/>
          <w:kern w:val="0"/>
          <w:sz w:val="21"/>
          <w:szCs w:val="21"/>
          <w:highlight w:val="none"/>
        </w:rPr>
        <w:t>、成功经验、注意事项</w:t>
      </w:r>
      <w:r>
        <w:rPr>
          <w:rFonts w:hint="eastAsia" w:ascii="宋体" w:hAnsi="宋体" w:eastAsia="宋体" w:cs="宋体"/>
          <w:spacing w:val="-1"/>
          <w:kern w:val="0"/>
          <w:sz w:val="21"/>
          <w:szCs w:val="21"/>
          <w:highlight w:val="none"/>
          <w:lang w:eastAsia="zh-CN"/>
        </w:rPr>
        <w:t>、</w:t>
      </w:r>
      <w:r>
        <w:rPr>
          <w:rFonts w:hint="eastAsia" w:ascii="宋体" w:hAnsi="宋体" w:eastAsia="宋体" w:cs="宋体"/>
          <w:spacing w:val="-1"/>
          <w:kern w:val="0"/>
          <w:sz w:val="21"/>
          <w:szCs w:val="21"/>
          <w:highlight w:val="none"/>
        </w:rPr>
        <w:t>有关标准、规范等。</w:t>
      </w:r>
    </w:p>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pacing w:val="-1"/>
          <w:kern w:val="0"/>
          <w:sz w:val="21"/>
          <w:szCs w:val="21"/>
          <w:highlight w:val="none"/>
          <w:lang w:eastAsia="zh-CN"/>
        </w:rPr>
      </w:pPr>
      <w:r>
        <w:rPr>
          <w:rFonts w:hint="eastAsia" w:ascii="宋体" w:hAnsi="宋体" w:eastAsia="宋体" w:cs="宋体"/>
          <w:spacing w:val="-1"/>
          <w:kern w:val="0"/>
          <w:sz w:val="21"/>
          <w:szCs w:val="21"/>
          <w:highlight w:val="none"/>
        </w:rPr>
        <w:t>宣贯培训：在项目过程中，乙方提供</w:t>
      </w:r>
      <w:r>
        <w:rPr>
          <w:rFonts w:hint="eastAsia" w:ascii="宋体" w:hAnsi="宋体" w:eastAsia="宋体" w:cs="宋体"/>
          <w:spacing w:val="-1"/>
          <w:kern w:val="0"/>
          <w:sz w:val="21"/>
          <w:szCs w:val="21"/>
          <w:highlight w:val="none"/>
          <w:lang w:val="en-US" w:eastAsia="zh-CN"/>
        </w:rPr>
        <w:t>SAP运维服务相关的</w:t>
      </w:r>
      <w:r>
        <w:rPr>
          <w:rFonts w:hint="eastAsia" w:ascii="宋体" w:hAnsi="宋体" w:eastAsia="宋体" w:cs="宋体"/>
          <w:spacing w:val="-1"/>
          <w:kern w:val="0"/>
          <w:sz w:val="21"/>
          <w:szCs w:val="21"/>
          <w:highlight w:val="none"/>
        </w:rPr>
        <w:t>理论与技能、</w:t>
      </w:r>
      <w:r>
        <w:rPr>
          <w:rFonts w:hint="eastAsia" w:ascii="宋体" w:hAnsi="宋体" w:eastAsia="宋体" w:cs="宋体"/>
          <w:spacing w:val="-1"/>
          <w:kern w:val="0"/>
          <w:sz w:val="21"/>
          <w:szCs w:val="21"/>
          <w:highlight w:val="none"/>
          <w:lang w:val="en-US" w:eastAsia="zh-CN"/>
        </w:rPr>
        <w:t>整个过程中各部门的职责分工</w:t>
      </w:r>
      <w:r>
        <w:rPr>
          <w:rFonts w:hint="eastAsia" w:ascii="宋体" w:hAnsi="宋体" w:eastAsia="宋体" w:cs="宋体"/>
          <w:spacing w:val="-1"/>
          <w:kern w:val="0"/>
          <w:sz w:val="21"/>
          <w:szCs w:val="21"/>
          <w:highlight w:val="none"/>
        </w:rPr>
        <w:t>、项目交付物作用等培训</w:t>
      </w:r>
      <w:r>
        <w:rPr>
          <w:rFonts w:hint="eastAsia" w:ascii="宋体" w:hAnsi="宋体" w:eastAsia="宋体" w:cs="宋体"/>
          <w:spacing w:val="-1"/>
          <w:kern w:val="0"/>
          <w:sz w:val="21"/>
          <w:szCs w:val="21"/>
          <w:highlight w:val="none"/>
          <w:lang w:eastAsia="zh-CN"/>
        </w:rPr>
        <w:t>，</w:t>
      </w:r>
      <w:r>
        <w:rPr>
          <w:rFonts w:hint="eastAsia" w:ascii="宋体" w:hAnsi="宋体" w:eastAsia="宋体" w:cs="宋体"/>
          <w:spacing w:val="-1"/>
          <w:kern w:val="0"/>
          <w:sz w:val="21"/>
          <w:szCs w:val="21"/>
          <w:highlight w:val="none"/>
        </w:rPr>
        <w:t>甲方参加培训的人数没有限制</w:t>
      </w:r>
      <w:r>
        <w:rPr>
          <w:rFonts w:hint="eastAsia" w:ascii="宋体" w:hAnsi="宋体" w:eastAsia="宋体" w:cs="宋体"/>
          <w:spacing w:val="-1"/>
          <w:kern w:val="0"/>
          <w:sz w:val="21"/>
          <w:szCs w:val="21"/>
          <w:highlight w:val="none"/>
          <w:lang w:eastAsia="zh-CN"/>
        </w:rPr>
        <w:t>。</w:t>
      </w:r>
    </w:p>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pacing w:val="-1"/>
          <w:kern w:val="0"/>
          <w:sz w:val="21"/>
          <w:szCs w:val="21"/>
          <w:highlight w:val="none"/>
          <w:lang w:val="en-US" w:eastAsia="zh-CN" w:bidi="ar-SA"/>
        </w:rPr>
      </w:pPr>
      <w:r>
        <w:rPr>
          <w:rFonts w:hint="eastAsia" w:ascii="宋体" w:hAnsi="宋体" w:eastAsia="宋体" w:cs="宋体"/>
          <w:spacing w:val="-1"/>
          <w:kern w:val="0"/>
          <w:sz w:val="21"/>
          <w:szCs w:val="21"/>
          <w:highlight w:val="none"/>
          <w:lang w:val="en-US" w:eastAsia="zh-CN" w:bidi="ar-SA"/>
        </w:rPr>
        <w:t>技术服务验收：系统监控、健康检查、性能优化记录完整有效、备份恢复演练成功，日志齐全、安全策略、漏洞修补、权限管理合规。</w:t>
      </w:r>
    </w:p>
    <w:p>
      <w:pPr>
        <w:pStyle w:val="8"/>
        <w:keepNext w:val="0"/>
        <w:keepLines w:val="0"/>
        <w:pageBreakBefore w:val="0"/>
        <w:widowControl w:val="0"/>
        <w:numPr>
          <w:ilvl w:val="0"/>
          <w:numId w:val="45"/>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pacing w:val="-1"/>
          <w:kern w:val="0"/>
          <w:sz w:val="21"/>
          <w:szCs w:val="21"/>
          <w:highlight w:val="none"/>
          <w:lang w:val="en-US" w:eastAsia="zh-CN" w:bidi="ar-SA"/>
        </w:rPr>
      </w:pPr>
      <w:r>
        <w:rPr>
          <w:rFonts w:hint="eastAsia" w:ascii="宋体" w:hAnsi="宋体" w:eastAsia="宋体" w:cs="宋体"/>
          <w:spacing w:val="-1"/>
          <w:kern w:val="0"/>
          <w:sz w:val="21"/>
          <w:szCs w:val="21"/>
          <w:highlight w:val="none"/>
          <w:lang w:val="en-US" w:eastAsia="zh-CN" w:bidi="ar-SA"/>
        </w:rPr>
        <w:t>业务服务验收：用户提交的服务请求得到及时、有效的处理且关闭、月结、年结等关键业务期支持、报表开发、流程优化等需求按质按量完成。</w:t>
      </w:r>
    </w:p>
    <w:p>
      <w:pPr>
        <w:pStyle w:val="8"/>
        <w:keepNext w:val="0"/>
        <w:keepLines w:val="0"/>
        <w:pageBreakBefore w:val="0"/>
        <w:widowControl w:val="0"/>
        <w:numPr>
          <w:ilvl w:val="0"/>
          <w:numId w:val="45"/>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pacing w:val="-1"/>
          <w:kern w:val="0"/>
          <w:sz w:val="21"/>
          <w:szCs w:val="21"/>
          <w:highlight w:val="none"/>
          <w:lang w:val="en-US" w:eastAsia="zh-CN" w:bidi="ar-SA"/>
        </w:rPr>
      </w:pPr>
      <w:r>
        <w:rPr>
          <w:rFonts w:hint="eastAsia" w:ascii="宋体" w:hAnsi="宋体" w:eastAsia="宋体" w:cs="宋体"/>
          <w:spacing w:val="-1"/>
          <w:kern w:val="0"/>
          <w:sz w:val="21"/>
          <w:szCs w:val="21"/>
          <w:highlight w:val="none"/>
          <w:lang w:val="en-US" w:eastAsia="zh-CN" w:bidi="ar-SA"/>
        </w:rPr>
        <w:t>管理流程验收：事件管理、问题管理、变更管理流程记录，可追溯、定期服务报告（周报、月报、季报）按时提交，内容清晰。</w:t>
      </w:r>
    </w:p>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pacing w:val="-1"/>
          <w:kern w:val="0"/>
          <w:sz w:val="21"/>
          <w:szCs w:val="21"/>
          <w:highlight w:val="none"/>
        </w:rPr>
      </w:pPr>
      <w:bookmarkStart w:id="39" w:name="_Toc405020146"/>
      <w:bookmarkStart w:id="40" w:name="_Toc328376354"/>
      <w:bookmarkStart w:id="41" w:name="_Toc406594155"/>
      <w:bookmarkStart w:id="42" w:name="_Toc290389259"/>
      <w:bookmarkStart w:id="43" w:name="_Toc314578725"/>
      <w:r>
        <w:rPr>
          <w:rFonts w:hint="eastAsia" w:ascii="宋体" w:hAnsi="宋体" w:eastAsia="宋体" w:cs="宋体"/>
          <w:spacing w:val="-1"/>
          <w:kern w:val="0"/>
          <w:sz w:val="21"/>
          <w:szCs w:val="21"/>
          <w:highlight w:val="none"/>
        </w:rPr>
        <w:t>知识转移：</w:t>
      </w:r>
      <w:bookmarkEnd w:id="39"/>
      <w:bookmarkEnd w:id="40"/>
      <w:bookmarkEnd w:id="41"/>
      <w:bookmarkEnd w:id="42"/>
      <w:bookmarkEnd w:id="43"/>
      <w:bookmarkStart w:id="44" w:name="_Toc328376355"/>
      <w:bookmarkStart w:id="45" w:name="_Toc290389260"/>
      <w:bookmarkStart w:id="46" w:name="_Toc405020147"/>
      <w:bookmarkStart w:id="47" w:name="_Toc314578726"/>
      <w:r>
        <w:rPr>
          <w:rFonts w:hint="eastAsia" w:ascii="宋体" w:hAnsi="宋体" w:eastAsia="宋体" w:cs="宋体"/>
          <w:spacing w:val="-1"/>
          <w:kern w:val="0"/>
          <w:sz w:val="21"/>
          <w:szCs w:val="21"/>
          <w:highlight w:val="none"/>
        </w:rPr>
        <w:t>乙方在项目期间形成的与甲方有关的过程文档、培训课件、方法措施等各种知识，均须转移给甲方。</w:t>
      </w:r>
      <w:bookmarkStart w:id="48" w:name="_Toc406594156"/>
    </w:p>
    <w:p>
      <w:pPr>
        <w:keepNext w:val="0"/>
        <w:keepLines w:val="0"/>
        <w:pageBreakBefore w:val="0"/>
        <w:widowControl w:val="0"/>
        <w:numPr>
          <w:ilvl w:val="0"/>
          <w:numId w:val="45"/>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售后质保：</w:t>
      </w:r>
      <w:bookmarkEnd w:id="44"/>
      <w:bookmarkEnd w:id="45"/>
      <w:bookmarkEnd w:id="46"/>
      <w:bookmarkEnd w:id="47"/>
      <w:bookmarkEnd w:id="48"/>
      <w:r>
        <w:rPr>
          <w:rFonts w:hint="eastAsia" w:ascii="宋体" w:hAnsi="宋体" w:eastAsia="宋体" w:cs="宋体"/>
          <w:spacing w:val="-1"/>
          <w:kern w:val="0"/>
          <w:sz w:val="21"/>
          <w:szCs w:val="21"/>
          <w:highlight w:val="none"/>
        </w:rPr>
        <w:t>在甲方</w:t>
      </w:r>
      <w:r>
        <w:rPr>
          <w:rFonts w:hint="eastAsia" w:ascii="宋体" w:hAnsi="宋体" w:eastAsia="宋体" w:cs="宋体"/>
          <w:spacing w:val="-1"/>
          <w:kern w:val="0"/>
          <w:sz w:val="21"/>
          <w:szCs w:val="21"/>
          <w:highlight w:val="none"/>
          <w:lang w:val="en-US" w:eastAsia="zh-CN"/>
        </w:rPr>
        <w:t>完成数据资产披露后</w:t>
      </w:r>
      <w:r>
        <w:rPr>
          <w:rFonts w:hint="eastAsia" w:ascii="宋体" w:hAnsi="宋体" w:eastAsia="宋体" w:cs="宋体"/>
          <w:spacing w:val="-1"/>
          <w:kern w:val="0"/>
          <w:sz w:val="21"/>
          <w:szCs w:val="21"/>
          <w:highlight w:val="none"/>
        </w:rPr>
        <w:t>，对存在的问题或改进方向，乙方给予积极配合与支持。</w:t>
      </w:r>
    </w:p>
    <w:p>
      <w:pPr>
        <w:numPr>
          <w:ilvl w:val="0"/>
          <w:numId w:val="42"/>
        </w:numPr>
        <w:spacing w:line="360" w:lineRule="auto"/>
        <w:ind w:left="425" w:leftChars="0" w:hanging="425" w:firstLineChars="0"/>
        <w:rPr>
          <w:rFonts w:hint="eastAsia" w:ascii="宋体" w:hAnsi="宋体" w:eastAsia="宋体" w:cs="宋体"/>
          <w:b/>
          <w:bCs/>
          <w:spacing w:val="-1"/>
          <w:kern w:val="0"/>
          <w:sz w:val="21"/>
          <w:szCs w:val="21"/>
          <w:highlight w:val="none"/>
        </w:rPr>
      </w:pPr>
      <w:bookmarkStart w:id="49" w:name="_Toc469295413"/>
      <w:bookmarkStart w:id="50" w:name="_Toc463956450"/>
      <w:bookmarkStart w:id="51" w:name="_Toc45021577"/>
      <w:bookmarkStart w:id="52" w:name="_Toc469994610"/>
      <w:r>
        <w:rPr>
          <w:rFonts w:hint="eastAsia" w:ascii="宋体" w:hAnsi="宋体" w:eastAsia="宋体" w:cs="宋体"/>
          <w:b/>
          <w:bCs/>
          <w:spacing w:val="-1"/>
          <w:kern w:val="0"/>
          <w:sz w:val="21"/>
          <w:szCs w:val="21"/>
          <w:highlight w:val="none"/>
        </w:rPr>
        <w:t>关键交付物</w:t>
      </w:r>
      <w:bookmarkEnd w:id="49"/>
      <w:bookmarkEnd w:id="50"/>
      <w:bookmarkEnd w:id="51"/>
      <w:bookmarkEnd w:id="52"/>
    </w:p>
    <w:p>
      <w:pPr>
        <w:spacing w:line="360" w:lineRule="auto"/>
        <w:ind w:firstLine="416" w:firstLineChars="200"/>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本项目的项目管理需要满足甲方制定的项目实施方法论要求。乙方需要详细描述其项目管理的方法、项目组配置和质量管理和文档管理方案，及项目最终交付件清单。</w:t>
      </w:r>
    </w:p>
    <w:p>
      <w:pPr>
        <w:spacing w:line="360" w:lineRule="auto"/>
        <w:ind w:firstLine="416" w:firstLineChars="200"/>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乙方应交付符合甲方项目管理规范的文档资料（电子版及纸质版），参考关键交付物清单列表主要包括：</w:t>
      </w:r>
    </w:p>
    <w:tbl>
      <w:tblPr>
        <w:tblStyle w:val="34"/>
        <w:tblW w:w="887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4240"/>
        <w:gridCol w:w="2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725" w:type="dxa"/>
            <w:vMerge w:val="restart"/>
            <w:shd w:val="clear" w:color="000000" w:fill="auto"/>
            <w:vAlign w:val="center"/>
          </w:tcPr>
          <w:p>
            <w:pPr>
              <w:widowControl/>
              <w:tabs>
                <w:tab w:val="left" w:pos="2400"/>
              </w:tabs>
              <w:spacing w:before="38" w:line="360" w:lineRule="auto"/>
              <w:jc w:val="center"/>
              <w:rPr>
                <w:rFonts w:hint="eastAsia" w:ascii="宋体" w:hAnsi="宋体" w:eastAsia="宋体" w:cs="宋体"/>
                <w:b/>
                <w:color w:val="000000"/>
                <w:kern w:val="0"/>
                <w:sz w:val="21"/>
                <w:szCs w:val="21"/>
                <w:highlight w:val="none"/>
                <w:lang w:val="en-US" w:eastAsia="zh-CN"/>
              </w:rPr>
            </w:pPr>
            <w:r>
              <w:rPr>
                <w:rFonts w:hint="eastAsia" w:ascii="宋体" w:hAnsi="宋体" w:eastAsia="宋体" w:cs="宋体"/>
                <w:b/>
                <w:color w:val="000000"/>
                <w:kern w:val="0"/>
                <w:sz w:val="21"/>
                <w:szCs w:val="21"/>
                <w:highlight w:val="none"/>
                <w:lang w:val="en-US" w:eastAsia="zh-CN"/>
              </w:rPr>
              <w:t>服务内容</w:t>
            </w:r>
          </w:p>
        </w:tc>
        <w:tc>
          <w:tcPr>
            <w:tcW w:w="4240" w:type="dxa"/>
            <w:vMerge w:val="restart"/>
            <w:shd w:val="clear" w:color="000000" w:fill="auto"/>
            <w:vAlign w:val="center"/>
          </w:tcPr>
          <w:p>
            <w:pPr>
              <w:widowControl/>
              <w:tabs>
                <w:tab w:val="left" w:pos="2400"/>
              </w:tabs>
              <w:spacing w:before="38" w:line="360" w:lineRule="auto"/>
              <w:jc w:val="center"/>
              <w:rPr>
                <w:rFonts w:hint="eastAsia" w:ascii="宋体" w:hAnsi="宋体" w:eastAsia="宋体" w:cs="宋体"/>
                <w:b/>
                <w:color w:val="000000"/>
                <w:kern w:val="0"/>
                <w:sz w:val="21"/>
                <w:szCs w:val="21"/>
                <w:highlight w:val="none"/>
              </w:rPr>
            </w:pPr>
            <w:r>
              <w:rPr>
                <w:rFonts w:hint="eastAsia" w:ascii="宋体" w:hAnsi="宋体" w:eastAsia="宋体" w:cs="宋体"/>
                <w:b/>
                <w:color w:val="000000"/>
                <w:kern w:val="0"/>
                <w:sz w:val="21"/>
                <w:szCs w:val="21"/>
                <w:highlight w:val="none"/>
              </w:rPr>
              <w:t>交付物</w:t>
            </w:r>
          </w:p>
        </w:tc>
        <w:tc>
          <w:tcPr>
            <w:tcW w:w="2913" w:type="dxa"/>
            <w:vMerge w:val="restart"/>
            <w:shd w:val="clear" w:color="000000" w:fill="auto"/>
            <w:vAlign w:val="center"/>
          </w:tcPr>
          <w:p>
            <w:pPr>
              <w:widowControl/>
              <w:tabs>
                <w:tab w:val="left" w:pos="2400"/>
              </w:tabs>
              <w:spacing w:before="38" w:line="360" w:lineRule="auto"/>
              <w:jc w:val="center"/>
              <w:rPr>
                <w:rFonts w:hint="eastAsia" w:ascii="宋体" w:hAnsi="宋体" w:eastAsia="宋体" w:cs="宋体"/>
                <w:b/>
                <w:color w:val="000000"/>
                <w:kern w:val="0"/>
                <w:sz w:val="21"/>
                <w:szCs w:val="21"/>
                <w:highlight w:val="none"/>
              </w:rPr>
            </w:pPr>
            <w:r>
              <w:rPr>
                <w:rFonts w:hint="eastAsia" w:ascii="宋体" w:hAnsi="宋体" w:eastAsia="宋体" w:cs="宋体"/>
                <w:b/>
                <w:color w:val="000000"/>
                <w:kern w:val="0"/>
                <w:sz w:val="21"/>
                <w:szCs w:val="21"/>
                <w:highlight w:val="none"/>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25" w:type="dxa"/>
            <w:vMerge w:val="continue"/>
            <w:shd w:val="clear" w:color="000000"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p>
        </w:tc>
        <w:tc>
          <w:tcPr>
            <w:tcW w:w="4240" w:type="dxa"/>
            <w:vMerge w:val="continue"/>
            <w:shd w:val="clear" w:color="000000"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p>
        </w:tc>
        <w:tc>
          <w:tcPr>
            <w:tcW w:w="2913" w:type="dxa"/>
            <w:vMerge w:val="continue"/>
            <w:shd w:val="clear" w:color="000000"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restart"/>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系统基础运维</w:t>
            </w:r>
          </w:p>
        </w:tc>
        <w:tc>
          <w:tcPr>
            <w:tcW w:w="4240"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SAP系统</w:t>
            </w:r>
            <w:r>
              <w:rPr>
                <w:rFonts w:hint="eastAsia" w:ascii="宋体" w:hAnsi="宋体" w:eastAsia="宋体" w:cs="宋体"/>
                <w:color w:val="000000"/>
                <w:kern w:val="0"/>
                <w:sz w:val="21"/>
                <w:szCs w:val="21"/>
                <w:highlight w:val="none"/>
                <w:lang w:val="en-US" w:eastAsia="zh-CN"/>
              </w:rPr>
              <w:t>周度/</w:t>
            </w:r>
            <w:r>
              <w:rPr>
                <w:rFonts w:hint="eastAsia" w:ascii="宋体" w:hAnsi="宋体" w:eastAsia="宋体" w:cs="宋体"/>
                <w:color w:val="000000"/>
                <w:kern w:val="0"/>
                <w:sz w:val="21"/>
                <w:szCs w:val="21"/>
                <w:highlight w:val="none"/>
              </w:rPr>
              <w:t>月度/季度性能分析报告</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p>
        </w:tc>
        <w:tc>
          <w:tcPr>
            <w:tcW w:w="4240"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变更请求（CR）记录单</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p>
        </w:tc>
        <w:tc>
          <w:tcPr>
            <w:tcW w:w="4240"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系统刷新/Client拷贝操作报告</w:t>
            </w:r>
          </w:p>
        </w:tc>
        <w:tc>
          <w:tcPr>
            <w:tcW w:w="2913" w:type="dxa"/>
            <w:shd w:val="clear" w:color="auto" w:fill="auto"/>
            <w:vAlign w:val="center"/>
          </w:tcPr>
          <w:p>
            <w:pPr>
              <w:widowControl/>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p>
        </w:tc>
        <w:tc>
          <w:tcPr>
            <w:tcW w:w="4240"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备份任务执行日志与验证报告</w:t>
            </w:r>
          </w:p>
        </w:tc>
        <w:tc>
          <w:tcPr>
            <w:tcW w:w="2913" w:type="dxa"/>
            <w:shd w:val="clear" w:color="auto" w:fill="auto"/>
            <w:vAlign w:val="center"/>
          </w:tcPr>
          <w:p>
            <w:pPr>
              <w:widowControl/>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p>
        </w:tc>
        <w:tc>
          <w:tcPr>
            <w:tcW w:w="4240"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用户权限定期审计报告</w:t>
            </w:r>
          </w:p>
        </w:tc>
        <w:tc>
          <w:tcPr>
            <w:tcW w:w="2913" w:type="dxa"/>
            <w:shd w:val="clear" w:color="auto" w:fill="auto"/>
            <w:vAlign w:val="center"/>
          </w:tcPr>
          <w:p>
            <w:pPr>
              <w:widowControl/>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p>
        </w:tc>
        <w:tc>
          <w:tcPr>
            <w:tcW w:w="4240"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安全补丁管理清单</w:t>
            </w:r>
          </w:p>
        </w:tc>
        <w:tc>
          <w:tcPr>
            <w:tcW w:w="2913" w:type="dxa"/>
            <w:shd w:val="clear" w:color="auto" w:fill="auto"/>
            <w:vAlign w:val="center"/>
          </w:tcPr>
          <w:p>
            <w:pPr>
              <w:widowControl/>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p>
        </w:tc>
        <w:tc>
          <w:tcPr>
            <w:tcW w:w="4240"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系统安全基线配置文档</w:t>
            </w:r>
          </w:p>
        </w:tc>
        <w:tc>
          <w:tcPr>
            <w:tcW w:w="2913" w:type="dxa"/>
            <w:shd w:val="clear" w:color="auto" w:fill="auto"/>
            <w:vAlign w:val="center"/>
          </w:tcPr>
          <w:p>
            <w:pPr>
              <w:widowControl/>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p>
        </w:tc>
        <w:tc>
          <w:tcPr>
            <w:tcW w:w="4240"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运维知识库</w:t>
            </w:r>
          </w:p>
        </w:tc>
        <w:tc>
          <w:tcPr>
            <w:tcW w:w="2913" w:type="dxa"/>
            <w:shd w:val="clear" w:color="auto" w:fill="auto"/>
            <w:vAlign w:val="center"/>
          </w:tcPr>
          <w:p>
            <w:pPr>
              <w:widowControl/>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restart"/>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业务应用支持</w:t>
            </w:r>
          </w:p>
        </w:tc>
        <w:tc>
          <w:tcPr>
            <w:tcW w:w="4240"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需求分析报告</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rPr>
            </w:pPr>
          </w:p>
        </w:tc>
        <w:tc>
          <w:tcPr>
            <w:tcW w:w="4240"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业务调整方案</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p>
        </w:tc>
        <w:tc>
          <w:tcPr>
            <w:tcW w:w="4240"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开发功能说明书</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p>
        </w:tc>
        <w:tc>
          <w:tcPr>
            <w:tcW w:w="4240"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程序代码</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p>
        </w:tc>
        <w:tc>
          <w:tcPr>
            <w:tcW w:w="4240"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测试方案与测试报告</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p>
        </w:tc>
        <w:tc>
          <w:tcPr>
            <w:tcW w:w="4240"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月结/年结支持报告</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restart"/>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yellow"/>
                <w:lang w:val="en-US" w:eastAsia="zh-CN"/>
              </w:rPr>
            </w:pPr>
            <w:r>
              <w:rPr>
                <w:rFonts w:hint="eastAsia" w:ascii="宋体" w:hAnsi="宋体" w:eastAsia="宋体" w:cs="宋体"/>
                <w:color w:val="000000"/>
                <w:kern w:val="0"/>
                <w:sz w:val="21"/>
                <w:szCs w:val="21"/>
                <w:highlight w:val="none"/>
                <w:lang w:val="en-US" w:eastAsia="zh-CN"/>
              </w:rPr>
              <w:t>项目验收</w:t>
            </w:r>
          </w:p>
        </w:tc>
        <w:tc>
          <w:tcPr>
            <w:tcW w:w="4240"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bCs/>
                <w:strike w:val="0"/>
                <w:dstrike w:val="0"/>
                <w:snapToGrid/>
                <w:vanish w:val="0"/>
                <w:color w:val="000000"/>
                <w:spacing w:val="0"/>
                <w:w w:val="100"/>
                <w:kern w:val="2"/>
                <w:position w:val="0"/>
                <w:sz w:val="21"/>
                <w:szCs w:val="21"/>
                <w:u w:val="none" w:color="auto"/>
                <w:shd w:val="clear" w:color="auto" w:fill="auto"/>
                <w:vertAlign w:val="baseline"/>
                <w:lang w:val="zh-TW" w:eastAsia="zh-CN" w:bidi="ar-SA"/>
              </w:rPr>
              <w:t>专项优化项目总结报告</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yellow"/>
              </w:rPr>
            </w:pPr>
          </w:p>
        </w:tc>
        <w:tc>
          <w:tcPr>
            <w:tcW w:w="4240"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项目实施总结报告</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restart"/>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项目管理</w:t>
            </w:r>
          </w:p>
        </w:tc>
        <w:tc>
          <w:tcPr>
            <w:tcW w:w="4240" w:type="dxa"/>
            <w:shd w:val="clear" w:color="auto" w:fill="auto"/>
            <w:vAlign w:val="center"/>
          </w:tcPr>
          <w:p>
            <w:pPr>
              <w:widowControl/>
              <w:tabs>
                <w:tab w:val="left" w:pos="2400"/>
              </w:tabs>
              <w:spacing w:before="38" w:line="360" w:lineRule="auto"/>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阶段详细计划</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yellow"/>
              </w:rPr>
            </w:pPr>
          </w:p>
        </w:tc>
        <w:tc>
          <w:tcPr>
            <w:tcW w:w="4240" w:type="dxa"/>
            <w:shd w:val="clear" w:color="auto" w:fill="auto"/>
            <w:vAlign w:val="center"/>
          </w:tcPr>
          <w:p>
            <w:pPr>
              <w:widowControl/>
              <w:tabs>
                <w:tab w:val="left" w:pos="2400"/>
              </w:tabs>
              <w:spacing w:before="38" w:line="360" w:lineRule="auto"/>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项目周报</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yellow"/>
              </w:rPr>
            </w:pPr>
          </w:p>
        </w:tc>
        <w:tc>
          <w:tcPr>
            <w:tcW w:w="4240" w:type="dxa"/>
            <w:shd w:val="clear" w:color="auto" w:fill="auto"/>
            <w:vAlign w:val="center"/>
          </w:tcPr>
          <w:p>
            <w:pPr>
              <w:widowControl/>
              <w:tabs>
                <w:tab w:val="left" w:pos="2400"/>
              </w:tabs>
              <w:spacing w:before="38" w:line="360" w:lineRule="auto"/>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会议签到表</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yellow"/>
              </w:rPr>
            </w:pPr>
          </w:p>
        </w:tc>
        <w:tc>
          <w:tcPr>
            <w:tcW w:w="4240" w:type="dxa"/>
            <w:shd w:val="clear" w:color="auto" w:fill="auto"/>
            <w:vAlign w:val="center"/>
          </w:tcPr>
          <w:p>
            <w:pPr>
              <w:widowControl/>
              <w:tabs>
                <w:tab w:val="left" w:pos="2400"/>
              </w:tabs>
              <w:spacing w:before="38" w:line="360" w:lineRule="auto"/>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会议纪要</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yellow"/>
              </w:rPr>
            </w:pPr>
          </w:p>
        </w:tc>
        <w:tc>
          <w:tcPr>
            <w:tcW w:w="4240" w:type="dxa"/>
            <w:shd w:val="clear" w:color="auto" w:fill="auto"/>
            <w:vAlign w:val="center"/>
          </w:tcPr>
          <w:p>
            <w:pPr>
              <w:widowControl/>
              <w:tabs>
                <w:tab w:val="left" w:pos="2400"/>
              </w:tabs>
              <w:spacing w:before="38" w:line="360" w:lineRule="auto"/>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项目变更控制表</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yellow"/>
              </w:rPr>
            </w:pPr>
          </w:p>
        </w:tc>
        <w:tc>
          <w:tcPr>
            <w:tcW w:w="4240" w:type="dxa"/>
            <w:shd w:val="clear" w:color="auto" w:fill="auto"/>
            <w:vAlign w:val="center"/>
          </w:tcPr>
          <w:p>
            <w:pPr>
              <w:widowControl/>
              <w:tabs>
                <w:tab w:val="left" w:pos="2400"/>
              </w:tabs>
              <w:spacing w:before="38" w:line="360" w:lineRule="auto"/>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项目风险&amp;问题记录表</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纸质签批或电子签批文件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725" w:type="dxa"/>
            <w:vMerge w:val="continue"/>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yellow"/>
              </w:rPr>
            </w:pPr>
          </w:p>
        </w:tc>
        <w:tc>
          <w:tcPr>
            <w:tcW w:w="4240" w:type="dxa"/>
            <w:shd w:val="clear" w:color="auto" w:fill="auto"/>
            <w:vAlign w:val="center"/>
          </w:tcPr>
          <w:p>
            <w:pPr>
              <w:widowControl/>
              <w:tabs>
                <w:tab w:val="left" w:pos="2400"/>
              </w:tabs>
              <w:spacing w:before="38" w:line="360" w:lineRule="auto"/>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人员变更交接表</w:t>
            </w:r>
          </w:p>
        </w:tc>
        <w:tc>
          <w:tcPr>
            <w:tcW w:w="2913" w:type="dxa"/>
            <w:shd w:val="clear" w:color="auto" w:fill="auto"/>
            <w:vAlign w:val="center"/>
          </w:tcPr>
          <w:p>
            <w:pPr>
              <w:widowControl/>
              <w:tabs>
                <w:tab w:val="left" w:pos="2400"/>
              </w:tabs>
              <w:spacing w:before="38" w:line="360" w:lineRule="auto"/>
              <w:jc w:val="left"/>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color w:val="000000"/>
                <w:kern w:val="0"/>
                <w:sz w:val="21"/>
                <w:szCs w:val="21"/>
                <w:highlight w:val="none"/>
              </w:rPr>
              <w:t>纸质签批或电子签批文件</w:t>
            </w:r>
          </w:p>
        </w:tc>
      </w:tr>
    </w:tbl>
    <w:p>
      <w:pPr>
        <w:spacing w:line="360" w:lineRule="auto"/>
        <w:rPr>
          <w:rFonts w:hint="eastAsia" w:ascii="仿宋" w:hAnsi="仿宋" w:eastAsia="仿宋" w:cs="仿宋"/>
          <w:spacing w:val="-1"/>
          <w:kern w:val="0"/>
          <w:sz w:val="24"/>
          <w:szCs w:val="24"/>
          <w:highlight w:val="yellow"/>
        </w:rPr>
      </w:pPr>
    </w:p>
    <w:p>
      <w:pPr>
        <w:pStyle w:val="3"/>
        <w:keepNext w:val="0"/>
        <w:keepLines w:val="0"/>
        <w:pageBreakBefore w:val="0"/>
        <w:widowControl w:val="0"/>
        <w:numPr>
          <w:ilvl w:val="0"/>
          <w:numId w:val="38"/>
        </w:numPr>
        <w:kinsoku/>
        <w:wordWrap/>
        <w:overflowPunct/>
        <w:topLinePunct w:val="0"/>
        <w:autoSpaceDE/>
        <w:autoSpaceDN/>
        <w:bidi w:val="0"/>
        <w:adjustRightInd/>
        <w:snapToGrid/>
        <w:spacing w:before="0" w:after="0" w:line="360" w:lineRule="auto"/>
        <w:ind w:left="0" w:leftChars="0" w:firstLine="420" w:firstLineChars="0"/>
        <w:textAlignment w:val="auto"/>
        <w:rPr>
          <w:rFonts w:hint="eastAsia" w:ascii="黑体" w:hAnsi="黑体" w:eastAsia="黑体" w:cs="Times New Roman"/>
          <w:b/>
          <w:bCs w:val="0"/>
          <w:sz w:val="28"/>
          <w:szCs w:val="28"/>
          <w:highlight w:val="none"/>
        </w:rPr>
      </w:pPr>
      <w:bookmarkStart w:id="53" w:name="_Toc17397"/>
      <w:r>
        <w:rPr>
          <w:rFonts w:hint="eastAsia" w:ascii="黑体" w:hAnsi="黑体" w:eastAsia="黑体" w:cs="Times New Roman"/>
          <w:b/>
          <w:bCs w:val="0"/>
          <w:sz w:val="28"/>
          <w:szCs w:val="28"/>
          <w:highlight w:val="none"/>
        </w:rPr>
        <w:t>项目</w:t>
      </w:r>
      <w:r>
        <w:rPr>
          <w:rFonts w:hint="eastAsia" w:ascii="黑体" w:hAnsi="黑体" w:eastAsia="黑体" w:cs="Times New Roman"/>
          <w:b/>
          <w:bCs w:val="0"/>
          <w:sz w:val="28"/>
          <w:szCs w:val="28"/>
          <w:highlight w:val="none"/>
          <w:lang w:val="en-US" w:eastAsia="zh-CN"/>
        </w:rPr>
        <w:t>培训及知识转移</w:t>
      </w:r>
      <w:bookmarkEnd w:id="53"/>
    </w:p>
    <w:p>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乙方任务：提供以下培训课程协助甲方更好地理解数据管理知识，并保障项目成功：</w:t>
      </w:r>
    </w:p>
    <w:tbl>
      <w:tblPr>
        <w:tblStyle w:val="34"/>
        <w:tblW w:w="959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1"/>
        <w:gridCol w:w="2811"/>
        <w:gridCol w:w="1158"/>
        <w:gridCol w:w="1612"/>
        <w:gridCol w:w="1151"/>
        <w:gridCol w:w="16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exact"/>
        </w:trPr>
        <w:tc>
          <w:tcPr>
            <w:tcW w:w="1251"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93"/>
              <w:jc w:val="center"/>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课程名称</w:t>
            </w:r>
          </w:p>
        </w:tc>
        <w:tc>
          <w:tcPr>
            <w:tcW w:w="2811"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118"/>
              <w:jc w:val="center"/>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课程内容</w:t>
            </w:r>
          </w:p>
        </w:tc>
        <w:tc>
          <w:tcPr>
            <w:tcW w:w="1158"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授课时间</w:t>
            </w:r>
          </w:p>
        </w:tc>
        <w:tc>
          <w:tcPr>
            <w:tcW w:w="1612"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102"/>
              <w:jc w:val="center"/>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教学方式</w:t>
            </w:r>
          </w:p>
        </w:tc>
        <w:tc>
          <w:tcPr>
            <w:tcW w:w="1151"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102"/>
              <w:jc w:val="center"/>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培训人员</w:t>
            </w:r>
          </w:p>
        </w:tc>
        <w:tc>
          <w:tcPr>
            <w:tcW w:w="1613" w:type="dxa"/>
            <w:vAlign w:val="center"/>
          </w:tcPr>
          <w:p>
            <w:pPr>
              <w:keepNext w:val="0"/>
              <w:keepLines w:val="0"/>
              <w:pageBreakBefore w:val="0"/>
              <w:widowControl w:val="0"/>
              <w:kinsoku/>
              <w:wordWrap/>
              <w:overflowPunct/>
              <w:topLinePunct w:val="0"/>
              <w:autoSpaceDE w:val="0"/>
              <w:autoSpaceDN w:val="0"/>
              <w:bidi w:val="0"/>
              <w:adjustRightInd w:val="0"/>
              <w:snapToGrid/>
              <w:spacing w:line="360" w:lineRule="auto"/>
              <w:ind w:left="102"/>
              <w:jc w:val="center"/>
              <w:textAlignment w:val="auto"/>
              <w:rPr>
                <w:rFonts w:hint="eastAsia" w:ascii="宋体" w:hAnsi="宋体" w:eastAsia="宋体" w:cs="宋体"/>
                <w:b/>
                <w:kern w:val="0"/>
                <w:sz w:val="21"/>
                <w:szCs w:val="21"/>
                <w:highlight w:val="none"/>
              </w:rPr>
            </w:pPr>
            <w:r>
              <w:rPr>
                <w:rFonts w:hint="eastAsia" w:ascii="宋体" w:hAnsi="宋体" w:eastAsia="宋体" w:cs="宋体"/>
                <w:b/>
                <w:kern w:val="0"/>
                <w:sz w:val="21"/>
                <w:szCs w:val="21"/>
                <w:highlight w:val="none"/>
              </w:rPr>
              <w:t>学员限定数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exact"/>
        </w:trPr>
        <w:tc>
          <w:tcPr>
            <w:tcW w:w="1251"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项目启动宣贯培训</w:t>
            </w:r>
          </w:p>
        </w:tc>
        <w:tc>
          <w:tcPr>
            <w:tcW w:w="2811"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lang w:eastAsia="zh-CN"/>
              </w:rPr>
              <w:t>SAP运维服务</w:t>
            </w:r>
            <w:r>
              <w:rPr>
                <w:rFonts w:hint="eastAsia" w:ascii="宋体" w:hAnsi="宋体" w:eastAsia="宋体" w:cs="宋体"/>
                <w:kern w:val="0"/>
                <w:sz w:val="21"/>
                <w:szCs w:val="21"/>
                <w:highlight w:val="none"/>
                <w:lang w:val="en-US" w:eastAsia="zh-CN"/>
              </w:rPr>
              <w:t>相关的</w:t>
            </w:r>
            <w:r>
              <w:rPr>
                <w:rFonts w:hint="eastAsia" w:ascii="宋体" w:hAnsi="宋体" w:eastAsia="宋体" w:cs="宋体"/>
                <w:kern w:val="0"/>
                <w:sz w:val="21"/>
                <w:szCs w:val="21"/>
                <w:highlight w:val="none"/>
              </w:rPr>
              <w:t>理论与技能、项目交付物作用等培训</w:t>
            </w:r>
          </w:p>
        </w:tc>
        <w:tc>
          <w:tcPr>
            <w:tcW w:w="1158"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依照实施计划</w:t>
            </w:r>
          </w:p>
        </w:tc>
        <w:tc>
          <w:tcPr>
            <w:tcW w:w="1612"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集中授课、练 习、答疑</w:t>
            </w:r>
          </w:p>
        </w:tc>
        <w:tc>
          <w:tcPr>
            <w:tcW w:w="1151"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根据甲方安排人员</w:t>
            </w:r>
          </w:p>
        </w:tc>
        <w:tc>
          <w:tcPr>
            <w:tcW w:w="1613"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根据甲方安排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exact"/>
        </w:trPr>
        <w:tc>
          <w:tcPr>
            <w:tcW w:w="1251"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yellow"/>
              </w:rPr>
            </w:pPr>
            <w:r>
              <w:rPr>
                <w:rFonts w:hint="eastAsia" w:ascii="宋体" w:hAnsi="宋体" w:eastAsia="宋体" w:cs="宋体"/>
                <w:kern w:val="0"/>
                <w:sz w:val="21"/>
                <w:szCs w:val="21"/>
                <w:highlight w:val="none"/>
                <w:lang w:val="en-US" w:eastAsia="zh-CN"/>
              </w:rPr>
              <w:t>SAP运维服务相关</w:t>
            </w:r>
            <w:r>
              <w:rPr>
                <w:rFonts w:hint="eastAsia" w:ascii="宋体" w:hAnsi="宋体" w:eastAsia="宋体" w:cs="宋体"/>
                <w:kern w:val="0"/>
                <w:sz w:val="21"/>
                <w:szCs w:val="21"/>
                <w:highlight w:val="none"/>
              </w:rPr>
              <w:t>知识培训</w:t>
            </w:r>
          </w:p>
        </w:tc>
        <w:tc>
          <w:tcPr>
            <w:tcW w:w="2811"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yellow"/>
                <w:lang w:val="en-US"/>
              </w:rPr>
            </w:pPr>
            <w:r>
              <w:rPr>
                <w:rFonts w:hint="eastAsia" w:ascii="宋体" w:hAnsi="宋体" w:eastAsia="宋体" w:cs="宋体"/>
                <w:spacing w:val="-1"/>
                <w:kern w:val="0"/>
                <w:sz w:val="21"/>
                <w:szCs w:val="21"/>
                <w:highlight w:val="none"/>
                <w:lang w:val="en-US" w:eastAsia="zh-CN"/>
              </w:rPr>
              <w:t>SAP运维服务过程中各部门职责分工及操作培训</w:t>
            </w:r>
          </w:p>
        </w:tc>
        <w:tc>
          <w:tcPr>
            <w:tcW w:w="1158"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依照实施计划</w:t>
            </w:r>
          </w:p>
        </w:tc>
        <w:tc>
          <w:tcPr>
            <w:tcW w:w="1612"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集中授课、练 习、答疑</w:t>
            </w:r>
          </w:p>
        </w:tc>
        <w:tc>
          <w:tcPr>
            <w:tcW w:w="1151"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根据甲方安排关键用户</w:t>
            </w:r>
          </w:p>
        </w:tc>
        <w:tc>
          <w:tcPr>
            <w:tcW w:w="1613"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根据甲方安排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1" w:hRule="exact"/>
        </w:trPr>
        <w:tc>
          <w:tcPr>
            <w:tcW w:w="1251"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知识转移培训</w:t>
            </w:r>
          </w:p>
        </w:tc>
        <w:tc>
          <w:tcPr>
            <w:tcW w:w="2811"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在项目期间形成的与甲方有关的过程文档、培训课件、方法措施等各种知识转移培训</w:t>
            </w:r>
          </w:p>
        </w:tc>
        <w:tc>
          <w:tcPr>
            <w:tcW w:w="1158"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依照实施计划</w:t>
            </w:r>
          </w:p>
        </w:tc>
        <w:tc>
          <w:tcPr>
            <w:tcW w:w="1612"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集中授课、练 习、答疑</w:t>
            </w:r>
          </w:p>
        </w:tc>
        <w:tc>
          <w:tcPr>
            <w:tcW w:w="1151"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根据甲方安排人员</w:t>
            </w:r>
          </w:p>
        </w:tc>
        <w:tc>
          <w:tcPr>
            <w:tcW w:w="1613"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根据甲方安排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 w:hRule="exact"/>
        </w:trPr>
        <w:tc>
          <w:tcPr>
            <w:tcW w:w="1251"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其他必要培训</w:t>
            </w:r>
          </w:p>
        </w:tc>
        <w:tc>
          <w:tcPr>
            <w:tcW w:w="2811"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根据项目需要双方协商</w:t>
            </w:r>
          </w:p>
        </w:tc>
        <w:tc>
          <w:tcPr>
            <w:tcW w:w="1158"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依照实施计划</w:t>
            </w:r>
          </w:p>
        </w:tc>
        <w:tc>
          <w:tcPr>
            <w:tcW w:w="1612"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集中授课、练 习、答疑</w:t>
            </w:r>
          </w:p>
        </w:tc>
        <w:tc>
          <w:tcPr>
            <w:tcW w:w="1151"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根据甲方安排人员</w:t>
            </w:r>
          </w:p>
        </w:tc>
        <w:tc>
          <w:tcPr>
            <w:tcW w:w="1613" w:type="dxa"/>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ind w:left="102"/>
              <w:jc w:val="center"/>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根据甲方安排</w:t>
            </w:r>
          </w:p>
        </w:tc>
      </w:tr>
    </w:tbl>
    <w:p>
      <w:pPr>
        <w:keepNext w:val="0"/>
        <w:keepLines w:val="0"/>
        <w:pageBreakBefore w:val="0"/>
        <w:widowControl w:val="0"/>
        <w:kinsoku/>
        <w:wordWrap/>
        <w:overflowPunct/>
        <w:topLinePunct w:val="0"/>
        <w:bidi w:val="0"/>
        <w:snapToGrid/>
        <w:spacing w:line="360" w:lineRule="auto"/>
        <w:textAlignment w:val="auto"/>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甲方任务：</w:t>
      </w:r>
    </w:p>
    <w:p>
      <w:pPr>
        <w:keepNext w:val="0"/>
        <w:keepLines w:val="0"/>
        <w:pageBreakBefore w:val="0"/>
        <w:widowControl w:val="0"/>
        <w:kinsoku/>
        <w:wordWrap/>
        <w:overflowPunct/>
        <w:topLinePunct w:val="0"/>
        <w:bidi w:val="0"/>
        <w:snapToGrid/>
        <w:spacing w:line="360" w:lineRule="auto"/>
        <w:ind w:firstLine="416" w:firstLineChars="200"/>
        <w:textAlignment w:val="auto"/>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为确保项目进程与训练成效，以下培训准备及条件须由甲方提供：</w:t>
      </w:r>
    </w:p>
    <w:p>
      <w:pPr>
        <w:keepNext w:val="0"/>
        <w:keepLines w:val="0"/>
        <w:pageBreakBefore w:val="0"/>
        <w:widowControl w:val="0"/>
        <w:kinsoku/>
        <w:wordWrap/>
        <w:overflowPunct/>
        <w:topLinePunct w:val="0"/>
        <w:bidi w:val="0"/>
        <w:snapToGrid/>
        <w:spacing w:line="360" w:lineRule="auto"/>
        <w:ind w:firstLine="416" w:firstLineChars="200"/>
        <w:textAlignment w:val="auto"/>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受训学员对项目排定的训练课程，须全职参与。</w:t>
      </w:r>
    </w:p>
    <w:p>
      <w:pPr>
        <w:keepNext w:val="0"/>
        <w:keepLines w:val="0"/>
        <w:pageBreakBefore w:val="0"/>
        <w:widowControl w:val="0"/>
        <w:kinsoku/>
        <w:wordWrap/>
        <w:overflowPunct/>
        <w:topLinePunct w:val="0"/>
        <w:bidi w:val="0"/>
        <w:snapToGrid/>
        <w:spacing w:line="360" w:lineRule="auto"/>
        <w:ind w:firstLine="416" w:firstLineChars="200"/>
        <w:textAlignment w:val="auto"/>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所需的训练场地、设施（如：PC、打印机、网络等）与演示文稿器材（如：投影机、投影幕、白板等）将由甲方提供。</w:t>
      </w:r>
    </w:p>
    <w:p>
      <w:pPr>
        <w:keepNext w:val="0"/>
        <w:keepLines w:val="0"/>
        <w:pageBreakBefore w:val="0"/>
        <w:widowControl w:val="0"/>
        <w:kinsoku/>
        <w:wordWrap/>
        <w:overflowPunct/>
        <w:topLinePunct w:val="0"/>
        <w:bidi w:val="0"/>
        <w:snapToGrid/>
        <w:spacing w:line="360" w:lineRule="auto"/>
        <w:ind w:firstLine="416" w:firstLineChars="200"/>
        <w:textAlignment w:val="auto"/>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 xml:space="preserve">需要实机演练的课程，需提供机器，以一人使用一终端机为原则。 </w:t>
      </w:r>
    </w:p>
    <w:p>
      <w:pPr>
        <w:keepNext w:val="0"/>
        <w:keepLines w:val="0"/>
        <w:pageBreakBefore w:val="0"/>
        <w:widowControl w:val="0"/>
        <w:numPr>
          <w:ilvl w:val="0"/>
          <w:numId w:val="46"/>
        </w:numPr>
        <w:kinsoku/>
        <w:wordWrap/>
        <w:overflowPunct/>
        <w:topLinePunct w:val="0"/>
        <w:bidi w:val="0"/>
        <w:snapToGrid/>
        <w:spacing w:line="360" w:lineRule="auto"/>
        <w:textAlignment w:val="auto"/>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交付作品：</w:t>
      </w:r>
    </w:p>
    <w:p>
      <w:pPr>
        <w:keepNext w:val="0"/>
        <w:keepLines w:val="0"/>
        <w:pageBreakBefore w:val="0"/>
        <w:widowControl w:val="0"/>
        <w:numPr>
          <w:ilvl w:val="0"/>
          <w:numId w:val="47"/>
        </w:numPr>
        <w:kinsoku/>
        <w:wordWrap/>
        <w:overflowPunct/>
        <w:topLinePunct w:val="0"/>
        <w:bidi w:val="0"/>
        <w:snapToGrid/>
        <w:spacing w:line="360" w:lineRule="auto"/>
        <w:textAlignment w:val="auto"/>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培训计划；</w:t>
      </w:r>
    </w:p>
    <w:p>
      <w:pPr>
        <w:keepNext w:val="0"/>
        <w:keepLines w:val="0"/>
        <w:pageBreakBefore w:val="0"/>
        <w:widowControl w:val="0"/>
        <w:numPr>
          <w:ilvl w:val="0"/>
          <w:numId w:val="47"/>
        </w:numPr>
        <w:kinsoku/>
        <w:wordWrap/>
        <w:overflowPunct/>
        <w:topLinePunct w:val="0"/>
        <w:bidi w:val="0"/>
        <w:snapToGrid/>
        <w:spacing w:line="360" w:lineRule="auto"/>
        <w:textAlignment w:val="auto"/>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培训课件；</w:t>
      </w:r>
    </w:p>
    <w:p>
      <w:pPr>
        <w:keepNext w:val="0"/>
        <w:keepLines w:val="0"/>
        <w:pageBreakBefore w:val="0"/>
        <w:widowControl w:val="0"/>
        <w:numPr>
          <w:ilvl w:val="0"/>
          <w:numId w:val="48"/>
        </w:numPr>
        <w:kinsoku/>
        <w:wordWrap/>
        <w:overflowPunct/>
        <w:topLinePunct w:val="0"/>
        <w:bidi w:val="0"/>
        <w:snapToGrid/>
        <w:spacing w:line="360" w:lineRule="auto"/>
        <w:textAlignment w:val="auto"/>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完成标志：</w:t>
      </w:r>
    </w:p>
    <w:p>
      <w:pPr>
        <w:keepNext w:val="0"/>
        <w:keepLines w:val="0"/>
        <w:pageBreakBefore w:val="0"/>
        <w:widowControl w:val="0"/>
        <w:numPr>
          <w:ilvl w:val="0"/>
          <w:numId w:val="49"/>
        </w:numPr>
        <w:kinsoku/>
        <w:wordWrap/>
        <w:overflowPunct/>
        <w:topLinePunct w:val="0"/>
        <w:bidi w:val="0"/>
        <w:snapToGrid/>
        <w:spacing w:line="360" w:lineRule="auto"/>
        <w:textAlignment w:val="auto"/>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完成相应培训。</w:t>
      </w:r>
    </w:p>
    <w:p>
      <w:pPr>
        <w:pStyle w:val="3"/>
        <w:keepNext w:val="0"/>
        <w:keepLines w:val="0"/>
        <w:pageBreakBefore w:val="0"/>
        <w:widowControl w:val="0"/>
        <w:numPr>
          <w:ilvl w:val="0"/>
          <w:numId w:val="38"/>
        </w:numPr>
        <w:kinsoku/>
        <w:wordWrap/>
        <w:overflowPunct/>
        <w:topLinePunct w:val="0"/>
        <w:autoSpaceDE/>
        <w:autoSpaceDN/>
        <w:bidi w:val="0"/>
        <w:adjustRightInd/>
        <w:snapToGrid/>
        <w:spacing w:before="0" w:after="0" w:line="360" w:lineRule="auto"/>
        <w:ind w:left="0" w:leftChars="0" w:firstLine="420" w:firstLineChars="0"/>
        <w:textAlignment w:val="auto"/>
        <w:rPr>
          <w:rFonts w:hint="eastAsia" w:ascii="仿宋" w:hAnsi="仿宋" w:eastAsia="仿宋" w:cs="仿宋"/>
          <w:b/>
          <w:bCs w:val="0"/>
          <w:spacing w:val="-1"/>
          <w:kern w:val="0"/>
          <w:sz w:val="28"/>
          <w:szCs w:val="28"/>
          <w:highlight w:val="none"/>
        </w:rPr>
      </w:pPr>
      <w:bookmarkStart w:id="54" w:name="_Toc21413"/>
      <w:r>
        <w:rPr>
          <w:rFonts w:hint="eastAsia" w:ascii="黑体" w:hAnsi="黑体" w:eastAsia="黑体"/>
          <w:b/>
          <w:bCs w:val="0"/>
          <w:sz w:val="28"/>
          <w:szCs w:val="28"/>
          <w:highlight w:val="none"/>
          <w:lang w:val="en-US" w:eastAsia="zh-CN"/>
        </w:rPr>
        <w:t>售后服务及质量保证要求</w:t>
      </w:r>
      <w:bookmarkEnd w:id="54"/>
    </w:p>
    <w:p>
      <w:pPr>
        <w:spacing w:line="360" w:lineRule="auto"/>
        <w:ind w:firstLine="416" w:firstLineChars="200"/>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乙方承诺保质保量的做好项目评估及售后服务，承诺配备齐备的技术素质过硬的</w:t>
      </w:r>
      <w:r>
        <w:rPr>
          <w:rFonts w:hint="eastAsia" w:ascii="宋体" w:hAnsi="宋体" w:eastAsia="宋体" w:cs="宋体"/>
          <w:spacing w:val="-1"/>
          <w:kern w:val="0"/>
          <w:sz w:val="21"/>
          <w:szCs w:val="21"/>
          <w:highlight w:val="none"/>
          <w:lang w:val="en-US" w:eastAsia="zh-CN"/>
        </w:rPr>
        <w:t>服务</w:t>
      </w:r>
      <w:r>
        <w:rPr>
          <w:rFonts w:hint="eastAsia" w:ascii="宋体" w:hAnsi="宋体" w:eastAsia="宋体" w:cs="宋体"/>
          <w:spacing w:val="-1"/>
          <w:kern w:val="0"/>
          <w:sz w:val="21"/>
          <w:szCs w:val="21"/>
          <w:highlight w:val="none"/>
        </w:rPr>
        <w:t>支持队伍，配备的人员都具有此类项目的经历、必要的经验及必要的服务意识，承诺项目组的技术支持队伍在售前和售后相对固定，如果进行必要的替补或调离，将会在第一时间与客户协商，征得甲方同意。</w:t>
      </w:r>
    </w:p>
    <w:p>
      <w:pPr>
        <w:pStyle w:val="3"/>
        <w:keepNext w:val="0"/>
        <w:keepLines w:val="0"/>
        <w:pageBreakBefore w:val="0"/>
        <w:widowControl w:val="0"/>
        <w:numPr>
          <w:ilvl w:val="0"/>
          <w:numId w:val="38"/>
        </w:numPr>
        <w:kinsoku/>
        <w:wordWrap/>
        <w:overflowPunct/>
        <w:topLinePunct w:val="0"/>
        <w:autoSpaceDE/>
        <w:autoSpaceDN/>
        <w:bidi w:val="0"/>
        <w:adjustRightInd/>
        <w:snapToGrid/>
        <w:spacing w:before="0" w:after="0" w:line="360" w:lineRule="auto"/>
        <w:ind w:left="0" w:leftChars="0" w:firstLine="420" w:firstLineChars="0"/>
        <w:textAlignment w:val="auto"/>
        <w:rPr>
          <w:rFonts w:hint="eastAsia" w:ascii="仿宋" w:hAnsi="仿宋" w:eastAsia="仿宋" w:cs="仿宋"/>
          <w:b/>
          <w:bCs w:val="0"/>
          <w:sz w:val="28"/>
          <w:szCs w:val="28"/>
          <w:highlight w:val="none"/>
          <w:lang w:eastAsia="zh-CN"/>
        </w:rPr>
      </w:pPr>
      <w:bookmarkStart w:id="55" w:name="_Toc11074"/>
      <w:r>
        <w:rPr>
          <w:rFonts w:hint="eastAsia" w:ascii="黑体" w:hAnsi="黑体" w:eastAsia="黑体"/>
          <w:b/>
          <w:bCs w:val="0"/>
          <w:sz w:val="28"/>
          <w:szCs w:val="28"/>
          <w:highlight w:val="none"/>
          <w:lang w:val="en-US" w:eastAsia="zh-CN"/>
        </w:rPr>
        <w:t>其它要求</w:t>
      </w:r>
      <w:bookmarkEnd w:id="55"/>
    </w:p>
    <w:p>
      <w:pPr>
        <w:spacing w:line="360" w:lineRule="auto"/>
        <w:ind w:firstLine="476" w:firstLineChars="200"/>
        <w:rPr>
          <w:rFonts w:hint="eastAsia" w:ascii="仿宋" w:hAnsi="仿宋" w:eastAsia="仿宋" w:cs="仿宋"/>
          <w:spacing w:val="-1"/>
          <w:kern w:val="0"/>
          <w:sz w:val="24"/>
          <w:szCs w:val="24"/>
          <w:highlight w:val="none"/>
          <w:lang w:eastAsia="zh-CN"/>
        </w:rPr>
      </w:pPr>
      <w:r>
        <w:rPr>
          <w:rFonts w:hint="eastAsia" w:ascii="仿宋" w:hAnsi="仿宋" w:eastAsia="仿宋" w:cs="仿宋"/>
          <w:spacing w:val="-1"/>
          <w:kern w:val="0"/>
          <w:sz w:val="24"/>
          <w:szCs w:val="24"/>
          <w:highlight w:val="none"/>
        </w:rPr>
        <w:t>服务商具备实施及服务能力。</w:t>
      </w:r>
    </w:p>
    <w:p>
      <w:pPr>
        <w:pStyle w:val="3"/>
        <w:keepNext w:val="0"/>
        <w:keepLines w:val="0"/>
        <w:pageBreakBefore w:val="0"/>
        <w:widowControl w:val="0"/>
        <w:numPr>
          <w:ilvl w:val="0"/>
          <w:numId w:val="38"/>
        </w:numPr>
        <w:kinsoku/>
        <w:wordWrap/>
        <w:overflowPunct/>
        <w:topLinePunct w:val="0"/>
        <w:autoSpaceDE/>
        <w:autoSpaceDN/>
        <w:bidi w:val="0"/>
        <w:adjustRightInd/>
        <w:snapToGrid/>
        <w:spacing w:before="0" w:after="0" w:line="360" w:lineRule="auto"/>
        <w:ind w:left="0" w:leftChars="0" w:firstLine="420" w:firstLineChars="0"/>
        <w:textAlignment w:val="auto"/>
        <w:rPr>
          <w:rFonts w:hint="eastAsia" w:ascii="仿宋" w:hAnsi="仿宋" w:eastAsia="仿宋" w:cs="仿宋"/>
          <w:b/>
          <w:bCs w:val="0"/>
          <w:sz w:val="28"/>
          <w:szCs w:val="28"/>
          <w:highlight w:val="none"/>
          <w:lang w:eastAsia="zh-CN"/>
        </w:rPr>
      </w:pPr>
      <w:bookmarkStart w:id="56" w:name="_Toc9168"/>
      <w:r>
        <w:rPr>
          <w:rFonts w:hint="eastAsia" w:ascii="黑体" w:hAnsi="黑体" w:eastAsia="黑体"/>
          <w:b/>
          <w:bCs w:val="0"/>
          <w:sz w:val="28"/>
          <w:szCs w:val="28"/>
          <w:highlight w:val="none"/>
          <w:lang w:val="en-US" w:eastAsia="zh-CN"/>
        </w:rPr>
        <w:t>保密要求</w:t>
      </w:r>
      <w:bookmarkEnd w:id="56"/>
    </w:p>
    <w:p>
      <w:pPr>
        <w:spacing w:line="360" w:lineRule="auto"/>
        <w:ind w:firstLine="416" w:firstLineChars="200"/>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一）保密要求：成交中标人必须与招标人签署保密协议，成交中标人该项目所有成员须与招标人签署保密协议。如泄露或利用本项目中以及其他方式获取的招标人敏感信息，招标人将依法追究服务商相关法律责任。</w:t>
      </w:r>
    </w:p>
    <w:p>
      <w:pPr>
        <w:spacing w:line="360" w:lineRule="auto"/>
        <w:ind w:firstLine="416" w:firstLineChars="200"/>
        <w:rPr>
          <w:rFonts w:hint="eastAsia" w:ascii="宋体" w:hAnsi="宋体" w:eastAsia="宋体" w:cs="宋体"/>
          <w:spacing w:val="-1"/>
          <w:kern w:val="0"/>
          <w:sz w:val="21"/>
          <w:szCs w:val="21"/>
          <w:highlight w:val="none"/>
        </w:rPr>
      </w:pPr>
      <w:r>
        <w:rPr>
          <w:rFonts w:hint="eastAsia" w:ascii="宋体" w:hAnsi="宋体" w:eastAsia="宋体" w:cs="宋体"/>
          <w:spacing w:val="-1"/>
          <w:kern w:val="0"/>
          <w:sz w:val="21"/>
          <w:szCs w:val="21"/>
          <w:highlight w:val="none"/>
        </w:rPr>
        <w:t>（二）服务商应确保将发现的全部问题提交给招标人，不得以任何方式透露给第三方。服务商对于招标人提供的资料，以及本项目实施过程中所涉及的所有文档、数据、介质和相关信息保密，未经许可，不得以任何形式向第三方传播。保密期限不受本项目期限的限制，在本项目履行完毕后，保密信息接受方仍应承担保密义务。</w:t>
      </w:r>
    </w:p>
    <w:p>
      <w:pPr>
        <w:spacing w:line="360" w:lineRule="auto"/>
        <w:ind w:firstLine="416" w:firstLineChars="200"/>
        <w:rPr>
          <w:rFonts w:hint="eastAsia" w:ascii="宋体" w:hAnsi="宋体" w:eastAsia="宋体" w:cs="宋体"/>
          <w:spacing w:val="-1"/>
          <w:kern w:val="0"/>
          <w:sz w:val="21"/>
          <w:szCs w:val="21"/>
          <w:highlight w:val="none"/>
        </w:rPr>
      </w:pPr>
      <w:bookmarkStart w:id="57" w:name="_Toc16806"/>
      <w:bookmarkStart w:id="58" w:name="_Toc164776229"/>
      <w:r>
        <w:rPr>
          <w:rFonts w:hint="eastAsia" w:ascii="宋体" w:hAnsi="宋体" w:eastAsia="宋体" w:cs="宋体"/>
          <w:spacing w:val="-1"/>
          <w:kern w:val="0"/>
          <w:sz w:val="21"/>
          <w:szCs w:val="21"/>
          <w:highlight w:val="none"/>
        </w:rPr>
        <w:t>（</w:t>
      </w:r>
      <w:r>
        <w:rPr>
          <w:rFonts w:hint="eastAsia" w:ascii="宋体" w:hAnsi="宋体" w:eastAsia="宋体" w:cs="宋体"/>
          <w:spacing w:val="-1"/>
          <w:kern w:val="0"/>
          <w:sz w:val="21"/>
          <w:szCs w:val="21"/>
          <w:highlight w:val="none"/>
          <w:lang w:eastAsia="zh-Hans"/>
        </w:rPr>
        <w:t>三</w:t>
      </w:r>
      <w:r>
        <w:rPr>
          <w:rFonts w:hint="eastAsia" w:ascii="宋体" w:hAnsi="宋体" w:eastAsia="宋体" w:cs="宋体"/>
          <w:spacing w:val="-1"/>
          <w:kern w:val="0"/>
          <w:sz w:val="21"/>
          <w:szCs w:val="21"/>
          <w:highlight w:val="none"/>
        </w:rPr>
        <w:t>）服务商应能保证所有参与服务人员的安全可靠性，不存在危害国家、社会和人民的违法违规记录，特别是不存在黑客、黑产、失信等记录。</w:t>
      </w:r>
      <w:bookmarkEnd w:id="57"/>
      <w:bookmarkEnd w:id="58"/>
    </w:p>
    <w:p>
      <w:pPr>
        <w:spacing w:line="360" w:lineRule="auto"/>
        <w:ind w:firstLine="416" w:firstLineChars="200"/>
        <w:rPr>
          <w:rFonts w:hint="eastAsia" w:ascii="宋体" w:hAnsi="宋体" w:eastAsia="宋体" w:cs="宋体"/>
          <w:spacing w:val="-1"/>
          <w:kern w:val="0"/>
          <w:sz w:val="21"/>
          <w:szCs w:val="21"/>
          <w:highlight w:val="none"/>
        </w:rPr>
      </w:pPr>
      <w:bookmarkStart w:id="59" w:name="_Toc164776230"/>
      <w:bookmarkStart w:id="60" w:name="_Toc150"/>
      <w:r>
        <w:rPr>
          <w:rFonts w:hint="eastAsia" w:ascii="宋体" w:hAnsi="宋体" w:eastAsia="宋体" w:cs="宋体"/>
          <w:spacing w:val="-1"/>
          <w:kern w:val="0"/>
          <w:sz w:val="21"/>
          <w:szCs w:val="21"/>
          <w:highlight w:val="none"/>
        </w:rPr>
        <w:t>（</w:t>
      </w:r>
      <w:r>
        <w:rPr>
          <w:rFonts w:hint="eastAsia" w:ascii="宋体" w:hAnsi="宋体" w:eastAsia="宋体" w:cs="宋体"/>
          <w:spacing w:val="-1"/>
          <w:kern w:val="0"/>
          <w:sz w:val="21"/>
          <w:szCs w:val="21"/>
          <w:highlight w:val="none"/>
          <w:lang w:eastAsia="zh-Hans"/>
        </w:rPr>
        <w:t>四）</w:t>
      </w:r>
      <w:r>
        <w:rPr>
          <w:rFonts w:hint="eastAsia" w:ascii="宋体" w:hAnsi="宋体" w:eastAsia="宋体" w:cs="宋体"/>
          <w:spacing w:val="-1"/>
          <w:kern w:val="0"/>
          <w:sz w:val="21"/>
          <w:szCs w:val="21"/>
          <w:highlight w:val="none"/>
        </w:rPr>
        <w:t>如因服务商单方面原因造成泄密，招标人将保留追究其法律责任的权利。</w:t>
      </w:r>
      <w:bookmarkEnd w:id="59"/>
      <w:bookmarkEnd w:id="60"/>
    </w:p>
    <w:p>
      <w:pPr>
        <w:bidi w:val="0"/>
        <w:rPr>
          <w:rFonts w:hint="eastAsia"/>
        </w:rPr>
      </w:pPr>
    </w:p>
    <w:p>
      <w:pPr>
        <w:rPr>
          <w:rFonts w:hint="eastAsia"/>
        </w:rPr>
      </w:pPr>
      <w:r>
        <w:rPr>
          <w:rFonts w:hint="eastAsia"/>
        </w:rPr>
        <w:br w:type="page"/>
      </w:r>
    </w:p>
    <w:bookmarkEnd w:id="27"/>
    <w:p>
      <w:pPr>
        <w:pStyle w:val="75"/>
      </w:pPr>
      <w:bookmarkStart w:id="61" w:name="_Toc20595"/>
      <w:r>
        <w:rPr>
          <w:rFonts w:hint="eastAsia"/>
        </w:rPr>
        <w:t>第三部分　合同主要条款</w:t>
      </w:r>
      <w:bookmarkEnd w:id="61"/>
    </w:p>
    <w:p>
      <w:pPr>
        <w:pStyle w:val="76"/>
        <w:numPr>
          <w:ilvl w:val="0"/>
          <w:numId w:val="50"/>
        </w:numPr>
        <w:ind w:left="420"/>
      </w:pPr>
      <w:bookmarkStart w:id="62" w:name="_Toc47976610"/>
      <w:r>
        <w:rPr>
          <w:rFonts w:hint="eastAsia"/>
          <w:lang w:val="en-US" w:eastAsia="zh-CN"/>
        </w:rPr>
        <w:t>标的、数量、</w:t>
      </w:r>
      <w:r>
        <w:rPr>
          <w:rFonts w:hint="eastAsia"/>
        </w:rPr>
        <w:t>交货期</w:t>
      </w:r>
      <w:bookmarkEnd w:id="62"/>
    </w:p>
    <w:p>
      <w:pPr>
        <w:pStyle w:val="76"/>
        <w:keepNext w:val="0"/>
        <w:keepLines w:val="0"/>
        <w:pageBreakBefore w:val="0"/>
        <w:widowControl w:val="0"/>
        <w:numPr>
          <w:ilvl w:val="0"/>
          <w:numId w:val="51"/>
        </w:numPr>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val="0"/>
          <w:bCs w:val="0"/>
          <w:kern w:val="2"/>
          <w:sz w:val="21"/>
          <w:szCs w:val="21"/>
          <w:highlight w:val="none"/>
          <w:lang w:val="en-US" w:eastAsia="zh-CN" w:bidi="ar-SA"/>
        </w:rPr>
      </w:pPr>
      <w:r>
        <w:rPr>
          <w:rFonts w:hint="default" w:ascii="宋体" w:hAnsi="宋体" w:eastAsia="宋体" w:cs="宋体"/>
          <w:b w:val="0"/>
          <w:bCs w:val="0"/>
          <w:kern w:val="2"/>
          <w:sz w:val="21"/>
          <w:szCs w:val="21"/>
          <w:highlight w:val="none"/>
          <w:lang w:val="en-US" w:eastAsia="zh-CN" w:bidi="ar-SA"/>
        </w:rPr>
        <w:t>服务范围</w:t>
      </w:r>
    </w:p>
    <w:p>
      <w:pPr>
        <w:pStyle w:val="76"/>
        <w:keepNext w:val="0"/>
        <w:keepLines w:val="0"/>
        <w:pageBreakBefore w:val="0"/>
        <w:widowControl w:val="0"/>
        <w:numPr>
          <w:ilvl w:val="0"/>
          <w:numId w:val="52"/>
        </w:numPr>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val="0"/>
          <w:bCs w:val="0"/>
          <w:kern w:val="2"/>
          <w:sz w:val="21"/>
          <w:szCs w:val="21"/>
          <w:highlight w:val="none"/>
          <w:lang w:val="en-US" w:eastAsia="zh-CN" w:bidi="ar-SA"/>
        </w:rPr>
      </w:pPr>
      <w:r>
        <w:rPr>
          <w:rFonts w:hint="default" w:ascii="宋体" w:hAnsi="宋体" w:eastAsia="宋体" w:cs="宋体"/>
          <w:b w:val="0"/>
          <w:bCs w:val="0"/>
          <w:kern w:val="2"/>
          <w:sz w:val="21"/>
          <w:szCs w:val="21"/>
          <w:highlight w:val="none"/>
          <w:lang w:val="en-US" w:eastAsia="zh-CN" w:bidi="ar-SA"/>
        </w:rPr>
        <w:t xml:space="preserve">系统技术运维： </w:t>
      </w:r>
      <w:r>
        <w:rPr>
          <w:rFonts w:hint="eastAsia" w:ascii="宋体" w:hAnsi="宋体" w:eastAsia="宋体" w:cs="宋体"/>
          <w:b w:val="0"/>
          <w:bCs w:val="0"/>
          <w:kern w:val="2"/>
          <w:sz w:val="21"/>
          <w:szCs w:val="21"/>
          <w:highlight w:val="none"/>
          <w:lang w:val="en-US" w:eastAsia="zh-CN" w:bidi="ar-SA"/>
        </w:rPr>
        <w:t>包括</w:t>
      </w:r>
      <w:r>
        <w:rPr>
          <w:rFonts w:hint="default" w:ascii="宋体" w:hAnsi="宋体" w:eastAsia="宋体" w:cs="宋体"/>
          <w:b w:val="0"/>
          <w:bCs w:val="0"/>
          <w:kern w:val="2"/>
          <w:sz w:val="21"/>
          <w:szCs w:val="21"/>
          <w:highlight w:val="none"/>
          <w:lang w:val="en-US" w:eastAsia="zh-CN" w:bidi="ar-SA"/>
        </w:rPr>
        <w:t>7x24小时监控、用户权限管理、系统健康检查、故障处理等</w:t>
      </w:r>
      <w:r>
        <w:rPr>
          <w:rFonts w:hint="eastAsia" w:ascii="宋体" w:hAnsi="宋体" w:eastAsia="宋体" w:cs="宋体"/>
          <w:b w:val="0"/>
          <w:bCs w:val="0"/>
          <w:kern w:val="2"/>
          <w:sz w:val="21"/>
          <w:szCs w:val="21"/>
          <w:highlight w:val="none"/>
          <w:lang w:val="en-US" w:eastAsia="zh-CN" w:bidi="ar-SA"/>
        </w:rPr>
        <w:t>；</w:t>
      </w:r>
    </w:p>
    <w:p>
      <w:pPr>
        <w:pStyle w:val="76"/>
        <w:keepNext w:val="0"/>
        <w:keepLines w:val="0"/>
        <w:pageBreakBefore w:val="0"/>
        <w:widowControl w:val="0"/>
        <w:numPr>
          <w:ilvl w:val="0"/>
          <w:numId w:val="52"/>
        </w:numPr>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val="0"/>
          <w:bCs w:val="0"/>
          <w:kern w:val="2"/>
          <w:sz w:val="21"/>
          <w:szCs w:val="21"/>
          <w:highlight w:val="none"/>
          <w:lang w:val="en-US" w:eastAsia="zh-CN" w:bidi="ar-SA"/>
        </w:rPr>
      </w:pPr>
      <w:r>
        <w:rPr>
          <w:rFonts w:hint="default" w:ascii="宋体" w:hAnsi="宋体" w:eastAsia="宋体" w:cs="宋体"/>
          <w:b w:val="0"/>
          <w:bCs w:val="0"/>
          <w:kern w:val="2"/>
          <w:sz w:val="21"/>
          <w:szCs w:val="21"/>
          <w:highlight w:val="none"/>
          <w:lang w:val="en-US" w:eastAsia="zh-CN" w:bidi="ar-SA"/>
        </w:rPr>
        <w:t xml:space="preserve">业务应用运维： </w:t>
      </w:r>
      <w:r>
        <w:rPr>
          <w:rFonts w:hint="eastAsia" w:ascii="宋体" w:hAnsi="宋体" w:eastAsia="宋体" w:cs="宋体"/>
          <w:b w:val="0"/>
          <w:bCs w:val="0"/>
          <w:kern w:val="2"/>
          <w:sz w:val="21"/>
          <w:szCs w:val="21"/>
          <w:highlight w:val="none"/>
          <w:lang w:val="en-US" w:eastAsia="zh-CN" w:bidi="ar-SA"/>
        </w:rPr>
        <w:t>包括业务优化与运维</w:t>
      </w:r>
      <w:r>
        <w:rPr>
          <w:rFonts w:hint="default" w:ascii="宋体" w:hAnsi="宋体" w:eastAsia="宋体" w:cs="宋体"/>
          <w:b w:val="0"/>
          <w:bCs w:val="0"/>
          <w:kern w:val="2"/>
          <w:sz w:val="21"/>
          <w:szCs w:val="21"/>
          <w:highlight w:val="none"/>
          <w:lang w:val="en-US" w:eastAsia="zh-CN" w:bidi="ar-SA"/>
        </w:rPr>
        <w:t>、业务流程咨询、配置调整、报表开发等。</w:t>
      </w:r>
    </w:p>
    <w:p>
      <w:pPr>
        <w:pStyle w:val="76"/>
        <w:keepNext w:val="0"/>
        <w:keepLines w:val="0"/>
        <w:pageBreakBefore w:val="0"/>
        <w:widowControl w:val="0"/>
        <w:numPr>
          <w:ilvl w:val="0"/>
          <w:numId w:val="51"/>
        </w:numPr>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val="0"/>
          <w:bCs w:val="0"/>
          <w:kern w:val="2"/>
          <w:sz w:val="21"/>
          <w:szCs w:val="21"/>
          <w:highlight w:val="none"/>
          <w:lang w:val="en-US" w:eastAsia="zh-CN" w:bidi="ar-SA"/>
        </w:rPr>
      </w:pPr>
      <w:r>
        <w:rPr>
          <w:rFonts w:hint="default" w:ascii="宋体" w:hAnsi="宋体" w:eastAsia="宋体" w:cs="宋体"/>
          <w:b w:val="0"/>
          <w:bCs w:val="0"/>
          <w:kern w:val="2"/>
          <w:sz w:val="21"/>
          <w:szCs w:val="21"/>
          <w:highlight w:val="none"/>
          <w:lang w:val="en-US" w:eastAsia="zh-CN" w:bidi="ar-SA"/>
        </w:rPr>
        <w:t>服务标准：</w:t>
      </w:r>
    </w:p>
    <w:p>
      <w:pPr>
        <w:pStyle w:val="76"/>
        <w:keepNext w:val="0"/>
        <w:keepLines w:val="0"/>
        <w:pageBreakBefore w:val="0"/>
        <w:widowControl w:val="0"/>
        <w:numPr>
          <w:ilvl w:val="0"/>
          <w:numId w:val="53"/>
        </w:numPr>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val="0"/>
          <w:bCs w:val="0"/>
          <w:kern w:val="2"/>
          <w:sz w:val="21"/>
          <w:szCs w:val="21"/>
          <w:highlight w:val="none"/>
          <w:lang w:val="en-US" w:eastAsia="zh-CN" w:bidi="ar-SA"/>
        </w:rPr>
      </w:pPr>
      <w:r>
        <w:rPr>
          <w:rFonts w:hint="default" w:ascii="宋体" w:hAnsi="宋体" w:eastAsia="宋体" w:cs="宋体"/>
          <w:b w:val="0"/>
          <w:bCs w:val="0"/>
          <w:kern w:val="2"/>
          <w:sz w:val="21"/>
          <w:szCs w:val="21"/>
          <w:highlight w:val="none"/>
          <w:lang w:val="en-US" w:eastAsia="zh-CN" w:bidi="ar-SA"/>
        </w:rPr>
        <w:t>系统可用性 ≥ 99.5%</w:t>
      </w:r>
      <w:r>
        <w:rPr>
          <w:rFonts w:hint="eastAsia" w:ascii="宋体" w:hAnsi="宋体" w:eastAsia="宋体" w:cs="宋体"/>
          <w:b w:val="0"/>
          <w:bCs w:val="0"/>
          <w:kern w:val="2"/>
          <w:sz w:val="21"/>
          <w:szCs w:val="21"/>
          <w:highlight w:val="none"/>
          <w:lang w:val="en-US" w:eastAsia="zh-CN" w:bidi="ar-SA"/>
        </w:rPr>
        <w:t>；</w:t>
      </w:r>
    </w:p>
    <w:p>
      <w:pPr>
        <w:pStyle w:val="76"/>
        <w:keepNext w:val="0"/>
        <w:keepLines w:val="0"/>
        <w:pageBreakBefore w:val="0"/>
        <w:widowControl w:val="0"/>
        <w:numPr>
          <w:ilvl w:val="0"/>
          <w:numId w:val="53"/>
        </w:numPr>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val="0"/>
          <w:bCs w:val="0"/>
          <w:kern w:val="2"/>
          <w:sz w:val="21"/>
          <w:szCs w:val="21"/>
          <w:highlight w:val="none"/>
          <w:lang w:val="en-US" w:eastAsia="zh-CN" w:bidi="ar-SA"/>
        </w:rPr>
      </w:pPr>
      <w:r>
        <w:rPr>
          <w:rFonts w:hint="default" w:ascii="宋体" w:hAnsi="宋体" w:eastAsia="宋体" w:cs="宋体"/>
          <w:b w:val="0"/>
          <w:bCs w:val="0"/>
          <w:kern w:val="2"/>
          <w:sz w:val="21"/>
          <w:szCs w:val="21"/>
          <w:highlight w:val="none"/>
          <w:lang w:val="en-US" w:eastAsia="zh-CN" w:bidi="ar-SA"/>
        </w:rPr>
        <w:t>P1级故障响应时间 ≤ 15分钟</w:t>
      </w:r>
      <w:r>
        <w:rPr>
          <w:rFonts w:hint="eastAsia" w:ascii="宋体" w:hAnsi="宋体" w:eastAsia="宋体" w:cs="宋体"/>
          <w:b w:val="0"/>
          <w:bCs w:val="0"/>
          <w:kern w:val="2"/>
          <w:sz w:val="21"/>
          <w:szCs w:val="21"/>
          <w:highlight w:val="none"/>
          <w:lang w:val="en-US" w:eastAsia="zh-CN" w:bidi="ar-SA"/>
        </w:rPr>
        <w:t>，</w:t>
      </w:r>
      <w:r>
        <w:rPr>
          <w:rFonts w:hint="default" w:ascii="宋体" w:hAnsi="宋体" w:eastAsia="宋体" w:cs="宋体"/>
          <w:b w:val="0"/>
          <w:bCs w:val="0"/>
          <w:kern w:val="2"/>
          <w:sz w:val="21"/>
          <w:szCs w:val="21"/>
          <w:highlight w:val="none"/>
          <w:lang w:val="en-US" w:eastAsia="zh-CN" w:bidi="ar-SA"/>
        </w:rPr>
        <w:t>P</w:t>
      </w:r>
      <w:r>
        <w:rPr>
          <w:rFonts w:hint="eastAsia" w:ascii="宋体" w:hAnsi="宋体" w:eastAsia="宋体" w:cs="宋体"/>
          <w:b w:val="0"/>
          <w:bCs w:val="0"/>
          <w:kern w:val="2"/>
          <w:sz w:val="21"/>
          <w:szCs w:val="21"/>
          <w:highlight w:val="none"/>
          <w:lang w:val="en-US" w:eastAsia="zh-CN" w:bidi="ar-SA"/>
        </w:rPr>
        <w:t>2</w:t>
      </w:r>
      <w:r>
        <w:rPr>
          <w:rFonts w:hint="default" w:ascii="宋体" w:hAnsi="宋体" w:eastAsia="宋体" w:cs="宋体"/>
          <w:b w:val="0"/>
          <w:bCs w:val="0"/>
          <w:kern w:val="2"/>
          <w:sz w:val="21"/>
          <w:szCs w:val="21"/>
          <w:highlight w:val="none"/>
          <w:lang w:val="en-US" w:eastAsia="zh-CN" w:bidi="ar-SA"/>
        </w:rPr>
        <w:t xml:space="preserve">级故障响应时间 ≤ </w:t>
      </w:r>
      <w:r>
        <w:rPr>
          <w:rFonts w:hint="eastAsia" w:ascii="宋体" w:hAnsi="宋体" w:eastAsia="宋体" w:cs="宋体"/>
          <w:b w:val="0"/>
          <w:bCs w:val="0"/>
          <w:kern w:val="2"/>
          <w:sz w:val="21"/>
          <w:szCs w:val="21"/>
          <w:highlight w:val="none"/>
          <w:lang w:val="en-US" w:eastAsia="zh-CN" w:bidi="ar-SA"/>
        </w:rPr>
        <w:t>30</w:t>
      </w:r>
      <w:r>
        <w:rPr>
          <w:rFonts w:hint="default" w:ascii="宋体" w:hAnsi="宋体" w:eastAsia="宋体" w:cs="宋体"/>
          <w:b w:val="0"/>
          <w:bCs w:val="0"/>
          <w:kern w:val="2"/>
          <w:sz w:val="21"/>
          <w:szCs w:val="21"/>
          <w:highlight w:val="none"/>
          <w:lang w:val="en-US" w:eastAsia="zh-CN" w:bidi="ar-SA"/>
        </w:rPr>
        <w:t>分钟</w:t>
      </w:r>
      <w:r>
        <w:rPr>
          <w:rFonts w:hint="eastAsia" w:ascii="宋体" w:hAnsi="宋体" w:eastAsia="宋体" w:cs="宋体"/>
          <w:b w:val="0"/>
          <w:bCs w:val="0"/>
          <w:kern w:val="2"/>
          <w:sz w:val="21"/>
          <w:szCs w:val="21"/>
          <w:highlight w:val="none"/>
          <w:lang w:val="en-US" w:eastAsia="zh-CN" w:bidi="ar-SA"/>
        </w:rPr>
        <w:t>，</w:t>
      </w:r>
      <w:r>
        <w:rPr>
          <w:rFonts w:hint="default" w:ascii="宋体" w:hAnsi="宋体" w:eastAsia="宋体" w:cs="宋体"/>
          <w:b w:val="0"/>
          <w:bCs w:val="0"/>
          <w:kern w:val="2"/>
          <w:sz w:val="21"/>
          <w:szCs w:val="21"/>
          <w:highlight w:val="none"/>
          <w:lang w:val="en-US" w:eastAsia="zh-CN" w:bidi="ar-SA"/>
        </w:rPr>
        <w:t>P</w:t>
      </w:r>
      <w:r>
        <w:rPr>
          <w:rFonts w:hint="eastAsia" w:ascii="宋体" w:hAnsi="宋体" w:eastAsia="宋体" w:cs="宋体"/>
          <w:b w:val="0"/>
          <w:bCs w:val="0"/>
          <w:kern w:val="2"/>
          <w:sz w:val="21"/>
          <w:szCs w:val="21"/>
          <w:highlight w:val="none"/>
          <w:lang w:val="en-US" w:eastAsia="zh-CN" w:bidi="ar-SA"/>
        </w:rPr>
        <w:t>3</w:t>
      </w:r>
      <w:r>
        <w:rPr>
          <w:rFonts w:hint="default" w:ascii="宋体" w:hAnsi="宋体" w:eastAsia="宋体" w:cs="宋体"/>
          <w:b w:val="0"/>
          <w:bCs w:val="0"/>
          <w:kern w:val="2"/>
          <w:sz w:val="21"/>
          <w:szCs w:val="21"/>
          <w:highlight w:val="none"/>
          <w:lang w:val="en-US" w:eastAsia="zh-CN" w:bidi="ar-SA"/>
        </w:rPr>
        <w:t>级故障响应时间 ≤ 1</w:t>
      </w:r>
      <w:r>
        <w:rPr>
          <w:rFonts w:hint="eastAsia" w:ascii="宋体" w:hAnsi="宋体" w:eastAsia="宋体" w:cs="宋体"/>
          <w:b w:val="0"/>
          <w:bCs w:val="0"/>
          <w:kern w:val="2"/>
          <w:sz w:val="21"/>
          <w:szCs w:val="21"/>
          <w:highlight w:val="none"/>
          <w:lang w:val="en-US" w:eastAsia="zh-CN" w:bidi="ar-SA"/>
        </w:rPr>
        <w:t>小时，</w:t>
      </w:r>
      <w:r>
        <w:rPr>
          <w:rFonts w:hint="default" w:ascii="宋体" w:hAnsi="宋体" w:eastAsia="宋体" w:cs="宋体"/>
          <w:b w:val="0"/>
          <w:bCs w:val="0"/>
          <w:kern w:val="2"/>
          <w:sz w:val="21"/>
          <w:szCs w:val="21"/>
          <w:highlight w:val="none"/>
          <w:lang w:val="en-US" w:eastAsia="zh-CN" w:bidi="ar-SA"/>
        </w:rPr>
        <w:t>P</w:t>
      </w:r>
      <w:r>
        <w:rPr>
          <w:rFonts w:hint="eastAsia" w:ascii="宋体" w:hAnsi="宋体" w:eastAsia="宋体" w:cs="宋体"/>
          <w:b w:val="0"/>
          <w:bCs w:val="0"/>
          <w:kern w:val="2"/>
          <w:sz w:val="21"/>
          <w:szCs w:val="21"/>
          <w:highlight w:val="none"/>
          <w:lang w:val="en-US" w:eastAsia="zh-CN" w:bidi="ar-SA"/>
        </w:rPr>
        <w:t>4</w:t>
      </w:r>
      <w:r>
        <w:rPr>
          <w:rFonts w:hint="default" w:ascii="宋体" w:hAnsi="宋体" w:eastAsia="宋体" w:cs="宋体"/>
          <w:b w:val="0"/>
          <w:bCs w:val="0"/>
          <w:kern w:val="2"/>
          <w:sz w:val="21"/>
          <w:szCs w:val="21"/>
          <w:highlight w:val="none"/>
          <w:lang w:val="en-US" w:eastAsia="zh-CN" w:bidi="ar-SA"/>
        </w:rPr>
        <w:t xml:space="preserve">级故障响应时间 ≤ </w:t>
      </w:r>
      <w:r>
        <w:rPr>
          <w:rFonts w:hint="eastAsia" w:ascii="宋体" w:hAnsi="宋体" w:eastAsia="宋体" w:cs="宋体"/>
          <w:b w:val="0"/>
          <w:bCs w:val="0"/>
          <w:kern w:val="2"/>
          <w:sz w:val="21"/>
          <w:szCs w:val="21"/>
          <w:highlight w:val="none"/>
          <w:lang w:val="en-US" w:eastAsia="zh-CN" w:bidi="ar-SA"/>
        </w:rPr>
        <w:t>8小时；</w:t>
      </w:r>
    </w:p>
    <w:p>
      <w:pPr>
        <w:pStyle w:val="76"/>
        <w:keepNext w:val="0"/>
        <w:keepLines w:val="0"/>
        <w:pageBreakBefore w:val="0"/>
        <w:widowControl w:val="0"/>
        <w:numPr>
          <w:ilvl w:val="0"/>
          <w:numId w:val="53"/>
        </w:numPr>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val="0"/>
          <w:bCs w:val="0"/>
          <w:kern w:val="2"/>
          <w:sz w:val="21"/>
          <w:szCs w:val="21"/>
          <w:highlight w:val="none"/>
          <w:lang w:val="en-US" w:eastAsia="zh-CN" w:bidi="ar-SA"/>
        </w:rPr>
      </w:pPr>
      <w:r>
        <w:rPr>
          <w:rFonts w:hint="default" w:ascii="宋体" w:hAnsi="宋体" w:eastAsia="宋体" w:cs="宋体"/>
          <w:b w:val="0"/>
          <w:bCs w:val="0"/>
          <w:kern w:val="2"/>
          <w:sz w:val="21"/>
          <w:szCs w:val="21"/>
          <w:highlight w:val="none"/>
          <w:lang w:val="en-US" w:eastAsia="zh-CN" w:bidi="ar-SA"/>
        </w:rPr>
        <w:t>服务报告提交及时率 = 100%</w:t>
      </w:r>
      <w:r>
        <w:rPr>
          <w:rFonts w:hint="eastAsia" w:ascii="宋体" w:hAnsi="宋体" w:eastAsia="宋体" w:cs="宋体"/>
          <w:b w:val="0"/>
          <w:bCs w:val="0"/>
          <w:kern w:val="2"/>
          <w:sz w:val="21"/>
          <w:szCs w:val="21"/>
          <w:highlight w:val="none"/>
          <w:lang w:val="en-US" w:eastAsia="zh-CN" w:bidi="ar-SA"/>
        </w:rPr>
        <w:t>。</w:t>
      </w:r>
    </w:p>
    <w:p>
      <w:pPr>
        <w:pStyle w:val="76"/>
        <w:keepNext w:val="0"/>
        <w:keepLines w:val="0"/>
        <w:pageBreakBefore w:val="0"/>
        <w:widowControl w:val="0"/>
        <w:numPr>
          <w:ilvl w:val="0"/>
          <w:numId w:val="51"/>
        </w:numPr>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val="0"/>
          <w:bCs w:val="0"/>
          <w:kern w:val="2"/>
          <w:sz w:val="21"/>
          <w:szCs w:val="21"/>
          <w:highlight w:val="none"/>
          <w:lang w:val="en-US" w:eastAsia="zh-CN" w:bidi="ar-SA"/>
        </w:rPr>
      </w:pPr>
      <w:r>
        <w:rPr>
          <w:rFonts w:hint="default" w:ascii="宋体" w:hAnsi="宋体" w:eastAsia="宋体" w:cs="宋体"/>
          <w:b w:val="0"/>
          <w:bCs w:val="0"/>
          <w:kern w:val="2"/>
          <w:sz w:val="21"/>
          <w:szCs w:val="21"/>
          <w:highlight w:val="none"/>
          <w:lang w:val="en-US" w:eastAsia="zh-CN" w:bidi="ar-SA"/>
        </w:rPr>
        <w:t>交付成果</w:t>
      </w:r>
    </w:p>
    <w:p>
      <w:pPr>
        <w:pStyle w:val="76"/>
        <w:keepNext w:val="0"/>
        <w:keepLines w:val="0"/>
        <w:pageBreakBefore w:val="0"/>
        <w:widowControl w:val="0"/>
        <w:numPr>
          <w:ilvl w:val="0"/>
          <w:numId w:val="54"/>
        </w:numPr>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服务报告：包括</w:t>
      </w:r>
      <w:r>
        <w:rPr>
          <w:rFonts w:hint="default" w:ascii="宋体" w:hAnsi="宋体" w:eastAsia="宋体" w:cs="宋体"/>
          <w:b w:val="0"/>
          <w:bCs w:val="0"/>
          <w:kern w:val="2"/>
          <w:sz w:val="21"/>
          <w:szCs w:val="21"/>
          <w:highlight w:val="none"/>
          <w:lang w:val="en-US" w:eastAsia="zh-CN" w:bidi="ar-SA"/>
        </w:rPr>
        <w:t>《月度服务报告》、《系统健康检查报告》、《年度总结报告》</w:t>
      </w:r>
      <w:r>
        <w:rPr>
          <w:rFonts w:hint="eastAsia" w:ascii="宋体" w:hAnsi="宋体" w:eastAsia="宋体" w:cs="宋体"/>
          <w:b w:val="0"/>
          <w:bCs w:val="0"/>
          <w:kern w:val="2"/>
          <w:sz w:val="21"/>
          <w:szCs w:val="21"/>
          <w:highlight w:val="none"/>
          <w:lang w:val="en-US" w:eastAsia="zh-CN" w:bidi="ar-SA"/>
        </w:rPr>
        <w:t>；</w:t>
      </w:r>
    </w:p>
    <w:p>
      <w:pPr>
        <w:pStyle w:val="76"/>
        <w:keepNext w:val="0"/>
        <w:keepLines w:val="0"/>
        <w:pageBreakBefore w:val="0"/>
        <w:widowControl w:val="0"/>
        <w:numPr>
          <w:ilvl w:val="0"/>
          <w:numId w:val="54"/>
        </w:numPr>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val="0"/>
          <w:bCs w:val="0"/>
          <w:kern w:val="2"/>
          <w:sz w:val="21"/>
          <w:szCs w:val="21"/>
          <w:highlight w:val="none"/>
          <w:lang w:val="en-US" w:eastAsia="zh-CN" w:bidi="ar-SA"/>
        </w:rPr>
      </w:pPr>
      <w:r>
        <w:rPr>
          <w:rFonts w:hint="default" w:ascii="宋体" w:hAnsi="宋体" w:eastAsia="宋体" w:cs="宋体"/>
          <w:b w:val="0"/>
          <w:bCs w:val="0"/>
          <w:kern w:val="2"/>
          <w:sz w:val="21"/>
          <w:szCs w:val="21"/>
          <w:highlight w:val="none"/>
          <w:lang w:val="en-US" w:eastAsia="zh-CN" w:bidi="ar-SA"/>
        </w:rPr>
        <w:t>知识库： 运维过程中沉淀的解决方案文档</w:t>
      </w:r>
      <w:r>
        <w:rPr>
          <w:rFonts w:hint="eastAsia" w:ascii="宋体" w:hAnsi="宋体" w:eastAsia="宋体" w:cs="宋体"/>
          <w:b w:val="0"/>
          <w:bCs w:val="0"/>
          <w:kern w:val="2"/>
          <w:sz w:val="21"/>
          <w:szCs w:val="21"/>
          <w:highlight w:val="none"/>
          <w:lang w:val="en-US" w:eastAsia="zh-CN" w:bidi="ar-SA"/>
        </w:rPr>
        <w:t>；</w:t>
      </w:r>
    </w:p>
    <w:p>
      <w:pPr>
        <w:pStyle w:val="76"/>
        <w:keepNext w:val="0"/>
        <w:keepLines w:val="0"/>
        <w:pageBreakBefore w:val="0"/>
        <w:widowControl w:val="0"/>
        <w:numPr>
          <w:ilvl w:val="0"/>
          <w:numId w:val="54"/>
        </w:numPr>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val="0"/>
          <w:bCs w:val="0"/>
          <w:kern w:val="2"/>
          <w:sz w:val="21"/>
          <w:szCs w:val="21"/>
          <w:highlight w:val="none"/>
          <w:lang w:val="en-US" w:eastAsia="zh-CN" w:bidi="ar-SA"/>
        </w:rPr>
      </w:pPr>
      <w:r>
        <w:rPr>
          <w:rFonts w:hint="default" w:ascii="宋体" w:hAnsi="宋体" w:eastAsia="宋体" w:cs="宋体"/>
          <w:b w:val="0"/>
          <w:bCs w:val="0"/>
          <w:kern w:val="2"/>
          <w:sz w:val="21"/>
          <w:szCs w:val="21"/>
          <w:highlight w:val="none"/>
          <w:lang w:val="en-US" w:eastAsia="zh-CN" w:bidi="ar-SA"/>
        </w:rPr>
        <w:t>团队资源： 承诺提供的项目经理和核心顾问团队。</w:t>
      </w:r>
    </w:p>
    <w:p>
      <w:pPr>
        <w:pStyle w:val="76"/>
        <w:keepNext w:val="0"/>
        <w:keepLines w:val="0"/>
        <w:pageBreakBefore w:val="0"/>
        <w:widowControl w:val="0"/>
        <w:numPr>
          <w:ilvl w:val="0"/>
          <w:numId w:val="51"/>
        </w:numPr>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val="0"/>
          <w:bCs w:val="0"/>
          <w:kern w:val="2"/>
          <w:sz w:val="21"/>
          <w:szCs w:val="21"/>
          <w:highlight w:val="none"/>
          <w:lang w:val="en-US" w:eastAsia="zh-CN" w:bidi="ar-SA"/>
        </w:rPr>
      </w:pPr>
      <w:r>
        <w:rPr>
          <w:rFonts w:hint="default" w:ascii="宋体" w:hAnsi="宋体" w:eastAsia="宋体" w:cs="宋体"/>
          <w:b w:val="0"/>
          <w:bCs w:val="0"/>
          <w:kern w:val="2"/>
          <w:sz w:val="21"/>
          <w:szCs w:val="21"/>
          <w:highlight w:val="none"/>
          <w:lang w:val="en-US" w:eastAsia="zh-CN" w:bidi="ar-SA"/>
        </w:rPr>
        <w:t>服务期限与地点：</w:t>
      </w:r>
    </w:p>
    <w:p>
      <w:pPr>
        <w:pStyle w:val="76"/>
        <w:keepNext w:val="0"/>
        <w:keepLines w:val="0"/>
        <w:pageBreakBefore w:val="0"/>
        <w:widowControl w:val="0"/>
        <w:numPr>
          <w:ilvl w:val="0"/>
          <w:numId w:val="55"/>
        </w:numPr>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val="0"/>
          <w:bCs w:val="0"/>
          <w:kern w:val="2"/>
          <w:sz w:val="21"/>
          <w:szCs w:val="21"/>
          <w:highlight w:val="none"/>
          <w:lang w:val="en-US" w:eastAsia="zh-CN" w:bidi="ar-SA"/>
        </w:rPr>
      </w:pPr>
      <w:r>
        <w:rPr>
          <w:rFonts w:hint="default" w:ascii="宋体" w:hAnsi="宋体" w:eastAsia="宋体" w:cs="宋体"/>
          <w:b w:val="0"/>
          <w:bCs w:val="0"/>
          <w:kern w:val="2"/>
          <w:sz w:val="21"/>
          <w:szCs w:val="21"/>
          <w:highlight w:val="none"/>
          <w:lang w:val="en-US" w:eastAsia="zh-CN" w:bidi="ar-SA"/>
        </w:rPr>
        <w:t xml:space="preserve">服务期： </w:t>
      </w:r>
      <w:r>
        <w:rPr>
          <w:rFonts w:hint="eastAsia" w:ascii="宋体" w:hAnsi="宋体" w:eastAsia="宋体" w:cs="宋体"/>
          <w:b w:val="0"/>
          <w:bCs w:val="0"/>
          <w:kern w:val="2"/>
          <w:sz w:val="21"/>
          <w:szCs w:val="21"/>
          <w:highlight w:val="none"/>
          <w:lang w:val="en-US" w:eastAsia="zh-CN" w:bidi="ar-SA"/>
        </w:rPr>
        <w:t>合同生效日期至项目验收前；</w:t>
      </w:r>
    </w:p>
    <w:p>
      <w:pPr>
        <w:pStyle w:val="76"/>
        <w:keepNext w:val="0"/>
        <w:keepLines w:val="0"/>
        <w:pageBreakBefore w:val="0"/>
        <w:widowControl w:val="0"/>
        <w:numPr>
          <w:ilvl w:val="0"/>
          <w:numId w:val="55"/>
        </w:numPr>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val="0"/>
          <w:bCs w:val="0"/>
          <w:kern w:val="2"/>
          <w:sz w:val="21"/>
          <w:szCs w:val="21"/>
          <w:highlight w:val="none"/>
          <w:lang w:val="en-US" w:eastAsia="zh-CN" w:bidi="ar-SA"/>
        </w:rPr>
      </w:pPr>
      <w:r>
        <w:rPr>
          <w:rFonts w:hint="default" w:ascii="宋体" w:hAnsi="宋体" w:eastAsia="宋体" w:cs="宋体"/>
          <w:b w:val="0"/>
          <w:bCs w:val="0"/>
          <w:kern w:val="2"/>
          <w:sz w:val="21"/>
          <w:szCs w:val="21"/>
          <w:highlight w:val="none"/>
          <w:lang w:val="en-US" w:eastAsia="zh-CN" w:bidi="ar-SA"/>
        </w:rPr>
        <w:t>服务地点：现场支持</w:t>
      </w:r>
      <w:r>
        <w:rPr>
          <w:rFonts w:hint="eastAsia" w:ascii="宋体" w:hAnsi="宋体" w:eastAsia="宋体" w:cs="宋体"/>
          <w:b w:val="0"/>
          <w:bCs w:val="0"/>
          <w:kern w:val="2"/>
          <w:sz w:val="21"/>
          <w:szCs w:val="21"/>
          <w:highlight w:val="none"/>
          <w:lang w:val="en-US" w:eastAsia="zh-CN" w:bidi="ar-SA"/>
        </w:rPr>
        <w:t>+</w:t>
      </w:r>
      <w:r>
        <w:rPr>
          <w:rFonts w:hint="default" w:ascii="宋体" w:hAnsi="宋体" w:eastAsia="宋体" w:cs="宋体"/>
          <w:b w:val="0"/>
          <w:bCs w:val="0"/>
          <w:kern w:val="2"/>
          <w:sz w:val="21"/>
          <w:szCs w:val="21"/>
          <w:highlight w:val="none"/>
          <w:lang w:val="en-US" w:eastAsia="zh-CN" w:bidi="ar-SA"/>
        </w:rPr>
        <w:t>远程支持。</w:t>
      </w:r>
    </w:p>
    <w:p>
      <w:pPr>
        <w:pStyle w:val="76"/>
        <w:keepNext w:val="0"/>
        <w:keepLines w:val="0"/>
        <w:pageBreakBefore w:val="0"/>
        <w:widowControl w:val="0"/>
        <w:numPr>
          <w:ilvl w:val="0"/>
          <w:numId w:val="2"/>
        </w:numPr>
        <w:kinsoku/>
        <w:wordWrap/>
        <w:overflowPunct/>
        <w:topLinePunct w:val="0"/>
        <w:autoSpaceDE/>
        <w:autoSpaceDN/>
        <w:bidi w:val="0"/>
        <w:adjustRightInd/>
        <w:snapToGrid/>
        <w:ind w:left="420" w:hanging="420"/>
        <w:textAlignment w:val="auto"/>
      </w:pPr>
      <w:bookmarkStart w:id="63" w:name="_Toc47976611"/>
      <w:r>
        <w:rPr>
          <w:rFonts w:hint="eastAsia"/>
        </w:rPr>
        <w:t>交货地点</w:t>
      </w:r>
      <w:bookmarkEnd w:id="63"/>
    </w:p>
    <w:p>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highlight w:val="none"/>
          <w:lang w:val="en-US"/>
        </w:rPr>
      </w:pPr>
      <w:r>
        <w:rPr>
          <w:rFonts w:hint="eastAsia" w:ascii="宋体" w:hAnsi="宋体" w:eastAsia="宋体" w:cs="宋体"/>
          <w:b w:val="0"/>
          <w:bCs w:val="0"/>
          <w:sz w:val="21"/>
          <w:szCs w:val="21"/>
          <w:highlight w:val="none"/>
          <w:lang w:val="en-US" w:eastAsia="zh-CN"/>
        </w:rPr>
        <w:t>中国重汽集团及甲方指定地点。</w:t>
      </w:r>
    </w:p>
    <w:p>
      <w:pPr>
        <w:pStyle w:val="76"/>
        <w:keepNext w:val="0"/>
        <w:keepLines w:val="0"/>
        <w:pageBreakBefore w:val="0"/>
        <w:widowControl w:val="0"/>
        <w:numPr>
          <w:ilvl w:val="0"/>
          <w:numId w:val="2"/>
        </w:numPr>
        <w:kinsoku/>
        <w:wordWrap/>
        <w:overflowPunct/>
        <w:topLinePunct w:val="0"/>
        <w:autoSpaceDE/>
        <w:autoSpaceDN/>
        <w:bidi w:val="0"/>
        <w:adjustRightInd/>
        <w:snapToGrid/>
        <w:ind w:left="420" w:hanging="420"/>
        <w:textAlignment w:val="auto"/>
      </w:pPr>
      <w:bookmarkStart w:id="64" w:name="_Toc47976612"/>
      <w:r>
        <w:rPr>
          <w:rFonts w:hint="eastAsia"/>
          <w:lang w:val="en-US" w:eastAsia="zh-CN"/>
        </w:rPr>
        <w:t>价款及</w:t>
      </w:r>
      <w:r>
        <w:rPr>
          <w:rFonts w:hint="eastAsia"/>
        </w:rPr>
        <w:t>付款方式</w:t>
      </w:r>
      <w:bookmarkEnd w:id="64"/>
    </w:p>
    <w:p>
      <w:pPr>
        <w:pStyle w:val="76"/>
        <w:keepNext w:val="0"/>
        <w:keepLines w:val="0"/>
        <w:pageBreakBefore w:val="0"/>
        <w:widowControl w:val="0"/>
        <w:numPr>
          <w:ilvl w:val="0"/>
          <w:numId w:val="56"/>
        </w:numPr>
        <w:kinsoku/>
        <w:wordWrap/>
        <w:overflowPunct/>
        <w:topLinePunct w:val="0"/>
        <w:autoSpaceDE/>
        <w:autoSpaceDN/>
        <w:bidi w:val="0"/>
        <w:adjustRightInd/>
        <w:snapToGrid/>
        <w:ind w:left="425" w:leftChars="0" w:hanging="425" w:firstLineChars="0"/>
        <w:textAlignment w:val="auto"/>
        <w:rPr>
          <w:b w:val="0"/>
          <w:bCs w:val="0"/>
          <w:sz w:val="21"/>
          <w:szCs w:val="21"/>
          <w:highlight w:val="none"/>
        </w:rPr>
      </w:pPr>
      <w:r>
        <w:rPr>
          <w:rFonts w:hint="eastAsia" w:ascii="宋体" w:hAnsi="宋体" w:eastAsia="宋体" w:cs="宋体"/>
          <w:b w:val="0"/>
          <w:bCs w:val="0"/>
          <w:sz w:val="21"/>
          <w:szCs w:val="21"/>
          <w:highlight w:val="none"/>
          <w:lang w:val="en-US" w:eastAsia="zh-CN"/>
        </w:rPr>
        <w:t>价款：以最终签订合同为准；</w:t>
      </w:r>
    </w:p>
    <w:p>
      <w:pPr>
        <w:pStyle w:val="76"/>
        <w:keepNext w:val="0"/>
        <w:keepLines w:val="0"/>
        <w:pageBreakBefore w:val="0"/>
        <w:widowControl w:val="0"/>
        <w:numPr>
          <w:ilvl w:val="0"/>
          <w:numId w:val="56"/>
        </w:numPr>
        <w:kinsoku/>
        <w:wordWrap/>
        <w:overflowPunct/>
        <w:topLinePunct w:val="0"/>
        <w:autoSpaceDE/>
        <w:autoSpaceDN/>
        <w:bidi w:val="0"/>
        <w:adjustRightInd/>
        <w:snapToGrid/>
        <w:ind w:left="425" w:leftChars="0" w:hanging="425" w:firstLineChars="0"/>
        <w:textAlignment w:val="auto"/>
        <w:rPr>
          <w:rFonts w:hint="default"/>
          <w:b w:val="0"/>
          <w:bCs w:val="0"/>
          <w:sz w:val="21"/>
          <w:szCs w:val="21"/>
          <w:highlight w:val="none"/>
          <w:lang w:val="en-US"/>
        </w:rPr>
      </w:pPr>
      <w:r>
        <w:rPr>
          <w:rFonts w:hint="eastAsia" w:ascii="宋体" w:hAnsi="宋体" w:eastAsia="宋体" w:cs="宋体"/>
          <w:b w:val="0"/>
          <w:bCs w:val="0"/>
          <w:sz w:val="21"/>
          <w:szCs w:val="21"/>
          <w:highlight w:val="none"/>
          <w:lang w:val="en-US" w:eastAsia="zh-CN"/>
        </w:rPr>
        <w:t>付款方式：</w:t>
      </w:r>
      <w:r>
        <w:rPr>
          <w:rFonts w:hint="eastAsia" w:ascii="宋体" w:hAnsi="宋体" w:eastAsia="宋体" w:cs="宋体"/>
          <w:b w:val="0"/>
          <w:bCs w:val="0"/>
          <w:sz w:val="21"/>
          <w:szCs w:val="21"/>
          <w:highlight w:val="none"/>
        </w:rPr>
        <w:t>半年期商业汇票（包括银行承兑汇票和商业承兑汇票）</w:t>
      </w:r>
      <w:r>
        <w:rPr>
          <w:rFonts w:hint="eastAsia" w:ascii="宋体" w:hAnsi="宋体" w:eastAsia="宋体" w:cs="宋体"/>
          <w:b w:val="0"/>
          <w:bCs w:val="0"/>
          <w:sz w:val="21"/>
          <w:szCs w:val="21"/>
          <w:highlight w:val="none"/>
          <w:lang w:eastAsia="zh-CN"/>
        </w:rPr>
        <w:t>。</w:t>
      </w:r>
    </w:p>
    <w:p>
      <w:pPr>
        <w:pStyle w:val="76"/>
        <w:keepNext w:val="0"/>
        <w:keepLines w:val="0"/>
        <w:pageBreakBefore w:val="0"/>
        <w:widowControl w:val="0"/>
        <w:numPr>
          <w:ilvl w:val="0"/>
          <w:numId w:val="2"/>
        </w:numPr>
        <w:kinsoku/>
        <w:wordWrap/>
        <w:overflowPunct/>
        <w:topLinePunct w:val="0"/>
        <w:autoSpaceDE/>
        <w:autoSpaceDN/>
        <w:bidi w:val="0"/>
        <w:adjustRightInd/>
        <w:snapToGrid/>
        <w:ind w:left="420" w:hanging="420"/>
        <w:textAlignment w:val="auto"/>
      </w:pPr>
      <w:bookmarkStart w:id="65" w:name="_Toc47976613"/>
      <w:r>
        <w:rPr>
          <w:rFonts w:hint="eastAsia"/>
          <w:lang w:val="en-US" w:eastAsia="zh-CN"/>
        </w:rPr>
        <w:t>质量要求、</w:t>
      </w:r>
      <w:r>
        <w:rPr>
          <w:rFonts w:hint="eastAsia"/>
        </w:rPr>
        <w:t>保修期及售后服务</w:t>
      </w:r>
      <w:bookmarkEnd w:id="65"/>
    </w:p>
    <w:p>
      <w:pPr>
        <w:keepNext w:val="0"/>
        <w:keepLines w:val="0"/>
        <w:pageBreakBefore w:val="0"/>
        <w:widowControl w:val="0"/>
        <w:numPr>
          <w:ilvl w:val="0"/>
          <w:numId w:val="5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乙方负责对甲方所有现有软开开发需求进行专项开发服务，严格按照本合同和工作说明书内容执行。</w:t>
      </w:r>
    </w:p>
    <w:p>
      <w:pPr>
        <w:keepNext w:val="0"/>
        <w:keepLines w:val="0"/>
        <w:pageBreakBefore w:val="0"/>
        <w:widowControl w:val="0"/>
        <w:numPr>
          <w:ilvl w:val="0"/>
          <w:numId w:val="5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甲乙双方均需详细记录乙方为甲方提供技术服务的时间、内容及结果。甲方就乙方服务的内容、质量及效果进行总结和评价。每次的服务效果评价将作为甲方付款的依据之一。</w:t>
      </w:r>
    </w:p>
    <w:p>
      <w:pPr>
        <w:keepNext w:val="0"/>
        <w:keepLines w:val="0"/>
        <w:pageBreakBefore w:val="0"/>
        <w:widowControl w:val="0"/>
        <w:numPr>
          <w:ilvl w:val="0"/>
          <w:numId w:val="5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如乙方提供的服务没有满足本合同及其附件的要求，甲方有权要求乙方改善服务质量并更换服务工程师。如乙方不能满足甲方要求，则甲方有权终止本合同，合同的终止不影响乙方按照本合同的第五条“违约责任”向甲方支付违约金。</w:t>
      </w:r>
    </w:p>
    <w:p>
      <w:pPr>
        <w:pStyle w:val="76"/>
        <w:keepNext w:val="0"/>
        <w:keepLines w:val="0"/>
        <w:pageBreakBefore w:val="0"/>
        <w:widowControl w:val="0"/>
        <w:numPr>
          <w:ilvl w:val="0"/>
          <w:numId w:val="2"/>
        </w:numPr>
        <w:kinsoku/>
        <w:wordWrap/>
        <w:overflowPunct/>
        <w:topLinePunct w:val="0"/>
        <w:autoSpaceDE/>
        <w:autoSpaceDN/>
        <w:bidi w:val="0"/>
        <w:adjustRightInd/>
        <w:snapToGrid/>
        <w:ind w:left="420" w:hanging="420"/>
        <w:textAlignment w:val="auto"/>
      </w:pPr>
      <w:r>
        <w:rPr>
          <w:rFonts w:hint="eastAsia"/>
          <w:lang w:val="en-US" w:eastAsia="zh-CN"/>
        </w:rPr>
        <w:t>服务考核</w:t>
      </w:r>
    </w:p>
    <w:p>
      <w:pPr>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kern w:val="2"/>
          <w:sz w:val="21"/>
          <w:szCs w:val="21"/>
          <w:highlight w:val="none"/>
          <w:lang w:val="zh-TW" w:eastAsia="zh-TW" w:bidi="ar-SA"/>
        </w:rPr>
      </w:pPr>
      <w:r>
        <w:rPr>
          <w:rFonts w:hint="eastAsia" w:ascii="宋体" w:hAnsi="宋体" w:eastAsia="宋体" w:cs="宋体"/>
          <w:kern w:val="2"/>
          <w:sz w:val="21"/>
          <w:szCs w:val="21"/>
          <w:highlight w:val="none"/>
          <w:lang w:val="zh-TW" w:eastAsia="zh-TW" w:bidi="ar-SA"/>
        </w:rPr>
        <w:t>为有效规范乙方所提供服务的内容及质量，甲方将参照服务考核规范对乙方所提供服务进行管理及考核，并作为服务验收和付款的依据。</w:t>
      </w:r>
    </w:p>
    <w:p>
      <w:pPr>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kern w:val="2"/>
          <w:sz w:val="21"/>
          <w:szCs w:val="21"/>
          <w:highlight w:val="none"/>
          <w:lang w:val="zh-TW" w:eastAsia="zh-TW" w:bidi="ar-SA"/>
        </w:rPr>
      </w:pPr>
      <w:r>
        <w:rPr>
          <w:rFonts w:hint="eastAsia" w:ascii="宋体" w:hAnsi="宋体" w:eastAsia="宋体" w:cs="宋体"/>
          <w:kern w:val="2"/>
          <w:sz w:val="21"/>
          <w:szCs w:val="21"/>
          <w:highlight w:val="none"/>
          <w:lang w:val="zh-TW" w:eastAsia="zh-TW" w:bidi="ar-SA"/>
        </w:rPr>
        <w:t>乙方须设立服务质量监督员并定期（至少每月一次）向甲方汇报合同要求范围内的服务执行情况及质量状况，针对甲方提出的意见及建议提出服务质量整改措施并跟踪落实。</w:t>
      </w:r>
    </w:p>
    <w:p>
      <w:pPr>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kern w:val="2"/>
          <w:sz w:val="21"/>
          <w:szCs w:val="21"/>
          <w:highlight w:val="none"/>
          <w:lang w:val="zh-TW" w:eastAsia="zh-TW" w:bidi="ar-SA"/>
        </w:rPr>
      </w:pPr>
      <w:r>
        <w:rPr>
          <w:rFonts w:hint="eastAsia" w:ascii="宋体" w:hAnsi="宋体" w:eastAsia="宋体" w:cs="宋体"/>
          <w:kern w:val="2"/>
          <w:sz w:val="21"/>
          <w:szCs w:val="21"/>
          <w:highlight w:val="none"/>
          <w:lang w:val="zh-TW" w:eastAsia="zh-TW" w:bidi="ar-SA"/>
        </w:rPr>
        <w:t>如因乙方技术能力导致程序BUG或系统故障，甲方将视故障的影响程度，进行服务考核和罚款，若导致重大故障或数据丢失，甲方有权利要求乙方赔偿因此造成的相关损失。</w:t>
      </w:r>
    </w:p>
    <w:p>
      <w:pPr>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kern w:val="2"/>
          <w:sz w:val="21"/>
          <w:szCs w:val="21"/>
          <w:highlight w:val="none"/>
          <w:lang w:val="zh-TW" w:eastAsia="zh-TW" w:bidi="ar-SA"/>
        </w:rPr>
      </w:pPr>
      <w:r>
        <w:rPr>
          <w:rFonts w:hint="eastAsia" w:ascii="宋体" w:hAnsi="宋体" w:eastAsia="宋体" w:cs="宋体"/>
          <w:kern w:val="2"/>
          <w:sz w:val="21"/>
          <w:szCs w:val="21"/>
          <w:highlight w:val="none"/>
          <w:lang w:val="zh-TW" w:eastAsia="zh-TW" w:bidi="ar-SA"/>
        </w:rPr>
        <w:t>甲方每季度对乙方工作进行考核评分。季度末付款时按考核得分对合同应付款额进行扣除。</w:t>
      </w:r>
    </w:p>
    <w:p>
      <w:pPr>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kern w:val="2"/>
          <w:sz w:val="21"/>
          <w:szCs w:val="21"/>
          <w:highlight w:val="none"/>
          <w:lang w:val="en-US" w:eastAsia="zh-TW" w:bidi="ar-SA"/>
        </w:rPr>
      </w:pPr>
      <w:r>
        <w:rPr>
          <w:rFonts w:hint="eastAsia" w:ascii="宋体" w:hAnsi="宋体" w:eastAsia="宋体" w:cs="宋体"/>
          <w:kern w:val="2"/>
          <w:sz w:val="21"/>
          <w:szCs w:val="21"/>
          <w:highlight w:val="none"/>
          <w:lang w:val="zh-TW" w:eastAsia="zh-TW" w:bidi="ar-SA"/>
        </w:rPr>
        <w:t>季度考核得分</w:t>
      </w:r>
      <w:r>
        <w:rPr>
          <w:rFonts w:hint="eastAsia" w:ascii="宋体" w:hAnsi="宋体" w:eastAsia="宋体" w:cs="宋体"/>
          <w:kern w:val="2"/>
          <w:sz w:val="21"/>
          <w:szCs w:val="21"/>
          <w:highlight w:val="none"/>
          <w:lang w:val="en-US" w:eastAsia="zh-TW" w:bidi="ar-SA"/>
        </w:rPr>
        <w:t>90</w:t>
      </w:r>
      <w:r>
        <w:rPr>
          <w:rFonts w:hint="eastAsia" w:ascii="宋体" w:hAnsi="宋体" w:eastAsia="宋体" w:cs="宋体"/>
          <w:kern w:val="2"/>
          <w:sz w:val="21"/>
          <w:szCs w:val="21"/>
          <w:highlight w:val="none"/>
          <w:lang w:val="zh-TW" w:eastAsia="zh-TW" w:bidi="ar-SA"/>
        </w:rPr>
        <w:t>（含</w:t>
      </w:r>
      <w:r>
        <w:rPr>
          <w:rFonts w:hint="eastAsia" w:ascii="宋体" w:hAnsi="宋体" w:eastAsia="宋体" w:cs="宋体"/>
          <w:kern w:val="2"/>
          <w:sz w:val="21"/>
          <w:szCs w:val="21"/>
          <w:highlight w:val="none"/>
          <w:lang w:val="en-US" w:eastAsia="zh-TW" w:bidi="ar-SA"/>
        </w:rPr>
        <w:t>90</w:t>
      </w:r>
      <w:r>
        <w:rPr>
          <w:rFonts w:hint="eastAsia" w:ascii="宋体" w:hAnsi="宋体" w:eastAsia="宋体" w:cs="宋体"/>
          <w:kern w:val="2"/>
          <w:sz w:val="21"/>
          <w:szCs w:val="21"/>
          <w:highlight w:val="none"/>
          <w:lang w:val="zh-TW" w:eastAsia="zh-TW" w:bidi="ar-SA"/>
        </w:rPr>
        <w:t>分）</w:t>
      </w:r>
      <w:r>
        <w:rPr>
          <w:rFonts w:hint="eastAsia" w:ascii="宋体" w:hAnsi="宋体" w:eastAsia="宋体" w:cs="宋体"/>
          <w:kern w:val="2"/>
          <w:sz w:val="21"/>
          <w:szCs w:val="21"/>
          <w:highlight w:val="none"/>
          <w:lang w:val="en-US" w:eastAsia="zh-TW" w:bidi="ar-SA"/>
        </w:rPr>
        <w:t>-100</w:t>
      </w:r>
      <w:r>
        <w:rPr>
          <w:rFonts w:hint="eastAsia" w:ascii="宋体" w:hAnsi="宋体" w:eastAsia="宋体" w:cs="宋体"/>
          <w:kern w:val="2"/>
          <w:sz w:val="21"/>
          <w:szCs w:val="21"/>
          <w:highlight w:val="none"/>
          <w:lang w:val="zh-TW" w:eastAsia="zh-TW" w:bidi="ar-SA"/>
        </w:rPr>
        <w:t>分，不扣款；</w:t>
      </w:r>
    </w:p>
    <w:p>
      <w:pPr>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kern w:val="2"/>
          <w:sz w:val="21"/>
          <w:szCs w:val="21"/>
          <w:highlight w:val="none"/>
          <w:lang w:val="zh-TW" w:eastAsia="zh-CN" w:bidi="ar-SA"/>
        </w:rPr>
      </w:pPr>
      <w:r>
        <w:rPr>
          <w:rFonts w:hint="eastAsia" w:ascii="宋体" w:hAnsi="宋体" w:eastAsia="宋体" w:cs="宋体"/>
          <w:kern w:val="2"/>
          <w:sz w:val="21"/>
          <w:szCs w:val="21"/>
          <w:highlight w:val="none"/>
          <w:lang w:val="zh-TW" w:eastAsia="zh-TW" w:bidi="ar-SA"/>
        </w:rPr>
        <w:t>季度考核得分</w:t>
      </w:r>
      <w:r>
        <w:rPr>
          <w:rFonts w:hint="eastAsia" w:ascii="宋体" w:hAnsi="宋体" w:eastAsia="宋体" w:cs="宋体"/>
          <w:kern w:val="2"/>
          <w:sz w:val="21"/>
          <w:szCs w:val="21"/>
          <w:highlight w:val="none"/>
          <w:lang w:val="en-US" w:eastAsia="zh-CN" w:bidi="ar-SA"/>
        </w:rPr>
        <w:t>80</w:t>
      </w:r>
      <w:r>
        <w:rPr>
          <w:rFonts w:hint="eastAsia" w:ascii="宋体" w:hAnsi="宋体" w:eastAsia="宋体" w:cs="宋体"/>
          <w:kern w:val="2"/>
          <w:sz w:val="21"/>
          <w:szCs w:val="21"/>
          <w:highlight w:val="none"/>
          <w:lang w:val="zh-TW" w:eastAsia="zh-TW" w:bidi="ar-SA"/>
        </w:rPr>
        <w:t>（含</w:t>
      </w:r>
      <w:r>
        <w:rPr>
          <w:rFonts w:hint="eastAsia" w:ascii="宋体" w:hAnsi="宋体" w:eastAsia="宋体" w:cs="宋体"/>
          <w:kern w:val="2"/>
          <w:sz w:val="21"/>
          <w:szCs w:val="21"/>
          <w:highlight w:val="none"/>
          <w:lang w:val="en-US" w:eastAsia="zh-CN" w:bidi="ar-SA"/>
        </w:rPr>
        <w:t>80</w:t>
      </w:r>
      <w:r>
        <w:rPr>
          <w:rFonts w:hint="eastAsia" w:ascii="宋体" w:hAnsi="宋体" w:eastAsia="宋体" w:cs="宋体"/>
          <w:kern w:val="2"/>
          <w:sz w:val="21"/>
          <w:szCs w:val="21"/>
          <w:highlight w:val="none"/>
          <w:lang w:val="zh-TW" w:eastAsia="zh-TW" w:bidi="ar-SA"/>
        </w:rPr>
        <w:t>分）</w:t>
      </w:r>
      <w:r>
        <w:rPr>
          <w:rFonts w:hint="eastAsia" w:ascii="宋体" w:hAnsi="宋体" w:eastAsia="宋体" w:cs="宋体"/>
          <w:kern w:val="2"/>
          <w:sz w:val="21"/>
          <w:szCs w:val="21"/>
          <w:highlight w:val="none"/>
          <w:lang w:val="en-US" w:eastAsia="zh-CN" w:bidi="ar-SA"/>
        </w:rPr>
        <w:t>-90</w:t>
      </w:r>
      <w:r>
        <w:rPr>
          <w:rFonts w:hint="eastAsia" w:ascii="宋体" w:hAnsi="宋体" w:eastAsia="宋体" w:cs="宋体"/>
          <w:kern w:val="2"/>
          <w:sz w:val="21"/>
          <w:szCs w:val="21"/>
          <w:highlight w:val="none"/>
          <w:lang w:val="zh-TW" w:eastAsia="zh-TW" w:bidi="ar-SA"/>
        </w:rPr>
        <w:t>分，扣除该次应付款额的5%</w:t>
      </w:r>
      <w:r>
        <w:rPr>
          <w:rFonts w:hint="eastAsia" w:ascii="宋体" w:hAnsi="宋体" w:eastAsia="宋体" w:cs="宋体"/>
          <w:kern w:val="2"/>
          <w:sz w:val="21"/>
          <w:szCs w:val="21"/>
          <w:highlight w:val="none"/>
          <w:lang w:val="zh-TW" w:eastAsia="zh-CN" w:bidi="ar-SA"/>
        </w:rPr>
        <w:t>；</w:t>
      </w:r>
    </w:p>
    <w:p>
      <w:pPr>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kern w:val="2"/>
          <w:sz w:val="21"/>
          <w:szCs w:val="21"/>
          <w:highlight w:val="none"/>
          <w:lang w:val="zh-TW" w:eastAsia="zh-CN" w:bidi="ar-SA"/>
        </w:rPr>
      </w:pPr>
      <w:r>
        <w:rPr>
          <w:rFonts w:hint="eastAsia" w:ascii="宋体" w:hAnsi="宋体" w:eastAsia="宋体" w:cs="宋体"/>
          <w:kern w:val="2"/>
          <w:sz w:val="21"/>
          <w:szCs w:val="21"/>
          <w:highlight w:val="none"/>
          <w:lang w:val="zh-TW" w:eastAsia="zh-TW" w:bidi="ar-SA"/>
        </w:rPr>
        <w:t>季度考核得分</w:t>
      </w:r>
      <w:r>
        <w:rPr>
          <w:rFonts w:hint="eastAsia" w:ascii="宋体" w:hAnsi="宋体" w:eastAsia="宋体" w:cs="宋体"/>
          <w:kern w:val="2"/>
          <w:sz w:val="21"/>
          <w:szCs w:val="21"/>
          <w:highlight w:val="none"/>
          <w:lang w:val="en-US" w:eastAsia="zh-CN" w:bidi="ar-SA"/>
        </w:rPr>
        <w:t>70</w:t>
      </w:r>
      <w:r>
        <w:rPr>
          <w:rFonts w:hint="eastAsia" w:ascii="宋体" w:hAnsi="宋体" w:eastAsia="宋体" w:cs="宋体"/>
          <w:kern w:val="2"/>
          <w:sz w:val="21"/>
          <w:szCs w:val="21"/>
          <w:highlight w:val="none"/>
          <w:lang w:val="zh-TW" w:eastAsia="zh-TW" w:bidi="ar-SA"/>
        </w:rPr>
        <w:t>（含</w:t>
      </w:r>
      <w:r>
        <w:rPr>
          <w:rFonts w:hint="eastAsia" w:ascii="宋体" w:hAnsi="宋体" w:eastAsia="宋体" w:cs="宋体"/>
          <w:kern w:val="2"/>
          <w:sz w:val="21"/>
          <w:szCs w:val="21"/>
          <w:highlight w:val="none"/>
          <w:lang w:val="en-US" w:eastAsia="zh-CN" w:bidi="ar-SA"/>
        </w:rPr>
        <w:t>70</w:t>
      </w:r>
      <w:r>
        <w:rPr>
          <w:rFonts w:hint="eastAsia" w:ascii="宋体" w:hAnsi="宋体" w:eastAsia="宋体" w:cs="宋体"/>
          <w:kern w:val="2"/>
          <w:sz w:val="21"/>
          <w:szCs w:val="21"/>
          <w:highlight w:val="none"/>
          <w:lang w:val="zh-TW" w:eastAsia="zh-TW" w:bidi="ar-SA"/>
        </w:rPr>
        <w:t>分）</w:t>
      </w:r>
      <w:r>
        <w:rPr>
          <w:rFonts w:hint="eastAsia" w:ascii="宋体" w:hAnsi="宋体" w:eastAsia="宋体" w:cs="宋体"/>
          <w:kern w:val="2"/>
          <w:sz w:val="21"/>
          <w:szCs w:val="21"/>
          <w:highlight w:val="none"/>
          <w:lang w:val="en-US" w:eastAsia="zh-CN" w:bidi="ar-SA"/>
        </w:rPr>
        <w:t>-80</w:t>
      </w:r>
      <w:r>
        <w:rPr>
          <w:rFonts w:hint="eastAsia" w:ascii="宋体" w:hAnsi="宋体" w:eastAsia="宋体" w:cs="宋体"/>
          <w:kern w:val="2"/>
          <w:sz w:val="21"/>
          <w:szCs w:val="21"/>
          <w:highlight w:val="none"/>
          <w:lang w:val="zh-TW" w:eastAsia="zh-TW" w:bidi="ar-SA"/>
        </w:rPr>
        <w:t>分，扣除该次应付款额的10%，并降低供应商评价等级。</w:t>
      </w:r>
    </w:p>
    <w:p>
      <w:pPr>
        <w:keepNext w:val="0"/>
        <w:keepLines w:val="0"/>
        <w:pageBreakBefore w:val="0"/>
        <w:widowControl w:val="0"/>
        <w:numPr>
          <w:ilvl w:val="0"/>
          <w:numId w:val="58"/>
        </w:numPr>
        <w:kinsoku/>
        <w:wordWrap/>
        <w:overflowPunct/>
        <w:topLinePunct w:val="0"/>
        <w:autoSpaceDE/>
        <w:autoSpaceDN/>
        <w:bidi w:val="0"/>
        <w:adjustRightInd/>
        <w:snapToGrid/>
        <w:spacing w:line="360" w:lineRule="auto"/>
        <w:ind w:left="0" w:leftChars="0" w:firstLine="0" w:firstLineChars="0"/>
        <w:textAlignment w:val="auto"/>
      </w:pPr>
      <w:r>
        <w:rPr>
          <w:rFonts w:hint="eastAsia" w:ascii="宋体" w:hAnsi="宋体" w:eastAsia="宋体" w:cs="宋体"/>
          <w:kern w:val="2"/>
          <w:sz w:val="21"/>
          <w:szCs w:val="21"/>
          <w:highlight w:val="none"/>
          <w:lang w:val="zh-TW" w:eastAsia="zh-TW" w:bidi="ar-SA"/>
        </w:rPr>
        <w:t>季度考核得分</w:t>
      </w:r>
      <w:r>
        <w:rPr>
          <w:rFonts w:hint="eastAsia" w:ascii="宋体" w:hAnsi="宋体" w:eastAsia="宋体" w:cs="宋体"/>
          <w:kern w:val="2"/>
          <w:sz w:val="21"/>
          <w:szCs w:val="21"/>
          <w:highlight w:val="none"/>
          <w:lang w:val="en-US" w:eastAsia="zh-CN" w:bidi="ar-SA"/>
        </w:rPr>
        <w:t>70以下</w:t>
      </w:r>
      <w:r>
        <w:rPr>
          <w:rFonts w:hint="eastAsia" w:ascii="宋体" w:hAnsi="宋体" w:eastAsia="宋体" w:cs="宋体"/>
          <w:kern w:val="2"/>
          <w:sz w:val="21"/>
          <w:szCs w:val="21"/>
          <w:highlight w:val="none"/>
          <w:lang w:val="zh-TW" w:eastAsia="zh-TW" w:bidi="ar-SA"/>
        </w:rPr>
        <w:t>，扣除该次应付款额的20%，乙方应积极进行整改。如甲方对乙方整改后的效果评价不合格，甲方有权终止本合同，并取消乙方合作资格。</w:t>
      </w:r>
    </w:p>
    <w:p>
      <w:pPr>
        <w:pStyle w:val="76"/>
        <w:keepNext w:val="0"/>
        <w:keepLines w:val="0"/>
        <w:pageBreakBefore w:val="0"/>
        <w:widowControl w:val="0"/>
        <w:numPr>
          <w:ilvl w:val="0"/>
          <w:numId w:val="2"/>
        </w:numPr>
        <w:kinsoku/>
        <w:wordWrap/>
        <w:overflowPunct/>
        <w:topLinePunct w:val="0"/>
        <w:autoSpaceDE/>
        <w:autoSpaceDN/>
        <w:bidi w:val="0"/>
        <w:adjustRightInd/>
        <w:snapToGrid/>
        <w:ind w:left="420" w:hanging="420"/>
        <w:textAlignment w:val="auto"/>
      </w:pPr>
      <w:r>
        <w:rPr>
          <w:rFonts w:hint="eastAsia"/>
          <w:lang w:val="en-US" w:eastAsia="zh-CN"/>
        </w:rPr>
        <w:t>违约责任</w:t>
      </w:r>
    </w:p>
    <w:p>
      <w:pPr>
        <w:keepNext w:val="0"/>
        <w:keepLines w:val="0"/>
        <w:pageBreakBefore w:val="0"/>
        <w:widowControl w:val="0"/>
        <w:numPr>
          <w:ilvl w:val="0"/>
          <w:numId w:val="5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合同签署及履行过程中，未经甲方书面同意，乙方不得将本合同项下开发服务擅自转让或分包，否则应承担合同本季度结算总金额10%的违约金。</w:t>
      </w:r>
    </w:p>
    <w:p>
      <w:pPr>
        <w:keepNext w:val="0"/>
        <w:keepLines w:val="0"/>
        <w:pageBreakBefore w:val="0"/>
        <w:widowControl w:val="0"/>
        <w:numPr>
          <w:ilvl w:val="0"/>
          <w:numId w:val="5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由于乙方原因未按照本合同及其附件规定的时间节点提供服务的，经甲乙双方协调无果的，乙方须向甲方支付违约金（逾期天数*人天单价*2）。由于甲方原因造成乙方逾期提供服务的，乙方不承担违约责任。</w:t>
      </w:r>
    </w:p>
    <w:p>
      <w:pPr>
        <w:keepNext w:val="0"/>
        <w:keepLines w:val="0"/>
        <w:pageBreakBefore w:val="0"/>
        <w:widowControl w:val="0"/>
        <w:numPr>
          <w:ilvl w:val="0"/>
          <w:numId w:val="5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乙方未按照双方的约定提供合格服务的，甲方有权按照本合同第六条“服务考核”条款执行扣款。</w:t>
      </w:r>
    </w:p>
    <w:p>
      <w:pPr>
        <w:keepNext w:val="0"/>
        <w:keepLines w:val="0"/>
        <w:pageBreakBefore w:val="0"/>
        <w:widowControl w:val="0"/>
        <w:numPr>
          <w:ilvl w:val="0"/>
          <w:numId w:val="5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 xml:space="preserve">由于乙方未按照本合同及其附件的要求履行服务或服务未达到招标文件、合同及附件的要求而给甲方造成任何损失的，以及由于乙方人员故意或过失造成的工作内容瑕疵对甲方生产运营造及相关系统软件成不良影响的，乙方均须承担一切赔偿责任。 </w:t>
      </w:r>
    </w:p>
    <w:p>
      <w:pPr>
        <w:keepNext w:val="0"/>
        <w:keepLines w:val="0"/>
        <w:pageBreakBefore w:val="0"/>
        <w:widowControl w:val="0"/>
        <w:numPr>
          <w:ilvl w:val="0"/>
          <w:numId w:val="5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若乙方提供发票出现税务问题时，乙方应承担赔偿责任，包括但不限于税款、滞纳金、罚款及其相关的损失。</w:t>
      </w:r>
    </w:p>
    <w:p>
      <w:pPr>
        <w:pStyle w:val="76"/>
        <w:keepNext w:val="0"/>
        <w:keepLines w:val="0"/>
        <w:pageBreakBefore w:val="0"/>
        <w:widowControl w:val="0"/>
        <w:numPr>
          <w:ilvl w:val="0"/>
          <w:numId w:val="2"/>
        </w:numPr>
        <w:kinsoku/>
        <w:wordWrap/>
        <w:overflowPunct/>
        <w:topLinePunct w:val="0"/>
        <w:autoSpaceDE/>
        <w:autoSpaceDN/>
        <w:bidi w:val="0"/>
        <w:adjustRightInd/>
        <w:snapToGrid/>
        <w:ind w:left="420" w:hanging="420"/>
        <w:textAlignment w:val="auto"/>
      </w:pPr>
      <w:r>
        <w:rPr>
          <w:rFonts w:hint="eastAsia"/>
          <w:highlight w:val="yellow"/>
          <w:lang w:val="en-US" w:eastAsia="zh-CN"/>
        </w:rPr>
        <w:t>争议解决方式</w:t>
      </w:r>
    </w:p>
    <w:p>
      <w:pPr>
        <w:bidi w:val="0"/>
      </w:pPr>
      <w:r>
        <w:rPr>
          <w:rFonts w:hint="eastAsia" w:ascii="宋体" w:hAnsi="宋体" w:eastAsia="宋体" w:cs="宋体"/>
          <w:b w:val="0"/>
          <w:bCs w:val="0"/>
          <w:kern w:val="2"/>
          <w:sz w:val="21"/>
          <w:szCs w:val="21"/>
          <w:highlight w:val="none"/>
          <w:lang w:val="en-US" w:eastAsia="zh-CN" w:bidi="ar-SA"/>
        </w:rPr>
        <w:t>因本合同引起的任何争议，双方应友好协商解决。协商和调解都无法解决，根据合同约定的争议解决条款，启动仲裁或诉讼程序</w:t>
      </w:r>
    </w:p>
    <w:p>
      <w:pPr>
        <w:bidi w:val="0"/>
      </w:pPr>
    </w:p>
    <w:p>
      <w:pPr>
        <w:bidi w:val="0"/>
      </w:pPr>
    </w:p>
    <w:p>
      <w:pPr>
        <w:bidi w:val="0"/>
        <w:rPr>
          <w:rFonts w:hint="eastAsia"/>
        </w:rPr>
      </w:pPr>
      <w:bookmarkStart w:id="66" w:name="_Toc47976615"/>
      <w:bookmarkStart w:id="67" w:name="_Toc17503"/>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75"/>
      </w:pPr>
      <w:r>
        <w:rPr>
          <w:rFonts w:hint="eastAsia"/>
        </w:rPr>
        <w:t>第</w:t>
      </w:r>
      <w:r>
        <w:rPr>
          <w:rFonts w:hint="eastAsia"/>
          <w:lang w:val="en-US" w:eastAsia="zh-CN"/>
        </w:rPr>
        <w:t>四</w:t>
      </w:r>
      <w:r>
        <w:rPr>
          <w:rFonts w:hint="eastAsia"/>
        </w:rPr>
        <w:t>部分　</w:t>
      </w:r>
      <w:bookmarkEnd w:id="66"/>
      <w:r>
        <w:rPr>
          <w:rFonts w:hint="eastAsia"/>
        </w:rPr>
        <w:t>投标文件附件</w:t>
      </w:r>
      <w:bookmarkEnd w:id="67"/>
    </w:p>
    <w:p>
      <w:pPr>
        <w:pStyle w:val="75"/>
        <w:jc w:val="left"/>
        <w:rPr>
          <w:rFonts w:hint="eastAsia" w:ascii="宋体" w:hAnsi="宋体" w:eastAsia="宋体" w:cs="宋体"/>
          <w:sz w:val="32"/>
          <w:szCs w:val="32"/>
          <w:highlight w:val="yellow"/>
        </w:rPr>
      </w:pPr>
      <w:bookmarkStart w:id="68" w:name="_Toc4225"/>
      <w:bookmarkStart w:id="69" w:name="_Toc47976616"/>
      <w:bookmarkStart w:id="70" w:name="_Toc30701"/>
      <w:bookmarkStart w:id="71" w:name="_Toc3748"/>
      <w:bookmarkStart w:id="72" w:name="_Toc3434"/>
      <w:r>
        <w:rPr>
          <w:rFonts w:hint="eastAsia" w:ascii="宋体" w:hAnsi="宋体" w:eastAsia="宋体" w:cs="宋体"/>
          <w:sz w:val="32"/>
          <w:szCs w:val="32"/>
          <w:highlight w:val="yellow"/>
        </w:rPr>
        <w:t>附件</w:t>
      </w:r>
      <w:bookmarkEnd w:id="68"/>
      <w:bookmarkEnd w:id="69"/>
      <w:r>
        <w:rPr>
          <w:rFonts w:hint="eastAsia" w:ascii="宋体" w:hAnsi="宋体" w:eastAsia="宋体" w:cs="宋体"/>
          <w:sz w:val="32"/>
          <w:szCs w:val="32"/>
          <w:highlight w:val="yellow"/>
        </w:rPr>
        <w:t>1</w:t>
      </w:r>
      <w:bookmarkEnd w:id="70"/>
      <w:bookmarkEnd w:id="71"/>
      <w:bookmarkEnd w:id="72"/>
    </w:p>
    <w:p>
      <w:pPr>
        <w:pStyle w:val="76"/>
        <w:numPr>
          <w:ilvl w:val="0"/>
          <w:numId w:val="0"/>
        </w:numPr>
        <w:jc w:val="center"/>
        <w:rPr>
          <w:rFonts w:hint="eastAsia" w:cs="Times New Roman"/>
        </w:rPr>
      </w:pPr>
      <w:r>
        <w:rPr>
          <w:rFonts w:hint="eastAsia" w:cs="Times New Roman"/>
        </w:rPr>
        <w:t>投标函</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致：中国重汽集团</w:t>
      </w:r>
      <w:r>
        <w:rPr>
          <w:rFonts w:hint="eastAsia" w:ascii="宋体" w:hAnsi="宋体"/>
          <w:color w:val="000000"/>
          <w:sz w:val="24"/>
          <w:szCs w:val="24"/>
          <w:u w:val="single"/>
        </w:rPr>
        <w:t xml:space="preserve">            </w:t>
      </w:r>
      <w:r>
        <w:rPr>
          <w:rFonts w:hint="eastAsia" w:ascii="宋体" w:hAnsi="宋体"/>
          <w:color w:val="000000"/>
          <w:sz w:val="24"/>
          <w:szCs w:val="24"/>
        </w:rPr>
        <w:t>有限公司：</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提交纸质投标文件：资质证明文件、商务文件和技术文件正本</w:t>
      </w:r>
      <w:r>
        <w:rPr>
          <w:rFonts w:hint="eastAsia" w:ascii="宋体" w:hAnsi="宋体"/>
          <w:color w:val="000000"/>
          <w:sz w:val="24"/>
          <w:szCs w:val="24"/>
          <w:u w:val="single"/>
        </w:rPr>
        <w:t xml:space="preserve">  </w:t>
      </w:r>
      <w:r>
        <w:rPr>
          <w:rFonts w:hint="eastAsia" w:ascii="宋体" w:hAnsi="宋体"/>
          <w:color w:val="000000"/>
          <w:sz w:val="24"/>
          <w:szCs w:val="24"/>
        </w:rPr>
        <w:t>份、副本</w:t>
      </w:r>
      <w:r>
        <w:rPr>
          <w:rFonts w:hint="eastAsia" w:ascii="宋体" w:hAnsi="宋体"/>
          <w:color w:val="000000"/>
          <w:sz w:val="24"/>
          <w:szCs w:val="24"/>
          <w:u w:val="single"/>
        </w:rPr>
        <w:t xml:space="preserve">  </w:t>
      </w:r>
      <w:r>
        <w:rPr>
          <w:rFonts w:hint="eastAsia" w:ascii="宋体" w:hAnsi="宋体"/>
          <w:color w:val="000000"/>
          <w:sz w:val="24"/>
          <w:szCs w:val="24"/>
        </w:rPr>
        <w:t>份；电子版投标文件一份。</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据此函，签字代表宣布同意如下：</w:t>
      </w:r>
    </w:p>
    <w:p>
      <w:pPr>
        <w:spacing w:line="360" w:lineRule="auto"/>
        <w:ind w:firstLine="480" w:firstLineChars="200"/>
        <w:rPr>
          <w:rFonts w:hint="eastAsia"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w:t>
      </w:r>
      <w:r>
        <w:rPr>
          <w:rFonts w:hint="eastAsia" w:ascii="宋体" w:hAnsi="宋体"/>
          <w:bCs/>
          <w:color w:val="000000"/>
          <w:sz w:val="24"/>
          <w:szCs w:val="24"/>
          <w:u w:val="single"/>
        </w:rPr>
        <w:t xml:space="preserve"> </w:t>
      </w:r>
      <w:r>
        <w:rPr>
          <w:rFonts w:hint="eastAsia" w:ascii="宋体" w:hAnsi="宋体"/>
          <w:color w:val="000000"/>
          <w:sz w:val="24"/>
          <w:szCs w:val="24"/>
        </w:rPr>
        <w:t>个日历日。</w:t>
      </w:r>
    </w:p>
    <w:p>
      <w:pPr>
        <w:spacing w:line="360" w:lineRule="auto"/>
        <w:ind w:firstLine="480" w:firstLineChars="200"/>
        <w:rPr>
          <w:rFonts w:hint="eastAsia"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pPr>
        <w:spacing w:line="360" w:lineRule="auto"/>
        <w:ind w:firstLine="480" w:firstLineChars="200"/>
        <w:rPr>
          <w:rFonts w:hint="eastAsia"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pPr>
        <w:rPr>
          <w:rFonts w:ascii="黑体" w:hAnsi="Calibri" w:eastAsia="黑体"/>
          <w:color w:val="000000"/>
          <w:sz w:val="24"/>
          <w:szCs w:val="24"/>
        </w:rPr>
      </w:pPr>
    </w:p>
    <w:p>
      <w:pPr>
        <w:rPr>
          <w:rFonts w:ascii="宋体"/>
          <w:b/>
          <w:color w:val="000000"/>
          <w:szCs w:val="24"/>
        </w:rPr>
      </w:pPr>
    </w:p>
    <w:p>
      <w:pPr>
        <w:pStyle w:val="75"/>
        <w:bidi w:val="0"/>
        <w:jc w:val="left"/>
        <w:rPr>
          <w:rFonts w:hint="eastAsia"/>
          <w:highlight w:val="yellow"/>
        </w:rPr>
      </w:pPr>
      <w:bookmarkStart w:id="73" w:name="_Toc47976618"/>
      <w:bookmarkStart w:id="74" w:name="_Toc29366865"/>
      <w:bookmarkStart w:id="75" w:name="_Toc29366869"/>
      <w:r>
        <w:rPr>
          <w:rFonts w:hint="eastAsia"/>
          <w:highlight w:val="yellow"/>
        </w:rPr>
        <w:t>附件2</w:t>
      </w:r>
    </w:p>
    <w:bookmarkEnd w:id="73"/>
    <w:p>
      <w:pPr>
        <w:pStyle w:val="76"/>
        <w:numPr>
          <w:ilvl w:val="0"/>
          <w:numId w:val="0"/>
        </w:numPr>
        <w:jc w:val="center"/>
        <w:rPr>
          <w:rFonts w:hint="eastAsia" w:cs="Times New Roman"/>
        </w:rPr>
      </w:pPr>
      <w:r>
        <w:rPr>
          <w:rFonts w:hint="eastAsia" w:cs="Times New Roman"/>
        </w:rPr>
        <w:t>法定代表人授权委托书</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全权代表无转委权。特此委托。</w:t>
      </w:r>
    </w:p>
    <w:tbl>
      <w:tblPr>
        <w:tblStyle w:val="34"/>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spacing w:line="360" w:lineRule="auto"/>
        <w:ind w:firstLine="4800" w:firstLineChars="2000"/>
        <w:rPr>
          <w:rFonts w:hint="eastAsia" w:ascii="宋体" w:hAnsi="宋体" w:cs="宋体"/>
          <w:sz w:val="24"/>
          <w:szCs w:val="21"/>
        </w:rPr>
      </w:pPr>
    </w:p>
    <w:p>
      <w:pPr>
        <w:spacing w:line="360" w:lineRule="auto"/>
        <w:ind w:firstLine="4800" w:firstLineChars="2000"/>
        <w:rPr>
          <w:rFonts w:hint="eastAsia" w:ascii="宋体" w:hAnsi="宋体" w:cs="宋体"/>
          <w:sz w:val="24"/>
          <w:szCs w:val="21"/>
        </w:rPr>
      </w:pPr>
    </w:p>
    <w:p>
      <w:pPr>
        <w:spacing w:line="360" w:lineRule="auto"/>
        <w:ind w:firstLine="4800" w:firstLineChars="2000"/>
        <w:rPr>
          <w:rFonts w:hint="eastAsia" w:ascii="宋体" w:hAnsi="宋体" w:cs="宋体"/>
          <w:sz w:val="24"/>
          <w:szCs w:val="21"/>
        </w:rPr>
      </w:pPr>
    </w:p>
    <w:p>
      <w:pPr>
        <w:spacing w:line="360" w:lineRule="auto"/>
        <w:ind w:firstLine="4800" w:firstLineChars="2000"/>
        <w:rPr>
          <w:rFonts w:hint="eastAsia" w:ascii="宋体" w:hAnsi="宋体" w:cs="宋体"/>
          <w:sz w:val="24"/>
          <w:szCs w:val="21"/>
        </w:rPr>
      </w:pPr>
    </w:p>
    <w:p>
      <w:pPr>
        <w:pStyle w:val="16"/>
      </w:pPr>
    </w:p>
    <w:p>
      <w:pPr>
        <w:spacing w:line="360" w:lineRule="auto"/>
        <w:rPr>
          <w:rFonts w:hint="eastAsia" w:ascii="宋体" w:hAnsi="宋体" w:cs="宋体"/>
          <w:sz w:val="24"/>
          <w:szCs w:val="21"/>
        </w:rPr>
      </w:pPr>
    </w:p>
    <w:p>
      <w:pPr>
        <w:pStyle w:val="12"/>
        <w:rPr>
          <w:rFonts w:hint="eastAsia"/>
        </w:rPr>
      </w:pPr>
    </w:p>
    <w:bookmarkEnd w:id="74"/>
    <w:bookmarkEnd w:id="75"/>
    <w:p>
      <w:pPr>
        <w:pStyle w:val="75"/>
        <w:bidi w:val="0"/>
        <w:jc w:val="left"/>
        <w:rPr>
          <w:rFonts w:hint="eastAsia"/>
          <w:highlight w:val="yellow"/>
        </w:rPr>
      </w:pPr>
      <w:r>
        <w:rPr>
          <w:rFonts w:hint="eastAsia"/>
          <w:highlight w:val="yellow"/>
        </w:rPr>
        <w:t>附件3</w:t>
      </w:r>
    </w:p>
    <w:p>
      <w:pPr>
        <w:pStyle w:val="76"/>
        <w:numPr>
          <w:ilvl w:val="0"/>
          <w:numId w:val="0"/>
        </w:numPr>
        <w:jc w:val="center"/>
        <w:rPr>
          <w:rFonts w:hint="eastAsia" w:cs="Times New Roman"/>
        </w:rPr>
      </w:pPr>
      <w:r>
        <w:rPr>
          <w:rFonts w:hint="eastAsia" w:cs="Times New Roman"/>
        </w:rPr>
        <w:t>开标一览表</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                          </w:t>
      </w:r>
      <w:r>
        <w:rPr>
          <w:rFonts w:ascii="宋体" w:hAnsi="宋体"/>
          <w:color w:val="000000"/>
          <w:sz w:val="24"/>
          <w:szCs w:val="24"/>
        </w:rPr>
        <w:t xml:space="preserve">                                                        </w:t>
      </w:r>
    </w:p>
    <w:tbl>
      <w:tblPr>
        <w:tblStyle w:val="34"/>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b/>
              </w:rPr>
            </w:pPr>
            <w:r>
              <w:rPr>
                <w:rFonts w:hint="eastAsia"/>
                <w:b/>
              </w:rPr>
              <w:t>序号</w:t>
            </w:r>
          </w:p>
        </w:tc>
        <w:tc>
          <w:tcPr>
            <w:tcW w:w="1518" w:type="dxa"/>
            <w:vAlign w:val="center"/>
          </w:tcPr>
          <w:p>
            <w:pPr>
              <w:jc w:val="center"/>
              <w:rPr>
                <w:b/>
              </w:rPr>
            </w:pPr>
            <w:r>
              <w:rPr>
                <w:rFonts w:hint="eastAsia"/>
                <w:b/>
              </w:rPr>
              <w:t>货物名称</w:t>
            </w:r>
          </w:p>
        </w:tc>
        <w:tc>
          <w:tcPr>
            <w:tcW w:w="848" w:type="dxa"/>
            <w:vAlign w:val="center"/>
          </w:tcPr>
          <w:p>
            <w:pPr>
              <w:jc w:val="center"/>
              <w:rPr>
                <w:b/>
              </w:rPr>
            </w:pPr>
            <w:r>
              <w:rPr>
                <w:rFonts w:hint="eastAsia"/>
                <w:b/>
              </w:rPr>
              <w:t>数量</w:t>
            </w:r>
          </w:p>
        </w:tc>
        <w:tc>
          <w:tcPr>
            <w:tcW w:w="2270" w:type="dxa"/>
            <w:vAlign w:val="center"/>
          </w:tcPr>
          <w:p>
            <w:pPr>
              <w:jc w:val="center"/>
              <w:rPr>
                <w:b/>
              </w:rPr>
            </w:pPr>
            <w:r>
              <w:rPr>
                <w:rFonts w:hint="eastAsia"/>
                <w:b/>
              </w:rPr>
              <w:t>投标总价</w:t>
            </w:r>
            <w:r>
              <w:rPr>
                <w:rFonts w:hint="eastAsia" w:ascii="等线" w:hAnsi="等线" w:eastAsia="等线"/>
                <w:b/>
              </w:rPr>
              <w:t>（元）</w:t>
            </w:r>
          </w:p>
        </w:tc>
        <w:tc>
          <w:tcPr>
            <w:tcW w:w="1100" w:type="dxa"/>
            <w:vAlign w:val="center"/>
          </w:tcPr>
          <w:p>
            <w:pPr>
              <w:jc w:val="center"/>
              <w:rPr>
                <w:b/>
              </w:rPr>
            </w:pPr>
            <w:r>
              <w:rPr>
                <w:rFonts w:hint="eastAsia"/>
                <w:b/>
              </w:rPr>
              <w:t>XX</w:t>
            </w:r>
          </w:p>
        </w:tc>
        <w:tc>
          <w:tcPr>
            <w:tcW w:w="1243" w:type="dxa"/>
            <w:vAlign w:val="center"/>
          </w:tcPr>
          <w:p>
            <w:pPr>
              <w:jc w:val="center"/>
              <w:rPr>
                <w:b/>
              </w:rPr>
            </w:pPr>
            <w:r>
              <w:rPr>
                <w:rFonts w:hint="eastAsia"/>
                <w:b/>
              </w:rPr>
              <w:t>XX</w:t>
            </w:r>
          </w:p>
        </w:tc>
        <w:tc>
          <w:tcPr>
            <w:tcW w:w="705" w:type="dxa"/>
            <w:vAlign w:val="center"/>
          </w:tcPr>
          <w:p>
            <w:pPr>
              <w:jc w:val="center"/>
              <w:rPr>
                <w:b/>
              </w:rPr>
            </w:pPr>
            <w:r>
              <w:rPr>
                <w:rFonts w:hint="eastAsia"/>
                <w:b/>
              </w:rPr>
              <w:t>XX</w:t>
            </w:r>
          </w:p>
        </w:tc>
        <w:tc>
          <w:tcPr>
            <w:tcW w:w="699" w:type="dxa"/>
            <w:vAlign w:val="center"/>
          </w:tcPr>
          <w:p>
            <w:pPr>
              <w:jc w:val="center"/>
              <w:rPr>
                <w:rFonts w:hint="eastAsia" w:ascii="等线" w:hAnsi="等线" w:eastAsia="等线"/>
                <w:b/>
              </w:rPr>
            </w:pPr>
            <w:r>
              <w:rPr>
                <w:rFonts w:hint="eastAsia"/>
                <w:b/>
              </w:rPr>
              <w:t>商务条款是否偏离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b/>
              </w:rPr>
            </w:pPr>
          </w:p>
        </w:tc>
        <w:tc>
          <w:tcPr>
            <w:tcW w:w="1518" w:type="dxa"/>
            <w:vAlign w:val="center"/>
          </w:tcPr>
          <w:p>
            <w:pPr>
              <w:jc w:val="center"/>
              <w:rPr>
                <w:b/>
              </w:rPr>
            </w:pPr>
          </w:p>
        </w:tc>
        <w:tc>
          <w:tcPr>
            <w:tcW w:w="848" w:type="dxa"/>
            <w:vAlign w:val="center"/>
          </w:tcPr>
          <w:p>
            <w:pPr>
              <w:jc w:val="center"/>
              <w:rPr>
                <w:b/>
              </w:rPr>
            </w:pPr>
          </w:p>
        </w:tc>
        <w:tc>
          <w:tcPr>
            <w:tcW w:w="2270" w:type="dxa"/>
            <w:vAlign w:val="center"/>
          </w:tcPr>
          <w:p>
            <w:pPr>
              <w:jc w:val="left"/>
              <w:rPr>
                <w:rFonts w:hint="eastAsia" w:ascii="等线" w:hAnsi="等线" w:eastAsia="等线"/>
                <w:b/>
              </w:rPr>
            </w:pPr>
            <w:r>
              <w:rPr>
                <w:rFonts w:hint="eastAsia" w:ascii="等线" w:hAnsi="等线" w:eastAsia="等线"/>
                <w:b/>
              </w:rPr>
              <w:t>不含税价：</w:t>
            </w:r>
          </w:p>
          <w:p>
            <w:pPr>
              <w:jc w:val="left"/>
              <w:rPr>
                <w:rFonts w:hint="eastAsia"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pPr>
              <w:jc w:val="left"/>
              <w:rPr>
                <w:b/>
              </w:rPr>
            </w:pPr>
            <w:r>
              <w:rPr>
                <w:rFonts w:hint="eastAsia" w:ascii="等线" w:hAnsi="等线" w:eastAsia="等线"/>
                <w:b/>
              </w:rPr>
              <w:t>税率：</w:t>
            </w:r>
          </w:p>
        </w:tc>
        <w:tc>
          <w:tcPr>
            <w:tcW w:w="1100" w:type="dxa"/>
            <w:vAlign w:val="center"/>
          </w:tcPr>
          <w:p>
            <w:pPr>
              <w:jc w:val="center"/>
              <w:rPr>
                <w:b/>
              </w:rPr>
            </w:pPr>
          </w:p>
        </w:tc>
        <w:tc>
          <w:tcPr>
            <w:tcW w:w="1243" w:type="dxa"/>
            <w:vAlign w:val="center"/>
          </w:tcPr>
          <w:p>
            <w:pPr>
              <w:jc w:val="center"/>
              <w:rPr>
                <w:b/>
              </w:rPr>
            </w:pPr>
          </w:p>
        </w:tc>
        <w:tc>
          <w:tcPr>
            <w:tcW w:w="705" w:type="dxa"/>
            <w:vAlign w:val="center"/>
          </w:tcPr>
          <w:p>
            <w:pPr>
              <w:jc w:val="center"/>
              <w:rPr>
                <w:b/>
              </w:rPr>
            </w:pPr>
          </w:p>
        </w:tc>
        <w:tc>
          <w:tcPr>
            <w:tcW w:w="699" w:type="dxa"/>
            <w:vAlign w:val="center"/>
          </w:tcPr>
          <w:p>
            <w:pPr>
              <w:jc w:val="center"/>
              <w:rPr>
                <w:b/>
              </w:rPr>
            </w:pPr>
          </w:p>
        </w:tc>
      </w:tr>
    </w:tbl>
    <w:p>
      <w:pPr>
        <w:rPr>
          <w:rFonts w:ascii="宋体" w:hAnsi="Arial"/>
          <w:sz w:val="24"/>
          <w:szCs w:val="24"/>
        </w:rPr>
      </w:pPr>
    </w:p>
    <w:p>
      <w:pPr>
        <w:spacing w:line="400" w:lineRule="exact"/>
        <w:rPr>
          <w:rFonts w:ascii="宋体" w:hAnsi="Calibri"/>
          <w:szCs w:val="21"/>
        </w:rPr>
      </w:pPr>
      <w:r>
        <w:rPr>
          <w:rFonts w:hint="eastAsia" w:ascii="宋体" w:hAnsi="宋体"/>
          <w:b/>
          <w:bCs/>
          <w:szCs w:val="21"/>
        </w:rPr>
        <w:t>注：</w:t>
      </w:r>
    </w:p>
    <w:p>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pPr>
        <w:spacing w:line="300" w:lineRule="auto"/>
        <w:rPr>
          <w:rFonts w:hint="eastAsia" w:ascii="宋体" w:hAnsi="宋体" w:cs="宋体"/>
          <w:b/>
        </w:rPr>
      </w:pPr>
      <w:r>
        <w:rPr>
          <w:rFonts w:hint="eastAsia" w:ascii="宋体" w:hAnsi="宋体" w:cs="宋体"/>
          <w:b/>
        </w:rPr>
        <w:t>2.需写明含税价、不含税价格、税率。</w:t>
      </w:r>
    </w:p>
    <w:p>
      <w:pPr>
        <w:pStyle w:val="16"/>
        <w:rPr>
          <w:rFonts w:hint="eastAsia" w:hAnsi="宋体"/>
          <w:b/>
          <w:bCs/>
          <w:szCs w:val="21"/>
        </w:rPr>
      </w:pPr>
      <w:r>
        <w:rPr>
          <w:rFonts w:hint="eastAsia" w:hAnsi="宋体" w:cs="宋体"/>
          <w:b/>
        </w:rPr>
        <w:t>3.</w:t>
      </w:r>
      <w:r>
        <w:rPr>
          <w:rFonts w:hint="eastAsia" w:hAnsi="宋体"/>
          <w:b/>
          <w:bCs/>
          <w:szCs w:val="21"/>
        </w:rPr>
        <w:t>投标总价包括</w:t>
      </w:r>
      <w:r>
        <w:rPr>
          <w:rFonts w:hint="eastAsia" w:hAnsi="宋体"/>
          <w:b/>
          <w:bCs/>
          <w:szCs w:val="21"/>
          <w:u w:val="single"/>
        </w:rPr>
        <w:t xml:space="preserve">                                             </w:t>
      </w:r>
      <w:r>
        <w:rPr>
          <w:rFonts w:hint="eastAsia" w:hAnsi="宋体"/>
          <w:b/>
          <w:bCs/>
          <w:szCs w:val="21"/>
        </w:rPr>
        <w:t>全部费用。</w:t>
      </w:r>
    </w:p>
    <w:p>
      <w:pPr>
        <w:pStyle w:val="16"/>
        <w:rPr>
          <w:rFonts w:hint="eastAsia" w:hAnsi="宋体"/>
          <w:b/>
          <w:bCs/>
          <w:szCs w:val="21"/>
        </w:rPr>
      </w:pPr>
      <w:r>
        <w:rPr>
          <w:rFonts w:hint="eastAsia" w:hAnsi="宋体"/>
          <w:b/>
          <w:bCs/>
          <w:szCs w:val="21"/>
        </w:rPr>
        <w:t>4</w:t>
      </w:r>
      <w:r>
        <w:rPr>
          <w:rFonts w:hint="eastAsia" w:hAnsi="宋体" w:cs="宋体"/>
          <w:b/>
          <w:highlight w:val="cyan"/>
        </w:rPr>
        <w:t>.其他</w:t>
      </w:r>
      <w:r>
        <w:rPr>
          <w:rFonts w:hint="eastAsia" w:hAnsi="宋体" w:cs="宋体"/>
          <w:b/>
          <w:color w:val="FF0000"/>
          <w:sz w:val="18"/>
          <w:szCs w:val="18"/>
        </w:rPr>
        <w:t>（注：若无，该条删除。正式标书删除红字内容）</w:t>
      </w:r>
    </w:p>
    <w:p>
      <w:pPr>
        <w:pStyle w:val="16"/>
        <w:rPr>
          <w:rFonts w:hint="eastAsia" w:hAnsi="宋体"/>
          <w:b/>
          <w:bCs/>
          <w:szCs w:val="21"/>
          <w:highlight w:val="yellow"/>
        </w:rPr>
      </w:pPr>
    </w:p>
    <w:p>
      <w:pPr>
        <w:pStyle w:val="16"/>
        <w:rPr>
          <w:rFonts w:hint="eastAsia" w:hAnsi="宋体"/>
          <w:b/>
          <w:bCs/>
          <w:szCs w:val="21"/>
          <w:highlight w:val="yellow"/>
        </w:rPr>
      </w:pPr>
    </w:p>
    <w:p>
      <w:pPr>
        <w:spacing w:line="660" w:lineRule="exact"/>
        <w:jc w:val="center"/>
        <w:rPr>
          <w:rFonts w:ascii="宋体" w:hAnsi="Calibri"/>
          <w:sz w:val="24"/>
        </w:rPr>
      </w:pPr>
      <w:r>
        <w:rPr>
          <w:rFonts w:hint="eastAsia" w:ascii="宋体" w:hAnsi="宋体"/>
          <w:sz w:val="24"/>
        </w:rPr>
        <w:t xml:space="preserve">                        投标人：（盖章）</w:t>
      </w:r>
    </w:p>
    <w:p>
      <w:pPr>
        <w:spacing w:line="660" w:lineRule="exact"/>
        <w:jc w:val="right"/>
        <w:rPr>
          <w:rFonts w:ascii="宋体" w:hAnsi="Calibri"/>
          <w:sz w:val="24"/>
        </w:rPr>
      </w:pPr>
      <w:r>
        <w:rPr>
          <w:rFonts w:hint="eastAsia" w:ascii="宋体" w:hAnsi="宋体"/>
          <w:sz w:val="24"/>
        </w:rPr>
        <w:t>法定代表人（委托代理人）：（签字）</w:t>
      </w:r>
    </w:p>
    <w:p>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pStyle w:val="75"/>
        <w:bidi w:val="0"/>
        <w:jc w:val="left"/>
        <w:rPr>
          <w:rFonts w:hint="eastAsia" w:cs="Times New Roman"/>
          <w:highlight w:val="yellow"/>
          <w:lang w:val="en-US" w:eastAsia="zh-CN"/>
        </w:rPr>
      </w:pPr>
      <w:r>
        <w:rPr>
          <w:rFonts w:hint="eastAsia" w:cs="Times New Roman"/>
          <w:highlight w:val="yellow"/>
        </w:rPr>
        <w:t>附件</w:t>
      </w:r>
      <w:r>
        <w:rPr>
          <w:rFonts w:hint="eastAsia" w:cs="Times New Roman"/>
          <w:highlight w:val="yellow"/>
          <w:lang w:val="en-US" w:eastAsia="zh-CN"/>
        </w:rPr>
        <w:t>4</w:t>
      </w:r>
    </w:p>
    <w:p>
      <w:pPr>
        <w:pStyle w:val="76"/>
        <w:numPr>
          <w:ilvl w:val="0"/>
          <w:numId w:val="0"/>
        </w:numPr>
        <w:jc w:val="center"/>
        <w:rPr>
          <w:rFonts w:hint="eastAsia"/>
        </w:rPr>
      </w:pPr>
      <w:r>
        <w:rPr>
          <w:rFonts w:hint="eastAsia"/>
        </w:rPr>
        <w:t>投标报名表</w:t>
      </w:r>
    </w:p>
    <w:p>
      <w:pPr>
        <w:ind w:firstLine="120" w:firstLineChars="50"/>
        <w:rPr>
          <w:sz w:val="24"/>
          <w:szCs w:val="22"/>
        </w:rPr>
      </w:pPr>
      <w:r>
        <w:rPr>
          <w:rFonts w:hint="eastAsia" w:ascii="Calibri" w:hAnsi="Calibri" w:eastAsia="宋体" w:cs="宋体"/>
          <w:sz w:val="24"/>
          <w:szCs w:val="22"/>
        </w:rPr>
        <w:t>公章：</w:t>
      </w:r>
    </w:p>
    <w:tbl>
      <w:tblPr>
        <w:tblStyle w:val="34"/>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1590"/>
        <w:gridCol w:w="754"/>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r>
              <w:rPr>
                <w:rFonts w:hint="eastAsia" w:ascii="Calibri" w:hAnsi="Calibri" w:eastAsia="宋体" w:cs="宋体"/>
                <w:sz w:val="24"/>
                <w:szCs w:val="22"/>
              </w:rPr>
              <w:t>项目名称</w:t>
            </w:r>
          </w:p>
        </w:tc>
        <w:tc>
          <w:tcPr>
            <w:tcW w:w="694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20" w:firstLineChars="200"/>
              <w:jc w:val="center"/>
              <w:rPr>
                <w:rFonts w:ascii="宋体" w:hAnsi="Courier New"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r>
              <w:rPr>
                <w:rFonts w:hint="eastAsia" w:ascii="Calibri" w:hAnsi="Calibri" w:eastAsia="宋体" w:cs="宋体"/>
                <w:sz w:val="24"/>
                <w:szCs w:val="22"/>
              </w:rPr>
              <w:t>投标单位</w:t>
            </w:r>
          </w:p>
          <w:p>
            <w:pPr>
              <w:jc w:val="center"/>
              <w:rPr>
                <w:sz w:val="24"/>
                <w:szCs w:val="22"/>
              </w:rPr>
            </w:pPr>
            <w:r>
              <w:rPr>
                <w:rFonts w:hint="eastAsia" w:ascii="Calibri" w:hAnsi="Calibri" w:eastAsia="宋体" w:cs="宋体"/>
                <w:sz w:val="24"/>
                <w:szCs w:val="22"/>
              </w:rPr>
              <w:t>（全称）</w:t>
            </w:r>
          </w:p>
        </w:tc>
        <w:tc>
          <w:tcPr>
            <w:tcW w:w="694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r>
              <w:rPr>
                <w:rFonts w:hint="eastAsia" w:ascii="Calibri" w:hAnsi="Calibri" w:eastAsia="宋体" w:cs="宋体"/>
                <w:sz w:val="24"/>
                <w:szCs w:val="22"/>
              </w:rPr>
              <w:t>投标内容</w:t>
            </w:r>
          </w:p>
        </w:tc>
        <w:tc>
          <w:tcPr>
            <w:tcW w:w="694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r>
              <w:rPr>
                <w:rFonts w:hint="eastAsia" w:ascii="Calibri" w:hAnsi="Calibri" w:eastAsia="宋体" w:cs="宋体"/>
                <w:sz w:val="24"/>
                <w:szCs w:val="22"/>
              </w:rPr>
              <w:t>项目负责人</w:t>
            </w:r>
          </w:p>
        </w:tc>
        <w:tc>
          <w:tcPr>
            <w:tcW w:w="23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r>
              <w:rPr>
                <w:rFonts w:hint="eastAsia" w:ascii="Calibri" w:hAnsi="Calibri" w:eastAsia="宋体" w:cs="宋体"/>
                <w:sz w:val="24"/>
                <w:szCs w:val="22"/>
              </w:rPr>
              <w:t>联系电话</w:t>
            </w:r>
          </w:p>
        </w:tc>
        <w:tc>
          <w:tcPr>
            <w:tcW w:w="23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r>
              <w:rPr>
                <w:rFonts w:hint="eastAsia" w:ascii="Calibri" w:hAnsi="Calibri" w:eastAsia="宋体" w:cs="宋体"/>
                <w:sz w:val="24"/>
                <w:szCs w:val="22"/>
              </w:rPr>
              <w:t>公司电话</w:t>
            </w:r>
          </w:p>
        </w:tc>
        <w:tc>
          <w:tcPr>
            <w:tcW w:w="234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p>
          <w:p>
            <w:pPr>
              <w:jc w:val="center"/>
              <w:rPr>
                <w:sz w:val="24"/>
                <w:szCs w:val="22"/>
              </w:rPr>
            </w:pPr>
          </w:p>
        </w:tc>
        <w:tc>
          <w:tcPr>
            <w:tcW w:w="227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r>
              <w:rPr>
                <w:rFonts w:hint="eastAsia" w:ascii="Calibri" w:hAnsi="Calibri" w:eastAsia="宋体" w:cs="宋体"/>
                <w:sz w:val="24"/>
                <w:szCs w:val="22"/>
              </w:rPr>
              <w:t>传真</w:t>
            </w:r>
          </w:p>
        </w:tc>
        <w:tc>
          <w:tcPr>
            <w:tcW w:w="232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r>
              <w:rPr>
                <w:rFonts w:ascii="Calibri" w:hAnsi="Calibri" w:eastAsia="宋体" w:cs="Times New Roman"/>
                <w:sz w:val="24"/>
                <w:szCs w:val="22"/>
              </w:rPr>
              <w:t>E-mail</w:t>
            </w:r>
          </w:p>
        </w:tc>
        <w:tc>
          <w:tcPr>
            <w:tcW w:w="694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r>
              <w:rPr>
                <w:rFonts w:hint="eastAsia" w:ascii="Calibri" w:hAnsi="Calibri" w:eastAsia="宋体" w:cs="宋体"/>
                <w:sz w:val="24"/>
                <w:szCs w:val="22"/>
              </w:rPr>
              <w:t>报名时间</w:t>
            </w:r>
          </w:p>
        </w:tc>
        <w:tc>
          <w:tcPr>
            <w:tcW w:w="694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szCs w:val="22"/>
              </w:rPr>
            </w:pPr>
            <w:r>
              <w:rPr>
                <w:rFonts w:hint="eastAsia" w:ascii="Calibri" w:hAnsi="Calibri" w:eastAsia="宋体" w:cs="宋体"/>
                <w:sz w:val="24"/>
                <w:szCs w:val="22"/>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984" w:type="dxa"/>
            <w:vMerge w:val="restart"/>
            <w:tcBorders>
              <w:top w:val="single" w:color="auto" w:sz="4" w:space="0"/>
              <w:left w:val="single" w:color="auto" w:sz="4" w:space="0"/>
              <w:right w:val="single" w:color="auto" w:sz="4" w:space="0"/>
            </w:tcBorders>
            <w:shd w:val="clear" w:color="auto" w:fill="auto"/>
            <w:vAlign w:val="center"/>
          </w:tcPr>
          <w:p>
            <w:pPr>
              <w:rPr>
                <w:rFonts w:ascii="Calibri" w:hAnsi="Calibri" w:eastAsia="宋体" w:cs="宋体"/>
                <w:sz w:val="24"/>
                <w:szCs w:val="22"/>
              </w:rPr>
            </w:pPr>
            <w:r>
              <w:rPr>
                <w:rFonts w:hint="eastAsia" w:ascii="Calibri" w:hAnsi="Calibri" w:eastAsia="宋体" w:cs="宋体"/>
                <w:sz w:val="24"/>
                <w:szCs w:val="22"/>
              </w:rPr>
              <w:t>投标保证金退还开户行及账号</w:t>
            </w: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宋体" w:cs="宋体"/>
                <w:sz w:val="24"/>
                <w:szCs w:val="22"/>
              </w:rPr>
            </w:pPr>
            <w:r>
              <w:rPr>
                <w:rFonts w:hint="eastAsia" w:ascii="Calibri" w:hAnsi="Calibri" w:eastAsia="宋体" w:cs="宋体"/>
                <w:sz w:val="24"/>
                <w:szCs w:val="22"/>
              </w:rPr>
              <w:t>单位名称</w:t>
            </w:r>
          </w:p>
        </w:tc>
        <w:tc>
          <w:tcPr>
            <w:tcW w:w="535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宋体" w:cs="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984" w:type="dxa"/>
            <w:vMerge w:val="continue"/>
            <w:tcBorders>
              <w:left w:val="single" w:color="auto" w:sz="4" w:space="0"/>
              <w:right w:val="single" w:color="auto" w:sz="4" w:space="0"/>
            </w:tcBorders>
            <w:shd w:val="clear" w:color="auto" w:fill="auto"/>
            <w:vAlign w:val="center"/>
          </w:tcPr>
          <w:p>
            <w:pPr>
              <w:rPr>
                <w:rFonts w:ascii="Calibri" w:hAnsi="Calibri" w:eastAsia="宋体" w:cs="宋体"/>
                <w:sz w:val="24"/>
                <w:szCs w:val="22"/>
              </w:rPr>
            </w:pP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宋体" w:cs="宋体"/>
                <w:sz w:val="24"/>
                <w:szCs w:val="22"/>
              </w:rPr>
            </w:pPr>
            <w:r>
              <w:rPr>
                <w:rFonts w:hint="eastAsia" w:ascii="Calibri" w:hAnsi="Calibri" w:eastAsia="宋体" w:cs="宋体"/>
                <w:sz w:val="24"/>
                <w:szCs w:val="22"/>
              </w:rPr>
              <w:t>开户行</w:t>
            </w:r>
          </w:p>
        </w:tc>
        <w:tc>
          <w:tcPr>
            <w:tcW w:w="535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宋体" w:cs="宋体"/>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984" w:type="dxa"/>
            <w:vMerge w:val="continue"/>
            <w:tcBorders>
              <w:left w:val="single" w:color="auto" w:sz="4" w:space="0"/>
              <w:bottom w:val="single" w:color="auto" w:sz="4" w:space="0"/>
              <w:right w:val="single" w:color="auto" w:sz="4" w:space="0"/>
            </w:tcBorders>
            <w:shd w:val="clear" w:color="auto" w:fill="auto"/>
            <w:vAlign w:val="center"/>
          </w:tcPr>
          <w:p>
            <w:pPr>
              <w:rPr>
                <w:rFonts w:ascii="Calibri" w:hAnsi="Calibri" w:eastAsia="宋体" w:cs="宋体"/>
                <w:sz w:val="24"/>
                <w:szCs w:val="22"/>
              </w:rPr>
            </w:pP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宋体" w:cs="宋体"/>
                <w:sz w:val="24"/>
                <w:szCs w:val="22"/>
              </w:rPr>
            </w:pPr>
            <w:r>
              <w:rPr>
                <w:rFonts w:hint="eastAsia" w:ascii="Calibri" w:hAnsi="Calibri" w:eastAsia="宋体" w:cs="宋体"/>
                <w:sz w:val="24"/>
                <w:szCs w:val="22"/>
              </w:rPr>
              <w:t>账号</w:t>
            </w:r>
          </w:p>
        </w:tc>
        <w:tc>
          <w:tcPr>
            <w:tcW w:w="535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Calibri" w:hAnsi="Calibri" w:eastAsia="宋体" w:cs="宋体"/>
                <w:sz w:val="24"/>
                <w:szCs w:val="22"/>
              </w:rPr>
            </w:pPr>
          </w:p>
        </w:tc>
      </w:tr>
    </w:tbl>
    <w:p>
      <w:pPr>
        <w:ind w:left="470" w:right="69" w:rightChars="33" w:hanging="470" w:hangingChars="196"/>
        <w:rPr>
          <w:rFonts w:ascii="宋体" w:hAnsi="宋体" w:eastAsia="宋体" w:cs="宋体"/>
          <w:sz w:val="24"/>
          <w:szCs w:val="22"/>
        </w:rPr>
      </w:pPr>
      <w:r>
        <w:rPr>
          <w:rFonts w:hint="eastAsia" w:ascii="宋体" w:hAnsi="宋体" w:eastAsia="宋体" w:cs="宋体"/>
          <w:sz w:val="24"/>
          <w:szCs w:val="22"/>
        </w:rPr>
        <w:t>注：请投标单位认真填写并加盖公章，并于规定时间前回传邮箱并打电话确认</w:t>
      </w:r>
    </w:p>
    <w:p>
      <w:pPr>
        <w:ind w:left="470" w:right="69" w:rightChars="33" w:hanging="470" w:hangingChars="196"/>
        <w:rPr>
          <w:rFonts w:ascii="宋体" w:hAnsi="宋体" w:eastAsia="宋体" w:cs="宋体"/>
          <w:color w:val="C00000"/>
          <w:sz w:val="24"/>
          <w:szCs w:val="22"/>
        </w:rPr>
      </w:pPr>
      <w:r>
        <w:rPr>
          <w:rFonts w:hint="eastAsia" w:ascii="宋体" w:hAnsi="宋体" w:cs="宋体"/>
          <w:color w:val="C00000"/>
          <w:sz w:val="24"/>
          <w:szCs w:val="22"/>
          <w:lang w:val="en-US" w:eastAsia="zh-CN"/>
        </w:rPr>
        <w:t>Xxxxx</w:t>
      </w:r>
      <w:r>
        <w:rPr>
          <w:rFonts w:hint="eastAsia" w:ascii="宋体" w:hAnsi="宋体" w:eastAsia="宋体" w:cs="宋体"/>
          <w:color w:val="C00000"/>
          <w:sz w:val="24"/>
          <w:szCs w:val="22"/>
        </w:rPr>
        <w:t xml:space="preserve"> 。</w:t>
      </w:r>
    </w:p>
    <w:p>
      <w:pPr>
        <w:jc w:val="center"/>
        <w:rPr>
          <w:rFonts w:hint="eastAsia" w:ascii="Calibri" w:hAnsi="Calibri" w:eastAsia="黑体" w:cs="黑体"/>
          <w:b/>
          <w:sz w:val="28"/>
          <w:szCs w:val="22"/>
        </w:rPr>
      </w:pPr>
    </w:p>
    <w:p>
      <w:pPr>
        <w:jc w:val="center"/>
        <w:rPr>
          <w:rFonts w:hint="eastAsia" w:ascii="Calibri" w:hAnsi="Calibri" w:eastAsia="黑体" w:cs="黑体"/>
          <w:b/>
          <w:sz w:val="28"/>
          <w:szCs w:val="22"/>
        </w:rPr>
      </w:pPr>
    </w:p>
    <w:p>
      <w:pPr>
        <w:pStyle w:val="8"/>
        <w:rPr>
          <w:rFonts w:hint="eastAsia" w:ascii="Calibri" w:hAnsi="Calibri" w:eastAsia="黑体" w:cs="黑体"/>
          <w:b/>
          <w:sz w:val="28"/>
          <w:szCs w:val="22"/>
        </w:rPr>
      </w:pPr>
    </w:p>
    <w:p>
      <w:pPr>
        <w:pStyle w:val="75"/>
        <w:bidi w:val="0"/>
        <w:jc w:val="left"/>
        <w:rPr>
          <w:rFonts w:hint="eastAsia" w:eastAsia="黑体" w:cs="Times New Roman"/>
          <w:highlight w:val="yellow"/>
          <w:lang w:val="en-US" w:eastAsia="zh-CN"/>
        </w:rPr>
      </w:pPr>
      <w:r>
        <w:rPr>
          <w:rFonts w:hint="eastAsia" w:cs="Times New Roman"/>
          <w:highlight w:val="yellow"/>
        </w:rPr>
        <w:t>附件</w:t>
      </w:r>
      <w:r>
        <w:rPr>
          <w:rFonts w:hint="eastAsia" w:cs="Times New Roman"/>
          <w:highlight w:val="yellow"/>
          <w:lang w:val="en-US" w:eastAsia="zh-CN"/>
        </w:rPr>
        <w:t>5</w:t>
      </w:r>
    </w:p>
    <w:p>
      <w:pPr>
        <w:pStyle w:val="76"/>
        <w:numPr>
          <w:ilvl w:val="0"/>
          <w:numId w:val="0"/>
        </w:numPr>
        <w:jc w:val="center"/>
        <w:rPr>
          <w:rFonts w:hint="eastAsia"/>
        </w:rPr>
      </w:pPr>
      <w:r>
        <w:rPr>
          <w:rFonts w:hint="eastAsia"/>
        </w:rPr>
        <w:t>投标价格分解表</w:t>
      </w:r>
    </w:p>
    <w:p>
      <w:pPr>
        <w:spacing w:before="6"/>
        <w:ind w:right="88"/>
        <w:jc w:val="left"/>
        <w:rPr>
          <w:rFonts w:ascii="宋体" w:hAnsi="宋体" w:eastAsia="宋体" w:cs="宋体"/>
          <w:color w:val="000000"/>
          <w:sz w:val="24"/>
          <w:u w:val="single"/>
        </w:rPr>
      </w:pPr>
      <w:r>
        <w:rPr>
          <w:rFonts w:hint="eastAsia" w:ascii="宋体" w:hAnsi="宋体" w:eastAsia="宋体" w:cs="宋体"/>
          <w:color w:val="000000"/>
          <w:sz w:val="24"/>
        </w:rPr>
        <w:t>项目名称：</w:t>
      </w:r>
    </w:p>
    <w:p>
      <w:pPr>
        <w:spacing w:before="6"/>
        <w:ind w:right="88"/>
        <w:jc w:val="left"/>
        <w:rPr>
          <w:rFonts w:ascii="宋体" w:hAnsi="宋体" w:eastAsia="宋体" w:cs="宋体"/>
          <w:color w:val="000000"/>
          <w:sz w:val="24"/>
          <w:u w:val="single"/>
        </w:rPr>
      </w:pPr>
      <w:r>
        <w:rPr>
          <w:rFonts w:hint="eastAsia" w:ascii="宋体" w:hAnsi="宋体" w:eastAsia="宋体" w:cs="宋体"/>
          <w:color w:val="000000"/>
          <w:sz w:val="24"/>
        </w:rPr>
        <w:t>投标人名称（公章）：</w:t>
      </w:r>
    </w:p>
    <w:p>
      <w:pPr>
        <w:spacing w:before="6"/>
        <w:ind w:right="88"/>
        <w:jc w:val="left"/>
        <w:rPr>
          <w:rFonts w:ascii="宋体" w:hAnsi="宋体" w:eastAsia="宋体" w:cs="宋体"/>
          <w:color w:val="000000"/>
          <w:sz w:val="24"/>
          <w:u w:val="single"/>
        </w:rPr>
      </w:pPr>
      <w:r>
        <w:rPr>
          <w:rFonts w:hint="eastAsia" w:ascii="Calibri" w:hAnsi="Calibri" w:eastAsia="宋体" w:cs="宋体"/>
          <w:sz w:val="24"/>
        </w:rPr>
        <w:t>投标人代表签字：</w:t>
      </w:r>
    </w:p>
    <w:p>
      <w:pPr>
        <w:spacing w:before="62"/>
        <w:ind w:right="88"/>
        <w:jc w:val="right"/>
        <w:rPr>
          <w:rFonts w:ascii="宋体" w:hAnsi="宋体" w:eastAsia="宋体" w:cs="宋体"/>
          <w:sz w:val="24"/>
          <w:szCs w:val="22"/>
        </w:rPr>
      </w:pPr>
      <w:r>
        <w:rPr>
          <w:rFonts w:hint="eastAsia" w:ascii="宋体" w:hAnsi="宋体" w:eastAsia="宋体" w:cs="宋体"/>
          <w:color w:val="000000"/>
          <w:sz w:val="24"/>
        </w:rPr>
        <w:t>价格单位：   元</w:t>
      </w:r>
    </w:p>
    <w:tbl>
      <w:tblPr>
        <w:tblStyle w:val="34"/>
        <w:tblW w:w="11319" w:type="dxa"/>
        <w:tblInd w:w="-1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252"/>
        <w:gridCol w:w="1134"/>
        <w:gridCol w:w="1417"/>
        <w:gridCol w:w="1559"/>
        <w:gridCol w:w="1276"/>
        <w:gridCol w:w="1559"/>
        <w:gridCol w:w="127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szCs w:val="21"/>
              </w:rPr>
            </w:pPr>
            <w:r>
              <w:rPr>
                <w:rFonts w:hint="eastAsia" w:ascii="宋体" w:hAnsi="宋体" w:eastAsia="宋体" w:cs="宋体"/>
                <w:b/>
                <w:szCs w:val="21"/>
              </w:rPr>
              <w:t>序号</w:t>
            </w:r>
          </w:p>
        </w:tc>
        <w:tc>
          <w:tcPr>
            <w:tcW w:w="125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宋体"/>
                <w:b/>
                <w:szCs w:val="21"/>
              </w:rPr>
            </w:pPr>
            <w:r>
              <w:rPr>
                <w:rFonts w:hint="eastAsia" w:ascii="宋体" w:hAnsi="宋体" w:eastAsia="宋体" w:cs="宋体"/>
                <w:b/>
                <w:szCs w:val="21"/>
              </w:rPr>
              <w:t>模块</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szCs w:val="21"/>
              </w:rPr>
            </w:pPr>
            <w:r>
              <w:rPr>
                <w:rFonts w:hint="eastAsia" w:ascii="宋体" w:hAnsi="宋体" w:eastAsia="宋体" w:cs="宋体"/>
                <w:b/>
                <w:szCs w:val="21"/>
              </w:rPr>
              <w:t>项目</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szCs w:val="21"/>
              </w:rPr>
            </w:pPr>
            <w:r>
              <w:rPr>
                <w:rFonts w:hint="eastAsia" w:ascii="宋体" w:hAnsi="宋体" w:eastAsia="宋体" w:cs="宋体"/>
                <w:b/>
                <w:szCs w:val="21"/>
              </w:rPr>
              <w:t>人天单价（元）</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szCs w:val="21"/>
              </w:rPr>
            </w:pPr>
            <w:r>
              <w:rPr>
                <w:rFonts w:hint="eastAsia" w:ascii="宋体" w:hAnsi="宋体" w:eastAsia="宋体" w:cs="宋体"/>
                <w:b/>
                <w:szCs w:val="21"/>
              </w:rPr>
              <w:t>数量（人天）</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szCs w:val="21"/>
              </w:rPr>
            </w:pPr>
            <w:r>
              <w:rPr>
                <w:rFonts w:hint="eastAsia" w:ascii="宋体" w:hAnsi="宋体" w:eastAsia="宋体" w:cs="宋体"/>
                <w:b/>
                <w:szCs w:val="21"/>
              </w:rPr>
              <w:t>总价</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szCs w:val="21"/>
              </w:rPr>
            </w:pPr>
            <w:r>
              <w:rPr>
                <w:rFonts w:hint="eastAsia" w:ascii="宋体" w:hAnsi="宋体" w:eastAsia="宋体" w:cs="宋体"/>
                <w:b/>
                <w:szCs w:val="21"/>
              </w:rPr>
              <w:t>折扣价</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szCs w:val="21"/>
              </w:rPr>
            </w:pPr>
            <w:r>
              <w:rPr>
                <w:rFonts w:hint="eastAsia" w:ascii="宋体" w:hAnsi="宋体" w:eastAsia="宋体" w:cs="宋体"/>
                <w:b/>
                <w:szCs w:val="21"/>
              </w:rPr>
              <w:t>最终价</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b/>
                <w:szCs w:val="21"/>
              </w:rPr>
            </w:pPr>
            <w:r>
              <w:rPr>
                <w:rFonts w:hint="eastAsia" w:ascii="宋体" w:hAnsi="宋体" w:eastAsia="宋体" w:cs="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1</w:t>
            </w:r>
          </w:p>
        </w:tc>
        <w:tc>
          <w:tcPr>
            <w:tcW w:w="1252"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FF0000"/>
                <w:szCs w:val="21"/>
                <w:highlight w:val="yellow"/>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FF0000"/>
                <w:szCs w:val="21"/>
                <w:highlight w:val="yellow"/>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2"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2</w:t>
            </w:r>
          </w:p>
        </w:tc>
        <w:tc>
          <w:tcPr>
            <w:tcW w:w="1252"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FF0000"/>
                <w:szCs w:val="21"/>
                <w:highlight w:val="yellow"/>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FF0000"/>
                <w:szCs w:val="21"/>
                <w:highlight w:val="yellow"/>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3</w:t>
            </w:r>
          </w:p>
        </w:tc>
        <w:tc>
          <w:tcPr>
            <w:tcW w:w="1252"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FF0000"/>
                <w:szCs w:val="21"/>
                <w:highlight w:val="yellow"/>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FF0000"/>
                <w:szCs w:val="21"/>
                <w:highlight w:val="yellow"/>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4</w:t>
            </w:r>
          </w:p>
        </w:tc>
        <w:tc>
          <w:tcPr>
            <w:tcW w:w="1252"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FF0000"/>
                <w:szCs w:val="21"/>
                <w:highlight w:val="yellow"/>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FF0000"/>
                <w:szCs w:val="21"/>
                <w:highlight w:val="yellow"/>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5</w:t>
            </w:r>
          </w:p>
        </w:tc>
        <w:tc>
          <w:tcPr>
            <w:tcW w:w="1252"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FF0000"/>
                <w:szCs w:val="21"/>
                <w:highlight w:val="yellow"/>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FF0000"/>
                <w:szCs w:val="21"/>
                <w:highlight w:val="yellow"/>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6</w:t>
            </w:r>
          </w:p>
        </w:tc>
        <w:tc>
          <w:tcPr>
            <w:tcW w:w="1252"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FF0000"/>
                <w:szCs w:val="21"/>
                <w:highlight w:val="yellow"/>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FF0000"/>
                <w:szCs w:val="21"/>
                <w:highlight w:val="yellow"/>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7</w:t>
            </w:r>
          </w:p>
        </w:tc>
        <w:tc>
          <w:tcPr>
            <w:tcW w:w="1252"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FF0000"/>
                <w:szCs w:val="21"/>
                <w:highlight w:val="yellow"/>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FF0000"/>
                <w:szCs w:val="21"/>
                <w:highlight w:val="yellow"/>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8</w:t>
            </w:r>
          </w:p>
        </w:tc>
        <w:tc>
          <w:tcPr>
            <w:tcW w:w="1252"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FF0000"/>
                <w:szCs w:val="21"/>
                <w:highlight w:val="yellow"/>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FF0000"/>
                <w:szCs w:val="21"/>
                <w:highlight w:val="yellow"/>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9</w:t>
            </w:r>
          </w:p>
        </w:tc>
        <w:tc>
          <w:tcPr>
            <w:tcW w:w="1252"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FF0000"/>
                <w:szCs w:val="21"/>
                <w:highlight w:val="yellow"/>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FF0000"/>
                <w:szCs w:val="21"/>
                <w:highlight w:val="yellow"/>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10</w:t>
            </w:r>
          </w:p>
        </w:tc>
        <w:tc>
          <w:tcPr>
            <w:tcW w:w="1252"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FF0000"/>
                <w:szCs w:val="21"/>
                <w:highlight w:val="yellow"/>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FF0000"/>
                <w:szCs w:val="21"/>
                <w:highlight w:val="yellow"/>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11</w:t>
            </w:r>
          </w:p>
        </w:tc>
        <w:tc>
          <w:tcPr>
            <w:tcW w:w="1252"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FF0000"/>
                <w:szCs w:val="21"/>
                <w:highlight w:val="yellow"/>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FF0000"/>
                <w:szCs w:val="21"/>
                <w:highlight w:val="yellow"/>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12</w:t>
            </w:r>
          </w:p>
        </w:tc>
        <w:tc>
          <w:tcPr>
            <w:tcW w:w="1252"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FF0000"/>
                <w:szCs w:val="21"/>
                <w:highlight w:val="yellow"/>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FF0000"/>
                <w:szCs w:val="21"/>
                <w:highlight w:val="yellow"/>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宋体" w:hAnsi="宋体" w:eastAsia="宋体" w:cs="宋体"/>
                <w:szCs w:val="21"/>
              </w:rPr>
            </w:pPr>
            <w:r>
              <w:rPr>
                <w:rFonts w:hint="eastAsia" w:ascii="宋体" w:hAnsi="宋体" w:eastAsia="宋体" w:cs="宋体"/>
                <w:szCs w:val="21"/>
              </w:rPr>
              <w:t>13</w:t>
            </w:r>
          </w:p>
        </w:tc>
        <w:tc>
          <w:tcPr>
            <w:tcW w:w="1252" w:type="dxa"/>
            <w:tcBorders>
              <w:top w:val="single" w:color="auto" w:sz="4" w:space="0"/>
              <w:left w:val="single" w:color="auto" w:sz="4" w:space="0"/>
              <w:bottom w:val="single" w:color="auto" w:sz="4" w:space="0"/>
              <w:right w:val="single" w:color="auto" w:sz="4" w:space="0"/>
            </w:tcBorders>
          </w:tcPr>
          <w:p>
            <w:pPr>
              <w:rPr>
                <w:rFonts w:ascii="宋体" w:hAnsi="宋体" w:eastAsia="宋体" w:cs="宋体"/>
                <w:color w:val="FF0000"/>
                <w:szCs w:val="21"/>
                <w:highlight w:val="yellow"/>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color w:val="FF0000"/>
                <w:szCs w:val="21"/>
                <w:highlight w:val="yellow"/>
              </w:rPr>
            </w:pP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trPr>
        <w:tc>
          <w:tcPr>
            <w:tcW w:w="3240" w:type="dxa"/>
            <w:gridSpan w:val="3"/>
            <w:tcBorders>
              <w:top w:val="single" w:color="auto" w:sz="4" w:space="0"/>
              <w:left w:val="single" w:color="auto" w:sz="4" w:space="0"/>
              <w:bottom w:val="single" w:color="auto" w:sz="4" w:space="0"/>
              <w:right w:val="single" w:color="auto" w:sz="4" w:space="0"/>
            </w:tcBorders>
            <w:vAlign w:val="center"/>
          </w:tcPr>
          <w:p>
            <w:pPr>
              <w:jc w:val="right"/>
              <w:rPr>
                <w:rFonts w:ascii="宋体" w:hAnsi="宋体" w:eastAsia="宋体" w:cs="宋体"/>
                <w:szCs w:val="21"/>
              </w:rPr>
            </w:pPr>
            <w:r>
              <w:rPr>
                <w:rFonts w:hint="eastAsia" w:ascii="宋体" w:hAnsi="宋体" w:eastAsia="宋体" w:cs="宋体"/>
                <w:szCs w:val="21"/>
              </w:rPr>
              <w:t>总价：</w:t>
            </w:r>
          </w:p>
        </w:tc>
        <w:tc>
          <w:tcPr>
            <w:tcW w:w="8079"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ind w:firstLine="840" w:firstLineChars="400"/>
              <w:rPr>
                <w:rFonts w:ascii="宋体" w:hAnsi="宋体" w:eastAsia="宋体" w:cs="宋体"/>
                <w:szCs w:val="21"/>
              </w:rPr>
            </w:pPr>
            <w:r>
              <w:rPr>
                <w:rFonts w:hint="eastAsia" w:ascii="宋体" w:hAnsi="宋体" w:eastAsia="宋体" w:cs="宋体"/>
                <w:szCs w:val="21"/>
              </w:rPr>
              <w:t>小写：                      大写：</w:t>
            </w:r>
          </w:p>
        </w:tc>
      </w:tr>
    </w:tbl>
    <w:p>
      <w:pPr>
        <w:pStyle w:val="80"/>
        <w:ind w:firstLine="630" w:firstLineChars="300"/>
      </w:pPr>
    </w:p>
    <w:p>
      <w:pPr>
        <w:pStyle w:val="80"/>
        <w:ind w:firstLine="630" w:firstLineChars="300"/>
      </w:pPr>
    </w:p>
    <w:p>
      <w:pPr>
        <w:pStyle w:val="80"/>
        <w:ind w:firstLine="630" w:firstLineChars="300"/>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highlight w:val="yellow"/>
        </w:rPr>
        <w:t>附件</w:t>
      </w:r>
      <w:r>
        <w:rPr>
          <w:rFonts w:hint="eastAsia" w:cs="Times New Roman"/>
          <w:b/>
          <w:bCs/>
          <w:color w:val="000000"/>
          <w:sz w:val="24"/>
          <w:szCs w:val="24"/>
          <w:highlight w:val="yellow"/>
          <w:lang w:val="en-US" w:eastAsia="zh-CN"/>
        </w:rPr>
        <w:t>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4"/>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highlight w:val="yellow"/>
        </w:rPr>
        <w:t>附件</w:t>
      </w:r>
      <w:r>
        <w:rPr>
          <w:rFonts w:hint="eastAsia" w:cs="宋体"/>
          <w:b/>
          <w:bCs/>
          <w:color w:val="000000"/>
          <w:sz w:val="24"/>
          <w:szCs w:val="24"/>
          <w:highlight w:val="yellow"/>
          <w:lang w:val="en-US" w:eastAsia="zh-CN"/>
        </w:rPr>
        <w:t>7</w:t>
      </w:r>
      <w:r>
        <w:rPr>
          <w:rFonts w:ascii="Times New Roman" w:hAnsi="Times New Roman" w:eastAsia="宋体" w:cs="宋体"/>
          <w:b/>
          <w:bCs/>
          <w:color w:val="000000"/>
          <w:sz w:val="24"/>
          <w:szCs w:val="24"/>
          <w:highlight w:val="yellow"/>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SAP运维服务项目</w:t>
      </w:r>
      <w:r>
        <w:rPr>
          <w:rFonts w:ascii="宋体" w:hAnsi="宋体" w:eastAsia="宋体" w:cs="Times New Roman"/>
          <w:color w:val="000000"/>
          <w:sz w:val="24"/>
          <w:szCs w:val="24"/>
        </w:rPr>
        <w:t xml:space="preserve">                                                        </w:t>
      </w:r>
    </w:p>
    <w:tbl>
      <w:tblPr>
        <w:tblStyle w:val="34"/>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pStyle w:val="80"/>
        <w:ind w:firstLine="630" w:firstLineChars="300"/>
      </w:pPr>
    </w:p>
    <w:p>
      <w:pPr>
        <w:pStyle w:val="80"/>
        <w:ind w:firstLine="630" w:firstLineChars="300"/>
      </w:pPr>
    </w:p>
    <w:p>
      <w:pPr>
        <w:pStyle w:val="80"/>
        <w:ind w:firstLine="630" w:firstLineChars="300"/>
      </w:pPr>
    </w:p>
    <w:p>
      <w:pPr>
        <w:pStyle w:val="80"/>
        <w:ind w:firstLine="630" w:firstLineChars="300"/>
      </w:pPr>
    </w:p>
    <w:p>
      <w:pPr>
        <w:pStyle w:val="80"/>
        <w:ind w:firstLine="630" w:firstLineChars="300"/>
      </w:pPr>
    </w:p>
    <w:p>
      <w:pPr>
        <w:pStyle w:val="80"/>
        <w:ind w:firstLine="630" w:firstLineChars="300"/>
      </w:pPr>
    </w:p>
    <w:p>
      <w:pPr>
        <w:pStyle w:val="16"/>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5"/>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26"/>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7"/>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8"/>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ascii="宋体" w:hAnsi="宋体" w:eastAsia="宋体" w:cs="宋体"/>
          <w:color w:val="000000"/>
        </w:rPr>
      </w:pPr>
    </w:p>
    <w:p>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9"/>
                    <a:stretch>
                      <a:fillRect/>
                    </a:stretch>
                  </pic:blipFill>
                  <pic:spPr>
                    <a:xfrm>
                      <a:off x="0" y="0"/>
                      <a:ext cx="5760085" cy="2810122"/>
                    </a:xfrm>
                    <a:prstGeom prst="rect">
                      <a:avLst/>
                    </a:prstGeom>
                  </pic:spPr>
                </pic:pic>
              </a:graphicData>
            </a:graphic>
          </wp:inline>
        </w:drawing>
      </w:r>
    </w:p>
    <w:p>
      <w:pPr>
        <w:pStyle w:val="16"/>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0"/>
                    <a:stretch>
                      <a:fillRect/>
                    </a:stretch>
                  </pic:blipFill>
                  <pic:spPr>
                    <a:xfrm>
                      <a:off x="0" y="0"/>
                      <a:ext cx="5760085" cy="2820042"/>
                    </a:xfrm>
                    <a:prstGeom prst="rect">
                      <a:avLst/>
                    </a:prstGeom>
                  </pic:spPr>
                </pic:pic>
              </a:graphicData>
            </a:graphic>
          </wp:inline>
        </w:drawing>
      </w:r>
    </w:p>
    <w:p>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1"/>
          <w:rFonts w:hint="eastAsia" w:ascii="宋体" w:hAnsi="宋体" w:eastAsia="宋体" w:cs="宋体"/>
          <w:sz w:val="24"/>
          <w:szCs w:val="24"/>
        </w:rPr>
        <w:t>http://ecaitong.sinotruk.com:8012/</w:t>
      </w:r>
      <w:r>
        <w:rPr>
          <w:rStyle w:val="41"/>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初始密码：@2025</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1"/>
                    <a:stretch>
                      <a:fillRect/>
                    </a:stretch>
                  </pic:blipFill>
                  <pic:spPr>
                    <a:xfrm>
                      <a:off x="0" y="0"/>
                      <a:ext cx="5760085" cy="2269864"/>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2"/>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3"/>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4"/>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5"/>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6"/>
                    <a:stretch>
                      <a:fillRect/>
                    </a:stretch>
                  </pic:blipFill>
                  <pic:spPr>
                    <a:xfrm>
                      <a:off x="0" y="0"/>
                      <a:ext cx="5760085" cy="1956600"/>
                    </a:xfrm>
                    <a:prstGeom prst="rect">
                      <a:avLst/>
                    </a:prstGeom>
                  </pic:spPr>
                </pic:pic>
              </a:graphicData>
            </a:graphic>
          </wp:inline>
        </w:drawing>
      </w:r>
    </w:p>
    <w:p>
      <w:pPr>
        <w:pStyle w:val="16"/>
        <w:rPr>
          <w:rFonts w:hAnsi="宋体" w:eastAsia="宋体" w:cs="Times New Roman"/>
          <w:b/>
          <w:color w:val="000000"/>
          <w:sz w:val="24"/>
          <w:szCs w:val="24"/>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pStyle w:val="80"/>
        <w:rPr>
          <w:rFonts w:hint="default"/>
          <w:highlight w:val="yellow"/>
          <w:lang w:val="en-US" w:eastAsia="zh-CN"/>
        </w:rPr>
      </w:pPr>
    </w:p>
    <w:sectPr>
      <w:pgSz w:w="11906" w:h="16838"/>
      <w:pgMar w:top="1701" w:right="1418" w:bottom="1134"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sz w:val="21"/>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8"/>
      </w:rPr>
    </w:pPr>
    <w:r>
      <w:fldChar w:fldCharType="begin"/>
    </w:r>
    <w:r>
      <w:rPr>
        <w:rStyle w:val="38"/>
      </w:rPr>
      <w:instrText xml:space="preserve">PAGE  </w:instrText>
    </w:r>
    <w:r>
      <w:fldChar w:fldCharType="end"/>
    </w:r>
  </w:p>
  <w:p>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sz w:val="21"/>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p>
    <w:pPr>
      <w:pStyle w:val="20"/>
      <w:jc w:val="center"/>
    </w:pPr>
  </w:p>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2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34</w:t>
                    </w:r>
                    <w:r>
                      <w:fldChar w:fldCharType="end"/>
                    </w:r>
                    <w:r>
                      <w:t xml:space="preserve"> 页</w:t>
                    </w:r>
                  </w:p>
                </w:txbxContent>
              </v:textbox>
            </v:shape>
          </w:pict>
        </mc:Fallback>
      </mc:AlternateContent>
    </w:r>
  </w:p>
  <w:p>
    <w:pPr>
      <w:pStyle w:val="20"/>
      <w:jc w:val="center"/>
    </w:pPr>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right"/>
      <w:rPr>
        <w:rFonts w:hint="eastAsia" w:eastAsia="宋体"/>
        <w:lang w:eastAsia="zh-CN"/>
      </w:rPr>
    </w:pPr>
    <w:r>
      <w:rPr>
        <w:rFonts w:hint="eastAsia"/>
      </w:rPr>
      <w:t>中国重型汽车集团</w:t>
    </w:r>
    <w:r>
      <w:rPr>
        <w:rFonts w:hint="eastAsia"/>
        <w:lang w:val="en-US" w:eastAsia="zh-CN"/>
      </w:rPr>
      <w:t>SAP运维服务</w:t>
    </w:r>
    <w:r>
      <w:rPr>
        <w:rFonts w:hint="eastAsia"/>
      </w:rPr>
      <w:t>项目招标书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right"/>
      <w:rPr>
        <w:rFonts w:hint="eastAsia" w:eastAsia="宋体"/>
        <w:lang w:eastAsia="zh-CN"/>
      </w:rPr>
    </w:pPr>
    <w:r>
      <w:rPr>
        <w:rFonts w:hint="eastAsia"/>
      </w:rPr>
      <w:t>中国重型汽车集团</w:t>
    </w:r>
    <w:r>
      <w:rPr>
        <w:rFonts w:hint="eastAsia"/>
        <w:lang w:val="en-US" w:eastAsia="zh-CN"/>
      </w:rPr>
      <w:t>SAP运维服务</w:t>
    </w:r>
    <w:r>
      <w:rPr>
        <w:rFonts w:hint="eastAsia"/>
      </w:rPr>
      <w:t>项目招标书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jc w:val="right"/>
      <w:rPr>
        <w:rFonts w:hint="eastAsia" w:eastAsia="宋体"/>
        <w:lang w:eastAsia="zh-CN"/>
      </w:rPr>
    </w:pPr>
    <w:r>
      <w:rPr>
        <w:rFonts w:hint="eastAsia"/>
      </w:rPr>
      <w:t>中国重型汽车集团</w:t>
    </w:r>
    <w:r>
      <w:rPr>
        <w:rFonts w:hint="eastAsia"/>
        <w:lang w:val="en-US" w:eastAsia="zh-CN"/>
      </w:rPr>
      <w:t>SAP运维服务</w:t>
    </w:r>
    <w:r>
      <w:rPr>
        <w:rFonts w:hint="eastAsia"/>
      </w:rPr>
      <w:t>项目招标书</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87BE246"/>
    <w:multiLevelType w:val="singleLevel"/>
    <w:tmpl w:val="887BE246"/>
    <w:lvl w:ilvl="0" w:tentative="0">
      <w:start w:val="1"/>
      <w:numFmt w:val="decimal"/>
      <w:lvlText w:val="%1."/>
      <w:lvlJc w:val="left"/>
      <w:pPr>
        <w:ind w:left="425" w:hanging="425"/>
      </w:pPr>
      <w:rPr>
        <w:rFonts w:hint="default"/>
        <w:color w:val="auto"/>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3F819E3"/>
    <w:multiLevelType w:val="singleLevel"/>
    <w:tmpl w:val="93F819E3"/>
    <w:lvl w:ilvl="0" w:tentative="0">
      <w:start w:val="1"/>
      <w:numFmt w:val="decimal"/>
      <w:lvlText w:val="%1."/>
      <w:lvlJc w:val="left"/>
      <w:pPr>
        <w:ind w:left="425" w:hanging="425"/>
      </w:pPr>
      <w:rPr>
        <w:rFonts w:hint="default"/>
      </w:rPr>
    </w:lvl>
  </w:abstractNum>
  <w:abstractNum w:abstractNumId="5">
    <w:nsid w:val="99FD3802"/>
    <w:multiLevelType w:val="singleLevel"/>
    <w:tmpl w:val="99FD3802"/>
    <w:lvl w:ilvl="0" w:tentative="0">
      <w:start w:val="1"/>
      <w:numFmt w:val="decimal"/>
      <w:lvlText w:val="(%1)"/>
      <w:lvlJc w:val="left"/>
      <w:pPr>
        <w:ind w:left="425" w:hanging="425"/>
      </w:pPr>
      <w:rPr>
        <w:rFonts w:hint="default"/>
      </w:rPr>
    </w:lvl>
  </w:abstractNum>
  <w:abstractNum w:abstractNumId="6">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7">
    <w:nsid w:val="A3AEC25B"/>
    <w:multiLevelType w:val="singleLevel"/>
    <w:tmpl w:val="A3AEC25B"/>
    <w:lvl w:ilvl="0" w:tentative="0">
      <w:start w:val="1"/>
      <w:numFmt w:val="decimal"/>
      <w:lvlText w:val="(%1)"/>
      <w:lvlJc w:val="left"/>
      <w:pPr>
        <w:ind w:left="425" w:hanging="425"/>
      </w:pPr>
      <w:rPr>
        <w:rFonts w:hint="default"/>
      </w:rPr>
    </w:lvl>
  </w:abstractNum>
  <w:abstractNum w:abstractNumId="8">
    <w:nsid w:val="A97D7F96"/>
    <w:multiLevelType w:val="singleLevel"/>
    <w:tmpl w:val="A97D7F96"/>
    <w:lvl w:ilvl="0" w:tentative="0">
      <w:start w:val="1"/>
      <w:numFmt w:val="decimal"/>
      <w:lvlText w:val="%1."/>
      <w:lvlJc w:val="left"/>
      <w:pPr>
        <w:ind w:left="425" w:hanging="425"/>
      </w:pPr>
      <w:rPr>
        <w:rFonts w:hint="default"/>
        <w:color w:val="auto"/>
      </w:rPr>
    </w:lvl>
  </w:abstractNum>
  <w:abstractNum w:abstractNumId="9">
    <w:nsid w:val="A9C7A786"/>
    <w:multiLevelType w:val="singleLevel"/>
    <w:tmpl w:val="A9C7A786"/>
    <w:lvl w:ilvl="0" w:tentative="0">
      <w:start w:val="1"/>
      <w:numFmt w:val="chineseCounting"/>
      <w:suff w:val="nothing"/>
      <w:lvlText w:val="%1、"/>
      <w:lvlJc w:val="left"/>
      <w:pPr>
        <w:ind w:left="0" w:firstLine="420"/>
      </w:pPr>
      <w:rPr>
        <w:rFonts w:hint="eastAsia"/>
      </w:rPr>
    </w:lvl>
  </w:abstractNum>
  <w:abstractNum w:abstractNumId="10">
    <w:nsid w:val="AB0B497D"/>
    <w:multiLevelType w:val="singleLevel"/>
    <w:tmpl w:val="AB0B497D"/>
    <w:lvl w:ilvl="0" w:tentative="0">
      <w:start w:val="1"/>
      <w:numFmt w:val="bullet"/>
      <w:lvlText w:val=""/>
      <w:lvlJc w:val="left"/>
      <w:pPr>
        <w:tabs>
          <w:tab w:val="left" w:pos="420"/>
        </w:tabs>
        <w:ind w:left="840" w:hanging="420"/>
      </w:pPr>
      <w:rPr>
        <w:rFonts w:hint="default" w:ascii="Wingdings" w:hAnsi="Wingdings"/>
      </w:rPr>
    </w:lvl>
  </w:abstractNum>
  <w:abstractNum w:abstractNumId="11">
    <w:nsid w:val="B0563521"/>
    <w:multiLevelType w:val="singleLevel"/>
    <w:tmpl w:val="B0563521"/>
    <w:lvl w:ilvl="0" w:tentative="0">
      <w:start w:val="1"/>
      <w:numFmt w:val="decimal"/>
      <w:lvlText w:val="(%1)"/>
      <w:lvlJc w:val="left"/>
      <w:pPr>
        <w:ind w:left="425" w:hanging="425"/>
      </w:pPr>
      <w:rPr>
        <w:rFonts w:hint="default"/>
      </w:rPr>
    </w:lvl>
  </w:abstractNum>
  <w:abstractNum w:abstractNumId="12">
    <w:nsid w:val="B12C4597"/>
    <w:multiLevelType w:val="singleLevel"/>
    <w:tmpl w:val="B12C4597"/>
    <w:lvl w:ilvl="0" w:tentative="0">
      <w:start w:val="1"/>
      <w:numFmt w:val="decimal"/>
      <w:lvlText w:val="%1."/>
      <w:lvlJc w:val="left"/>
      <w:pPr>
        <w:ind w:left="425" w:hanging="425"/>
      </w:pPr>
      <w:rPr>
        <w:rFonts w:hint="default"/>
      </w:rPr>
    </w:lvl>
  </w:abstractNum>
  <w:abstractNum w:abstractNumId="13">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14">
    <w:nsid w:val="BD4C6742"/>
    <w:multiLevelType w:val="singleLevel"/>
    <w:tmpl w:val="BD4C6742"/>
    <w:lvl w:ilvl="0" w:tentative="0">
      <w:start w:val="1"/>
      <w:numFmt w:val="decimal"/>
      <w:lvlText w:val="%1."/>
      <w:lvlJc w:val="left"/>
      <w:pPr>
        <w:ind w:left="425" w:hanging="425"/>
      </w:pPr>
      <w:rPr>
        <w:rFonts w:hint="default"/>
      </w:rPr>
    </w:lvl>
  </w:abstractNum>
  <w:abstractNum w:abstractNumId="15">
    <w:nsid w:val="CA4514D2"/>
    <w:multiLevelType w:val="singleLevel"/>
    <w:tmpl w:val="CA4514D2"/>
    <w:lvl w:ilvl="0" w:tentative="0">
      <w:start w:val="1"/>
      <w:numFmt w:val="decimal"/>
      <w:lvlText w:val="%1."/>
      <w:lvlJc w:val="left"/>
      <w:pPr>
        <w:ind w:left="425" w:hanging="425"/>
      </w:pPr>
      <w:rPr>
        <w:rFonts w:hint="default"/>
        <w:color w:val="auto"/>
      </w:rPr>
    </w:lvl>
  </w:abstractNum>
  <w:abstractNum w:abstractNumId="16">
    <w:nsid w:val="CCECA668"/>
    <w:multiLevelType w:val="singleLevel"/>
    <w:tmpl w:val="CCECA668"/>
    <w:lvl w:ilvl="0" w:tentative="0">
      <w:start w:val="1"/>
      <w:numFmt w:val="decimal"/>
      <w:lvlText w:val="(%1)"/>
      <w:lvlJc w:val="left"/>
      <w:pPr>
        <w:ind w:left="425" w:hanging="425"/>
      </w:pPr>
      <w:rPr>
        <w:rFonts w:hint="default"/>
      </w:rPr>
    </w:lvl>
  </w:abstractNum>
  <w:abstractNum w:abstractNumId="17">
    <w:nsid w:val="D595567E"/>
    <w:multiLevelType w:val="singleLevel"/>
    <w:tmpl w:val="D595567E"/>
    <w:lvl w:ilvl="0" w:tentative="0">
      <w:start w:val="1"/>
      <w:numFmt w:val="decimal"/>
      <w:lvlText w:val="(%1)"/>
      <w:lvlJc w:val="left"/>
      <w:pPr>
        <w:ind w:left="425" w:hanging="425"/>
      </w:pPr>
      <w:rPr>
        <w:rFonts w:hint="default"/>
      </w:rPr>
    </w:lvl>
  </w:abstractNum>
  <w:abstractNum w:abstractNumId="18">
    <w:nsid w:val="D6242DA5"/>
    <w:multiLevelType w:val="singleLevel"/>
    <w:tmpl w:val="D6242DA5"/>
    <w:lvl w:ilvl="0" w:tentative="0">
      <w:start w:val="1"/>
      <w:numFmt w:val="decimal"/>
      <w:lvlText w:val="(%1)"/>
      <w:lvlJc w:val="left"/>
      <w:pPr>
        <w:ind w:left="425" w:hanging="425"/>
      </w:pPr>
      <w:rPr>
        <w:rFonts w:hint="default"/>
      </w:rPr>
    </w:lvl>
  </w:abstractNum>
  <w:abstractNum w:abstractNumId="19">
    <w:nsid w:val="D9A4530E"/>
    <w:multiLevelType w:val="singleLevel"/>
    <w:tmpl w:val="D9A4530E"/>
    <w:lvl w:ilvl="0" w:tentative="0">
      <w:start w:val="1"/>
      <w:numFmt w:val="decimal"/>
      <w:lvlText w:val="(%1)"/>
      <w:lvlJc w:val="left"/>
      <w:pPr>
        <w:ind w:left="425" w:hanging="425"/>
      </w:pPr>
      <w:rPr>
        <w:rFonts w:hint="default"/>
      </w:rPr>
    </w:lvl>
  </w:abstractNum>
  <w:abstractNum w:abstractNumId="20">
    <w:nsid w:val="DC3F8C8B"/>
    <w:multiLevelType w:val="singleLevel"/>
    <w:tmpl w:val="DC3F8C8B"/>
    <w:lvl w:ilvl="0" w:tentative="0">
      <w:start w:val="1"/>
      <w:numFmt w:val="decimal"/>
      <w:lvlText w:val="%1."/>
      <w:lvlJc w:val="left"/>
      <w:pPr>
        <w:ind w:left="425" w:hanging="425"/>
      </w:pPr>
      <w:rPr>
        <w:rFonts w:hint="default"/>
      </w:rPr>
    </w:lvl>
  </w:abstractNum>
  <w:abstractNum w:abstractNumId="21">
    <w:nsid w:val="EA72C25E"/>
    <w:multiLevelType w:val="singleLevel"/>
    <w:tmpl w:val="EA72C25E"/>
    <w:lvl w:ilvl="0" w:tentative="0">
      <w:start w:val="1"/>
      <w:numFmt w:val="decimal"/>
      <w:lvlText w:val="%1."/>
      <w:lvlJc w:val="left"/>
      <w:pPr>
        <w:ind w:left="425" w:hanging="425"/>
      </w:pPr>
      <w:rPr>
        <w:rFonts w:hint="default"/>
      </w:rPr>
    </w:lvl>
  </w:abstractNum>
  <w:abstractNum w:abstractNumId="22">
    <w:nsid w:val="EDB7A8BC"/>
    <w:multiLevelType w:val="singleLevel"/>
    <w:tmpl w:val="EDB7A8BC"/>
    <w:lvl w:ilvl="0" w:tentative="0">
      <w:start w:val="1"/>
      <w:numFmt w:val="decimal"/>
      <w:suff w:val="nothing"/>
      <w:lvlText w:val="%1、"/>
      <w:lvlJc w:val="left"/>
    </w:lvl>
  </w:abstractNum>
  <w:abstractNum w:abstractNumId="23">
    <w:nsid w:val="F0B517FD"/>
    <w:multiLevelType w:val="singleLevel"/>
    <w:tmpl w:val="F0B517FD"/>
    <w:lvl w:ilvl="0" w:tentative="0">
      <w:start w:val="1"/>
      <w:numFmt w:val="decimal"/>
      <w:suff w:val="nothing"/>
      <w:lvlText w:val="%1、"/>
      <w:lvlJc w:val="left"/>
    </w:lvl>
  </w:abstractNum>
  <w:abstractNum w:abstractNumId="24">
    <w:nsid w:val="F3AA065D"/>
    <w:multiLevelType w:val="singleLevel"/>
    <w:tmpl w:val="F3AA065D"/>
    <w:lvl w:ilvl="0" w:tentative="0">
      <w:start w:val="1"/>
      <w:numFmt w:val="bullet"/>
      <w:lvlText w:val=""/>
      <w:lvlJc w:val="left"/>
      <w:pPr>
        <w:ind w:left="420" w:hanging="420"/>
      </w:pPr>
      <w:rPr>
        <w:rFonts w:hint="default" w:ascii="Wingdings" w:hAnsi="Wingdings"/>
      </w:rPr>
    </w:lvl>
  </w:abstractNum>
  <w:abstractNum w:abstractNumId="25">
    <w:nsid w:val="F9F3354F"/>
    <w:multiLevelType w:val="singleLevel"/>
    <w:tmpl w:val="F9F3354F"/>
    <w:lvl w:ilvl="0" w:tentative="0">
      <w:start w:val="1"/>
      <w:numFmt w:val="bullet"/>
      <w:lvlText w:val=""/>
      <w:lvlJc w:val="left"/>
      <w:pPr>
        <w:tabs>
          <w:tab w:val="left" w:pos="420"/>
        </w:tabs>
        <w:ind w:left="840" w:hanging="420"/>
      </w:pPr>
      <w:rPr>
        <w:rFonts w:hint="default" w:ascii="Wingdings" w:hAnsi="Wingdings"/>
      </w:rPr>
    </w:lvl>
  </w:abstractNum>
  <w:abstractNum w:abstractNumId="26">
    <w:nsid w:val="FA791D22"/>
    <w:multiLevelType w:val="singleLevel"/>
    <w:tmpl w:val="FA791D22"/>
    <w:lvl w:ilvl="0" w:tentative="0">
      <w:start w:val="1"/>
      <w:numFmt w:val="decimal"/>
      <w:lvlText w:val="%1."/>
      <w:lvlJc w:val="left"/>
      <w:pPr>
        <w:ind w:left="425" w:hanging="425"/>
      </w:pPr>
      <w:rPr>
        <w:rFonts w:hint="default"/>
      </w:rPr>
    </w:lvl>
  </w:abstractNum>
  <w:abstractNum w:abstractNumId="27">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8">
    <w:nsid w:val="00000005"/>
    <w:multiLevelType w:val="multilevel"/>
    <w:tmpl w:val="00000005"/>
    <w:lvl w:ilvl="0" w:tentative="0">
      <w:start w:val="1"/>
      <w:numFmt w:val="chineseCountingThousand"/>
      <w:pStyle w:val="116"/>
      <w:suff w:val="space"/>
      <w:lvlText w:val="%1、"/>
      <w:lvlJc w:val="left"/>
      <w:pPr>
        <w:ind w:left="-253" w:firstLine="400"/>
      </w:pPr>
      <w:rPr>
        <w:rFonts w:hint="eastAsia"/>
      </w:rPr>
    </w:lvl>
    <w:lvl w:ilvl="1" w:tentative="0">
      <w:start w:val="1"/>
      <w:numFmt w:val="decimal"/>
      <w:isLgl/>
      <w:suff w:val="space"/>
      <w:lvlText w:val="%1.%2"/>
      <w:lvlJc w:val="left"/>
      <w:pPr>
        <w:ind w:left="-106" w:firstLine="0"/>
      </w:pPr>
      <w:rPr>
        <w:rFonts w:hint="eastAsia"/>
      </w:rPr>
    </w:lvl>
    <w:lvl w:ilvl="2" w:tentative="0">
      <w:start w:val="1"/>
      <w:numFmt w:val="decimal"/>
      <w:isLgl/>
      <w:suff w:val="space"/>
      <w:lvlText w:val="%1.%2.%3"/>
      <w:lvlJc w:val="left"/>
      <w:pPr>
        <w:ind w:left="-106" w:firstLine="0"/>
      </w:pPr>
      <w:rPr>
        <w:rFonts w:hint="eastAsia"/>
      </w:rPr>
    </w:lvl>
    <w:lvl w:ilvl="3" w:tentative="0">
      <w:start w:val="1"/>
      <w:numFmt w:val="decimal"/>
      <w:isLgl/>
      <w:suff w:val="space"/>
      <w:lvlText w:val="%1.%2.%3.%4"/>
      <w:lvlJc w:val="left"/>
      <w:pPr>
        <w:ind w:left="-106" w:firstLine="0"/>
      </w:pPr>
      <w:rPr>
        <w:rFonts w:hint="eastAsia"/>
      </w:rPr>
    </w:lvl>
    <w:lvl w:ilvl="4" w:tentative="0">
      <w:start w:val="1"/>
      <w:numFmt w:val="decimal"/>
      <w:isLgl/>
      <w:suff w:val="space"/>
      <w:lvlText w:val="%1.%2.%3.%4.%5"/>
      <w:lvlJc w:val="left"/>
      <w:pPr>
        <w:ind w:left="-106" w:firstLine="0"/>
      </w:pPr>
      <w:rPr>
        <w:rFonts w:hint="eastAsia"/>
      </w:rPr>
    </w:lvl>
    <w:lvl w:ilvl="5" w:tentative="0">
      <w:start w:val="1"/>
      <w:numFmt w:val="decimal"/>
      <w:suff w:val="space"/>
      <w:lvlText w:val="%1.%2.%3.%4.%5.%6"/>
      <w:lvlJc w:val="left"/>
      <w:pPr>
        <w:ind w:left="-106" w:firstLine="0"/>
      </w:pPr>
      <w:rPr>
        <w:rFonts w:hint="eastAsia"/>
      </w:rPr>
    </w:lvl>
    <w:lvl w:ilvl="6" w:tentative="0">
      <w:start w:val="1"/>
      <w:numFmt w:val="decimal"/>
      <w:isLgl/>
      <w:suff w:val="space"/>
      <w:lvlText w:val="%1.%2.%3.%4.%5.%6.%7"/>
      <w:lvlJc w:val="left"/>
      <w:pPr>
        <w:ind w:left="-106" w:firstLine="0"/>
      </w:pPr>
      <w:rPr>
        <w:rFonts w:hint="eastAsia"/>
      </w:rPr>
    </w:lvl>
    <w:lvl w:ilvl="7" w:tentative="0">
      <w:start w:val="1"/>
      <w:numFmt w:val="decimal"/>
      <w:lvlRestart w:val="1"/>
      <w:isLgl/>
      <w:suff w:val="space"/>
      <w:lvlText w:val="图%1-%8"/>
      <w:lvlJc w:val="center"/>
      <w:pPr>
        <w:ind w:left="-106" w:firstLine="0"/>
      </w:pPr>
      <w:rPr>
        <w:rFonts w:hint="eastAsia"/>
      </w:rPr>
    </w:lvl>
    <w:lvl w:ilvl="8" w:tentative="0">
      <w:start w:val="1"/>
      <w:numFmt w:val="decimal"/>
      <w:lvlRestart w:val="1"/>
      <w:isLgl/>
      <w:suff w:val="space"/>
      <w:lvlText w:val="表%1-%9"/>
      <w:lvlJc w:val="center"/>
      <w:pPr>
        <w:ind w:left="-106" w:firstLine="0"/>
      </w:pPr>
      <w:rPr>
        <w:rFonts w:hint="eastAsia"/>
      </w:rPr>
    </w:lvl>
  </w:abstractNum>
  <w:abstractNum w:abstractNumId="29">
    <w:nsid w:val="0000000A"/>
    <w:multiLevelType w:val="multilevel"/>
    <w:tmpl w:val="0000000A"/>
    <w:lvl w:ilvl="0" w:tentative="0">
      <w:start w:val="1"/>
      <w:numFmt w:val="decimal"/>
      <w:pStyle w:val="118"/>
      <w:lvlText w:val="%1、"/>
      <w:lvlJc w:val="left"/>
      <w:pPr>
        <w:ind w:left="987" w:hanging="420"/>
      </w:pPr>
      <w:rPr>
        <w:rFonts w:hint="eastAsia"/>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0">
    <w:nsid w:val="0177C69E"/>
    <w:multiLevelType w:val="singleLevel"/>
    <w:tmpl w:val="0177C69E"/>
    <w:lvl w:ilvl="0" w:tentative="0">
      <w:start w:val="1"/>
      <w:numFmt w:val="decimal"/>
      <w:lvlText w:val="%1."/>
      <w:lvlJc w:val="left"/>
      <w:pPr>
        <w:ind w:left="425" w:hanging="425"/>
      </w:pPr>
      <w:rPr>
        <w:rFonts w:hint="default"/>
      </w:rPr>
    </w:lvl>
  </w:abstractNum>
  <w:abstractNum w:abstractNumId="31">
    <w:nsid w:val="06882CE3"/>
    <w:multiLevelType w:val="multilevel"/>
    <w:tmpl w:val="06882CE3"/>
    <w:lvl w:ilvl="0" w:tentative="0">
      <w:start w:val="1"/>
      <w:numFmt w:val="decimal"/>
      <w:pStyle w:val="79"/>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2">
    <w:nsid w:val="1241FA6F"/>
    <w:multiLevelType w:val="singleLevel"/>
    <w:tmpl w:val="1241FA6F"/>
    <w:lvl w:ilvl="0" w:tentative="0">
      <w:start w:val="1"/>
      <w:numFmt w:val="decimal"/>
      <w:lvlText w:val="%1."/>
      <w:lvlJc w:val="left"/>
      <w:pPr>
        <w:ind w:left="425" w:hanging="425"/>
      </w:pPr>
      <w:rPr>
        <w:rFonts w:hint="default"/>
      </w:rPr>
    </w:lvl>
  </w:abstractNum>
  <w:abstractNum w:abstractNumId="33">
    <w:nsid w:val="176F2367"/>
    <w:multiLevelType w:val="singleLevel"/>
    <w:tmpl w:val="176F2367"/>
    <w:lvl w:ilvl="0" w:tentative="0">
      <w:start w:val="1"/>
      <w:numFmt w:val="decimal"/>
      <w:lvlText w:val="%1."/>
      <w:lvlJc w:val="left"/>
      <w:pPr>
        <w:ind w:left="425" w:hanging="425"/>
      </w:pPr>
      <w:rPr>
        <w:rFonts w:hint="default"/>
      </w:rPr>
    </w:lvl>
  </w:abstractNum>
  <w:abstractNum w:abstractNumId="34">
    <w:nsid w:val="178D3D0E"/>
    <w:multiLevelType w:val="multilevel"/>
    <w:tmpl w:val="178D3D0E"/>
    <w:lvl w:ilvl="0" w:tentative="0">
      <w:start w:val="1"/>
      <w:numFmt w:val="bullet"/>
      <w:pStyle w:val="95"/>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35">
    <w:nsid w:val="1E000524"/>
    <w:multiLevelType w:val="singleLevel"/>
    <w:tmpl w:val="1E000524"/>
    <w:lvl w:ilvl="0" w:tentative="0">
      <w:start w:val="1"/>
      <w:numFmt w:val="decimal"/>
      <w:lvlText w:val="(%1)"/>
      <w:lvlJc w:val="left"/>
      <w:pPr>
        <w:ind w:left="425" w:hanging="425"/>
      </w:pPr>
      <w:rPr>
        <w:rFonts w:hint="default"/>
      </w:rPr>
    </w:lvl>
  </w:abstractNum>
  <w:abstractNum w:abstractNumId="36">
    <w:nsid w:val="1E7B065C"/>
    <w:multiLevelType w:val="multilevel"/>
    <w:tmpl w:val="1E7B065C"/>
    <w:lvl w:ilvl="0" w:tentative="0">
      <w:start w:val="1"/>
      <w:numFmt w:val="decimal"/>
      <w:pStyle w:val="100"/>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37">
    <w:nsid w:val="30A53E60"/>
    <w:multiLevelType w:val="singleLevel"/>
    <w:tmpl w:val="30A53E60"/>
    <w:lvl w:ilvl="0" w:tentative="0">
      <w:start w:val="1"/>
      <w:numFmt w:val="decimal"/>
      <w:lvlText w:val="(%1)"/>
      <w:lvlJc w:val="left"/>
      <w:pPr>
        <w:ind w:left="425" w:hanging="425"/>
      </w:pPr>
      <w:rPr>
        <w:rFonts w:hint="default"/>
      </w:rPr>
    </w:lvl>
  </w:abstractNum>
  <w:abstractNum w:abstractNumId="38">
    <w:nsid w:val="3A263EA2"/>
    <w:multiLevelType w:val="singleLevel"/>
    <w:tmpl w:val="3A263EA2"/>
    <w:lvl w:ilvl="0" w:tentative="0">
      <w:start w:val="1"/>
      <w:numFmt w:val="decimal"/>
      <w:lvlText w:val="%1."/>
      <w:lvlJc w:val="left"/>
      <w:pPr>
        <w:ind w:left="425" w:hanging="425"/>
      </w:pPr>
      <w:rPr>
        <w:rFonts w:hint="default"/>
      </w:rPr>
    </w:lvl>
  </w:abstractNum>
  <w:abstractNum w:abstractNumId="39">
    <w:nsid w:val="3CF6EF77"/>
    <w:multiLevelType w:val="singleLevel"/>
    <w:tmpl w:val="3CF6EF77"/>
    <w:lvl w:ilvl="0" w:tentative="0">
      <w:start w:val="1"/>
      <w:numFmt w:val="decimal"/>
      <w:lvlText w:val="%1."/>
      <w:lvlJc w:val="left"/>
      <w:pPr>
        <w:ind w:left="425" w:hanging="425"/>
      </w:pPr>
      <w:rPr>
        <w:rFonts w:hint="default"/>
      </w:rPr>
    </w:lvl>
  </w:abstractNum>
  <w:abstractNum w:abstractNumId="40">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41">
    <w:nsid w:val="4076B84B"/>
    <w:multiLevelType w:val="singleLevel"/>
    <w:tmpl w:val="4076B84B"/>
    <w:lvl w:ilvl="0" w:tentative="0">
      <w:start w:val="1"/>
      <w:numFmt w:val="decimal"/>
      <w:lvlText w:val="(%1)"/>
      <w:lvlJc w:val="left"/>
      <w:pPr>
        <w:ind w:left="425" w:hanging="425"/>
      </w:pPr>
      <w:rPr>
        <w:rFonts w:hint="default"/>
      </w:rPr>
    </w:lvl>
  </w:abstractNum>
  <w:abstractNum w:abstractNumId="42">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43">
    <w:nsid w:val="4C436F6D"/>
    <w:multiLevelType w:val="singleLevel"/>
    <w:tmpl w:val="4C436F6D"/>
    <w:lvl w:ilvl="0" w:tentative="0">
      <w:start w:val="1"/>
      <w:numFmt w:val="bullet"/>
      <w:lvlText w:val=""/>
      <w:lvlJc w:val="left"/>
      <w:pPr>
        <w:tabs>
          <w:tab w:val="left" w:pos="420"/>
        </w:tabs>
        <w:ind w:left="840" w:hanging="420"/>
      </w:pPr>
      <w:rPr>
        <w:rFonts w:hint="default" w:ascii="Wingdings" w:hAnsi="Wingdings"/>
      </w:rPr>
    </w:lvl>
  </w:abstractNum>
  <w:abstractNum w:abstractNumId="44">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5">
    <w:nsid w:val="520018B0"/>
    <w:multiLevelType w:val="multilevel"/>
    <w:tmpl w:val="520018B0"/>
    <w:lvl w:ilvl="0" w:tentative="0">
      <w:start w:val="1"/>
      <w:numFmt w:val="decimal"/>
      <w:pStyle w:val="78"/>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6">
    <w:nsid w:val="560F40FB"/>
    <w:multiLevelType w:val="multilevel"/>
    <w:tmpl w:val="560F40FB"/>
    <w:lvl w:ilvl="0" w:tentative="0">
      <w:start w:val="1"/>
      <w:numFmt w:val="lowerLetter"/>
      <w:pStyle w:val="10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7">
    <w:nsid w:val="56D20133"/>
    <w:multiLevelType w:val="multilevel"/>
    <w:tmpl w:val="56D20133"/>
    <w:lvl w:ilvl="0" w:tentative="0">
      <w:start w:val="1"/>
      <w:numFmt w:val="chineseCountingThousand"/>
      <w:pStyle w:val="77"/>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48">
    <w:nsid w:val="5983D379"/>
    <w:multiLevelType w:val="singleLevel"/>
    <w:tmpl w:val="5983D379"/>
    <w:lvl w:ilvl="0" w:tentative="0">
      <w:start w:val="1"/>
      <w:numFmt w:val="decimal"/>
      <w:lvlText w:val="(%1)"/>
      <w:lvlJc w:val="left"/>
      <w:pPr>
        <w:ind w:left="425" w:hanging="425"/>
      </w:pPr>
      <w:rPr>
        <w:rFonts w:hint="default"/>
      </w:rPr>
    </w:lvl>
  </w:abstractNum>
  <w:abstractNum w:abstractNumId="49">
    <w:nsid w:val="5F0B1FE8"/>
    <w:multiLevelType w:val="singleLevel"/>
    <w:tmpl w:val="5F0B1FE8"/>
    <w:lvl w:ilvl="0" w:tentative="0">
      <w:start w:val="1"/>
      <w:numFmt w:val="bullet"/>
      <w:lvlText w:val=""/>
      <w:lvlJc w:val="left"/>
      <w:pPr>
        <w:ind w:left="420" w:hanging="420"/>
      </w:pPr>
      <w:rPr>
        <w:rFonts w:hint="default" w:ascii="Wingdings" w:hAnsi="Wingdings"/>
      </w:rPr>
    </w:lvl>
  </w:abstractNum>
  <w:abstractNum w:abstractNumId="50">
    <w:nsid w:val="60E982F2"/>
    <w:multiLevelType w:val="singleLevel"/>
    <w:tmpl w:val="60E982F2"/>
    <w:lvl w:ilvl="0" w:tentative="0">
      <w:start w:val="1"/>
      <w:numFmt w:val="decimal"/>
      <w:lvlText w:val="(%1)"/>
      <w:lvlJc w:val="left"/>
      <w:pPr>
        <w:ind w:left="425" w:hanging="425"/>
      </w:pPr>
      <w:rPr>
        <w:rFonts w:hint="default"/>
      </w:rPr>
    </w:lvl>
  </w:abstractNum>
  <w:abstractNum w:abstractNumId="51">
    <w:nsid w:val="6172D9DC"/>
    <w:multiLevelType w:val="singleLevel"/>
    <w:tmpl w:val="6172D9DC"/>
    <w:lvl w:ilvl="0" w:tentative="0">
      <w:start w:val="1"/>
      <w:numFmt w:val="decimal"/>
      <w:lvlText w:val="%1."/>
      <w:lvlJc w:val="left"/>
      <w:pPr>
        <w:ind w:left="425" w:hanging="425"/>
      </w:pPr>
      <w:rPr>
        <w:rFonts w:hint="default"/>
      </w:rPr>
    </w:lvl>
  </w:abstractNum>
  <w:abstractNum w:abstractNumId="52">
    <w:nsid w:val="656A6EAE"/>
    <w:multiLevelType w:val="multilevel"/>
    <w:tmpl w:val="656A6EAE"/>
    <w:lvl w:ilvl="0" w:tentative="0">
      <w:start w:val="1"/>
      <w:numFmt w:val="chineseCountingThousand"/>
      <w:pStyle w:val="7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3">
    <w:nsid w:val="6645DDB3"/>
    <w:multiLevelType w:val="singleLevel"/>
    <w:tmpl w:val="6645DDB3"/>
    <w:lvl w:ilvl="0" w:tentative="0">
      <w:start w:val="1"/>
      <w:numFmt w:val="decimalEnclosedCircleChinese"/>
      <w:suff w:val="nothing"/>
      <w:lvlText w:val="%1　"/>
      <w:lvlJc w:val="left"/>
      <w:pPr>
        <w:ind w:left="0" w:firstLine="400"/>
      </w:pPr>
      <w:rPr>
        <w:rFonts w:hint="eastAsia"/>
      </w:rPr>
    </w:lvl>
  </w:abstractNum>
  <w:abstractNum w:abstractNumId="54">
    <w:nsid w:val="7830C845"/>
    <w:multiLevelType w:val="multilevel"/>
    <w:tmpl w:val="7830C845"/>
    <w:lvl w:ilvl="0" w:tentative="0">
      <w:start w:val="1"/>
      <w:numFmt w:val="decimal"/>
      <w:pStyle w:val="119"/>
      <w:lvlText w:val="%1）"/>
      <w:lvlJc w:val="left"/>
      <w:pPr>
        <w:ind w:left="420" w:hanging="420"/>
      </w:pPr>
      <w:rPr>
        <w:rFonts w:hint="eastAsia" w:ascii="Times New Roman" w:hAnsi="Times New Roman" w:eastAsia="宋体" w:cs="Times New Roman"/>
        <w:b w:val="0"/>
        <w:bCs/>
      </w:rPr>
    </w:lvl>
    <w:lvl w:ilvl="1" w:tentative="0">
      <w:start w:val="1"/>
      <w:numFmt w:val="decimal"/>
      <w:lvlText w:val="%2)"/>
      <w:lvlJc w:val="left"/>
      <w:pPr>
        <w:tabs>
          <w:tab w:val="left" w:pos="693"/>
        </w:tabs>
        <w:ind w:left="693" w:hanging="420"/>
      </w:pPr>
    </w:lvl>
    <w:lvl w:ilvl="2" w:tentative="0">
      <w:start w:val="1"/>
      <w:numFmt w:val="lowerRoman"/>
      <w:lvlText w:val="%3."/>
      <w:lvlJc w:val="right"/>
      <w:pPr>
        <w:ind w:left="1113" w:hanging="420"/>
      </w:pPr>
    </w:lvl>
    <w:lvl w:ilvl="3" w:tentative="0">
      <w:start w:val="1"/>
      <w:numFmt w:val="decimal"/>
      <w:lvlText w:val="%4."/>
      <w:lvlJc w:val="left"/>
      <w:pPr>
        <w:ind w:left="1533" w:hanging="420"/>
      </w:pPr>
    </w:lvl>
    <w:lvl w:ilvl="4" w:tentative="0">
      <w:start w:val="1"/>
      <w:numFmt w:val="lowerLetter"/>
      <w:lvlText w:val="%5)"/>
      <w:lvlJc w:val="left"/>
      <w:pPr>
        <w:ind w:left="1953" w:hanging="420"/>
      </w:pPr>
    </w:lvl>
    <w:lvl w:ilvl="5" w:tentative="0">
      <w:start w:val="1"/>
      <w:numFmt w:val="lowerRoman"/>
      <w:lvlText w:val="%6."/>
      <w:lvlJc w:val="right"/>
      <w:pPr>
        <w:ind w:left="2373" w:hanging="420"/>
      </w:pPr>
    </w:lvl>
    <w:lvl w:ilvl="6" w:tentative="0">
      <w:start w:val="1"/>
      <w:numFmt w:val="decimal"/>
      <w:lvlText w:val="%7."/>
      <w:lvlJc w:val="left"/>
      <w:pPr>
        <w:ind w:left="2793" w:hanging="420"/>
      </w:pPr>
    </w:lvl>
    <w:lvl w:ilvl="7" w:tentative="0">
      <w:start w:val="1"/>
      <w:numFmt w:val="lowerLetter"/>
      <w:lvlText w:val="%8)"/>
      <w:lvlJc w:val="left"/>
      <w:pPr>
        <w:ind w:left="3213" w:hanging="420"/>
      </w:pPr>
    </w:lvl>
    <w:lvl w:ilvl="8" w:tentative="0">
      <w:start w:val="1"/>
      <w:numFmt w:val="lowerRoman"/>
      <w:lvlText w:val="%9."/>
      <w:lvlJc w:val="right"/>
      <w:pPr>
        <w:ind w:left="3633" w:hanging="420"/>
      </w:pPr>
    </w:lvl>
  </w:abstractNum>
  <w:abstractNum w:abstractNumId="5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44"/>
  </w:num>
  <w:num w:numId="2">
    <w:abstractNumId w:val="52"/>
  </w:num>
  <w:num w:numId="3">
    <w:abstractNumId w:val="47"/>
  </w:num>
  <w:num w:numId="4">
    <w:abstractNumId w:val="45"/>
  </w:num>
  <w:num w:numId="5">
    <w:abstractNumId w:val="31"/>
  </w:num>
  <w:num w:numId="6">
    <w:abstractNumId w:val="34"/>
  </w:num>
  <w:num w:numId="7">
    <w:abstractNumId w:val="36"/>
  </w:num>
  <w:num w:numId="8">
    <w:abstractNumId w:val="46"/>
  </w:num>
  <w:num w:numId="9">
    <w:abstractNumId w:val="28"/>
  </w:num>
  <w:num w:numId="10">
    <w:abstractNumId w:val="29"/>
  </w:num>
  <w:num w:numId="11">
    <w:abstractNumId w:val="54"/>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num>
  <w:num w:numId="14">
    <w:abstractNumId w:val="21"/>
  </w:num>
  <w:num w:numId="15">
    <w:abstractNumId w:val="2"/>
  </w:num>
  <w:num w:numId="16">
    <w:abstractNumId w:val="15"/>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8"/>
  </w:num>
  <w:num w:numId="20">
    <w:abstractNumId w:val="12"/>
  </w:num>
  <w:num w:numId="21">
    <w:abstractNumId w:val="0"/>
  </w:num>
  <w:num w:numId="22">
    <w:abstractNumId w:val="3"/>
  </w:num>
  <w:num w:numId="23">
    <w:abstractNumId w:val="48"/>
  </w:num>
  <w:num w:numId="24">
    <w:abstractNumId w:val="55"/>
  </w:num>
  <w:num w:numId="25">
    <w:abstractNumId w:val="18"/>
  </w:num>
  <w:num w:numId="26">
    <w:abstractNumId w:val="19"/>
  </w:num>
  <w:num w:numId="27">
    <w:abstractNumId w:val="25"/>
  </w:num>
  <w:num w:numId="28">
    <w:abstractNumId w:val="6"/>
  </w:num>
  <w:num w:numId="29">
    <w:abstractNumId w:val="1"/>
  </w:num>
  <w:num w:numId="30">
    <w:abstractNumId w:val="13"/>
  </w:num>
  <w:num w:numId="31">
    <w:abstractNumId w:val="27"/>
  </w:num>
  <w:num w:numId="32">
    <w:abstractNumId w:val="20"/>
  </w:num>
  <w:num w:numId="33">
    <w:abstractNumId w:val="42"/>
  </w:num>
  <w:num w:numId="34">
    <w:abstractNumId w:val="22"/>
  </w:num>
  <w:num w:numId="35">
    <w:abstractNumId w:val="23"/>
  </w:num>
  <w:num w:numId="36">
    <w:abstractNumId w:val="39"/>
  </w:num>
  <w:num w:numId="37">
    <w:abstractNumId w:val="53"/>
  </w:num>
  <w:num w:numId="38">
    <w:abstractNumId w:val="9"/>
  </w:num>
  <w:num w:numId="39">
    <w:abstractNumId w:val="38"/>
  </w:num>
  <w:num w:numId="40">
    <w:abstractNumId w:val="41"/>
  </w:num>
  <w:num w:numId="41">
    <w:abstractNumId w:val="37"/>
  </w:num>
  <w:num w:numId="42">
    <w:abstractNumId w:val="51"/>
  </w:num>
  <w:num w:numId="43">
    <w:abstractNumId w:val="11"/>
  </w:num>
  <w:num w:numId="44">
    <w:abstractNumId w:val="7"/>
  </w:num>
  <w:num w:numId="45">
    <w:abstractNumId w:val="16"/>
  </w:num>
  <w:num w:numId="46">
    <w:abstractNumId w:val="49"/>
  </w:num>
  <w:num w:numId="47">
    <w:abstractNumId w:val="10"/>
  </w:num>
  <w:num w:numId="48">
    <w:abstractNumId w:val="24"/>
  </w:num>
  <w:num w:numId="49">
    <w:abstractNumId w:val="43"/>
  </w:num>
  <w:num w:numId="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num>
  <w:num w:numId="52">
    <w:abstractNumId w:val="50"/>
  </w:num>
  <w:num w:numId="53">
    <w:abstractNumId w:val="17"/>
  </w:num>
  <w:num w:numId="54">
    <w:abstractNumId w:val="5"/>
  </w:num>
  <w:num w:numId="55">
    <w:abstractNumId w:val="35"/>
  </w:num>
  <w:num w:numId="56">
    <w:abstractNumId w:val="33"/>
  </w:num>
  <w:num w:numId="57">
    <w:abstractNumId w:val="4"/>
  </w:num>
  <w:num w:numId="58">
    <w:abstractNumId w:val="32"/>
  </w:num>
  <w:num w:numId="5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87A22"/>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2DAD"/>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2E34"/>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62C"/>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04D0"/>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9F1CAA"/>
    <w:rsid w:val="02704AC1"/>
    <w:rsid w:val="02C31B6F"/>
    <w:rsid w:val="02CC3DCA"/>
    <w:rsid w:val="02FE76EF"/>
    <w:rsid w:val="03F033B0"/>
    <w:rsid w:val="04262143"/>
    <w:rsid w:val="057C1D39"/>
    <w:rsid w:val="057C7E0F"/>
    <w:rsid w:val="05891259"/>
    <w:rsid w:val="0599432F"/>
    <w:rsid w:val="059F3263"/>
    <w:rsid w:val="05F85B24"/>
    <w:rsid w:val="08633479"/>
    <w:rsid w:val="08E15D0F"/>
    <w:rsid w:val="09E6722F"/>
    <w:rsid w:val="0A6F1B02"/>
    <w:rsid w:val="0A9E3083"/>
    <w:rsid w:val="0C1E1FA1"/>
    <w:rsid w:val="0CB51572"/>
    <w:rsid w:val="0D8721FC"/>
    <w:rsid w:val="0E1236BA"/>
    <w:rsid w:val="0E1704E7"/>
    <w:rsid w:val="0E4D31E3"/>
    <w:rsid w:val="0EBB3568"/>
    <w:rsid w:val="0F490B74"/>
    <w:rsid w:val="0F544445"/>
    <w:rsid w:val="0F56084F"/>
    <w:rsid w:val="10CA161A"/>
    <w:rsid w:val="10DC2AA3"/>
    <w:rsid w:val="10FA7C8C"/>
    <w:rsid w:val="115E2610"/>
    <w:rsid w:val="11F56B6F"/>
    <w:rsid w:val="12E0534B"/>
    <w:rsid w:val="130B198F"/>
    <w:rsid w:val="137F7F8A"/>
    <w:rsid w:val="14C200ED"/>
    <w:rsid w:val="15500E09"/>
    <w:rsid w:val="16A918E4"/>
    <w:rsid w:val="16A96F82"/>
    <w:rsid w:val="17101F77"/>
    <w:rsid w:val="17D966D6"/>
    <w:rsid w:val="189E22EE"/>
    <w:rsid w:val="18F41B50"/>
    <w:rsid w:val="1A9A2283"/>
    <w:rsid w:val="1BC71D3B"/>
    <w:rsid w:val="1BE86B88"/>
    <w:rsid w:val="1C203C82"/>
    <w:rsid w:val="1C59115B"/>
    <w:rsid w:val="1D8B0F5B"/>
    <w:rsid w:val="1ED7245A"/>
    <w:rsid w:val="1FB23E60"/>
    <w:rsid w:val="21F7620D"/>
    <w:rsid w:val="22421BE1"/>
    <w:rsid w:val="22C5630B"/>
    <w:rsid w:val="23085F96"/>
    <w:rsid w:val="23DE443D"/>
    <w:rsid w:val="23EC0BA6"/>
    <w:rsid w:val="24701A48"/>
    <w:rsid w:val="24E81A9F"/>
    <w:rsid w:val="24F1163A"/>
    <w:rsid w:val="268B0052"/>
    <w:rsid w:val="271C4CB4"/>
    <w:rsid w:val="27743C90"/>
    <w:rsid w:val="27B10B3C"/>
    <w:rsid w:val="28C828DD"/>
    <w:rsid w:val="29692B9A"/>
    <w:rsid w:val="299711CA"/>
    <w:rsid w:val="29CA2459"/>
    <w:rsid w:val="2A5A1A2F"/>
    <w:rsid w:val="2ABE34FC"/>
    <w:rsid w:val="2AD652FE"/>
    <w:rsid w:val="2B271A58"/>
    <w:rsid w:val="2B6304A7"/>
    <w:rsid w:val="2C063C1D"/>
    <w:rsid w:val="2CF6734C"/>
    <w:rsid w:val="2D663463"/>
    <w:rsid w:val="2E224612"/>
    <w:rsid w:val="2EA21D74"/>
    <w:rsid w:val="2EF96EE4"/>
    <w:rsid w:val="2F401B98"/>
    <w:rsid w:val="2FB35E69"/>
    <w:rsid w:val="2FFF1D86"/>
    <w:rsid w:val="30D96CC6"/>
    <w:rsid w:val="323D3B96"/>
    <w:rsid w:val="32C65EB4"/>
    <w:rsid w:val="34362BC5"/>
    <w:rsid w:val="345E1ECE"/>
    <w:rsid w:val="34B34AFA"/>
    <w:rsid w:val="35CF70EE"/>
    <w:rsid w:val="36254FE4"/>
    <w:rsid w:val="36323E75"/>
    <w:rsid w:val="372F61E0"/>
    <w:rsid w:val="37306422"/>
    <w:rsid w:val="38F670C6"/>
    <w:rsid w:val="39322FCA"/>
    <w:rsid w:val="3AAB0DB8"/>
    <w:rsid w:val="3AB90991"/>
    <w:rsid w:val="3AF04F6B"/>
    <w:rsid w:val="3B706131"/>
    <w:rsid w:val="3C8A03F0"/>
    <w:rsid w:val="3CF40F76"/>
    <w:rsid w:val="3E6F041E"/>
    <w:rsid w:val="4275481E"/>
    <w:rsid w:val="428B617A"/>
    <w:rsid w:val="42E84CD2"/>
    <w:rsid w:val="433D7BDC"/>
    <w:rsid w:val="437E1813"/>
    <w:rsid w:val="44A92F3F"/>
    <w:rsid w:val="4571270A"/>
    <w:rsid w:val="45BD47FC"/>
    <w:rsid w:val="45CC5FB2"/>
    <w:rsid w:val="45EA3DCE"/>
    <w:rsid w:val="4667056A"/>
    <w:rsid w:val="46B75BA8"/>
    <w:rsid w:val="46BB2F91"/>
    <w:rsid w:val="47413903"/>
    <w:rsid w:val="47B772B9"/>
    <w:rsid w:val="47D7796D"/>
    <w:rsid w:val="47DD17EF"/>
    <w:rsid w:val="47FF75DD"/>
    <w:rsid w:val="48205C0E"/>
    <w:rsid w:val="482A12F4"/>
    <w:rsid w:val="488804C5"/>
    <w:rsid w:val="48C97955"/>
    <w:rsid w:val="490E0001"/>
    <w:rsid w:val="49880C8F"/>
    <w:rsid w:val="4A8835F7"/>
    <w:rsid w:val="4AE74B6B"/>
    <w:rsid w:val="4B592E71"/>
    <w:rsid w:val="4BE63AA5"/>
    <w:rsid w:val="4C0F6565"/>
    <w:rsid w:val="4CBD0D73"/>
    <w:rsid w:val="4CD43A79"/>
    <w:rsid w:val="4F204746"/>
    <w:rsid w:val="4F4B0177"/>
    <w:rsid w:val="4F50252A"/>
    <w:rsid w:val="4F8158E4"/>
    <w:rsid w:val="50617C70"/>
    <w:rsid w:val="524C27C2"/>
    <w:rsid w:val="52B9239A"/>
    <w:rsid w:val="54BD78FD"/>
    <w:rsid w:val="54E2107C"/>
    <w:rsid w:val="54ED6E78"/>
    <w:rsid w:val="562260D0"/>
    <w:rsid w:val="565847C5"/>
    <w:rsid w:val="56C56ABE"/>
    <w:rsid w:val="56D743D4"/>
    <w:rsid w:val="57684B46"/>
    <w:rsid w:val="579515B8"/>
    <w:rsid w:val="58246094"/>
    <w:rsid w:val="58A86DDE"/>
    <w:rsid w:val="59154AD7"/>
    <w:rsid w:val="5ADA1C4D"/>
    <w:rsid w:val="5ADF548D"/>
    <w:rsid w:val="5AEF2116"/>
    <w:rsid w:val="5BFF2C01"/>
    <w:rsid w:val="5C096970"/>
    <w:rsid w:val="5C94482F"/>
    <w:rsid w:val="5CEE6126"/>
    <w:rsid w:val="5CFC40FC"/>
    <w:rsid w:val="5D5C60B4"/>
    <w:rsid w:val="601F4406"/>
    <w:rsid w:val="612754C0"/>
    <w:rsid w:val="61796C96"/>
    <w:rsid w:val="622D1396"/>
    <w:rsid w:val="62B4303A"/>
    <w:rsid w:val="62D033F2"/>
    <w:rsid w:val="63F04A69"/>
    <w:rsid w:val="66A50B1E"/>
    <w:rsid w:val="676F74A5"/>
    <w:rsid w:val="67B2063C"/>
    <w:rsid w:val="67C97AC3"/>
    <w:rsid w:val="67E30EC1"/>
    <w:rsid w:val="681A7E4B"/>
    <w:rsid w:val="69301752"/>
    <w:rsid w:val="6A4E3B2B"/>
    <w:rsid w:val="6B481C3B"/>
    <w:rsid w:val="6C1331A3"/>
    <w:rsid w:val="6C78126B"/>
    <w:rsid w:val="6CA84BC1"/>
    <w:rsid w:val="6CFE2AEF"/>
    <w:rsid w:val="6D3E4756"/>
    <w:rsid w:val="6F015B9D"/>
    <w:rsid w:val="6F866623"/>
    <w:rsid w:val="6FC523EB"/>
    <w:rsid w:val="6FD71A8A"/>
    <w:rsid w:val="707214C9"/>
    <w:rsid w:val="72895F2E"/>
    <w:rsid w:val="72C02EBE"/>
    <w:rsid w:val="72C409A8"/>
    <w:rsid w:val="72C507AD"/>
    <w:rsid w:val="72D028D8"/>
    <w:rsid w:val="732A300A"/>
    <w:rsid w:val="745D47C3"/>
    <w:rsid w:val="746606BE"/>
    <w:rsid w:val="74AC27FF"/>
    <w:rsid w:val="75AA1BCC"/>
    <w:rsid w:val="76AC3757"/>
    <w:rsid w:val="7726029C"/>
    <w:rsid w:val="783B73D7"/>
    <w:rsid w:val="788F7343"/>
    <w:rsid w:val="78CC3592"/>
    <w:rsid w:val="79311FD3"/>
    <w:rsid w:val="79584DA3"/>
    <w:rsid w:val="797344C1"/>
    <w:rsid w:val="7ABD513C"/>
    <w:rsid w:val="7C0C09DA"/>
    <w:rsid w:val="7C6849E3"/>
    <w:rsid w:val="7CB93F8E"/>
    <w:rsid w:val="7CF66B46"/>
    <w:rsid w:val="7D3C2FD2"/>
    <w:rsid w:val="7DBD28BA"/>
    <w:rsid w:val="7EC12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semiHidden="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0"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71"/>
    <w:qFormat/>
    <w:uiPriority w:val="0"/>
    <w:pPr>
      <w:keepNext/>
      <w:keepLines/>
      <w:spacing w:before="340" w:after="330" w:line="578" w:lineRule="auto"/>
      <w:outlineLvl w:val="0"/>
    </w:pPr>
    <w:rPr>
      <w:b/>
      <w:bCs/>
      <w:kern w:val="44"/>
      <w:sz w:val="44"/>
      <w:szCs w:val="44"/>
    </w:rPr>
  </w:style>
  <w:style w:type="paragraph" w:styleId="2">
    <w:name w:val="heading 2"/>
    <w:basedOn w:val="1"/>
    <w:next w:val="1"/>
    <w:link w:val="73"/>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7"/>
    <w:semiHidden/>
    <w:qFormat/>
    <w:uiPriority w:val="0"/>
    <w:pPr>
      <w:keepNext/>
      <w:keepLines/>
      <w:spacing w:line="416" w:lineRule="auto"/>
      <w:outlineLvl w:val="2"/>
    </w:pPr>
    <w:rPr>
      <w:b/>
      <w:bCs/>
      <w:sz w:val="32"/>
      <w:szCs w:val="32"/>
    </w:rPr>
  </w:style>
  <w:style w:type="paragraph" w:styleId="5">
    <w:name w:val="heading 4"/>
    <w:basedOn w:val="1"/>
    <w:next w:val="1"/>
    <w:link w:val="81"/>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82"/>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8"/>
    <w:semiHidden/>
    <w:qFormat/>
    <w:uiPriority w:val="99"/>
    <w:pPr>
      <w:spacing w:after="200" w:line="276" w:lineRule="auto"/>
      <w:jc w:val="left"/>
    </w:pPr>
    <w:rPr>
      <w:rFonts w:ascii="Calibri" w:hAnsi="Calibri"/>
      <w:kern w:val="0"/>
      <w:szCs w:val="21"/>
    </w:rPr>
  </w:style>
  <w:style w:type="paragraph" w:styleId="8">
    <w:name w:val="Normal Indent"/>
    <w:basedOn w:val="1"/>
    <w:qFormat/>
    <w:uiPriority w:val="0"/>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7"/>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9"/>
    <w:qFormat/>
    <w:uiPriority w:val="99"/>
    <w:pPr>
      <w:jc w:val="left"/>
    </w:pPr>
  </w:style>
  <w:style w:type="paragraph" w:styleId="12">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3">
    <w:name w:val="Body Text"/>
    <w:basedOn w:val="1"/>
    <w:link w:val="45"/>
    <w:semiHidden/>
    <w:qFormat/>
    <w:uiPriority w:val="98"/>
    <w:rPr>
      <w:rFonts w:ascii="仿宋_GB2312" w:eastAsia="仿宋_GB2312"/>
      <w:sz w:val="32"/>
    </w:rPr>
  </w:style>
  <w:style w:type="paragraph" w:styleId="14">
    <w:name w:val="Body Text Indent"/>
    <w:basedOn w:val="1"/>
    <w:next w:val="1"/>
    <w:link w:val="52"/>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4"/>
    <w:qFormat/>
    <w:uiPriority w:val="0"/>
    <w:rPr>
      <w:rFonts w:ascii="宋体" w:hAnsi="Courier New"/>
    </w:rPr>
  </w:style>
  <w:style w:type="paragraph" w:styleId="17">
    <w:name w:val="Date"/>
    <w:basedOn w:val="1"/>
    <w:next w:val="1"/>
    <w:link w:val="91"/>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90"/>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51"/>
    <w:semiHidden/>
    <w:qFormat/>
    <w:uiPriority w:val="0"/>
    <w:rPr>
      <w:sz w:val="18"/>
      <w:szCs w:val="18"/>
    </w:rPr>
  </w:style>
  <w:style w:type="paragraph" w:styleId="20">
    <w:name w:val="footer"/>
    <w:basedOn w:val="1"/>
    <w:link w:val="46"/>
    <w:semiHidden/>
    <w:qFormat/>
    <w:uiPriority w:val="0"/>
    <w:pPr>
      <w:tabs>
        <w:tab w:val="center" w:pos="4153"/>
        <w:tab w:val="right" w:pos="8306"/>
      </w:tabs>
      <w:snapToGrid w:val="0"/>
      <w:jc w:val="left"/>
    </w:pPr>
    <w:rPr>
      <w:sz w:val="18"/>
      <w:szCs w:val="18"/>
    </w:rPr>
  </w:style>
  <w:style w:type="paragraph" w:styleId="21">
    <w:name w:val="header"/>
    <w:basedOn w:val="1"/>
    <w:link w:val="56"/>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Subtitle"/>
    <w:basedOn w:val="1"/>
    <w:qFormat/>
    <w:uiPriority w:val="0"/>
    <w:pPr>
      <w:adjustRightInd w:val="0"/>
      <w:spacing w:line="300" w:lineRule="auto"/>
      <w:ind w:firstLine="454"/>
      <w:jc w:val="center"/>
      <w:textAlignment w:val="baseline"/>
    </w:pPr>
    <w:rPr>
      <w:rFonts w:ascii="宋体" w:eastAsia="黑体"/>
      <w:b/>
      <w:kern w:val="0"/>
      <w:sz w:val="30"/>
    </w:rPr>
  </w:style>
  <w:style w:type="paragraph" w:styleId="24">
    <w:name w:val="List"/>
    <w:basedOn w:val="1"/>
    <w:qFormat/>
    <w:uiPriority w:val="0"/>
    <w:pPr>
      <w:ind w:left="200" w:hanging="200" w:hangingChars="200"/>
    </w:pPr>
    <w:rPr>
      <w:szCs w:val="21"/>
    </w:rPr>
  </w:style>
  <w:style w:type="paragraph" w:styleId="25">
    <w:name w:val="footnote text"/>
    <w:basedOn w:val="1"/>
    <w:qFormat/>
    <w:uiPriority w:val="0"/>
    <w:pPr>
      <w:snapToGrid w:val="0"/>
      <w:jc w:val="left"/>
    </w:pPr>
    <w:rPr>
      <w:sz w:val="18"/>
    </w:rPr>
  </w:style>
  <w:style w:type="paragraph" w:styleId="26">
    <w:name w:val="Body Text Indent 3"/>
    <w:basedOn w:val="1"/>
    <w:link w:val="87"/>
    <w:semiHidden/>
    <w:qFormat/>
    <w:uiPriority w:val="0"/>
    <w:pPr>
      <w:spacing w:line="360" w:lineRule="auto"/>
      <w:ind w:left="1347" w:leftChars="413" w:hanging="480" w:hangingChars="200"/>
    </w:pPr>
    <w:rPr>
      <w:rFonts w:ascii="宋体" w:hAnsi="宋体"/>
      <w:color w:val="FF0000"/>
      <w:sz w:val="24"/>
      <w:szCs w:val="24"/>
    </w:rPr>
  </w:style>
  <w:style w:type="paragraph" w:styleId="27">
    <w:name w:val="index 9"/>
    <w:basedOn w:val="1"/>
    <w:next w:val="1"/>
    <w:semiHidden/>
    <w:qFormat/>
    <w:uiPriority w:val="98"/>
    <w:pPr>
      <w:ind w:left="1600" w:leftChars="1600"/>
    </w:pPr>
  </w:style>
  <w:style w:type="paragraph" w:styleId="28">
    <w:name w:val="toc 2"/>
    <w:basedOn w:val="1"/>
    <w:next w:val="1"/>
    <w:qFormat/>
    <w:uiPriority w:val="39"/>
    <w:pPr>
      <w:ind w:left="420" w:leftChars="200"/>
    </w:pPr>
  </w:style>
  <w:style w:type="paragraph" w:styleId="29">
    <w:name w:val="Message Header"/>
    <w:basedOn w:val="1"/>
    <w:link w:val="112"/>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30">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31">
    <w:name w:val="Title"/>
    <w:basedOn w:val="1"/>
    <w:next w:val="1"/>
    <w:link w:val="74"/>
    <w:semiHidden/>
    <w:qFormat/>
    <w:uiPriority w:val="0"/>
    <w:pPr>
      <w:spacing w:before="240" w:after="60"/>
      <w:jc w:val="center"/>
      <w:outlineLvl w:val="0"/>
    </w:pPr>
    <w:rPr>
      <w:rFonts w:eastAsia="黑体" w:asciiTheme="majorHAnsi" w:hAnsiTheme="majorHAnsi" w:cstheme="majorBidi"/>
      <w:b/>
      <w:bCs/>
      <w:sz w:val="36"/>
      <w:szCs w:val="32"/>
    </w:rPr>
  </w:style>
  <w:style w:type="paragraph" w:styleId="32">
    <w:name w:val="annotation subject"/>
    <w:basedOn w:val="11"/>
    <w:next w:val="11"/>
    <w:link w:val="57"/>
    <w:semiHidden/>
    <w:qFormat/>
    <w:uiPriority w:val="98"/>
    <w:rPr>
      <w:b/>
      <w:bCs/>
    </w:rPr>
  </w:style>
  <w:style w:type="paragraph" w:styleId="33">
    <w:name w:val="Body Text First Indent 2"/>
    <w:basedOn w:val="14"/>
    <w:next w:val="28"/>
    <w:qFormat/>
    <w:uiPriority w:val="0"/>
    <w:pPr>
      <w:spacing w:line="276" w:lineRule="auto"/>
      <w:ind w:left="200" w:firstLine="200" w:firstLineChars="200"/>
      <w:jc w:val="left"/>
    </w:p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semiHidden/>
    <w:qFormat/>
    <w:uiPriority w:val="98"/>
    <w:rPr>
      <w:b/>
    </w:rPr>
  </w:style>
  <w:style w:type="character" w:styleId="38">
    <w:name w:val="page number"/>
    <w:basedOn w:val="36"/>
    <w:semiHidden/>
    <w:qFormat/>
    <w:uiPriority w:val="0"/>
  </w:style>
  <w:style w:type="character" w:styleId="39">
    <w:name w:val="FollowedHyperlink"/>
    <w:semiHidden/>
    <w:qFormat/>
    <w:uiPriority w:val="98"/>
    <w:rPr>
      <w:color w:val="800080"/>
      <w:u w:val="single"/>
    </w:rPr>
  </w:style>
  <w:style w:type="character" w:styleId="40">
    <w:name w:val="Emphasis"/>
    <w:semiHidden/>
    <w:qFormat/>
    <w:uiPriority w:val="98"/>
    <w:rPr>
      <w:i/>
      <w:iCs/>
    </w:rPr>
  </w:style>
  <w:style w:type="character" w:styleId="41">
    <w:name w:val="Hyperlink"/>
    <w:basedOn w:val="36"/>
    <w:qFormat/>
    <w:uiPriority w:val="99"/>
    <w:rPr>
      <w:rFonts w:cs="Times New Roman"/>
      <w:color w:val="1F4F88"/>
      <w:u w:val="none"/>
    </w:rPr>
  </w:style>
  <w:style w:type="character" w:styleId="42">
    <w:name w:val="annotation reference"/>
    <w:semiHidden/>
    <w:qFormat/>
    <w:uiPriority w:val="98"/>
    <w:rPr>
      <w:sz w:val="21"/>
      <w:szCs w:val="21"/>
    </w:rPr>
  </w:style>
  <w:style w:type="character" w:customStyle="1" w:styleId="43">
    <w:name w:val="Char Char3"/>
    <w:semiHidden/>
    <w:qFormat/>
    <w:uiPriority w:val="98"/>
    <w:rPr>
      <w:rFonts w:ascii="宋体" w:hAnsi="Courier New" w:eastAsia="宋体"/>
      <w:kern w:val="2"/>
      <w:sz w:val="21"/>
      <w:lang w:val="en-US" w:eastAsia="zh-CN" w:bidi="ar-SA"/>
    </w:rPr>
  </w:style>
  <w:style w:type="character" w:customStyle="1" w:styleId="44">
    <w:name w:val="纯文本 Char"/>
    <w:semiHidden/>
    <w:qFormat/>
    <w:uiPriority w:val="98"/>
    <w:rPr>
      <w:rFonts w:ascii="宋体" w:hAnsi="Courier New" w:eastAsia="宋体"/>
      <w:kern w:val="2"/>
      <w:sz w:val="21"/>
      <w:lang w:val="en-US" w:eastAsia="zh-CN" w:bidi="ar-SA"/>
    </w:rPr>
  </w:style>
  <w:style w:type="character" w:customStyle="1" w:styleId="45">
    <w:name w:val="正文文本 字符"/>
    <w:link w:val="13"/>
    <w:semiHidden/>
    <w:qFormat/>
    <w:uiPriority w:val="98"/>
    <w:rPr>
      <w:rFonts w:ascii="仿宋_GB2312" w:eastAsia="仿宋_GB2312"/>
      <w:kern w:val="2"/>
      <w:sz w:val="32"/>
    </w:rPr>
  </w:style>
  <w:style w:type="character" w:customStyle="1" w:styleId="46">
    <w:name w:val="页脚 字符"/>
    <w:link w:val="20"/>
    <w:semiHidden/>
    <w:qFormat/>
    <w:uiPriority w:val="0"/>
    <w:rPr>
      <w:kern w:val="2"/>
      <w:sz w:val="18"/>
      <w:szCs w:val="18"/>
    </w:rPr>
  </w:style>
  <w:style w:type="character" w:customStyle="1" w:styleId="47">
    <w:name w:val="标题 3 字符"/>
    <w:link w:val="4"/>
    <w:semiHidden/>
    <w:qFormat/>
    <w:uiPriority w:val="0"/>
    <w:rPr>
      <w:b/>
      <w:bCs/>
      <w:kern w:val="2"/>
      <w:sz w:val="32"/>
      <w:szCs w:val="32"/>
    </w:rPr>
  </w:style>
  <w:style w:type="character" w:customStyle="1" w:styleId="48">
    <w:name w:val="正文文本 Char"/>
    <w:semiHidden/>
    <w:qFormat/>
    <w:uiPriority w:val="98"/>
    <w:rPr>
      <w:rFonts w:ascii="仿宋_GB2312" w:eastAsia="仿宋_GB2312"/>
      <w:kern w:val="2"/>
      <w:sz w:val="32"/>
    </w:rPr>
  </w:style>
  <w:style w:type="character" w:customStyle="1" w:styleId="49">
    <w:name w:val="批注文字 字符"/>
    <w:link w:val="11"/>
    <w:qFormat/>
    <w:uiPriority w:val="99"/>
    <w:rPr>
      <w:kern w:val="2"/>
      <w:sz w:val="21"/>
    </w:rPr>
  </w:style>
  <w:style w:type="character" w:customStyle="1" w:styleId="50">
    <w:name w:val="apple-converted-space"/>
    <w:basedOn w:val="36"/>
    <w:semiHidden/>
    <w:qFormat/>
    <w:uiPriority w:val="98"/>
  </w:style>
  <w:style w:type="character" w:customStyle="1" w:styleId="51">
    <w:name w:val="批注框文本 字符"/>
    <w:link w:val="19"/>
    <w:semiHidden/>
    <w:qFormat/>
    <w:uiPriority w:val="98"/>
    <w:rPr>
      <w:kern w:val="2"/>
      <w:sz w:val="18"/>
      <w:szCs w:val="18"/>
    </w:rPr>
  </w:style>
  <w:style w:type="character" w:customStyle="1" w:styleId="52">
    <w:name w:val="正文文本缩进 字符"/>
    <w:link w:val="14"/>
    <w:semiHidden/>
    <w:qFormat/>
    <w:uiPriority w:val="0"/>
    <w:rPr>
      <w:rFonts w:ascii="Calibri" w:hAnsi="Calibri"/>
      <w:kern w:val="2"/>
      <w:sz w:val="21"/>
      <w:szCs w:val="22"/>
    </w:rPr>
  </w:style>
  <w:style w:type="character" w:customStyle="1" w:styleId="53">
    <w:name w:val="Char Char5"/>
    <w:semiHidden/>
    <w:qFormat/>
    <w:uiPriority w:val="98"/>
    <w:rPr>
      <w:rFonts w:ascii="宋体" w:hAnsi="Courier New" w:eastAsia="宋体"/>
      <w:kern w:val="2"/>
      <w:sz w:val="21"/>
      <w:lang w:val="en-US" w:eastAsia="zh-CN" w:bidi="ar-SA"/>
    </w:rPr>
  </w:style>
  <w:style w:type="character" w:customStyle="1" w:styleId="54">
    <w:name w:val="纯文本 字符1"/>
    <w:link w:val="16"/>
    <w:semiHidden/>
    <w:qFormat/>
    <w:uiPriority w:val="0"/>
    <w:rPr>
      <w:rFonts w:ascii="宋体" w:hAnsi="Courier New"/>
      <w:kern w:val="2"/>
      <w:sz w:val="21"/>
    </w:rPr>
  </w:style>
  <w:style w:type="character" w:customStyle="1" w:styleId="55">
    <w:name w:val="纯文本 字符"/>
    <w:semiHidden/>
    <w:qFormat/>
    <w:uiPriority w:val="98"/>
    <w:rPr>
      <w:rFonts w:ascii="宋体" w:hAnsi="Courier New" w:eastAsia="宋体"/>
    </w:rPr>
  </w:style>
  <w:style w:type="character" w:customStyle="1" w:styleId="56">
    <w:name w:val="页眉 字符"/>
    <w:link w:val="21"/>
    <w:semiHidden/>
    <w:qFormat/>
    <w:uiPriority w:val="0"/>
    <w:rPr>
      <w:kern w:val="2"/>
      <w:sz w:val="18"/>
      <w:szCs w:val="18"/>
    </w:rPr>
  </w:style>
  <w:style w:type="character" w:customStyle="1" w:styleId="57">
    <w:name w:val="批注主题 字符"/>
    <w:link w:val="32"/>
    <w:semiHidden/>
    <w:qFormat/>
    <w:uiPriority w:val="98"/>
    <w:rPr>
      <w:b/>
      <w:bCs/>
      <w:kern w:val="2"/>
      <w:sz w:val="21"/>
    </w:rPr>
  </w:style>
  <w:style w:type="character" w:customStyle="1" w:styleId="58">
    <w:name w:val="Char Char2"/>
    <w:semiHidden/>
    <w:qFormat/>
    <w:uiPriority w:val="98"/>
    <w:rPr>
      <w:rFonts w:ascii="宋体" w:hAnsi="Courier New" w:cs="宋体"/>
      <w:kern w:val="2"/>
      <w:sz w:val="21"/>
      <w:szCs w:val="21"/>
    </w:rPr>
  </w:style>
  <w:style w:type="character" w:customStyle="1" w:styleId="59">
    <w:name w:val="HTML Markup"/>
    <w:semiHidden/>
    <w:qFormat/>
    <w:uiPriority w:val="98"/>
    <w:rPr>
      <w:vanish/>
      <w:color w:val="FF0000"/>
    </w:rPr>
  </w:style>
  <w:style w:type="character" w:customStyle="1" w:styleId="60">
    <w:name w:val="纯文本 Char3"/>
    <w:semiHidden/>
    <w:qFormat/>
    <w:uiPriority w:val="98"/>
    <w:rPr>
      <w:rFonts w:ascii="宋体" w:hAnsi="Courier New" w:eastAsia="宋体"/>
      <w:kern w:val="2"/>
      <w:sz w:val="21"/>
      <w:lang w:val="en-US" w:eastAsia="zh-CN" w:bidi="ar-SA"/>
    </w:rPr>
  </w:style>
  <w:style w:type="character" w:customStyle="1" w:styleId="61">
    <w:name w:val="正文文本缩进 Char"/>
    <w:link w:val="62"/>
    <w:semiHidden/>
    <w:qFormat/>
    <w:uiPriority w:val="98"/>
    <w:rPr>
      <w:kern w:val="2"/>
      <w:sz w:val="21"/>
    </w:rPr>
  </w:style>
  <w:style w:type="paragraph" w:customStyle="1" w:styleId="62">
    <w:name w:val="正文文本缩进1"/>
    <w:basedOn w:val="1"/>
    <w:link w:val="61"/>
    <w:semiHidden/>
    <w:qFormat/>
    <w:uiPriority w:val="98"/>
    <w:pPr>
      <w:spacing w:after="120"/>
      <w:ind w:left="420" w:leftChars="200"/>
    </w:pPr>
  </w:style>
  <w:style w:type="paragraph" w:customStyle="1" w:styleId="63">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4">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5">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6">
    <w:name w:val="List Paragraph"/>
    <w:basedOn w:val="1"/>
    <w:semiHidden/>
    <w:qFormat/>
    <w:uiPriority w:val="98"/>
    <w:pPr>
      <w:ind w:firstLine="420" w:firstLineChars="200"/>
    </w:pPr>
    <w:rPr>
      <w:rFonts w:ascii="Calibri" w:hAnsi="Calibri"/>
      <w:szCs w:val="22"/>
    </w:rPr>
  </w:style>
  <w:style w:type="paragraph" w:customStyle="1" w:styleId="67">
    <w:name w:val="列出段落1"/>
    <w:basedOn w:val="1"/>
    <w:semiHidden/>
    <w:qFormat/>
    <w:uiPriority w:val="98"/>
    <w:pPr>
      <w:ind w:firstLine="420" w:firstLineChars="200"/>
    </w:pPr>
    <w:rPr>
      <w:rFonts w:ascii="Calibri" w:hAnsi="Calibri"/>
      <w:szCs w:val="22"/>
    </w:rPr>
  </w:style>
  <w:style w:type="paragraph" w:customStyle="1" w:styleId="68">
    <w:name w:val="二级列表 Char"/>
    <w:basedOn w:val="1"/>
    <w:semiHidden/>
    <w:qFormat/>
    <w:uiPriority w:val="98"/>
    <w:rPr>
      <w:rFonts w:ascii="Calibri" w:hAnsi="Calibri"/>
    </w:rPr>
  </w:style>
  <w:style w:type="paragraph" w:customStyle="1" w:styleId="6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70">
    <w:name w:val="style61"/>
    <w:semiHidden/>
    <w:qFormat/>
    <w:uiPriority w:val="98"/>
  </w:style>
  <w:style w:type="character" w:customStyle="1" w:styleId="71">
    <w:name w:val="标题 1 字符"/>
    <w:basedOn w:val="36"/>
    <w:link w:val="3"/>
    <w:semiHidden/>
    <w:qFormat/>
    <w:uiPriority w:val="0"/>
    <w:rPr>
      <w:b/>
      <w:bCs/>
      <w:kern w:val="44"/>
      <w:sz w:val="44"/>
      <w:szCs w:val="44"/>
    </w:rPr>
  </w:style>
  <w:style w:type="paragraph" w:customStyle="1" w:styleId="72">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3">
    <w:name w:val="标题 2 字符"/>
    <w:basedOn w:val="36"/>
    <w:link w:val="2"/>
    <w:semiHidden/>
    <w:qFormat/>
    <w:uiPriority w:val="0"/>
    <w:rPr>
      <w:rFonts w:asciiTheme="majorHAnsi" w:hAnsiTheme="majorHAnsi" w:eastAsiaTheme="majorEastAsia" w:cstheme="majorBidi"/>
      <w:b/>
      <w:bCs/>
      <w:kern w:val="2"/>
      <w:sz w:val="32"/>
      <w:szCs w:val="32"/>
    </w:rPr>
  </w:style>
  <w:style w:type="character" w:customStyle="1" w:styleId="74">
    <w:name w:val="标题 字符"/>
    <w:basedOn w:val="36"/>
    <w:link w:val="31"/>
    <w:semiHidden/>
    <w:qFormat/>
    <w:uiPriority w:val="0"/>
    <w:rPr>
      <w:rFonts w:eastAsia="黑体" w:asciiTheme="majorHAnsi" w:hAnsiTheme="majorHAnsi" w:cstheme="majorBidi"/>
      <w:b/>
      <w:bCs/>
      <w:kern w:val="2"/>
      <w:sz w:val="36"/>
      <w:szCs w:val="32"/>
    </w:rPr>
  </w:style>
  <w:style w:type="paragraph" w:customStyle="1" w:styleId="75">
    <w:name w:val="章节"/>
    <w:basedOn w:val="16"/>
    <w:qFormat/>
    <w:uiPriority w:val="0"/>
    <w:pPr>
      <w:spacing w:line="360" w:lineRule="auto"/>
      <w:jc w:val="center"/>
      <w:outlineLvl w:val="0"/>
    </w:pPr>
    <w:rPr>
      <w:rFonts w:ascii="黑体" w:eastAsia="黑体"/>
      <w:b/>
      <w:bCs/>
      <w:sz w:val="36"/>
      <w:szCs w:val="36"/>
    </w:rPr>
  </w:style>
  <w:style w:type="paragraph" w:customStyle="1" w:styleId="76">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7">
    <w:name w:val="（二）级标题"/>
    <w:basedOn w:val="16"/>
    <w:qFormat/>
    <w:uiPriority w:val="2"/>
    <w:pPr>
      <w:numPr>
        <w:ilvl w:val="0"/>
        <w:numId w:val="3"/>
      </w:numPr>
      <w:spacing w:line="360" w:lineRule="auto"/>
      <w:outlineLvl w:val="2"/>
    </w:pPr>
    <w:rPr>
      <w:b/>
    </w:rPr>
  </w:style>
  <w:style w:type="paragraph" w:customStyle="1" w:styleId="78">
    <w:name w:val="3级标题"/>
    <w:basedOn w:val="16"/>
    <w:link w:val="106"/>
    <w:qFormat/>
    <w:uiPriority w:val="3"/>
    <w:pPr>
      <w:numPr>
        <w:ilvl w:val="0"/>
        <w:numId w:val="4"/>
      </w:numPr>
      <w:spacing w:line="360" w:lineRule="auto"/>
      <w:outlineLvl w:val="3"/>
    </w:pPr>
    <w:rPr>
      <w:b/>
    </w:rPr>
  </w:style>
  <w:style w:type="paragraph" w:customStyle="1" w:styleId="79">
    <w:name w:val="（4）级标题"/>
    <w:basedOn w:val="16"/>
    <w:qFormat/>
    <w:uiPriority w:val="8"/>
    <w:pPr>
      <w:numPr>
        <w:ilvl w:val="0"/>
        <w:numId w:val="5"/>
      </w:numPr>
      <w:spacing w:line="360" w:lineRule="auto"/>
      <w:outlineLvl w:val="4"/>
    </w:pPr>
  </w:style>
  <w:style w:type="paragraph" w:customStyle="1" w:styleId="80">
    <w:name w:val="标书正文"/>
    <w:basedOn w:val="16"/>
    <w:link w:val="101"/>
    <w:qFormat/>
    <w:uiPriority w:val="9"/>
    <w:pPr>
      <w:spacing w:line="360" w:lineRule="auto"/>
      <w:jc w:val="left"/>
    </w:pPr>
  </w:style>
  <w:style w:type="character" w:customStyle="1" w:styleId="81">
    <w:name w:val="标题 4 字符"/>
    <w:basedOn w:val="36"/>
    <w:link w:val="5"/>
    <w:semiHidden/>
    <w:qFormat/>
    <w:uiPriority w:val="0"/>
    <w:rPr>
      <w:rFonts w:ascii="Arial" w:hAnsi="Arial"/>
      <w:b/>
      <w:bCs/>
      <w:kern w:val="2"/>
      <w:sz w:val="21"/>
      <w:szCs w:val="28"/>
    </w:rPr>
  </w:style>
  <w:style w:type="character" w:customStyle="1" w:styleId="82">
    <w:name w:val="标题 5 字符"/>
    <w:basedOn w:val="36"/>
    <w:link w:val="6"/>
    <w:semiHidden/>
    <w:qFormat/>
    <w:uiPriority w:val="0"/>
    <w:rPr>
      <w:rFonts w:ascii="宋体" w:hAnsi="宋体"/>
      <w:bCs/>
      <w:iCs/>
      <w:color w:val="000000"/>
      <w:sz w:val="28"/>
      <w:szCs w:val="28"/>
    </w:rPr>
  </w:style>
  <w:style w:type="paragraph" w:customStyle="1" w:styleId="83">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4">
    <w:name w:val="case31"/>
    <w:qFormat/>
    <w:uiPriority w:val="0"/>
    <w:rPr>
      <w:rFonts w:hint="default" w:ascii="ˎ̥" w:hAnsi="ˎ̥"/>
      <w:sz w:val="21"/>
      <w:szCs w:val="21"/>
    </w:rPr>
  </w:style>
  <w:style w:type="character" w:customStyle="1" w:styleId="85">
    <w:name w:val="标题 2 Char"/>
    <w:qFormat/>
    <w:uiPriority w:val="0"/>
    <w:rPr>
      <w:rFonts w:ascii="宋体" w:hAnsi="宋体"/>
      <w:bCs/>
      <w:sz w:val="24"/>
      <w:szCs w:val="32"/>
    </w:rPr>
  </w:style>
  <w:style w:type="character" w:customStyle="1" w:styleId="86">
    <w:name w:val="标题 Char"/>
    <w:qFormat/>
    <w:uiPriority w:val="0"/>
    <w:rPr>
      <w:rFonts w:ascii="宋体" w:hAnsi="宋体" w:cs="Times New Roman"/>
      <w:b/>
      <w:bCs/>
      <w:sz w:val="24"/>
      <w:szCs w:val="32"/>
    </w:rPr>
  </w:style>
  <w:style w:type="character" w:customStyle="1" w:styleId="87">
    <w:name w:val="正文文本缩进 3 字符"/>
    <w:basedOn w:val="36"/>
    <w:link w:val="26"/>
    <w:semiHidden/>
    <w:qFormat/>
    <w:uiPriority w:val="0"/>
    <w:rPr>
      <w:rFonts w:ascii="宋体" w:hAnsi="宋体"/>
      <w:color w:val="FF0000"/>
      <w:kern w:val="2"/>
      <w:sz w:val="24"/>
      <w:szCs w:val="24"/>
    </w:rPr>
  </w:style>
  <w:style w:type="paragraph" w:customStyle="1" w:styleId="88">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9">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90">
    <w:name w:val="正文文本缩进 2 字符"/>
    <w:basedOn w:val="36"/>
    <w:link w:val="18"/>
    <w:semiHidden/>
    <w:qFormat/>
    <w:uiPriority w:val="0"/>
    <w:rPr>
      <w:sz w:val="24"/>
    </w:rPr>
  </w:style>
  <w:style w:type="character" w:customStyle="1" w:styleId="91">
    <w:name w:val="日期 字符"/>
    <w:basedOn w:val="36"/>
    <w:link w:val="17"/>
    <w:semiHidden/>
    <w:qFormat/>
    <w:uiPriority w:val="0"/>
    <w:rPr>
      <w:sz w:val="24"/>
    </w:rPr>
  </w:style>
  <w:style w:type="paragraph" w:customStyle="1" w:styleId="92">
    <w:name w:val="Char1 Char Char Char Char Char Char"/>
    <w:basedOn w:val="1"/>
    <w:qFormat/>
    <w:uiPriority w:val="0"/>
    <w:rPr>
      <w:rFonts w:ascii="Tahoma" w:hAnsi="Tahoma"/>
      <w:sz w:val="24"/>
    </w:rPr>
  </w:style>
  <w:style w:type="paragraph" w:customStyle="1" w:styleId="93">
    <w:name w:val="样式1"/>
    <w:basedOn w:val="1"/>
    <w:qFormat/>
    <w:uiPriority w:val="0"/>
    <w:pPr>
      <w:adjustRightInd w:val="0"/>
      <w:spacing w:line="420" w:lineRule="auto"/>
      <w:jc w:val="center"/>
      <w:textAlignment w:val="baseline"/>
    </w:pPr>
    <w:rPr>
      <w:rFonts w:ascii="宋体"/>
      <w:kern w:val="0"/>
      <w:sz w:val="24"/>
    </w:rPr>
  </w:style>
  <w:style w:type="paragraph" w:customStyle="1" w:styleId="94">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5">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6">
    <w:name w:val="文档结构图 字符"/>
    <w:basedOn w:val="36"/>
    <w:semiHidden/>
    <w:qFormat/>
    <w:uiPriority w:val="98"/>
    <w:rPr>
      <w:rFonts w:ascii="Microsoft YaHei UI" w:eastAsia="Microsoft YaHei UI"/>
      <w:kern w:val="2"/>
      <w:sz w:val="18"/>
      <w:szCs w:val="18"/>
    </w:rPr>
  </w:style>
  <w:style w:type="character" w:customStyle="1" w:styleId="97">
    <w:name w:val="文档结构图 字符1"/>
    <w:basedOn w:val="36"/>
    <w:link w:val="10"/>
    <w:semiHidden/>
    <w:qFormat/>
    <w:uiPriority w:val="0"/>
    <w:rPr>
      <w:rFonts w:ascii="宋体"/>
      <w:sz w:val="18"/>
      <w:szCs w:val="18"/>
    </w:rPr>
  </w:style>
  <w:style w:type="paragraph" w:customStyle="1" w:styleId="98">
    <w:name w:val="表格"/>
    <w:basedOn w:val="1"/>
    <w:link w:val="99"/>
    <w:qFormat/>
    <w:uiPriority w:val="10"/>
    <w:rPr>
      <w:rFonts w:ascii="宋体" w:hAnsi="宋体"/>
      <w:szCs w:val="30"/>
    </w:rPr>
  </w:style>
  <w:style w:type="character" w:customStyle="1" w:styleId="99">
    <w:name w:val="表格 字符"/>
    <w:basedOn w:val="36"/>
    <w:link w:val="98"/>
    <w:qFormat/>
    <w:uiPriority w:val="10"/>
    <w:rPr>
      <w:rFonts w:ascii="宋体" w:hAnsi="宋体"/>
      <w:kern w:val="2"/>
      <w:sz w:val="21"/>
      <w:szCs w:val="30"/>
    </w:rPr>
  </w:style>
  <w:style w:type="paragraph" w:customStyle="1" w:styleId="100">
    <w:name w:val="5）级标题"/>
    <w:basedOn w:val="80"/>
    <w:link w:val="102"/>
    <w:qFormat/>
    <w:uiPriority w:val="11"/>
    <w:pPr>
      <w:numPr>
        <w:ilvl w:val="0"/>
        <w:numId w:val="7"/>
      </w:numPr>
      <w:ind w:firstLine="0"/>
    </w:pPr>
  </w:style>
  <w:style w:type="character" w:customStyle="1" w:styleId="101">
    <w:name w:val="标书正文 字符"/>
    <w:basedOn w:val="54"/>
    <w:link w:val="80"/>
    <w:qFormat/>
    <w:uiPriority w:val="9"/>
    <w:rPr>
      <w:rFonts w:ascii="宋体" w:hAnsi="Courier New"/>
      <w:kern w:val="2"/>
      <w:sz w:val="21"/>
    </w:rPr>
  </w:style>
  <w:style w:type="character" w:customStyle="1" w:styleId="102">
    <w:name w:val="5）级标题 字符"/>
    <w:basedOn w:val="101"/>
    <w:link w:val="100"/>
    <w:qFormat/>
    <w:uiPriority w:val="11"/>
    <w:rPr>
      <w:rFonts w:ascii="宋体" w:hAnsi="Courier New"/>
      <w:kern w:val="2"/>
      <w:sz w:val="21"/>
    </w:rPr>
  </w:style>
  <w:style w:type="paragraph" w:customStyle="1" w:styleId="103">
    <w:name w:val="样式 标题 4 + 段前: 5 磅 段后: 5 磅 行距: 单倍行距"/>
    <w:next w:val="27"/>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4">
    <w:name w:val="不明显强调1"/>
    <w:basedOn w:val="36"/>
    <w:qFormat/>
    <w:uiPriority w:val="19"/>
    <w:rPr>
      <w:rFonts w:eastAsia="宋体"/>
      <w:i/>
      <w:iCs/>
      <w:color w:val="auto"/>
      <w:sz w:val="21"/>
    </w:rPr>
  </w:style>
  <w:style w:type="paragraph" w:customStyle="1" w:styleId="105">
    <w:name w:val="⑥级标题"/>
    <w:basedOn w:val="78"/>
    <w:link w:val="107"/>
    <w:qFormat/>
    <w:uiPriority w:val="12"/>
    <w:pPr>
      <w:numPr>
        <w:numId w:val="8"/>
      </w:numPr>
    </w:pPr>
  </w:style>
  <w:style w:type="character" w:customStyle="1" w:styleId="106">
    <w:name w:val="3级标题 字符"/>
    <w:basedOn w:val="54"/>
    <w:link w:val="78"/>
    <w:qFormat/>
    <w:uiPriority w:val="3"/>
    <w:rPr>
      <w:rFonts w:ascii="宋体" w:hAnsi="Courier New"/>
      <w:b/>
      <w:kern w:val="2"/>
      <w:sz w:val="21"/>
    </w:rPr>
  </w:style>
  <w:style w:type="character" w:customStyle="1" w:styleId="107">
    <w:name w:val="⑥级标题 字符"/>
    <w:basedOn w:val="106"/>
    <w:link w:val="105"/>
    <w:qFormat/>
    <w:uiPriority w:val="12"/>
    <w:rPr>
      <w:rFonts w:ascii="宋体" w:hAnsi="Courier New"/>
      <w:kern w:val="2"/>
      <w:sz w:val="21"/>
    </w:rPr>
  </w:style>
  <w:style w:type="character" w:customStyle="1" w:styleId="108">
    <w:name w:val="电子邮件签名 字符"/>
    <w:link w:val="7"/>
    <w:semiHidden/>
    <w:qFormat/>
    <w:locked/>
    <w:uiPriority w:val="99"/>
    <w:rPr>
      <w:sz w:val="21"/>
      <w:szCs w:val="21"/>
    </w:rPr>
  </w:style>
  <w:style w:type="character" w:customStyle="1" w:styleId="109">
    <w:name w:val="电子邮件签名 字符1"/>
    <w:basedOn w:val="36"/>
    <w:semiHidden/>
    <w:qFormat/>
    <w:uiPriority w:val="98"/>
    <w:rPr>
      <w:rFonts w:ascii="Times New Roman" w:hAnsi="Times New Roman"/>
      <w:kern w:val="2"/>
      <w:sz w:val="21"/>
    </w:rPr>
  </w:style>
  <w:style w:type="character" w:customStyle="1" w:styleId="110">
    <w:name w:val="HR正文 Char"/>
    <w:link w:val="111"/>
    <w:qFormat/>
    <w:uiPriority w:val="0"/>
    <w:rPr>
      <w:kern w:val="2"/>
      <w:sz w:val="24"/>
      <w:szCs w:val="24"/>
    </w:rPr>
  </w:style>
  <w:style w:type="paragraph" w:customStyle="1" w:styleId="111">
    <w:name w:val="HR正文"/>
    <w:basedOn w:val="1"/>
    <w:link w:val="110"/>
    <w:qFormat/>
    <w:uiPriority w:val="0"/>
    <w:pPr>
      <w:spacing w:line="300" w:lineRule="auto"/>
      <w:ind w:firstLine="200" w:firstLineChars="200"/>
    </w:pPr>
    <w:rPr>
      <w:rFonts w:ascii="Calibri" w:hAnsi="Calibri"/>
      <w:sz w:val="24"/>
      <w:szCs w:val="24"/>
    </w:rPr>
  </w:style>
  <w:style w:type="character" w:customStyle="1" w:styleId="112">
    <w:name w:val="信息标题 字符"/>
    <w:link w:val="29"/>
    <w:semiHidden/>
    <w:qFormat/>
    <w:locked/>
    <w:uiPriority w:val="99"/>
    <w:rPr>
      <w:rFonts w:ascii="Cambria" w:hAnsi="Cambria" w:cs="Cambria"/>
      <w:sz w:val="24"/>
      <w:szCs w:val="24"/>
      <w:shd w:val="pct20" w:color="auto" w:fill="auto"/>
    </w:rPr>
  </w:style>
  <w:style w:type="character" w:customStyle="1" w:styleId="113">
    <w:name w:val="信息标题 字符1"/>
    <w:basedOn w:val="36"/>
    <w:semiHidden/>
    <w:qFormat/>
    <w:uiPriority w:val="98"/>
    <w:rPr>
      <w:rFonts w:asciiTheme="majorHAnsi" w:hAnsiTheme="majorHAnsi" w:eastAsiaTheme="majorEastAsia" w:cstheme="majorBidi"/>
      <w:kern w:val="2"/>
      <w:sz w:val="24"/>
      <w:szCs w:val="24"/>
      <w:shd w:val="pct20" w:color="auto" w:fill="auto"/>
    </w:rPr>
  </w:style>
  <w:style w:type="character" w:customStyle="1" w:styleId="114">
    <w:name w:val="页眉 Char1"/>
    <w:semiHidden/>
    <w:qFormat/>
    <w:locked/>
    <w:uiPriority w:val="0"/>
    <w:rPr>
      <w:rFonts w:ascii="Calibri" w:hAnsi="Calibri"/>
      <w:sz w:val="18"/>
      <w:szCs w:val="18"/>
    </w:rPr>
  </w:style>
  <w:style w:type="paragraph" w:customStyle="1" w:styleId="115">
    <w:name w:val="HR正文表格"/>
    <w:basedOn w:val="1"/>
    <w:qFormat/>
    <w:uiPriority w:val="0"/>
    <w:pPr>
      <w:spacing w:beforeLines="25" w:afterLines="25" w:line="300" w:lineRule="auto"/>
    </w:pPr>
    <w:rPr>
      <w:szCs w:val="24"/>
    </w:rPr>
  </w:style>
  <w:style w:type="paragraph" w:customStyle="1" w:styleId="116">
    <w:name w:val="潍柴文档标题1"/>
    <w:basedOn w:val="3"/>
    <w:next w:val="117"/>
    <w:qFormat/>
    <w:uiPriority w:val="0"/>
    <w:pPr>
      <w:numPr>
        <w:ilvl w:val="0"/>
        <w:numId w:val="9"/>
      </w:numPr>
      <w:spacing w:before="0" w:after="0" w:line="360" w:lineRule="auto"/>
    </w:pPr>
    <w:rPr>
      <w:rFonts w:ascii="Times New Roman" w:hAnsi="Times New Roman"/>
      <w:sz w:val="28"/>
    </w:rPr>
  </w:style>
  <w:style w:type="paragraph" w:customStyle="1" w:styleId="117">
    <w:name w:val="潍柴文档正文"/>
    <w:basedOn w:val="1"/>
    <w:qFormat/>
    <w:uiPriority w:val="0"/>
    <w:pPr>
      <w:spacing w:line="360" w:lineRule="auto"/>
      <w:ind w:firstLine="200" w:firstLineChars="200"/>
    </w:pPr>
    <w:rPr>
      <w:rFonts w:ascii="Times New Roman" w:hAnsi="Times New Roman"/>
      <w:sz w:val="28"/>
    </w:rPr>
  </w:style>
  <w:style w:type="paragraph" w:customStyle="1" w:styleId="118">
    <w:name w:val="潍柴文档正文一级标题"/>
    <w:basedOn w:val="117"/>
    <w:qFormat/>
    <w:uiPriority w:val="0"/>
    <w:pPr>
      <w:numPr>
        <w:ilvl w:val="0"/>
        <w:numId w:val="10"/>
      </w:numPr>
      <w:ind w:right="100" w:rightChars="100" w:firstLine="0" w:firstLineChars="0"/>
      <w:jc w:val="left"/>
    </w:pPr>
  </w:style>
  <w:style w:type="paragraph" w:customStyle="1" w:styleId="119">
    <w:name w:val="文档正文一级标题"/>
    <w:basedOn w:val="120"/>
    <w:qFormat/>
    <w:uiPriority w:val="0"/>
    <w:pPr>
      <w:numPr>
        <w:ilvl w:val="0"/>
        <w:numId w:val="11"/>
      </w:numPr>
      <w:ind w:firstLine="0" w:firstLineChars="0"/>
    </w:pPr>
  </w:style>
  <w:style w:type="paragraph" w:customStyle="1" w:styleId="120">
    <w:name w:val="文档正文-1"/>
    <w:basedOn w:val="1"/>
    <w:next w:val="25"/>
    <w:qFormat/>
    <w:uiPriority w:val="0"/>
    <w:pPr>
      <w:spacing w:line="360" w:lineRule="auto"/>
      <w:ind w:firstLine="200" w:firstLineChars="200"/>
    </w:pPr>
    <w:rPr>
      <w:rFonts w:ascii="Times New Roman" w:hAnsi="Times New Roman" w:eastAsia="宋体" w:cs="Times New Roman"/>
      <w:sz w:val="24"/>
      <w:szCs w:val="22"/>
    </w:rPr>
  </w:style>
  <w:style w:type="paragraph" w:customStyle="1" w:styleId="121">
    <w:name w:val="【正文】"/>
    <w:basedOn w:val="1"/>
    <w:qFormat/>
    <w:uiPriority w:val="0"/>
    <w:pPr>
      <w:widowControl/>
      <w:spacing w:line="360" w:lineRule="auto"/>
      <w:ind w:firstLine="480" w:firstLineChars="200"/>
      <w:jc w:val="left"/>
    </w:pPr>
    <w:rPr>
      <w:kern w:val="0"/>
      <w:sz w:val="24"/>
    </w:rPr>
  </w:style>
  <w:style w:type="paragraph" w:customStyle="1" w:styleId="122">
    <w:name w:val="我的表格正文"/>
    <w:basedOn w:val="1"/>
    <w:qFormat/>
    <w:uiPriority w:val="0"/>
    <w:pPr>
      <w:snapToGrid w:val="0"/>
    </w:pPr>
    <w:rPr>
      <w:rFonts w:ascii="Arial" w:hAnsi="Arial" w:eastAsia="楷体"/>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emf"/><Relationship Id="rId23" Type="http://schemas.openxmlformats.org/officeDocument/2006/relationships/oleObject" Target="embeddings/oleObject2.bin"/><Relationship Id="rId22" Type="http://schemas.openxmlformats.org/officeDocument/2006/relationships/image" Target="media/image2.emf"/><Relationship Id="rId21" Type="http://schemas.openxmlformats.org/officeDocument/2006/relationships/oleObject" Target="embeddings/oleObject1.bin"/><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32</Pages>
  <Words>9634</Words>
  <Characters>10216</Characters>
  <Lines>64</Lines>
  <Paragraphs>18</Paragraphs>
  <TotalTime>5</TotalTime>
  <ScaleCrop>false</ScaleCrop>
  <LinksUpToDate>false</LinksUpToDate>
  <CharactersWithSpaces>10295</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赵力</cp:lastModifiedBy>
  <cp:lastPrinted>2020-06-28T02:28:00Z</cp:lastPrinted>
  <dcterms:modified xsi:type="dcterms:W3CDTF">2025-11-29T01:08:03Z</dcterms:modified>
  <cp:revision>172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E889392803074D2C87160B281E7CF035_13</vt:lpwstr>
  </property>
  <property fmtid="{D5CDD505-2E9C-101B-9397-08002B2CF9AE}" pid="4" name="KSOTemplateDocerSaveRecord">
    <vt:lpwstr>eyJoZGlkIjoiYWRkMjE0ODJmNDc1NzhjNmYzNDliNWRmMDg0MjY0MzQiLCJ1c2VySWQiOiIyOTI0MDAwMjUifQ==</vt:lpwstr>
  </property>
</Properties>
</file>