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3DC6">
      <w:pPr>
        <w:spacing w:line="360" w:lineRule="auto"/>
        <w:ind w:left="3076" w:hanging="3075" w:hangingChars="699"/>
        <w:jc w:val="center"/>
        <w:rPr>
          <w:rFonts w:hint="default" w:ascii="宋体" w:hAnsi="宋体"/>
          <w:color w:val="auto"/>
          <w:sz w:val="44"/>
          <w:szCs w:val="48"/>
          <w:lang w:val="en-US" w:eastAsia="zh-CN"/>
        </w:rPr>
      </w:pPr>
      <w:r>
        <w:rPr>
          <w:rFonts w:hint="eastAsia" w:ascii="宋体" w:hAnsi="宋体"/>
          <w:color w:val="auto"/>
          <w:sz w:val="44"/>
          <w:szCs w:val="48"/>
          <w:lang w:val="en-US" w:eastAsia="zh-CN"/>
        </w:rPr>
        <w:t>中国重汽集团泰安五岳专用汽车有限公司</w:t>
      </w:r>
    </w:p>
    <w:p w14:paraId="63373DE2">
      <w:pPr>
        <w:spacing w:line="360" w:lineRule="auto"/>
        <w:ind w:left="3076" w:hanging="3075" w:hangingChars="699"/>
        <w:jc w:val="center"/>
        <w:rPr>
          <w:rFonts w:hint="default" w:ascii="宋体" w:hAnsi="宋体" w:eastAsia="宋体"/>
          <w:color w:val="auto"/>
          <w:sz w:val="44"/>
          <w:szCs w:val="48"/>
          <w:lang w:val="en-US" w:eastAsia="zh-CN"/>
        </w:rPr>
      </w:pPr>
      <w:r>
        <w:rPr>
          <w:rFonts w:hint="eastAsia" w:ascii="宋体" w:hAnsi="宋体"/>
          <w:color w:val="auto"/>
          <w:sz w:val="44"/>
          <w:szCs w:val="48"/>
          <w:lang w:val="en-US" w:eastAsia="zh-CN"/>
        </w:rPr>
        <w:t>2026年涂装线VOCs在线监测运维项目</w:t>
      </w:r>
    </w:p>
    <w:p w14:paraId="4A3CAFDE">
      <w:pPr>
        <w:ind w:right="280"/>
        <w:jc w:val="right"/>
        <w:rPr>
          <w:color w:val="auto"/>
          <w:sz w:val="28"/>
          <w:szCs w:val="28"/>
        </w:rPr>
      </w:pPr>
    </w:p>
    <w:p w14:paraId="7741CE14">
      <w:pPr>
        <w:jc w:val="right"/>
        <w:rPr>
          <w:color w:val="auto"/>
          <w:sz w:val="28"/>
          <w:szCs w:val="28"/>
        </w:rPr>
      </w:pPr>
    </w:p>
    <w:p w14:paraId="185EC164">
      <w:pPr>
        <w:pStyle w:val="5"/>
        <w:rPr>
          <w:color w:val="auto"/>
        </w:rPr>
      </w:pPr>
    </w:p>
    <w:p w14:paraId="6C4C673D">
      <w:pPr>
        <w:jc w:val="center"/>
        <w:rPr>
          <w:rFonts w:ascii="黑体" w:hAnsi="宋体" w:eastAsia="黑体"/>
          <w:color w:val="auto"/>
          <w:sz w:val="56"/>
          <w:szCs w:val="84"/>
        </w:rPr>
      </w:pPr>
      <w:r>
        <w:rPr>
          <w:rFonts w:hint="eastAsia" w:ascii="黑体" w:hAnsi="宋体" w:eastAsia="黑体"/>
          <w:color w:val="auto"/>
          <w:sz w:val="56"/>
          <w:szCs w:val="84"/>
        </w:rPr>
        <w:t>招</w:t>
      </w:r>
    </w:p>
    <w:p w14:paraId="0F7C5189">
      <w:pPr>
        <w:jc w:val="center"/>
        <w:rPr>
          <w:rFonts w:ascii="黑体" w:hAnsi="宋体" w:eastAsia="黑体"/>
          <w:color w:val="auto"/>
          <w:sz w:val="56"/>
          <w:szCs w:val="84"/>
        </w:rPr>
      </w:pPr>
    </w:p>
    <w:p w14:paraId="371EAB34">
      <w:pPr>
        <w:jc w:val="center"/>
        <w:rPr>
          <w:rFonts w:ascii="黑体" w:hAnsi="宋体" w:eastAsia="黑体"/>
          <w:color w:val="auto"/>
          <w:sz w:val="56"/>
          <w:szCs w:val="84"/>
        </w:rPr>
      </w:pPr>
      <w:r>
        <w:rPr>
          <w:rFonts w:hint="eastAsia" w:ascii="黑体" w:hAnsi="宋体" w:eastAsia="黑体"/>
          <w:color w:val="auto"/>
          <w:sz w:val="56"/>
          <w:szCs w:val="84"/>
        </w:rPr>
        <w:t>标</w:t>
      </w:r>
    </w:p>
    <w:p w14:paraId="116D3192">
      <w:pPr>
        <w:jc w:val="center"/>
        <w:rPr>
          <w:rFonts w:ascii="黑体" w:hAnsi="宋体" w:eastAsia="黑体"/>
          <w:color w:val="auto"/>
          <w:sz w:val="56"/>
          <w:szCs w:val="84"/>
        </w:rPr>
      </w:pPr>
    </w:p>
    <w:p w14:paraId="62D0B36F">
      <w:pPr>
        <w:jc w:val="center"/>
        <w:rPr>
          <w:rFonts w:ascii="黑体" w:hAnsi="宋体" w:eastAsia="黑体"/>
          <w:color w:val="auto"/>
          <w:sz w:val="56"/>
          <w:szCs w:val="84"/>
        </w:rPr>
      </w:pPr>
      <w:r>
        <w:rPr>
          <w:rFonts w:hint="eastAsia" w:ascii="黑体" w:hAnsi="宋体" w:eastAsia="黑体"/>
          <w:color w:val="auto"/>
          <w:sz w:val="56"/>
          <w:szCs w:val="84"/>
        </w:rPr>
        <w:t>书</w:t>
      </w:r>
    </w:p>
    <w:p w14:paraId="05C907F9">
      <w:pPr>
        <w:rPr>
          <w:rFonts w:ascii="黑体" w:hAnsi="宋体" w:eastAsia="黑体"/>
          <w:color w:val="auto"/>
          <w:sz w:val="56"/>
          <w:szCs w:val="84"/>
        </w:rPr>
      </w:pPr>
    </w:p>
    <w:p w14:paraId="622C9B8B">
      <w:pPr>
        <w:ind w:right="2240" w:firstLine="1280" w:firstLineChars="400"/>
        <w:jc w:val="left"/>
        <w:rPr>
          <w:rFonts w:ascii="华文仿宋" w:hAnsi="华文仿宋" w:eastAsia="华文仿宋"/>
          <w:color w:val="auto"/>
          <w:sz w:val="32"/>
          <w:szCs w:val="28"/>
        </w:rPr>
      </w:pPr>
    </w:p>
    <w:p w14:paraId="21D777E4">
      <w:pPr>
        <w:ind w:right="2240" w:firstLine="1280" w:firstLineChars="400"/>
        <w:jc w:val="left"/>
        <w:rPr>
          <w:rFonts w:ascii="华文仿宋" w:hAnsi="华文仿宋" w:eastAsia="华文仿宋"/>
          <w:color w:val="auto"/>
          <w:sz w:val="32"/>
          <w:szCs w:val="28"/>
        </w:rPr>
      </w:pPr>
    </w:p>
    <w:p w14:paraId="387FA73C">
      <w:pPr>
        <w:ind w:right="2240" w:firstLine="1280" w:firstLineChars="400"/>
        <w:jc w:val="left"/>
        <w:rPr>
          <w:rFonts w:ascii="华文仿宋" w:hAnsi="华文仿宋" w:eastAsia="华文仿宋"/>
          <w:color w:val="auto"/>
          <w:sz w:val="32"/>
          <w:szCs w:val="28"/>
        </w:rPr>
      </w:pPr>
      <w:r>
        <w:rPr>
          <w:rFonts w:hint="eastAsia" w:ascii="华文仿宋" w:hAnsi="华文仿宋" w:eastAsia="华文仿宋"/>
          <w:color w:val="auto"/>
          <w:sz w:val="32"/>
          <w:szCs w:val="28"/>
        </w:rPr>
        <w:t xml:space="preserve">                </w:t>
      </w:r>
    </w:p>
    <w:p w14:paraId="13EB3632">
      <w:pPr>
        <w:ind w:left="210" w:leftChars="100" w:right="2240" w:firstLine="1065" w:firstLineChars="333"/>
        <w:jc w:val="left"/>
        <w:rPr>
          <w:rFonts w:ascii="华文仿宋" w:hAnsi="华文仿宋" w:eastAsia="华文仿宋"/>
          <w:color w:val="auto"/>
          <w:sz w:val="32"/>
          <w:szCs w:val="28"/>
        </w:rPr>
      </w:pPr>
      <w:r>
        <w:rPr>
          <w:rFonts w:hint="eastAsia" w:ascii="华文仿宋" w:hAnsi="华文仿宋" w:eastAsia="华文仿宋"/>
          <w:color w:val="auto"/>
          <w:sz w:val="32"/>
          <w:szCs w:val="28"/>
        </w:rPr>
        <w:t xml:space="preserve">                         </w:t>
      </w:r>
    </w:p>
    <w:p w14:paraId="23D6D1AE">
      <w:pPr>
        <w:jc w:val="left"/>
        <w:rPr>
          <w:rFonts w:ascii="华文仿宋" w:hAnsi="华文仿宋" w:eastAsia="华文仿宋"/>
          <w:color w:val="auto"/>
          <w:sz w:val="32"/>
          <w:szCs w:val="28"/>
        </w:rPr>
      </w:pPr>
    </w:p>
    <w:p w14:paraId="26D99671">
      <w:pPr>
        <w:jc w:val="center"/>
        <w:rPr>
          <w:rFonts w:ascii="华文仿宋" w:hAnsi="华文仿宋" w:eastAsia="华文仿宋"/>
          <w:color w:val="auto"/>
          <w:sz w:val="32"/>
          <w:szCs w:val="28"/>
        </w:rPr>
      </w:pPr>
      <w:r>
        <w:rPr>
          <w:rFonts w:hint="eastAsia" w:ascii="华文仿宋" w:hAnsi="华文仿宋" w:eastAsia="华文仿宋"/>
          <w:color w:val="auto"/>
          <w:sz w:val="32"/>
          <w:szCs w:val="28"/>
        </w:rPr>
        <w:t>中国</w:t>
      </w:r>
      <w:r>
        <w:rPr>
          <w:rFonts w:hint="eastAsia" w:ascii="华文仿宋" w:hAnsi="华文仿宋" w:eastAsia="华文仿宋"/>
          <w:color w:val="auto"/>
          <w:sz w:val="32"/>
          <w:szCs w:val="28"/>
          <w:lang w:val="en-US" w:eastAsia="zh-CN"/>
        </w:rPr>
        <w:t>重汽集团泰安五岳专用汽车</w:t>
      </w:r>
      <w:r>
        <w:rPr>
          <w:rFonts w:hint="eastAsia" w:ascii="华文仿宋" w:hAnsi="华文仿宋" w:eastAsia="华文仿宋"/>
          <w:color w:val="auto"/>
          <w:sz w:val="32"/>
          <w:szCs w:val="28"/>
        </w:rPr>
        <w:t>有限公司</w:t>
      </w:r>
    </w:p>
    <w:p w14:paraId="6F1A1722">
      <w:pPr>
        <w:jc w:val="center"/>
        <w:rPr>
          <w:rFonts w:ascii="华文仿宋" w:hAnsi="华文仿宋" w:eastAsia="华文仿宋" w:cs="Times New Roman"/>
          <w:color w:val="auto"/>
          <w:sz w:val="32"/>
          <w:szCs w:val="28"/>
        </w:rPr>
      </w:pPr>
      <w:r>
        <w:rPr>
          <w:rFonts w:hint="eastAsia" w:ascii="华文仿宋" w:hAnsi="华文仿宋" w:eastAsia="华文仿宋" w:cs="Times New Roman"/>
          <w:color w:val="auto"/>
          <w:sz w:val="32"/>
          <w:szCs w:val="28"/>
        </w:rPr>
        <w:t>202</w:t>
      </w:r>
      <w:r>
        <w:rPr>
          <w:rFonts w:hint="eastAsia" w:ascii="华文仿宋" w:hAnsi="华文仿宋" w:eastAsia="华文仿宋" w:cs="Times New Roman"/>
          <w:color w:val="auto"/>
          <w:sz w:val="32"/>
          <w:szCs w:val="28"/>
          <w:lang w:val="en-US" w:eastAsia="zh-CN"/>
        </w:rPr>
        <w:t>5</w:t>
      </w:r>
      <w:r>
        <w:rPr>
          <w:rFonts w:hint="eastAsia" w:ascii="华文仿宋" w:hAnsi="华文仿宋" w:eastAsia="华文仿宋" w:cs="Times New Roman"/>
          <w:color w:val="auto"/>
          <w:sz w:val="32"/>
          <w:szCs w:val="28"/>
        </w:rPr>
        <w:t>年</w:t>
      </w:r>
      <w:r>
        <w:rPr>
          <w:rFonts w:hint="eastAsia" w:ascii="华文仿宋" w:hAnsi="华文仿宋" w:eastAsia="华文仿宋" w:cs="Times New Roman"/>
          <w:color w:val="auto"/>
          <w:sz w:val="32"/>
          <w:szCs w:val="28"/>
          <w:lang w:val="en-US" w:eastAsia="zh-CN"/>
        </w:rPr>
        <w:t>11</w:t>
      </w:r>
      <w:r>
        <w:rPr>
          <w:rFonts w:hint="eastAsia" w:ascii="华文仿宋" w:hAnsi="华文仿宋" w:eastAsia="华文仿宋" w:cs="Times New Roman"/>
          <w:color w:val="auto"/>
          <w:sz w:val="32"/>
          <w:szCs w:val="28"/>
        </w:rPr>
        <w:t>月</w:t>
      </w:r>
    </w:p>
    <w:p w14:paraId="3B65A5C4">
      <w:pPr>
        <w:jc w:val="left"/>
        <w:rPr>
          <w:color w:val="auto"/>
        </w:rPr>
      </w:pPr>
    </w:p>
    <w:p w14:paraId="0BB5A41B">
      <w:pPr>
        <w:spacing w:line="480" w:lineRule="auto"/>
        <w:jc w:val="center"/>
        <w:rPr>
          <w:rFonts w:ascii="宋体" w:hAnsi="宋体"/>
          <w:b/>
          <w:bCs/>
          <w:color w:val="auto"/>
          <w:sz w:val="48"/>
          <w:szCs w:val="48"/>
        </w:rPr>
      </w:pPr>
      <w:r>
        <w:rPr>
          <w:rFonts w:ascii="宋体" w:hAnsi="宋体"/>
          <w:b/>
          <w:bCs/>
          <w:color w:val="auto"/>
          <w:sz w:val="48"/>
          <w:szCs w:val="48"/>
        </w:rPr>
        <w:t>目   录</w:t>
      </w:r>
    </w:p>
    <w:p w14:paraId="234D5FF4">
      <w:pPr>
        <w:tabs>
          <w:tab w:val="left" w:pos="3240"/>
        </w:tabs>
        <w:spacing w:line="480" w:lineRule="auto"/>
        <w:rPr>
          <w:rFonts w:ascii="宋体" w:hAnsi="宋体"/>
          <w:b/>
          <w:bCs/>
          <w:color w:val="auto"/>
          <w:sz w:val="24"/>
        </w:rPr>
      </w:pPr>
      <w:r>
        <w:rPr>
          <w:rFonts w:ascii="宋体" w:hAnsi="宋体"/>
          <w:b/>
          <w:bCs/>
          <w:color w:val="auto"/>
          <w:sz w:val="24"/>
        </w:rPr>
        <w:tab/>
      </w:r>
    </w:p>
    <w:p w14:paraId="1E68ABC4">
      <w:pPr>
        <w:pStyle w:val="12"/>
        <w:tabs>
          <w:tab w:val="right" w:leader="dot" w:pos="9070"/>
          <w:tab w:val="clear" w:pos="8729"/>
        </w:tabs>
        <w:rPr>
          <w:color w:val="auto"/>
        </w:rPr>
      </w:pPr>
      <w:r>
        <w:rPr>
          <w:color w:val="auto"/>
          <w:sz w:val="24"/>
        </w:rPr>
        <w:fldChar w:fldCharType="begin"/>
      </w:r>
      <w:r>
        <w:rPr>
          <w:color w:val="auto"/>
          <w:sz w:val="24"/>
        </w:rPr>
        <w:instrText xml:space="preserve"> TOC \o "1-2" \h \z </w:instrText>
      </w:r>
      <w:r>
        <w:rPr>
          <w:color w:val="auto"/>
          <w:sz w:val="24"/>
        </w:rPr>
        <w:fldChar w:fldCharType="separate"/>
      </w:r>
      <w:r>
        <w:rPr>
          <w:color w:val="auto"/>
        </w:rPr>
        <w:fldChar w:fldCharType="begin"/>
      </w:r>
      <w:r>
        <w:rPr>
          <w:color w:val="auto"/>
        </w:rPr>
        <w:instrText xml:space="preserve"> HYPERLINK \l _Toc11421 </w:instrText>
      </w:r>
      <w:r>
        <w:rPr>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_Toc11421 \h </w:instrText>
      </w:r>
      <w:r>
        <w:rPr>
          <w:color w:val="auto"/>
        </w:rPr>
        <w:fldChar w:fldCharType="separate"/>
      </w:r>
      <w:r>
        <w:rPr>
          <w:color w:val="auto"/>
        </w:rPr>
        <w:t>- 2 -</w:t>
      </w:r>
      <w:r>
        <w:rPr>
          <w:color w:val="auto"/>
        </w:rPr>
        <w:fldChar w:fldCharType="end"/>
      </w:r>
      <w:r>
        <w:rPr>
          <w:color w:val="auto"/>
        </w:rPr>
        <w:fldChar w:fldCharType="end"/>
      </w:r>
    </w:p>
    <w:p w14:paraId="3B09D46A">
      <w:pPr>
        <w:pStyle w:val="12"/>
        <w:tabs>
          <w:tab w:val="right" w:leader="dot" w:pos="9070"/>
          <w:tab w:val="clear" w:pos="8729"/>
        </w:tabs>
        <w:rPr>
          <w:color w:val="auto"/>
        </w:rPr>
      </w:pPr>
      <w:r>
        <w:rPr>
          <w:color w:val="auto"/>
        </w:rPr>
        <w:fldChar w:fldCharType="begin"/>
      </w:r>
      <w:r>
        <w:rPr>
          <w:color w:val="auto"/>
        </w:rPr>
        <w:instrText xml:space="preserve"> HYPERLINK \l _Toc17048 </w:instrText>
      </w:r>
      <w:r>
        <w:rPr>
          <w:color w:val="auto"/>
        </w:rPr>
        <w:fldChar w:fldCharType="separate"/>
      </w:r>
      <w:r>
        <w:rPr>
          <w:rFonts w:hint="eastAsia"/>
          <w:color w:val="auto"/>
          <w:lang w:val="en-US" w:eastAsia="zh-CN"/>
        </w:rPr>
        <w:t>第二章  投标文件编制</w:t>
      </w:r>
      <w:r>
        <w:rPr>
          <w:color w:val="auto"/>
        </w:rPr>
        <w:tab/>
      </w:r>
      <w:r>
        <w:rPr>
          <w:color w:val="auto"/>
        </w:rPr>
        <w:fldChar w:fldCharType="begin"/>
      </w:r>
      <w:r>
        <w:rPr>
          <w:color w:val="auto"/>
        </w:rPr>
        <w:instrText xml:space="preserve"> PAGEREF _Toc17048 \h </w:instrText>
      </w:r>
      <w:r>
        <w:rPr>
          <w:color w:val="auto"/>
        </w:rPr>
        <w:fldChar w:fldCharType="separate"/>
      </w:r>
      <w:r>
        <w:rPr>
          <w:color w:val="auto"/>
        </w:rPr>
        <w:t>- 8 -</w:t>
      </w:r>
      <w:r>
        <w:rPr>
          <w:color w:val="auto"/>
        </w:rPr>
        <w:fldChar w:fldCharType="end"/>
      </w:r>
      <w:r>
        <w:rPr>
          <w:color w:val="auto"/>
        </w:rPr>
        <w:fldChar w:fldCharType="end"/>
      </w:r>
    </w:p>
    <w:p w14:paraId="759778DA">
      <w:pPr>
        <w:pStyle w:val="12"/>
        <w:tabs>
          <w:tab w:val="right" w:leader="dot" w:pos="9070"/>
          <w:tab w:val="clear" w:pos="8729"/>
        </w:tabs>
        <w:rPr>
          <w:color w:val="auto"/>
        </w:rPr>
      </w:pPr>
      <w:r>
        <w:rPr>
          <w:color w:val="auto"/>
        </w:rPr>
        <w:fldChar w:fldCharType="begin"/>
      </w:r>
      <w:r>
        <w:rPr>
          <w:color w:val="auto"/>
        </w:rPr>
        <w:instrText xml:space="preserve"> HYPERLINK \l _Toc15473 </w:instrText>
      </w:r>
      <w:r>
        <w:rPr>
          <w:color w:val="auto"/>
        </w:rPr>
        <w:fldChar w:fldCharType="separate"/>
      </w:r>
      <w:r>
        <w:rPr>
          <w:rFonts w:hint="eastAsia" w:cs="Times New Roman"/>
          <w:color w:val="auto"/>
          <w:lang w:val="en-US" w:eastAsia="zh-CN"/>
        </w:rPr>
        <w:t>第三章  技术协议书</w:t>
      </w:r>
      <w:r>
        <w:rPr>
          <w:color w:val="auto"/>
        </w:rPr>
        <w:tab/>
      </w:r>
      <w:r>
        <w:rPr>
          <w:color w:val="auto"/>
        </w:rPr>
        <w:fldChar w:fldCharType="begin"/>
      </w:r>
      <w:r>
        <w:rPr>
          <w:color w:val="auto"/>
        </w:rPr>
        <w:instrText xml:space="preserve"> PAGEREF _Toc15473 \h </w:instrText>
      </w:r>
      <w:r>
        <w:rPr>
          <w:color w:val="auto"/>
        </w:rPr>
        <w:fldChar w:fldCharType="separate"/>
      </w:r>
      <w:r>
        <w:rPr>
          <w:color w:val="auto"/>
        </w:rPr>
        <w:t>- 19 -</w:t>
      </w:r>
      <w:r>
        <w:rPr>
          <w:color w:val="auto"/>
        </w:rPr>
        <w:fldChar w:fldCharType="end"/>
      </w:r>
      <w:r>
        <w:rPr>
          <w:color w:val="auto"/>
        </w:rPr>
        <w:fldChar w:fldCharType="end"/>
      </w:r>
    </w:p>
    <w:p w14:paraId="2DAE18F3">
      <w:pPr>
        <w:pStyle w:val="12"/>
        <w:tabs>
          <w:tab w:val="right" w:leader="dot" w:pos="9070"/>
          <w:tab w:val="clear" w:pos="8729"/>
        </w:tabs>
        <w:rPr>
          <w:color w:val="auto"/>
        </w:rPr>
      </w:pPr>
    </w:p>
    <w:p w14:paraId="6D085040">
      <w:pPr>
        <w:pStyle w:val="8"/>
        <w:spacing w:line="360" w:lineRule="auto"/>
        <w:jc w:val="center"/>
        <w:rPr>
          <w:color w:val="auto"/>
        </w:rPr>
      </w:pPr>
      <w:r>
        <w:rPr>
          <w:color w:val="auto"/>
        </w:rPr>
        <w:fldChar w:fldCharType="end"/>
      </w:r>
    </w:p>
    <w:p w14:paraId="79B5F76F">
      <w:pPr>
        <w:pStyle w:val="8"/>
        <w:spacing w:line="360" w:lineRule="auto"/>
        <w:jc w:val="center"/>
        <w:rPr>
          <w:color w:val="auto"/>
        </w:rPr>
      </w:pPr>
    </w:p>
    <w:p w14:paraId="6E9D721D">
      <w:pPr>
        <w:pStyle w:val="8"/>
        <w:spacing w:line="360" w:lineRule="auto"/>
        <w:jc w:val="center"/>
        <w:rPr>
          <w:color w:val="auto"/>
        </w:rPr>
      </w:pPr>
    </w:p>
    <w:p w14:paraId="18D4914D">
      <w:pPr>
        <w:pStyle w:val="8"/>
        <w:spacing w:line="360" w:lineRule="auto"/>
        <w:jc w:val="center"/>
        <w:rPr>
          <w:color w:val="auto"/>
        </w:rPr>
      </w:pPr>
    </w:p>
    <w:p w14:paraId="03D7BC9C">
      <w:pPr>
        <w:pStyle w:val="8"/>
        <w:spacing w:line="360" w:lineRule="auto"/>
        <w:jc w:val="center"/>
        <w:rPr>
          <w:color w:val="auto"/>
        </w:rPr>
      </w:pPr>
    </w:p>
    <w:p w14:paraId="5F365B52">
      <w:pPr>
        <w:pStyle w:val="8"/>
        <w:spacing w:line="360" w:lineRule="auto"/>
        <w:jc w:val="center"/>
        <w:rPr>
          <w:color w:val="auto"/>
        </w:rPr>
      </w:pPr>
    </w:p>
    <w:p w14:paraId="252EE9C8">
      <w:pPr>
        <w:pStyle w:val="8"/>
        <w:spacing w:line="360" w:lineRule="auto"/>
        <w:jc w:val="center"/>
        <w:rPr>
          <w:color w:val="auto"/>
        </w:rPr>
      </w:pPr>
    </w:p>
    <w:p w14:paraId="5C8F6200">
      <w:pPr>
        <w:pStyle w:val="8"/>
        <w:spacing w:line="360" w:lineRule="auto"/>
        <w:jc w:val="center"/>
        <w:rPr>
          <w:color w:val="auto"/>
        </w:rPr>
      </w:pPr>
    </w:p>
    <w:p w14:paraId="33E74B00">
      <w:pPr>
        <w:pStyle w:val="8"/>
        <w:spacing w:line="360" w:lineRule="auto"/>
        <w:jc w:val="center"/>
        <w:rPr>
          <w:color w:val="auto"/>
        </w:rPr>
      </w:pPr>
    </w:p>
    <w:p w14:paraId="61675D79">
      <w:pPr>
        <w:pStyle w:val="8"/>
        <w:spacing w:line="360" w:lineRule="auto"/>
        <w:jc w:val="center"/>
        <w:rPr>
          <w:color w:val="auto"/>
        </w:rPr>
      </w:pPr>
    </w:p>
    <w:p w14:paraId="3B09274C">
      <w:pPr>
        <w:pStyle w:val="8"/>
        <w:spacing w:line="360" w:lineRule="auto"/>
        <w:jc w:val="center"/>
        <w:rPr>
          <w:color w:val="auto"/>
        </w:rPr>
      </w:pPr>
    </w:p>
    <w:p w14:paraId="0A277AEB">
      <w:pPr>
        <w:pStyle w:val="8"/>
        <w:spacing w:line="360" w:lineRule="auto"/>
        <w:jc w:val="center"/>
        <w:rPr>
          <w:color w:val="auto"/>
        </w:rPr>
      </w:pPr>
    </w:p>
    <w:p w14:paraId="0D78C811">
      <w:pPr>
        <w:pStyle w:val="8"/>
        <w:spacing w:line="360" w:lineRule="auto"/>
        <w:jc w:val="center"/>
        <w:rPr>
          <w:color w:val="auto"/>
        </w:rPr>
      </w:pPr>
    </w:p>
    <w:p w14:paraId="063998E7">
      <w:pPr>
        <w:pStyle w:val="8"/>
        <w:spacing w:line="360" w:lineRule="auto"/>
        <w:jc w:val="center"/>
        <w:rPr>
          <w:color w:val="auto"/>
        </w:rPr>
      </w:pPr>
    </w:p>
    <w:p w14:paraId="14E61693">
      <w:pPr>
        <w:pStyle w:val="8"/>
        <w:spacing w:line="360" w:lineRule="auto"/>
        <w:jc w:val="center"/>
        <w:rPr>
          <w:color w:val="auto"/>
        </w:rPr>
      </w:pPr>
    </w:p>
    <w:p w14:paraId="3F6A169B">
      <w:pPr>
        <w:pStyle w:val="8"/>
        <w:spacing w:line="360" w:lineRule="auto"/>
        <w:jc w:val="center"/>
        <w:rPr>
          <w:color w:val="auto"/>
        </w:rPr>
      </w:pPr>
    </w:p>
    <w:p w14:paraId="2679BACB">
      <w:pPr>
        <w:pStyle w:val="8"/>
        <w:spacing w:line="360" w:lineRule="auto"/>
        <w:jc w:val="center"/>
        <w:rPr>
          <w:color w:val="auto"/>
        </w:rPr>
      </w:pPr>
    </w:p>
    <w:p w14:paraId="35D79E37">
      <w:pPr>
        <w:pStyle w:val="8"/>
        <w:spacing w:line="360" w:lineRule="auto"/>
        <w:jc w:val="center"/>
        <w:rPr>
          <w:color w:val="auto"/>
        </w:rPr>
      </w:pPr>
    </w:p>
    <w:p w14:paraId="614285FA">
      <w:pPr>
        <w:pStyle w:val="8"/>
        <w:spacing w:line="360" w:lineRule="auto"/>
        <w:jc w:val="center"/>
        <w:rPr>
          <w:color w:val="auto"/>
        </w:rPr>
      </w:pPr>
    </w:p>
    <w:p w14:paraId="70714281">
      <w:pPr>
        <w:pStyle w:val="8"/>
        <w:spacing w:line="360" w:lineRule="auto"/>
        <w:jc w:val="both"/>
        <w:rPr>
          <w:color w:val="auto"/>
        </w:rPr>
      </w:pPr>
    </w:p>
    <w:p w14:paraId="5596BD07">
      <w:pPr>
        <w:pStyle w:val="3"/>
        <w:bidi w:val="0"/>
        <w:jc w:val="center"/>
        <w:rPr>
          <w:color w:val="auto"/>
        </w:rPr>
      </w:pPr>
      <w:bookmarkStart w:id="0" w:name="_Toc11421"/>
      <w:r>
        <w:rPr>
          <w:rFonts w:hint="eastAsia"/>
          <w:color w:val="auto"/>
        </w:rPr>
        <w:t>第一章  招标公告</w:t>
      </w:r>
      <w:bookmarkEnd w:id="0"/>
    </w:p>
    <w:p w14:paraId="2A1B74DE">
      <w:pPr>
        <w:pStyle w:val="8"/>
        <w:spacing w:line="360" w:lineRule="auto"/>
        <w:rPr>
          <w:rFonts w:ascii="黑体" w:eastAsia="黑体"/>
          <w:b/>
          <w:bCs/>
          <w:color w:val="auto"/>
          <w:sz w:val="28"/>
        </w:rPr>
      </w:pPr>
      <w:r>
        <w:rPr>
          <w:rFonts w:hint="eastAsia" w:ascii="黑体" w:eastAsia="黑体"/>
          <w:b/>
          <w:bCs/>
          <w:color w:val="auto"/>
          <w:sz w:val="28"/>
        </w:rPr>
        <w:t>一、项目名称</w:t>
      </w:r>
    </w:p>
    <w:p w14:paraId="366B1908">
      <w:pPr>
        <w:pStyle w:val="8"/>
        <w:spacing w:line="360" w:lineRule="auto"/>
        <w:ind w:left="420"/>
        <w:rPr>
          <w:rFonts w:hint="default"/>
          <w:color w:val="auto"/>
          <w:lang w:val="en-US" w:eastAsia="zh-CN"/>
        </w:rPr>
      </w:pPr>
      <w:r>
        <w:rPr>
          <w:rFonts w:hint="eastAsia"/>
          <w:color w:val="auto"/>
        </w:rPr>
        <w:t>项目名称：</w:t>
      </w:r>
      <w:r>
        <w:rPr>
          <w:rFonts w:hint="eastAsia"/>
          <w:color w:val="auto"/>
          <w:lang w:val="en-US" w:eastAsia="zh-CN"/>
        </w:rPr>
        <w:t>2026年涂装线及补漆线VOCs在线监测设备运维项目</w:t>
      </w:r>
    </w:p>
    <w:p w14:paraId="656650F7">
      <w:pPr>
        <w:pStyle w:val="8"/>
        <w:spacing w:line="360" w:lineRule="auto"/>
        <w:rPr>
          <w:rFonts w:ascii="黑体" w:eastAsia="黑体"/>
          <w:b/>
          <w:bCs/>
          <w:color w:val="auto"/>
          <w:sz w:val="28"/>
        </w:rPr>
      </w:pPr>
      <w:r>
        <w:rPr>
          <w:rFonts w:hint="eastAsia" w:ascii="黑体" w:eastAsia="黑体"/>
          <w:b/>
          <w:bCs/>
          <w:color w:val="auto"/>
          <w:sz w:val="28"/>
        </w:rPr>
        <w:t>二、招标内容</w:t>
      </w:r>
    </w:p>
    <w:tbl>
      <w:tblPr>
        <w:tblStyle w:val="16"/>
        <w:tblW w:w="7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94"/>
        <w:gridCol w:w="2182"/>
        <w:gridCol w:w="763"/>
        <w:gridCol w:w="837"/>
        <w:gridCol w:w="1026"/>
        <w:gridCol w:w="1180"/>
      </w:tblGrid>
      <w:tr w14:paraId="5B20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14:paraId="680BC1CE">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序号</w:t>
            </w:r>
          </w:p>
        </w:tc>
        <w:tc>
          <w:tcPr>
            <w:tcW w:w="1294" w:type="dxa"/>
            <w:tcBorders>
              <w:top w:val="single" w:color="auto" w:sz="4" w:space="0"/>
              <w:left w:val="nil"/>
              <w:bottom w:val="single" w:color="auto" w:sz="4" w:space="0"/>
              <w:right w:val="single" w:color="auto" w:sz="4" w:space="0"/>
            </w:tcBorders>
            <w:noWrap w:val="0"/>
            <w:vAlign w:val="center"/>
          </w:tcPr>
          <w:p w14:paraId="2C466220">
            <w:pPr>
              <w:pStyle w:val="8"/>
              <w:spacing w:line="360" w:lineRule="auto"/>
              <w:jc w:val="center"/>
              <w:rPr>
                <w:rFonts w:hint="default" w:hAnsi="宋体" w:eastAsia="宋体" w:cs="宋体"/>
                <w:color w:val="auto"/>
                <w:kern w:val="0"/>
                <w:sz w:val="18"/>
                <w:szCs w:val="18"/>
                <w:lang w:val="en-US" w:eastAsia="zh-CN"/>
              </w:rPr>
            </w:pPr>
            <w:r>
              <w:rPr>
                <w:rFonts w:hint="eastAsia" w:hAnsi="宋体" w:cs="宋体"/>
                <w:color w:val="auto"/>
                <w:kern w:val="0"/>
                <w:sz w:val="18"/>
                <w:szCs w:val="18"/>
                <w:lang w:val="en-US" w:eastAsia="zh-CN"/>
              </w:rPr>
              <w:t>项目名称</w:t>
            </w:r>
          </w:p>
        </w:tc>
        <w:tc>
          <w:tcPr>
            <w:tcW w:w="2182" w:type="dxa"/>
            <w:tcBorders>
              <w:top w:val="single" w:color="auto" w:sz="4" w:space="0"/>
              <w:left w:val="nil"/>
              <w:bottom w:val="single" w:color="auto" w:sz="4" w:space="0"/>
              <w:right w:val="single" w:color="auto" w:sz="4" w:space="0"/>
            </w:tcBorders>
            <w:noWrap w:val="0"/>
            <w:vAlign w:val="center"/>
          </w:tcPr>
          <w:p w14:paraId="38ABC4B0">
            <w:pPr>
              <w:pStyle w:val="8"/>
              <w:spacing w:line="360" w:lineRule="auto"/>
              <w:jc w:val="center"/>
              <w:rPr>
                <w:rFonts w:hint="eastAsia" w:hAnsi="宋体"/>
                <w:color w:val="auto"/>
                <w:sz w:val="18"/>
                <w:szCs w:val="18"/>
              </w:rPr>
            </w:pPr>
            <w:r>
              <w:rPr>
                <w:rFonts w:hint="eastAsia" w:hAnsi="宋体" w:cs="宋体"/>
                <w:color w:val="auto"/>
                <w:kern w:val="0"/>
                <w:sz w:val="18"/>
                <w:szCs w:val="18"/>
              </w:rPr>
              <w:t>名称</w:t>
            </w:r>
          </w:p>
        </w:tc>
        <w:tc>
          <w:tcPr>
            <w:tcW w:w="763" w:type="dxa"/>
            <w:tcBorders>
              <w:top w:val="single" w:color="auto" w:sz="4" w:space="0"/>
              <w:left w:val="nil"/>
              <w:bottom w:val="single" w:color="auto" w:sz="4" w:space="0"/>
              <w:right w:val="single" w:color="auto" w:sz="4" w:space="0"/>
            </w:tcBorders>
            <w:noWrap w:val="0"/>
            <w:vAlign w:val="center"/>
          </w:tcPr>
          <w:p w14:paraId="0F6587C2">
            <w:pPr>
              <w:pStyle w:val="8"/>
              <w:spacing w:line="360" w:lineRule="auto"/>
              <w:jc w:val="center"/>
              <w:rPr>
                <w:rFonts w:hint="eastAsia" w:hAnsi="宋体" w:eastAsia="宋体"/>
                <w:color w:val="auto"/>
                <w:sz w:val="18"/>
                <w:szCs w:val="18"/>
                <w:lang w:eastAsia="zh-CN"/>
              </w:rPr>
            </w:pPr>
            <w:r>
              <w:rPr>
                <w:rFonts w:hint="eastAsia" w:hAnsi="宋体" w:cs="宋体"/>
                <w:color w:val="auto"/>
                <w:kern w:val="0"/>
                <w:sz w:val="18"/>
                <w:szCs w:val="18"/>
              </w:rPr>
              <w:t>数量</w:t>
            </w:r>
            <w:r>
              <w:rPr>
                <w:rFonts w:hint="eastAsia" w:hAnsi="宋体" w:cs="宋体"/>
                <w:color w:val="auto"/>
                <w:kern w:val="0"/>
                <w:sz w:val="18"/>
                <w:szCs w:val="18"/>
                <w:lang w:val="en-US" w:eastAsia="zh-CN"/>
              </w:rPr>
              <w:t xml:space="preserve">  </w:t>
            </w:r>
            <w:r>
              <w:rPr>
                <w:rFonts w:hint="eastAsia" w:hAnsi="宋体" w:cs="宋体"/>
                <w:color w:val="auto"/>
                <w:kern w:val="0"/>
                <w:sz w:val="18"/>
                <w:szCs w:val="18"/>
                <w:lang w:eastAsia="zh-CN"/>
              </w:rPr>
              <w:t>（</w:t>
            </w:r>
            <w:r>
              <w:rPr>
                <w:rFonts w:hint="eastAsia" w:hAnsi="宋体" w:cs="宋体"/>
                <w:color w:val="auto"/>
                <w:kern w:val="0"/>
                <w:sz w:val="18"/>
                <w:szCs w:val="18"/>
                <w:lang w:val="en-US" w:eastAsia="zh-CN"/>
              </w:rPr>
              <w:t>台</w:t>
            </w:r>
            <w:r>
              <w:rPr>
                <w:rFonts w:hint="eastAsia" w:hAnsi="宋体" w:cs="宋体"/>
                <w:color w:val="auto"/>
                <w:kern w:val="0"/>
                <w:sz w:val="18"/>
                <w:szCs w:val="18"/>
                <w:lang w:eastAsia="zh-CN"/>
              </w:rPr>
              <w:t>）</w:t>
            </w:r>
          </w:p>
        </w:tc>
        <w:tc>
          <w:tcPr>
            <w:tcW w:w="837" w:type="dxa"/>
            <w:tcBorders>
              <w:top w:val="single" w:color="auto" w:sz="4" w:space="0"/>
              <w:left w:val="nil"/>
              <w:bottom w:val="single" w:color="auto" w:sz="4" w:space="0"/>
              <w:right w:val="single" w:color="auto" w:sz="4" w:space="0"/>
            </w:tcBorders>
            <w:noWrap w:val="0"/>
            <w:vAlign w:val="center"/>
          </w:tcPr>
          <w:p w14:paraId="0E62E534">
            <w:pPr>
              <w:pStyle w:val="8"/>
              <w:spacing w:line="360" w:lineRule="auto"/>
              <w:jc w:val="center"/>
              <w:rPr>
                <w:rFonts w:hint="eastAsia" w:hAnsi="宋体" w:eastAsia="宋体"/>
                <w:color w:val="auto"/>
                <w:sz w:val="18"/>
                <w:szCs w:val="18"/>
                <w:lang w:eastAsia="zh-CN"/>
              </w:rPr>
            </w:pPr>
            <w:r>
              <w:rPr>
                <w:rFonts w:hint="eastAsia" w:hAnsi="宋体" w:cs="宋体"/>
                <w:color w:val="auto"/>
                <w:kern w:val="0"/>
                <w:sz w:val="18"/>
                <w:szCs w:val="18"/>
                <w:lang w:val="en-US" w:eastAsia="zh-CN"/>
              </w:rPr>
              <w:t>安装时间</w:t>
            </w:r>
          </w:p>
        </w:tc>
        <w:tc>
          <w:tcPr>
            <w:tcW w:w="1026" w:type="dxa"/>
            <w:tcBorders>
              <w:top w:val="single" w:color="auto" w:sz="4" w:space="0"/>
              <w:left w:val="nil"/>
              <w:bottom w:val="single" w:color="auto" w:sz="4" w:space="0"/>
              <w:right w:val="single" w:color="auto" w:sz="4" w:space="0"/>
            </w:tcBorders>
            <w:noWrap w:val="0"/>
            <w:vAlign w:val="center"/>
          </w:tcPr>
          <w:p w14:paraId="7A02C2EA">
            <w:pPr>
              <w:pStyle w:val="8"/>
              <w:spacing w:line="360" w:lineRule="auto"/>
              <w:jc w:val="center"/>
              <w:rPr>
                <w:rFonts w:hint="eastAsia" w:hAnsi="宋体" w:eastAsia="宋体"/>
                <w:color w:val="auto"/>
                <w:sz w:val="18"/>
                <w:szCs w:val="18"/>
                <w:lang w:val="en-US" w:eastAsia="zh-CN"/>
              </w:rPr>
            </w:pPr>
            <w:r>
              <w:rPr>
                <w:rFonts w:hint="eastAsia" w:hAnsi="宋体" w:cs="宋体"/>
                <w:color w:val="auto"/>
                <w:kern w:val="0"/>
                <w:sz w:val="18"/>
                <w:szCs w:val="18"/>
                <w:lang w:val="en-US" w:eastAsia="zh-CN"/>
              </w:rPr>
              <w:t>设备型号</w:t>
            </w:r>
          </w:p>
        </w:tc>
        <w:tc>
          <w:tcPr>
            <w:tcW w:w="1180" w:type="dxa"/>
            <w:tcBorders>
              <w:top w:val="single" w:color="auto" w:sz="4" w:space="0"/>
              <w:left w:val="nil"/>
              <w:bottom w:val="single" w:color="auto" w:sz="4" w:space="0"/>
              <w:right w:val="single" w:color="auto" w:sz="4" w:space="0"/>
            </w:tcBorders>
            <w:noWrap w:val="0"/>
            <w:vAlign w:val="center"/>
          </w:tcPr>
          <w:p w14:paraId="6A834FF1">
            <w:pPr>
              <w:pStyle w:val="8"/>
              <w:spacing w:line="360" w:lineRule="auto"/>
              <w:jc w:val="center"/>
              <w:rPr>
                <w:rFonts w:hint="eastAsia" w:hAnsi="宋体"/>
                <w:color w:val="auto"/>
                <w:sz w:val="18"/>
                <w:szCs w:val="18"/>
              </w:rPr>
            </w:pPr>
            <w:r>
              <w:rPr>
                <w:rFonts w:hint="eastAsia" w:hAnsi="宋体" w:cs="宋体"/>
                <w:color w:val="auto"/>
                <w:kern w:val="0"/>
                <w:sz w:val="18"/>
                <w:szCs w:val="18"/>
              </w:rPr>
              <w:t>设备品牌</w:t>
            </w:r>
          </w:p>
        </w:tc>
      </w:tr>
      <w:tr w14:paraId="7E6A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38" w:type="dxa"/>
            <w:vMerge w:val="restart"/>
            <w:noWrap w:val="0"/>
            <w:vAlign w:val="top"/>
          </w:tcPr>
          <w:p w14:paraId="528E1C77">
            <w:pPr>
              <w:pStyle w:val="8"/>
              <w:spacing w:line="360" w:lineRule="auto"/>
              <w:rPr>
                <w:rFonts w:hAnsi="宋体"/>
                <w:color w:val="auto"/>
                <w:sz w:val="18"/>
                <w:szCs w:val="18"/>
              </w:rPr>
            </w:pPr>
          </w:p>
          <w:p w14:paraId="7F810AE6">
            <w:pPr>
              <w:pStyle w:val="8"/>
              <w:spacing w:line="360" w:lineRule="auto"/>
              <w:jc w:val="center"/>
              <w:rPr>
                <w:rFonts w:hint="eastAsia" w:hAnsi="宋体" w:eastAsia="宋体"/>
                <w:color w:val="auto"/>
                <w:sz w:val="18"/>
                <w:szCs w:val="18"/>
                <w:lang w:val="en-US" w:eastAsia="zh-CN"/>
              </w:rPr>
            </w:pPr>
            <w:r>
              <w:rPr>
                <w:rFonts w:hint="eastAsia" w:hAnsi="宋体"/>
                <w:color w:val="auto"/>
                <w:sz w:val="18"/>
                <w:szCs w:val="18"/>
                <w:lang w:val="en-US" w:eastAsia="zh-CN"/>
              </w:rPr>
              <w:t>1</w:t>
            </w:r>
          </w:p>
        </w:tc>
        <w:tc>
          <w:tcPr>
            <w:tcW w:w="1294" w:type="dxa"/>
            <w:vMerge w:val="restart"/>
            <w:noWrap w:val="0"/>
            <w:vAlign w:val="top"/>
          </w:tcPr>
          <w:p w14:paraId="59B1AEE4">
            <w:pPr>
              <w:pStyle w:val="8"/>
              <w:spacing w:line="360" w:lineRule="auto"/>
              <w:jc w:val="center"/>
              <w:rPr>
                <w:rFonts w:hint="eastAsia" w:hAnsi="宋体"/>
                <w:color w:val="auto"/>
                <w:sz w:val="18"/>
                <w:szCs w:val="18"/>
              </w:rPr>
            </w:pPr>
            <w:r>
              <w:rPr>
                <w:rFonts w:hint="eastAsia" w:hAnsi="宋体"/>
                <w:color w:val="auto"/>
                <w:sz w:val="18"/>
                <w:szCs w:val="18"/>
                <w:lang w:val="en-US" w:eastAsia="zh-CN"/>
              </w:rPr>
              <w:t>涂装线及补漆线</w:t>
            </w:r>
            <w:r>
              <w:rPr>
                <w:rFonts w:hint="eastAsia" w:hAnsi="宋体"/>
                <w:color w:val="auto"/>
                <w:sz w:val="18"/>
                <w:szCs w:val="18"/>
              </w:rPr>
              <w:t>VOCs在线监测</w:t>
            </w:r>
            <w:r>
              <w:rPr>
                <w:rFonts w:hint="eastAsia" w:hAnsi="宋体"/>
                <w:color w:val="auto"/>
                <w:sz w:val="18"/>
                <w:szCs w:val="18"/>
                <w:lang w:val="en-US" w:eastAsia="zh-CN"/>
              </w:rPr>
              <w:t>设备</w:t>
            </w:r>
            <w:r>
              <w:rPr>
                <w:rFonts w:hint="eastAsia" w:hAnsi="宋体"/>
                <w:color w:val="auto"/>
                <w:sz w:val="18"/>
                <w:szCs w:val="18"/>
              </w:rPr>
              <w:t>运维项目</w:t>
            </w:r>
          </w:p>
        </w:tc>
        <w:tc>
          <w:tcPr>
            <w:tcW w:w="2182" w:type="dxa"/>
            <w:vMerge w:val="restart"/>
            <w:tcBorders>
              <w:top w:val="nil"/>
              <w:left w:val="nil"/>
              <w:right w:val="single" w:color="auto" w:sz="4" w:space="0"/>
            </w:tcBorders>
            <w:noWrap w:val="0"/>
            <w:vAlign w:val="center"/>
          </w:tcPr>
          <w:p w14:paraId="38FB16AE">
            <w:pPr>
              <w:pStyle w:val="8"/>
              <w:spacing w:line="360" w:lineRule="auto"/>
              <w:jc w:val="center"/>
              <w:rPr>
                <w:rFonts w:hint="eastAsia" w:hAnsi="宋体"/>
                <w:color w:val="auto"/>
                <w:sz w:val="18"/>
                <w:szCs w:val="18"/>
              </w:rPr>
            </w:pPr>
            <w:r>
              <w:rPr>
                <w:rFonts w:eastAsia="等线"/>
                <w:color w:val="auto"/>
                <w:kern w:val="0"/>
                <w:sz w:val="18"/>
                <w:szCs w:val="18"/>
              </w:rPr>
              <w:t>VOCs</w:t>
            </w:r>
            <w:r>
              <w:rPr>
                <w:rFonts w:hint="eastAsia" w:hAnsi="宋体"/>
                <w:color w:val="auto"/>
                <w:kern w:val="0"/>
                <w:sz w:val="18"/>
                <w:szCs w:val="18"/>
              </w:rPr>
              <w:t>在线监测</w:t>
            </w:r>
            <w:r>
              <w:rPr>
                <w:rFonts w:hint="eastAsia" w:hAnsi="宋体"/>
                <w:color w:val="auto"/>
                <w:kern w:val="0"/>
                <w:sz w:val="18"/>
                <w:szCs w:val="18"/>
                <w:lang w:val="en-US" w:eastAsia="zh-CN"/>
              </w:rPr>
              <w:t xml:space="preserve">设备    </w:t>
            </w:r>
            <w:r>
              <w:rPr>
                <w:rFonts w:hint="eastAsia" w:hAnsi="宋体"/>
                <w:color w:val="auto"/>
                <w:kern w:val="0"/>
                <w:sz w:val="18"/>
                <w:szCs w:val="18"/>
              </w:rPr>
              <w:t>年度运维</w:t>
            </w:r>
          </w:p>
        </w:tc>
        <w:tc>
          <w:tcPr>
            <w:tcW w:w="763" w:type="dxa"/>
            <w:noWrap w:val="0"/>
            <w:vAlign w:val="center"/>
          </w:tcPr>
          <w:p w14:paraId="63368C29">
            <w:pPr>
              <w:pStyle w:val="8"/>
              <w:spacing w:line="360" w:lineRule="auto"/>
              <w:jc w:val="center"/>
              <w:rPr>
                <w:rFonts w:hint="eastAsia" w:hAnsi="宋体"/>
                <w:color w:val="auto"/>
                <w:sz w:val="18"/>
                <w:szCs w:val="18"/>
              </w:rPr>
            </w:pPr>
            <w:r>
              <w:rPr>
                <w:rFonts w:hint="eastAsia" w:hAnsi="宋体"/>
                <w:color w:val="auto"/>
                <w:sz w:val="18"/>
                <w:szCs w:val="18"/>
              </w:rPr>
              <w:t>2</w:t>
            </w:r>
          </w:p>
        </w:tc>
        <w:tc>
          <w:tcPr>
            <w:tcW w:w="837" w:type="dxa"/>
            <w:noWrap w:val="0"/>
            <w:vAlign w:val="center"/>
          </w:tcPr>
          <w:p w14:paraId="15E54923">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2020年</w:t>
            </w:r>
          </w:p>
        </w:tc>
        <w:tc>
          <w:tcPr>
            <w:tcW w:w="1026" w:type="dxa"/>
            <w:noWrap w:val="0"/>
            <w:vAlign w:val="center"/>
          </w:tcPr>
          <w:p w14:paraId="0E346D05">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HV-3060</w:t>
            </w:r>
          </w:p>
        </w:tc>
        <w:tc>
          <w:tcPr>
            <w:tcW w:w="1180" w:type="dxa"/>
            <w:noWrap w:val="0"/>
            <w:vAlign w:val="center"/>
          </w:tcPr>
          <w:p w14:paraId="77CAEAB4">
            <w:pPr>
              <w:pStyle w:val="8"/>
              <w:spacing w:line="360" w:lineRule="auto"/>
              <w:jc w:val="center"/>
              <w:rPr>
                <w:rFonts w:hint="eastAsia" w:hAnsi="宋体" w:eastAsia="宋体"/>
                <w:color w:val="auto"/>
                <w:sz w:val="18"/>
                <w:szCs w:val="18"/>
                <w:lang w:eastAsia="zh-CN"/>
              </w:rPr>
            </w:pPr>
            <w:r>
              <w:rPr>
                <w:rFonts w:hint="eastAsia" w:hAnsi="宋体"/>
                <w:color w:val="auto"/>
                <w:sz w:val="18"/>
                <w:szCs w:val="18"/>
                <w:lang w:val="en-US" w:eastAsia="zh-CN"/>
              </w:rPr>
              <w:t>山东海慧</w:t>
            </w:r>
          </w:p>
        </w:tc>
      </w:tr>
      <w:tr w14:paraId="73A4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8" w:type="dxa"/>
            <w:vMerge w:val="continue"/>
            <w:noWrap w:val="0"/>
            <w:vAlign w:val="top"/>
          </w:tcPr>
          <w:p w14:paraId="3C98B670">
            <w:pPr>
              <w:pStyle w:val="8"/>
              <w:spacing w:line="360" w:lineRule="auto"/>
              <w:jc w:val="center"/>
              <w:rPr>
                <w:rFonts w:hint="eastAsia" w:hAnsi="宋体"/>
                <w:color w:val="auto"/>
                <w:sz w:val="18"/>
                <w:szCs w:val="18"/>
              </w:rPr>
            </w:pPr>
          </w:p>
        </w:tc>
        <w:tc>
          <w:tcPr>
            <w:tcW w:w="1294" w:type="dxa"/>
            <w:vMerge w:val="continue"/>
            <w:noWrap w:val="0"/>
            <w:vAlign w:val="top"/>
          </w:tcPr>
          <w:p w14:paraId="388FF1D3">
            <w:pPr>
              <w:pStyle w:val="8"/>
              <w:spacing w:line="360" w:lineRule="auto"/>
              <w:jc w:val="center"/>
              <w:rPr>
                <w:rFonts w:hint="eastAsia" w:hAnsi="宋体"/>
                <w:color w:val="auto"/>
                <w:sz w:val="18"/>
                <w:szCs w:val="18"/>
              </w:rPr>
            </w:pPr>
          </w:p>
        </w:tc>
        <w:tc>
          <w:tcPr>
            <w:tcW w:w="2182" w:type="dxa"/>
            <w:vMerge w:val="continue"/>
            <w:tcBorders>
              <w:left w:val="nil"/>
              <w:right w:val="single" w:color="auto" w:sz="4" w:space="0"/>
            </w:tcBorders>
            <w:noWrap w:val="0"/>
            <w:vAlign w:val="top"/>
          </w:tcPr>
          <w:p w14:paraId="653DD562">
            <w:pPr>
              <w:pStyle w:val="8"/>
              <w:spacing w:line="360" w:lineRule="auto"/>
              <w:jc w:val="center"/>
              <w:rPr>
                <w:rFonts w:hint="eastAsia" w:hAnsi="宋体"/>
                <w:color w:val="auto"/>
                <w:sz w:val="18"/>
                <w:szCs w:val="18"/>
              </w:rPr>
            </w:pPr>
          </w:p>
        </w:tc>
        <w:tc>
          <w:tcPr>
            <w:tcW w:w="763" w:type="dxa"/>
            <w:noWrap w:val="0"/>
            <w:vAlign w:val="center"/>
          </w:tcPr>
          <w:p w14:paraId="7F095A92">
            <w:pPr>
              <w:pStyle w:val="8"/>
              <w:spacing w:line="360" w:lineRule="auto"/>
              <w:jc w:val="center"/>
              <w:rPr>
                <w:rFonts w:hint="eastAsia" w:hAnsi="宋体" w:eastAsia="宋体"/>
                <w:color w:val="auto"/>
                <w:sz w:val="18"/>
                <w:szCs w:val="18"/>
                <w:lang w:eastAsia="zh-CN"/>
              </w:rPr>
            </w:pPr>
            <w:r>
              <w:rPr>
                <w:rFonts w:hint="eastAsia" w:hAnsi="宋体"/>
                <w:color w:val="auto"/>
                <w:sz w:val="18"/>
                <w:szCs w:val="18"/>
                <w:lang w:val="en-US" w:eastAsia="zh-CN"/>
              </w:rPr>
              <w:t>1</w:t>
            </w:r>
          </w:p>
        </w:tc>
        <w:tc>
          <w:tcPr>
            <w:tcW w:w="837" w:type="dxa"/>
            <w:noWrap w:val="0"/>
            <w:vAlign w:val="center"/>
          </w:tcPr>
          <w:p w14:paraId="39AE150C">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2021年</w:t>
            </w:r>
          </w:p>
        </w:tc>
        <w:tc>
          <w:tcPr>
            <w:tcW w:w="1026" w:type="dxa"/>
            <w:noWrap w:val="0"/>
            <w:vAlign w:val="center"/>
          </w:tcPr>
          <w:p w14:paraId="09A8250B">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GCOM-3000</w:t>
            </w:r>
          </w:p>
        </w:tc>
        <w:tc>
          <w:tcPr>
            <w:tcW w:w="1180" w:type="dxa"/>
            <w:noWrap w:val="0"/>
            <w:vAlign w:val="center"/>
          </w:tcPr>
          <w:p w14:paraId="43FFD636">
            <w:pPr>
              <w:pStyle w:val="8"/>
              <w:spacing w:line="360" w:lineRule="auto"/>
              <w:jc w:val="center"/>
              <w:rPr>
                <w:rFonts w:hint="default" w:hAnsi="宋体" w:eastAsia="宋体"/>
                <w:color w:val="auto"/>
                <w:sz w:val="18"/>
                <w:szCs w:val="18"/>
                <w:lang w:val="en-US" w:eastAsia="zh-CN"/>
              </w:rPr>
            </w:pPr>
            <w:r>
              <w:rPr>
                <w:rFonts w:hint="eastAsia" w:hAnsi="宋体"/>
                <w:color w:val="auto"/>
                <w:sz w:val="18"/>
                <w:szCs w:val="18"/>
                <w:lang w:val="en-US" w:eastAsia="zh-CN"/>
              </w:rPr>
              <w:t>杭州泽天</w:t>
            </w:r>
          </w:p>
        </w:tc>
      </w:tr>
    </w:tbl>
    <w:p w14:paraId="4B10B117">
      <w:pPr>
        <w:pStyle w:val="8"/>
        <w:spacing w:line="360" w:lineRule="auto"/>
        <w:jc w:val="left"/>
        <w:rPr>
          <w:rFonts w:ascii="黑体" w:eastAsia="黑体"/>
          <w:b/>
          <w:bCs/>
          <w:color w:val="auto"/>
          <w:sz w:val="28"/>
        </w:rPr>
      </w:pPr>
      <w:r>
        <w:rPr>
          <w:rFonts w:hint="eastAsia"/>
          <w:color w:val="auto"/>
        </w:rPr>
        <w:t xml:space="preserve">                                                                                                                                                                                                                                                                                                                                                                                                                                                                                                                                                                                               </w:t>
      </w:r>
      <w:r>
        <w:rPr>
          <w:rFonts w:hint="eastAsia" w:ascii="黑体" w:eastAsia="黑体"/>
          <w:b/>
          <w:bCs/>
          <w:color w:val="auto"/>
          <w:sz w:val="28"/>
        </w:rPr>
        <w:t>三、招标形式</w:t>
      </w:r>
    </w:p>
    <w:p w14:paraId="178DEA36">
      <w:pPr>
        <w:pStyle w:val="8"/>
        <w:spacing w:line="360" w:lineRule="auto"/>
        <w:ind w:firstLine="420" w:firstLineChars="200"/>
        <w:rPr>
          <w:color w:val="auto"/>
        </w:rPr>
      </w:pPr>
      <w:r>
        <w:rPr>
          <w:rFonts w:hint="eastAsia"/>
          <w:color w:val="auto"/>
        </w:rPr>
        <w:t>招标形式：公开招标。</w:t>
      </w:r>
    </w:p>
    <w:p w14:paraId="25A4DF6E">
      <w:pPr>
        <w:pStyle w:val="8"/>
        <w:spacing w:line="360" w:lineRule="auto"/>
        <w:rPr>
          <w:rFonts w:ascii="黑体" w:eastAsia="黑体"/>
          <w:b/>
          <w:bCs/>
          <w:color w:val="auto"/>
          <w:sz w:val="28"/>
        </w:rPr>
      </w:pPr>
      <w:r>
        <w:rPr>
          <w:rFonts w:hint="eastAsia" w:ascii="黑体" w:eastAsia="黑体"/>
          <w:b/>
          <w:bCs/>
          <w:color w:val="auto"/>
          <w:sz w:val="28"/>
        </w:rPr>
        <w:t>四、议程安排</w:t>
      </w:r>
    </w:p>
    <w:p w14:paraId="7FD1BA25">
      <w:pPr>
        <w:pStyle w:val="8"/>
        <w:spacing w:line="360" w:lineRule="auto"/>
        <w:ind w:firstLine="422" w:firstLineChars="200"/>
        <w:rPr>
          <w:rFonts w:hint="eastAsia"/>
        </w:rPr>
      </w:pPr>
      <w:r>
        <w:rPr>
          <w:rFonts w:hint="eastAsia"/>
          <w:b/>
        </w:rPr>
        <w:t>1. 发标时间：</w:t>
      </w:r>
      <w:r>
        <w:rPr>
          <w:rFonts w:hint="eastAsia"/>
        </w:rPr>
        <w:t xml:space="preserve"> 2025年</w:t>
      </w:r>
      <w:r>
        <w:rPr>
          <w:rFonts w:hint="eastAsia"/>
          <w:lang w:val="en-US" w:eastAsia="zh-CN"/>
        </w:rPr>
        <w:t>11</w:t>
      </w:r>
      <w:r>
        <w:rPr>
          <w:rFonts w:hint="eastAsia"/>
        </w:rPr>
        <w:t>月</w:t>
      </w:r>
      <w:r>
        <w:rPr>
          <w:rFonts w:hint="eastAsia"/>
          <w:lang w:val="en-US" w:eastAsia="zh-CN"/>
        </w:rPr>
        <w:t>28</w:t>
      </w:r>
      <w:r>
        <w:rPr>
          <w:rFonts w:hint="eastAsia"/>
        </w:rPr>
        <w:t>日</w:t>
      </w:r>
    </w:p>
    <w:p w14:paraId="37379C37">
      <w:pPr>
        <w:pStyle w:val="8"/>
        <w:spacing w:line="360" w:lineRule="auto"/>
        <w:ind w:firstLine="420" w:firstLineChars="200"/>
        <w:rPr>
          <w:rFonts w:hint="eastAsia"/>
        </w:rPr>
      </w:pPr>
      <w:r>
        <w:rPr>
          <w:rFonts w:hint="eastAsia"/>
        </w:rPr>
        <w:t>方式：招标人在上述时间范围内，在特定网站发布本项目招标公告及招标文件电子版。招标人不对投标人能否通过相关网站正确或及时获取招标文件负责。</w:t>
      </w:r>
    </w:p>
    <w:p w14:paraId="7A54FCC5">
      <w:pPr>
        <w:spacing w:line="420" w:lineRule="exact"/>
        <w:ind w:firstLine="630" w:firstLineChars="300"/>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凡有意参加投标者，请于2025年1</w:t>
      </w:r>
      <w:r>
        <w:rPr>
          <w:rFonts w:hint="eastAsia" w:ascii="宋体" w:hAnsi="Courier New" w:cs="Times New Roman"/>
          <w:kern w:val="2"/>
          <w:sz w:val="21"/>
          <w:lang w:val="en-US" w:eastAsia="zh-CN" w:bidi="ar-SA"/>
        </w:rPr>
        <w:t>2</w:t>
      </w:r>
      <w:r>
        <w:rPr>
          <w:rFonts w:hint="eastAsia" w:ascii="宋体" w:hAnsi="Courier New" w:eastAsia="宋体" w:cs="Times New Roman"/>
          <w:kern w:val="2"/>
          <w:sz w:val="21"/>
          <w:lang w:val="en-US" w:eastAsia="zh-CN" w:bidi="ar-SA"/>
        </w:rPr>
        <w:t>月</w:t>
      </w:r>
      <w:r>
        <w:rPr>
          <w:rFonts w:hint="eastAsia" w:ascii="宋体" w:hAnsi="Courier New" w:cs="Times New Roman"/>
          <w:kern w:val="2"/>
          <w:sz w:val="21"/>
          <w:lang w:val="en-US" w:eastAsia="zh-CN" w:bidi="ar-SA"/>
        </w:rPr>
        <w:t>10</w:t>
      </w:r>
      <w:r>
        <w:rPr>
          <w:rFonts w:hint="eastAsia" w:ascii="宋体" w:hAnsi="Courier New" w:eastAsia="宋体" w:cs="Times New Roman"/>
          <w:kern w:val="2"/>
          <w:sz w:val="21"/>
          <w:lang w:val="en-US" w:eastAsia="zh-CN" w:bidi="ar-SA"/>
        </w:rPr>
        <w:t>日下午17:00前（超出时间视为未报名成功），按照1.1-1.4顺序及所列项相关资料的原件扫描件加盖公章后（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w:t>
      </w:r>
      <w:r>
        <w:rPr>
          <w:rFonts w:hint="eastAsia" w:ascii="宋体" w:hAnsi="Courier New" w:eastAsia="宋体" w:cs="Times New Roman"/>
          <w:b/>
          <w:bCs/>
          <w:kern w:val="2"/>
          <w:sz w:val="21"/>
          <w:lang w:val="en-US" w:eastAsia="zh-CN" w:bidi="ar-SA"/>
        </w:rPr>
        <w:t>wangzekai@sinotruk.com</w:t>
      </w:r>
      <w:r>
        <w:rPr>
          <w:rFonts w:hint="eastAsia" w:ascii="宋体" w:hAnsi="Courier New" w:eastAsia="宋体" w:cs="Times New Roman"/>
          <w:kern w:val="2"/>
          <w:sz w:val="21"/>
          <w:lang w:val="en-US" w:eastAsia="zh-CN" w:bidi="ar-SA"/>
        </w:rPr>
        <w:t>并电话联系工作人员查收（张卫波；联系方式：15253846000），邮件名格式为：XXX公司（五个字以内公司简称）XX项目报名资料。</w:t>
      </w:r>
    </w:p>
    <w:p w14:paraId="29E2B67C">
      <w:pPr>
        <w:spacing w:line="420" w:lineRule="exact"/>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同时必须在邮件中以文字方式提供投标单位全称、投标授权人姓名、联系方式（固定电话、手机、电子邮箱）。</w:t>
      </w:r>
    </w:p>
    <w:p w14:paraId="2CFA1A3D">
      <w:pPr>
        <w:spacing w:line="420" w:lineRule="exact"/>
        <w:ind w:firstLine="420" w:firstLineChars="200"/>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1.1投标人报名表；</w:t>
      </w:r>
    </w:p>
    <w:p w14:paraId="6324EDB7">
      <w:pPr>
        <w:spacing w:line="420" w:lineRule="exact"/>
        <w:ind w:firstLine="420" w:firstLineChars="200"/>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1.2营业执照副本；</w:t>
      </w:r>
    </w:p>
    <w:p w14:paraId="0FC4B220">
      <w:pPr>
        <w:spacing w:line="420" w:lineRule="exact"/>
        <w:ind w:firstLine="420" w:firstLineChars="200"/>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1.3资质证书：在有效期之内的，经营范围符合本次招标方所需招标资质要求。</w:t>
      </w:r>
    </w:p>
    <w:p w14:paraId="6D5BAD0C">
      <w:pPr>
        <w:spacing w:line="420" w:lineRule="exact"/>
        <w:ind w:firstLine="420" w:firstLineChars="200"/>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1.4信用中国截图（报名日期前5日内“信用中国”网站(www.creditchina.gov.cn）查询本单位未被列入联合惩戒失信人名单的网页截图）；</w:t>
      </w:r>
    </w:p>
    <w:p w14:paraId="5CDF3DED">
      <w:pPr>
        <w:spacing w:line="420" w:lineRule="exact"/>
        <w:ind w:firstLine="420" w:firstLineChars="200"/>
        <w:rPr>
          <w:rFonts w:hint="eastAsia"/>
        </w:rPr>
      </w:pPr>
      <w:r>
        <w:rPr>
          <w:rFonts w:hint="eastAsia" w:ascii="宋体" w:hAnsi="Courier New" w:eastAsia="宋体" w:cs="Times New Roman"/>
          <w:kern w:val="2"/>
          <w:sz w:val="21"/>
          <w:lang w:val="en-US" w:eastAsia="zh-CN" w:bidi="ar-SA"/>
        </w:rPr>
        <w:t>本项目实行资格预审，报名成功不代表资格审查通过，以最终通过资格审查委员会的审查为准。</w:t>
      </w:r>
    </w:p>
    <w:p w14:paraId="12226E46">
      <w:pPr>
        <w:pStyle w:val="8"/>
        <w:spacing w:line="360" w:lineRule="auto"/>
        <w:ind w:firstLine="422" w:firstLineChars="200"/>
      </w:pPr>
      <w:r>
        <w:rPr>
          <w:rFonts w:hint="eastAsia"/>
          <w:b/>
        </w:rPr>
        <w:t>2. 投标报名截止时间：</w:t>
      </w:r>
      <w:r>
        <w:rPr>
          <w:rFonts w:hint="eastAsia"/>
        </w:rPr>
        <w:t>2025年</w:t>
      </w:r>
      <w:r>
        <w:rPr>
          <w:rFonts w:hint="eastAsia"/>
          <w:lang w:val="en-US" w:eastAsia="zh-CN"/>
        </w:rPr>
        <w:t>12</w:t>
      </w:r>
      <w:r>
        <w:rPr>
          <w:rFonts w:hint="eastAsia"/>
        </w:rPr>
        <w:t>月</w:t>
      </w:r>
      <w:r>
        <w:rPr>
          <w:rFonts w:hint="eastAsia"/>
          <w:lang w:val="en-US" w:eastAsia="zh-CN"/>
        </w:rPr>
        <w:t>8</w:t>
      </w:r>
      <w:r>
        <w:rPr>
          <w:rFonts w:hint="eastAsia"/>
        </w:rPr>
        <w:t>日下午</w:t>
      </w:r>
      <w:r>
        <w:rPr>
          <w:rFonts w:hint="eastAsia"/>
          <w:lang w:val="en-US" w:eastAsia="zh-CN"/>
        </w:rPr>
        <w:t>17</w:t>
      </w:r>
      <w:r>
        <w:rPr>
          <w:rFonts w:hint="eastAsia"/>
        </w:rPr>
        <w:t>点前，逾期不受理。</w:t>
      </w:r>
    </w:p>
    <w:p w14:paraId="5C8E6935">
      <w:pPr>
        <w:pStyle w:val="8"/>
        <w:spacing w:line="360" w:lineRule="auto"/>
        <w:ind w:firstLine="422" w:firstLineChars="200"/>
        <w:rPr>
          <w:rFonts w:hint="eastAsia"/>
        </w:rPr>
      </w:pPr>
      <w:r>
        <w:rPr>
          <w:rFonts w:hint="eastAsia"/>
          <w:b/>
        </w:rPr>
        <w:t>3.答疑时间：</w:t>
      </w:r>
      <w:r>
        <w:rPr>
          <w:rFonts w:hint="eastAsia"/>
        </w:rPr>
        <w:t>截止至2025年</w:t>
      </w:r>
      <w:r>
        <w:rPr>
          <w:rFonts w:hint="eastAsia"/>
          <w:lang w:val="en-US" w:eastAsia="zh-CN"/>
        </w:rPr>
        <w:t>12</w:t>
      </w:r>
      <w:r>
        <w:rPr>
          <w:rFonts w:hint="eastAsia"/>
        </w:rPr>
        <w:t>月</w:t>
      </w:r>
      <w:r>
        <w:rPr>
          <w:rFonts w:hint="eastAsia"/>
          <w:lang w:val="en-US" w:eastAsia="zh-CN"/>
        </w:rPr>
        <w:t>8</w:t>
      </w:r>
      <w:r>
        <w:rPr>
          <w:rFonts w:hint="eastAsia"/>
        </w:rPr>
        <w:t>日下午17点前，逾期不受理。</w:t>
      </w:r>
    </w:p>
    <w:p w14:paraId="6D74EDED">
      <w:pPr>
        <w:pStyle w:val="8"/>
        <w:spacing w:line="360" w:lineRule="auto"/>
        <w:ind w:firstLine="405"/>
        <w:rPr>
          <w:rFonts w:hint="eastAsia"/>
        </w:rPr>
      </w:pPr>
      <w:r>
        <w:rPr>
          <w:rFonts w:hint="eastAsia"/>
        </w:rPr>
        <w:t>答疑方式：现场（或电话）答疑。</w:t>
      </w:r>
    </w:p>
    <w:p w14:paraId="55E836BD">
      <w:pPr>
        <w:pStyle w:val="8"/>
        <w:spacing w:line="360" w:lineRule="auto"/>
        <w:ind w:firstLine="420" w:firstLineChars="200"/>
      </w:pPr>
      <w:r>
        <w:rPr>
          <w:rFonts w:hint="eastAsia"/>
        </w:rPr>
        <w:t>联系人：</w:t>
      </w:r>
      <w:r>
        <w:rPr>
          <w:rFonts w:hint="eastAsia" w:ascii="宋体" w:hAnsi="Courier New" w:eastAsia="宋体" w:cs="Times New Roman"/>
          <w:szCs w:val="21"/>
          <w:lang w:val="en-US" w:eastAsia="zh-CN"/>
        </w:rPr>
        <w:t>杨富涛</w:t>
      </w:r>
      <w:r>
        <w:rPr>
          <w:rFonts w:hint="eastAsia" w:ascii="宋体" w:hAnsi="Courier New" w:eastAsia="宋体" w:cs="Times New Roman"/>
          <w:szCs w:val="21"/>
        </w:rPr>
        <w:t xml:space="preserve">  联系电话:</w:t>
      </w:r>
      <w:r>
        <w:rPr>
          <w:rFonts w:hint="eastAsia" w:ascii="宋体" w:hAnsi="Courier New" w:eastAsia="宋体" w:cs="Times New Roman"/>
          <w:szCs w:val="21"/>
          <w:lang w:val="en-US" w:eastAsia="zh-CN"/>
        </w:rPr>
        <w:t>15005481753</w:t>
      </w:r>
    </w:p>
    <w:p w14:paraId="334A88D1">
      <w:pPr>
        <w:pStyle w:val="8"/>
        <w:spacing w:line="360" w:lineRule="auto"/>
        <w:ind w:firstLine="422" w:firstLineChars="200"/>
        <w:rPr>
          <w:rFonts w:hint="eastAsia"/>
        </w:rPr>
      </w:pPr>
      <w:r>
        <w:rPr>
          <w:rFonts w:hint="eastAsia"/>
          <w:b/>
        </w:rPr>
        <w:t>4.开标时间：</w:t>
      </w:r>
      <w:r>
        <w:rPr>
          <w:rFonts w:hint="eastAsia"/>
        </w:rPr>
        <w:t>2025年</w:t>
      </w:r>
      <w:r>
        <w:rPr>
          <w:rFonts w:hint="eastAsia"/>
          <w:lang w:val="en-US" w:eastAsia="zh-CN"/>
        </w:rPr>
        <w:t>12</w:t>
      </w:r>
      <w:r>
        <w:rPr>
          <w:rFonts w:hint="eastAsia"/>
        </w:rPr>
        <w:t>月</w:t>
      </w:r>
      <w:r>
        <w:rPr>
          <w:rFonts w:hint="eastAsia"/>
          <w:lang w:val="en-US" w:eastAsia="zh-CN"/>
        </w:rPr>
        <w:t>10</w:t>
      </w:r>
      <w:r>
        <w:rPr>
          <w:rFonts w:hint="eastAsia"/>
        </w:rPr>
        <w:t>日上午9时</w:t>
      </w:r>
    </w:p>
    <w:p w14:paraId="69FFE2D3">
      <w:pPr>
        <w:pStyle w:val="8"/>
        <w:spacing w:line="360" w:lineRule="auto"/>
        <w:ind w:firstLine="422" w:firstLineChars="200"/>
        <w:rPr>
          <w:rFonts w:hint="eastAsia"/>
          <w:b/>
        </w:rPr>
      </w:pPr>
      <w:r>
        <w:rPr>
          <w:rFonts w:hint="eastAsia"/>
          <w:b/>
        </w:rPr>
        <w:t>5.开标地点：</w:t>
      </w:r>
      <w:r>
        <w:rPr>
          <w:rFonts w:hint="eastAsia" w:ascii="宋体" w:hAnsi="Courier New" w:eastAsia="宋体" w:cs="Times New Roman"/>
        </w:rPr>
        <w:t>中国重汽集团泰安五岳</w:t>
      </w:r>
      <w:r>
        <w:rPr>
          <w:rFonts w:hint="eastAsia" w:ascii="宋体" w:hAnsi="Courier New" w:eastAsia="宋体" w:cs="Times New Roman"/>
          <w:lang w:val="en-US" w:eastAsia="zh-CN"/>
        </w:rPr>
        <w:t>专用汽车有限</w:t>
      </w:r>
      <w:r>
        <w:rPr>
          <w:rFonts w:hint="eastAsia" w:ascii="宋体" w:hAnsi="Courier New" w:eastAsia="宋体" w:cs="Times New Roman"/>
        </w:rPr>
        <w:t>公司</w:t>
      </w:r>
      <w:r>
        <w:rPr>
          <w:rFonts w:hint="eastAsia"/>
        </w:rPr>
        <w:t>（山东省</w:t>
      </w:r>
      <w:r>
        <w:rPr>
          <w:rFonts w:hint="eastAsia"/>
          <w:lang w:val="en-US" w:eastAsia="zh-CN"/>
        </w:rPr>
        <w:t>泰安</w:t>
      </w:r>
      <w:r>
        <w:rPr>
          <w:rFonts w:hint="eastAsia"/>
        </w:rPr>
        <w:t>市</w:t>
      </w:r>
      <w:r>
        <w:rPr>
          <w:rFonts w:hint="eastAsia"/>
          <w:lang w:val="en-US" w:eastAsia="zh-CN"/>
        </w:rPr>
        <w:t>高新区中天门大街266号</w:t>
      </w:r>
      <w:r>
        <w:rPr>
          <w:rFonts w:hint="eastAsia"/>
        </w:rPr>
        <w:t>）</w:t>
      </w:r>
      <w:r>
        <w:rPr>
          <w:rFonts w:hint="eastAsia" w:ascii="宋体" w:hAnsi="Courier New" w:eastAsia="宋体" w:cs="Times New Roman"/>
        </w:rPr>
        <w:t>301会议室（暂定</w:t>
      </w:r>
      <w:r>
        <w:rPr>
          <w:rFonts w:hint="eastAsia" w:ascii="宋体" w:hAnsi="Courier New" w:eastAsia="宋体" w:cs="Times New Roman"/>
          <w:lang w:eastAsia="zh-CN"/>
        </w:rPr>
        <w:t>，</w:t>
      </w:r>
      <w:r>
        <w:rPr>
          <w:rFonts w:hint="eastAsia"/>
        </w:rPr>
        <w:t>如有变动以通知为准）。</w:t>
      </w:r>
      <w:r>
        <w:t xml:space="preserve">             </w:t>
      </w:r>
    </w:p>
    <w:p w14:paraId="06D51A24">
      <w:pPr>
        <w:pStyle w:val="8"/>
        <w:spacing w:line="360" w:lineRule="auto"/>
        <w:ind w:firstLine="422" w:firstLineChars="200"/>
        <w:rPr>
          <w:rFonts w:hint="eastAsia"/>
          <w:b/>
        </w:rPr>
      </w:pPr>
      <w:r>
        <w:rPr>
          <w:rFonts w:hint="eastAsia"/>
          <w:b/>
        </w:rPr>
        <w:t>6.开标现场资质审验。</w:t>
      </w:r>
    </w:p>
    <w:p w14:paraId="4AD82C30">
      <w:pPr>
        <w:pStyle w:val="8"/>
        <w:spacing w:line="360" w:lineRule="auto"/>
        <w:ind w:firstLine="420" w:firstLineChars="200"/>
        <w:rPr>
          <w:rFonts w:hint="eastAsia"/>
          <w:highlight w:val="none"/>
        </w:rPr>
      </w:pPr>
      <w:r>
        <w:rPr>
          <w:rFonts w:hint="eastAsia"/>
          <w:highlight w:val="none"/>
        </w:rPr>
        <w:t>需提交的材料要求：详见本招标书“第二章 招标人须知”之“二、投标响应文件”之“1.</w:t>
      </w:r>
      <w:r>
        <w:rPr>
          <w:rFonts w:hint="eastAsia" w:hAnsi="宋体"/>
          <w:highlight w:val="none"/>
        </w:rPr>
        <w:t>⑴</w:t>
      </w:r>
      <w:r>
        <w:rPr>
          <w:rFonts w:hint="eastAsia"/>
          <w:highlight w:val="none"/>
        </w:rPr>
        <w:t xml:space="preserve"> 资质文件”所列示条目及要求。</w:t>
      </w:r>
    </w:p>
    <w:p w14:paraId="44AF0806">
      <w:pPr>
        <w:pStyle w:val="8"/>
        <w:spacing w:line="360" w:lineRule="auto"/>
        <w:ind w:firstLine="422" w:firstLineChars="200"/>
        <w:rPr>
          <w:b/>
        </w:rPr>
      </w:pPr>
      <w:r>
        <w:rPr>
          <w:rFonts w:hint="eastAsia"/>
          <w:b/>
        </w:rPr>
        <w:t>7. 评标：</w:t>
      </w:r>
    </w:p>
    <w:p w14:paraId="451B5EC6">
      <w:pPr>
        <w:pStyle w:val="8"/>
        <w:spacing w:line="360" w:lineRule="auto"/>
        <w:ind w:firstLine="420" w:firstLineChars="200"/>
      </w:pPr>
      <w:r>
        <w:rPr>
          <w:rFonts w:hint="eastAsia"/>
        </w:rPr>
        <w:t>需提供的材料：</w:t>
      </w:r>
    </w:p>
    <w:p w14:paraId="283761EE">
      <w:pPr>
        <w:pStyle w:val="8"/>
        <w:spacing w:line="360" w:lineRule="auto"/>
        <w:ind w:firstLine="420" w:firstLineChars="200"/>
      </w:pPr>
      <w:r>
        <w:rPr>
          <w:rFonts w:hint="eastAsia"/>
        </w:rPr>
        <w:t>（1）开标一览表；</w:t>
      </w:r>
    </w:p>
    <w:p w14:paraId="21EF4184">
      <w:pPr>
        <w:pStyle w:val="8"/>
        <w:spacing w:line="360" w:lineRule="auto"/>
        <w:ind w:firstLine="420" w:firstLineChars="200"/>
      </w:pPr>
      <w:r>
        <w:rPr>
          <w:rFonts w:hint="eastAsia"/>
        </w:rPr>
        <w:t>（2）标书；</w:t>
      </w:r>
    </w:p>
    <w:p w14:paraId="2D895297">
      <w:pPr>
        <w:pStyle w:val="8"/>
        <w:spacing w:line="360" w:lineRule="auto"/>
        <w:ind w:firstLine="420" w:firstLineChars="200"/>
        <w:rPr>
          <w:rFonts w:hint="eastAsia"/>
        </w:rPr>
      </w:pPr>
      <w:r>
        <w:rPr>
          <w:rFonts w:hint="eastAsia"/>
        </w:rPr>
        <w:t>（3）有统一社会信用代码的</w:t>
      </w:r>
      <w:r>
        <w:rPr>
          <w:rFonts w:hint="eastAsia" w:hAnsi="宋体"/>
        </w:rPr>
        <w:t>新版</w:t>
      </w:r>
      <w:r>
        <w:rPr>
          <w:rFonts w:hint="eastAsia"/>
        </w:rPr>
        <w:t>营业执照副本原件</w:t>
      </w:r>
      <w:r>
        <w:rPr>
          <w:rFonts w:hint="eastAsia"/>
          <w:szCs w:val="21"/>
        </w:rPr>
        <w:t>或加盖公章的复印件</w:t>
      </w:r>
      <w:r>
        <w:rPr>
          <w:rFonts w:hint="eastAsia"/>
        </w:rPr>
        <w:t>；</w:t>
      </w:r>
    </w:p>
    <w:p w14:paraId="6F800C78">
      <w:pPr>
        <w:pStyle w:val="8"/>
        <w:spacing w:line="360" w:lineRule="auto"/>
        <w:ind w:firstLine="420" w:firstLineChars="200"/>
      </w:pPr>
      <w:r>
        <w:rPr>
          <w:rFonts w:hint="eastAsia"/>
        </w:rPr>
        <w:t>（</w:t>
      </w:r>
      <w:r>
        <w:rPr>
          <w:rFonts w:hint="eastAsia"/>
          <w:lang w:val="en-US" w:eastAsia="zh-CN"/>
        </w:rPr>
        <w:t>4</w:t>
      </w:r>
      <w:r>
        <w:rPr>
          <w:rFonts w:hint="eastAsia"/>
        </w:rPr>
        <w:t>）投标单位的法定代表人或授权代表的身份证原件；</w:t>
      </w:r>
    </w:p>
    <w:p w14:paraId="6DEB0E4F">
      <w:pPr>
        <w:pStyle w:val="8"/>
        <w:spacing w:line="360" w:lineRule="auto"/>
        <w:ind w:firstLine="422" w:firstLineChars="200"/>
        <w:rPr>
          <w:highlight w:val="none"/>
        </w:rPr>
      </w:pPr>
      <w:r>
        <w:rPr>
          <w:rFonts w:hint="eastAsia"/>
          <w:b/>
          <w:highlight w:val="none"/>
        </w:rPr>
        <w:t>说明：</w:t>
      </w:r>
      <w:r>
        <w:rPr>
          <w:rFonts w:hint="eastAsia"/>
          <w:highlight w:val="none"/>
        </w:rPr>
        <w:t>投标人需按本招标书之“第三章 投标文件编制”之相关要求对上述投标文件进行编制密封，并于评标开始时向评标工作小组当面提交。</w:t>
      </w:r>
    </w:p>
    <w:p w14:paraId="56C66C7B">
      <w:pPr>
        <w:pStyle w:val="8"/>
        <w:spacing w:line="360" w:lineRule="auto"/>
        <w:ind w:firstLine="422" w:firstLineChars="200"/>
        <w:rPr>
          <w:b/>
        </w:rPr>
      </w:pPr>
      <w:r>
        <w:rPr>
          <w:rFonts w:hint="eastAsia"/>
          <w:b/>
        </w:rPr>
        <w:t>8.联 系 人：</w:t>
      </w:r>
    </w:p>
    <w:p w14:paraId="19F791E2">
      <w:pPr>
        <w:pStyle w:val="8"/>
        <w:spacing w:line="360" w:lineRule="auto"/>
        <w:ind w:firstLine="420" w:firstLineChars="200"/>
        <w:rPr>
          <w:rFonts w:hint="eastAsia" w:ascii="宋体" w:hAnsi="Courier New" w:eastAsia="宋体" w:cs="Times New Roman"/>
          <w:szCs w:val="21"/>
        </w:rPr>
      </w:pPr>
      <w:r>
        <w:rPr>
          <w:rFonts w:hint="eastAsia" w:ascii="宋体" w:hAnsi="Courier New" w:eastAsia="宋体" w:cs="Times New Roman"/>
          <w:szCs w:val="21"/>
        </w:rPr>
        <w:t>商务联系人：张卫波  联系电话:15253846000</w:t>
      </w:r>
    </w:p>
    <w:p w14:paraId="0512299A">
      <w:pPr>
        <w:pStyle w:val="8"/>
        <w:spacing w:line="360" w:lineRule="auto"/>
        <w:ind w:firstLine="420" w:firstLineChars="200"/>
        <w:rPr>
          <w:rFonts w:hint="default" w:ascii="宋体" w:hAnsi="Courier New" w:eastAsia="宋体" w:cs="Times New Roman"/>
          <w:szCs w:val="21"/>
          <w:lang w:val="en-US" w:eastAsia="zh-CN"/>
        </w:rPr>
      </w:pPr>
      <w:r>
        <w:rPr>
          <w:rFonts w:hint="eastAsia" w:ascii="宋体" w:hAnsi="Courier New" w:eastAsia="宋体" w:cs="Times New Roman"/>
          <w:szCs w:val="21"/>
        </w:rPr>
        <w:t>技术联系人：</w:t>
      </w:r>
      <w:r>
        <w:rPr>
          <w:rFonts w:hint="eastAsia" w:ascii="宋体" w:hAnsi="Courier New" w:eastAsia="宋体" w:cs="Times New Roman"/>
          <w:szCs w:val="21"/>
          <w:lang w:val="en-US" w:eastAsia="zh-CN"/>
        </w:rPr>
        <w:t>杨富涛</w:t>
      </w:r>
      <w:r>
        <w:rPr>
          <w:rFonts w:hint="eastAsia" w:ascii="宋体" w:hAnsi="Courier New" w:eastAsia="宋体" w:cs="Times New Roman"/>
          <w:szCs w:val="21"/>
        </w:rPr>
        <w:t xml:space="preserve">  联系电话:</w:t>
      </w:r>
      <w:r>
        <w:rPr>
          <w:rFonts w:hint="eastAsia" w:ascii="宋体" w:hAnsi="Courier New" w:eastAsia="宋体" w:cs="Times New Roman"/>
          <w:szCs w:val="21"/>
          <w:lang w:val="en-US" w:eastAsia="zh-CN"/>
        </w:rPr>
        <w:t>15005481753</w:t>
      </w:r>
    </w:p>
    <w:p w14:paraId="0A4F8483">
      <w:pPr>
        <w:pStyle w:val="8"/>
        <w:spacing w:line="360" w:lineRule="auto"/>
        <w:ind w:firstLine="420" w:firstLineChars="200"/>
        <w:rPr>
          <w:rFonts w:hint="eastAsia" w:ascii="宋体" w:hAnsi="Courier New" w:eastAsia="宋体" w:cs="Times New Roman"/>
          <w:szCs w:val="21"/>
        </w:rPr>
      </w:pPr>
      <w:r>
        <w:rPr>
          <w:rFonts w:hint="eastAsia" w:ascii="宋体" w:hAnsi="Courier New" w:eastAsia="宋体" w:cs="Times New Roman"/>
          <w:szCs w:val="21"/>
        </w:rPr>
        <w:t>电子邮箱：wangzekai@sinotruk.com</w:t>
      </w:r>
      <w:bookmarkStart w:id="43" w:name="_GoBack"/>
      <w:bookmarkEnd w:id="43"/>
    </w:p>
    <w:p w14:paraId="2F92AACD">
      <w:pPr>
        <w:pStyle w:val="8"/>
        <w:spacing w:line="360" w:lineRule="auto"/>
        <w:ind w:firstLine="420" w:firstLineChars="200"/>
        <w:rPr>
          <w:rFonts w:hint="eastAsia" w:ascii="宋体" w:hAnsi="Courier New" w:eastAsia="宋体" w:cs="Times New Roman"/>
          <w:szCs w:val="21"/>
        </w:rPr>
      </w:pPr>
      <w:r>
        <w:rPr>
          <w:rFonts w:hint="eastAsia" w:ascii="宋体" w:hAnsi="Courier New" w:eastAsia="宋体" w:cs="Times New Roman"/>
          <w:szCs w:val="21"/>
        </w:rPr>
        <w:t>地址：泰安市高新技术产业开发区中天门大街266号</w:t>
      </w:r>
    </w:p>
    <w:p w14:paraId="41F62737">
      <w:pPr>
        <w:numPr>
          <w:ilvl w:val="0"/>
          <w:numId w:val="1"/>
        </w:numPr>
        <w:spacing w:line="360" w:lineRule="auto"/>
        <w:ind w:firstLine="480" w:firstLineChars="200"/>
        <w:rPr>
          <w:rFonts w:hint="eastAsia"/>
          <w:sz w:val="24"/>
          <w:lang w:val="en-US" w:eastAsia="zh-CN"/>
        </w:rPr>
      </w:pPr>
      <w:r>
        <w:rPr>
          <w:rFonts w:hint="eastAsia"/>
          <w:sz w:val="24"/>
          <w:lang w:val="en-US" w:eastAsia="zh-CN"/>
        </w:rPr>
        <w:t>投标保证金</w:t>
      </w:r>
    </w:p>
    <w:p w14:paraId="1584249F">
      <w:pPr>
        <w:numPr>
          <w:ilvl w:val="0"/>
          <w:numId w:val="0"/>
        </w:numPr>
        <w:spacing w:line="360" w:lineRule="auto"/>
        <w:ind w:firstLine="630" w:firstLineChars="30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投标保证金的形式：电汇</w:t>
      </w:r>
    </w:p>
    <w:p w14:paraId="3A932470">
      <w:pPr>
        <w:spacing w:line="360" w:lineRule="auto"/>
        <w:ind w:firstLine="630" w:firstLineChars="30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投标保证金的金额：人民币 2000元</w:t>
      </w:r>
    </w:p>
    <w:p w14:paraId="51821753">
      <w:pPr>
        <w:spacing w:line="360" w:lineRule="auto"/>
        <w:ind w:firstLine="420" w:firstLineChars="20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保证金截止时间：</w:t>
      </w:r>
      <w:r>
        <w:rPr>
          <w:rFonts w:hint="eastAsia"/>
        </w:rPr>
        <w:t>2025年</w:t>
      </w:r>
      <w:r>
        <w:rPr>
          <w:rFonts w:hint="eastAsia"/>
          <w:lang w:val="en-US" w:eastAsia="zh-CN"/>
        </w:rPr>
        <w:t>12</w:t>
      </w:r>
      <w:r>
        <w:rPr>
          <w:rFonts w:hint="eastAsia"/>
        </w:rPr>
        <w:t>月</w:t>
      </w:r>
      <w:r>
        <w:rPr>
          <w:rFonts w:hint="eastAsia"/>
          <w:lang w:val="en-US" w:eastAsia="zh-CN"/>
        </w:rPr>
        <w:t>8</w:t>
      </w:r>
      <w:r>
        <w:rPr>
          <w:rFonts w:hint="eastAsia"/>
        </w:rPr>
        <w:t>日下午17点前</w:t>
      </w:r>
    </w:p>
    <w:p w14:paraId="7E32D4C8">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公司名称:中国重汽集团泰安五岳专用汽车有限公司</w:t>
      </w:r>
    </w:p>
    <w:p w14:paraId="61F0A178">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纳税人识别号:91370900166414879F</w:t>
      </w:r>
    </w:p>
    <w:p w14:paraId="3090D83D">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地址电话:山东省泰安市高新技术产业开发区中天门大街266号0538-8933928</w:t>
      </w:r>
    </w:p>
    <w:p w14:paraId="408D358C">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开户行及账号:交通银行股份有限公司</w:t>
      </w:r>
    </w:p>
    <w:p w14:paraId="0AC20736">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泰安分行379006111018000061904</w:t>
      </w:r>
    </w:p>
    <w:p w14:paraId="3387C61D">
      <w:pPr>
        <w:pStyle w:val="15"/>
        <w:spacing w:after="0" w:line="240" w:lineRule="auto"/>
        <w:ind w:left="0" w:leftChars="0" w:firstLine="48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注：投标保证金需从投标单位基本账户转出。</w:t>
      </w:r>
    </w:p>
    <w:p w14:paraId="4D5062F5">
      <w:pPr>
        <w:spacing w:line="360" w:lineRule="auto"/>
        <w:ind w:firstLine="420" w:firstLineChars="200"/>
        <w:rPr>
          <w:rFonts w:hint="eastAsia" w:ascii="宋体" w:hAnsi="Courier New" w:eastAsia="宋体" w:cs="Times New Roman"/>
          <w:kern w:val="2"/>
          <w:sz w:val="21"/>
          <w:szCs w:val="21"/>
          <w:lang w:val="en-US" w:eastAsia="zh-CN" w:bidi="ar-SA"/>
        </w:rPr>
      </w:pPr>
      <w:r>
        <w:rPr>
          <w:rFonts w:hint="eastAsia" w:ascii="宋体" w:hAnsi="Courier New" w:eastAsia="宋体" w:cs="Times New Roman"/>
          <w:kern w:val="2"/>
          <w:sz w:val="21"/>
          <w:szCs w:val="21"/>
          <w:lang w:val="en-US" w:eastAsia="zh-CN" w:bidi="ar-SA"/>
        </w:rPr>
        <w:t>供应商应充分考虑银行信息交换时间，由此带来的保证金不能按时到帐的责任由供应商自行承担。</w:t>
      </w:r>
    </w:p>
    <w:p w14:paraId="510A66CD">
      <w:pPr>
        <w:pStyle w:val="8"/>
        <w:spacing w:line="360" w:lineRule="auto"/>
        <w:ind w:firstLine="482" w:firstLineChars="200"/>
        <w:rPr>
          <w:rFonts w:hint="eastAsia" w:ascii="宋体" w:hAnsi="Courier New" w:eastAsia="宋体" w:cs="Times New Roman"/>
          <w:szCs w:val="21"/>
        </w:rPr>
      </w:pPr>
      <w:r>
        <w:rPr>
          <w:rFonts w:hint="eastAsia" w:hAnsi="宋体"/>
          <w:b/>
          <w:sz w:val="24"/>
          <w:szCs w:val="24"/>
        </w:rPr>
        <w:t>注：无正当理由随意放弃投标、</w:t>
      </w:r>
      <w:r>
        <w:rPr>
          <w:rFonts w:hAnsi="宋体"/>
          <w:b/>
          <w:sz w:val="24"/>
          <w:szCs w:val="24"/>
        </w:rPr>
        <w:t>撤销投标文件</w:t>
      </w:r>
      <w:r>
        <w:rPr>
          <w:rFonts w:hint="eastAsia" w:hAnsi="宋体"/>
          <w:b/>
          <w:sz w:val="24"/>
          <w:szCs w:val="24"/>
        </w:rPr>
        <w:t>、</w:t>
      </w:r>
      <w:r>
        <w:rPr>
          <w:rFonts w:hAnsi="宋体"/>
          <w:b/>
          <w:sz w:val="24"/>
          <w:szCs w:val="24"/>
        </w:rPr>
        <w:t>中标后</w:t>
      </w:r>
      <w:r>
        <w:rPr>
          <w:rFonts w:hint="eastAsia" w:hAnsi="宋体"/>
          <w:b/>
          <w:sz w:val="24"/>
          <w:szCs w:val="24"/>
        </w:rPr>
        <w:t>无</w:t>
      </w:r>
      <w:r>
        <w:rPr>
          <w:rFonts w:hAnsi="宋体"/>
          <w:b/>
          <w:sz w:val="24"/>
          <w:szCs w:val="24"/>
        </w:rPr>
        <w:t>正当理由</w:t>
      </w:r>
      <w:r>
        <w:rPr>
          <w:rFonts w:hint="eastAsia" w:hAnsi="宋体"/>
          <w:b/>
          <w:sz w:val="24"/>
          <w:szCs w:val="24"/>
        </w:rPr>
        <w:t>拒签</w:t>
      </w:r>
      <w:r>
        <w:rPr>
          <w:rFonts w:hAnsi="宋体"/>
          <w:b/>
          <w:sz w:val="24"/>
          <w:szCs w:val="24"/>
        </w:rPr>
        <w:t>合同</w:t>
      </w:r>
      <w:r>
        <w:rPr>
          <w:rFonts w:hint="eastAsia" w:hAnsi="宋体"/>
          <w:b/>
          <w:sz w:val="24"/>
          <w:szCs w:val="24"/>
        </w:rPr>
        <w:t>、</w:t>
      </w:r>
      <w:r>
        <w:rPr>
          <w:rFonts w:hAnsi="宋体"/>
          <w:b/>
          <w:sz w:val="24"/>
          <w:szCs w:val="24"/>
        </w:rPr>
        <w:t>在签订合同时向招标</w:t>
      </w:r>
      <w:r>
        <w:rPr>
          <w:rFonts w:hint="eastAsia" w:hAnsi="宋体"/>
          <w:b/>
          <w:sz w:val="24"/>
          <w:szCs w:val="24"/>
        </w:rPr>
        <w:t>方</w:t>
      </w:r>
      <w:r>
        <w:rPr>
          <w:rFonts w:hAnsi="宋体"/>
          <w:b/>
          <w:sz w:val="24"/>
          <w:szCs w:val="24"/>
        </w:rPr>
        <w:t>提出</w:t>
      </w:r>
      <w:r>
        <w:rPr>
          <w:rFonts w:hint="eastAsia" w:hAnsi="宋体"/>
          <w:b/>
          <w:sz w:val="24"/>
          <w:szCs w:val="24"/>
        </w:rPr>
        <w:t>无理</w:t>
      </w:r>
      <w:r>
        <w:rPr>
          <w:rFonts w:hAnsi="宋体"/>
          <w:b/>
          <w:sz w:val="24"/>
          <w:szCs w:val="24"/>
        </w:rPr>
        <w:t>附加条件</w:t>
      </w:r>
      <w:r>
        <w:rPr>
          <w:rFonts w:hint="eastAsia" w:hAnsi="宋体"/>
          <w:b/>
          <w:sz w:val="24"/>
          <w:szCs w:val="24"/>
        </w:rPr>
        <w:t>的，</w:t>
      </w:r>
      <w:r>
        <w:rPr>
          <w:rFonts w:hAnsi="宋体"/>
          <w:b/>
          <w:sz w:val="24"/>
          <w:szCs w:val="24"/>
        </w:rPr>
        <w:t>投标保证金不予返还</w:t>
      </w:r>
      <w:r>
        <w:rPr>
          <w:rFonts w:hint="eastAsia" w:hAnsi="宋体"/>
          <w:b/>
          <w:sz w:val="24"/>
          <w:szCs w:val="24"/>
        </w:rPr>
        <w:t>，并取消该投标人的中标资格</w:t>
      </w:r>
      <w:r>
        <w:rPr>
          <w:rFonts w:hAnsi="宋体"/>
          <w:b/>
          <w:sz w:val="24"/>
          <w:szCs w:val="24"/>
        </w:rPr>
        <w:t>，</w:t>
      </w:r>
      <w:r>
        <w:rPr>
          <w:rFonts w:hint="eastAsia" w:hAnsi="宋体"/>
          <w:b/>
          <w:sz w:val="24"/>
          <w:szCs w:val="24"/>
        </w:rPr>
        <w:t>该投标人2</w:t>
      </w:r>
      <w:r>
        <w:rPr>
          <w:rFonts w:hAnsi="宋体"/>
          <w:b/>
          <w:sz w:val="24"/>
          <w:szCs w:val="24"/>
        </w:rPr>
        <w:t>年</w:t>
      </w:r>
      <w:r>
        <w:rPr>
          <w:rFonts w:hint="eastAsia" w:hAnsi="宋体"/>
          <w:b/>
          <w:sz w:val="24"/>
          <w:szCs w:val="24"/>
        </w:rPr>
        <w:t>内不得参与招标方类似产品的招投标项目。</w:t>
      </w:r>
      <w:r>
        <w:rPr>
          <w:rFonts w:hint="eastAsia"/>
          <w:b/>
          <w:sz w:val="24"/>
          <w:szCs w:val="24"/>
        </w:rPr>
        <w:t>不存在以上违规情况的投标人，</w:t>
      </w:r>
      <w:r>
        <w:rPr>
          <w:b/>
          <w:sz w:val="24"/>
          <w:szCs w:val="24"/>
        </w:rPr>
        <w:t>招标</w:t>
      </w:r>
      <w:r>
        <w:rPr>
          <w:rFonts w:hint="eastAsia"/>
          <w:b/>
          <w:sz w:val="24"/>
          <w:szCs w:val="24"/>
        </w:rPr>
        <w:t>方</w:t>
      </w:r>
      <w:r>
        <w:rPr>
          <w:b/>
          <w:sz w:val="24"/>
          <w:szCs w:val="24"/>
        </w:rPr>
        <w:t>最迟在</w:t>
      </w:r>
      <w:r>
        <w:rPr>
          <w:rFonts w:hint="eastAsia"/>
          <w:b/>
          <w:sz w:val="24"/>
          <w:szCs w:val="24"/>
        </w:rPr>
        <w:t>确定中标方</w:t>
      </w:r>
      <w:r>
        <w:rPr>
          <w:b/>
          <w:sz w:val="24"/>
          <w:szCs w:val="24"/>
        </w:rPr>
        <w:t>后</w:t>
      </w:r>
      <w:r>
        <w:rPr>
          <w:rFonts w:hint="eastAsia"/>
          <w:b/>
          <w:sz w:val="24"/>
          <w:szCs w:val="24"/>
        </w:rPr>
        <w:t>次月月底前无息</w:t>
      </w:r>
      <w:r>
        <w:rPr>
          <w:b/>
          <w:sz w:val="24"/>
          <w:szCs w:val="24"/>
        </w:rPr>
        <w:t>退还投标保证金</w:t>
      </w:r>
      <w:r>
        <w:rPr>
          <w:rFonts w:hint="eastAsia"/>
          <w:b/>
          <w:sz w:val="24"/>
          <w:szCs w:val="24"/>
        </w:rPr>
        <w:t>本金。</w:t>
      </w:r>
    </w:p>
    <w:p w14:paraId="3A80EA7A">
      <w:pPr>
        <w:pStyle w:val="8"/>
        <w:spacing w:line="360" w:lineRule="auto"/>
        <w:rPr>
          <w:rFonts w:ascii="黑体" w:eastAsia="黑体"/>
          <w:b/>
          <w:bCs/>
          <w:color w:val="auto"/>
          <w:sz w:val="28"/>
        </w:rPr>
      </w:pPr>
      <w:r>
        <w:rPr>
          <w:rFonts w:hint="eastAsia" w:ascii="黑体" w:eastAsia="黑体"/>
          <w:b/>
          <w:bCs/>
          <w:color w:val="auto"/>
          <w:sz w:val="28"/>
        </w:rPr>
        <w:t>六、投标须知</w:t>
      </w:r>
    </w:p>
    <w:p w14:paraId="1B0D3F4A">
      <w:pPr>
        <w:pStyle w:val="8"/>
        <w:spacing w:line="360" w:lineRule="auto"/>
        <w:ind w:firstLine="422" w:firstLineChars="200"/>
        <w:rPr>
          <w:b/>
          <w:color w:val="auto"/>
        </w:rPr>
      </w:pPr>
      <w:r>
        <w:rPr>
          <w:rFonts w:hint="eastAsia"/>
          <w:b/>
          <w:color w:val="auto"/>
        </w:rPr>
        <w:t>1.合格投标人：</w:t>
      </w:r>
    </w:p>
    <w:p w14:paraId="322E1727">
      <w:pPr>
        <w:pStyle w:val="8"/>
        <w:spacing w:line="360" w:lineRule="auto"/>
        <w:ind w:firstLine="420" w:firstLineChars="200"/>
        <w:rPr>
          <w:rFonts w:hint="eastAsia" w:hAnsi="宋体" w:cs="宋体"/>
          <w:color w:val="auto"/>
        </w:rPr>
      </w:pPr>
      <w:r>
        <w:rPr>
          <w:rFonts w:hint="eastAsia"/>
          <w:color w:val="auto"/>
          <w:lang w:val="en-US" w:eastAsia="zh-CN"/>
        </w:rPr>
        <w:t>1、</w:t>
      </w:r>
      <w:r>
        <w:rPr>
          <w:rFonts w:hint="eastAsia"/>
          <w:color w:val="auto"/>
        </w:rPr>
        <w:t>投标人须遵守《中华人民共和国招标投标法》、《中华人民共和国民法典》及其它有关的法律和法规；为中华人民共和国境内注册的独立法人机构，具有独立承担民事责任能力；</w:t>
      </w:r>
      <w:r>
        <w:rPr>
          <w:rFonts w:hint="eastAsia" w:hAnsi="宋体" w:cs="宋体"/>
          <w:color w:val="auto"/>
        </w:rPr>
        <w:t>并在人员、设备、资金等方面具有承担本项目的能力；</w:t>
      </w:r>
    </w:p>
    <w:p w14:paraId="60CF95D1">
      <w:pPr>
        <w:pStyle w:val="8"/>
        <w:spacing w:line="360" w:lineRule="auto"/>
        <w:ind w:firstLine="420" w:firstLineChars="200"/>
        <w:rPr>
          <w:rFonts w:hint="eastAsia"/>
          <w:color w:val="auto"/>
        </w:rPr>
      </w:pPr>
      <w:r>
        <w:rPr>
          <w:rFonts w:hint="eastAsia"/>
          <w:color w:val="auto"/>
          <w:lang w:val="en-US" w:eastAsia="zh-CN"/>
        </w:rPr>
        <w:t>2、</w:t>
      </w:r>
      <w:r>
        <w:rPr>
          <w:rFonts w:hint="eastAsia"/>
          <w:color w:val="auto"/>
        </w:rPr>
        <w:t>公司成立</w:t>
      </w:r>
      <w:r>
        <w:rPr>
          <w:rFonts w:hint="eastAsia"/>
          <w:color w:val="auto"/>
          <w:lang w:val="en-US" w:eastAsia="zh-CN"/>
        </w:rPr>
        <w:t>三</w:t>
      </w:r>
      <w:r>
        <w:rPr>
          <w:rFonts w:hint="eastAsia"/>
          <w:color w:val="auto"/>
        </w:rPr>
        <w:t>年以上（以营业执照成立日期到开标当日满三年为准）；注册资金不少于</w:t>
      </w:r>
      <w:r>
        <w:rPr>
          <w:rFonts w:hint="eastAsia"/>
          <w:color w:val="auto"/>
          <w:lang w:val="en-US" w:eastAsia="zh-CN"/>
        </w:rPr>
        <w:t>100</w:t>
      </w:r>
      <w:r>
        <w:rPr>
          <w:rFonts w:hint="eastAsia"/>
          <w:color w:val="auto"/>
        </w:rPr>
        <w:t>万元；经营范围满足招标项目需求；</w:t>
      </w:r>
    </w:p>
    <w:p w14:paraId="3D0AD3B3">
      <w:pPr>
        <w:pStyle w:val="8"/>
        <w:spacing w:line="360" w:lineRule="auto"/>
        <w:ind w:firstLine="420" w:firstLineChars="200"/>
        <w:rPr>
          <w:rFonts w:hint="eastAsia"/>
          <w:color w:val="auto"/>
        </w:rPr>
      </w:pPr>
      <w:r>
        <w:rPr>
          <w:rFonts w:hint="eastAsia"/>
          <w:color w:val="auto"/>
          <w:lang w:val="en-US" w:eastAsia="zh-CN"/>
        </w:rPr>
        <w:t>3、</w:t>
      </w:r>
      <w:r>
        <w:rPr>
          <w:rFonts w:hint="eastAsia"/>
          <w:color w:val="auto"/>
        </w:rPr>
        <w:t>投标人须提供具有统一社会信用代码的新版营业执照副本原件及（或）复印件（加盖公章）；</w:t>
      </w:r>
    </w:p>
    <w:p w14:paraId="4F7BC709">
      <w:pPr>
        <w:pStyle w:val="8"/>
        <w:spacing w:line="360" w:lineRule="auto"/>
        <w:ind w:firstLine="420" w:firstLineChars="200"/>
        <w:rPr>
          <w:rFonts w:hint="eastAsia"/>
          <w:color w:val="auto"/>
        </w:rPr>
      </w:pPr>
      <w:r>
        <w:rPr>
          <w:rFonts w:hint="eastAsia"/>
          <w:color w:val="auto"/>
          <w:lang w:val="en-US" w:eastAsia="zh-CN"/>
        </w:rPr>
        <w:t>4、</w:t>
      </w:r>
      <w:r>
        <w:rPr>
          <w:rFonts w:hint="eastAsia"/>
          <w:color w:val="auto"/>
        </w:rPr>
        <w:t>投标人近</w:t>
      </w:r>
      <w:r>
        <w:rPr>
          <w:rFonts w:hint="eastAsia"/>
          <w:color w:val="auto"/>
          <w:lang w:val="en-US" w:eastAsia="zh-CN"/>
        </w:rPr>
        <w:t>一</w:t>
      </w:r>
      <w:r>
        <w:rPr>
          <w:rFonts w:hint="eastAsia"/>
          <w:color w:val="auto"/>
        </w:rPr>
        <w:t>年内在经营活动中无与本项目有关的违法及重大违规情况；</w:t>
      </w:r>
    </w:p>
    <w:p w14:paraId="52E9F517">
      <w:pPr>
        <w:pStyle w:val="8"/>
        <w:spacing w:line="360" w:lineRule="auto"/>
        <w:ind w:firstLine="420" w:firstLineChars="200"/>
        <w:rPr>
          <w:rFonts w:hint="eastAsia"/>
          <w:color w:val="auto"/>
        </w:rPr>
      </w:pPr>
      <w:r>
        <w:rPr>
          <w:rFonts w:hint="eastAsia"/>
          <w:color w:val="auto"/>
          <w:lang w:val="en-US" w:eastAsia="zh-CN"/>
        </w:rPr>
        <w:t>5、</w:t>
      </w:r>
      <w:r>
        <w:rPr>
          <w:rFonts w:hint="eastAsia"/>
          <w:color w:val="auto"/>
        </w:rPr>
        <w:t>具有健全的财务会计制度，财务状况和市场行为良好。没有处于被有权机关吊销营业执照、吊销资质、停业整顿、取消投标资格以及财产被接管、冻结或进入破产程序等；</w:t>
      </w:r>
    </w:p>
    <w:p w14:paraId="644DC026">
      <w:pPr>
        <w:pStyle w:val="8"/>
        <w:spacing w:line="360" w:lineRule="auto"/>
        <w:ind w:firstLine="420" w:firstLineChars="200"/>
        <w:rPr>
          <w:rFonts w:hint="eastAsia"/>
          <w:color w:val="auto"/>
        </w:rPr>
      </w:pPr>
      <w:r>
        <w:rPr>
          <w:rFonts w:hint="eastAsia"/>
          <w:color w:val="auto"/>
          <w:lang w:val="en-US" w:eastAsia="zh-CN"/>
        </w:rPr>
        <w:t>6、</w:t>
      </w:r>
      <w:r>
        <w:rPr>
          <w:rFonts w:hint="eastAsia"/>
          <w:color w:val="auto"/>
        </w:rPr>
        <w:t>投标人没有被列入招标人处《黑名单》（《黑名单》指投标人与招标人在以往或正在进行的合作中，存在招标人认为的违反合同约定或违反法律法规等的失信行为）的；</w:t>
      </w:r>
    </w:p>
    <w:p w14:paraId="43E44692">
      <w:pPr>
        <w:pStyle w:val="8"/>
        <w:spacing w:line="360" w:lineRule="auto"/>
        <w:ind w:firstLine="420" w:firstLineChars="200"/>
        <w:rPr>
          <w:rFonts w:hint="eastAsia"/>
          <w:color w:val="auto"/>
        </w:rPr>
      </w:pPr>
      <w:r>
        <w:rPr>
          <w:rFonts w:hint="eastAsia"/>
          <w:color w:val="auto"/>
          <w:lang w:val="en-US" w:eastAsia="zh-CN"/>
        </w:rPr>
        <w:t>7、</w:t>
      </w:r>
      <w:r>
        <w:rPr>
          <w:rFonts w:hint="eastAsia"/>
          <w:color w:val="auto"/>
        </w:rPr>
        <w:t>投标人须提供法人授权委托书原件（在投标文件副本中可用复印件）及投标单位的法定代表人或授权代表的身份证原件及复印件（加盖公章）；</w:t>
      </w:r>
    </w:p>
    <w:p w14:paraId="6BF57703">
      <w:pPr>
        <w:pStyle w:val="8"/>
        <w:spacing w:line="360" w:lineRule="auto"/>
        <w:ind w:firstLine="420" w:firstLineChars="200"/>
        <w:rPr>
          <w:rFonts w:hint="eastAsia"/>
          <w:color w:val="auto"/>
        </w:rPr>
      </w:pPr>
      <w:r>
        <w:rPr>
          <w:rFonts w:hint="eastAsia"/>
          <w:color w:val="auto"/>
          <w:lang w:val="en-US" w:eastAsia="zh-CN"/>
        </w:rPr>
        <w:t>8、</w:t>
      </w:r>
      <w:r>
        <w:rPr>
          <w:rFonts w:hint="eastAsia"/>
          <w:color w:val="auto"/>
        </w:rPr>
        <w:t>投标人须具有履行合同所必须的设备、财务、技术、服务等方面的资质和能力；</w:t>
      </w:r>
    </w:p>
    <w:p w14:paraId="6D3D5FDA">
      <w:pPr>
        <w:pStyle w:val="8"/>
        <w:spacing w:line="360" w:lineRule="auto"/>
        <w:ind w:firstLine="420" w:firstLineChars="200"/>
        <w:rPr>
          <w:rFonts w:hint="eastAsia"/>
          <w:color w:val="auto"/>
        </w:rPr>
      </w:pPr>
      <w:r>
        <w:rPr>
          <w:rFonts w:hint="eastAsia"/>
          <w:color w:val="auto"/>
          <w:lang w:val="en-US" w:eastAsia="zh-CN"/>
        </w:rPr>
        <w:t>9、</w:t>
      </w:r>
      <w:r>
        <w:rPr>
          <w:rFonts w:hint="eastAsia"/>
          <w:color w:val="auto"/>
        </w:rPr>
        <w:t>投标人须具有完全履行招标文件的所有要求的能力；</w:t>
      </w:r>
    </w:p>
    <w:p w14:paraId="266E2EBC">
      <w:pPr>
        <w:pStyle w:val="8"/>
        <w:spacing w:line="360" w:lineRule="auto"/>
        <w:ind w:firstLine="420" w:firstLineChars="200"/>
        <w:rPr>
          <w:rFonts w:hint="eastAsia"/>
          <w:color w:val="auto"/>
          <w:highlight w:val="yellow"/>
        </w:rPr>
      </w:pPr>
      <w:r>
        <w:rPr>
          <w:rFonts w:hint="eastAsia"/>
          <w:color w:val="auto"/>
          <w:lang w:val="en-US" w:eastAsia="zh-CN"/>
        </w:rPr>
        <w:t>10、</w:t>
      </w:r>
      <w:r>
        <w:rPr>
          <w:rFonts w:hint="eastAsia"/>
          <w:color w:val="auto"/>
        </w:rPr>
        <w:t>投标人必须具有一</w:t>
      </w:r>
      <w:r>
        <w:rPr>
          <w:rFonts w:hint="eastAsia"/>
          <w:color w:val="auto"/>
          <w:highlight w:val="none"/>
        </w:rPr>
        <w:t>年以上运维经验</w:t>
      </w:r>
      <w:r>
        <w:rPr>
          <w:rFonts w:hint="eastAsia"/>
          <w:color w:val="auto"/>
          <w:highlight w:val="none"/>
          <w:lang w:eastAsia="zh-CN"/>
        </w:rPr>
        <w:t>且在泰安市有相关运维业务（提供相关业务合同证明）；</w:t>
      </w:r>
      <w:r>
        <w:rPr>
          <w:rFonts w:hint="eastAsia"/>
          <w:color w:val="auto"/>
          <w:highlight w:val="none"/>
        </w:rPr>
        <w:t>在</w:t>
      </w:r>
      <w:r>
        <w:rPr>
          <w:rFonts w:hint="eastAsia"/>
          <w:color w:val="auto"/>
          <w:highlight w:val="none"/>
          <w:lang w:val="en-US" w:eastAsia="zh-CN"/>
        </w:rPr>
        <w:t>泰安</w:t>
      </w:r>
      <w:r>
        <w:rPr>
          <w:rFonts w:hint="eastAsia"/>
          <w:color w:val="auto"/>
          <w:highlight w:val="none"/>
        </w:rPr>
        <w:t>市内有实验室或办公驻点，系统故障或数据异常等非正常情况发生后，运维人员</w:t>
      </w:r>
      <w:r>
        <w:rPr>
          <w:rFonts w:hint="eastAsia"/>
          <w:color w:val="auto"/>
          <w:highlight w:val="none"/>
          <w:lang w:val="en-US" w:eastAsia="zh-CN"/>
        </w:rPr>
        <w:t>能够</w:t>
      </w:r>
      <w:r>
        <w:rPr>
          <w:rFonts w:hint="eastAsia"/>
          <w:color w:val="auto"/>
          <w:highlight w:val="none"/>
        </w:rPr>
        <w:t>在 1 小时内响应并到达现场进行处理；</w:t>
      </w:r>
    </w:p>
    <w:p w14:paraId="344A7E07">
      <w:pPr>
        <w:pStyle w:val="8"/>
        <w:spacing w:line="360" w:lineRule="auto"/>
        <w:ind w:firstLine="420" w:firstLineChars="200"/>
        <w:rPr>
          <w:rFonts w:hint="eastAsia"/>
          <w:color w:val="auto"/>
        </w:rPr>
      </w:pPr>
      <w:r>
        <w:rPr>
          <w:rFonts w:hint="eastAsia"/>
          <w:color w:val="auto"/>
          <w:lang w:val="en-US" w:eastAsia="zh-CN"/>
        </w:rPr>
        <w:t>12、</w:t>
      </w:r>
      <w:r>
        <w:rPr>
          <w:rFonts w:hint="eastAsia"/>
          <w:color w:val="auto"/>
        </w:rPr>
        <w:t>投标人须认可招标人的工作指令，包括节、假日能正常开展工作的要求；</w:t>
      </w:r>
    </w:p>
    <w:p w14:paraId="3017F4AB">
      <w:pPr>
        <w:pStyle w:val="8"/>
        <w:spacing w:line="360" w:lineRule="auto"/>
        <w:ind w:firstLine="420" w:firstLineChars="200"/>
        <w:rPr>
          <w:rFonts w:hint="eastAsia"/>
          <w:color w:val="auto"/>
        </w:rPr>
      </w:pPr>
      <w:r>
        <w:rPr>
          <w:rFonts w:hint="eastAsia"/>
          <w:color w:val="auto"/>
          <w:lang w:val="en-US" w:eastAsia="zh-CN"/>
        </w:rPr>
        <w:t>13、</w:t>
      </w:r>
      <w:r>
        <w:rPr>
          <w:rFonts w:hint="eastAsia"/>
          <w:color w:val="auto"/>
        </w:rPr>
        <w:t>投标人必须是最终投标、签订合同的单位，不得以任何理由将已中标项目以任何形式转包给其他单位；</w:t>
      </w:r>
    </w:p>
    <w:p w14:paraId="2AEAD160">
      <w:pPr>
        <w:pStyle w:val="8"/>
        <w:spacing w:line="360" w:lineRule="auto"/>
        <w:ind w:firstLine="480" w:firstLineChars="200"/>
        <w:rPr>
          <w:rFonts w:hint="eastAsia" w:eastAsia="宋体"/>
          <w:color w:val="auto"/>
          <w:lang w:eastAsia="zh-CN"/>
        </w:rPr>
      </w:pPr>
      <w:r>
        <w:rPr>
          <w:rFonts w:hint="eastAsia" w:ascii="宋体" w:hAnsi="宋体" w:eastAsia="宋体" w:cs="宋体"/>
          <w:sz w:val="24"/>
          <w:szCs w:val="24"/>
          <w:lang w:val="en-US" w:eastAsia="zh-CN"/>
        </w:rPr>
        <w:t>14、</w:t>
      </w:r>
      <w:r>
        <w:rPr>
          <w:rFonts w:hint="eastAsia"/>
          <w:color w:val="auto"/>
        </w:rPr>
        <w:t>投标人的直接或间接股东、法定代表人、董事、监事、高管非重汽员工及其亲属</w:t>
      </w:r>
      <w:r>
        <w:rPr>
          <w:rFonts w:hint="eastAsia"/>
          <w:color w:val="auto"/>
          <w:lang w:eastAsia="zh-CN"/>
        </w:rPr>
        <w:t>；</w:t>
      </w:r>
    </w:p>
    <w:p w14:paraId="3431718A">
      <w:pPr>
        <w:pStyle w:val="8"/>
        <w:spacing w:line="360" w:lineRule="auto"/>
        <w:ind w:firstLine="422" w:firstLineChars="200"/>
        <w:rPr>
          <w:b/>
          <w:color w:val="auto"/>
        </w:rPr>
      </w:pPr>
      <w:r>
        <w:rPr>
          <w:rFonts w:hint="eastAsia"/>
          <w:b/>
          <w:color w:val="auto"/>
        </w:rPr>
        <w:t>2.投标文件格式</w:t>
      </w:r>
    </w:p>
    <w:p w14:paraId="466B450D">
      <w:pPr>
        <w:pStyle w:val="8"/>
        <w:spacing w:line="360" w:lineRule="auto"/>
        <w:ind w:firstLine="422" w:firstLineChars="200"/>
        <w:rPr>
          <w:b/>
          <w:color w:val="auto"/>
          <w:highlight w:val="none"/>
        </w:rPr>
      </w:pPr>
      <w:r>
        <w:rPr>
          <w:rFonts w:hint="eastAsia"/>
          <w:b/>
          <w:color w:val="auto"/>
          <w:highlight w:val="none"/>
        </w:rPr>
        <w:t>2.1资质文件（</w:t>
      </w:r>
      <w:r>
        <w:rPr>
          <w:rFonts w:hint="eastAsia"/>
          <w:b/>
          <w:color w:val="auto"/>
          <w:highlight w:val="none"/>
          <w:lang w:eastAsia="zh-CN"/>
        </w:rPr>
        <w:t>投标文件商务部分体现</w:t>
      </w:r>
      <w:r>
        <w:rPr>
          <w:rFonts w:hint="eastAsia"/>
          <w:b/>
          <w:color w:val="auto"/>
          <w:highlight w:val="none"/>
        </w:rPr>
        <w:t>）：</w:t>
      </w:r>
    </w:p>
    <w:p w14:paraId="074432C7">
      <w:pPr>
        <w:pStyle w:val="8"/>
        <w:spacing w:line="360" w:lineRule="auto"/>
        <w:ind w:firstLine="420" w:firstLineChars="200"/>
        <w:rPr>
          <w:bCs/>
          <w:color w:val="auto"/>
        </w:rPr>
      </w:pPr>
      <w:r>
        <w:rPr>
          <w:rFonts w:hint="eastAsia"/>
          <w:bCs/>
          <w:color w:val="auto"/>
        </w:rPr>
        <w:t>2.1.1</w:t>
      </w:r>
      <w:r>
        <w:rPr>
          <w:rFonts w:hint="eastAsia"/>
          <w:bCs/>
          <w:color w:val="auto"/>
        </w:rPr>
        <w:tab/>
      </w:r>
      <w:r>
        <w:rPr>
          <w:rFonts w:hint="eastAsia"/>
          <w:bCs/>
          <w:color w:val="auto"/>
        </w:rPr>
        <w:t>法定代表人身份证明</w:t>
      </w:r>
    </w:p>
    <w:p w14:paraId="0EE51363">
      <w:pPr>
        <w:pStyle w:val="8"/>
        <w:spacing w:line="360" w:lineRule="auto"/>
        <w:ind w:firstLine="420" w:firstLineChars="200"/>
        <w:rPr>
          <w:bCs/>
          <w:color w:val="auto"/>
        </w:rPr>
      </w:pPr>
      <w:r>
        <w:rPr>
          <w:rFonts w:hint="eastAsia"/>
          <w:bCs/>
          <w:color w:val="auto"/>
        </w:rPr>
        <w:t>2.1.2</w:t>
      </w:r>
      <w:r>
        <w:rPr>
          <w:rFonts w:hint="eastAsia"/>
          <w:bCs/>
          <w:color w:val="auto"/>
        </w:rPr>
        <w:tab/>
      </w:r>
      <w:r>
        <w:rPr>
          <w:rFonts w:hint="eastAsia"/>
          <w:bCs/>
          <w:color w:val="auto"/>
        </w:rPr>
        <w:t>法人授权委托书及身份证复印件；</w:t>
      </w:r>
    </w:p>
    <w:p w14:paraId="78750CA8">
      <w:pPr>
        <w:pStyle w:val="8"/>
        <w:spacing w:line="360" w:lineRule="auto"/>
        <w:ind w:firstLine="420" w:firstLineChars="200"/>
        <w:rPr>
          <w:bCs/>
          <w:color w:val="auto"/>
        </w:rPr>
      </w:pPr>
      <w:r>
        <w:rPr>
          <w:rFonts w:hint="eastAsia"/>
          <w:bCs/>
          <w:color w:val="auto"/>
        </w:rPr>
        <w:t>2.1.3</w:t>
      </w:r>
      <w:r>
        <w:rPr>
          <w:rFonts w:hint="eastAsia"/>
          <w:bCs/>
          <w:color w:val="auto"/>
        </w:rPr>
        <w:tab/>
      </w:r>
      <w:r>
        <w:rPr>
          <w:rFonts w:hint="eastAsia"/>
          <w:bCs/>
          <w:color w:val="auto"/>
        </w:rPr>
        <w:t>营业执照副本复印件；</w:t>
      </w:r>
    </w:p>
    <w:p w14:paraId="3C557288">
      <w:pPr>
        <w:pStyle w:val="8"/>
        <w:spacing w:line="360" w:lineRule="auto"/>
        <w:ind w:firstLine="420" w:firstLineChars="200"/>
        <w:rPr>
          <w:bCs/>
          <w:color w:val="auto"/>
        </w:rPr>
      </w:pPr>
      <w:r>
        <w:rPr>
          <w:rFonts w:hint="eastAsia"/>
          <w:bCs/>
          <w:color w:val="auto"/>
        </w:rPr>
        <w:t>2.1.5</w:t>
      </w:r>
      <w:r>
        <w:rPr>
          <w:rFonts w:hint="eastAsia"/>
          <w:bCs/>
          <w:color w:val="auto"/>
        </w:rPr>
        <w:tab/>
      </w:r>
      <w:r>
        <w:rPr>
          <w:rFonts w:hint="eastAsia"/>
          <w:bCs/>
          <w:color w:val="auto"/>
        </w:rPr>
        <w:t>证明投标人满足投标资料表中列出的业绩要求的文件：</w:t>
      </w:r>
      <w:r>
        <w:rPr>
          <w:rFonts w:hint="eastAsia"/>
          <w:bCs/>
          <w:color w:val="auto"/>
          <w:lang w:val="en-US" w:eastAsia="zh-CN"/>
        </w:rPr>
        <w:t>2024</w:t>
      </w:r>
      <w:r>
        <w:rPr>
          <w:rFonts w:hint="eastAsia"/>
          <w:bCs/>
          <w:color w:val="auto"/>
        </w:rPr>
        <w:t>年1月1日至今类似项目业绩（加盖公章，须有客户联系方式及联系人以供招标人核实确认）。</w:t>
      </w:r>
    </w:p>
    <w:p w14:paraId="3A310880">
      <w:pPr>
        <w:pStyle w:val="8"/>
        <w:spacing w:line="360" w:lineRule="auto"/>
        <w:ind w:firstLine="420" w:firstLineChars="200"/>
        <w:rPr>
          <w:rFonts w:hint="default"/>
          <w:bCs/>
          <w:color w:val="auto"/>
          <w:highlight w:val="none"/>
          <w:lang w:val="en-US"/>
        </w:rPr>
      </w:pPr>
      <w:r>
        <w:rPr>
          <w:rFonts w:hint="eastAsia"/>
          <w:bCs/>
          <w:color w:val="auto"/>
          <w:highlight w:val="none"/>
        </w:rPr>
        <w:t>2.1.</w:t>
      </w:r>
      <w:r>
        <w:rPr>
          <w:rFonts w:hint="eastAsia"/>
          <w:bCs/>
          <w:color w:val="auto"/>
          <w:highlight w:val="none"/>
          <w:lang w:val="en-US" w:eastAsia="zh-CN"/>
        </w:rPr>
        <w:t>6</w:t>
      </w:r>
      <w:r>
        <w:rPr>
          <w:rFonts w:hint="eastAsia"/>
          <w:bCs/>
          <w:color w:val="auto"/>
          <w:highlight w:val="none"/>
        </w:rPr>
        <w:tab/>
      </w:r>
      <w:r>
        <w:rPr>
          <w:rFonts w:hint="eastAsia"/>
          <w:bCs/>
          <w:color w:val="auto"/>
          <w:highlight w:val="none"/>
          <w:lang w:val="en-US" w:eastAsia="zh-CN"/>
        </w:rPr>
        <w:t>投标单位可参与本项目的所有运维人员的资格证书复印件。</w:t>
      </w:r>
    </w:p>
    <w:p w14:paraId="5B38AB92">
      <w:pPr>
        <w:pStyle w:val="8"/>
        <w:spacing w:line="360" w:lineRule="auto"/>
        <w:ind w:firstLine="422" w:firstLineChars="200"/>
        <w:rPr>
          <w:b/>
          <w:color w:val="auto"/>
          <w:highlight w:val="none"/>
        </w:rPr>
      </w:pPr>
      <w:r>
        <w:rPr>
          <w:rFonts w:hint="eastAsia"/>
          <w:b/>
          <w:color w:val="auto"/>
          <w:highlight w:val="none"/>
        </w:rPr>
        <w:t>2.2 技术</w:t>
      </w:r>
      <w:r>
        <w:rPr>
          <w:rFonts w:hint="eastAsia"/>
          <w:b/>
          <w:color w:val="auto"/>
          <w:highlight w:val="none"/>
          <w:lang w:eastAsia="zh-CN"/>
        </w:rPr>
        <w:t>部分</w:t>
      </w:r>
      <w:r>
        <w:rPr>
          <w:rFonts w:hint="eastAsia"/>
          <w:b/>
          <w:color w:val="auto"/>
          <w:highlight w:val="none"/>
        </w:rPr>
        <w:t>：</w:t>
      </w:r>
    </w:p>
    <w:p w14:paraId="56A01938">
      <w:pPr>
        <w:pStyle w:val="8"/>
        <w:spacing w:line="360" w:lineRule="auto"/>
        <w:ind w:firstLine="420" w:firstLineChars="200"/>
        <w:rPr>
          <w:rFonts w:hint="eastAsia"/>
          <w:bCs/>
          <w:color w:val="auto"/>
        </w:rPr>
      </w:pPr>
      <w:r>
        <w:rPr>
          <w:rFonts w:hint="eastAsia"/>
          <w:bCs/>
          <w:color w:val="auto"/>
        </w:rPr>
        <w:t>2.2.1</w:t>
      </w:r>
      <w:r>
        <w:rPr>
          <w:rFonts w:hint="eastAsia"/>
          <w:bCs/>
          <w:color w:val="auto"/>
        </w:rPr>
        <w:tab/>
      </w:r>
      <w:r>
        <w:rPr>
          <w:rFonts w:hint="eastAsia"/>
          <w:bCs/>
          <w:color w:val="auto"/>
        </w:rPr>
        <w:t>技术规格偏离表；</w:t>
      </w:r>
    </w:p>
    <w:p w14:paraId="3DD9A8EA">
      <w:pPr>
        <w:pStyle w:val="8"/>
        <w:spacing w:line="360" w:lineRule="auto"/>
        <w:ind w:firstLine="420" w:firstLineChars="200"/>
        <w:rPr>
          <w:bCs/>
          <w:color w:val="auto"/>
        </w:rPr>
      </w:pPr>
      <w:r>
        <w:rPr>
          <w:rFonts w:hint="eastAsia" w:hAnsi="宋体"/>
          <w:bCs/>
          <w:color w:val="auto"/>
        </w:rPr>
        <w:t>注：可做正偏</w:t>
      </w:r>
      <w:r>
        <w:rPr>
          <w:rFonts w:hint="eastAsia" w:hAnsi="宋体"/>
          <w:color w:val="auto"/>
        </w:rPr>
        <w:t>离，但不允许有低于本招标文件相关要求的情况出现，否则视为</w:t>
      </w:r>
      <w:r>
        <w:rPr>
          <w:rFonts w:hint="eastAsia"/>
          <w:color w:val="auto"/>
        </w:rPr>
        <w:t>主动放弃本项目投标</w:t>
      </w:r>
      <w:r>
        <w:rPr>
          <w:rFonts w:hint="eastAsia" w:hAnsi="宋体"/>
          <w:color w:val="auto"/>
        </w:rPr>
        <w:t>。</w:t>
      </w:r>
    </w:p>
    <w:p w14:paraId="21B15A14">
      <w:pPr>
        <w:pStyle w:val="8"/>
        <w:spacing w:line="360" w:lineRule="auto"/>
        <w:ind w:firstLine="420" w:firstLineChars="200"/>
        <w:rPr>
          <w:bCs/>
          <w:color w:val="auto"/>
        </w:rPr>
      </w:pPr>
      <w:r>
        <w:rPr>
          <w:rFonts w:hint="eastAsia"/>
          <w:bCs/>
          <w:color w:val="auto"/>
        </w:rPr>
        <w:t>2.2.2</w:t>
      </w:r>
      <w:r>
        <w:rPr>
          <w:rFonts w:hint="eastAsia"/>
          <w:bCs/>
          <w:color w:val="auto"/>
        </w:rPr>
        <w:tab/>
      </w:r>
      <w:r>
        <w:rPr>
          <w:rFonts w:hint="eastAsia"/>
          <w:bCs/>
          <w:color w:val="auto"/>
        </w:rPr>
        <w:t>备品备件工具材料明细表；</w:t>
      </w:r>
    </w:p>
    <w:p w14:paraId="3E472705">
      <w:pPr>
        <w:pStyle w:val="8"/>
        <w:spacing w:line="360" w:lineRule="auto"/>
        <w:ind w:firstLine="420" w:firstLineChars="200"/>
        <w:rPr>
          <w:bCs/>
          <w:color w:val="auto"/>
        </w:rPr>
      </w:pPr>
      <w:r>
        <w:rPr>
          <w:rFonts w:hint="eastAsia"/>
          <w:bCs/>
          <w:color w:val="auto"/>
        </w:rPr>
        <w:t>2.2.3</w:t>
      </w:r>
      <w:r>
        <w:rPr>
          <w:rFonts w:hint="eastAsia"/>
          <w:bCs/>
          <w:color w:val="auto"/>
        </w:rPr>
        <w:tab/>
      </w:r>
      <w:r>
        <w:rPr>
          <w:rFonts w:hint="eastAsia"/>
          <w:bCs/>
          <w:color w:val="auto"/>
        </w:rPr>
        <w:t>设备技术性能、参数的描述；证明货物和服务与招标文件的要求相一致的文件，可以是文字资料、图纸和数据，它包括：</w:t>
      </w:r>
    </w:p>
    <w:p w14:paraId="536DF1A9">
      <w:pPr>
        <w:pStyle w:val="8"/>
        <w:spacing w:line="360" w:lineRule="auto"/>
        <w:ind w:firstLine="420" w:firstLineChars="200"/>
        <w:rPr>
          <w:bCs/>
          <w:color w:val="auto"/>
        </w:rPr>
      </w:pPr>
      <w:r>
        <w:rPr>
          <w:rFonts w:hint="eastAsia"/>
          <w:bCs/>
          <w:color w:val="auto"/>
        </w:rPr>
        <w:t>1）货物主要技术指标和性能的详细说明；</w:t>
      </w:r>
    </w:p>
    <w:p w14:paraId="6028F611">
      <w:pPr>
        <w:pStyle w:val="8"/>
        <w:spacing w:line="360" w:lineRule="auto"/>
        <w:ind w:firstLine="420" w:firstLineChars="200"/>
        <w:rPr>
          <w:bCs/>
          <w:color w:val="auto"/>
        </w:rPr>
      </w:pPr>
      <w:r>
        <w:rPr>
          <w:rFonts w:hint="eastAsia"/>
          <w:bCs/>
          <w:color w:val="auto"/>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0BA56992">
      <w:pPr>
        <w:pStyle w:val="8"/>
        <w:spacing w:line="360" w:lineRule="auto"/>
        <w:ind w:firstLine="420" w:firstLineChars="200"/>
        <w:rPr>
          <w:bCs/>
          <w:color w:val="auto"/>
        </w:rPr>
      </w:pPr>
      <w:r>
        <w:rPr>
          <w:rFonts w:hint="eastAsia"/>
          <w:bCs/>
          <w:color w:val="auto"/>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7BA5B9D6">
      <w:pPr>
        <w:pStyle w:val="8"/>
        <w:spacing w:line="360" w:lineRule="auto"/>
        <w:ind w:firstLine="420" w:firstLineChars="200"/>
        <w:rPr>
          <w:bCs/>
          <w:color w:val="auto"/>
        </w:rPr>
      </w:pPr>
      <w:r>
        <w:rPr>
          <w:rFonts w:hint="eastAsia"/>
          <w:bCs/>
          <w:color w:val="auto"/>
        </w:rPr>
        <w:t>2.2.4  技术标书中严禁出现与投标报价有关的内容</w:t>
      </w:r>
    </w:p>
    <w:p w14:paraId="03750865">
      <w:pPr>
        <w:pStyle w:val="8"/>
        <w:spacing w:line="360" w:lineRule="auto"/>
        <w:ind w:firstLine="420" w:firstLineChars="200"/>
        <w:rPr>
          <w:bCs/>
          <w:color w:val="auto"/>
        </w:rPr>
      </w:pPr>
      <w:r>
        <w:rPr>
          <w:rFonts w:hint="eastAsia"/>
          <w:bCs/>
          <w:color w:val="auto"/>
        </w:rPr>
        <w:t>2.2.5综合说明；</w:t>
      </w:r>
    </w:p>
    <w:p w14:paraId="4780B266">
      <w:pPr>
        <w:pStyle w:val="8"/>
        <w:spacing w:line="360" w:lineRule="auto"/>
        <w:ind w:firstLine="422" w:firstLineChars="200"/>
        <w:rPr>
          <w:b/>
          <w:color w:val="auto"/>
          <w:highlight w:val="none"/>
        </w:rPr>
      </w:pPr>
      <w:r>
        <w:rPr>
          <w:rFonts w:hint="eastAsia"/>
          <w:b/>
          <w:color w:val="auto"/>
          <w:highlight w:val="none"/>
        </w:rPr>
        <w:t xml:space="preserve">2.3 </w:t>
      </w:r>
      <w:r>
        <w:rPr>
          <w:rFonts w:hint="eastAsia"/>
          <w:b/>
          <w:color w:val="auto"/>
          <w:highlight w:val="none"/>
          <w:lang w:eastAsia="zh-CN"/>
        </w:rPr>
        <w:t>标书</w:t>
      </w:r>
      <w:r>
        <w:rPr>
          <w:rFonts w:hint="eastAsia"/>
          <w:b/>
          <w:color w:val="auto"/>
          <w:highlight w:val="none"/>
        </w:rPr>
        <w:t>（独立封装在一个档案袋，一正一副）：</w:t>
      </w:r>
    </w:p>
    <w:p w14:paraId="6400198C">
      <w:pPr>
        <w:pStyle w:val="8"/>
        <w:spacing w:line="360" w:lineRule="auto"/>
        <w:ind w:firstLine="420" w:firstLineChars="200"/>
        <w:rPr>
          <w:bCs/>
          <w:color w:val="auto"/>
        </w:rPr>
      </w:pPr>
      <w:r>
        <w:rPr>
          <w:rFonts w:hint="eastAsia"/>
          <w:bCs/>
          <w:color w:val="auto"/>
        </w:rPr>
        <w:t>2.3.1</w:t>
      </w:r>
      <w:r>
        <w:rPr>
          <w:rFonts w:hint="eastAsia"/>
          <w:bCs/>
          <w:color w:val="auto"/>
        </w:rPr>
        <w:tab/>
      </w:r>
      <w:r>
        <w:rPr>
          <w:rFonts w:hint="eastAsia"/>
          <w:bCs/>
          <w:color w:val="auto"/>
        </w:rPr>
        <w:t>投标函；</w:t>
      </w:r>
    </w:p>
    <w:p w14:paraId="4F1C3770">
      <w:pPr>
        <w:pStyle w:val="8"/>
        <w:spacing w:line="360" w:lineRule="auto"/>
        <w:ind w:firstLine="420" w:firstLineChars="200"/>
        <w:rPr>
          <w:bCs/>
          <w:color w:val="auto"/>
        </w:rPr>
      </w:pPr>
      <w:r>
        <w:rPr>
          <w:rFonts w:hint="eastAsia"/>
          <w:bCs/>
          <w:color w:val="auto"/>
        </w:rPr>
        <w:t>2.3.2</w:t>
      </w:r>
      <w:r>
        <w:rPr>
          <w:rFonts w:hint="eastAsia"/>
          <w:bCs/>
          <w:color w:val="auto"/>
        </w:rPr>
        <w:tab/>
      </w:r>
      <w:r>
        <w:rPr>
          <w:rFonts w:hint="eastAsia"/>
          <w:bCs/>
          <w:color w:val="auto"/>
        </w:rPr>
        <w:t>开标一览表；</w:t>
      </w:r>
    </w:p>
    <w:p w14:paraId="4514F395">
      <w:pPr>
        <w:pStyle w:val="8"/>
        <w:spacing w:line="360" w:lineRule="auto"/>
        <w:ind w:firstLine="420" w:firstLineChars="200"/>
        <w:rPr>
          <w:bCs/>
          <w:color w:val="auto"/>
        </w:rPr>
      </w:pPr>
      <w:r>
        <w:rPr>
          <w:rFonts w:hint="eastAsia"/>
          <w:bCs/>
          <w:color w:val="auto"/>
        </w:rPr>
        <w:t>2.3.</w:t>
      </w:r>
      <w:r>
        <w:rPr>
          <w:rFonts w:hint="eastAsia"/>
          <w:bCs/>
          <w:color w:val="auto"/>
          <w:lang w:val="en-US" w:eastAsia="zh-CN"/>
        </w:rPr>
        <w:t>3</w:t>
      </w:r>
      <w:r>
        <w:rPr>
          <w:rFonts w:hint="eastAsia"/>
          <w:bCs/>
          <w:color w:val="auto"/>
        </w:rPr>
        <w:tab/>
      </w:r>
      <w:r>
        <w:rPr>
          <w:rFonts w:hint="eastAsia"/>
          <w:bCs/>
          <w:color w:val="auto"/>
        </w:rPr>
        <w:t>商务条款偏离表</w:t>
      </w:r>
      <w:r>
        <w:rPr>
          <w:rFonts w:hint="eastAsia"/>
          <w:bCs/>
          <w:color w:val="auto"/>
          <w:lang w:eastAsia="zh-CN"/>
        </w:rPr>
        <w:t>，</w:t>
      </w:r>
      <w:r>
        <w:rPr>
          <w:rFonts w:hint="eastAsia"/>
          <w:bCs/>
          <w:color w:val="auto"/>
        </w:rPr>
        <w:t>详见本招标文件“第二章 投标文件编制”，请投标人按格式填写。</w:t>
      </w:r>
    </w:p>
    <w:p w14:paraId="60FD3898">
      <w:pPr>
        <w:pStyle w:val="8"/>
        <w:numPr>
          <w:ilvl w:val="0"/>
          <w:numId w:val="0"/>
        </w:numPr>
        <w:spacing w:line="360" w:lineRule="auto"/>
        <w:ind w:left="420"/>
        <w:rPr>
          <w:rFonts w:hint="eastAsia"/>
          <w:b/>
          <w:color w:val="auto"/>
          <w:highlight w:val="none"/>
        </w:rPr>
      </w:pPr>
      <w:r>
        <w:rPr>
          <w:rFonts w:hint="eastAsia"/>
          <w:b/>
          <w:color w:val="auto"/>
          <w:highlight w:val="none"/>
        </w:rPr>
        <w:t>2.4 所有投标文件需进行正规封装、胶装，不接受活页、散装等方式的投标文资料。</w:t>
      </w:r>
    </w:p>
    <w:p w14:paraId="693627B9">
      <w:pPr>
        <w:pStyle w:val="8"/>
        <w:spacing w:line="360" w:lineRule="auto"/>
        <w:ind w:firstLine="420" w:firstLineChars="200"/>
        <w:rPr>
          <w:rFonts w:hint="eastAsia"/>
          <w:strike/>
          <w:dstrike w:val="0"/>
          <w:color w:val="auto"/>
        </w:rPr>
      </w:pPr>
      <w:r>
        <w:rPr>
          <w:rFonts w:hint="eastAsia"/>
          <w:color w:val="auto"/>
        </w:rPr>
        <w:t>所有投标文件需进行正规封装、胶装，不接受活页、散装等方式的投标文资料。</w:t>
      </w:r>
    </w:p>
    <w:p w14:paraId="6D3DD429">
      <w:pPr>
        <w:pStyle w:val="8"/>
        <w:spacing w:line="360" w:lineRule="auto"/>
        <w:ind w:firstLine="422" w:firstLineChars="200"/>
        <w:rPr>
          <w:b/>
          <w:color w:val="auto"/>
        </w:rPr>
      </w:pPr>
      <w:r>
        <w:rPr>
          <w:rFonts w:hint="eastAsia"/>
          <w:b/>
          <w:color w:val="auto"/>
        </w:rPr>
        <w:t>3.报价：</w:t>
      </w:r>
    </w:p>
    <w:p w14:paraId="684E2C21">
      <w:pPr>
        <w:pStyle w:val="8"/>
        <w:spacing w:line="360" w:lineRule="auto"/>
        <w:ind w:firstLine="420" w:firstLineChars="200"/>
        <w:rPr>
          <w:color w:val="auto"/>
        </w:rPr>
      </w:pPr>
      <w:r>
        <w:rPr>
          <w:rFonts w:hint="eastAsia" w:hAnsi="宋体"/>
          <w:color w:val="auto"/>
        </w:rPr>
        <w:t>⑴</w:t>
      </w:r>
      <w:r>
        <w:rPr>
          <w:rFonts w:hint="eastAsia"/>
          <w:color w:val="auto"/>
        </w:rPr>
        <w:t>本次招标为公开招标，报价应为：投标方与招标人或其指派的答疑人员充分沟通确认基础上，由投标人在满足招标人所提出的、与本项目所有相关环节有关的所有费用；</w:t>
      </w:r>
    </w:p>
    <w:p w14:paraId="7D0585E8">
      <w:pPr>
        <w:pStyle w:val="8"/>
        <w:spacing w:line="360" w:lineRule="auto"/>
        <w:ind w:firstLine="420" w:firstLineChars="200"/>
        <w:rPr>
          <w:color w:val="auto"/>
        </w:rPr>
      </w:pPr>
      <w:r>
        <w:rPr>
          <w:rFonts w:hint="eastAsia"/>
          <w:color w:val="auto"/>
        </w:rPr>
        <w:t>详见本招标书之“第二章 投标文件编制”之“三、投标文件格式要求”之“格式3”。</w:t>
      </w:r>
    </w:p>
    <w:p w14:paraId="3F86A353">
      <w:pPr>
        <w:spacing w:line="360" w:lineRule="auto"/>
        <w:ind w:firstLine="420" w:firstLineChars="200"/>
        <w:rPr>
          <w:rFonts w:ascii="宋体" w:hAnsi="Courier New"/>
          <w:color w:val="auto"/>
          <w:highlight w:val="none"/>
        </w:rPr>
      </w:pPr>
      <w:r>
        <w:rPr>
          <w:rFonts w:hint="eastAsia" w:ascii="宋体" w:hAnsi="宋体"/>
          <w:color w:val="auto"/>
          <w:highlight w:val="none"/>
        </w:rPr>
        <w:t>⑵</w:t>
      </w:r>
      <w:r>
        <w:rPr>
          <w:rFonts w:hint="eastAsia" w:ascii="宋体" w:hAnsi="Courier New"/>
          <w:color w:val="auto"/>
          <w:highlight w:val="none"/>
        </w:rPr>
        <w:t>所有报价货币单位为：元（人民币，未税）；税率；价税合计金额：元（人民币）；</w:t>
      </w:r>
    </w:p>
    <w:p w14:paraId="5EC5B492">
      <w:pPr>
        <w:pStyle w:val="8"/>
        <w:numPr>
          <w:ilvl w:val="0"/>
          <w:numId w:val="2"/>
        </w:numPr>
        <w:spacing w:line="360" w:lineRule="auto"/>
        <w:ind w:firstLine="422" w:firstLineChars="200"/>
        <w:rPr>
          <w:rFonts w:hint="eastAsia"/>
          <w:bCs/>
          <w:color w:val="auto"/>
          <w:highlight w:val="none"/>
          <w:u w:val="single"/>
          <w:lang w:val="en-US" w:eastAsia="zh-CN"/>
        </w:rPr>
      </w:pPr>
      <w:r>
        <w:rPr>
          <w:rFonts w:hint="eastAsia"/>
          <w:b/>
          <w:color w:val="auto"/>
        </w:rPr>
        <w:t>付款方式：</w:t>
      </w:r>
      <w:r>
        <w:rPr>
          <w:rFonts w:hint="eastAsia"/>
          <w:bCs/>
          <w:color w:val="auto"/>
          <w:highlight w:val="none"/>
          <w:u w:val="none"/>
          <w:lang w:val="en-US" w:eastAsia="zh-CN"/>
        </w:rPr>
        <w:t>电汇，发票挂账次月付款。</w:t>
      </w:r>
    </w:p>
    <w:p w14:paraId="1B2DE7AF">
      <w:pPr>
        <w:pStyle w:val="8"/>
        <w:numPr>
          <w:ilvl w:val="0"/>
          <w:numId w:val="2"/>
        </w:numPr>
        <w:spacing w:line="360" w:lineRule="auto"/>
        <w:ind w:firstLine="422" w:firstLineChars="200"/>
        <w:rPr>
          <w:b/>
          <w:color w:val="auto"/>
        </w:rPr>
      </w:pPr>
      <w:r>
        <w:rPr>
          <w:rFonts w:hint="eastAsia"/>
          <w:b/>
          <w:color w:val="auto"/>
        </w:rPr>
        <w:t>5.技术规范及服务</w:t>
      </w:r>
    </w:p>
    <w:p w14:paraId="06EE5B37">
      <w:pPr>
        <w:pStyle w:val="8"/>
        <w:spacing w:line="360" w:lineRule="auto"/>
        <w:ind w:firstLine="420" w:firstLineChars="200"/>
        <w:rPr>
          <w:color w:val="auto"/>
        </w:rPr>
      </w:pPr>
      <w:r>
        <w:rPr>
          <w:rFonts w:hint="eastAsia"/>
          <w:color w:val="auto"/>
        </w:rPr>
        <w:t>⑴投标人应与招标人指派的答疑人员充分沟通，理解认可并接受相关技术规范及服务要求；</w:t>
      </w:r>
    </w:p>
    <w:p w14:paraId="48B5D022">
      <w:pPr>
        <w:pStyle w:val="8"/>
        <w:spacing w:line="360" w:lineRule="auto"/>
        <w:ind w:firstLine="420" w:firstLineChars="200"/>
        <w:rPr>
          <w:color w:val="auto"/>
        </w:rPr>
      </w:pPr>
      <w:r>
        <w:rPr>
          <w:rFonts w:hint="eastAsia"/>
          <w:color w:val="auto"/>
        </w:rPr>
        <w:t>⑵投标人可免费提供的、包含但不限于招标人所要求的其他相关服务内容，按本招标书“第二章 投标文件编制”要求，在其“开标一览表”中一并说明。</w:t>
      </w:r>
    </w:p>
    <w:p w14:paraId="749039AB">
      <w:pPr>
        <w:pStyle w:val="8"/>
        <w:spacing w:line="360" w:lineRule="auto"/>
        <w:ind w:firstLine="420" w:firstLineChars="200"/>
        <w:rPr>
          <w:rFonts w:hint="eastAsia"/>
          <w:color w:val="auto"/>
        </w:rPr>
      </w:pPr>
      <w:r>
        <w:rPr>
          <w:rFonts w:hint="eastAsia"/>
          <w:color w:val="auto"/>
        </w:rPr>
        <w:t>其余未尽事宜，均按合同约定。</w:t>
      </w:r>
    </w:p>
    <w:p w14:paraId="5A2BB5FD">
      <w:pPr>
        <w:pStyle w:val="8"/>
        <w:spacing w:line="360" w:lineRule="auto"/>
        <w:ind w:firstLine="420" w:firstLineChars="200"/>
        <w:rPr>
          <w:rFonts w:hint="eastAsia"/>
          <w:color w:val="auto"/>
        </w:rPr>
      </w:pPr>
      <w:r>
        <w:rPr>
          <w:rFonts w:hint="eastAsia"/>
          <w:color w:val="auto"/>
          <w:lang w:val="en-US" w:eastAsia="zh-CN"/>
        </w:rPr>
        <w:t>本次招标最终解释权归中国重汽集团泰安五岳专用汽车有限公司所有。</w:t>
      </w:r>
    </w:p>
    <w:p w14:paraId="28750F24">
      <w:pPr>
        <w:pStyle w:val="8"/>
        <w:spacing w:line="360" w:lineRule="auto"/>
        <w:ind w:firstLine="422" w:firstLineChars="200"/>
        <w:rPr>
          <w:b/>
          <w:color w:val="auto"/>
        </w:rPr>
      </w:pPr>
      <w:r>
        <w:rPr>
          <w:rFonts w:hint="eastAsia"/>
          <w:b/>
          <w:color w:val="auto"/>
        </w:rPr>
        <w:t>7.要求招标人或相关合同签订单位提供的配合，在标书文件中说明。</w:t>
      </w:r>
    </w:p>
    <w:p w14:paraId="704C9A95">
      <w:pPr>
        <w:pStyle w:val="8"/>
        <w:spacing w:line="360" w:lineRule="auto"/>
        <w:rPr>
          <w:rFonts w:ascii="黑体" w:eastAsia="黑体"/>
          <w:b/>
          <w:bCs/>
          <w:color w:val="auto"/>
          <w:sz w:val="28"/>
        </w:rPr>
      </w:pPr>
      <w:r>
        <w:rPr>
          <w:rFonts w:hint="eastAsia" w:ascii="黑体" w:eastAsia="黑体"/>
          <w:b/>
          <w:bCs/>
          <w:color w:val="auto"/>
          <w:sz w:val="28"/>
        </w:rPr>
        <w:t>七、投标、开标、评标</w:t>
      </w:r>
    </w:p>
    <w:p w14:paraId="318D5F8E">
      <w:pPr>
        <w:pStyle w:val="8"/>
        <w:spacing w:line="360" w:lineRule="auto"/>
        <w:ind w:firstLine="422" w:firstLineChars="200"/>
        <w:rPr>
          <w:b/>
        </w:rPr>
      </w:pPr>
      <w:r>
        <w:rPr>
          <w:rFonts w:hint="eastAsia"/>
          <w:b/>
        </w:rPr>
        <w:t>1.资格审核：</w:t>
      </w:r>
    </w:p>
    <w:p w14:paraId="02BF6CDB">
      <w:pPr>
        <w:pStyle w:val="8"/>
        <w:spacing w:line="360" w:lineRule="auto"/>
        <w:ind w:firstLine="420" w:firstLineChars="200"/>
        <w:rPr>
          <w:rFonts w:hAnsi="宋体"/>
        </w:rPr>
      </w:pPr>
      <w:r>
        <w:rPr>
          <w:rFonts w:hint="eastAsia" w:hAnsi="宋体"/>
        </w:rPr>
        <w:t>⑴审核依据：“</w:t>
      </w:r>
      <w:r>
        <w:rPr>
          <w:rFonts w:hint="eastAsia"/>
        </w:rPr>
        <w:t>第二章  投标人须知</w:t>
      </w:r>
      <w:r>
        <w:rPr>
          <w:rFonts w:hint="eastAsia" w:hAnsi="宋体"/>
        </w:rPr>
        <w:t>”中以下条款中的要求</w:t>
      </w:r>
    </w:p>
    <w:p w14:paraId="23398496">
      <w:pPr>
        <w:pStyle w:val="8"/>
        <w:spacing w:line="360" w:lineRule="auto"/>
        <w:ind w:firstLine="420" w:firstLineChars="200"/>
      </w:pPr>
      <w:r>
        <w:rPr>
          <w:rFonts w:hint="eastAsia" w:hAnsi="宋体"/>
        </w:rPr>
        <w:t>①</w:t>
      </w:r>
      <w:r>
        <w:rPr>
          <w:rFonts w:hint="eastAsia"/>
        </w:rPr>
        <w:t>“一、合格投标人”；</w:t>
      </w:r>
    </w:p>
    <w:p w14:paraId="0A1ABE6D">
      <w:pPr>
        <w:pStyle w:val="8"/>
        <w:spacing w:line="360" w:lineRule="auto"/>
        <w:ind w:firstLine="420" w:firstLineChars="200"/>
      </w:pPr>
      <w:r>
        <w:rPr>
          <w:rFonts w:hint="eastAsia" w:hAnsi="宋体"/>
        </w:rPr>
        <w:t>②</w:t>
      </w:r>
      <w:r>
        <w:rPr>
          <w:rFonts w:hint="eastAsia"/>
        </w:rPr>
        <w:t>“二、投标响应文件要求”之“1.⑴资质文件”；</w:t>
      </w:r>
    </w:p>
    <w:p w14:paraId="56A08AA4">
      <w:pPr>
        <w:pStyle w:val="8"/>
        <w:spacing w:line="360" w:lineRule="auto"/>
        <w:ind w:firstLine="420" w:firstLineChars="200"/>
        <w:rPr>
          <w:rFonts w:hAnsi="宋体"/>
        </w:rPr>
      </w:pPr>
      <w:r>
        <w:rPr>
          <w:rFonts w:hint="eastAsia" w:hAnsi="宋体"/>
        </w:rPr>
        <w:t>⑵审核方法：</w:t>
      </w:r>
    </w:p>
    <w:p w14:paraId="4A401885">
      <w:pPr>
        <w:pStyle w:val="8"/>
        <w:spacing w:line="360" w:lineRule="auto"/>
        <w:ind w:firstLine="420" w:firstLineChars="200"/>
        <w:rPr>
          <w:rFonts w:hAnsi="宋体"/>
        </w:rPr>
      </w:pPr>
      <w:r>
        <w:rPr>
          <w:rFonts w:hint="eastAsia" w:hAnsi="宋体"/>
        </w:rPr>
        <w:t>由招标人组织评标专家成立资质审核小组进行现场审核。资格审核中所列示的所有条款均属于否决项，对于任意一项或多项未达到资格审核要求的投标人，视为主动放弃投标，该投标人将不能进入后续的评标程序。对于未通过资格审核要求的投标人，不做任何解释。通知未进入商务评标资格的投标人离场，商务投标书不可带走。</w:t>
      </w:r>
    </w:p>
    <w:p w14:paraId="6216F66E">
      <w:pPr>
        <w:pStyle w:val="8"/>
        <w:spacing w:line="360" w:lineRule="auto"/>
        <w:ind w:firstLine="422" w:firstLineChars="200"/>
        <w:rPr>
          <w:b/>
        </w:rPr>
      </w:pPr>
      <w:r>
        <w:rPr>
          <w:rFonts w:hint="eastAsia"/>
          <w:b/>
        </w:rPr>
        <w:t>2.评标：</w:t>
      </w:r>
    </w:p>
    <w:p w14:paraId="3B40678C">
      <w:pPr>
        <w:pStyle w:val="8"/>
        <w:spacing w:line="360" w:lineRule="auto"/>
        <w:ind w:firstLine="482" w:firstLineChars="200"/>
        <w:rPr>
          <w:rFonts w:hAnsi="宋体"/>
          <w:szCs w:val="21"/>
        </w:rPr>
      </w:pPr>
      <w:r>
        <w:rPr>
          <w:rFonts w:hint="eastAsia" w:ascii="仿宋_GB2312" w:hAnsi="仿宋_GB2312" w:eastAsia="仿宋_GB2312" w:cs="仿宋_GB2312"/>
          <w:b/>
          <w:bCs/>
          <w:sz w:val="24"/>
          <w:szCs w:val="24"/>
        </w:rPr>
        <w:t>评标方法：资质标审核→唱标→商务标评审。选取</w:t>
      </w:r>
      <w:r>
        <w:rPr>
          <w:rFonts w:hint="eastAsia" w:ascii="仿宋_GB2312" w:hAnsi="仿宋_GB2312" w:eastAsia="仿宋_GB2312" w:cs="仿宋_GB2312"/>
          <w:b/>
          <w:bCs/>
          <w:color w:val="000000"/>
          <w:sz w:val="24"/>
          <w:szCs w:val="24"/>
        </w:rPr>
        <w:t>合理最低价者中标</w:t>
      </w:r>
      <w:r>
        <w:rPr>
          <w:rFonts w:hint="eastAsia" w:ascii="仿宋_GB2312" w:hAnsi="仿宋_GB2312" w:eastAsia="仿宋_GB2312" w:cs="仿宋_GB2312"/>
          <w:sz w:val="24"/>
          <w:szCs w:val="24"/>
        </w:rPr>
        <w:t>。</w:t>
      </w:r>
    </w:p>
    <w:p w14:paraId="71E6764B">
      <w:pPr>
        <w:pStyle w:val="8"/>
        <w:spacing w:line="360" w:lineRule="auto"/>
        <w:ind w:firstLine="420" w:firstLineChars="200"/>
        <w:rPr>
          <w:rFonts w:hAnsi="宋体"/>
          <w:szCs w:val="21"/>
        </w:rPr>
      </w:pPr>
      <w:r>
        <w:rPr>
          <w:rFonts w:hint="eastAsia" w:hAnsi="宋体"/>
          <w:szCs w:val="21"/>
        </w:rPr>
        <w:t>由招标人为该项目依法组织的、由三人及以上单数成员组成的评标工作小组负责，依据评分标准，本着公平、公正、公开、有序的原则，在最大限度地满足招标文件实质性要求的前提下，按照评审要素中的具体项目进行综合评审。</w:t>
      </w:r>
      <w:r>
        <w:rPr>
          <w:rFonts w:hAnsi="宋体"/>
          <w:szCs w:val="21"/>
        </w:rPr>
        <w:t xml:space="preserve"> </w:t>
      </w:r>
    </w:p>
    <w:p w14:paraId="32B306DF">
      <w:pPr>
        <w:pStyle w:val="8"/>
        <w:spacing w:line="360" w:lineRule="auto"/>
        <w:ind w:firstLine="420" w:firstLineChars="200"/>
        <w:rPr>
          <w:rFonts w:hAnsi="宋体"/>
        </w:rPr>
      </w:pPr>
      <w:r>
        <w:rPr>
          <w:rFonts w:hint="eastAsia" w:hAnsi="宋体"/>
        </w:rPr>
        <w:t>⑴评标方式：</w:t>
      </w:r>
    </w:p>
    <w:p w14:paraId="0068F489">
      <w:pPr>
        <w:pStyle w:val="8"/>
        <w:spacing w:line="360" w:lineRule="auto"/>
        <w:ind w:firstLine="420" w:firstLineChars="200"/>
        <w:rPr>
          <w:rFonts w:hint="eastAsia" w:hAnsi="宋体"/>
          <w:szCs w:val="21"/>
        </w:rPr>
      </w:pPr>
      <w:r>
        <w:rPr>
          <w:rFonts w:hint="eastAsia" w:hAnsi="宋体"/>
        </w:rPr>
        <w:t>①商务标：</w:t>
      </w:r>
      <w:r>
        <w:rPr>
          <w:rFonts w:hint="eastAsia" w:hAnsi="宋体"/>
          <w:szCs w:val="21"/>
        </w:rPr>
        <w:t>公开唱标→商务条款相应确认→价格澄清→商务标评审；</w:t>
      </w:r>
      <w:r>
        <w:rPr>
          <w:rFonts w:hint="eastAsia"/>
        </w:rPr>
        <w:t>招标人有权根据项目情况，采取多级评标模式，先由专家组综合评审推荐多家候选中标人，再由采购人员与专家组共同对候选中标人进行评/议标，最终确定推荐中标人。</w:t>
      </w:r>
      <w:r>
        <w:rPr>
          <w:rFonts w:hint="eastAsia" w:hAnsi="宋体"/>
          <w:szCs w:val="21"/>
        </w:rPr>
        <w:t xml:space="preserve">本着公平、公正、公开的原则，选择合理最低价者确定中标人，对未中标方不做任何解释。  </w:t>
      </w:r>
    </w:p>
    <w:p w14:paraId="67800443">
      <w:pPr>
        <w:pStyle w:val="8"/>
        <w:spacing w:line="360" w:lineRule="auto"/>
        <w:ind w:firstLine="420" w:firstLineChars="200"/>
        <w:rPr>
          <w:rFonts w:hint="eastAsia" w:hAnsi="宋体"/>
          <w:szCs w:val="21"/>
        </w:rPr>
      </w:pPr>
      <w:r>
        <w:rPr>
          <w:rFonts w:hAnsi="宋体"/>
          <w:szCs w:val="21"/>
        </w:rPr>
        <w:t>2.4</w:t>
      </w:r>
      <w:r>
        <w:rPr>
          <w:rFonts w:hint="eastAsia" w:hAnsi="宋体"/>
          <w:szCs w:val="21"/>
        </w:rPr>
        <w:t>中标人确定：</w:t>
      </w:r>
      <w:bookmarkStart w:id="1" w:name="_Hlk202887118"/>
      <w:r>
        <w:rPr>
          <w:rFonts w:hint="eastAsia" w:ascii="仿宋_GB2312" w:hAnsi="仿宋_GB2312" w:eastAsia="仿宋_GB2312" w:cs="仿宋_GB2312"/>
          <w:b/>
          <w:bCs/>
          <w:sz w:val="24"/>
          <w:szCs w:val="24"/>
        </w:rPr>
        <w:t>合理最低价</w:t>
      </w:r>
      <w:bookmarkEnd w:id="1"/>
      <w:r>
        <w:rPr>
          <w:rFonts w:hint="eastAsia" w:ascii="仿宋_GB2312" w:hAnsi="仿宋_GB2312" w:eastAsia="仿宋_GB2312" w:cs="仿宋_GB2312"/>
          <w:b/>
          <w:bCs/>
          <w:color w:val="000000"/>
          <w:sz w:val="24"/>
          <w:szCs w:val="24"/>
        </w:rPr>
        <w:t>中标</w:t>
      </w:r>
      <w:r>
        <w:rPr>
          <w:rFonts w:hint="eastAsia" w:ascii="仿宋_GB2312" w:hAnsi="仿宋_GB2312" w:eastAsia="仿宋_GB2312" w:cs="仿宋_GB2312"/>
          <w:sz w:val="24"/>
          <w:szCs w:val="24"/>
        </w:rPr>
        <w:t>。</w:t>
      </w:r>
    </w:p>
    <w:p w14:paraId="7D44BE92">
      <w:pPr>
        <w:pStyle w:val="8"/>
        <w:spacing w:line="360" w:lineRule="auto"/>
        <w:ind w:firstLine="420" w:firstLineChars="200"/>
        <w:rPr>
          <w:rFonts w:hint="eastAsia" w:hAnsi="宋体"/>
          <w:szCs w:val="21"/>
        </w:rPr>
      </w:pPr>
      <w:r>
        <w:rPr>
          <w:rFonts w:hint="eastAsia" w:hAnsi="宋体"/>
          <w:szCs w:val="21"/>
        </w:rPr>
        <w:t>本项目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否变更意向中标人。</w:t>
      </w:r>
    </w:p>
    <w:p w14:paraId="7837A3D4">
      <w:pPr>
        <w:pStyle w:val="8"/>
        <w:spacing w:line="360" w:lineRule="auto"/>
        <w:ind w:firstLine="420" w:firstLineChars="200"/>
        <w:rPr>
          <w:rFonts w:hint="eastAsia" w:hAnsi="宋体"/>
          <w:szCs w:val="21"/>
        </w:rPr>
      </w:pPr>
      <w:r>
        <w:rPr>
          <w:rFonts w:hint="eastAsia" w:hAnsi="宋体"/>
          <w:szCs w:val="21"/>
        </w:rPr>
        <w:t>拟投标单位投标前请按照标书技术要求对项目方案进行充分准备，有意投标的单位应默认认同上述开标、评标过程，无异议。</w:t>
      </w:r>
    </w:p>
    <w:p w14:paraId="7AF0C2AC">
      <w:pPr>
        <w:adjustRightInd w:val="0"/>
        <w:snapToGrid w:val="0"/>
        <w:spacing w:line="360" w:lineRule="auto"/>
        <w:ind w:firstLine="480" w:firstLineChars="200"/>
        <w:rPr>
          <w:rFonts w:hint="eastAsia"/>
        </w:rPr>
      </w:pPr>
      <w:bookmarkStart w:id="2" w:name="_Toc33285489"/>
      <w:bookmarkStart w:id="3" w:name="_Toc33266915"/>
      <w:bookmarkStart w:id="4" w:name="_Toc33266628"/>
      <w:bookmarkStart w:id="5" w:name="_Toc33266951"/>
      <w:bookmarkStart w:id="6" w:name="_Toc33265654"/>
      <w:bookmarkStart w:id="7" w:name="_Toc33265753"/>
      <w:bookmarkStart w:id="8" w:name="_Toc33267002"/>
      <w:bookmarkStart w:id="9" w:name="_Toc395116634"/>
      <w:r>
        <w:rPr>
          <w:rFonts w:hint="eastAsia" w:ascii="仿宋_GB2312" w:hAnsi="仿宋_GB2312" w:eastAsia="仿宋_GB2312" w:cs="仿宋_GB2312"/>
          <w:color w:val="000000"/>
          <w:sz w:val="24"/>
          <w:szCs w:val="24"/>
        </w:rPr>
        <w:t>本着公平、公正、公开的原则，在满足技术要求的前提下，选择合理最低价者确定中标人</w:t>
      </w:r>
      <w:r>
        <w:rPr>
          <w:rFonts w:hint="eastAsia" w:ascii="仿宋_GB2312" w:hAnsi="仿宋_GB2312" w:eastAsia="仿宋_GB2312" w:cs="仿宋_GB2312"/>
          <w:b/>
          <w:color w:val="000000"/>
          <w:sz w:val="24"/>
          <w:szCs w:val="24"/>
        </w:rPr>
        <w:t>，对未中标单位不做任何解释。</w:t>
      </w:r>
      <w:bookmarkEnd w:id="2"/>
      <w:bookmarkEnd w:id="3"/>
      <w:bookmarkEnd w:id="4"/>
      <w:bookmarkEnd w:id="5"/>
      <w:bookmarkEnd w:id="6"/>
      <w:bookmarkEnd w:id="7"/>
      <w:bookmarkEnd w:id="8"/>
      <w:bookmarkEnd w:id="9"/>
    </w:p>
    <w:tbl>
      <w:tblPr>
        <w:tblStyle w:val="16"/>
        <w:tblpPr w:leftFromText="181" w:rightFromText="181" w:vertAnchor="text" w:horzAnchor="margin" w:tblpXSpec="center" w:tblpY="28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383"/>
        <w:gridCol w:w="6095"/>
        <w:gridCol w:w="1134"/>
      </w:tblGrid>
      <w:tr w14:paraId="72A0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center"/>
          </w:tcPr>
          <w:p w14:paraId="7E412B69">
            <w:pPr>
              <w:pStyle w:val="8"/>
              <w:spacing w:line="360" w:lineRule="auto"/>
              <w:jc w:val="center"/>
              <w:rPr>
                <w:rFonts w:hAnsi="宋体"/>
                <w:b/>
                <w:szCs w:val="21"/>
              </w:rPr>
            </w:pPr>
            <w:r>
              <w:rPr>
                <w:rFonts w:hint="eastAsia" w:hAnsi="宋体"/>
                <w:b/>
                <w:szCs w:val="21"/>
              </w:rPr>
              <w:t>评审要素</w:t>
            </w:r>
          </w:p>
        </w:tc>
        <w:tc>
          <w:tcPr>
            <w:tcW w:w="1383" w:type="dxa"/>
            <w:noWrap w:val="0"/>
            <w:vAlign w:val="center"/>
          </w:tcPr>
          <w:p w14:paraId="43324807">
            <w:pPr>
              <w:pStyle w:val="8"/>
              <w:spacing w:line="360" w:lineRule="auto"/>
              <w:jc w:val="center"/>
              <w:rPr>
                <w:rFonts w:hAnsi="宋体"/>
                <w:b/>
                <w:szCs w:val="21"/>
              </w:rPr>
            </w:pPr>
            <w:r>
              <w:rPr>
                <w:rFonts w:hint="eastAsia" w:hAnsi="宋体"/>
                <w:b/>
                <w:szCs w:val="21"/>
              </w:rPr>
              <w:t>具体项目</w:t>
            </w:r>
          </w:p>
        </w:tc>
        <w:tc>
          <w:tcPr>
            <w:tcW w:w="6095" w:type="dxa"/>
            <w:noWrap w:val="0"/>
            <w:vAlign w:val="center"/>
          </w:tcPr>
          <w:p w14:paraId="4A91AD08">
            <w:pPr>
              <w:pStyle w:val="8"/>
              <w:spacing w:line="360" w:lineRule="auto"/>
              <w:jc w:val="center"/>
              <w:rPr>
                <w:rFonts w:hAnsi="宋体"/>
                <w:b/>
                <w:szCs w:val="21"/>
              </w:rPr>
            </w:pPr>
            <w:r>
              <w:rPr>
                <w:rFonts w:hint="eastAsia" w:hAnsi="宋体"/>
                <w:b/>
                <w:szCs w:val="21"/>
              </w:rPr>
              <w:t>评分依据</w:t>
            </w:r>
          </w:p>
        </w:tc>
        <w:tc>
          <w:tcPr>
            <w:tcW w:w="1134" w:type="dxa"/>
            <w:noWrap w:val="0"/>
            <w:vAlign w:val="top"/>
          </w:tcPr>
          <w:p w14:paraId="7799897F">
            <w:pPr>
              <w:pStyle w:val="8"/>
              <w:spacing w:line="360" w:lineRule="auto"/>
              <w:jc w:val="center"/>
              <w:rPr>
                <w:rFonts w:hAnsi="宋体"/>
                <w:b/>
                <w:szCs w:val="21"/>
              </w:rPr>
            </w:pPr>
            <w:r>
              <w:rPr>
                <w:rFonts w:hint="eastAsia" w:hAnsi="宋体"/>
                <w:b/>
                <w:szCs w:val="21"/>
              </w:rPr>
              <w:t>商务满分</w:t>
            </w:r>
          </w:p>
          <w:p w14:paraId="19F7EE59">
            <w:pPr>
              <w:pStyle w:val="8"/>
              <w:spacing w:line="360" w:lineRule="auto"/>
              <w:jc w:val="center"/>
              <w:rPr>
                <w:rFonts w:hAnsi="宋体"/>
                <w:b/>
                <w:szCs w:val="21"/>
              </w:rPr>
            </w:pPr>
            <w:r>
              <w:rPr>
                <w:rFonts w:hint="eastAsia" w:hAnsi="宋体"/>
                <w:b/>
                <w:szCs w:val="21"/>
              </w:rPr>
              <w:t>(100分)</w:t>
            </w:r>
          </w:p>
        </w:tc>
      </w:tr>
      <w:tr w14:paraId="0D29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35" w:type="dxa"/>
            <w:noWrap w:val="0"/>
            <w:vAlign w:val="center"/>
          </w:tcPr>
          <w:p w14:paraId="50F6D43C">
            <w:pPr>
              <w:pStyle w:val="8"/>
              <w:spacing w:line="360" w:lineRule="auto"/>
              <w:jc w:val="center"/>
              <w:rPr>
                <w:rFonts w:hint="eastAsia" w:hAnsi="宋体"/>
                <w:szCs w:val="21"/>
              </w:rPr>
            </w:pPr>
            <w:r>
              <w:rPr>
                <w:rFonts w:hint="eastAsia" w:hAnsi="宋体"/>
                <w:szCs w:val="21"/>
              </w:rPr>
              <w:t>商务</w:t>
            </w:r>
          </w:p>
        </w:tc>
        <w:tc>
          <w:tcPr>
            <w:tcW w:w="1383" w:type="dxa"/>
            <w:noWrap w:val="0"/>
            <w:vAlign w:val="center"/>
          </w:tcPr>
          <w:p w14:paraId="3E2C6956">
            <w:pPr>
              <w:pStyle w:val="8"/>
              <w:spacing w:line="360" w:lineRule="auto"/>
              <w:jc w:val="center"/>
              <w:rPr>
                <w:rFonts w:hAnsi="宋体"/>
                <w:szCs w:val="21"/>
              </w:rPr>
            </w:pPr>
            <w:r>
              <w:rPr>
                <w:rFonts w:hint="eastAsia" w:hAnsi="宋体"/>
                <w:szCs w:val="21"/>
              </w:rPr>
              <w:t>投标报价</w:t>
            </w:r>
          </w:p>
          <w:p w14:paraId="1BF42C0F">
            <w:pPr>
              <w:pStyle w:val="8"/>
              <w:spacing w:line="360" w:lineRule="auto"/>
              <w:jc w:val="center"/>
              <w:rPr>
                <w:rFonts w:hint="eastAsia" w:hAnsi="宋体"/>
                <w:szCs w:val="21"/>
              </w:rPr>
            </w:pPr>
            <w:r>
              <w:rPr>
                <w:rFonts w:hint="eastAsia" w:hAnsi="宋体"/>
                <w:szCs w:val="21"/>
              </w:rPr>
              <w:t>（</w:t>
            </w:r>
            <w:r>
              <w:rPr>
                <w:rFonts w:hAnsi="宋体"/>
                <w:szCs w:val="21"/>
              </w:rPr>
              <w:t>10</w:t>
            </w:r>
            <w:r>
              <w:rPr>
                <w:rFonts w:hint="eastAsia" w:hAnsi="宋体"/>
                <w:szCs w:val="21"/>
              </w:rPr>
              <w:t>0分）</w:t>
            </w:r>
          </w:p>
        </w:tc>
        <w:tc>
          <w:tcPr>
            <w:tcW w:w="6095" w:type="dxa"/>
            <w:noWrap w:val="0"/>
            <w:vAlign w:val="top"/>
          </w:tcPr>
          <w:p w14:paraId="1505DDAB">
            <w:pPr>
              <w:pStyle w:val="8"/>
              <w:spacing w:line="360" w:lineRule="auto"/>
              <w:rPr>
                <w:rFonts w:hAnsi="宋体"/>
                <w:szCs w:val="21"/>
              </w:rPr>
            </w:pPr>
            <w:r>
              <w:rPr>
                <w:rFonts w:hint="eastAsia" w:hAnsi="宋体"/>
                <w:szCs w:val="21"/>
              </w:rPr>
              <w:t>1.经初审合格的投标文件其投标报价为有效报价；</w:t>
            </w:r>
          </w:p>
          <w:p w14:paraId="04ADC56E">
            <w:pPr>
              <w:pStyle w:val="8"/>
              <w:spacing w:line="360" w:lineRule="auto"/>
              <w:rPr>
                <w:rFonts w:hAnsi="宋体"/>
                <w:szCs w:val="21"/>
              </w:rPr>
            </w:pPr>
            <w:r>
              <w:rPr>
                <w:rFonts w:hint="eastAsia" w:hAnsi="宋体"/>
                <w:szCs w:val="21"/>
              </w:rPr>
              <w:t>2.商务标得分=当前轮次最低价/供方投标价×商务标总分；</w:t>
            </w:r>
          </w:p>
          <w:p w14:paraId="001CD57A">
            <w:pPr>
              <w:pStyle w:val="8"/>
              <w:spacing w:line="360" w:lineRule="auto"/>
              <w:rPr>
                <w:rFonts w:hint="eastAsia" w:hAnsi="宋体"/>
                <w:szCs w:val="21"/>
              </w:rPr>
            </w:pPr>
            <w:r>
              <w:rPr>
                <w:rFonts w:hint="eastAsia" w:hAnsi="宋体"/>
                <w:szCs w:val="21"/>
              </w:rPr>
              <w:t>3.百分率、得分值小数点后保留二位，第三位四舍五入。</w:t>
            </w:r>
          </w:p>
        </w:tc>
        <w:tc>
          <w:tcPr>
            <w:tcW w:w="1134" w:type="dxa"/>
            <w:noWrap w:val="0"/>
            <w:vAlign w:val="center"/>
          </w:tcPr>
          <w:p w14:paraId="5E3110CB">
            <w:pPr>
              <w:pStyle w:val="8"/>
              <w:spacing w:line="360" w:lineRule="auto"/>
              <w:ind w:firstLine="315" w:firstLineChars="150"/>
              <w:rPr>
                <w:rFonts w:hint="eastAsia" w:hAnsi="宋体"/>
                <w:szCs w:val="21"/>
              </w:rPr>
            </w:pPr>
            <w:r>
              <w:rPr>
                <w:rFonts w:hAnsi="宋体"/>
                <w:szCs w:val="21"/>
              </w:rPr>
              <w:t>100</w:t>
            </w:r>
          </w:p>
        </w:tc>
      </w:tr>
    </w:tbl>
    <w:p w14:paraId="30E54AF1">
      <w:pPr>
        <w:rPr>
          <w:color w:val="auto"/>
        </w:rPr>
      </w:pPr>
      <w:r>
        <w:rPr>
          <w:rFonts w:hint="eastAsia" w:ascii="宋体" w:hAnsi="Courier New"/>
          <w:b/>
          <w:color w:val="auto"/>
        </w:rPr>
        <w:br w:type="page"/>
      </w:r>
    </w:p>
    <w:p w14:paraId="2C5E3436">
      <w:pPr>
        <w:pStyle w:val="8"/>
        <w:spacing w:line="360" w:lineRule="auto"/>
        <w:rPr>
          <w:rFonts w:ascii="黑体" w:eastAsia="黑体"/>
          <w:b/>
          <w:bCs/>
          <w:color w:val="auto"/>
          <w:sz w:val="28"/>
        </w:rPr>
      </w:pPr>
      <w:r>
        <w:rPr>
          <w:rFonts w:hint="eastAsia" w:ascii="黑体" w:eastAsia="黑体"/>
          <w:b/>
          <w:bCs/>
          <w:color w:val="auto"/>
          <w:sz w:val="28"/>
        </w:rPr>
        <w:t>八、合同签订</w:t>
      </w:r>
    </w:p>
    <w:p w14:paraId="4DE0FFE4">
      <w:pPr>
        <w:pStyle w:val="8"/>
        <w:spacing w:line="360" w:lineRule="auto"/>
        <w:ind w:firstLine="420" w:firstLineChars="200"/>
        <w:rPr>
          <w:color w:val="auto"/>
        </w:rPr>
      </w:pPr>
      <w:r>
        <w:rPr>
          <w:rFonts w:hint="eastAsia"/>
          <w:color w:val="auto"/>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0918EB11">
      <w:pPr>
        <w:pStyle w:val="8"/>
        <w:spacing w:line="360" w:lineRule="auto"/>
        <w:ind w:firstLine="420" w:firstLineChars="200"/>
        <w:rPr>
          <w:rFonts w:hAnsi="宋体"/>
          <w:color w:val="auto"/>
          <w:szCs w:val="21"/>
        </w:rPr>
      </w:pPr>
      <w:r>
        <w:rPr>
          <w:rFonts w:hint="eastAsia" w:hAnsi="宋体"/>
          <w:color w:val="auto"/>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2EE6108B">
      <w:pPr>
        <w:pStyle w:val="8"/>
        <w:spacing w:line="360" w:lineRule="auto"/>
        <w:ind w:firstLine="420" w:firstLineChars="200"/>
        <w:rPr>
          <w:rFonts w:hAnsi="宋体"/>
          <w:color w:val="auto"/>
          <w:szCs w:val="21"/>
        </w:rPr>
      </w:pPr>
      <w:r>
        <w:rPr>
          <w:rFonts w:hint="eastAsia" w:hAnsi="宋体"/>
          <w:color w:val="auto"/>
          <w:szCs w:val="21"/>
          <w:lang w:val="en-US" w:eastAsia="zh-CN"/>
        </w:rPr>
        <w:t>3</w:t>
      </w:r>
      <w:r>
        <w:rPr>
          <w:rFonts w:hint="eastAsia" w:hAnsi="宋体"/>
          <w:color w:val="auto"/>
          <w:szCs w:val="21"/>
        </w:rPr>
        <w:t>.中标人应在保证质量的前提下完成中标项目，不得将中标项目转包或分包给他人，否则视为违约，招标人或相关单位有权解除合同。</w:t>
      </w:r>
    </w:p>
    <w:p w14:paraId="435F7B7C">
      <w:pPr>
        <w:pStyle w:val="8"/>
        <w:spacing w:line="360" w:lineRule="auto"/>
        <w:ind w:firstLine="420" w:firstLineChars="200"/>
        <w:rPr>
          <w:rFonts w:hAnsi="宋体"/>
          <w:color w:val="auto"/>
          <w:szCs w:val="21"/>
        </w:rPr>
      </w:pPr>
      <w:r>
        <w:rPr>
          <w:rFonts w:hint="eastAsia" w:hAnsi="宋体"/>
          <w:color w:val="auto"/>
          <w:szCs w:val="21"/>
          <w:lang w:val="en-US" w:eastAsia="zh-CN"/>
        </w:rPr>
        <w:t>4</w:t>
      </w:r>
      <w:r>
        <w:rPr>
          <w:rFonts w:hint="eastAsia" w:hAnsi="宋体"/>
          <w:color w:val="auto"/>
          <w:szCs w:val="21"/>
        </w:rPr>
        <w:t>.在</w:t>
      </w:r>
      <w:r>
        <w:rPr>
          <w:rFonts w:hint="eastAsia"/>
          <w:color w:val="auto"/>
          <w:szCs w:val="21"/>
        </w:rPr>
        <w:t>履行</w:t>
      </w:r>
      <w:r>
        <w:rPr>
          <w:rFonts w:hint="eastAsia" w:hAnsi="宋体"/>
          <w:color w:val="auto"/>
          <w:szCs w:val="21"/>
        </w:rPr>
        <w:t>合同过程中，中标人</w:t>
      </w:r>
      <w:r>
        <w:rPr>
          <w:rFonts w:hint="eastAsia"/>
          <w:color w:val="auto"/>
          <w:szCs w:val="21"/>
        </w:rPr>
        <w:t>由于履行义务的能力或信用有严重缺陷，</w:t>
      </w:r>
      <w:r>
        <w:rPr>
          <w:rFonts w:hint="eastAsia" w:hAnsi="宋体"/>
          <w:color w:val="auto"/>
          <w:szCs w:val="21"/>
        </w:rPr>
        <w:t>招标人有权解除合同并取消其中标资格，招标人将从剩余投标人中依序重新确定中标人，或重新组织招标。</w:t>
      </w:r>
    </w:p>
    <w:p w14:paraId="2909DA75">
      <w:pPr>
        <w:pStyle w:val="8"/>
        <w:spacing w:line="360" w:lineRule="auto"/>
        <w:ind w:firstLine="420" w:firstLineChars="200"/>
        <w:rPr>
          <w:rFonts w:hAnsi="宋体"/>
          <w:color w:val="auto"/>
          <w:szCs w:val="21"/>
        </w:rPr>
      </w:pPr>
      <w:r>
        <w:rPr>
          <w:rFonts w:hint="eastAsia" w:hAnsi="宋体"/>
          <w:color w:val="auto"/>
          <w:szCs w:val="21"/>
          <w:lang w:val="en-US" w:eastAsia="zh-CN"/>
        </w:rPr>
        <w:t>5</w:t>
      </w:r>
      <w:r>
        <w:rPr>
          <w:rFonts w:hint="eastAsia" w:hAnsi="宋体"/>
          <w:color w:val="auto"/>
          <w:szCs w:val="21"/>
        </w:rPr>
        <w:t>.招标人有权指定招标人的关联单位作为合同签订人，与中标人签署相关合同，且具体权利义务以双方最终签署的合同为准。</w:t>
      </w:r>
    </w:p>
    <w:p w14:paraId="7DBDF97B">
      <w:pPr>
        <w:pStyle w:val="8"/>
        <w:spacing w:line="360" w:lineRule="auto"/>
        <w:ind w:firstLine="420" w:firstLineChars="200"/>
        <w:rPr>
          <w:rFonts w:hAnsi="宋体"/>
          <w:color w:val="auto"/>
          <w:szCs w:val="21"/>
        </w:rPr>
      </w:pPr>
      <w:r>
        <w:rPr>
          <w:rFonts w:hint="eastAsia"/>
          <w:color w:val="auto"/>
          <w:lang w:val="en-US" w:eastAsia="zh-CN"/>
        </w:rPr>
        <w:t>6</w:t>
      </w:r>
      <w:r>
        <w:rPr>
          <w:rFonts w:hint="eastAsia"/>
          <w:color w:val="auto"/>
        </w:rPr>
        <w:t>.中标人须认可招标人由于招标人上级集团公司政策变化引起的随时终止项目的要求。</w:t>
      </w:r>
    </w:p>
    <w:p w14:paraId="73AE4575">
      <w:pPr>
        <w:pStyle w:val="8"/>
        <w:spacing w:line="360" w:lineRule="auto"/>
        <w:rPr>
          <w:rFonts w:ascii="黑体" w:eastAsia="黑体"/>
          <w:b/>
          <w:bCs/>
          <w:color w:val="auto"/>
          <w:sz w:val="28"/>
        </w:rPr>
      </w:pPr>
      <w:r>
        <w:rPr>
          <w:rFonts w:hint="eastAsia" w:ascii="黑体" w:eastAsia="黑体"/>
          <w:b/>
          <w:bCs/>
          <w:color w:val="auto"/>
          <w:sz w:val="28"/>
        </w:rPr>
        <w:t>九、废标及终止招标</w:t>
      </w:r>
    </w:p>
    <w:p w14:paraId="6A6A97F8">
      <w:pPr>
        <w:spacing w:line="520" w:lineRule="exact"/>
        <w:ind w:right="2" w:firstLine="420" w:firstLineChars="200"/>
        <w:rPr>
          <w:rFonts w:ascii="宋体" w:hAnsi="Courier New"/>
          <w:color w:val="auto"/>
        </w:rPr>
      </w:pPr>
      <w:r>
        <w:rPr>
          <w:rFonts w:hint="eastAsia" w:ascii="宋体" w:hAnsi="Courier New"/>
          <w:color w:val="auto"/>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6F88288">
      <w:pPr>
        <w:spacing w:line="520" w:lineRule="exact"/>
        <w:ind w:right="2" w:firstLine="420" w:firstLineChars="200"/>
        <w:rPr>
          <w:rFonts w:ascii="宋体" w:hAnsi="Courier New"/>
          <w:color w:val="auto"/>
        </w:rPr>
      </w:pPr>
      <w:r>
        <w:rPr>
          <w:rFonts w:hint="eastAsia" w:ascii="宋体" w:hAnsi="宋体"/>
          <w:color w:val="auto"/>
        </w:rPr>
        <w:t>⑴</w:t>
      </w:r>
      <w:r>
        <w:rPr>
          <w:rFonts w:hint="eastAsia" w:ascii="宋体" w:hAnsi="Courier New"/>
          <w:color w:val="auto"/>
        </w:rPr>
        <w:t>投标人提供的有关资格、资质证明文件不合格、不真实或提供虚假投标材料；</w:t>
      </w:r>
    </w:p>
    <w:p w14:paraId="03509B20">
      <w:pPr>
        <w:spacing w:line="520" w:lineRule="exact"/>
        <w:ind w:right="2" w:firstLine="420" w:firstLineChars="200"/>
        <w:rPr>
          <w:rFonts w:ascii="宋体" w:hAnsi="Courier New"/>
          <w:color w:val="auto"/>
        </w:rPr>
      </w:pPr>
      <w:r>
        <w:rPr>
          <w:rFonts w:hint="eastAsia" w:ascii="宋体" w:hAnsi="宋体"/>
          <w:color w:val="auto"/>
        </w:rPr>
        <w:t>⑵</w:t>
      </w:r>
      <w:r>
        <w:rPr>
          <w:rFonts w:hint="eastAsia" w:ascii="宋体" w:hAnsi="Courier New"/>
          <w:color w:val="auto"/>
        </w:rPr>
        <w:t>投标人在报价有效期内撤回投标；</w:t>
      </w:r>
    </w:p>
    <w:p w14:paraId="16E3BD59">
      <w:pPr>
        <w:spacing w:line="520" w:lineRule="exact"/>
        <w:ind w:right="2" w:firstLine="420" w:firstLineChars="200"/>
        <w:rPr>
          <w:rFonts w:ascii="宋体" w:hAnsi="Courier New"/>
          <w:color w:val="auto"/>
        </w:rPr>
      </w:pPr>
      <w:r>
        <w:rPr>
          <w:rFonts w:hint="eastAsia" w:ascii="宋体" w:hAnsi="宋体"/>
          <w:color w:val="auto"/>
        </w:rPr>
        <w:t>⑶</w:t>
      </w:r>
      <w:r>
        <w:rPr>
          <w:rFonts w:hint="eastAsia" w:ascii="宋体" w:hAnsi="Courier New"/>
          <w:color w:val="auto"/>
        </w:rPr>
        <w:t>在整个评标过程中，投标人有企图影响评标结果公正性的任何活动；</w:t>
      </w:r>
    </w:p>
    <w:p w14:paraId="6B84E81C">
      <w:pPr>
        <w:spacing w:line="520" w:lineRule="exact"/>
        <w:ind w:right="2" w:firstLine="420" w:firstLineChars="200"/>
        <w:rPr>
          <w:rFonts w:ascii="宋体" w:hAnsi="Courier New"/>
          <w:color w:val="auto"/>
        </w:rPr>
      </w:pPr>
      <w:r>
        <w:rPr>
          <w:rFonts w:hint="eastAsia" w:ascii="宋体" w:hAnsi="宋体"/>
          <w:color w:val="auto"/>
        </w:rPr>
        <w:t>⑷</w:t>
      </w:r>
      <w:r>
        <w:rPr>
          <w:rFonts w:hint="eastAsia" w:ascii="宋体" w:hAnsi="Courier New"/>
          <w:color w:val="auto"/>
        </w:rPr>
        <w:t>投标人以任何方式诋毁其他投标人；</w:t>
      </w:r>
    </w:p>
    <w:p w14:paraId="71B3150C">
      <w:pPr>
        <w:spacing w:line="520" w:lineRule="exact"/>
        <w:ind w:right="2" w:firstLine="420" w:firstLineChars="200"/>
        <w:rPr>
          <w:rFonts w:ascii="宋体" w:hAnsi="Courier New"/>
          <w:color w:val="auto"/>
        </w:rPr>
      </w:pPr>
      <w:r>
        <w:rPr>
          <w:rFonts w:hint="eastAsia" w:ascii="宋体" w:hAnsi="宋体"/>
          <w:color w:val="auto"/>
        </w:rPr>
        <w:t>⑸</w:t>
      </w:r>
      <w:r>
        <w:rPr>
          <w:rFonts w:hint="eastAsia" w:ascii="宋体" w:hAnsi="Courier New"/>
          <w:color w:val="auto"/>
        </w:rPr>
        <w:t>投标人串通投标；</w:t>
      </w:r>
    </w:p>
    <w:p w14:paraId="75D39BC7">
      <w:pPr>
        <w:spacing w:line="520" w:lineRule="exact"/>
        <w:ind w:right="2" w:firstLine="420" w:firstLineChars="200"/>
        <w:rPr>
          <w:rFonts w:ascii="宋体" w:hAnsi="Courier New"/>
          <w:color w:val="auto"/>
        </w:rPr>
      </w:pPr>
      <w:r>
        <w:rPr>
          <w:rFonts w:hint="eastAsia" w:ascii="宋体" w:hAnsi="Courier New"/>
          <w:color w:val="auto"/>
        </w:rPr>
        <w:t>⑹投标人负责人为同一人或者存在控股、管理关系的不同单位；</w:t>
      </w:r>
    </w:p>
    <w:p w14:paraId="0BD64FF4">
      <w:pPr>
        <w:spacing w:line="520" w:lineRule="exact"/>
        <w:ind w:right="2" w:firstLine="420" w:firstLineChars="200"/>
        <w:rPr>
          <w:rFonts w:ascii="宋体" w:hAnsi="Courier New"/>
          <w:color w:val="auto"/>
        </w:rPr>
      </w:pPr>
      <w:r>
        <w:rPr>
          <w:rFonts w:hint="eastAsia" w:ascii="宋体" w:hAnsi="宋体"/>
          <w:color w:val="auto"/>
        </w:rPr>
        <w:t>⑺</w:t>
      </w:r>
      <w:r>
        <w:rPr>
          <w:rFonts w:hint="eastAsia" w:ascii="宋体" w:hAnsi="Courier New"/>
          <w:color w:val="auto"/>
        </w:rPr>
        <w:t>以他人名义投标或者以其他方式弄虚作假，骗取中标的；</w:t>
      </w:r>
    </w:p>
    <w:p w14:paraId="2E373DCC">
      <w:pPr>
        <w:spacing w:line="520" w:lineRule="exact"/>
        <w:ind w:right="2" w:firstLine="420" w:firstLineChars="200"/>
        <w:rPr>
          <w:color w:val="auto"/>
          <w:highlight w:val="none"/>
        </w:rPr>
      </w:pPr>
      <w:bookmarkStart w:id="10" w:name="_Hlk80690793"/>
      <w:r>
        <w:rPr>
          <w:rFonts w:hint="eastAsia" w:ascii="宋体" w:hAnsi="宋体"/>
          <w:color w:val="auto"/>
          <w:highlight w:val="none"/>
        </w:rPr>
        <w:t>⑻</w:t>
      </w:r>
      <w:bookmarkEnd w:id="10"/>
      <w:r>
        <w:rPr>
          <w:rFonts w:hint="eastAsia" w:ascii="宋体" w:hAnsi="Courier New"/>
          <w:color w:val="auto"/>
          <w:highlight w:val="none"/>
        </w:rPr>
        <w:t>中标人不按规定签订合同；</w:t>
      </w:r>
    </w:p>
    <w:p w14:paraId="3FA2BA81">
      <w:pPr>
        <w:pStyle w:val="5"/>
        <w:ind w:firstLine="420" w:firstLineChars="200"/>
        <w:rPr>
          <w:rFonts w:hint="eastAsia" w:ascii="宋体" w:hAnsi="Courier New" w:eastAsia="宋体" w:cs="Times New Roman"/>
          <w:color w:val="auto"/>
          <w:kern w:val="2"/>
          <w:sz w:val="21"/>
          <w:szCs w:val="20"/>
          <w:lang w:val="en-US" w:eastAsia="zh-CN" w:bidi="ar-SA"/>
        </w:rPr>
      </w:pPr>
      <w:r>
        <w:rPr>
          <w:rFonts w:hint="eastAsia" w:ascii="宋体" w:hAnsi="Courier New" w:eastAsia="宋体" w:cs="Times New Roman"/>
          <w:color w:val="auto"/>
          <w:kern w:val="2"/>
          <w:sz w:val="21"/>
          <w:szCs w:val="20"/>
          <w:lang w:val="en-US" w:eastAsia="zh-CN" w:bidi="ar-SA"/>
        </w:rPr>
        <w:t>⑼被其他投标人举报、检举，并经查实属实的；</w:t>
      </w:r>
    </w:p>
    <w:p w14:paraId="18348FCD">
      <w:pPr>
        <w:pStyle w:val="5"/>
        <w:ind w:firstLine="420" w:firstLineChars="200"/>
        <w:rPr>
          <w:rFonts w:hint="eastAsia" w:ascii="宋体" w:hAnsi="Courier New" w:eastAsia="宋体" w:cs="Times New Roman"/>
          <w:color w:val="auto"/>
          <w:kern w:val="2"/>
          <w:sz w:val="21"/>
          <w:szCs w:val="20"/>
          <w:lang w:val="en-US" w:eastAsia="zh-CN" w:bidi="ar-SA"/>
        </w:rPr>
      </w:pPr>
      <w:r>
        <w:rPr>
          <w:rFonts w:hint="eastAsia" w:ascii="宋体" w:hAnsi="Courier New" w:eastAsia="宋体" w:cs="Times New Roman"/>
          <w:color w:val="auto"/>
          <w:kern w:val="2"/>
          <w:sz w:val="21"/>
          <w:szCs w:val="20"/>
          <w:lang w:val="en-US" w:eastAsia="zh-CN" w:bidi="ar-SA"/>
        </w:rPr>
        <w:t>⑽法律、法规规定的其他情况。</w:t>
      </w:r>
    </w:p>
    <w:p w14:paraId="62FF85A6">
      <w:pPr>
        <w:spacing w:line="520" w:lineRule="exact"/>
        <w:ind w:right="2" w:firstLine="420" w:firstLineChars="200"/>
        <w:rPr>
          <w:rFonts w:ascii="宋体" w:hAnsi="Courier New"/>
          <w:color w:val="auto"/>
        </w:rPr>
      </w:pPr>
      <w:r>
        <w:rPr>
          <w:rFonts w:hint="eastAsia" w:ascii="宋体" w:hAnsi="Courier New"/>
          <w:color w:val="auto"/>
        </w:rPr>
        <w:t>2.出现下列情形之一，招标人有权否决所有投标人的投标，并终止招标。</w:t>
      </w:r>
    </w:p>
    <w:p w14:paraId="3DE1DFC2">
      <w:pPr>
        <w:spacing w:line="520" w:lineRule="exact"/>
        <w:ind w:right="2" w:firstLine="420" w:firstLineChars="200"/>
        <w:rPr>
          <w:rFonts w:ascii="宋体" w:hAnsi="Courier New"/>
          <w:color w:val="auto"/>
        </w:rPr>
      </w:pPr>
      <w:r>
        <w:rPr>
          <w:rFonts w:hint="eastAsia" w:ascii="宋体" w:hAnsi="Courier New"/>
          <w:color w:val="auto"/>
        </w:rPr>
        <w:t>⑴出现影响采购公正的违法、违规行为的。</w:t>
      </w:r>
    </w:p>
    <w:p w14:paraId="55C24EBD">
      <w:pPr>
        <w:spacing w:line="520" w:lineRule="exact"/>
        <w:ind w:right="2" w:firstLine="420" w:firstLineChars="200"/>
        <w:rPr>
          <w:rFonts w:ascii="宋体" w:hAnsi="Courier New"/>
          <w:color w:val="auto"/>
        </w:rPr>
      </w:pPr>
      <w:r>
        <w:rPr>
          <w:rFonts w:hint="eastAsia" w:ascii="宋体" w:hAnsi="Courier New"/>
          <w:color w:val="auto"/>
        </w:rPr>
        <w:t>⑵符合条件的投标人或者对招标文件做实质响应的投标人不足三家的。</w:t>
      </w:r>
    </w:p>
    <w:p w14:paraId="0B54078A">
      <w:pPr>
        <w:spacing w:line="520" w:lineRule="exact"/>
        <w:ind w:right="2" w:firstLine="420" w:firstLineChars="200"/>
        <w:rPr>
          <w:rFonts w:ascii="宋体" w:hAnsi="Courier New"/>
          <w:color w:val="auto"/>
        </w:rPr>
      </w:pPr>
      <w:r>
        <w:rPr>
          <w:rFonts w:hint="eastAsia" w:ascii="宋体" w:hAnsi="宋体"/>
          <w:color w:val="auto"/>
        </w:rPr>
        <w:t>⑶评标委员会经评审，认为所有投标都不符合招标文件要求的。</w:t>
      </w:r>
    </w:p>
    <w:p w14:paraId="2CEBE995">
      <w:pPr>
        <w:spacing w:line="520" w:lineRule="exact"/>
        <w:ind w:right="2" w:firstLine="420" w:firstLineChars="200"/>
        <w:rPr>
          <w:rFonts w:ascii="宋体" w:hAnsi="Courier New"/>
          <w:color w:val="auto"/>
        </w:rPr>
      </w:pPr>
      <w:r>
        <w:rPr>
          <w:rFonts w:hint="eastAsia" w:ascii="宋体" w:hAnsi="宋体"/>
          <w:color w:val="auto"/>
        </w:rPr>
        <w:t>⑷</w:t>
      </w:r>
      <w:r>
        <w:rPr>
          <w:rFonts w:hint="eastAsia" w:ascii="宋体" w:hAnsi="Courier New"/>
          <w:color w:val="auto"/>
        </w:rPr>
        <w:t>因重大变故，采购任务取消的。</w:t>
      </w:r>
    </w:p>
    <w:p w14:paraId="2734043A">
      <w:pPr>
        <w:spacing w:line="520" w:lineRule="exact"/>
        <w:ind w:right="2" w:firstLine="420" w:firstLineChars="200"/>
        <w:rPr>
          <w:rFonts w:ascii="宋体" w:hAnsi="Courier New"/>
          <w:color w:val="auto"/>
        </w:rPr>
      </w:pPr>
      <w:r>
        <w:rPr>
          <w:rFonts w:hint="eastAsia" w:ascii="宋体" w:hAnsi="宋体"/>
          <w:color w:val="auto"/>
        </w:rPr>
        <w:t>⑸招标人认为其他应终止招标的情形。</w:t>
      </w:r>
    </w:p>
    <w:p w14:paraId="5BFE9D06">
      <w:pPr>
        <w:pStyle w:val="8"/>
        <w:spacing w:line="360" w:lineRule="auto"/>
        <w:rPr>
          <w:rFonts w:ascii="黑体" w:eastAsia="黑体"/>
          <w:b/>
          <w:bCs/>
          <w:color w:val="auto"/>
          <w:sz w:val="28"/>
        </w:rPr>
      </w:pPr>
      <w:r>
        <w:rPr>
          <w:rFonts w:hint="eastAsia" w:ascii="黑体" w:eastAsia="黑体"/>
          <w:b/>
          <w:bCs/>
          <w:color w:val="auto"/>
          <w:sz w:val="28"/>
        </w:rPr>
        <w:t>十一、技术要求</w:t>
      </w:r>
    </w:p>
    <w:p w14:paraId="60B76742">
      <w:pPr>
        <w:pStyle w:val="8"/>
        <w:spacing w:line="360" w:lineRule="auto"/>
        <w:ind w:left="420" w:hanging="420" w:hangingChars="200"/>
        <w:rPr>
          <w:color w:val="auto"/>
        </w:rPr>
      </w:pPr>
      <w:r>
        <w:rPr>
          <w:rFonts w:hint="eastAsia"/>
          <w:color w:val="auto"/>
        </w:rPr>
        <w:t xml:space="preserve">    见本招标文件“第三章 技术协议书”，附后。</w:t>
      </w:r>
    </w:p>
    <w:p w14:paraId="4905AA8D">
      <w:pPr>
        <w:rPr>
          <w:rFonts w:eastAsia="黑体"/>
          <w:b/>
          <w:bCs/>
          <w:color w:val="auto"/>
          <w:sz w:val="36"/>
          <w:szCs w:val="36"/>
        </w:rPr>
      </w:pPr>
      <w:r>
        <w:rPr>
          <w:rFonts w:hint="eastAsia" w:eastAsia="黑体"/>
          <w:b/>
          <w:bCs/>
          <w:color w:val="auto"/>
          <w:sz w:val="36"/>
          <w:szCs w:val="36"/>
        </w:rPr>
        <w:br w:type="page"/>
      </w:r>
      <w:r>
        <w:rPr>
          <w:rFonts w:hint="eastAsia" w:eastAsia="黑体"/>
          <w:b/>
          <w:bCs/>
          <w:color w:val="auto"/>
          <w:sz w:val="36"/>
          <w:szCs w:val="36"/>
          <w:lang w:val="en-US" w:eastAsia="zh-CN"/>
        </w:rPr>
        <w:t xml:space="preserve">                </w:t>
      </w:r>
      <w:bookmarkStart w:id="11" w:name="_Toc17048"/>
      <w:r>
        <w:rPr>
          <w:rStyle w:val="31"/>
          <w:rFonts w:hint="eastAsia"/>
          <w:color w:val="auto"/>
          <w:lang w:val="en-US" w:eastAsia="zh-CN"/>
        </w:rPr>
        <w:t>第二章  投标文件编制</w:t>
      </w:r>
      <w:bookmarkEnd w:id="11"/>
    </w:p>
    <w:p w14:paraId="4F30BF40">
      <w:pPr>
        <w:pStyle w:val="8"/>
        <w:spacing w:line="360" w:lineRule="auto"/>
        <w:rPr>
          <w:rFonts w:ascii="黑体" w:hAnsi="黑体" w:eastAsia="黑体"/>
          <w:b/>
          <w:bCs/>
          <w:color w:val="auto"/>
          <w:sz w:val="28"/>
          <w:szCs w:val="28"/>
        </w:rPr>
      </w:pPr>
      <w:r>
        <w:rPr>
          <w:rFonts w:hint="eastAsia" w:ascii="黑体" w:hAnsi="黑体" w:eastAsia="黑体"/>
          <w:b/>
          <w:bCs/>
          <w:color w:val="auto"/>
          <w:sz w:val="28"/>
          <w:szCs w:val="28"/>
        </w:rPr>
        <w:t>一、投标文件签署</w:t>
      </w:r>
    </w:p>
    <w:p w14:paraId="636AB5B5">
      <w:pPr>
        <w:pStyle w:val="8"/>
        <w:spacing w:line="360" w:lineRule="auto"/>
        <w:ind w:firstLine="422" w:firstLineChars="200"/>
        <w:rPr>
          <w:rFonts w:hAnsi="宋体"/>
          <w:b/>
          <w:color w:val="auto"/>
        </w:rPr>
      </w:pPr>
      <w:r>
        <w:rPr>
          <w:rFonts w:hint="eastAsia" w:hAnsi="宋体"/>
          <w:b/>
          <w:color w:val="auto"/>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E7F2972">
      <w:pPr>
        <w:pStyle w:val="8"/>
        <w:spacing w:line="360" w:lineRule="auto"/>
        <w:ind w:firstLine="422" w:firstLineChars="200"/>
        <w:rPr>
          <w:rFonts w:hAnsi="宋体"/>
          <w:b/>
          <w:color w:val="auto"/>
        </w:rPr>
      </w:pPr>
      <w:r>
        <w:rPr>
          <w:rFonts w:hint="eastAsia" w:hAnsi="宋体"/>
          <w:b/>
          <w:color w:val="auto"/>
        </w:rPr>
        <w:t>2.任何行间插字、涂改和增删，必须由投标人的法定代表人或授权代表签字或加盖公章后才有效。</w:t>
      </w:r>
    </w:p>
    <w:p w14:paraId="1EF6E9B8">
      <w:pPr>
        <w:pStyle w:val="8"/>
        <w:spacing w:line="360" w:lineRule="auto"/>
        <w:rPr>
          <w:rFonts w:ascii="黑体" w:hAnsi="黑体" w:eastAsia="黑体"/>
          <w:b/>
          <w:bCs/>
          <w:color w:val="auto"/>
          <w:sz w:val="28"/>
          <w:szCs w:val="28"/>
        </w:rPr>
      </w:pPr>
      <w:r>
        <w:rPr>
          <w:rFonts w:hint="eastAsia" w:ascii="黑体" w:hAnsi="黑体" w:eastAsia="黑体"/>
          <w:b/>
          <w:bCs/>
          <w:color w:val="auto"/>
          <w:sz w:val="28"/>
          <w:szCs w:val="28"/>
        </w:rPr>
        <w:t>二、投标文件的密封和标记</w:t>
      </w:r>
    </w:p>
    <w:p w14:paraId="2756CFEF">
      <w:pPr>
        <w:pStyle w:val="8"/>
        <w:spacing w:line="360" w:lineRule="auto"/>
        <w:ind w:firstLine="420" w:firstLineChars="200"/>
        <w:rPr>
          <w:rFonts w:hAnsi="宋体"/>
          <w:color w:val="auto"/>
        </w:rPr>
      </w:pPr>
      <w:r>
        <w:rPr>
          <w:rFonts w:hint="eastAsia" w:hAnsi="宋体"/>
          <w:color w:val="auto"/>
        </w:rPr>
        <w:t>1.投标人应将投标文件正、副本一同密封送达，并在封面明显处注明以下内容：</w:t>
      </w:r>
    </w:p>
    <w:p w14:paraId="3C2166A3">
      <w:pPr>
        <w:pStyle w:val="8"/>
        <w:spacing w:line="360" w:lineRule="auto"/>
        <w:ind w:firstLine="422" w:firstLineChars="200"/>
        <w:rPr>
          <w:rFonts w:hAnsi="宋体"/>
          <w:b/>
          <w:color w:val="auto"/>
        </w:rPr>
      </w:pPr>
      <w:r>
        <w:rPr>
          <w:rFonts w:hint="eastAsia" w:hAnsi="宋体"/>
          <w:b/>
          <w:color w:val="auto"/>
        </w:rPr>
        <w:t>⑴文件名称（商务标或技术标或资质文件）</w:t>
      </w:r>
    </w:p>
    <w:p w14:paraId="1E192248">
      <w:pPr>
        <w:pStyle w:val="8"/>
        <w:spacing w:line="360" w:lineRule="auto"/>
        <w:ind w:firstLine="420" w:firstLineChars="200"/>
        <w:rPr>
          <w:rFonts w:hAnsi="宋体"/>
          <w:color w:val="auto"/>
        </w:rPr>
      </w:pPr>
      <w:r>
        <w:rPr>
          <w:rFonts w:hint="eastAsia" w:hAnsi="宋体"/>
          <w:color w:val="auto"/>
        </w:rPr>
        <w:t>⑵项目名称</w:t>
      </w:r>
    </w:p>
    <w:p w14:paraId="4E69403A">
      <w:pPr>
        <w:pStyle w:val="8"/>
        <w:spacing w:line="360" w:lineRule="auto"/>
        <w:ind w:firstLine="420" w:firstLineChars="200"/>
        <w:rPr>
          <w:rFonts w:hAnsi="宋体"/>
          <w:color w:val="auto"/>
        </w:rPr>
      </w:pPr>
      <w:r>
        <w:rPr>
          <w:rFonts w:hint="eastAsia" w:hAnsi="宋体"/>
          <w:color w:val="auto"/>
        </w:rPr>
        <w:t>⑶投标人名称（加盖公章）、地址、邮编、电话</w:t>
      </w:r>
    </w:p>
    <w:p w14:paraId="7ABB9729">
      <w:pPr>
        <w:pStyle w:val="8"/>
        <w:spacing w:line="360" w:lineRule="auto"/>
        <w:ind w:firstLine="420" w:firstLineChars="200"/>
        <w:rPr>
          <w:rFonts w:hAnsi="宋体"/>
          <w:color w:val="auto"/>
        </w:rPr>
      </w:pPr>
      <w:r>
        <w:rPr>
          <w:rFonts w:hint="eastAsia" w:hAnsi="宋体"/>
          <w:color w:val="auto"/>
        </w:rPr>
        <w:t>2.请投标人将2份“开标一览表”单独密封，并注明开标一览表、项目名称、投标人名称（加盖公章），与投标文件同时提交。</w:t>
      </w:r>
    </w:p>
    <w:p w14:paraId="688FCEB2">
      <w:pPr>
        <w:pStyle w:val="8"/>
        <w:spacing w:line="360" w:lineRule="auto"/>
        <w:ind w:firstLine="420" w:firstLineChars="200"/>
        <w:rPr>
          <w:rFonts w:hAnsi="宋体"/>
          <w:color w:val="auto"/>
        </w:rPr>
      </w:pPr>
      <w:r>
        <w:rPr>
          <w:rFonts w:hint="eastAsia" w:hAnsi="宋体"/>
          <w:color w:val="auto"/>
        </w:rPr>
        <w:t>3.</w:t>
      </w:r>
      <w:r>
        <w:rPr>
          <w:rFonts w:hint="eastAsia" w:hAnsi="宋体"/>
          <w:b/>
          <w:bCs/>
          <w:color w:val="auto"/>
        </w:rPr>
        <w:t>每一密封文件在封口处加盖投标人公章并注明“于</w:t>
      </w:r>
      <w:r>
        <w:rPr>
          <w:rFonts w:hint="eastAsia"/>
          <w:b/>
          <w:bCs/>
          <w:color w:val="auto"/>
        </w:rPr>
        <w:t>20XX年X月X日上午X</w:t>
      </w:r>
      <w:r>
        <w:rPr>
          <w:rFonts w:hint="eastAsia" w:hAnsi="宋体"/>
          <w:b/>
          <w:bCs/>
          <w:color w:val="auto"/>
        </w:rPr>
        <w:t>时之前不准启封”字样。</w:t>
      </w:r>
    </w:p>
    <w:p w14:paraId="16351D6A">
      <w:pPr>
        <w:pStyle w:val="8"/>
        <w:spacing w:line="360" w:lineRule="auto"/>
        <w:ind w:firstLine="422" w:firstLineChars="200"/>
        <w:rPr>
          <w:rFonts w:hint="eastAsia" w:hAnsi="宋体"/>
          <w:b/>
          <w:color w:val="auto"/>
        </w:rPr>
      </w:pPr>
      <w:r>
        <w:rPr>
          <w:rFonts w:hint="eastAsia" w:hAnsi="宋体"/>
          <w:b/>
          <w:color w:val="auto"/>
        </w:rPr>
        <w:t>4.如果投标人未按上述要求对投</w:t>
      </w:r>
    </w:p>
    <w:p w14:paraId="310C57FA">
      <w:pPr>
        <w:pStyle w:val="8"/>
        <w:spacing w:line="360" w:lineRule="auto"/>
        <w:ind w:firstLine="422" w:firstLineChars="200"/>
        <w:rPr>
          <w:rFonts w:hAnsi="宋体"/>
          <w:b/>
          <w:color w:val="auto"/>
        </w:rPr>
      </w:pPr>
      <w:r>
        <w:rPr>
          <w:rFonts w:hint="eastAsia" w:hAnsi="宋体"/>
          <w:b/>
          <w:color w:val="auto"/>
        </w:rPr>
        <w:t>标文件密封及加写标记，招标人对投标人提前启封概不负责。对由此造成提前开封的投标文件，招标人有权予以拒绝，并退回投标人。</w:t>
      </w:r>
    </w:p>
    <w:p w14:paraId="30BD7638">
      <w:pPr>
        <w:pStyle w:val="8"/>
        <w:spacing w:line="360" w:lineRule="auto"/>
        <w:rPr>
          <w:rFonts w:hint="eastAsia" w:ascii="黑体" w:hAnsi="黑体" w:eastAsia="黑体"/>
          <w:b/>
          <w:bCs/>
          <w:color w:val="auto"/>
          <w:sz w:val="28"/>
          <w:szCs w:val="28"/>
        </w:rPr>
      </w:pPr>
    </w:p>
    <w:p w14:paraId="3E4868B9">
      <w:pPr>
        <w:pStyle w:val="8"/>
        <w:spacing w:line="360" w:lineRule="auto"/>
        <w:rPr>
          <w:rFonts w:hint="eastAsia" w:ascii="黑体" w:hAnsi="黑体" w:eastAsia="黑体"/>
          <w:b/>
          <w:bCs/>
          <w:color w:val="auto"/>
          <w:sz w:val="28"/>
          <w:szCs w:val="28"/>
        </w:rPr>
      </w:pPr>
    </w:p>
    <w:p w14:paraId="49F94813">
      <w:pPr>
        <w:pStyle w:val="8"/>
        <w:spacing w:line="360" w:lineRule="auto"/>
        <w:rPr>
          <w:rFonts w:hint="eastAsia" w:ascii="黑体" w:hAnsi="黑体" w:eastAsia="黑体"/>
          <w:b/>
          <w:bCs/>
          <w:color w:val="auto"/>
          <w:sz w:val="28"/>
          <w:szCs w:val="28"/>
        </w:rPr>
      </w:pPr>
    </w:p>
    <w:p w14:paraId="0C25287E">
      <w:pPr>
        <w:pStyle w:val="8"/>
        <w:spacing w:line="360" w:lineRule="auto"/>
        <w:rPr>
          <w:rFonts w:hint="eastAsia" w:ascii="黑体" w:hAnsi="黑体" w:eastAsia="黑体"/>
          <w:b/>
          <w:bCs/>
          <w:color w:val="auto"/>
          <w:sz w:val="28"/>
          <w:szCs w:val="28"/>
        </w:rPr>
      </w:pPr>
    </w:p>
    <w:p w14:paraId="5B62BC0B">
      <w:pPr>
        <w:pStyle w:val="8"/>
        <w:spacing w:line="360" w:lineRule="auto"/>
        <w:rPr>
          <w:rFonts w:hint="eastAsia" w:ascii="黑体" w:hAnsi="黑体" w:eastAsia="黑体"/>
          <w:b/>
          <w:bCs/>
          <w:color w:val="auto"/>
          <w:sz w:val="28"/>
          <w:szCs w:val="28"/>
        </w:rPr>
      </w:pPr>
    </w:p>
    <w:p w14:paraId="19ED1441">
      <w:pPr>
        <w:pStyle w:val="8"/>
        <w:spacing w:line="360" w:lineRule="auto"/>
        <w:rPr>
          <w:rFonts w:hint="eastAsia" w:ascii="黑体" w:hAnsi="黑体" w:eastAsia="黑体"/>
          <w:b/>
          <w:bCs/>
          <w:color w:val="auto"/>
          <w:sz w:val="28"/>
          <w:szCs w:val="28"/>
        </w:rPr>
      </w:pPr>
    </w:p>
    <w:p w14:paraId="42415A95">
      <w:pPr>
        <w:pStyle w:val="8"/>
        <w:spacing w:line="360" w:lineRule="auto"/>
        <w:rPr>
          <w:rFonts w:ascii="黑体" w:hAnsi="黑体" w:eastAsia="黑体"/>
          <w:b/>
          <w:bCs/>
          <w:color w:val="auto"/>
          <w:sz w:val="28"/>
          <w:szCs w:val="28"/>
        </w:rPr>
      </w:pPr>
      <w:r>
        <w:rPr>
          <w:rFonts w:hint="eastAsia" w:ascii="黑体" w:hAnsi="黑体" w:eastAsia="黑体"/>
          <w:b/>
          <w:bCs/>
          <w:color w:val="auto"/>
          <w:sz w:val="28"/>
          <w:szCs w:val="28"/>
        </w:rPr>
        <w:t>三、投标文件格式要求</w:t>
      </w:r>
    </w:p>
    <w:p w14:paraId="13B27ADF">
      <w:pPr>
        <w:rPr>
          <w:rFonts w:eastAsia="黑体"/>
          <w:b/>
          <w:bCs/>
          <w:color w:val="auto"/>
          <w:sz w:val="28"/>
        </w:rPr>
      </w:pPr>
      <w:r>
        <w:rPr>
          <w:rFonts w:hint="eastAsia" w:eastAsia="黑体"/>
          <w:b/>
          <w:bCs/>
          <w:color w:val="auto"/>
          <w:sz w:val="28"/>
        </w:rPr>
        <w:t>格式1</w:t>
      </w:r>
    </w:p>
    <w:p w14:paraId="7F9E6D40">
      <w:pPr>
        <w:rPr>
          <w:rFonts w:ascii="宋体" w:hAnsi="宋体"/>
          <w:color w:val="auto"/>
        </w:rPr>
      </w:pPr>
      <w:r>
        <w:rPr>
          <w:rFonts w:hint="eastAsia" w:ascii="宋体" w:hAnsi="宋体"/>
          <w:color w:val="auto"/>
        </w:rPr>
        <w:t>项目名称：</w:t>
      </w:r>
      <w:r>
        <w:rPr>
          <w:rFonts w:hint="eastAsia"/>
          <w:color w:val="auto"/>
          <w:lang w:val="en-US" w:eastAsia="zh-CN"/>
        </w:rPr>
        <w:t>2026年涂装线及补漆线VOCs在线监测设备运维项目</w:t>
      </w:r>
    </w:p>
    <w:p w14:paraId="77D974A4">
      <w:pPr>
        <w:spacing w:line="480" w:lineRule="auto"/>
        <w:jc w:val="center"/>
        <w:rPr>
          <w:rFonts w:hint="eastAsia" w:ascii="华文仿宋" w:hAnsi="华文仿宋" w:eastAsia="华文仿宋" w:cs="华文仿宋"/>
          <w:b/>
          <w:bCs/>
          <w:color w:val="auto"/>
          <w:sz w:val="36"/>
          <w:szCs w:val="36"/>
        </w:rPr>
      </w:pPr>
      <w:r>
        <w:rPr>
          <w:rFonts w:hint="eastAsia" w:ascii="华文仿宋" w:hAnsi="华文仿宋" w:eastAsia="华文仿宋" w:cs="华文仿宋"/>
          <w:b/>
          <w:bCs/>
          <w:color w:val="auto"/>
          <w:sz w:val="36"/>
          <w:szCs w:val="36"/>
          <w:lang w:eastAsia="zh-CN"/>
        </w:rPr>
        <w:t>一、</w:t>
      </w:r>
      <w:r>
        <w:rPr>
          <w:rFonts w:hint="eastAsia" w:ascii="华文仿宋" w:hAnsi="华文仿宋" w:eastAsia="华文仿宋" w:cs="华文仿宋"/>
          <w:b/>
          <w:bCs/>
          <w:color w:val="auto"/>
          <w:sz w:val="36"/>
          <w:szCs w:val="36"/>
        </w:rPr>
        <w:t>投标书</w:t>
      </w:r>
    </w:p>
    <w:p w14:paraId="3F76EA0B">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致</w:t>
      </w:r>
      <w:r>
        <w:rPr>
          <w:rFonts w:hint="eastAsia" w:ascii="仿宋_GB2312" w:hAnsi="宋体" w:eastAsia="仿宋_GB2312" w:cs="Times New Roman"/>
          <w:color w:val="auto"/>
          <w:sz w:val="24"/>
          <w:u w:val="single"/>
        </w:rPr>
        <w:t xml:space="preserve">（招标人名称）                            </w:t>
      </w:r>
      <w:r>
        <w:rPr>
          <w:rFonts w:hint="eastAsia" w:ascii="仿宋_GB2312" w:hAnsi="宋体" w:eastAsia="仿宋_GB2312" w:cs="Times New Roman"/>
          <w:color w:val="auto"/>
          <w:sz w:val="24"/>
        </w:rPr>
        <w:t>：</w:t>
      </w:r>
    </w:p>
    <w:p w14:paraId="57AE0611">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根据贵方为</w:t>
      </w:r>
      <w:r>
        <w:rPr>
          <w:rFonts w:hint="eastAsia" w:ascii="仿宋_GB2312" w:hAnsi="宋体" w:eastAsia="仿宋_GB2312" w:cs="Times New Roman"/>
          <w:color w:val="auto"/>
          <w:sz w:val="24"/>
          <w:u w:val="single"/>
        </w:rPr>
        <w:t xml:space="preserve">（项目名称）                         </w:t>
      </w:r>
      <w:r>
        <w:rPr>
          <w:rFonts w:hint="eastAsia" w:ascii="仿宋_GB2312" w:hAnsi="宋体" w:eastAsia="仿宋_GB2312" w:cs="Times New Roman"/>
          <w:color w:val="auto"/>
          <w:sz w:val="24"/>
        </w:rPr>
        <w:t>招标书，签字代表（全名、职务）           经正式授权并代表投标人</w:t>
      </w:r>
      <w:r>
        <w:rPr>
          <w:rFonts w:hint="eastAsia" w:ascii="仿宋_GB2312" w:hAnsi="宋体" w:eastAsia="仿宋_GB2312" w:cs="Times New Roman"/>
          <w:color w:val="auto"/>
          <w:sz w:val="24"/>
          <w:u w:val="single"/>
        </w:rPr>
        <w:t xml:space="preserve">（投标人名称、地址）              </w:t>
      </w:r>
      <w:r>
        <w:rPr>
          <w:rFonts w:hint="eastAsia" w:ascii="仿宋_GB2312" w:hAnsi="宋体" w:eastAsia="仿宋_GB2312" w:cs="Times New Roman"/>
          <w:color w:val="auto"/>
          <w:sz w:val="24"/>
        </w:rPr>
        <w:t>提交下述文件：</w:t>
      </w:r>
    </w:p>
    <w:p w14:paraId="13EEFA49">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标书（正本1份和副本</w:t>
      </w:r>
      <w:r>
        <w:rPr>
          <w:rFonts w:hint="eastAsia" w:ascii="仿宋_GB2312" w:hAnsi="宋体" w:eastAsia="仿宋_GB2312" w:cs="Times New Roman"/>
          <w:color w:val="auto"/>
          <w:sz w:val="24"/>
          <w:lang w:val="en-US" w:eastAsia="zh-CN"/>
        </w:rPr>
        <w:t>1</w:t>
      </w:r>
      <w:r>
        <w:rPr>
          <w:rFonts w:hint="eastAsia" w:ascii="仿宋_GB2312" w:hAnsi="宋体" w:eastAsia="仿宋_GB2312" w:cs="Times New Roman"/>
          <w:color w:val="auto"/>
          <w:sz w:val="24"/>
        </w:rPr>
        <w:t>份）</w:t>
      </w:r>
    </w:p>
    <w:p w14:paraId="521C7B69">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据此，签字代表宣布同意如下：</w:t>
      </w:r>
    </w:p>
    <w:p w14:paraId="11ECD5AD">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1.所附投标报价表中规定的应提供的投标总价（含税</w:t>
      </w:r>
      <w:r>
        <w:rPr>
          <w:rFonts w:hint="eastAsia" w:ascii="仿宋_GB2312" w:hAnsi="宋体" w:eastAsia="仿宋_GB2312" w:cs="Times New Roman"/>
          <w:color w:val="auto"/>
          <w:sz w:val="24"/>
          <w:u w:val="single"/>
        </w:rPr>
        <w:t xml:space="preserve">金额）  </w:t>
      </w:r>
      <w:r>
        <w:rPr>
          <w:rFonts w:hint="eastAsia" w:ascii="仿宋_GB2312" w:hAnsi="宋体" w:eastAsia="仿宋_GB2312" w:cs="Times New Roman"/>
          <w:color w:val="auto"/>
          <w:sz w:val="24"/>
          <w:u w:val="single"/>
          <w:lang w:val="en-US" w:eastAsia="zh-CN"/>
        </w:rPr>
        <w:t xml:space="preserve">             </w:t>
      </w:r>
      <w:r>
        <w:rPr>
          <w:rFonts w:hint="eastAsia" w:ascii="仿宋_GB2312" w:hAnsi="宋体" w:eastAsia="仿宋_GB2312" w:cs="Times New Roman"/>
          <w:color w:val="auto"/>
          <w:sz w:val="24"/>
          <w:u w:val="single"/>
        </w:rPr>
        <w:t xml:space="preserve">  </w:t>
      </w:r>
      <w:r>
        <w:rPr>
          <w:rFonts w:hint="eastAsia" w:ascii="仿宋_GB2312" w:hAnsi="宋体" w:eastAsia="仿宋_GB2312" w:cs="Times New Roman"/>
          <w:color w:val="auto"/>
          <w:sz w:val="24"/>
        </w:rPr>
        <w:t>，</w:t>
      </w:r>
    </w:p>
    <w:p w14:paraId="672990D3">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即</w:t>
      </w:r>
      <w:r>
        <w:rPr>
          <w:rFonts w:hint="eastAsia" w:ascii="仿宋_GB2312" w:hAnsi="宋体" w:eastAsia="仿宋_GB2312" w:cs="Times New Roman"/>
          <w:color w:val="auto"/>
          <w:sz w:val="24"/>
          <w:u w:val="single"/>
        </w:rPr>
        <w:t xml:space="preserve">（中文文字描述）                                      </w:t>
      </w:r>
      <w:r>
        <w:rPr>
          <w:rFonts w:hint="eastAsia" w:ascii="仿宋_GB2312" w:hAnsi="宋体" w:eastAsia="仿宋_GB2312" w:cs="Times New Roman"/>
          <w:color w:val="auto"/>
          <w:sz w:val="24"/>
        </w:rPr>
        <w:t>。</w:t>
      </w:r>
    </w:p>
    <w:p w14:paraId="1288DE04">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2.投标人将按招标文件的规定履行合同责任和义务。</w:t>
      </w:r>
    </w:p>
    <w:p w14:paraId="166FAAED">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3.投标人已详细审查全部招标文件，包括修改文件（如有的话）以及全部参考资料和有关附件，我们完全理解并同意放弃对这方面有不明及误解的权利。</w:t>
      </w:r>
    </w:p>
    <w:p w14:paraId="0629B331">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4.投标有效期：自投标截止之日起至合同签署日一直有效。</w:t>
      </w:r>
    </w:p>
    <w:p w14:paraId="0EA54DEA">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5.投标人同意提供贵方要求的可能与投标有关的一切数据和资料，完全理解贵方不一定要接受最低价的投标或收到的任何投标。</w:t>
      </w:r>
    </w:p>
    <w:p w14:paraId="1FB23971">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6.投标人承诺所提供的所有数据和资料均真实有效，如存在虚报情况，投标人愿为此承担一切法律责任，并主动退出本项目竞标。</w:t>
      </w:r>
    </w:p>
    <w:p w14:paraId="66BE79C5">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投标人授权代表签字：                 职务：                 日期：</w:t>
      </w:r>
    </w:p>
    <w:p w14:paraId="528CD8BE">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投标人名称（及公章）：</w:t>
      </w:r>
    </w:p>
    <w:p w14:paraId="19442AAC">
      <w:pPr>
        <w:spacing w:line="480" w:lineRule="auto"/>
        <w:rPr>
          <w:rFonts w:hint="eastAsia" w:ascii="仿宋_GB2312" w:hAnsi="宋体" w:eastAsia="仿宋_GB2312" w:cs="Times New Roman"/>
          <w:color w:val="auto"/>
          <w:sz w:val="24"/>
        </w:rPr>
      </w:pPr>
      <w:r>
        <w:rPr>
          <w:rFonts w:hint="eastAsia" w:ascii="仿宋_GB2312" w:hAnsi="宋体" w:eastAsia="仿宋_GB2312" w:cs="Times New Roman"/>
          <w:color w:val="auto"/>
          <w:sz w:val="24"/>
        </w:rPr>
        <w:t>日期：        年       月       日</w:t>
      </w:r>
    </w:p>
    <w:p w14:paraId="46783A39">
      <w:pPr>
        <w:rPr>
          <w:rFonts w:ascii="黑体" w:eastAsia="黑体"/>
          <w:color w:val="auto"/>
          <w:sz w:val="30"/>
        </w:rPr>
      </w:pPr>
      <w:r>
        <w:rPr>
          <w:rFonts w:hint="eastAsia" w:eastAsia="黑体"/>
          <w:b/>
          <w:bCs/>
          <w:color w:val="auto"/>
          <w:sz w:val="28"/>
        </w:rPr>
        <w:t>格式</w:t>
      </w:r>
      <w:r>
        <w:rPr>
          <w:rFonts w:hint="eastAsia" w:eastAsia="黑体"/>
          <w:b/>
          <w:bCs/>
          <w:color w:val="auto"/>
          <w:sz w:val="28"/>
          <w:lang w:val="en-US" w:eastAsia="zh-CN"/>
        </w:rPr>
        <w:t>2</w:t>
      </w:r>
    </w:p>
    <w:p w14:paraId="37ABEEBA">
      <w:pPr>
        <w:pStyle w:val="3"/>
        <w:bidi w:val="0"/>
        <w:jc w:val="center"/>
        <w:rPr>
          <w:rFonts w:hint="eastAsia" w:ascii="华文仿宋" w:hAnsi="华文仿宋" w:eastAsia="华文仿宋" w:cs="华文仿宋"/>
          <w:color w:val="auto"/>
          <w:sz w:val="44"/>
          <w:szCs w:val="44"/>
          <w:lang w:val="zh-CN"/>
        </w:rPr>
      </w:pPr>
      <w:bookmarkStart w:id="12" w:name="_Toc13730"/>
      <w:bookmarkStart w:id="13" w:name="_Toc15537"/>
      <w:r>
        <w:rPr>
          <w:rFonts w:hint="eastAsia" w:ascii="华文仿宋" w:hAnsi="华文仿宋" w:eastAsia="华文仿宋" w:cs="华文仿宋"/>
          <w:color w:val="auto"/>
          <w:sz w:val="44"/>
          <w:szCs w:val="44"/>
          <w:lang w:val="zh-CN"/>
        </w:rPr>
        <w:t>二、法定代表人身份证明</w:t>
      </w:r>
      <w:bookmarkEnd w:id="12"/>
      <w:bookmarkEnd w:id="13"/>
    </w:p>
    <w:p w14:paraId="789B8508">
      <w:pPr>
        <w:spacing w:line="440" w:lineRule="exact"/>
        <w:rPr>
          <w:rFonts w:ascii="仿宋_GB2312" w:hAnsi="宋体" w:eastAsia="仿宋_GB2312"/>
          <w:color w:val="auto"/>
          <w:sz w:val="24"/>
        </w:rPr>
      </w:pPr>
    </w:p>
    <w:p w14:paraId="423B22B2">
      <w:pPr>
        <w:spacing w:line="480" w:lineRule="auto"/>
        <w:rPr>
          <w:rFonts w:ascii="仿宋_GB2312" w:hAnsi="宋体" w:eastAsia="仿宋_GB2312"/>
          <w:color w:val="auto"/>
          <w:sz w:val="24"/>
        </w:rPr>
      </w:pPr>
      <w:r>
        <w:rPr>
          <w:rFonts w:hint="eastAsia" w:ascii="仿宋_GB2312" w:hAnsi="宋体" w:eastAsia="仿宋_GB2312"/>
          <w:color w:val="auto"/>
          <w:sz w:val="24"/>
        </w:rPr>
        <w:t>供应商名称：</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55C56D4B">
      <w:pPr>
        <w:spacing w:line="480" w:lineRule="auto"/>
        <w:rPr>
          <w:rFonts w:ascii="仿宋_GB2312" w:hAnsi="宋体" w:eastAsia="仿宋_GB2312"/>
          <w:color w:val="auto"/>
          <w:sz w:val="24"/>
        </w:rPr>
      </w:pPr>
      <w:r>
        <w:rPr>
          <w:rFonts w:hint="eastAsia" w:ascii="仿宋_GB2312" w:hAnsi="宋体" w:eastAsia="仿宋_GB2312"/>
          <w:color w:val="auto"/>
          <w:sz w:val="24"/>
        </w:rPr>
        <w:t>单位性质：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22E6602E">
      <w:pPr>
        <w:spacing w:line="480" w:lineRule="auto"/>
        <w:rPr>
          <w:rFonts w:ascii="仿宋_GB2312" w:hAnsi="宋体" w:eastAsia="仿宋_GB2312"/>
          <w:color w:val="auto"/>
          <w:sz w:val="24"/>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16CAD75B">
      <w:pPr>
        <w:spacing w:line="480" w:lineRule="auto"/>
        <w:rPr>
          <w:rFonts w:ascii="仿宋_GB2312" w:hAnsi="宋体" w:eastAsia="仿宋_GB2312"/>
          <w:color w:val="auto"/>
          <w:sz w:val="24"/>
        </w:rPr>
      </w:pPr>
      <w:r>
        <w:rPr>
          <w:rFonts w:hint="eastAsia" w:ascii="仿宋_GB2312" w:hAnsi="宋体" w:eastAsia="仿宋_GB2312"/>
          <w:color w:val="auto"/>
          <w:sz w:val="24"/>
        </w:rPr>
        <w:t>成立时间：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14:paraId="785F1A96">
      <w:pPr>
        <w:spacing w:line="480" w:lineRule="auto"/>
        <w:rPr>
          <w:rFonts w:hint="eastAsia" w:ascii="仿宋_GB2312" w:hAnsi="宋体" w:eastAsia="仿宋_GB2312"/>
          <w:color w:val="auto"/>
          <w:sz w:val="24"/>
          <w:lang w:eastAsia="zh-CN"/>
        </w:rPr>
      </w:pPr>
      <w:r>
        <w:rPr>
          <w:rFonts w:hint="eastAsia" w:ascii="仿宋_GB2312" w:hAnsi="宋体" w:eastAsia="仿宋_GB2312"/>
          <w:color w:val="auto"/>
          <w:sz w:val="24"/>
        </w:rPr>
        <w:t>经营期限：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5C27F9CC">
      <w:pPr>
        <w:spacing w:line="480" w:lineRule="auto"/>
        <w:rPr>
          <w:rFonts w:ascii="仿宋_GB2312" w:hAnsi="宋体" w:eastAsia="仿宋_GB2312"/>
          <w:color w:val="auto"/>
          <w:sz w:val="24"/>
        </w:rPr>
      </w:pPr>
      <w:r>
        <w:rPr>
          <w:rFonts w:hint="eastAsia" w:ascii="仿宋_GB2312" w:hAnsi="宋体" w:eastAsia="仿宋_GB2312"/>
          <w:color w:val="auto"/>
          <w:sz w:val="24"/>
        </w:rPr>
        <w:t>姓名：</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性别：</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年龄：</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职务：</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3EB0AB0A">
      <w:pPr>
        <w:spacing w:line="480" w:lineRule="auto"/>
        <w:rPr>
          <w:rFonts w:ascii="仿宋_GB2312" w:hAnsi="宋体" w:eastAsia="仿宋_GB2312"/>
          <w:color w:val="auto"/>
          <w:sz w:val="24"/>
        </w:rPr>
      </w:pPr>
      <w:r>
        <w:rPr>
          <w:rFonts w:hint="eastAsia" w:ascii="仿宋_GB2312" w:hAnsi="宋体" w:eastAsia="仿宋_GB2312"/>
          <w:color w:val="auto"/>
          <w:sz w:val="24"/>
        </w:rPr>
        <w:t>系</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（供应商名称）的法定代表人。</w:t>
      </w:r>
    </w:p>
    <w:p w14:paraId="6EC43107">
      <w:pPr>
        <w:spacing w:line="48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特此证明。</w:t>
      </w:r>
    </w:p>
    <w:p w14:paraId="080E57B0">
      <w:pPr>
        <w:spacing w:line="480" w:lineRule="auto"/>
        <w:rPr>
          <w:rFonts w:ascii="仿宋_GB2312" w:hAnsi="宋体" w:eastAsia="仿宋_GB2312"/>
          <w:color w:val="auto"/>
          <w:sz w:val="24"/>
        </w:rPr>
      </w:pPr>
    </w:p>
    <w:p w14:paraId="2F165092">
      <w:pPr>
        <w:spacing w:line="480" w:lineRule="auto"/>
        <w:rPr>
          <w:rFonts w:ascii="仿宋_GB2312" w:hAnsi="宋体" w:eastAsia="仿宋_GB2312"/>
          <w:color w:val="auto"/>
          <w:sz w:val="24"/>
        </w:rPr>
      </w:pPr>
    </w:p>
    <w:p w14:paraId="53CC5DD6">
      <w:pPr>
        <w:spacing w:line="480" w:lineRule="auto"/>
        <w:rPr>
          <w:rFonts w:ascii="仿宋_GB2312" w:hAnsi="宋体" w:eastAsia="仿宋_GB2312"/>
          <w:color w:val="auto"/>
          <w:sz w:val="24"/>
        </w:rPr>
      </w:pPr>
      <w:r>
        <w:rPr>
          <w:rFonts w:hint="eastAsia" w:ascii="仿宋_GB2312" w:hAnsi="宋体" w:eastAsia="仿宋_GB2312"/>
          <w:color w:val="auto"/>
          <w:sz w:val="24"/>
        </w:rPr>
        <w:t xml:space="preserve">                                  供应商：</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（盖单位章）</w:t>
      </w:r>
    </w:p>
    <w:p w14:paraId="23BA8878">
      <w:pPr>
        <w:spacing w:line="480" w:lineRule="auto"/>
        <w:rPr>
          <w:rFonts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日           </w:t>
      </w:r>
    </w:p>
    <w:p w14:paraId="63722160">
      <w:pPr>
        <w:spacing w:line="480" w:lineRule="auto"/>
        <w:rPr>
          <w:rFonts w:ascii="仿宋_GB2312" w:hAnsi="宋体" w:eastAsia="仿宋_GB2312"/>
          <w:color w:val="auto"/>
          <w:sz w:val="24"/>
        </w:rPr>
      </w:pPr>
    </w:p>
    <w:p w14:paraId="53D5740A">
      <w:pPr>
        <w:spacing w:line="440" w:lineRule="exact"/>
        <w:rPr>
          <w:rFonts w:ascii="仿宋_GB2312" w:hAnsi="宋体" w:eastAsia="仿宋_GB2312"/>
          <w:color w:val="auto"/>
          <w:szCs w:val="21"/>
        </w:rPr>
      </w:pPr>
    </w:p>
    <w:p w14:paraId="1C3270CC">
      <w:pPr>
        <w:spacing w:line="440" w:lineRule="exact"/>
        <w:rPr>
          <w:rFonts w:ascii="仿宋_GB2312" w:hAnsi="宋体" w:eastAsia="仿宋_GB2312"/>
          <w:color w:val="auto"/>
          <w:szCs w:val="21"/>
        </w:rPr>
      </w:pPr>
    </w:p>
    <w:p w14:paraId="7BCA02D3">
      <w:pPr>
        <w:spacing w:line="440" w:lineRule="exact"/>
        <w:rPr>
          <w:rFonts w:ascii="仿宋_GB2312" w:hAnsi="宋体" w:eastAsia="仿宋_GB2312"/>
          <w:color w:val="auto"/>
          <w:szCs w:val="21"/>
        </w:rPr>
      </w:pPr>
    </w:p>
    <w:p w14:paraId="5D879B0C">
      <w:pPr>
        <w:spacing w:line="440" w:lineRule="exact"/>
        <w:rPr>
          <w:rFonts w:ascii="仿宋_GB2312" w:hAnsi="宋体" w:eastAsia="仿宋_GB2312"/>
          <w:color w:val="auto"/>
          <w:szCs w:val="21"/>
        </w:rPr>
      </w:pPr>
    </w:p>
    <w:p w14:paraId="4C9B0029">
      <w:pPr>
        <w:spacing w:line="440" w:lineRule="exact"/>
        <w:rPr>
          <w:rFonts w:ascii="仿宋_GB2312" w:hAnsi="宋体" w:eastAsia="仿宋_GB2312"/>
          <w:color w:val="auto"/>
          <w:szCs w:val="21"/>
        </w:rPr>
      </w:pPr>
    </w:p>
    <w:p w14:paraId="23CE05F8">
      <w:pPr>
        <w:spacing w:line="440" w:lineRule="exact"/>
        <w:rPr>
          <w:rFonts w:ascii="仿宋_GB2312" w:hAnsi="宋体" w:eastAsia="仿宋_GB2312"/>
          <w:b/>
          <w:color w:val="auto"/>
          <w:sz w:val="28"/>
          <w:szCs w:val="28"/>
        </w:rPr>
      </w:pPr>
    </w:p>
    <w:p w14:paraId="34F0BAAF">
      <w:pPr>
        <w:rPr>
          <w:rFonts w:hint="eastAsia" w:ascii="仿宋_GB2312" w:hAnsi="宋体" w:eastAsia="仿宋_GB2312"/>
          <w:b/>
          <w:color w:val="auto"/>
          <w:sz w:val="28"/>
          <w:szCs w:val="28"/>
        </w:rPr>
      </w:pPr>
      <w:r>
        <w:rPr>
          <w:rFonts w:hint="eastAsia" w:eastAsia="黑体"/>
          <w:b/>
          <w:bCs/>
          <w:color w:val="auto"/>
          <w:sz w:val="28"/>
        </w:rPr>
        <w:t>格式</w:t>
      </w:r>
      <w:r>
        <w:rPr>
          <w:rFonts w:hint="eastAsia" w:eastAsia="黑体"/>
          <w:b/>
          <w:bCs/>
          <w:color w:val="auto"/>
          <w:sz w:val="28"/>
          <w:lang w:val="en-US" w:eastAsia="zh-CN"/>
        </w:rPr>
        <w:t>3</w:t>
      </w:r>
    </w:p>
    <w:p w14:paraId="3B77C6CB">
      <w:pPr>
        <w:pStyle w:val="3"/>
        <w:bidi w:val="0"/>
        <w:jc w:val="center"/>
        <w:rPr>
          <w:rFonts w:ascii="仿宋_GB2312" w:hAnsi="宋体" w:eastAsia="仿宋_GB2312"/>
          <w:color w:val="auto"/>
          <w:sz w:val="24"/>
        </w:rPr>
      </w:pPr>
      <w:bookmarkStart w:id="14" w:name="_Toc2305"/>
      <w:bookmarkStart w:id="15" w:name="_Toc19010"/>
      <w:r>
        <w:rPr>
          <w:rFonts w:hint="eastAsia" w:ascii="华文仿宋" w:hAnsi="华文仿宋" w:eastAsia="华文仿宋" w:cs="华文仿宋"/>
          <w:color w:val="auto"/>
          <w:sz w:val="44"/>
          <w:szCs w:val="44"/>
          <w:lang w:val="zh-CN" w:eastAsia="zh-CN"/>
        </w:rPr>
        <w:t>三、授权委托书</w:t>
      </w:r>
      <w:bookmarkEnd w:id="14"/>
      <w:bookmarkEnd w:id="15"/>
    </w:p>
    <w:p w14:paraId="1A7DBE15">
      <w:pPr>
        <w:spacing w:line="440" w:lineRule="exact"/>
        <w:rPr>
          <w:rFonts w:ascii="仿宋_GB2312" w:hAnsi="宋体" w:eastAsia="仿宋_GB2312"/>
          <w:color w:val="auto"/>
          <w:sz w:val="24"/>
        </w:rPr>
      </w:pPr>
    </w:p>
    <w:p w14:paraId="5DD01B4A">
      <w:pPr>
        <w:topLinePunct/>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本人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（姓名）系</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（供应商名称）的法定代表人，现委托</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（姓名）为我方代理人。代理人根据授权，以我方名义签署、澄清、说明、补正、递交、撤回、修改</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（项目名称）响应文件、签订合同和处理有关事宜，其法律后果由我方承担。</w:t>
      </w:r>
    </w:p>
    <w:p w14:paraId="57523C4D">
      <w:pPr>
        <w:spacing w:line="440" w:lineRule="exact"/>
        <w:rPr>
          <w:rFonts w:ascii="仿宋_GB2312" w:hAnsi="宋体" w:eastAsia="仿宋_GB2312"/>
          <w:color w:val="auto"/>
          <w:sz w:val="24"/>
        </w:rPr>
      </w:pPr>
      <w:r>
        <w:rPr>
          <w:rFonts w:hint="eastAsia" w:ascii="仿宋_GB2312" w:hAnsi="宋体" w:eastAsia="仿宋_GB2312"/>
          <w:color w:val="auto"/>
          <w:sz w:val="24"/>
        </w:rPr>
        <w:t xml:space="preserve">    委托期限：</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08F60694">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代理人无转委托权。</w:t>
      </w:r>
    </w:p>
    <w:p w14:paraId="6DA623B9">
      <w:pPr>
        <w:spacing w:line="44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附：法定代表人身份证明及授权代表身份证明。</w:t>
      </w:r>
    </w:p>
    <w:tbl>
      <w:tblPr>
        <w:tblStyle w:val="16"/>
        <w:tblW w:w="9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9"/>
        <w:gridCol w:w="4589"/>
      </w:tblGrid>
      <w:tr w14:paraId="265F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2" w:hRule="atLeast"/>
          <w:jc w:val="center"/>
        </w:trPr>
        <w:tc>
          <w:tcPr>
            <w:tcW w:w="4589" w:type="dxa"/>
          </w:tcPr>
          <w:p w14:paraId="1D371188">
            <w:pPr>
              <w:keepNext w:val="0"/>
              <w:keepLines w:val="0"/>
              <w:suppressLineNumbers w:val="0"/>
              <w:autoSpaceDE w:val="0"/>
              <w:autoSpaceDN w:val="0"/>
              <w:adjustRightInd w:val="0"/>
              <w:spacing w:before="0" w:beforeAutospacing="0" w:after="0" w:afterAutospacing="0"/>
              <w:ind w:left="0" w:right="1920"/>
              <w:rPr>
                <w:rFonts w:hint="eastAsia" w:eastAsiaTheme="minorEastAsia"/>
                <w:color w:val="auto"/>
                <w:lang w:eastAsia="zh-CN"/>
              </w:rPr>
            </w:pPr>
            <w:r>
              <w:rPr>
                <w:rFonts w:hint="eastAsia"/>
                <w:color w:val="auto"/>
              </w:rPr>
              <w:t>法定代表人身份证复印件（正反面）</w:t>
            </w:r>
          </w:p>
          <w:p w14:paraId="1C9A2BD1">
            <w:pPr>
              <w:keepNext w:val="0"/>
              <w:keepLines w:val="0"/>
              <w:suppressLineNumbers w:val="0"/>
              <w:spacing w:before="0" w:beforeAutospacing="0" w:after="0" w:afterAutospacing="0"/>
              <w:ind w:left="0" w:right="0"/>
              <w:jc w:val="center"/>
              <w:rPr>
                <w:rFonts w:hint="default"/>
                <w:color w:val="auto"/>
              </w:rPr>
            </w:pPr>
          </w:p>
        </w:tc>
        <w:tc>
          <w:tcPr>
            <w:tcW w:w="4589" w:type="dxa"/>
          </w:tcPr>
          <w:p w14:paraId="1838C6AD">
            <w:pPr>
              <w:keepNext w:val="0"/>
              <w:keepLines w:val="0"/>
              <w:suppressLineNumbers w:val="0"/>
              <w:autoSpaceDE w:val="0"/>
              <w:autoSpaceDN w:val="0"/>
              <w:adjustRightInd w:val="0"/>
              <w:spacing w:before="0" w:beforeAutospacing="0" w:after="0" w:afterAutospacing="0"/>
              <w:ind w:left="0" w:right="1920"/>
              <w:rPr>
                <w:rFonts w:hint="eastAsia"/>
                <w:color w:val="auto"/>
              </w:rPr>
            </w:pPr>
            <w:r>
              <w:rPr>
                <w:rFonts w:hint="eastAsia"/>
                <w:color w:val="auto"/>
              </w:rPr>
              <w:t>授权委托人身份证复印件（正反面）</w:t>
            </w:r>
          </w:p>
          <w:p w14:paraId="59F42AA4">
            <w:pPr>
              <w:pStyle w:val="28"/>
              <w:keepNext w:val="0"/>
              <w:keepLines w:val="0"/>
              <w:suppressLineNumbers w:val="0"/>
              <w:spacing w:before="0" w:beforeAutospacing="0" w:after="0" w:afterAutospacing="0"/>
              <w:ind w:left="0" w:leftChars="0" w:right="0" w:firstLine="0" w:firstLineChars="0"/>
              <w:rPr>
                <w:rFonts w:hint="default"/>
                <w:color w:val="auto"/>
              </w:rPr>
            </w:pPr>
          </w:p>
          <w:p w14:paraId="732020D2">
            <w:pPr>
              <w:pStyle w:val="2"/>
              <w:keepNext w:val="0"/>
              <w:keepLines w:val="0"/>
              <w:suppressLineNumbers w:val="0"/>
              <w:spacing w:before="0" w:beforeAutospacing="0" w:after="0" w:afterAutospacing="0"/>
              <w:ind w:left="0" w:right="0"/>
              <w:rPr>
                <w:color w:val="auto"/>
                <w:szCs w:val="20"/>
              </w:rPr>
            </w:pPr>
          </w:p>
          <w:p w14:paraId="2F604DF3">
            <w:pPr>
              <w:pStyle w:val="2"/>
              <w:keepNext w:val="0"/>
              <w:keepLines w:val="0"/>
              <w:suppressLineNumbers w:val="0"/>
              <w:spacing w:before="0" w:beforeAutospacing="0" w:after="0" w:afterAutospacing="0"/>
              <w:ind w:left="0" w:right="0"/>
              <w:rPr>
                <w:color w:val="auto"/>
                <w:szCs w:val="20"/>
              </w:rPr>
            </w:pPr>
          </w:p>
        </w:tc>
      </w:tr>
    </w:tbl>
    <w:p w14:paraId="2D1304FA">
      <w:pPr>
        <w:spacing w:line="440" w:lineRule="exact"/>
        <w:rPr>
          <w:rFonts w:ascii="仿宋_GB2312" w:hAnsi="宋体" w:eastAsia="仿宋_GB2312"/>
          <w:color w:val="auto"/>
          <w:sz w:val="24"/>
        </w:rPr>
      </w:pPr>
    </w:p>
    <w:p w14:paraId="1AD4F91C">
      <w:pPr>
        <w:spacing w:line="440" w:lineRule="exact"/>
        <w:jc w:val="right"/>
        <w:rPr>
          <w:rFonts w:hint="eastAsia" w:ascii="仿宋_GB2312" w:hAnsi="宋体" w:eastAsia="仿宋_GB2312"/>
          <w:color w:val="auto"/>
          <w:sz w:val="24"/>
        </w:rPr>
      </w:pP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14:paraId="439EC36A">
      <w:pPr>
        <w:pStyle w:val="28"/>
        <w:rPr>
          <w:rFonts w:hint="eastAsia" w:ascii="仿宋_GB2312" w:hAnsi="宋体" w:eastAsia="仿宋_GB2312"/>
          <w:color w:val="auto"/>
          <w:sz w:val="24"/>
        </w:rPr>
      </w:pPr>
    </w:p>
    <w:p w14:paraId="44B6909B">
      <w:pPr>
        <w:rPr>
          <w:rFonts w:hint="eastAsia" w:eastAsia="黑体"/>
          <w:b/>
          <w:bCs/>
          <w:color w:val="auto"/>
          <w:sz w:val="28"/>
          <w:lang w:val="en-US" w:eastAsia="zh-CN"/>
        </w:rPr>
      </w:pPr>
      <w:r>
        <w:rPr>
          <w:rFonts w:hint="eastAsia" w:eastAsia="黑体"/>
          <w:b/>
          <w:bCs/>
          <w:color w:val="auto"/>
          <w:sz w:val="28"/>
        </w:rPr>
        <w:t>格式</w:t>
      </w:r>
      <w:r>
        <w:rPr>
          <w:rFonts w:hint="eastAsia" w:eastAsia="黑体"/>
          <w:b/>
          <w:bCs/>
          <w:color w:val="auto"/>
          <w:sz w:val="28"/>
          <w:lang w:val="en-US" w:eastAsia="zh-CN"/>
        </w:rPr>
        <w:t>4</w:t>
      </w:r>
      <w:bookmarkStart w:id="16" w:name="_Toc17848"/>
    </w:p>
    <w:p w14:paraId="01E2DE9D">
      <w:pPr>
        <w:jc w:val="center"/>
        <w:rPr>
          <w:rFonts w:ascii="仿宋_GB2312" w:hAnsi="Arial" w:eastAsia="仿宋_GB2312"/>
          <w:color w:val="auto"/>
          <w:sz w:val="28"/>
          <w:szCs w:val="28"/>
          <w:lang w:val="zh-CN"/>
        </w:rPr>
      </w:pPr>
      <w:bookmarkStart w:id="17" w:name="_Toc26402"/>
      <w:r>
        <w:rPr>
          <w:rStyle w:val="31"/>
          <w:rFonts w:hint="eastAsia" w:ascii="华文仿宋" w:hAnsi="华文仿宋" w:eastAsia="华文仿宋" w:cs="华文仿宋"/>
          <w:color w:val="auto"/>
          <w:sz w:val="44"/>
          <w:szCs w:val="44"/>
          <w:lang w:val="zh-CN" w:eastAsia="zh-CN"/>
        </w:rPr>
        <w:t>四、诚信承诺书</w:t>
      </w:r>
      <w:bookmarkEnd w:id="16"/>
      <w:bookmarkEnd w:id="17"/>
    </w:p>
    <w:p w14:paraId="2977A3C2">
      <w:pPr>
        <w:autoSpaceDE w:val="0"/>
        <w:autoSpaceDN w:val="0"/>
        <w:spacing w:line="360" w:lineRule="auto"/>
        <w:jc w:val="center"/>
        <w:outlineLvl w:val="9"/>
        <w:rPr>
          <w:rFonts w:ascii="仿宋_GB2312" w:hAnsi="Arial" w:eastAsia="仿宋_GB2312"/>
          <w:color w:val="auto"/>
          <w:sz w:val="28"/>
          <w:szCs w:val="28"/>
          <w:lang w:val="zh-CN"/>
        </w:rPr>
      </w:pPr>
    </w:p>
    <w:p w14:paraId="1DF59F86">
      <w:pPr>
        <w:autoSpaceDE w:val="0"/>
        <w:autoSpaceDN w:val="0"/>
        <w:spacing w:line="360" w:lineRule="auto"/>
        <w:rPr>
          <w:rFonts w:ascii="仿宋_GB2312" w:hAnsi="仿宋" w:eastAsia="仿宋_GB2312"/>
          <w:color w:val="auto"/>
          <w:sz w:val="24"/>
          <w:lang w:val="zh-CN"/>
        </w:rPr>
      </w:pPr>
      <w:r>
        <w:rPr>
          <w:rFonts w:hint="eastAsia" w:ascii="仿宋_GB2312" w:hAnsi="仿宋" w:eastAsia="仿宋_GB2312"/>
          <w:color w:val="auto"/>
          <w:sz w:val="24"/>
          <w:u w:val="single"/>
          <w:lang w:val="zh-CN"/>
        </w:rPr>
        <w:t xml:space="preserve">中国重汽集团泰安五岳专用汽车有限公司 </w:t>
      </w:r>
      <w:r>
        <w:rPr>
          <w:rFonts w:hint="eastAsia" w:ascii="仿宋_GB2312" w:hAnsi="仿宋" w:eastAsia="仿宋_GB2312"/>
          <w:color w:val="auto"/>
          <w:sz w:val="24"/>
          <w:lang w:val="zh-CN"/>
        </w:rPr>
        <w:t>：</w:t>
      </w:r>
    </w:p>
    <w:p w14:paraId="4169ED8B">
      <w:pPr>
        <w:autoSpaceDE w:val="0"/>
        <w:autoSpaceDN w:val="0"/>
        <w:spacing w:line="360" w:lineRule="auto"/>
        <w:ind w:firstLine="480"/>
        <w:rPr>
          <w:rFonts w:ascii="仿宋_GB2312" w:hAnsi="仿宋" w:eastAsia="仿宋_GB2312"/>
          <w:color w:val="auto"/>
          <w:sz w:val="24"/>
          <w:lang w:val="zh-CN"/>
        </w:rPr>
      </w:pPr>
      <w:r>
        <w:rPr>
          <w:rFonts w:hint="eastAsia" w:ascii="仿宋_GB2312" w:hAnsi="仿宋" w:eastAsia="仿宋_GB2312"/>
          <w:color w:val="auto"/>
          <w:sz w:val="24"/>
          <w:lang w:val="zh-CN"/>
        </w:rPr>
        <w:t>我公司</w:t>
      </w:r>
      <w:r>
        <w:rPr>
          <w:rFonts w:hint="eastAsia" w:ascii="仿宋_GB2312" w:hAnsi="仿宋" w:eastAsia="仿宋_GB2312"/>
          <w:color w:val="auto"/>
          <w:sz w:val="24"/>
          <w:u w:val="single"/>
          <w:lang w:val="zh-CN"/>
        </w:rPr>
        <w:t xml:space="preserve"> </w:t>
      </w:r>
      <w:r>
        <w:rPr>
          <w:rFonts w:hint="eastAsia" w:ascii="仿宋_GB2312" w:hAnsi="宋体" w:eastAsia="仿宋_GB2312"/>
          <w:color w:val="auto"/>
          <w:sz w:val="24"/>
          <w:u w:val="single"/>
          <w:lang w:val="en-US" w:eastAsia="zh-CN"/>
        </w:rPr>
        <w:t xml:space="preserve">                   </w:t>
      </w:r>
      <w:r>
        <w:rPr>
          <w:rFonts w:hint="eastAsia" w:ascii="仿宋_GB2312" w:hAnsi="仿宋" w:eastAsia="仿宋_GB2312"/>
          <w:color w:val="auto"/>
          <w:sz w:val="24"/>
          <w:lang w:val="zh-CN"/>
        </w:rPr>
        <w:t>（供应商名称）已详细阅读了</w:t>
      </w:r>
      <w:r>
        <w:rPr>
          <w:rFonts w:hint="eastAsia" w:ascii="仿宋_GB2312" w:hAnsi="仿宋" w:eastAsia="仿宋_GB2312"/>
          <w:color w:val="auto"/>
          <w:sz w:val="24"/>
          <w:u w:val="single"/>
          <w:lang w:val="zh-CN"/>
        </w:rPr>
        <w:t xml:space="preserve"> </w:t>
      </w:r>
      <w:r>
        <w:rPr>
          <w:rFonts w:hint="eastAsia" w:ascii="仿宋_GB2312" w:hAnsi="仿宋" w:eastAsia="仿宋_GB2312"/>
          <w:color w:val="auto"/>
          <w:sz w:val="24"/>
          <w:u w:val="single"/>
          <w:lang w:val="en-US" w:eastAsia="zh-CN"/>
        </w:rPr>
        <w:t xml:space="preserve">                </w:t>
      </w:r>
      <w:r>
        <w:rPr>
          <w:rFonts w:hint="eastAsia" w:ascii="仿宋_GB2312" w:hAnsi="仿宋" w:eastAsia="仿宋_GB2312"/>
          <w:color w:val="auto"/>
          <w:sz w:val="24"/>
          <w:u w:val="single"/>
          <w:lang w:val="zh-CN"/>
        </w:rPr>
        <w:t xml:space="preserve"> </w:t>
      </w:r>
      <w:r>
        <w:rPr>
          <w:rFonts w:hint="eastAsia" w:ascii="仿宋_GB2312" w:hAnsi="仿宋" w:eastAsia="仿宋_GB2312"/>
          <w:color w:val="auto"/>
          <w:sz w:val="24"/>
          <w:lang w:val="zh-CN"/>
        </w:rPr>
        <w:t>谈判文件，自愿参加本次</w:t>
      </w:r>
      <w:r>
        <w:rPr>
          <w:rFonts w:hint="eastAsia" w:ascii="仿宋_GB2312" w:hAnsi="仿宋" w:eastAsia="仿宋_GB2312"/>
          <w:color w:val="auto"/>
          <w:sz w:val="24"/>
        </w:rPr>
        <w:t>招标</w:t>
      </w:r>
      <w:r>
        <w:rPr>
          <w:rFonts w:hint="eastAsia" w:ascii="仿宋_GB2312" w:hAnsi="仿宋" w:eastAsia="仿宋_GB2312"/>
          <w:color w:val="auto"/>
          <w:sz w:val="24"/>
          <w:lang w:val="zh-CN"/>
        </w:rPr>
        <w:t>，现就有关事项郑重承诺如下：</w:t>
      </w:r>
    </w:p>
    <w:p w14:paraId="12F0F236">
      <w:pPr>
        <w:spacing w:line="440" w:lineRule="exact"/>
        <w:ind w:firstLine="480" w:firstLineChars="200"/>
        <w:rPr>
          <w:rFonts w:ascii="仿宋_GB2312" w:hAnsi="仿宋" w:eastAsia="仿宋_GB2312"/>
          <w:color w:val="auto"/>
          <w:sz w:val="24"/>
          <w:lang w:val="zh-CN"/>
        </w:rPr>
      </w:pPr>
      <w:r>
        <w:rPr>
          <w:rFonts w:hint="eastAsia" w:ascii="仿宋_GB2312" w:hAnsi="仿宋" w:eastAsia="仿宋_GB2312"/>
          <w:color w:val="auto"/>
          <w:sz w:val="24"/>
          <w:lang w:val="zh-CN"/>
        </w:rPr>
        <w:t>一、诚信投标，材料真实。我公司保证所提供的全部材料、投标内容均真实、合法、有效，保证不出借或者借用其他企业资质，不以他人名义投标，不弄虚作假；未列入失信被执行人、重大税收违法案件当事人名单、政府采购严重违法失信行为记录名单及其他不符合《中华人民共和国政府采购法》规定条件。</w:t>
      </w:r>
    </w:p>
    <w:p w14:paraId="7354F623">
      <w:pPr>
        <w:spacing w:line="440" w:lineRule="exact"/>
        <w:ind w:firstLine="480" w:firstLineChars="200"/>
        <w:rPr>
          <w:rFonts w:ascii="仿宋_GB2312" w:hAnsi="仿宋" w:eastAsia="仿宋_GB2312"/>
          <w:color w:val="auto"/>
          <w:sz w:val="24"/>
          <w:lang w:val="zh-CN"/>
        </w:rPr>
      </w:pPr>
      <w:r>
        <w:rPr>
          <w:rFonts w:hint="eastAsia" w:ascii="仿宋_GB2312" w:hAnsi="仿宋" w:eastAsia="仿宋_GB2312"/>
          <w:color w:val="auto"/>
          <w:sz w:val="24"/>
          <w:lang w:val="zh-CN"/>
        </w:rPr>
        <w:t>二、遵纪守法，公平竞争。不与其他投标人相互串通、哄抬价格，不排挤其他投标人，不损害招标人的合法权益；不向招标人、招标代理机构、评标委员会成员等及其他参与招标活动的人员行贿或采用其他不正当手段谋取中标。</w:t>
      </w:r>
    </w:p>
    <w:p w14:paraId="3039DBC9">
      <w:pPr>
        <w:spacing w:line="440" w:lineRule="exact"/>
        <w:ind w:firstLine="480" w:firstLineChars="200"/>
        <w:rPr>
          <w:rFonts w:ascii="仿宋_GB2312" w:hAnsi="仿宋" w:eastAsia="仿宋_GB2312"/>
          <w:color w:val="auto"/>
          <w:sz w:val="24"/>
          <w:lang w:val="zh-CN"/>
        </w:rPr>
      </w:pPr>
      <w:r>
        <w:rPr>
          <w:rFonts w:hint="eastAsia" w:ascii="仿宋_GB2312" w:hAnsi="仿宋" w:eastAsia="仿宋_GB2312"/>
          <w:color w:val="auto"/>
          <w:sz w:val="24"/>
          <w:lang w:val="zh-CN"/>
        </w:rPr>
        <w:t>三、不捏造事实或借用他人名义进行虚假、恶意质疑和投诉，不以质疑或投诉为名排挤竞争对手，干扰采购秩序。</w:t>
      </w:r>
    </w:p>
    <w:p w14:paraId="3F949A39">
      <w:pPr>
        <w:spacing w:line="440" w:lineRule="exact"/>
        <w:ind w:firstLine="480" w:firstLineChars="200"/>
        <w:rPr>
          <w:rFonts w:ascii="仿宋_GB2312" w:hAnsi="仿宋" w:eastAsia="仿宋_GB2312"/>
          <w:color w:val="auto"/>
          <w:sz w:val="24"/>
          <w:lang w:val="zh-CN"/>
        </w:rPr>
      </w:pPr>
      <w:r>
        <w:rPr>
          <w:rFonts w:hint="eastAsia" w:ascii="仿宋_GB2312" w:hAnsi="仿宋" w:eastAsia="仿宋_GB2312"/>
          <w:color w:val="auto"/>
          <w:sz w:val="24"/>
          <w:lang w:val="zh-CN"/>
        </w:rPr>
        <w:t>四、若中标后，将按照规定及时与招标人签订采购合同，不与招标人订立有悖于招标结果的合同或协议；严格履行采购合同，不降低合同约定的产品质量及相关服务，不擅自变更、中止、终止合同，或者拒绝履行合同义务。</w:t>
      </w:r>
    </w:p>
    <w:p w14:paraId="44A25985">
      <w:pPr>
        <w:spacing w:line="440" w:lineRule="exact"/>
        <w:ind w:firstLine="480" w:firstLineChars="200"/>
        <w:rPr>
          <w:rFonts w:ascii="仿宋_GB2312" w:hAnsi="仿宋" w:eastAsia="仿宋_GB2312"/>
          <w:color w:val="auto"/>
          <w:sz w:val="24"/>
          <w:lang w:val="zh-CN"/>
        </w:rPr>
      </w:pPr>
      <w:r>
        <w:rPr>
          <w:rFonts w:hint="eastAsia" w:ascii="仿宋_GB2312" w:hAnsi="仿宋" w:eastAsia="仿宋_GB2312"/>
          <w:color w:val="auto"/>
          <w:sz w:val="24"/>
          <w:lang w:val="zh-CN"/>
        </w:rPr>
        <w:t>若有违反以上承诺内容的行为，我公司自愿接受取消投标资格、记入信用档案、媒体通报、1～3年内禁止参与</w:t>
      </w:r>
      <w:r>
        <w:rPr>
          <w:rFonts w:hint="eastAsia" w:ascii="仿宋_GB2312" w:hAnsi="仿宋" w:eastAsia="仿宋_GB2312"/>
          <w:color w:val="auto"/>
          <w:sz w:val="24"/>
        </w:rPr>
        <w:t>重汽五岳</w:t>
      </w:r>
      <w:r>
        <w:rPr>
          <w:rFonts w:hint="eastAsia" w:ascii="仿宋_GB2312" w:hAnsi="仿宋" w:eastAsia="仿宋_GB2312"/>
          <w:color w:val="auto"/>
          <w:sz w:val="24"/>
          <w:lang w:val="zh-CN"/>
        </w:rPr>
        <w:t>采购活动等处罚；如已中标的，自动放弃中标资格，并承担全部法律责任；给招标人造成损失的，依法承担赔偿责任。</w:t>
      </w:r>
    </w:p>
    <w:p w14:paraId="7C2BCAE1">
      <w:pPr>
        <w:spacing w:line="440" w:lineRule="exact"/>
        <w:ind w:firstLine="480" w:firstLineChars="200"/>
        <w:rPr>
          <w:rFonts w:ascii="仿宋_GB2312" w:hAnsi="仿宋" w:eastAsia="仿宋_GB2312"/>
          <w:color w:val="auto"/>
          <w:sz w:val="24"/>
          <w:lang w:val="zh-CN"/>
        </w:rPr>
      </w:pPr>
    </w:p>
    <w:p w14:paraId="02484925">
      <w:pPr>
        <w:spacing w:line="440" w:lineRule="exact"/>
        <w:ind w:firstLine="420" w:firstLineChars="200"/>
        <w:rPr>
          <w:rFonts w:ascii="仿宋_GB2312" w:hAnsi="仿宋" w:eastAsia="仿宋_GB2312"/>
          <w:color w:val="auto"/>
        </w:rPr>
      </w:pPr>
    </w:p>
    <w:p w14:paraId="7E183100">
      <w:pPr>
        <w:autoSpaceDE w:val="0"/>
        <w:autoSpaceDN w:val="0"/>
        <w:spacing w:line="360" w:lineRule="auto"/>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供应商名称(公章)：</w:t>
      </w:r>
    </w:p>
    <w:p w14:paraId="7B755329">
      <w:pPr>
        <w:autoSpaceDE w:val="0"/>
        <w:autoSpaceDN w:val="0"/>
        <w:spacing w:line="360" w:lineRule="auto"/>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法定代表人（签字或盖章）：</w:t>
      </w:r>
    </w:p>
    <w:p w14:paraId="37E8CAE0">
      <w:pPr>
        <w:autoSpaceDE w:val="0"/>
        <w:autoSpaceDN w:val="0"/>
        <w:spacing w:line="360" w:lineRule="auto"/>
        <w:ind w:firstLine="720"/>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日期：</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年</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 xml:space="preserve">月 </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 xml:space="preserve"> 日</w:t>
      </w:r>
    </w:p>
    <w:p w14:paraId="05365827">
      <w:pPr>
        <w:autoSpaceDE w:val="0"/>
        <w:autoSpaceDN w:val="0"/>
        <w:spacing w:line="400" w:lineRule="exact"/>
        <w:jc w:val="center"/>
        <w:rPr>
          <w:rFonts w:ascii="仿宋_GB2312" w:hAnsi="Arial" w:eastAsia="仿宋_GB2312"/>
          <w:color w:val="auto"/>
          <w:sz w:val="28"/>
          <w:szCs w:val="28"/>
          <w:lang w:val="zh-CN"/>
        </w:rPr>
      </w:pPr>
    </w:p>
    <w:p w14:paraId="3269CFBC">
      <w:pPr>
        <w:autoSpaceDE w:val="0"/>
        <w:autoSpaceDN w:val="0"/>
        <w:spacing w:line="400" w:lineRule="exact"/>
        <w:rPr>
          <w:rFonts w:ascii="仿宋_GB2312" w:hAnsi="Arial" w:eastAsia="仿宋_GB2312"/>
          <w:color w:val="auto"/>
          <w:sz w:val="28"/>
          <w:szCs w:val="28"/>
          <w:lang w:val="zh-CN"/>
        </w:rPr>
      </w:pPr>
    </w:p>
    <w:p w14:paraId="05A85558">
      <w:pPr>
        <w:autoSpaceDE w:val="0"/>
        <w:autoSpaceDN w:val="0"/>
        <w:spacing w:line="400" w:lineRule="exact"/>
        <w:jc w:val="center"/>
        <w:rPr>
          <w:rFonts w:ascii="仿宋_GB2312" w:hAnsi="Arial" w:eastAsia="仿宋_GB2312"/>
          <w:color w:val="auto"/>
          <w:sz w:val="28"/>
          <w:szCs w:val="28"/>
          <w:lang w:val="zh-CN"/>
        </w:rPr>
      </w:pPr>
    </w:p>
    <w:p w14:paraId="0D1D88A1">
      <w:pPr>
        <w:rPr>
          <w:rFonts w:ascii="黑体" w:eastAsia="黑体"/>
          <w:color w:val="auto"/>
          <w:sz w:val="30"/>
        </w:rPr>
      </w:pPr>
      <w:r>
        <w:rPr>
          <w:rFonts w:hint="eastAsia" w:eastAsia="黑体"/>
          <w:b/>
          <w:bCs/>
          <w:color w:val="auto"/>
          <w:sz w:val="28"/>
        </w:rPr>
        <w:t>格式</w:t>
      </w:r>
      <w:r>
        <w:rPr>
          <w:rFonts w:hint="eastAsia" w:eastAsia="黑体"/>
          <w:b/>
          <w:bCs/>
          <w:color w:val="auto"/>
          <w:sz w:val="28"/>
          <w:lang w:val="en-US" w:eastAsia="zh-CN"/>
        </w:rPr>
        <w:t>5</w:t>
      </w:r>
    </w:p>
    <w:p w14:paraId="54E08935">
      <w:pPr>
        <w:keepNext w:val="0"/>
        <w:keepLines w:val="0"/>
        <w:pageBreakBefore w:val="0"/>
        <w:widowControl w:val="0"/>
        <w:kinsoku/>
        <w:wordWrap/>
        <w:overflowPunct/>
        <w:topLinePunct w:val="0"/>
        <w:autoSpaceDE w:val="0"/>
        <w:autoSpaceDN w:val="0"/>
        <w:bidi w:val="0"/>
        <w:adjustRightInd/>
        <w:snapToGrid/>
        <w:spacing w:before="321" w:beforeLines="100" w:line="360" w:lineRule="auto"/>
        <w:jc w:val="center"/>
        <w:textAlignment w:val="auto"/>
        <w:outlineLvl w:val="0"/>
        <w:rPr>
          <w:rFonts w:ascii="黑体" w:hAnsi="Arial" w:eastAsia="黑体"/>
          <w:color w:val="auto"/>
          <w:sz w:val="30"/>
          <w:szCs w:val="30"/>
          <w:lang w:val="zh-CN"/>
        </w:rPr>
      </w:pPr>
      <w:bookmarkStart w:id="18" w:name="_Toc27383"/>
      <w:bookmarkStart w:id="19" w:name="_Toc30536"/>
      <w:r>
        <w:rPr>
          <w:rStyle w:val="31"/>
          <w:rFonts w:hint="eastAsia" w:ascii="华文仿宋" w:hAnsi="华文仿宋" w:eastAsia="华文仿宋" w:cs="华文仿宋"/>
          <w:color w:val="auto"/>
          <w:sz w:val="44"/>
          <w:szCs w:val="44"/>
          <w:lang w:val="zh-CN" w:eastAsia="zh-CN"/>
        </w:rPr>
        <w:t>五、项目主要实施人员技术资格一览表</w:t>
      </w:r>
      <w:bookmarkEnd w:id="18"/>
      <w:bookmarkEnd w:id="19"/>
    </w:p>
    <w:p w14:paraId="5CF39EA2">
      <w:pPr>
        <w:autoSpaceDE w:val="0"/>
        <w:autoSpaceDN w:val="0"/>
        <w:spacing w:after="240"/>
        <w:ind w:firstLine="120" w:firstLineChars="50"/>
        <w:rPr>
          <w:rFonts w:ascii="仿宋_GB2312" w:hAnsi="仿宋" w:eastAsia="仿宋_GB2312"/>
          <w:color w:val="auto"/>
          <w:sz w:val="24"/>
          <w:szCs w:val="20"/>
          <w:lang w:val="zh-CN"/>
        </w:rPr>
      </w:pPr>
    </w:p>
    <w:p w14:paraId="5BFD34E3">
      <w:pPr>
        <w:autoSpaceDE w:val="0"/>
        <w:autoSpaceDN w:val="0"/>
        <w:spacing w:after="240"/>
        <w:ind w:firstLine="120" w:firstLineChars="50"/>
        <w:rPr>
          <w:rFonts w:ascii="仿宋_GB2312" w:hAnsi="仿宋" w:eastAsia="仿宋_GB2312"/>
          <w:color w:val="auto"/>
          <w:sz w:val="24"/>
          <w:szCs w:val="20"/>
          <w:lang w:val="zh-CN"/>
        </w:rPr>
      </w:pPr>
      <w:r>
        <w:rPr>
          <w:rFonts w:ascii="仿宋_GB2312" w:hAnsi="仿宋" w:eastAsia="仿宋_GB2312"/>
          <w:color w:val="auto"/>
          <w:sz w:val="24"/>
          <w:szCs w:val="20"/>
          <w:lang w:val="zh-CN"/>
        </w:rPr>
        <w:t>项目名称：</w:t>
      </w:r>
      <w:r>
        <w:rPr>
          <w:rFonts w:ascii="仿宋_GB2312" w:hAnsi="仿宋" w:eastAsia="仿宋_GB2312"/>
          <w:color w:val="auto"/>
          <w:sz w:val="24"/>
          <w:szCs w:val="20"/>
          <w:u w:val="single"/>
          <w:lang w:val="zh-CN"/>
        </w:rPr>
        <w:t xml:space="preserve">  </w:t>
      </w:r>
      <w:r>
        <w:rPr>
          <w:rFonts w:hint="eastAsia" w:ascii="仿宋_GB2312" w:hAnsi="宋体" w:eastAsia="仿宋_GB2312"/>
          <w:color w:val="auto"/>
          <w:sz w:val="24"/>
          <w:u w:val="single"/>
          <w:lang w:val="en-US" w:eastAsia="zh-CN"/>
        </w:rPr>
        <w:t xml:space="preserve">                                   </w:t>
      </w:r>
      <w:r>
        <w:rPr>
          <w:rFonts w:ascii="仿宋_GB2312" w:hAnsi="仿宋" w:eastAsia="仿宋_GB2312"/>
          <w:color w:val="auto"/>
          <w:sz w:val="24"/>
          <w:szCs w:val="20"/>
          <w:u w:val="single"/>
          <w:lang w:val="zh-CN"/>
        </w:rPr>
        <w:t xml:space="preserve">   </w:t>
      </w:r>
      <w:r>
        <w:rPr>
          <w:rFonts w:ascii="仿宋_GB2312" w:hAnsi="仿宋" w:eastAsia="仿宋_GB2312"/>
          <w:color w:val="auto"/>
          <w:sz w:val="24"/>
          <w:szCs w:val="20"/>
          <w:lang w:val="zh-CN"/>
        </w:rPr>
        <w:t xml:space="preserve"> </w:t>
      </w:r>
    </w:p>
    <w:tbl>
      <w:tblPr>
        <w:tblStyle w:val="16"/>
        <w:tblW w:w="0" w:type="auto"/>
        <w:jc w:val="center"/>
        <w:tblLayout w:type="fixed"/>
        <w:tblCellMar>
          <w:top w:w="0" w:type="dxa"/>
          <w:left w:w="108" w:type="dxa"/>
          <w:bottom w:w="0" w:type="dxa"/>
          <w:right w:w="108" w:type="dxa"/>
        </w:tblCellMar>
      </w:tblPr>
      <w:tblGrid>
        <w:gridCol w:w="1304"/>
        <w:gridCol w:w="1769"/>
        <w:gridCol w:w="2520"/>
        <w:gridCol w:w="1626"/>
      </w:tblGrid>
      <w:tr w14:paraId="2F700170">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vAlign w:val="center"/>
          </w:tcPr>
          <w:p w14:paraId="5FC14BF6">
            <w:pPr>
              <w:keepNext w:val="0"/>
              <w:keepLines w:val="0"/>
              <w:suppressLineNumbers w:val="0"/>
              <w:autoSpaceDE w:val="0"/>
              <w:autoSpaceDN w:val="0"/>
              <w:adjustRightInd w:val="0"/>
              <w:snapToGrid w:val="0"/>
              <w:spacing w:before="0" w:beforeAutospacing="0" w:after="0" w:afterAutospacing="0"/>
              <w:ind w:left="0" w:right="0"/>
              <w:jc w:val="center"/>
              <w:rPr>
                <w:rFonts w:hint="default" w:ascii="仿宋_GB2312" w:hAnsi="仿宋" w:eastAsia="仿宋_GB2312"/>
                <w:color w:val="auto"/>
                <w:sz w:val="24"/>
                <w:szCs w:val="20"/>
                <w:lang w:val="zh-CN"/>
              </w:rPr>
            </w:pPr>
            <w:r>
              <w:rPr>
                <w:rFonts w:hint="default" w:ascii="仿宋_GB2312" w:hAnsi="仿宋" w:eastAsia="仿宋_GB2312"/>
                <w:color w:val="auto"/>
                <w:sz w:val="24"/>
                <w:szCs w:val="20"/>
                <w:lang w:val="zh-CN"/>
              </w:rPr>
              <w:t>姓  名</w:t>
            </w:r>
          </w:p>
        </w:tc>
        <w:tc>
          <w:tcPr>
            <w:tcW w:w="1769" w:type="dxa"/>
            <w:tcBorders>
              <w:top w:val="single" w:color="auto" w:sz="6" w:space="0"/>
              <w:left w:val="single" w:color="auto" w:sz="6" w:space="0"/>
              <w:bottom w:val="single" w:color="auto" w:sz="6" w:space="0"/>
              <w:right w:val="single" w:color="auto" w:sz="6" w:space="0"/>
            </w:tcBorders>
            <w:vAlign w:val="center"/>
          </w:tcPr>
          <w:p w14:paraId="29B19F6B">
            <w:pPr>
              <w:keepNext w:val="0"/>
              <w:keepLines w:val="0"/>
              <w:suppressLineNumbers w:val="0"/>
              <w:autoSpaceDE w:val="0"/>
              <w:autoSpaceDN w:val="0"/>
              <w:adjustRightInd w:val="0"/>
              <w:snapToGrid w:val="0"/>
              <w:spacing w:before="0" w:beforeAutospacing="0" w:after="0" w:afterAutospacing="0"/>
              <w:ind w:left="0" w:right="0"/>
              <w:jc w:val="center"/>
              <w:rPr>
                <w:rFonts w:hint="default" w:ascii="仿宋_GB2312" w:hAnsi="仿宋" w:eastAsia="仿宋_GB2312"/>
                <w:color w:val="auto"/>
                <w:sz w:val="24"/>
                <w:szCs w:val="20"/>
                <w:lang w:val="zh-CN"/>
              </w:rPr>
            </w:pPr>
            <w:r>
              <w:rPr>
                <w:rFonts w:hint="default" w:ascii="仿宋_GB2312" w:hAnsi="仿宋" w:eastAsia="仿宋_GB2312"/>
                <w:color w:val="auto"/>
                <w:sz w:val="24"/>
                <w:szCs w:val="20"/>
                <w:lang w:val="zh-CN"/>
              </w:rPr>
              <w:t>职务</w:t>
            </w:r>
          </w:p>
        </w:tc>
        <w:tc>
          <w:tcPr>
            <w:tcW w:w="2520" w:type="dxa"/>
            <w:tcBorders>
              <w:top w:val="single" w:color="auto" w:sz="6" w:space="0"/>
              <w:left w:val="single" w:color="auto" w:sz="6" w:space="0"/>
              <w:bottom w:val="single" w:color="auto" w:sz="6" w:space="0"/>
              <w:right w:val="single" w:color="auto" w:sz="6" w:space="0"/>
            </w:tcBorders>
            <w:vAlign w:val="center"/>
          </w:tcPr>
          <w:p w14:paraId="02D35AD9">
            <w:pPr>
              <w:keepNext w:val="0"/>
              <w:keepLines w:val="0"/>
              <w:suppressLineNumbers w:val="0"/>
              <w:autoSpaceDE w:val="0"/>
              <w:autoSpaceDN w:val="0"/>
              <w:adjustRightInd w:val="0"/>
              <w:snapToGrid w:val="0"/>
              <w:spacing w:before="0" w:beforeAutospacing="0" w:after="0" w:afterAutospacing="0"/>
              <w:ind w:left="0" w:right="0"/>
              <w:jc w:val="center"/>
              <w:rPr>
                <w:rFonts w:hint="default" w:ascii="仿宋_GB2312" w:hAnsi="仿宋" w:eastAsia="仿宋_GB2312"/>
                <w:color w:val="auto"/>
                <w:sz w:val="24"/>
                <w:szCs w:val="20"/>
                <w:lang w:val="zh-CN"/>
              </w:rPr>
            </w:pPr>
            <w:r>
              <w:rPr>
                <w:rFonts w:hint="default" w:ascii="仿宋_GB2312" w:hAnsi="仿宋" w:eastAsia="仿宋_GB2312"/>
                <w:color w:val="auto"/>
                <w:sz w:val="24"/>
                <w:szCs w:val="20"/>
                <w:lang w:val="zh-CN"/>
              </w:rPr>
              <w:t>专业技术资格</w:t>
            </w:r>
          </w:p>
        </w:tc>
        <w:tc>
          <w:tcPr>
            <w:tcW w:w="1626" w:type="dxa"/>
            <w:tcBorders>
              <w:top w:val="single" w:color="auto" w:sz="6" w:space="0"/>
              <w:left w:val="single" w:color="auto" w:sz="6" w:space="0"/>
              <w:bottom w:val="single" w:color="auto" w:sz="6" w:space="0"/>
              <w:right w:val="single" w:color="auto" w:sz="6" w:space="0"/>
            </w:tcBorders>
            <w:vAlign w:val="center"/>
          </w:tcPr>
          <w:p w14:paraId="0DDD736F">
            <w:pPr>
              <w:keepNext w:val="0"/>
              <w:keepLines w:val="0"/>
              <w:suppressLineNumbers w:val="0"/>
              <w:autoSpaceDE w:val="0"/>
              <w:autoSpaceDN w:val="0"/>
              <w:adjustRightInd w:val="0"/>
              <w:snapToGrid w:val="0"/>
              <w:spacing w:before="0" w:beforeAutospacing="0" w:after="0" w:afterAutospacing="0"/>
              <w:ind w:left="0" w:right="0"/>
              <w:jc w:val="center"/>
              <w:rPr>
                <w:rFonts w:hint="default" w:ascii="仿宋_GB2312" w:hAnsi="仿宋" w:eastAsia="仿宋_GB2312"/>
                <w:color w:val="auto"/>
                <w:sz w:val="24"/>
                <w:szCs w:val="20"/>
                <w:lang w:val="zh-CN"/>
              </w:rPr>
            </w:pPr>
            <w:r>
              <w:rPr>
                <w:rFonts w:hint="default" w:ascii="仿宋_GB2312" w:hAnsi="仿宋" w:eastAsia="仿宋_GB2312"/>
                <w:color w:val="auto"/>
                <w:sz w:val="24"/>
                <w:szCs w:val="20"/>
                <w:lang w:val="zh-CN"/>
              </w:rPr>
              <w:t>备注</w:t>
            </w:r>
          </w:p>
        </w:tc>
      </w:tr>
      <w:tr w14:paraId="5DB37D4F">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6A9E5A4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317D5C1F">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55D399B9">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en-US" w:eastAsia="zh-CN"/>
              </w:rPr>
            </w:pPr>
          </w:p>
        </w:tc>
        <w:tc>
          <w:tcPr>
            <w:tcW w:w="1626" w:type="dxa"/>
            <w:tcBorders>
              <w:top w:val="single" w:color="auto" w:sz="6" w:space="0"/>
              <w:left w:val="single" w:color="auto" w:sz="6" w:space="0"/>
              <w:bottom w:val="single" w:color="auto" w:sz="6" w:space="0"/>
              <w:right w:val="single" w:color="auto" w:sz="6" w:space="0"/>
            </w:tcBorders>
          </w:tcPr>
          <w:p w14:paraId="2594DA6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39CE1454">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221CBFB4">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6E7A9783">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1F8C9B29">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4AFE9CAB">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4B2972E1">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0B861DC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410708F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22C95E8D">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1BC7F990">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272D5DCE">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28AA04A6">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4638B41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4F9F0524">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3A1B9DC3">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22C9F100">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4913CAA7">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07866881">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2BF1980F">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5201DC06">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72B6363F">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6EBFFEC9">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55AAD227">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3041B268">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218DB6D2">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2C7E3A53">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3E874E0D">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33565D2D">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21FDE1DB">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54321C47">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5B2A581D">
        <w:tblPrEx>
          <w:tblCellMar>
            <w:top w:w="0" w:type="dxa"/>
            <w:left w:w="108" w:type="dxa"/>
            <w:bottom w:w="0" w:type="dxa"/>
            <w:right w:w="108" w:type="dxa"/>
          </w:tblCellMar>
        </w:tblPrEx>
        <w:trPr>
          <w:trHeight w:val="562" w:hRule="atLeast"/>
          <w:jc w:val="center"/>
        </w:trPr>
        <w:tc>
          <w:tcPr>
            <w:tcW w:w="1304" w:type="dxa"/>
            <w:tcBorders>
              <w:top w:val="single" w:color="auto" w:sz="6" w:space="0"/>
              <w:left w:val="single" w:color="auto" w:sz="6" w:space="0"/>
              <w:bottom w:val="single" w:color="auto" w:sz="6" w:space="0"/>
              <w:right w:val="single" w:color="auto" w:sz="6" w:space="0"/>
            </w:tcBorders>
          </w:tcPr>
          <w:p w14:paraId="2468674C">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2A4DAF5D">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0FDE5AC1">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10E0F4BF">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r w14:paraId="7ECCC47D">
        <w:tblPrEx>
          <w:tblCellMar>
            <w:top w:w="0" w:type="dxa"/>
            <w:left w:w="108" w:type="dxa"/>
            <w:bottom w:w="0" w:type="dxa"/>
            <w:right w:w="108" w:type="dxa"/>
          </w:tblCellMar>
        </w:tblPrEx>
        <w:trPr>
          <w:trHeight w:val="577" w:hRule="atLeast"/>
          <w:jc w:val="center"/>
        </w:trPr>
        <w:tc>
          <w:tcPr>
            <w:tcW w:w="1304" w:type="dxa"/>
            <w:tcBorders>
              <w:top w:val="single" w:color="auto" w:sz="6" w:space="0"/>
              <w:left w:val="single" w:color="auto" w:sz="6" w:space="0"/>
              <w:bottom w:val="single" w:color="auto" w:sz="6" w:space="0"/>
              <w:right w:val="single" w:color="auto" w:sz="6" w:space="0"/>
            </w:tcBorders>
          </w:tcPr>
          <w:p w14:paraId="1F8C5954">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769" w:type="dxa"/>
            <w:tcBorders>
              <w:top w:val="single" w:color="auto" w:sz="6" w:space="0"/>
              <w:left w:val="single" w:color="auto" w:sz="6" w:space="0"/>
              <w:bottom w:val="single" w:color="auto" w:sz="6" w:space="0"/>
              <w:right w:val="single" w:color="auto" w:sz="6" w:space="0"/>
            </w:tcBorders>
          </w:tcPr>
          <w:p w14:paraId="0C57045E">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2520" w:type="dxa"/>
            <w:tcBorders>
              <w:top w:val="single" w:color="auto" w:sz="6" w:space="0"/>
              <w:left w:val="single" w:color="auto" w:sz="6" w:space="0"/>
              <w:bottom w:val="single" w:color="auto" w:sz="6" w:space="0"/>
              <w:right w:val="single" w:color="auto" w:sz="6" w:space="0"/>
            </w:tcBorders>
          </w:tcPr>
          <w:p w14:paraId="42FB7F00">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c>
          <w:tcPr>
            <w:tcW w:w="1626" w:type="dxa"/>
            <w:tcBorders>
              <w:top w:val="single" w:color="auto" w:sz="6" w:space="0"/>
              <w:left w:val="single" w:color="auto" w:sz="6" w:space="0"/>
              <w:bottom w:val="single" w:color="auto" w:sz="6" w:space="0"/>
              <w:right w:val="single" w:color="auto" w:sz="6" w:space="0"/>
            </w:tcBorders>
          </w:tcPr>
          <w:p w14:paraId="4B727754">
            <w:pPr>
              <w:keepNext w:val="0"/>
              <w:keepLines w:val="0"/>
              <w:suppressLineNumbers w:val="0"/>
              <w:autoSpaceDE w:val="0"/>
              <w:autoSpaceDN w:val="0"/>
              <w:adjustRightInd w:val="0"/>
              <w:snapToGrid w:val="0"/>
              <w:spacing w:before="0" w:beforeAutospacing="0" w:after="0" w:afterAutospacing="0"/>
              <w:ind w:left="0" w:right="0"/>
              <w:rPr>
                <w:rFonts w:hint="default" w:ascii="仿宋_GB2312" w:hAnsi="仿宋" w:eastAsia="仿宋_GB2312"/>
                <w:color w:val="auto"/>
                <w:sz w:val="24"/>
                <w:szCs w:val="20"/>
                <w:lang w:val="zh-CN"/>
              </w:rPr>
            </w:pPr>
          </w:p>
        </w:tc>
      </w:tr>
    </w:tbl>
    <w:p w14:paraId="571F3F52">
      <w:pPr>
        <w:autoSpaceDE w:val="0"/>
        <w:autoSpaceDN w:val="0"/>
        <w:adjustRightInd w:val="0"/>
        <w:snapToGrid w:val="0"/>
        <w:spacing w:line="360" w:lineRule="auto"/>
        <w:outlineLvl w:val="1"/>
        <w:rPr>
          <w:rFonts w:ascii="仿宋_GB2312" w:hAnsi="仿宋" w:eastAsia="仿宋_GB2312"/>
          <w:b/>
          <w:color w:val="auto"/>
          <w:sz w:val="24"/>
          <w:szCs w:val="20"/>
          <w:lang w:val="zh-CN"/>
        </w:rPr>
      </w:pPr>
      <w:bookmarkStart w:id="20" w:name="_Toc1389"/>
      <w:bookmarkStart w:id="21" w:name="_Toc11380"/>
    </w:p>
    <w:p w14:paraId="2A7D9DEB">
      <w:pPr>
        <w:autoSpaceDE w:val="0"/>
        <w:autoSpaceDN w:val="0"/>
        <w:adjustRightInd w:val="0"/>
        <w:snapToGrid w:val="0"/>
        <w:spacing w:line="360" w:lineRule="auto"/>
        <w:outlineLvl w:val="1"/>
        <w:rPr>
          <w:rFonts w:ascii="仿宋_GB2312" w:hAnsi="仿宋" w:eastAsia="仿宋_GB2312"/>
          <w:b/>
          <w:color w:val="auto"/>
          <w:sz w:val="24"/>
          <w:szCs w:val="20"/>
          <w:lang w:val="zh-CN"/>
        </w:rPr>
      </w:pPr>
      <w:r>
        <w:rPr>
          <w:rFonts w:ascii="仿宋_GB2312" w:hAnsi="仿宋" w:eastAsia="仿宋_GB2312"/>
          <w:b/>
          <w:color w:val="auto"/>
          <w:sz w:val="24"/>
          <w:szCs w:val="20"/>
          <w:lang w:val="zh-CN"/>
        </w:rPr>
        <w:t>注：</w:t>
      </w:r>
      <w:r>
        <w:rPr>
          <w:rFonts w:hint="eastAsia" w:ascii="仿宋_GB2312" w:hAnsi="仿宋" w:eastAsia="仿宋_GB2312"/>
          <w:b/>
          <w:color w:val="auto"/>
          <w:sz w:val="24"/>
          <w:szCs w:val="20"/>
          <w:lang w:val="zh-CN"/>
        </w:rPr>
        <w:t>将以上</w:t>
      </w:r>
      <w:r>
        <w:rPr>
          <w:rFonts w:ascii="仿宋_GB2312" w:hAnsi="仿宋" w:eastAsia="仿宋_GB2312"/>
          <w:b/>
          <w:color w:val="auto"/>
          <w:sz w:val="24"/>
          <w:szCs w:val="20"/>
          <w:lang w:val="zh-CN"/>
        </w:rPr>
        <w:t>人员的</w:t>
      </w:r>
      <w:r>
        <w:rPr>
          <w:rFonts w:hint="eastAsia" w:ascii="仿宋_GB2312" w:hAnsi="仿宋" w:eastAsia="仿宋_GB2312"/>
          <w:b/>
          <w:color w:val="auto"/>
          <w:sz w:val="24"/>
          <w:szCs w:val="20"/>
          <w:lang w:val="zh-CN"/>
        </w:rPr>
        <w:t>相关证书</w:t>
      </w:r>
      <w:r>
        <w:rPr>
          <w:rFonts w:ascii="仿宋_GB2312" w:hAnsi="仿宋" w:eastAsia="仿宋_GB2312"/>
          <w:b/>
          <w:color w:val="auto"/>
          <w:sz w:val="24"/>
          <w:szCs w:val="20"/>
          <w:lang w:val="zh-CN"/>
        </w:rPr>
        <w:t>复印件制作于</w:t>
      </w:r>
      <w:r>
        <w:rPr>
          <w:rFonts w:hint="eastAsia" w:ascii="仿宋_GB2312" w:hAnsi="仿宋" w:eastAsia="仿宋_GB2312"/>
          <w:b/>
          <w:color w:val="auto"/>
          <w:sz w:val="24"/>
          <w:szCs w:val="20"/>
          <w:lang w:val="zh-CN"/>
        </w:rPr>
        <w:t>响应</w:t>
      </w:r>
      <w:r>
        <w:rPr>
          <w:rFonts w:ascii="仿宋_GB2312" w:hAnsi="仿宋" w:eastAsia="仿宋_GB2312"/>
          <w:b/>
          <w:color w:val="auto"/>
          <w:sz w:val="24"/>
          <w:szCs w:val="20"/>
          <w:lang w:val="zh-CN"/>
        </w:rPr>
        <w:t>文件中</w:t>
      </w:r>
      <w:bookmarkEnd w:id="20"/>
      <w:bookmarkEnd w:id="21"/>
    </w:p>
    <w:p w14:paraId="1399DFD7">
      <w:pPr>
        <w:autoSpaceDE w:val="0"/>
        <w:autoSpaceDN w:val="0"/>
        <w:spacing w:line="360" w:lineRule="auto"/>
        <w:rPr>
          <w:rFonts w:ascii="仿宋_GB2312" w:hAnsi="仿宋" w:eastAsia="仿宋_GB2312"/>
          <w:color w:val="auto"/>
          <w:sz w:val="24"/>
          <w:szCs w:val="20"/>
          <w:lang w:val="zh-CN"/>
        </w:rPr>
      </w:pPr>
    </w:p>
    <w:p w14:paraId="200015E9">
      <w:pPr>
        <w:autoSpaceDE w:val="0"/>
        <w:autoSpaceDN w:val="0"/>
        <w:spacing w:line="360" w:lineRule="auto"/>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w:t>
      </w:r>
    </w:p>
    <w:p w14:paraId="05DDA91A">
      <w:pPr>
        <w:autoSpaceDE w:val="0"/>
        <w:autoSpaceDN w:val="0"/>
        <w:spacing w:line="360" w:lineRule="auto"/>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供应商名称(公章)：</w:t>
      </w:r>
    </w:p>
    <w:p w14:paraId="096CEBF3">
      <w:pPr>
        <w:autoSpaceDE w:val="0"/>
        <w:autoSpaceDN w:val="0"/>
        <w:spacing w:line="360" w:lineRule="auto"/>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法定代表人（签字或盖章）：</w:t>
      </w:r>
    </w:p>
    <w:p w14:paraId="17316891">
      <w:pPr>
        <w:autoSpaceDE w:val="0"/>
        <w:autoSpaceDN w:val="0"/>
        <w:spacing w:line="360" w:lineRule="auto"/>
        <w:ind w:firstLine="720"/>
        <w:jc w:val="center"/>
        <w:rPr>
          <w:rFonts w:ascii="仿宋_GB2312" w:hAnsi="仿宋" w:eastAsia="仿宋_GB2312"/>
          <w:color w:val="auto"/>
          <w:sz w:val="24"/>
          <w:lang w:val="zh-CN"/>
        </w:rPr>
      </w:pPr>
      <w:r>
        <w:rPr>
          <w:rFonts w:hint="eastAsia" w:ascii="仿宋_GB2312" w:hAnsi="仿宋" w:eastAsia="仿宋_GB2312"/>
          <w:color w:val="auto"/>
          <w:sz w:val="24"/>
          <w:lang w:val="zh-CN"/>
        </w:rPr>
        <w:t xml:space="preserve">                 日期：</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 xml:space="preserve">年 </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 xml:space="preserve">月 </w:t>
      </w:r>
      <w:r>
        <w:rPr>
          <w:rFonts w:hint="eastAsia" w:ascii="仿宋_GB2312" w:hAnsi="仿宋" w:eastAsia="仿宋_GB2312"/>
          <w:color w:val="auto"/>
          <w:sz w:val="24"/>
          <w:lang w:val="en-US" w:eastAsia="zh-CN"/>
        </w:rPr>
        <w:t xml:space="preserve">     </w:t>
      </w:r>
      <w:r>
        <w:rPr>
          <w:rFonts w:hint="eastAsia" w:ascii="仿宋_GB2312" w:hAnsi="仿宋" w:eastAsia="仿宋_GB2312"/>
          <w:color w:val="auto"/>
          <w:sz w:val="24"/>
          <w:lang w:val="zh-CN"/>
        </w:rPr>
        <w:t>日</w:t>
      </w:r>
    </w:p>
    <w:p w14:paraId="4212158B">
      <w:pPr>
        <w:rPr>
          <w:color w:val="auto"/>
        </w:rPr>
      </w:pPr>
      <w:r>
        <w:rPr>
          <w:rFonts w:ascii="仿宋_GB2312" w:hAnsi="Arial" w:eastAsia="仿宋_GB2312"/>
          <w:color w:val="auto"/>
          <w:sz w:val="28"/>
          <w:szCs w:val="28"/>
          <w:lang w:val="zh-CN"/>
        </w:rPr>
        <w:br w:type="page"/>
      </w:r>
    </w:p>
    <w:p w14:paraId="603538C6">
      <w:pPr>
        <w:rPr>
          <w:rFonts w:hint="eastAsia" w:eastAsia="黑体"/>
          <w:b/>
          <w:bCs/>
          <w:color w:val="auto"/>
          <w:sz w:val="28"/>
          <w:lang w:eastAsia="zh-CN"/>
        </w:rPr>
      </w:pPr>
      <w:r>
        <w:rPr>
          <w:rFonts w:hint="eastAsia" w:eastAsia="黑体"/>
          <w:b/>
          <w:bCs/>
          <w:color w:val="auto"/>
          <w:sz w:val="28"/>
        </w:rPr>
        <w:t>格式</w:t>
      </w:r>
      <w:r>
        <w:rPr>
          <w:rFonts w:hint="eastAsia" w:eastAsia="黑体"/>
          <w:b/>
          <w:bCs/>
          <w:color w:val="auto"/>
          <w:sz w:val="28"/>
          <w:lang w:val="en-US" w:eastAsia="zh-CN"/>
        </w:rPr>
        <w:t>6</w:t>
      </w:r>
    </w:p>
    <w:p w14:paraId="5F1D930B">
      <w:pPr>
        <w:rPr>
          <w:rFonts w:hint="eastAsia"/>
          <w:color w:val="auto"/>
        </w:rPr>
      </w:pPr>
      <w:r>
        <w:rPr>
          <w:rFonts w:hint="eastAsia" w:ascii="宋体" w:hAnsi="宋体"/>
          <w:color w:val="auto"/>
        </w:rPr>
        <w:t>项目名称：</w:t>
      </w:r>
      <w:r>
        <w:rPr>
          <w:rFonts w:hint="eastAsia"/>
          <w:color w:val="auto"/>
          <w:lang w:val="en-US" w:eastAsia="zh-CN"/>
        </w:rPr>
        <w:t>2026年涂装线及补漆线VOCs在线监测设备运维项目</w:t>
      </w:r>
      <w:r>
        <w:rPr>
          <w:rFonts w:hint="eastAsia"/>
          <w:color w:val="auto"/>
        </w:rPr>
        <w:t xml:space="preserve"> </w:t>
      </w:r>
    </w:p>
    <w:p w14:paraId="6B724377">
      <w:pPr>
        <w:rPr>
          <w:rFonts w:ascii="宋体" w:hAnsi="宋体"/>
          <w:color w:val="auto"/>
          <w:szCs w:val="21"/>
        </w:rPr>
      </w:pPr>
      <w:r>
        <w:rPr>
          <w:rFonts w:hint="eastAsia" w:ascii="宋体" w:hAnsi="宋体"/>
          <w:color w:val="auto"/>
          <w:szCs w:val="21"/>
        </w:rPr>
        <w:t>日期：  年   月   日</w:t>
      </w:r>
    </w:p>
    <w:p w14:paraId="6C1DC61E">
      <w:pPr>
        <w:keepNext w:val="0"/>
        <w:keepLines w:val="0"/>
        <w:pageBreakBefore w:val="0"/>
        <w:widowControl w:val="0"/>
        <w:kinsoku/>
        <w:wordWrap/>
        <w:overflowPunct/>
        <w:topLinePunct w:val="0"/>
        <w:autoSpaceDE w:val="0"/>
        <w:autoSpaceDN w:val="0"/>
        <w:bidi w:val="0"/>
        <w:adjustRightInd/>
        <w:snapToGrid/>
        <w:spacing w:before="321" w:beforeLines="100" w:line="360" w:lineRule="auto"/>
        <w:jc w:val="center"/>
        <w:textAlignment w:val="auto"/>
        <w:outlineLvl w:val="0"/>
        <w:rPr>
          <w:rStyle w:val="31"/>
          <w:rFonts w:hint="eastAsia" w:ascii="华文仿宋" w:hAnsi="华文仿宋" w:eastAsia="华文仿宋" w:cs="华文仿宋"/>
          <w:color w:val="auto"/>
          <w:sz w:val="44"/>
          <w:szCs w:val="44"/>
          <w:lang w:val="zh-CN" w:eastAsia="zh-CN"/>
        </w:rPr>
      </w:pPr>
      <w:bookmarkStart w:id="22" w:name="_Toc20476"/>
      <w:r>
        <w:rPr>
          <w:rStyle w:val="31"/>
          <w:rFonts w:hint="eastAsia" w:ascii="华文仿宋" w:hAnsi="华文仿宋" w:eastAsia="华文仿宋" w:cs="华文仿宋"/>
          <w:color w:val="auto"/>
          <w:sz w:val="44"/>
          <w:szCs w:val="44"/>
          <w:lang w:val="zh-CN" w:eastAsia="zh-CN"/>
        </w:rPr>
        <w:t>开标一览表</w:t>
      </w:r>
    </w:p>
    <w:bookmarkEnd w:id="22"/>
    <w:tbl>
      <w:tblPr>
        <w:tblStyle w:val="16"/>
        <w:tblpPr w:leftFromText="180" w:rightFromText="180" w:vertAnchor="text" w:horzAnchor="page" w:tblpXSpec="center" w:tblpY="611"/>
        <w:tblOverlap w:val="never"/>
        <w:tblW w:w="5534" w:type="pct"/>
        <w:jc w:val="center"/>
        <w:tblLayout w:type="fixed"/>
        <w:tblCellMar>
          <w:top w:w="0" w:type="dxa"/>
          <w:left w:w="108" w:type="dxa"/>
          <w:bottom w:w="0" w:type="dxa"/>
          <w:right w:w="108" w:type="dxa"/>
        </w:tblCellMar>
      </w:tblPr>
      <w:tblGrid>
        <w:gridCol w:w="1929"/>
        <w:gridCol w:w="8349"/>
      </w:tblGrid>
      <w:tr w14:paraId="0523F301">
        <w:tblPrEx>
          <w:tblCellMar>
            <w:top w:w="0" w:type="dxa"/>
            <w:left w:w="108" w:type="dxa"/>
            <w:bottom w:w="0" w:type="dxa"/>
            <w:right w:w="108" w:type="dxa"/>
          </w:tblCellMar>
        </w:tblPrEx>
        <w:trPr>
          <w:trHeight w:val="545" w:hRule="atLeast"/>
          <w:jc w:val="center"/>
        </w:trPr>
        <w:tc>
          <w:tcPr>
            <w:tcW w:w="938" w:type="pct"/>
            <w:tcBorders>
              <w:top w:val="single" w:color="000000" w:sz="8" w:space="0"/>
              <w:left w:val="single" w:color="000000" w:sz="8" w:space="0"/>
              <w:bottom w:val="single" w:color="000000" w:sz="8" w:space="0"/>
              <w:right w:val="single" w:color="000000" w:sz="8" w:space="0"/>
            </w:tcBorders>
            <w:noWrap/>
            <w:vAlign w:val="center"/>
          </w:tcPr>
          <w:p w14:paraId="719878B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投标单位名称</w:t>
            </w:r>
          </w:p>
        </w:tc>
        <w:tc>
          <w:tcPr>
            <w:tcW w:w="4061" w:type="pct"/>
            <w:tcBorders>
              <w:top w:val="single" w:color="000000" w:sz="8" w:space="0"/>
              <w:left w:val="nil"/>
              <w:bottom w:val="single" w:color="000000" w:sz="8" w:space="0"/>
              <w:right w:val="single" w:color="000000" w:sz="8" w:space="0"/>
            </w:tcBorders>
            <w:noWrap/>
            <w:vAlign w:val="center"/>
          </w:tcPr>
          <w:p w14:paraId="6E2EA05C">
            <w:pPr>
              <w:rPr>
                <w:rFonts w:ascii="宋体" w:hAnsi="宋体" w:cs="宋体"/>
                <w:color w:val="auto"/>
                <w:sz w:val="24"/>
                <w:szCs w:val="24"/>
                <w:highlight w:val="none"/>
              </w:rPr>
            </w:pPr>
          </w:p>
        </w:tc>
      </w:tr>
      <w:tr w14:paraId="5521EF69">
        <w:tblPrEx>
          <w:tblCellMar>
            <w:top w:w="0" w:type="dxa"/>
            <w:left w:w="108" w:type="dxa"/>
            <w:bottom w:w="0" w:type="dxa"/>
            <w:right w:w="108" w:type="dxa"/>
          </w:tblCellMar>
        </w:tblPrEx>
        <w:trPr>
          <w:trHeight w:val="1228" w:hRule="atLeast"/>
          <w:jc w:val="center"/>
        </w:trPr>
        <w:tc>
          <w:tcPr>
            <w:tcW w:w="938" w:type="pct"/>
            <w:tcBorders>
              <w:top w:val="nil"/>
              <w:left w:val="single" w:color="000000" w:sz="8" w:space="0"/>
              <w:bottom w:val="single" w:color="000000" w:sz="8" w:space="0"/>
              <w:right w:val="single" w:color="000000" w:sz="8" w:space="0"/>
            </w:tcBorders>
            <w:noWrap/>
            <w:vAlign w:val="center"/>
          </w:tcPr>
          <w:p w14:paraId="339AFA62">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bidi="ar"/>
              </w:rPr>
              <w:t>投标报价</w:t>
            </w:r>
          </w:p>
        </w:tc>
        <w:tc>
          <w:tcPr>
            <w:tcW w:w="4061" w:type="pct"/>
            <w:tcBorders>
              <w:top w:val="nil"/>
              <w:left w:val="nil"/>
              <w:bottom w:val="single" w:color="000000" w:sz="8" w:space="0"/>
              <w:right w:val="single" w:color="000000" w:sz="8" w:space="0"/>
            </w:tcBorders>
            <w:noWrap/>
            <w:vAlign w:val="center"/>
          </w:tcPr>
          <w:p w14:paraId="6B6BDF44">
            <w:pPr>
              <w:widowControl/>
              <w:textAlignment w:val="center"/>
              <w:rPr>
                <w:rFonts w:hint="default" w:ascii="宋体"/>
                <w:bCs/>
                <w:color w:val="auto"/>
                <w:sz w:val="24"/>
                <w:highlight w:val="none"/>
                <w:lang w:val="en-US" w:eastAsia="zh-CN"/>
              </w:rPr>
            </w:pPr>
            <w:r>
              <w:rPr>
                <w:rFonts w:hint="eastAsia" w:ascii="宋体" w:hAnsi="宋体" w:cs="宋体"/>
                <w:color w:val="auto"/>
                <w:kern w:val="0"/>
                <w:sz w:val="24"/>
                <w:szCs w:val="24"/>
                <w:highlight w:val="none"/>
                <w:lang w:val="en-US" w:eastAsia="zh-CN" w:bidi="ar"/>
              </w:rPr>
              <w:t>大写：</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bCs/>
                <w:color w:val="auto"/>
                <w:sz w:val="24"/>
                <w:highlight w:val="none"/>
              </w:rPr>
              <w:t>（</w:t>
            </w:r>
            <w:r>
              <w:rPr>
                <w:rFonts w:hint="eastAsia" w:ascii="宋体"/>
                <w:bCs/>
                <w:color w:val="auto"/>
                <w:sz w:val="24"/>
                <w:highlight w:val="none"/>
                <w:lang w:val="en-US" w:eastAsia="zh-CN"/>
              </w:rPr>
              <w:t>元，未税</w:t>
            </w:r>
            <w:r>
              <w:rPr>
                <w:rFonts w:hint="eastAsia" w:ascii="宋体"/>
                <w:bCs/>
                <w:color w:val="auto"/>
                <w:sz w:val="24"/>
                <w:highlight w:val="none"/>
              </w:rPr>
              <w:t>）</w:t>
            </w:r>
            <w:r>
              <w:rPr>
                <w:rFonts w:hint="eastAsia" w:ascii="宋体"/>
                <w:bCs/>
                <w:color w:val="auto"/>
                <w:sz w:val="24"/>
                <w:highlight w:val="none"/>
                <w:lang w:eastAsia="zh-CN"/>
              </w:rPr>
              <w:t>；</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none"/>
                <w:lang w:val="en-US" w:eastAsia="zh-CN" w:bidi="ar"/>
              </w:rPr>
              <w:t>（税率）；价税合计：</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none"/>
                <w:lang w:val="en-US" w:eastAsia="zh-CN" w:bidi="ar"/>
              </w:rPr>
              <w:t>（元）</w:t>
            </w:r>
          </w:p>
          <w:p w14:paraId="11AAB4CE">
            <w:pPr>
              <w:widowControl/>
              <w:textAlignment w:val="center"/>
              <w:rPr>
                <w:rFonts w:hint="default" w:ascii="宋体" w:hAnsi="宋体" w:eastAsia="宋体" w:cs="宋体"/>
                <w:color w:val="auto"/>
                <w:sz w:val="24"/>
                <w:szCs w:val="24"/>
                <w:highlight w:val="green"/>
                <w:lang w:val="en-US" w:eastAsia="zh-CN"/>
              </w:rPr>
            </w:pPr>
            <w:r>
              <w:rPr>
                <w:rFonts w:hint="eastAsia" w:ascii="宋体"/>
                <w:bCs/>
                <w:color w:val="auto"/>
                <w:sz w:val="24"/>
                <w:highlight w:val="none"/>
                <w:lang w:val="en-US" w:eastAsia="zh-CN"/>
              </w:rPr>
              <w:t>小写：</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bCs/>
                <w:color w:val="auto"/>
                <w:sz w:val="24"/>
                <w:highlight w:val="none"/>
              </w:rPr>
              <w:t>（</w:t>
            </w:r>
            <w:r>
              <w:rPr>
                <w:rFonts w:hint="eastAsia" w:ascii="宋体"/>
                <w:bCs/>
                <w:color w:val="auto"/>
                <w:sz w:val="24"/>
                <w:highlight w:val="none"/>
                <w:lang w:val="en-US" w:eastAsia="zh-CN"/>
              </w:rPr>
              <w:t>元，未税</w:t>
            </w:r>
            <w:r>
              <w:rPr>
                <w:rFonts w:hint="eastAsia" w:ascii="宋体"/>
                <w:bCs/>
                <w:color w:val="auto"/>
                <w:sz w:val="24"/>
                <w:highlight w:val="none"/>
              </w:rPr>
              <w:t>）</w:t>
            </w:r>
            <w:r>
              <w:rPr>
                <w:rFonts w:hint="eastAsia" w:ascii="宋体"/>
                <w:bCs/>
                <w:color w:val="auto"/>
                <w:sz w:val="24"/>
                <w:highlight w:val="none"/>
                <w:lang w:eastAsia="zh-CN"/>
              </w:rPr>
              <w:t>；</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none"/>
                <w:lang w:val="en-US" w:eastAsia="zh-CN" w:bidi="ar"/>
              </w:rPr>
              <w:t>（税率）；价税合计：</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none"/>
                <w:lang w:val="en-US" w:eastAsia="zh-CN" w:bidi="ar"/>
              </w:rPr>
              <w:t>（元）</w:t>
            </w:r>
          </w:p>
        </w:tc>
      </w:tr>
      <w:tr w14:paraId="23E4827D">
        <w:tblPrEx>
          <w:tblCellMar>
            <w:top w:w="0" w:type="dxa"/>
            <w:left w:w="108" w:type="dxa"/>
            <w:bottom w:w="0" w:type="dxa"/>
            <w:right w:w="108" w:type="dxa"/>
          </w:tblCellMar>
        </w:tblPrEx>
        <w:trPr>
          <w:trHeight w:val="949" w:hRule="atLeast"/>
          <w:jc w:val="center"/>
        </w:trPr>
        <w:tc>
          <w:tcPr>
            <w:tcW w:w="938" w:type="pct"/>
            <w:tcBorders>
              <w:top w:val="nil"/>
              <w:left w:val="single" w:color="000000" w:sz="8" w:space="0"/>
              <w:bottom w:val="single" w:color="000000" w:sz="8" w:space="0"/>
              <w:right w:val="single" w:color="000000" w:sz="8" w:space="0"/>
            </w:tcBorders>
            <w:noWrap/>
            <w:vAlign w:val="center"/>
          </w:tcPr>
          <w:p w14:paraId="5580DE9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响应时间</w:t>
            </w:r>
          </w:p>
        </w:tc>
        <w:tc>
          <w:tcPr>
            <w:tcW w:w="4061" w:type="pct"/>
            <w:tcBorders>
              <w:top w:val="nil"/>
              <w:left w:val="nil"/>
              <w:bottom w:val="single" w:color="000000" w:sz="8" w:space="0"/>
              <w:right w:val="single" w:color="000000" w:sz="8" w:space="0"/>
            </w:tcBorders>
            <w:noWrap/>
            <w:vAlign w:val="center"/>
          </w:tcPr>
          <w:p w14:paraId="5CD6FC12">
            <w:pPr>
              <w:widowControl/>
              <w:textAlignment w:val="center"/>
              <w:rPr>
                <w:rFonts w:ascii="宋体" w:hAnsi="宋体" w:cs="宋体"/>
                <w:color w:val="auto"/>
                <w:sz w:val="24"/>
                <w:szCs w:val="24"/>
                <w:highlight w:val="none"/>
              </w:rPr>
            </w:pPr>
            <w:r>
              <w:rPr>
                <w:rStyle w:val="24"/>
                <w:rFonts w:hint="default"/>
                <w:color w:val="auto"/>
                <w:highlight w:val="none"/>
                <w:lang w:bidi="ar"/>
              </w:rPr>
              <w:t xml:space="preserve">紧急维修项目在接通知后 </w:t>
            </w:r>
            <w:r>
              <w:rPr>
                <w:rStyle w:val="23"/>
                <w:rFonts w:hint="default"/>
                <w:color w:val="auto"/>
                <w:highlight w:val="none"/>
                <w:lang w:bidi="ar"/>
              </w:rPr>
              <w:t xml:space="preserve">     </w:t>
            </w:r>
            <w:r>
              <w:rPr>
                <w:rStyle w:val="24"/>
                <w:rFonts w:hint="default"/>
                <w:color w:val="auto"/>
                <w:highlight w:val="none"/>
                <w:lang w:bidi="ar"/>
              </w:rPr>
              <w:t>小时内抵达现场进行</w:t>
            </w:r>
            <w:r>
              <w:rPr>
                <w:rStyle w:val="24"/>
                <w:rFonts w:hint="eastAsia"/>
                <w:color w:val="auto"/>
                <w:highlight w:val="none"/>
                <w:lang w:val="en-US" w:eastAsia="zh-CN" w:bidi="ar"/>
              </w:rPr>
              <w:t>维修</w:t>
            </w:r>
            <w:r>
              <w:rPr>
                <w:rStyle w:val="24"/>
                <w:rFonts w:hint="default"/>
                <w:color w:val="auto"/>
                <w:highlight w:val="none"/>
                <w:lang w:bidi="ar"/>
              </w:rPr>
              <w:t>。</w:t>
            </w:r>
          </w:p>
        </w:tc>
      </w:tr>
    </w:tbl>
    <w:p w14:paraId="04BCA812">
      <w:pPr>
        <w:pStyle w:val="5"/>
        <w:spacing w:line="460" w:lineRule="exact"/>
        <w:rPr>
          <w:rFonts w:ascii="宋体" w:hAnsi="宋体"/>
          <w:b/>
          <w:bCs/>
          <w:color w:val="auto"/>
        </w:rPr>
      </w:pPr>
    </w:p>
    <w:p w14:paraId="7F357C3C">
      <w:pPr>
        <w:pStyle w:val="5"/>
        <w:spacing w:line="460" w:lineRule="exact"/>
        <w:rPr>
          <w:rFonts w:hint="default" w:ascii="宋体" w:hAnsi="宋体" w:eastAsia="仿宋_GB2312"/>
          <w:color w:val="auto"/>
          <w:sz w:val="22"/>
          <w:szCs w:val="18"/>
          <w:lang w:val="en-US" w:eastAsia="zh-CN"/>
        </w:rPr>
      </w:pPr>
      <w:r>
        <w:rPr>
          <w:rFonts w:hint="eastAsia" w:ascii="宋体" w:hAnsi="宋体"/>
          <w:color w:val="auto"/>
          <w:sz w:val="22"/>
          <w:szCs w:val="18"/>
          <w:lang w:val="en-US" w:eastAsia="zh-CN"/>
        </w:rPr>
        <w:t>备注：报价为三台设备运维总价。</w:t>
      </w:r>
    </w:p>
    <w:p w14:paraId="048F0A7D">
      <w:pPr>
        <w:spacing w:line="360" w:lineRule="auto"/>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投标人：（盖章）</w:t>
      </w:r>
    </w:p>
    <w:p w14:paraId="45B717B7">
      <w:pPr>
        <w:spacing w:line="360" w:lineRule="auto"/>
        <w:jc w:val="right"/>
        <w:rPr>
          <w:rFonts w:ascii="宋体" w:hAnsi="宋体"/>
          <w:color w:val="auto"/>
          <w:sz w:val="24"/>
        </w:rPr>
      </w:pPr>
      <w:r>
        <w:rPr>
          <w:rFonts w:hint="eastAsia" w:ascii="宋体" w:hAnsi="宋体"/>
          <w:color w:val="auto"/>
          <w:sz w:val="24"/>
        </w:rPr>
        <w:t>法定代表人（授权代表）：（签字）</w:t>
      </w:r>
    </w:p>
    <w:p w14:paraId="0DBFBDA7">
      <w:pPr>
        <w:spacing w:line="660" w:lineRule="exact"/>
        <w:jc w:val="right"/>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AD6BC5B">
      <w:pPr>
        <w:spacing w:line="660" w:lineRule="exact"/>
        <w:rPr>
          <w:rFonts w:hAnsi="宋体"/>
          <w:color w:val="auto"/>
          <w:sz w:val="22"/>
        </w:rPr>
      </w:pPr>
      <w:r>
        <w:rPr>
          <w:rFonts w:eastAsia="黑体"/>
          <w:b/>
          <w:bCs/>
          <w:color w:val="auto"/>
          <w:sz w:val="28"/>
        </w:rPr>
        <w:br w:type="page"/>
      </w:r>
    </w:p>
    <w:p w14:paraId="35C0C9F5">
      <w:pPr>
        <w:rPr>
          <w:rFonts w:hint="eastAsia" w:eastAsia="黑体"/>
          <w:b/>
          <w:bCs/>
          <w:color w:val="auto"/>
          <w:sz w:val="28"/>
          <w:lang w:val="en-US" w:eastAsia="zh-CN"/>
        </w:rPr>
      </w:pPr>
      <w:r>
        <w:rPr>
          <w:rFonts w:hint="eastAsia" w:eastAsia="黑体"/>
          <w:b/>
          <w:bCs/>
          <w:color w:val="auto"/>
          <w:sz w:val="28"/>
        </w:rPr>
        <w:t>格式</w:t>
      </w:r>
      <w:r>
        <w:rPr>
          <w:rFonts w:hint="eastAsia" w:eastAsia="黑体"/>
          <w:b/>
          <w:bCs/>
          <w:color w:val="auto"/>
          <w:sz w:val="28"/>
          <w:lang w:val="en-US" w:eastAsia="zh-CN"/>
        </w:rPr>
        <w:t>7</w:t>
      </w:r>
    </w:p>
    <w:p w14:paraId="0116ADB8">
      <w:pPr>
        <w:keepNext w:val="0"/>
        <w:keepLines w:val="0"/>
        <w:pageBreakBefore w:val="0"/>
        <w:widowControl w:val="0"/>
        <w:kinsoku/>
        <w:wordWrap/>
        <w:overflowPunct/>
        <w:topLinePunct w:val="0"/>
        <w:autoSpaceDE w:val="0"/>
        <w:autoSpaceDN w:val="0"/>
        <w:bidi w:val="0"/>
        <w:adjustRightInd/>
        <w:snapToGrid/>
        <w:spacing w:before="321" w:beforeLines="100" w:line="360" w:lineRule="auto"/>
        <w:jc w:val="center"/>
        <w:textAlignment w:val="auto"/>
        <w:outlineLvl w:val="0"/>
        <w:rPr>
          <w:rStyle w:val="31"/>
          <w:rFonts w:hint="eastAsia" w:ascii="华文仿宋" w:hAnsi="华文仿宋" w:eastAsia="华文仿宋" w:cs="华文仿宋"/>
          <w:color w:val="auto"/>
          <w:sz w:val="44"/>
          <w:szCs w:val="44"/>
          <w:lang w:val="zh-CN" w:eastAsia="zh-CN"/>
        </w:rPr>
      </w:pPr>
      <w:bookmarkStart w:id="23" w:name="_Toc19550"/>
      <w:bookmarkStart w:id="24" w:name="_Toc11726"/>
      <w:r>
        <w:rPr>
          <w:rStyle w:val="31"/>
          <w:rFonts w:hint="eastAsia" w:ascii="华文仿宋" w:hAnsi="华文仿宋" w:eastAsia="华文仿宋" w:cs="华文仿宋"/>
          <w:color w:val="auto"/>
          <w:sz w:val="44"/>
          <w:szCs w:val="44"/>
          <w:lang w:val="zh-CN" w:eastAsia="zh-CN"/>
        </w:rPr>
        <w:t>商务部分差异表</w:t>
      </w:r>
      <w:bookmarkEnd w:id="23"/>
    </w:p>
    <w:bookmarkEnd w:id="24"/>
    <w:p w14:paraId="1E65CF93">
      <w:pPr>
        <w:pStyle w:val="8"/>
        <w:spacing w:before="120" w:beforeLines="50" w:after="120" w:afterLines="50" w:line="360" w:lineRule="auto"/>
        <w:rPr>
          <w:rFonts w:hAnsi="宋体"/>
          <w:color w:val="auto"/>
        </w:rPr>
      </w:pPr>
    </w:p>
    <w:tbl>
      <w:tblPr>
        <w:tblStyle w:val="16"/>
        <w:tblW w:w="85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770"/>
        <w:gridCol w:w="1663"/>
        <w:gridCol w:w="2978"/>
        <w:gridCol w:w="1663"/>
        <w:gridCol w:w="1476"/>
      </w:tblGrid>
      <w:tr w14:paraId="67CA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85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0AA9439">
            <w:pPr>
              <w:pStyle w:val="8"/>
              <w:spacing w:line="360" w:lineRule="auto"/>
              <w:jc w:val="center"/>
              <w:rPr>
                <w:rFonts w:hAnsi="宋体"/>
                <w:color w:val="auto"/>
                <w:szCs w:val="21"/>
              </w:rPr>
            </w:pPr>
            <w:r>
              <w:rPr>
                <w:rFonts w:hint="eastAsia" w:hAnsi="宋体"/>
                <w:color w:val="auto"/>
                <w:szCs w:val="21"/>
              </w:rPr>
              <w:t>序号</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95D1696">
            <w:pPr>
              <w:pStyle w:val="8"/>
              <w:spacing w:line="360" w:lineRule="auto"/>
              <w:jc w:val="center"/>
              <w:rPr>
                <w:rFonts w:hint="eastAsia" w:hAnsi="宋体" w:eastAsia="宋体"/>
                <w:color w:val="auto"/>
                <w:szCs w:val="21"/>
                <w:lang w:val="en-US" w:eastAsia="zh-CN"/>
              </w:rPr>
            </w:pPr>
            <w:r>
              <w:rPr>
                <w:rFonts w:hint="eastAsia" w:hAnsi="宋体"/>
                <w:color w:val="auto"/>
                <w:szCs w:val="21"/>
                <w:lang w:val="en-US" w:eastAsia="zh-CN"/>
              </w:rPr>
              <w:t>商务部分</w:t>
            </w:r>
          </w:p>
          <w:p w14:paraId="197989D3">
            <w:pPr>
              <w:pStyle w:val="8"/>
              <w:spacing w:line="360" w:lineRule="auto"/>
              <w:jc w:val="center"/>
              <w:rPr>
                <w:rFonts w:hAnsi="宋体"/>
                <w:color w:val="auto"/>
                <w:szCs w:val="21"/>
              </w:rPr>
            </w:pPr>
            <w:r>
              <w:rPr>
                <w:rFonts w:hint="eastAsia" w:hAnsi="宋体"/>
                <w:color w:val="auto"/>
                <w:szCs w:val="21"/>
              </w:rPr>
              <w:t>条目号</w:t>
            </w: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070BE1F">
            <w:pPr>
              <w:pStyle w:val="8"/>
              <w:spacing w:line="360" w:lineRule="auto"/>
              <w:jc w:val="center"/>
              <w:rPr>
                <w:rFonts w:hAnsi="宋体"/>
                <w:color w:val="auto"/>
                <w:szCs w:val="21"/>
              </w:rPr>
            </w:pPr>
            <w:r>
              <w:rPr>
                <w:rFonts w:hint="eastAsia" w:hAnsi="宋体"/>
                <w:color w:val="auto"/>
                <w:szCs w:val="21"/>
                <w:lang w:val="en-US" w:eastAsia="zh-CN"/>
              </w:rPr>
              <w:t>商务</w:t>
            </w:r>
            <w:r>
              <w:rPr>
                <w:rFonts w:hint="eastAsia" w:hAnsi="宋体"/>
                <w:color w:val="auto"/>
                <w:szCs w:val="21"/>
              </w:rPr>
              <w:t>要求</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358D871">
            <w:pPr>
              <w:pStyle w:val="8"/>
              <w:spacing w:line="360" w:lineRule="auto"/>
              <w:jc w:val="center"/>
              <w:rPr>
                <w:rFonts w:hAnsi="宋体"/>
                <w:color w:val="auto"/>
                <w:szCs w:val="21"/>
              </w:rPr>
            </w:pPr>
            <w:r>
              <w:rPr>
                <w:rFonts w:hint="eastAsia" w:hAnsi="宋体"/>
                <w:color w:val="auto"/>
                <w:szCs w:val="21"/>
              </w:rPr>
              <w:t>报价文件响应</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7BDA4E2">
            <w:pPr>
              <w:pStyle w:val="8"/>
              <w:spacing w:line="360" w:lineRule="auto"/>
              <w:jc w:val="center"/>
              <w:rPr>
                <w:rFonts w:hAnsi="宋体"/>
                <w:color w:val="auto"/>
                <w:szCs w:val="21"/>
              </w:rPr>
            </w:pPr>
            <w:r>
              <w:rPr>
                <w:rFonts w:hint="eastAsia" w:hAnsi="宋体"/>
                <w:color w:val="auto"/>
                <w:szCs w:val="21"/>
              </w:rPr>
              <w:t>偏差说明</w:t>
            </w:r>
          </w:p>
        </w:tc>
      </w:tr>
      <w:tr w14:paraId="298F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244C5D">
            <w:pPr>
              <w:pStyle w:val="8"/>
              <w:spacing w:line="360" w:lineRule="auto"/>
              <w:jc w:val="center"/>
              <w:rPr>
                <w:rFonts w:hAnsi="宋体"/>
                <w:color w:val="auto"/>
                <w:sz w:val="24"/>
              </w:rPr>
            </w:pPr>
            <w:r>
              <w:rPr>
                <w:rFonts w:hint="eastAsia" w:hAnsi="宋体"/>
                <w:color w:val="auto"/>
                <w:sz w:val="24"/>
              </w:rPr>
              <w:t>1</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D1CE99">
            <w:pPr>
              <w:pStyle w:val="8"/>
              <w:spacing w:line="360" w:lineRule="auto"/>
              <w:jc w:val="center"/>
              <w:rPr>
                <w:rFonts w:hAnsi="宋体"/>
                <w:color w:val="auto"/>
                <w:sz w:val="24"/>
              </w:rPr>
            </w:pP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B6350CF">
            <w:pPr>
              <w:pStyle w:val="8"/>
              <w:spacing w:line="360" w:lineRule="auto"/>
              <w:jc w:val="center"/>
              <w:rPr>
                <w:rFonts w:hAnsi="宋体"/>
                <w:color w:val="auto"/>
                <w:sz w:val="24"/>
              </w:rPr>
            </w:pP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949DB2C">
            <w:pPr>
              <w:pStyle w:val="8"/>
              <w:spacing w:line="360" w:lineRule="auto"/>
              <w:jc w:val="center"/>
              <w:rPr>
                <w:rFonts w:hAnsi="宋体"/>
                <w:color w:val="auto"/>
                <w:sz w:val="24"/>
              </w:rPr>
            </w:pP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76A264F">
            <w:pPr>
              <w:pStyle w:val="8"/>
              <w:spacing w:line="360" w:lineRule="auto"/>
              <w:jc w:val="center"/>
              <w:rPr>
                <w:rFonts w:hAnsi="宋体"/>
                <w:color w:val="auto"/>
                <w:sz w:val="24"/>
              </w:rPr>
            </w:pPr>
          </w:p>
        </w:tc>
      </w:tr>
      <w:tr w14:paraId="1F58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58513D">
            <w:pPr>
              <w:pStyle w:val="8"/>
              <w:spacing w:line="360" w:lineRule="auto"/>
              <w:jc w:val="center"/>
              <w:rPr>
                <w:rFonts w:hAnsi="宋体"/>
                <w:color w:val="auto"/>
                <w:sz w:val="24"/>
              </w:rPr>
            </w:pPr>
            <w:r>
              <w:rPr>
                <w:rFonts w:hint="eastAsia" w:hAnsi="宋体"/>
                <w:color w:val="auto"/>
                <w:sz w:val="24"/>
              </w:rPr>
              <w:t>2</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7412A6C">
            <w:pPr>
              <w:pStyle w:val="8"/>
              <w:spacing w:line="360" w:lineRule="auto"/>
              <w:jc w:val="center"/>
              <w:rPr>
                <w:rFonts w:hAnsi="宋体"/>
                <w:color w:val="auto"/>
                <w:sz w:val="24"/>
              </w:rPr>
            </w:pP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F72A25">
            <w:pPr>
              <w:pStyle w:val="8"/>
              <w:spacing w:line="360" w:lineRule="auto"/>
              <w:jc w:val="center"/>
              <w:rPr>
                <w:rFonts w:hAnsi="宋体"/>
                <w:color w:val="auto"/>
                <w:sz w:val="24"/>
              </w:rPr>
            </w:pP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51373C6">
            <w:pPr>
              <w:pStyle w:val="8"/>
              <w:spacing w:line="360" w:lineRule="auto"/>
              <w:jc w:val="center"/>
              <w:rPr>
                <w:rFonts w:hAnsi="宋体"/>
                <w:color w:val="auto"/>
                <w:sz w:val="24"/>
              </w:rPr>
            </w:pP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392CF3C">
            <w:pPr>
              <w:pStyle w:val="8"/>
              <w:spacing w:line="360" w:lineRule="auto"/>
              <w:jc w:val="center"/>
              <w:rPr>
                <w:rFonts w:hAnsi="宋体"/>
                <w:color w:val="auto"/>
                <w:sz w:val="24"/>
              </w:rPr>
            </w:pPr>
          </w:p>
        </w:tc>
      </w:tr>
    </w:tbl>
    <w:p w14:paraId="693D8E74">
      <w:pPr>
        <w:adjustRightInd w:val="0"/>
        <w:spacing w:before="120" w:beforeLines="50" w:line="360" w:lineRule="auto"/>
        <w:ind w:left="282" w:leftChars="134" w:right="281" w:rightChars="134" w:hanging="1"/>
        <w:rPr>
          <w:rFonts w:ascii="宋体" w:hAnsi="宋体"/>
          <w:color w:val="auto"/>
          <w:kern w:val="0"/>
          <w:szCs w:val="20"/>
        </w:rPr>
      </w:pPr>
      <w:r>
        <w:rPr>
          <w:rFonts w:hint="eastAsia" w:ascii="宋体" w:hAnsi="宋体"/>
          <w:color w:val="auto"/>
          <w:kern w:val="0"/>
          <w:szCs w:val="20"/>
        </w:rPr>
        <w:t>注：如无差异，则填“无” 。如果报价文件与询价文件的差异之处没有填入“差异表”中，不管报价人是否在报价文件的其他任何地方有其他描述，均不能免除报价人已经承诺响应询价文件要求的责任。</w:t>
      </w:r>
    </w:p>
    <w:p w14:paraId="2C9F54F6">
      <w:pPr>
        <w:spacing w:line="360" w:lineRule="auto"/>
        <w:rPr>
          <w:rFonts w:ascii="宋体"/>
          <w:color w:val="auto"/>
          <w:kern w:val="0"/>
          <w:szCs w:val="21"/>
        </w:rPr>
      </w:pPr>
    </w:p>
    <w:p w14:paraId="17FB5B36">
      <w:pPr>
        <w:spacing w:line="360" w:lineRule="auto"/>
        <w:rPr>
          <w:rFonts w:ascii="宋体"/>
          <w:color w:val="auto"/>
          <w:kern w:val="0"/>
          <w:szCs w:val="21"/>
        </w:rPr>
      </w:pPr>
    </w:p>
    <w:p w14:paraId="70717D3D">
      <w:pPr>
        <w:pStyle w:val="3"/>
        <w:rPr>
          <w:rFonts w:ascii="宋体"/>
          <w:color w:val="auto"/>
          <w:kern w:val="0"/>
          <w:szCs w:val="21"/>
        </w:rPr>
      </w:pPr>
    </w:p>
    <w:p w14:paraId="13C2CABB">
      <w:pPr>
        <w:rPr>
          <w:rFonts w:ascii="宋体"/>
          <w:color w:val="auto"/>
          <w:kern w:val="0"/>
          <w:szCs w:val="21"/>
        </w:rPr>
      </w:pPr>
    </w:p>
    <w:p w14:paraId="5C092AFD">
      <w:pPr>
        <w:pStyle w:val="3"/>
        <w:rPr>
          <w:rFonts w:ascii="宋体"/>
          <w:color w:val="auto"/>
          <w:kern w:val="0"/>
          <w:szCs w:val="21"/>
        </w:rPr>
      </w:pPr>
    </w:p>
    <w:p w14:paraId="4584FB54">
      <w:pPr>
        <w:rPr>
          <w:rFonts w:ascii="宋体"/>
          <w:color w:val="auto"/>
          <w:kern w:val="0"/>
          <w:szCs w:val="21"/>
        </w:rPr>
      </w:pPr>
    </w:p>
    <w:p w14:paraId="2ABFCF1F">
      <w:pPr>
        <w:pStyle w:val="3"/>
        <w:rPr>
          <w:rFonts w:ascii="宋体"/>
          <w:color w:val="auto"/>
          <w:kern w:val="0"/>
          <w:szCs w:val="21"/>
        </w:rPr>
      </w:pPr>
    </w:p>
    <w:p w14:paraId="3C260E80">
      <w:pPr>
        <w:rPr>
          <w:rFonts w:ascii="宋体"/>
          <w:color w:val="auto"/>
          <w:kern w:val="0"/>
          <w:szCs w:val="21"/>
        </w:rPr>
      </w:pPr>
    </w:p>
    <w:p w14:paraId="351AD717">
      <w:pPr>
        <w:pStyle w:val="3"/>
        <w:rPr>
          <w:rFonts w:ascii="宋体"/>
          <w:color w:val="auto"/>
          <w:kern w:val="0"/>
          <w:szCs w:val="21"/>
        </w:rPr>
      </w:pPr>
    </w:p>
    <w:p w14:paraId="7F6E7E32">
      <w:pPr>
        <w:rPr>
          <w:rFonts w:ascii="宋体"/>
          <w:color w:val="auto"/>
          <w:kern w:val="0"/>
          <w:szCs w:val="21"/>
        </w:rPr>
      </w:pPr>
    </w:p>
    <w:p w14:paraId="5CDD785C">
      <w:pPr>
        <w:pStyle w:val="28"/>
        <w:rPr>
          <w:color w:val="auto"/>
        </w:rPr>
      </w:pPr>
    </w:p>
    <w:p w14:paraId="2104CAD1">
      <w:pPr>
        <w:rPr>
          <w:rFonts w:hint="eastAsia" w:eastAsia="黑体"/>
          <w:b/>
          <w:bCs/>
          <w:color w:val="auto"/>
          <w:sz w:val="28"/>
          <w:lang w:val="en-US" w:eastAsia="zh-CN"/>
        </w:rPr>
      </w:pPr>
      <w:r>
        <w:rPr>
          <w:rFonts w:hint="eastAsia" w:eastAsia="黑体"/>
          <w:b/>
          <w:bCs/>
          <w:color w:val="auto"/>
          <w:sz w:val="28"/>
        </w:rPr>
        <w:t>格式</w:t>
      </w:r>
      <w:r>
        <w:rPr>
          <w:rFonts w:hint="eastAsia" w:eastAsia="黑体"/>
          <w:b/>
          <w:bCs/>
          <w:color w:val="auto"/>
          <w:sz w:val="28"/>
          <w:lang w:val="en-US" w:eastAsia="zh-CN"/>
        </w:rPr>
        <w:t>8</w:t>
      </w:r>
    </w:p>
    <w:p w14:paraId="31E85471">
      <w:pPr>
        <w:keepNext w:val="0"/>
        <w:keepLines w:val="0"/>
        <w:pageBreakBefore w:val="0"/>
        <w:widowControl w:val="0"/>
        <w:kinsoku/>
        <w:wordWrap/>
        <w:overflowPunct/>
        <w:topLinePunct w:val="0"/>
        <w:autoSpaceDE w:val="0"/>
        <w:autoSpaceDN w:val="0"/>
        <w:bidi w:val="0"/>
        <w:adjustRightInd/>
        <w:snapToGrid/>
        <w:spacing w:before="321" w:beforeLines="100" w:line="360" w:lineRule="auto"/>
        <w:jc w:val="center"/>
        <w:textAlignment w:val="auto"/>
        <w:outlineLvl w:val="0"/>
        <w:rPr>
          <w:rStyle w:val="31"/>
          <w:rFonts w:hint="eastAsia" w:ascii="华文仿宋" w:hAnsi="华文仿宋" w:eastAsia="华文仿宋" w:cs="华文仿宋"/>
          <w:color w:val="auto"/>
          <w:sz w:val="44"/>
          <w:szCs w:val="44"/>
          <w:lang w:val="zh-CN" w:eastAsia="zh-CN"/>
        </w:rPr>
      </w:pPr>
      <w:bookmarkStart w:id="25" w:name="_Toc4707"/>
      <w:r>
        <w:rPr>
          <w:rStyle w:val="31"/>
          <w:rFonts w:hint="eastAsia" w:ascii="华文仿宋" w:hAnsi="华文仿宋" w:eastAsia="华文仿宋" w:cs="华文仿宋"/>
          <w:color w:val="auto"/>
          <w:sz w:val="44"/>
          <w:szCs w:val="44"/>
          <w:lang w:val="zh-CN" w:eastAsia="zh-CN"/>
        </w:rPr>
        <w:t>技术部分差异表</w:t>
      </w:r>
    </w:p>
    <w:bookmarkEnd w:id="25"/>
    <w:p w14:paraId="75016AA6">
      <w:pPr>
        <w:pStyle w:val="8"/>
        <w:spacing w:before="120" w:beforeLines="50" w:after="120" w:afterLines="50" w:line="360" w:lineRule="auto"/>
        <w:rPr>
          <w:rFonts w:hAnsi="宋体"/>
          <w:color w:val="auto"/>
        </w:rPr>
      </w:pPr>
    </w:p>
    <w:tbl>
      <w:tblPr>
        <w:tblStyle w:val="16"/>
        <w:tblW w:w="85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770"/>
        <w:gridCol w:w="1663"/>
        <w:gridCol w:w="2978"/>
        <w:gridCol w:w="1663"/>
        <w:gridCol w:w="1476"/>
      </w:tblGrid>
      <w:tr w14:paraId="5591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85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2A73F68">
            <w:pPr>
              <w:pStyle w:val="8"/>
              <w:spacing w:line="360" w:lineRule="auto"/>
              <w:jc w:val="center"/>
              <w:rPr>
                <w:rFonts w:hAnsi="宋体"/>
                <w:color w:val="auto"/>
                <w:szCs w:val="21"/>
              </w:rPr>
            </w:pPr>
            <w:r>
              <w:rPr>
                <w:rFonts w:hint="eastAsia" w:hAnsi="宋体"/>
                <w:color w:val="auto"/>
                <w:szCs w:val="21"/>
              </w:rPr>
              <w:t>序号</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7FA5FFB">
            <w:pPr>
              <w:pStyle w:val="8"/>
              <w:spacing w:line="360" w:lineRule="auto"/>
              <w:jc w:val="center"/>
              <w:rPr>
                <w:rFonts w:hint="eastAsia" w:hAnsi="宋体" w:eastAsia="宋体"/>
                <w:color w:val="auto"/>
                <w:szCs w:val="21"/>
                <w:lang w:val="en-US" w:eastAsia="zh-CN"/>
              </w:rPr>
            </w:pPr>
            <w:r>
              <w:rPr>
                <w:rFonts w:hint="eastAsia" w:hAnsi="宋体"/>
                <w:color w:val="auto"/>
                <w:szCs w:val="21"/>
                <w:lang w:val="en-US" w:eastAsia="zh-CN"/>
              </w:rPr>
              <w:t>技术部分</w:t>
            </w:r>
          </w:p>
          <w:p w14:paraId="2DB5B8FF">
            <w:pPr>
              <w:pStyle w:val="8"/>
              <w:spacing w:line="360" w:lineRule="auto"/>
              <w:jc w:val="center"/>
              <w:rPr>
                <w:rFonts w:hAnsi="宋体"/>
                <w:color w:val="auto"/>
                <w:szCs w:val="21"/>
              </w:rPr>
            </w:pPr>
            <w:r>
              <w:rPr>
                <w:rFonts w:hint="eastAsia" w:hAnsi="宋体"/>
                <w:color w:val="auto"/>
                <w:szCs w:val="21"/>
              </w:rPr>
              <w:t>条目号</w:t>
            </w: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AF9297A">
            <w:pPr>
              <w:pStyle w:val="8"/>
              <w:spacing w:line="360" w:lineRule="auto"/>
              <w:jc w:val="center"/>
              <w:rPr>
                <w:rFonts w:hAnsi="宋体"/>
                <w:color w:val="auto"/>
                <w:szCs w:val="21"/>
              </w:rPr>
            </w:pPr>
            <w:r>
              <w:rPr>
                <w:rFonts w:hint="eastAsia" w:hAnsi="宋体"/>
                <w:color w:val="auto"/>
                <w:szCs w:val="21"/>
                <w:lang w:val="en-US" w:eastAsia="zh-CN"/>
              </w:rPr>
              <w:t>技术</w:t>
            </w:r>
            <w:r>
              <w:rPr>
                <w:rFonts w:hint="eastAsia" w:hAnsi="宋体"/>
                <w:color w:val="auto"/>
                <w:szCs w:val="21"/>
              </w:rPr>
              <w:t>要求</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838AFD1">
            <w:pPr>
              <w:pStyle w:val="8"/>
              <w:spacing w:line="360" w:lineRule="auto"/>
              <w:jc w:val="center"/>
              <w:rPr>
                <w:rFonts w:hAnsi="宋体"/>
                <w:color w:val="auto"/>
                <w:szCs w:val="21"/>
              </w:rPr>
            </w:pPr>
            <w:r>
              <w:rPr>
                <w:rFonts w:hint="eastAsia" w:hAnsi="宋体"/>
                <w:color w:val="auto"/>
                <w:szCs w:val="21"/>
              </w:rPr>
              <w:t>报价文件响应</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F93B859">
            <w:pPr>
              <w:pStyle w:val="8"/>
              <w:spacing w:line="360" w:lineRule="auto"/>
              <w:jc w:val="center"/>
              <w:rPr>
                <w:rFonts w:hAnsi="宋体"/>
                <w:color w:val="auto"/>
                <w:szCs w:val="21"/>
              </w:rPr>
            </w:pPr>
            <w:r>
              <w:rPr>
                <w:rFonts w:hint="eastAsia" w:hAnsi="宋体"/>
                <w:color w:val="auto"/>
                <w:szCs w:val="21"/>
              </w:rPr>
              <w:t>偏差说明</w:t>
            </w:r>
          </w:p>
        </w:tc>
      </w:tr>
      <w:tr w14:paraId="3926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3088D16">
            <w:pPr>
              <w:pStyle w:val="8"/>
              <w:spacing w:line="360" w:lineRule="auto"/>
              <w:jc w:val="center"/>
              <w:rPr>
                <w:rFonts w:hAnsi="宋体"/>
                <w:color w:val="auto"/>
                <w:sz w:val="24"/>
              </w:rPr>
            </w:pPr>
            <w:r>
              <w:rPr>
                <w:rFonts w:hint="eastAsia" w:hAnsi="宋体"/>
                <w:color w:val="auto"/>
                <w:sz w:val="24"/>
              </w:rPr>
              <w:t>1</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3118FCF">
            <w:pPr>
              <w:pStyle w:val="8"/>
              <w:spacing w:line="360" w:lineRule="auto"/>
              <w:jc w:val="center"/>
              <w:rPr>
                <w:rFonts w:hAnsi="宋体"/>
                <w:color w:val="auto"/>
                <w:sz w:val="24"/>
              </w:rPr>
            </w:pP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7165482">
            <w:pPr>
              <w:pStyle w:val="8"/>
              <w:spacing w:line="360" w:lineRule="auto"/>
              <w:jc w:val="center"/>
              <w:rPr>
                <w:rFonts w:hAnsi="宋体"/>
                <w:color w:val="auto"/>
                <w:sz w:val="24"/>
              </w:rPr>
            </w:pP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11A45E5">
            <w:pPr>
              <w:pStyle w:val="8"/>
              <w:spacing w:line="360" w:lineRule="auto"/>
              <w:jc w:val="center"/>
              <w:rPr>
                <w:rFonts w:hAnsi="宋体"/>
                <w:color w:val="auto"/>
                <w:sz w:val="24"/>
              </w:rPr>
            </w:pP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13933E1">
            <w:pPr>
              <w:pStyle w:val="8"/>
              <w:spacing w:line="360" w:lineRule="auto"/>
              <w:jc w:val="center"/>
              <w:rPr>
                <w:rFonts w:hAnsi="宋体"/>
                <w:color w:val="auto"/>
                <w:sz w:val="24"/>
              </w:rPr>
            </w:pPr>
          </w:p>
        </w:tc>
      </w:tr>
      <w:tr w14:paraId="0D4D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C6CD1D0">
            <w:pPr>
              <w:pStyle w:val="8"/>
              <w:spacing w:line="360" w:lineRule="auto"/>
              <w:jc w:val="center"/>
              <w:rPr>
                <w:rFonts w:hAnsi="宋体"/>
                <w:color w:val="auto"/>
                <w:sz w:val="24"/>
              </w:rPr>
            </w:pPr>
            <w:r>
              <w:rPr>
                <w:rFonts w:hint="eastAsia" w:hAnsi="宋体"/>
                <w:color w:val="auto"/>
                <w:sz w:val="24"/>
              </w:rPr>
              <w:t>2</w:t>
            </w: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4F91546">
            <w:pPr>
              <w:pStyle w:val="8"/>
              <w:spacing w:line="360" w:lineRule="auto"/>
              <w:jc w:val="center"/>
              <w:rPr>
                <w:rFonts w:hAnsi="宋体"/>
                <w:color w:val="auto"/>
                <w:sz w:val="24"/>
              </w:rPr>
            </w:pPr>
          </w:p>
        </w:tc>
        <w:tc>
          <w:tcPr>
            <w:tcW w:w="297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9C8F601">
            <w:pPr>
              <w:pStyle w:val="8"/>
              <w:spacing w:line="360" w:lineRule="auto"/>
              <w:jc w:val="center"/>
              <w:rPr>
                <w:rFonts w:hAnsi="宋体"/>
                <w:color w:val="auto"/>
                <w:sz w:val="24"/>
              </w:rPr>
            </w:pPr>
          </w:p>
        </w:tc>
        <w:tc>
          <w:tcPr>
            <w:tcW w:w="166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7CFE30E">
            <w:pPr>
              <w:pStyle w:val="8"/>
              <w:spacing w:line="360" w:lineRule="auto"/>
              <w:jc w:val="center"/>
              <w:rPr>
                <w:rFonts w:hAnsi="宋体"/>
                <w:color w:val="auto"/>
                <w:sz w:val="24"/>
              </w:rPr>
            </w:pP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B3CDC9A">
            <w:pPr>
              <w:pStyle w:val="8"/>
              <w:spacing w:line="360" w:lineRule="auto"/>
              <w:jc w:val="center"/>
              <w:rPr>
                <w:rFonts w:hAnsi="宋体"/>
                <w:color w:val="auto"/>
                <w:sz w:val="24"/>
              </w:rPr>
            </w:pPr>
          </w:p>
        </w:tc>
      </w:tr>
    </w:tbl>
    <w:p w14:paraId="6E8028AF">
      <w:pPr>
        <w:adjustRightInd w:val="0"/>
        <w:spacing w:before="120" w:beforeLines="50" w:line="360" w:lineRule="auto"/>
        <w:ind w:left="282" w:leftChars="134" w:right="281" w:rightChars="134" w:hanging="1"/>
        <w:rPr>
          <w:rFonts w:ascii="宋体" w:hAnsi="宋体"/>
          <w:color w:val="auto"/>
          <w:kern w:val="0"/>
          <w:szCs w:val="20"/>
        </w:rPr>
      </w:pPr>
      <w:r>
        <w:rPr>
          <w:rFonts w:hint="eastAsia" w:ascii="宋体" w:hAnsi="宋体"/>
          <w:color w:val="auto"/>
          <w:kern w:val="0"/>
          <w:szCs w:val="20"/>
        </w:rPr>
        <w:t>注：如无差异，则填“无” 。如果报价文件与询价文件的差异之处没有填入“差异表”中，不管报价人是否在报价文件的其他任何地方有其他描述，均不能免除报价人已经承诺响应询价文件要求的责任。</w:t>
      </w:r>
    </w:p>
    <w:p w14:paraId="5B44D6AB">
      <w:pPr>
        <w:rPr>
          <w:rFonts w:hint="eastAsia" w:ascii="Times New Roman" w:hAnsi="Times New Roman" w:eastAsia="黑体" w:cs="Times New Roman"/>
          <w:b/>
          <w:bCs/>
          <w:color w:val="auto"/>
          <w:sz w:val="28"/>
          <w:lang w:eastAsia="zh-CN"/>
        </w:rPr>
      </w:pPr>
    </w:p>
    <w:p w14:paraId="76D975F6">
      <w:pPr>
        <w:pStyle w:val="28"/>
        <w:rPr>
          <w:rFonts w:hint="eastAsia" w:ascii="Times New Roman" w:hAnsi="Times New Roman" w:eastAsia="黑体" w:cs="Times New Roman"/>
          <w:b/>
          <w:bCs/>
          <w:color w:val="auto"/>
          <w:sz w:val="28"/>
          <w:lang w:eastAsia="zh-CN"/>
        </w:rPr>
      </w:pPr>
    </w:p>
    <w:p w14:paraId="6B035B00">
      <w:pPr>
        <w:pStyle w:val="2"/>
        <w:rPr>
          <w:rFonts w:hint="eastAsia" w:ascii="Times New Roman" w:hAnsi="Times New Roman" w:eastAsia="黑体" w:cs="Times New Roman"/>
          <w:b/>
          <w:bCs/>
          <w:color w:val="auto"/>
          <w:sz w:val="28"/>
          <w:lang w:eastAsia="zh-CN"/>
        </w:rPr>
      </w:pPr>
    </w:p>
    <w:p w14:paraId="22A74F49">
      <w:pPr>
        <w:pStyle w:val="2"/>
        <w:rPr>
          <w:rFonts w:hint="eastAsia" w:ascii="Times New Roman" w:hAnsi="Times New Roman" w:eastAsia="黑体" w:cs="Times New Roman"/>
          <w:b/>
          <w:bCs/>
          <w:color w:val="auto"/>
          <w:sz w:val="28"/>
          <w:lang w:eastAsia="zh-CN"/>
        </w:rPr>
      </w:pPr>
    </w:p>
    <w:p w14:paraId="3F16F647">
      <w:pPr>
        <w:pStyle w:val="2"/>
        <w:rPr>
          <w:rFonts w:hint="eastAsia" w:ascii="Times New Roman" w:hAnsi="Times New Roman" w:eastAsia="黑体" w:cs="Times New Roman"/>
          <w:b/>
          <w:bCs/>
          <w:color w:val="auto"/>
          <w:sz w:val="28"/>
          <w:lang w:eastAsia="zh-CN"/>
        </w:rPr>
      </w:pPr>
    </w:p>
    <w:p w14:paraId="74330436">
      <w:pPr>
        <w:pStyle w:val="2"/>
        <w:rPr>
          <w:rFonts w:hint="eastAsia" w:ascii="Times New Roman" w:hAnsi="Times New Roman" w:eastAsia="黑体" w:cs="Times New Roman"/>
          <w:b/>
          <w:bCs/>
          <w:color w:val="auto"/>
          <w:sz w:val="28"/>
          <w:lang w:eastAsia="zh-CN"/>
        </w:rPr>
      </w:pPr>
    </w:p>
    <w:p w14:paraId="514BAE7E">
      <w:pPr>
        <w:pStyle w:val="2"/>
        <w:rPr>
          <w:rFonts w:hint="eastAsia" w:ascii="Times New Roman" w:hAnsi="Times New Roman" w:eastAsia="黑体" w:cs="Times New Roman"/>
          <w:b/>
          <w:bCs/>
          <w:color w:val="auto"/>
          <w:sz w:val="28"/>
          <w:lang w:eastAsia="zh-CN"/>
        </w:rPr>
      </w:pPr>
    </w:p>
    <w:p w14:paraId="6B741A97">
      <w:pPr>
        <w:pStyle w:val="2"/>
        <w:rPr>
          <w:rFonts w:hint="eastAsia" w:ascii="Times New Roman" w:hAnsi="Times New Roman" w:eastAsia="黑体" w:cs="Times New Roman"/>
          <w:b/>
          <w:bCs/>
          <w:color w:val="auto"/>
          <w:sz w:val="28"/>
          <w:lang w:eastAsia="zh-CN"/>
        </w:rPr>
      </w:pPr>
    </w:p>
    <w:p w14:paraId="548A0A78">
      <w:pPr>
        <w:pStyle w:val="2"/>
        <w:rPr>
          <w:rFonts w:hint="eastAsia" w:ascii="Times New Roman" w:hAnsi="Times New Roman" w:eastAsia="黑体" w:cs="Times New Roman"/>
          <w:b/>
          <w:bCs/>
          <w:color w:val="auto"/>
          <w:sz w:val="28"/>
          <w:lang w:eastAsia="zh-CN"/>
        </w:rPr>
      </w:pPr>
    </w:p>
    <w:p w14:paraId="6E00F1EF">
      <w:pPr>
        <w:pStyle w:val="2"/>
        <w:rPr>
          <w:rFonts w:hint="eastAsia" w:ascii="Times New Roman" w:hAnsi="Times New Roman" w:eastAsia="黑体" w:cs="Times New Roman"/>
          <w:b/>
          <w:bCs/>
          <w:color w:val="auto"/>
          <w:sz w:val="28"/>
          <w:lang w:eastAsia="zh-CN"/>
        </w:rPr>
      </w:pPr>
    </w:p>
    <w:p w14:paraId="4064338C">
      <w:pPr>
        <w:pStyle w:val="2"/>
        <w:rPr>
          <w:rFonts w:hint="eastAsia" w:ascii="Times New Roman" w:hAnsi="Times New Roman" w:eastAsia="黑体" w:cs="Times New Roman"/>
          <w:b/>
          <w:bCs/>
          <w:color w:val="auto"/>
          <w:sz w:val="28"/>
          <w:lang w:eastAsia="zh-CN"/>
        </w:rPr>
      </w:pPr>
    </w:p>
    <w:p w14:paraId="45B044F0">
      <w:pPr>
        <w:pStyle w:val="2"/>
        <w:rPr>
          <w:rFonts w:hint="eastAsia" w:ascii="Times New Roman" w:hAnsi="Times New Roman" w:eastAsia="黑体" w:cs="Times New Roman"/>
          <w:b/>
          <w:bCs/>
          <w:color w:val="auto"/>
          <w:sz w:val="28"/>
          <w:lang w:eastAsia="zh-CN"/>
        </w:rPr>
      </w:pPr>
    </w:p>
    <w:p w14:paraId="4FF40647">
      <w:pPr>
        <w:rPr>
          <w:rFonts w:hint="eastAsia" w:ascii="Times New Roman" w:hAnsi="Times New Roman" w:eastAsia="黑体" w:cs="Times New Roman"/>
          <w:b/>
          <w:bCs/>
          <w:color w:val="auto"/>
          <w:sz w:val="28"/>
          <w:lang w:val="en-US" w:eastAsia="zh-CN"/>
        </w:rPr>
      </w:pPr>
      <w:r>
        <w:rPr>
          <w:rFonts w:hint="eastAsia" w:ascii="Times New Roman" w:hAnsi="Times New Roman" w:eastAsia="黑体" w:cs="Times New Roman"/>
          <w:b/>
          <w:bCs/>
          <w:color w:val="auto"/>
          <w:sz w:val="28"/>
          <w:lang w:eastAsia="zh-CN"/>
        </w:rPr>
        <w:t>格式</w:t>
      </w:r>
      <w:r>
        <w:rPr>
          <w:rFonts w:hint="eastAsia" w:ascii="Times New Roman" w:hAnsi="Times New Roman" w:eastAsia="黑体" w:cs="Times New Roman"/>
          <w:b/>
          <w:bCs/>
          <w:color w:val="auto"/>
          <w:sz w:val="28"/>
          <w:lang w:val="en-US" w:eastAsia="zh-CN"/>
        </w:rPr>
        <w:t>9</w:t>
      </w:r>
    </w:p>
    <w:p w14:paraId="08469EA3">
      <w:pPr>
        <w:pStyle w:val="2"/>
        <w:rPr>
          <w:rFonts w:hint="eastAsia" w:ascii="Times New Roman" w:hAnsi="Times New Roman" w:eastAsia="黑体" w:cs="Times New Roman"/>
          <w:b/>
          <w:bCs/>
          <w:color w:val="auto"/>
          <w:sz w:val="28"/>
          <w:lang w:eastAsia="zh-CN"/>
        </w:rPr>
      </w:pPr>
    </w:p>
    <w:p w14:paraId="13F0EEF6">
      <w:pPr>
        <w:pStyle w:val="2"/>
        <w:jc w:val="center"/>
        <w:rPr>
          <w:rFonts w:hint="eastAsia" w:eastAsia="仿宋_GB2312"/>
          <w:bCs/>
          <w:color w:val="auto"/>
          <w:lang w:eastAsia="zh-CN"/>
        </w:rPr>
      </w:pPr>
      <w:r>
        <w:rPr>
          <w:rFonts w:hint="eastAsia"/>
          <w:bCs/>
          <w:color w:val="auto"/>
          <w:lang w:eastAsia="zh-CN"/>
        </w:rPr>
        <w:t>涉及本项目的</w:t>
      </w:r>
      <w:r>
        <w:rPr>
          <w:rFonts w:hint="eastAsia"/>
          <w:bCs/>
          <w:color w:val="auto"/>
        </w:rPr>
        <w:t>备品备件工具材料明细表</w:t>
      </w:r>
      <w:r>
        <w:rPr>
          <w:rFonts w:hint="eastAsia"/>
          <w:bCs/>
          <w:color w:val="auto"/>
          <w:lang w:eastAsia="zh-CN"/>
        </w:rPr>
        <w:t>格式自拟</w:t>
      </w:r>
    </w:p>
    <w:p w14:paraId="74AA9F0A">
      <w:pPr>
        <w:pStyle w:val="2"/>
        <w:ind w:firstLine="480" w:firstLineChars="200"/>
        <w:rPr>
          <w:rFonts w:hint="eastAsia"/>
          <w:bCs/>
          <w:color w:val="auto"/>
        </w:rPr>
      </w:pPr>
    </w:p>
    <w:p w14:paraId="65CCCF82">
      <w:pPr>
        <w:pStyle w:val="2"/>
        <w:ind w:firstLine="480" w:firstLineChars="200"/>
        <w:rPr>
          <w:rFonts w:hint="eastAsia"/>
          <w:bCs/>
          <w:color w:val="auto"/>
          <w:lang w:eastAsia="zh-CN"/>
        </w:rPr>
      </w:pPr>
    </w:p>
    <w:p w14:paraId="7F63372F">
      <w:pPr>
        <w:rPr>
          <w:rFonts w:hint="eastAsia" w:ascii="Times New Roman" w:hAnsi="Times New Roman" w:eastAsia="黑体" w:cs="Times New Roman"/>
          <w:b/>
          <w:bCs/>
          <w:color w:val="auto"/>
          <w:sz w:val="28"/>
          <w:lang w:eastAsia="zh-CN"/>
        </w:rPr>
      </w:pPr>
    </w:p>
    <w:p w14:paraId="5AB9DCF7">
      <w:pPr>
        <w:rPr>
          <w:rFonts w:hint="eastAsia" w:ascii="Times New Roman" w:hAnsi="Times New Roman" w:eastAsia="黑体" w:cs="Times New Roman"/>
          <w:b/>
          <w:bCs/>
          <w:color w:val="auto"/>
          <w:sz w:val="28"/>
          <w:lang w:eastAsia="zh-CN"/>
        </w:rPr>
      </w:pPr>
    </w:p>
    <w:p w14:paraId="7C9241A0">
      <w:pPr>
        <w:rPr>
          <w:rFonts w:hint="eastAsia" w:ascii="Times New Roman" w:hAnsi="Times New Roman" w:eastAsia="黑体" w:cs="Times New Roman"/>
          <w:b/>
          <w:bCs/>
          <w:color w:val="auto"/>
          <w:sz w:val="28"/>
          <w:lang w:eastAsia="zh-CN"/>
        </w:rPr>
      </w:pPr>
    </w:p>
    <w:p w14:paraId="320E3890">
      <w:pPr>
        <w:rPr>
          <w:rFonts w:hint="eastAsia" w:ascii="Times New Roman" w:hAnsi="Times New Roman" w:eastAsia="黑体" w:cs="Times New Roman"/>
          <w:b/>
          <w:bCs/>
          <w:color w:val="auto"/>
          <w:sz w:val="28"/>
          <w:lang w:eastAsia="zh-CN"/>
        </w:rPr>
      </w:pPr>
    </w:p>
    <w:p w14:paraId="433AAC4B">
      <w:pPr>
        <w:rPr>
          <w:rFonts w:hint="eastAsia" w:ascii="Times New Roman" w:hAnsi="Times New Roman" w:eastAsia="黑体" w:cs="Times New Roman"/>
          <w:b/>
          <w:bCs/>
          <w:color w:val="auto"/>
          <w:sz w:val="28"/>
          <w:lang w:eastAsia="zh-CN"/>
        </w:rPr>
      </w:pPr>
    </w:p>
    <w:p w14:paraId="2F3DD6F5">
      <w:pPr>
        <w:rPr>
          <w:rFonts w:hint="eastAsia" w:ascii="Times New Roman" w:hAnsi="Times New Roman" w:eastAsia="黑体" w:cs="Times New Roman"/>
          <w:b/>
          <w:bCs/>
          <w:color w:val="auto"/>
          <w:sz w:val="28"/>
          <w:lang w:eastAsia="zh-CN"/>
        </w:rPr>
      </w:pPr>
    </w:p>
    <w:p w14:paraId="6A050E7E">
      <w:pPr>
        <w:rPr>
          <w:rFonts w:hint="eastAsia" w:ascii="Times New Roman" w:hAnsi="Times New Roman" w:eastAsia="黑体" w:cs="Times New Roman"/>
          <w:b/>
          <w:bCs/>
          <w:color w:val="auto"/>
          <w:sz w:val="28"/>
          <w:lang w:eastAsia="zh-CN"/>
        </w:rPr>
      </w:pPr>
    </w:p>
    <w:p w14:paraId="2F450E72">
      <w:pPr>
        <w:rPr>
          <w:rFonts w:hint="eastAsia" w:ascii="Times New Roman" w:hAnsi="Times New Roman" w:eastAsia="黑体" w:cs="Times New Roman"/>
          <w:b/>
          <w:bCs/>
          <w:color w:val="auto"/>
          <w:sz w:val="28"/>
          <w:lang w:eastAsia="zh-CN"/>
        </w:rPr>
      </w:pPr>
    </w:p>
    <w:p w14:paraId="730AC213">
      <w:pPr>
        <w:rPr>
          <w:rFonts w:hint="eastAsia" w:ascii="Times New Roman" w:hAnsi="Times New Roman" w:eastAsia="黑体" w:cs="Times New Roman"/>
          <w:b/>
          <w:bCs/>
          <w:color w:val="auto"/>
          <w:sz w:val="28"/>
          <w:lang w:eastAsia="zh-CN"/>
        </w:rPr>
      </w:pPr>
    </w:p>
    <w:p w14:paraId="412C58F5">
      <w:pPr>
        <w:rPr>
          <w:rFonts w:hint="eastAsia" w:ascii="Times New Roman" w:hAnsi="Times New Roman" w:eastAsia="黑体" w:cs="Times New Roman"/>
          <w:b/>
          <w:bCs/>
          <w:color w:val="auto"/>
          <w:sz w:val="28"/>
          <w:lang w:eastAsia="zh-CN"/>
        </w:rPr>
      </w:pPr>
    </w:p>
    <w:p w14:paraId="24051669">
      <w:pPr>
        <w:rPr>
          <w:rFonts w:hint="eastAsia" w:ascii="Times New Roman" w:hAnsi="Times New Roman" w:eastAsia="黑体" w:cs="Times New Roman"/>
          <w:b/>
          <w:bCs/>
          <w:color w:val="auto"/>
          <w:sz w:val="28"/>
          <w:lang w:eastAsia="zh-CN"/>
        </w:rPr>
      </w:pPr>
    </w:p>
    <w:p w14:paraId="6C1F16AB">
      <w:pPr>
        <w:rPr>
          <w:rFonts w:hint="eastAsia" w:ascii="Times New Roman" w:hAnsi="Times New Roman" w:eastAsia="黑体" w:cs="Times New Roman"/>
          <w:b/>
          <w:bCs/>
          <w:color w:val="auto"/>
          <w:sz w:val="28"/>
          <w:lang w:eastAsia="zh-CN"/>
        </w:rPr>
      </w:pPr>
    </w:p>
    <w:p w14:paraId="046A625C">
      <w:pPr>
        <w:rPr>
          <w:rFonts w:hint="eastAsia" w:ascii="Times New Roman" w:hAnsi="Times New Roman" w:eastAsia="黑体" w:cs="Times New Roman"/>
          <w:b/>
          <w:bCs/>
          <w:color w:val="auto"/>
          <w:sz w:val="28"/>
          <w:lang w:eastAsia="zh-CN"/>
        </w:rPr>
      </w:pPr>
    </w:p>
    <w:p w14:paraId="75935BA6">
      <w:pPr>
        <w:rPr>
          <w:rFonts w:hint="eastAsia" w:ascii="Times New Roman" w:hAnsi="Times New Roman" w:eastAsia="黑体" w:cs="Times New Roman"/>
          <w:b/>
          <w:bCs/>
          <w:color w:val="auto"/>
          <w:sz w:val="28"/>
          <w:lang w:eastAsia="zh-CN"/>
        </w:rPr>
      </w:pPr>
    </w:p>
    <w:p w14:paraId="4B89AF71">
      <w:pPr>
        <w:rPr>
          <w:rFonts w:hint="eastAsia" w:ascii="Times New Roman" w:hAnsi="Times New Roman" w:eastAsia="黑体" w:cs="Times New Roman"/>
          <w:b/>
          <w:bCs/>
          <w:color w:val="auto"/>
          <w:sz w:val="28"/>
          <w:lang w:eastAsia="zh-CN"/>
        </w:rPr>
      </w:pPr>
    </w:p>
    <w:p w14:paraId="0B06A3B5">
      <w:pPr>
        <w:rPr>
          <w:rFonts w:hint="eastAsia" w:ascii="Times New Roman" w:hAnsi="Times New Roman" w:eastAsia="黑体" w:cs="Times New Roman"/>
          <w:b/>
          <w:bCs/>
          <w:color w:val="auto"/>
          <w:sz w:val="28"/>
          <w:lang w:eastAsia="zh-CN"/>
        </w:rPr>
      </w:pPr>
    </w:p>
    <w:p w14:paraId="245E955F">
      <w:pPr>
        <w:rPr>
          <w:rFonts w:hint="eastAsia" w:ascii="Times New Roman" w:hAnsi="Times New Roman" w:eastAsia="黑体" w:cs="Times New Roman"/>
          <w:b/>
          <w:bCs/>
          <w:color w:val="auto"/>
          <w:sz w:val="28"/>
          <w:lang w:eastAsia="zh-CN"/>
        </w:rPr>
      </w:pPr>
    </w:p>
    <w:p w14:paraId="063DABB8">
      <w:pPr>
        <w:rPr>
          <w:rFonts w:hint="eastAsia" w:ascii="Times New Roman" w:hAnsi="Times New Roman" w:eastAsia="黑体" w:cs="Times New Roman"/>
          <w:b/>
          <w:bCs/>
          <w:color w:val="auto"/>
          <w:sz w:val="28"/>
          <w:lang w:eastAsia="zh-CN"/>
        </w:rPr>
      </w:pPr>
    </w:p>
    <w:p w14:paraId="378C96C1">
      <w:pPr>
        <w:rPr>
          <w:rFonts w:hint="default" w:ascii="Times New Roman" w:hAnsi="Times New Roman" w:eastAsia="黑体" w:cs="Times New Roman"/>
          <w:b/>
          <w:bCs/>
          <w:color w:val="auto"/>
          <w:sz w:val="28"/>
          <w:lang w:val="en-US" w:eastAsia="zh-CN"/>
        </w:rPr>
      </w:pPr>
      <w:r>
        <w:rPr>
          <w:rFonts w:hint="eastAsia" w:ascii="Times New Roman" w:hAnsi="Times New Roman" w:eastAsia="黑体" w:cs="Times New Roman"/>
          <w:b/>
          <w:bCs/>
          <w:color w:val="auto"/>
          <w:sz w:val="28"/>
          <w:lang w:eastAsia="zh-CN"/>
        </w:rPr>
        <w:t>格式</w:t>
      </w:r>
      <w:r>
        <w:rPr>
          <w:rFonts w:hint="eastAsia" w:ascii="Times New Roman" w:hAnsi="Times New Roman" w:eastAsia="黑体" w:cs="Times New Roman"/>
          <w:b/>
          <w:bCs/>
          <w:color w:val="auto"/>
          <w:sz w:val="28"/>
          <w:lang w:val="en-US" w:eastAsia="zh-CN"/>
        </w:rPr>
        <w:t>10</w:t>
      </w:r>
    </w:p>
    <w:p w14:paraId="6E80156C">
      <w:pPr>
        <w:bidi w:val="0"/>
        <w:rPr>
          <w:rFonts w:hint="default"/>
          <w:color w:val="auto"/>
          <w:lang w:val="en-US" w:eastAsia="zh-CN"/>
        </w:rPr>
      </w:pPr>
      <w:r>
        <w:rPr>
          <w:rFonts w:hint="eastAsia"/>
          <w:color w:val="auto"/>
          <w:lang w:val="en-US" w:eastAsia="zh-CN"/>
        </w:rPr>
        <w:t xml:space="preserve">                  </w:t>
      </w:r>
      <w:r>
        <w:rPr>
          <w:rFonts w:hint="eastAsia" w:ascii="宋体" w:hAnsi="宋体" w:cs="Times New Roman"/>
          <w:color w:val="auto"/>
          <w:sz w:val="24"/>
          <w:lang w:val="en-US" w:eastAsia="zh-CN"/>
        </w:rPr>
        <w:t>业绩部分及其他投标方认为需要提交的证明材料格式自拟</w:t>
      </w:r>
    </w:p>
    <w:p w14:paraId="6A477270">
      <w:pPr>
        <w:spacing w:line="360" w:lineRule="auto"/>
        <w:rPr>
          <w:rFonts w:ascii="宋体"/>
          <w:color w:val="auto"/>
          <w:kern w:val="0"/>
          <w:szCs w:val="21"/>
        </w:rPr>
      </w:pPr>
    </w:p>
    <w:p w14:paraId="23DF385C">
      <w:pPr>
        <w:spacing w:line="360" w:lineRule="auto"/>
        <w:rPr>
          <w:rFonts w:ascii="宋体"/>
          <w:color w:val="auto"/>
          <w:kern w:val="0"/>
          <w:szCs w:val="21"/>
        </w:rPr>
      </w:pPr>
    </w:p>
    <w:p w14:paraId="753B5C24">
      <w:pPr>
        <w:spacing w:line="360" w:lineRule="auto"/>
        <w:ind w:right="560" w:firstLine="420" w:firstLineChars="200"/>
        <w:rPr>
          <w:rFonts w:ascii="宋体"/>
          <w:color w:val="auto"/>
          <w:kern w:val="0"/>
          <w:szCs w:val="21"/>
        </w:rPr>
      </w:pPr>
    </w:p>
    <w:p w14:paraId="0318963A">
      <w:pPr>
        <w:pStyle w:val="8"/>
        <w:spacing w:line="360" w:lineRule="auto"/>
        <w:rPr>
          <w:rFonts w:hAnsi="宋体"/>
          <w:b/>
          <w:color w:val="auto"/>
          <w:sz w:val="24"/>
          <w:szCs w:val="24"/>
        </w:rPr>
      </w:pPr>
    </w:p>
    <w:p w14:paraId="0E8EF55F">
      <w:pPr>
        <w:pStyle w:val="8"/>
        <w:spacing w:line="360" w:lineRule="auto"/>
        <w:rPr>
          <w:rFonts w:hAnsi="宋体"/>
          <w:b/>
          <w:color w:val="auto"/>
          <w:sz w:val="24"/>
          <w:szCs w:val="24"/>
        </w:rPr>
      </w:pPr>
    </w:p>
    <w:p w14:paraId="67F6BA60">
      <w:pPr>
        <w:pStyle w:val="8"/>
        <w:spacing w:line="360" w:lineRule="auto"/>
        <w:rPr>
          <w:rFonts w:hAnsi="宋体"/>
          <w:b/>
          <w:color w:val="auto"/>
          <w:sz w:val="24"/>
          <w:szCs w:val="24"/>
        </w:rPr>
      </w:pPr>
    </w:p>
    <w:p w14:paraId="3172853B">
      <w:pPr>
        <w:pStyle w:val="8"/>
        <w:spacing w:line="360" w:lineRule="auto"/>
        <w:rPr>
          <w:rFonts w:hAnsi="宋体"/>
          <w:b/>
          <w:color w:val="auto"/>
          <w:sz w:val="24"/>
          <w:szCs w:val="24"/>
        </w:rPr>
      </w:pPr>
    </w:p>
    <w:p w14:paraId="0590220B">
      <w:pPr>
        <w:pStyle w:val="8"/>
        <w:spacing w:line="360" w:lineRule="auto"/>
        <w:rPr>
          <w:rFonts w:hAnsi="宋体"/>
          <w:b/>
          <w:color w:val="auto"/>
          <w:sz w:val="24"/>
          <w:szCs w:val="24"/>
        </w:rPr>
      </w:pPr>
    </w:p>
    <w:p w14:paraId="50600220">
      <w:pPr>
        <w:pStyle w:val="8"/>
        <w:spacing w:line="360" w:lineRule="auto"/>
        <w:ind w:firstLine="281" w:firstLineChars="100"/>
        <w:rPr>
          <w:rFonts w:hint="eastAsia" w:ascii="黑体" w:eastAsia="黑体"/>
          <w:b/>
          <w:bCs/>
          <w:color w:val="auto"/>
          <w:sz w:val="36"/>
          <w:szCs w:val="36"/>
        </w:rPr>
      </w:pPr>
      <w:r>
        <w:rPr>
          <w:rFonts w:hint="eastAsia" w:eastAsia="黑体"/>
          <w:b/>
          <w:bCs/>
          <w:color w:val="auto"/>
          <w:sz w:val="28"/>
        </w:rPr>
        <w:br w:type="page"/>
      </w:r>
    </w:p>
    <w:p w14:paraId="38B598BD">
      <w:pPr>
        <w:jc w:val="center"/>
        <w:rPr>
          <w:rStyle w:val="31"/>
          <w:rFonts w:hint="eastAsia" w:cs="Times New Roman"/>
          <w:color w:val="auto"/>
          <w:lang w:val="en-US" w:eastAsia="zh-CN"/>
        </w:rPr>
      </w:pPr>
      <w:bookmarkStart w:id="26" w:name="_Toc15473"/>
      <w:r>
        <w:rPr>
          <w:rStyle w:val="31"/>
          <w:rFonts w:hint="eastAsia" w:cs="Times New Roman"/>
          <w:color w:val="auto"/>
          <w:lang w:val="en-US" w:eastAsia="zh-CN"/>
        </w:rPr>
        <w:t>第三章  技术协议书</w:t>
      </w:r>
    </w:p>
    <w:bookmarkEnd w:id="26"/>
    <w:p w14:paraId="6FDF74A4">
      <w:pPr>
        <w:pStyle w:val="8"/>
        <w:spacing w:line="360" w:lineRule="auto"/>
        <w:rPr>
          <w:rFonts w:ascii="黑体" w:hAnsi="黑体" w:eastAsia="黑体"/>
          <w:b/>
          <w:bCs/>
          <w:color w:val="auto"/>
          <w:sz w:val="28"/>
          <w:szCs w:val="28"/>
        </w:rPr>
      </w:pPr>
      <w:r>
        <w:rPr>
          <w:rFonts w:hint="eastAsia" w:ascii="黑体" w:hAnsi="黑体" w:eastAsia="黑体"/>
          <w:b/>
          <w:bCs/>
          <w:color w:val="auto"/>
          <w:sz w:val="28"/>
          <w:szCs w:val="28"/>
        </w:rPr>
        <w:t>一、项目名称</w:t>
      </w:r>
    </w:p>
    <w:p w14:paraId="591798FE">
      <w:pPr>
        <w:pStyle w:val="8"/>
        <w:numPr>
          <w:ilvl w:val="0"/>
          <w:numId w:val="3"/>
        </w:numPr>
        <w:spacing w:line="360" w:lineRule="auto"/>
        <w:rPr>
          <w:rFonts w:ascii="黑体" w:hAnsi="黑体" w:eastAsia="黑体"/>
          <w:b/>
          <w:bCs/>
          <w:color w:val="auto"/>
          <w:sz w:val="28"/>
          <w:szCs w:val="28"/>
        </w:rPr>
      </w:pPr>
      <w:r>
        <w:rPr>
          <w:rFonts w:hint="eastAsia"/>
          <w:color w:val="auto"/>
          <w:lang w:val="en-US" w:eastAsia="zh-CN"/>
        </w:rPr>
        <w:t>2026年涂装线及补漆线VOCs在线监测设备运维项目</w:t>
      </w:r>
      <w:r>
        <w:rPr>
          <w:rFonts w:hint="eastAsia"/>
          <w:color w:val="auto"/>
        </w:rPr>
        <w:t xml:space="preserve"> </w:t>
      </w:r>
    </w:p>
    <w:p w14:paraId="3F60185C">
      <w:pPr>
        <w:pStyle w:val="8"/>
        <w:numPr>
          <w:ilvl w:val="0"/>
          <w:numId w:val="3"/>
        </w:numPr>
        <w:spacing w:line="360" w:lineRule="auto"/>
        <w:rPr>
          <w:rFonts w:ascii="黑体" w:hAnsi="黑体" w:eastAsia="黑体"/>
          <w:b/>
          <w:bCs/>
          <w:color w:val="auto"/>
          <w:sz w:val="28"/>
          <w:szCs w:val="28"/>
        </w:rPr>
      </w:pPr>
      <w:r>
        <w:rPr>
          <w:rFonts w:hint="eastAsia" w:ascii="黑体" w:hAnsi="黑体" w:eastAsia="黑体"/>
          <w:b/>
          <w:bCs/>
          <w:color w:val="auto"/>
          <w:sz w:val="28"/>
          <w:szCs w:val="28"/>
        </w:rPr>
        <w:t>维修内容</w:t>
      </w:r>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0"/>
        <w:gridCol w:w="2444"/>
        <w:gridCol w:w="2144"/>
        <w:gridCol w:w="1904"/>
      </w:tblGrid>
      <w:tr w14:paraId="6166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46" w:type="dxa"/>
            <w:tcBorders>
              <w:top w:val="single" w:color="auto" w:sz="12" w:space="0"/>
              <w:left w:val="single" w:color="auto" w:sz="12" w:space="0"/>
            </w:tcBorders>
            <w:vAlign w:val="center"/>
          </w:tcPr>
          <w:p w14:paraId="0A0A3C13">
            <w:pPr>
              <w:keepNext w:val="0"/>
              <w:keepLines w:val="0"/>
              <w:suppressLineNumbers w:val="0"/>
              <w:spacing w:before="0" w:beforeAutospacing="0" w:after="0" w:afterAutospacing="0"/>
              <w:ind w:left="0" w:right="0"/>
              <w:jc w:val="center"/>
              <w:rPr>
                <w:rFonts w:hint="default" w:ascii="黑体" w:hAnsi="宋体" w:eastAsia="黑体"/>
                <w:color w:val="auto"/>
              </w:rPr>
            </w:pPr>
            <w:r>
              <w:rPr>
                <w:rFonts w:hint="eastAsia" w:ascii="宋体" w:hAnsi="宋体" w:cs="宋体"/>
                <w:b/>
                <w:bCs/>
                <w:color w:val="auto"/>
                <w:kern w:val="0"/>
                <w:szCs w:val="21"/>
              </w:rPr>
              <w:t>序号</w:t>
            </w:r>
          </w:p>
        </w:tc>
        <w:tc>
          <w:tcPr>
            <w:tcW w:w="2120" w:type="dxa"/>
            <w:tcBorders>
              <w:top w:val="single" w:color="auto" w:sz="12" w:space="0"/>
            </w:tcBorders>
            <w:vAlign w:val="center"/>
          </w:tcPr>
          <w:p w14:paraId="6554FEBB">
            <w:pPr>
              <w:keepNext w:val="0"/>
              <w:keepLines w:val="0"/>
              <w:suppressLineNumbers w:val="0"/>
              <w:spacing w:before="0" w:beforeAutospacing="0" w:after="0" w:afterAutospacing="0"/>
              <w:ind w:left="0" w:right="0"/>
              <w:jc w:val="center"/>
              <w:rPr>
                <w:rFonts w:hint="default" w:ascii="黑体" w:hAnsi="宋体" w:eastAsia="黑体"/>
                <w:color w:val="auto"/>
              </w:rPr>
            </w:pPr>
            <w:r>
              <w:rPr>
                <w:rFonts w:hint="eastAsia" w:ascii="宋体" w:hAnsi="宋体" w:cs="宋体"/>
                <w:b/>
                <w:bCs/>
                <w:color w:val="auto"/>
                <w:kern w:val="0"/>
                <w:szCs w:val="21"/>
              </w:rPr>
              <w:t>设备名称</w:t>
            </w:r>
          </w:p>
        </w:tc>
        <w:tc>
          <w:tcPr>
            <w:tcW w:w="2444" w:type="dxa"/>
            <w:tcBorders>
              <w:top w:val="single" w:color="auto" w:sz="12" w:space="0"/>
            </w:tcBorders>
            <w:vAlign w:val="center"/>
          </w:tcPr>
          <w:p w14:paraId="21C6E14F">
            <w:pPr>
              <w:keepNext w:val="0"/>
              <w:keepLines w:val="0"/>
              <w:suppressLineNumbers w:val="0"/>
              <w:spacing w:before="0" w:beforeAutospacing="0" w:after="0" w:afterAutospacing="0"/>
              <w:ind w:left="0" w:right="0"/>
              <w:jc w:val="center"/>
              <w:rPr>
                <w:rFonts w:hint="default" w:ascii="黑体" w:hAnsi="宋体" w:eastAsia="黑体"/>
                <w:color w:val="auto"/>
              </w:rPr>
            </w:pPr>
            <w:r>
              <w:rPr>
                <w:rFonts w:hint="eastAsia" w:ascii="宋体" w:hAnsi="宋体" w:cs="宋体"/>
                <w:b/>
                <w:bCs/>
                <w:color w:val="auto"/>
                <w:kern w:val="0"/>
                <w:szCs w:val="21"/>
              </w:rPr>
              <w:t>点位</w:t>
            </w:r>
          </w:p>
        </w:tc>
        <w:tc>
          <w:tcPr>
            <w:tcW w:w="2144" w:type="dxa"/>
            <w:tcBorders>
              <w:top w:val="single" w:color="auto" w:sz="12" w:space="0"/>
            </w:tcBorders>
            <w:vAlign w:val="center"/>
          </w:tcPr>
          <w:p w14:paraId="12A7DA72">
            <w:pPr>
              <w:keepNext w:val="0"/>
              <w:keepLines w:val="0"/>
              <w:suppressLineNumbers w:val="0"/>
              <w:spacing w:before="0" w:beforeAutospacing="0" w:after="0" w:afterAutospacing="0"/>
              <w:ind w:left="0" w:right="0"/>
              <w:jc w:val="center"/>
              <w:rPr>
                <w:rFonts w:hint="default" w:ascii="黑体" w:hAnsi="宋体" w:eastAsia="黑体"/>
                <w:color w:val="auto"/>
              </w:rPr>
            </w:pPr>
            <w:r>
              <w:rPr>
                <w:rFonts w:hint="eastAsia" w:ascii="宋体" w:hAnsi="宋体" w:cs="宋体"/>
                <w:b/>
                <w:bCs/>
                <w:color w:val="auto"/>
                <w:kern w:val="0"/>
                <w:szCs w:val="21"/>
              </w:rPr>
              <w:t>厂家规格型号</w:t>
            </w:r>
          </w:p>
        </w:tc>
        <w:tc>
          <w:tcPr>
            <w:tcW w:w="1904" w:type="dxa"/>
            <w:tcBorders>
              <w:top w:val="single" w:color="auto" w:sz="12" w:space="0"/>
            </w:tcBorders>
            <w:vAlign w:val="center"/>
          </w:tcPr>
          <w:p w14:paraId="56688535">
            <w:pPr>
              <w:keepNext w:val="0"/>
              <w:keepLines w:val="0"/>
              <w:suppressLineNumbers w:val="0"/>
              <w:spacing w:before="0" w:beforeAutospacing="0" w:after="0" w:afterAutospacing="0"/>
              <w:ind w:left="0" w:right="0"/>
              <w:jc w:val="center"/>
              <w:rPr>
                <w:rFonts w:hint="default" w:ascii="黑体" w:hAnsi="宋体" w:eastAsia="黑体"/>
                <w:color w:val="auto"/>
              </w:rPr>
            </w:pPr>
            <w:r>
              <w:rPr>
                <w:rFonts w:hint="eastAsia" w:ascii="宋体" w:hAnsi="宋体" w:cs="宋体"/>
                <w:b/>
                <w:bCs/>
                <w:color w:val="auto"/>
                <w:kern w:val="0"/>
                <w:szCs w:val="21"/>
              </w:rPr>
              <w:t>数量</w:t>
            </w:r>
          </w:p>
        </w:tc>
      </w:tr>
      <w:tr w14:paraId="408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46" w:type="dxa"/>
            <w:tcBorders>
              <w:top w:val="single" w:color="auto" w:sz="12" w:space="0"/>
              <w:left w:val="single" w:color="auto" w:sz="12" w:space="0"/>
            </w:tcBorders>
            <w:vAlign w:val="center"/>
          </w:tcPr>
          <w:p w14:paraId="799AC94F">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1</w:t>
            </w:r>
          </w:p>
        </w:tc>
        <w:tc>
          <w:tcPr>
            <w:tcW w:w="2120" w:type="dxa"/>
            <w:vMerge w:val="restart"/>
            <w:tcBorders>
              <w:top w:val="single" w:color="auto" w:sz="12" w:space="0"/>
            </w:tcBorders>
            <w:vAlign w:val="center"/>
          </w:tcPr>
          <w:p w14:paraId="5D329AB9">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VOCs在线监测系统</w:t>
            </w:r>
          </w:p>
        </w:tc>
        <w:tc>
          <w:tcPr>
            <w:tcW w:w="2444" w:type="dxa"/>
            <w:tcBorders>
              <w:top w:val="single" w:color="auto" w:sz="12" w:space="0"/>
            </w:tcBorders>
            <w:vAlign w:val="center"/>
          </w:tcPr>
          <w:p w14:paraId="3D140AA1">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西08废气排口</w:t>
            </w:r>
          </w:p>
        </w:tc>
        <w:tc>
          <w:tcPr>
            <w:tcW w:w="2144" w:type="dxa"/>
            <w:tcBorders>
              <w:top w:val="single" w:color="auto" w:sz="12" w:space="0"/>
            </w:tcBorders>
            <w:vAlign w:val="center"/>
          </w:tcPr>
          <w:p w14:paraId="67303D14">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山东海慧：HV-3060</w:t>
            </w:r>
          </w:p>
        </w:tc>
        <w:tc>
          <w:tcPr>
            <w:tcW w:w="1904" w:type="dxa"/>
            <w:tcBorders>
              <w:top w:val="single" w:color="auto" w:sz="12" w:space="0"/>
            </w:tcBorders>
            <w:vAlign w:val="center"/>
          </w:tcPr>
          <w:p w14:paraId="519F7113">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1台</w:t>
            </w:r>
          </w:p>
        </w:tc>
      </w:tr>
      <w:tr w14:paraId="429E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46" w:type="dxa"/>
            <w:tcBorders>
              <w:top w:val="single" w:color="auto" w:sz="12" w:space="0"/>
              <w:left w:val="single" w:color="auto" w:sz="12" w:space="0"/>
            </w:tcBorders>
            <w:vAlign w:val="center"/>
          </w:tcPr>
          <w:p w14:paraId="0DDF3C06">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2</w:t>
            </w:r>
          </w:p>
        </w:tc>
        <w:tc>
          <w:tcPr>
            <w:tcW w:w="2120" w:type="dxa"/>
            <w:vMerge w:val="continue"/>
            <w:vAlign w:val="center"/>
          </w:tcPr>
          <w:p w14:paraId="14F9CCC8">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p>
        </w:tc>
        <w:tc>
          <w:tcPr>
            <w:tcW w:w="2444" w:type="dxa"/>
            <w:tcBorders>
              <w:top w:val="single" w:color="auto" w:sz="12" w:space="0"/>
            </w:tcBorders>
            <w:vAlign w:val="center"/>
          </w:tcPr>
          <w:p w14:paraId="68B49ED0">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东09废气排口</w:t>
            </w:r>
          </w:p>
        </w:tc>
        <w:tc>
          <w:tcPr>
            <w:tcW w:w="2144" w:type="dxa"/>
            <w:tcBorders>
              <w:top w:val="single" w:color="auto" w:sz="12" w:space="0"/>
            </w:tcBorders>
            <w:vAlign w:val="center"/>
          </w:tcPr>
          <w:p w14:paraId="6DB1B4DC">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山东海慧：HV-3060</w:t>
            </w:r>
          </w:p>
        </w:tc>
        <w:tc>
          <w:tcPr>
            <w:tcW w:w="1904" w:type="dxa"/>
            <w:tcBorders>
              <w:top w:val="single" w:color="auto" w:sz="12" w:space="0"/>
            </w:tcBorders>
            <w:vAlign w:val="center"/>
          </w:tcPr>
          <w:p w14:paraId="56AFF92D">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1台</w:t>
            </w:r>
          </w:p>
        </w:tc>
      </w:tr>
      <w:tr w14:paraId="44E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46" w:type="dxa"/>
            <w:tcBorders>
              <w:top w:val="single" w:color="auto" w:sz="12" w:space="0"/>
              <w:left w:val="single" w:color="auto" w:sz="12" w:space="0"/>
            </w:tcBorders>
            <w:vAlign w:val="center"/>
          </w:tcPr>
          <w:p w14:paraId="059F8F44">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3</w:t>
            </w:r>
          </w:p>
        </w:tc>
        <w:tc>
          <w:tcPr>
            <w:tcW w:w="2120" w:type="dxa"/>
            <w:vMerge w:val="continue"/>
            <w:vAlign w:val="center"/>
          </w:tcPr>
          <w:p w14:paraId="0DF238E3">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p>
        </w:tc>
        <w:tc>
          <w:tcPr>
            <w:tcW w:w="2444" w:type="dxa"/>
            <w:tcBorders>
              <w:top w:val="single" w:color="auto" w:sz="12" w:space="0"/>
            </w:tcBorders>
            <w:vAlign w:val="center"/>
          </w:tcPr>
          <w:p w14:paraId="569B261B">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07废气排口</w:t>
            </w:r>
          </w:p>
        </w:tc>
        <w:tc>
          <w:tcPr>
            <w:tcW w:w="2144" w:type="dxa"/>
            <w:tcBorders>
              <w:top w:val="single" w:color="auto" w:sz="12" w:space="0"/>
            </w:tcBorders>
            <w:vAlign w:val="center"/>
          </w:tcPr>
          <w:p w14:paraId="546F92DF">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杭州泽天:GCOM-3000</w:t>
            </w:r>
          </w:p>
        </w:tc>
        <w:tc>
          <w:tcPr>
            <w:tcW w:w="1904" w:type="dxa"/>
            <w:tcBorders>
              <w:top w:val="single" w:color="auto" w:sz="12" w:space="0"/>
            </w:tcBorders>
            <w:vAlign w:val="center"/>
          </w:tcPr>
          <w:p w14:paraId="18965426">
            <w:pPr>
              <w:keepNext w:val="0"/>
              <w:keepLines w:val="0"/>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1台</w:t>
            </w:r>
          </w:p>
        </w:tc>
      </w:tr>
    </w:tbl>
    <w:p w14:paraId="4D7EA999">
      <w:pPr>
        <w:pStyle w:val="8"/>
        <w:spacing w:line="360" w:lineRule="auto"/>
        <w:rPr>
          <w:rFonts w:hint="eastAsia" w:ascii="黑体" w:eastAsia="黑体"/>
          <w:b/>
          <w:bCs/>
          <w:color w:val="auto"/>
          <w:sz w:val="24"/>
          <w:szCs w:val="24"/>
          <w:lang w:val="en-US" w:eastAsia="zh-CN"/>
        </w:rPr>
      </w:pPr>
    </w:p>
    <w:p w14:paraId="2E76D6DD">
      <w:pPr>
        <w:pStyle w:val="8"/>
        <w:spacing w:line="360" w:lineRule="auto"/>
        <w:rPr>
          <w:rFonts w:hint="eastAsia" w:ascii="黑体" w:eastAsia="黑体"/>
          <w:b/>
          <w:bCs/>
          <w:color w:val="auto"/>
          <w:sz w:val="24"/>
          <w:szCs w:val="24"/>
        </w:rPr>
      </w:pPr>
      <w:r>
        <w:rPr>
          <w:rFonts w:hint="eastAsia" w:ascii="黑体" w:eastAsia="黑体"/>
          <w:b/>
          <w:bCs/>
          <w:color w:val="auto"/>
          <w:sz w:val="24"/>
          <w:szCs w:val="24"/>
          <w:lang w:val="en-US" w:eastAsia="zh-CN"/>
        </w:rPr>
        <w:t>三</w:t>
      </w:r>
      <w:r>
        <w:rPr>
          <w:rFonts w:hint="eastAsia" w:ascii="黑体" w:eastAsia="黑体"/>
          <w:b/>
          <w:bCs/>
          <w:color w:val="auto"/>
          <w:sz w:val="24"/>
          <w:szCs w:val="24"/>
        </w:rPr>
        <w:t>、运维标准及服务期限</w:t>
      </w:r>
    </w:p>
    <w:p w14:paraId="320F9065">
      <w:pPr>
        <w:spacing w:line="360" w:lineRule="auto"/>
        <w:rPr>
          <w:rFonts w:hint="eastAsia" w:ascii="宋体" w:hAnsi="宋体" w:cs="宋体"/>
          <w:color w:val="auto"/>
        </w:rPr>
      </w:pPr>
      <w:bookmarkStart w:id="27" w:name="_Toc44077688"/>
      <w:bookmarkStart w:id="28" w:name="_Toc47031007"/>
      <w:bookmarkStart w:id="29" w:name="_Toc44077637"/>
      <w:r>
        <w:rPr>
          <w:rFonts w:hint="eastAsia" w:ascii="宋体" w:hAnsi="宋体" w:cs="宋体"/>
          <w:color w:val="auto"/>
        </w:rPr>
        <w:t>3.1标准化要求</w:t>
      </w:r>
      <w:bookmarkEnd w:id="27"/>
      <w:bookmarkEnd w:id="28"/>
      <w:bookmarkEnd w:id="29"/>
    </w:p>
    <w:p w14:paraId="5F050C49">
      <w:pPr>
        <w:spacing w:line="360" w:lineRule="auto"/>
        <w:ind w:firstLine="420" w:firstLineChars="200"/>
        <w:rPr>
          <w:rFonts w:hint="eastAsia" w:ascii="宋体" w:hAnsi="宋体" w:cs="宋体"/>
          <w:color w:val="auto"/>
        </w:rPr>
      </w:pPr>
      <w:r>
        <w:rPr>
          <w:rFonts w:hint="eastAsia" w:ascii="宋体" w:hAnsi="宋体" w:cs="宋体"/>
          <w:color w:val="auto"/>
        </w:rPr>
        <w:t>投标人应针对在线监测设施运维建立专业的工作流程和管理标准，并将其用于指导运维人员的日常操</w:t>
      </w:r>
      <w:r>
        <w:rPr>
          <w:rFonts w:hint="eastAsia" w:ascii="宋体" w:hAnsi="宋体" w:cs="宋体"/>
          <w:color w:val="auto"/>
          <w:szCs w:val="22"/>
        </w:rPr>
        <w:t>作，满足《</w:t>
      </w:r>
      <w:r>
        <w:rPr>
          <w:rFonts w:hint="eastAsia" w:ascii="宋体" w:hAnsi="宋体" w:cs="宋体"/>
          <w:color w:val="auto"/>
          <w:szCs w:val="22"/>
          <w:lang w:eastAsia="zh-CN"/>
        </w:rPr>
        <w:t>山东省</w:t>
      </w:r>
      <w:r>
        <w:rPr>
          <w:rFonts w:hint="eastAsia" w:ascii="宋体" w:hAnsi="宋体" w:cs="宋体"/>
          <w:color w:val="auto"/>
          <w:szCs w:val="22"/>
        </w:rPr>
        <w:t>固定污染源自动监控管理办法》等相关法律、法规、国家及地方环保要求，</w:t>
      </w:r>
      <w:r>
        <w:rPr>
          <w:rFonts w:hint="eastAsia" w:ascii="宋体" w:hAnsi="宋体" w:cs="宋体"/>
          <w:color w:val="auto"/>
        </w:rPr>
        <w:t>主要支持文件如下：</w:t>
      </w:r>
    </w:p>
    <w:p w14:paraId="51CFBD62">
      <w:pPr>
        <w:ind w:firstLine="420" w:firstLineChars="200"/>
        <w:rPr>
          <w:rFonts w:hint="eastAsia" w:ascii="宋体" w:hAnsi="宋体" w:cs="宋体"/>
          <w:color w:val="auto"/>
        </w:rPr>
      </w:pPr>
    </w:p>
    <w:tbl>
      <w:tblPr>
        <w:tblStyle w:val="16"/>
        <w:tblW w:w="8285" w:type="dxa"/>
        <w:tblInd w:w="0" w:type="dxa"/>
        <w:tblLayout w:type="autofit"/>
        <w:tblCellMar>
          <w:top w:w="0" w:type="dxa"/>
          <w:left w:w="0" w:type="dxa"/>
          <w:bottom w:w="0" w:type="dxa"/>
          <w:right w:w="0" w:type="dxa"/>
        </w:tblCellMar>
      </w:tblPr>
      <w:tblGrid>
        <w:gridCol w:w="2172"/>
        <w:gridCol w:w="6113"/>
      </w:tblGrid>
      <w:tr w14:paraId="1CF7341E">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DC0C8">
            <w:pPr>
              <w:widowControl/>
              <w:jc w:val="left"/>
              <w:textAlignment w:val="center"/>
              <w:rPr>
                <w:rFonts w:hint="eastAsia" w:ascii="宋体" w:hAnsi="宋体" w:cs="宋体"/>
                <w:color w:val="auto"/>
                <w:szCs w:val="21"/>
              </w:rPr>
            </w:pPr>
            <w:bookmarkStart w:id="30" w:name="_Toc44077641"/>
            <w:bookmarkStart w:id="31" w:name="_Toc44077692"/>
            <w:bookmarkStart w:id="32" w:name="_Toc47031009"/>
            <w:r>
              <w:rPr>
                <w:rFonts w:hint="eastAsia" w:ascii="宋体" w:hAnsi="宋体" w:cs="宋体"/>
                <w:color w:val="auto"/>
                <w:kern w:val="0"/>
                <w:szCs w:val="21"/>
                <w:lang w:bidi="ar"/>
              </w:rPr>
              <w:t>DB37/2801.</w:t>
            </w:r>
            <w:r>
              <w:rPr>
                <w:rStyle w:val="23"/>
                <w:rFonts w:hint="default"/>
                <w:color w:val="auto"/>
                <w:sz w:val="21"/>
                <w:szCs w:val="21"/>
                <w:lang w:bidi="ar"/>
              </w:rPr>
              <w:t>5/2017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304D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《挥发性有机物排放标准 第五部分：表面涂装行业》</w:t>
            </w:r>
          </w:p>
        </w:tc>
      </w:tr>
      <w:tr w14:paraId="5AA22C3F">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F9390">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HJ75-2017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1CF5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《固定污染源烟气(SO2</w:t>
            </w:r>
            <w:r>
              <w:rPr>
                <w:rStyle w:val="24"/>
                <w:rFonts w:hint="default" w:ascii="宋体" w:hAnsi="宋体" w:eastAsia="宋体" w:cs="宋体"/>
                <w:color w:val="auto"/>
                <w:sz w:val="21"/>
                <w:szCs w:val="21"/>
                <w:lang w:bidi="ar"/>
              </w:rPr>
              <w:t>、NOX、颗粒物)排放连续监测技术规范》</w:t>
            </w:r>
          </w:p>
        </w:tc>
      </w:tr>
      <w:tr w14:paraId="668B3CDE">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620E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HJ76-2017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B909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《固定污染源烟气(SO2</w:t>
            </w:r>
            <w:r>
              <w:rPr>
                <w:rStyle w:val="24"/>
                <w:rFonts w:hint="default" w:ascii="宋体" w:hAnsi="宋体" w:eastAsia="宋体" w:cs="宋体"/>
                <w:color w:val="auto"/>
                <w:sz w:val="21"/>
                <w:szCs w:val="21"/>
                <w:lang w:bidi="ar"/>
              </w:rPr>
              <w:t>、NOX、颗粒物)排放连续监测系统技术要求及检测方法》</w:t>
            </w:r>
          </w:p>
        </w:tc>
      </w:tr>
      <w:tr w14:paraId="575417EA">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7CCB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HJ38-2017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6D5E8">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《固定污染源废气</w:t>
            </w:r>
            <w:r>
              <w:rPr>
                <w:rStyle w:val="24"/>
                <w:rFonts w:hint="default" w:ascii="宋体" w:hAnsi="宋体" w:eastAsia="宋体" w:cs="宋体"/>
                <w:color w:val="auto"/>
                <w:sz w:val="21"/>
                <w:szCs w:val="21"/>
                <w:lang w:bidi="ar"/>
              </w:rPr>
              <w:t xml:space="preserve"> 总烃、甲烷和非甲烷总烃的测定 气相色谱法》</w:t>
            </w:r>
          </w:p>
        </w:tc>
      </w:tr>
      <w:tr w14:paraId="727A569C">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8B17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HJ1013-2018</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B99F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《固定污染源废气非甲烷总烃连续监测系统技术要求及检测方法》</w:t>
            </w:r>
          </w:p>
        </w:tc>
      </w:tr>
      <w:tr w14:paraId="59E4D943">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9707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T/CAEPI 11-2017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717C">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《固定污染源自动监控（监测）系统现场端建设技术规范》</w:t>
            </w:r>
          </w:p>
        </w:tc>
      </w:tr>
      <w:tr w14:paraId="42FA1209">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2A3E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 477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FAEA9">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《污染源在线自动监控（监测）数据采集传输仪技术要求》</w:t>
            </w:r>
          </w:p>
        </w:tc>
      </w:tr>
      <w:tr w14:paraId="57E2507C">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14818">
            <w:pPr>
              <w:widowControl/>
              <w:jc w:val="left"/>
              <w:textAlignment w:val="center"/>
              <w:rPr>
                <w:rFonts w:hint="eastAsia" w:ascii="宋体" w:hAnsi="宋体" w:cs="宋体"/>
                <w:color w:val="auto"/>
                <w:szCs w:val="21"/>
              </w:rPr>
            </w:pPr>
            <w:r>
              <w:rPr>
                <w:rFonts w:ascii="宋体" w:hAnsi="宋体" w:cs="宋体"/>
                <w:color w:val="auto"/>
                <w:kern w:val="0"/>
                <w:szCs w:val="21"/>
                <w:lang w:bidi="ar"/>
              </w:rPr>
              <w:t>DB</w:t>
            </w:r>
            <w:r>
              <w:rPr>
                <w:rFonts w:hint="eastAsia" w:ascii="宋体" w:hAnsi="宋体" w:cs="宋体"/>
                <w:color w:val="auto"/>
                <w:kern w:val="0"/>
                <w:szCs w:val="21"/>
                <w:lang w:bidi="ar"/>
              </w:rPr>
              <w:t>37/T 4011—2020</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F00A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《固定污染源烟气在线监测系统运行维护技术规范》</w:t>
            </w:r>
          </w:p>
        </w:tc>
      </w:tr>
      <w:tr w14:paraId="236155D8">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A84C8">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HJ/T 352</w:t>
            </w:r>
            <w:r>
              <w:rPr>
                <w:rStyle w:val="24"/>
                <w:rFonts w:hint="default" w:ascii="宋体" w:hAnsi="宋体" w:eastAsia="宋体" w:cs="宋体"/>
                <w:color w:val="auto"/>
                <w:sz w:val="21"/>
                <w:szCs w:val="21"/>
                <w:lang w:bidi="ar"/>
              </w:rPr>
              <w:t>-2007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C074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《环境污染源自动监控信息传输、交换技术规范》</w:t>
            </w:r>
          </w:p>
        </w:tc>
      </w:tr>
      <w:tr w14:paraId="37F7767B">
        <w:tblPrEx>
          <w:tblCellMar>
            <w:top w:w="0" w:type="dxa"/>
            <w:left w:w="0" w:type="dxa"/>
            <w:bottom w:w="0" w:type="dxa"/>
            <w:right w:w="0" w:type="dxa"/>
          </w:tblCellMar>
        </w:tblPrEx>
        <w:trPr>
          <w:trHeight w:val="646" w:hRule="exact"/>
        </w:trPr>
        <w:tc>
          <w:tcPr>
            <w:tcW w:w="2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CE8DD">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HJ 212-2017</w:t>
            </w:r>
          </w:p>
        </w:tc>
        <w:tc>
          <w:tcPr>
            <w:tcW w:w="61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CC8E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《污染源在线自动监控（监测）系统数据传输标准》</w:t>
            </w:r>
          </w:p>
        </w:tc>
      </w:tr>
      <w:tr w14:paraId="1544C73F">
        <w:tblPrEx>
          <w:tblCellMar>
            <w:top w:w="0" w:type="dxa"/>
            <w:left w:w="0" w:type="dxa"/>
            <w:bottom w:w="0" w:type="dxa"/>
            <w:right w:w="0" w:type="dxa"/>
          </w:tblCellMar>
        </w:tblPrEx>
        <w:trPr>
          <w:trHeight w:val="646" w:hRule="exact"/>
        </w:trPr>
        <w:tc>
          <w:tcPr>
            <w:tcW w:w="8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226F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《污染源自动监控管理办法》（国家环境保护总局令第28号）</w:t>
            </w:r>
          </w:p>
        </w:tc>
      </w:tr>
      <w:tr w14:paraId="503BA0CE">
        <w:tblPrEx>
          <w:tblCellMar>
            <w:top w:w="0" w:type="dxa"/>
            <w:left w:w="0" w:type="dxa"/>
            <w:bottom w:w="0" w:type="dxa"/>
            <w:right w:w="0" w:type="dxa"/>
          </w:tblCellMar>
        </w:tblPrEx>
        <w:trPr>
          <w:trHeight w:val="646" w:hRule="exact"/>
        </w:trPr>
        <w:tc>
          <w:tcPr>
            <w:tcW w:w="8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875D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国家、省市及当地环保部门新发布的技术标准和规范。</w:t>
            </w:r>
          </w:p>
        </w:tc>
      </w:tr>
      <w:bookmarkEnd w:id="30"/>
      <w:bookmarkEnd w:id="31"/>
      <w:bookmarkEnd w:id="32"/>
    </w:tbl>
    <w:p w14:paraId="6FE0012E">
      <w:pPr>
        <w:rPr>
          <w:rFonts w:hint="eastAsia"/>
          <w:color w:val="auto"/>
        </w:rPr>
      </w:pPr>
      <w:r>
        <w:rPr>
          <w:rFonts w:hint="eastAsia"/>
          <w:color w:val="auto"/>
        </w:rPr>
        <w:t>3.2运维服务期限</w:t>
      </w:r>
    </w:p>
    <w:p w14:paraId="4D2FB8FF">
      <w:pPr>
        <w:pStyle w:val="15"/>
        <w:ind w:left="0" w:leftChars="0" w:firstLine="630" w:firstLineChars="300"/>
        <w:rPr>
          <w:rFonts w:hint="default" w:eastAsia="仿宋_GB2312"/>
          <w:b w:val="0"/>
          <w:bCs w:val="0"/>
          <w:color w:val="auto"/>
          <w:highlight w:val="none"/>
          <w:lang w:val="en-US" w:eastAsia="zh-CN"/>
        </w:rPr>
      </w:pPr>
      <w:r>
        <w:rPr>
          <w:rFonts w:hint="eastAsia" w:ascii="Times New Roman" w:hAnsi="Times New Roman" w:eastAsia="宋体" w:cs="Times New Roman"/>
          <w:b w:val="0"/>
          <w:bCs w:val="0"/>
          <w:color w:val="auto"/>
          <w:kern w:val="2"/>
          <w:sz w:val="21"/>
          <w:szCs w:val="21"/>
          <w:highlight w:val="none"/>
          <w:lang w:val="en-US" w:eastAsia="zh-CN" w:bidi="ar-SA"/>
        </w:rPr>
        <w:t>运维服务期限均为202</w:t>
      </w:r>
      <w:r>
        <w:rPr>
          <w:rFonts w:hint="eastAsia" w:ascii="Times New Roman" w:eastAsia="宋体" w:cs="Times New Roman"/>
          <w:b w:val="0"/>
          <w:bCs w:val="0"/>
          <w:color w:val="auto"/>
          <w:kern w:val="2"/>
          <w:sz w:val="21"/>
          <w:szCs w:val="21"/>
          <w:highlight w:val="none"/>
          <w:lang w:val="en-US" w:eastAsia="zh-CN" w:bidi="ar-SA"/>
        </w:rPr>
        <w:t>6</w:t>
      </w:r>
      <w:r>
        <w:rPr>
          <w:rFonts w:hint="eastAsia" w:ascii="Times New Roman" w:hAnsi="Times New Roman" w:eastAsia="宋体" w:cs="Times New Roman"/>
          <w:b w:val="0"/>
          <w:bCs w:val="0"/>
          <w:color w:val="auto"/>
          <w:kern w:val="2"/>
          <w:sz w:val="21"/>
          <w:szCs w:val="21"/>
          <w:highlight w:val="none"/>
          <w:lang w:val="en-US" w:eastAsia="zh-CN" w:bidi="ar-SA"/>
        </w:rPr>
        <w:t>年1月1日至202</w:t>
      </w:r>
      <w:r>
        <w:rPr>
          <w:rFonts w:hint="eastAsia" w:ascii="Times New Roman" w:eastAsia="宋体" w:cs="Times New Roman"/>
          <w:b w:val="0"/>
          <w:bCs w:val="0"/>
          <w:color w:val="auto"/>
          <w:kern w:val="2"/>
          <w:sz w:val="21"/>
          <w:szCs w:val="21"/>
          <w:highlight w:val="none"/>
          <w:lang w:val="en-US" w:eastAsia="zh-CN" w:bidi="ar-SA"/>
        </w:rPr>
        <w:t>6</w:t>
      </w:r>
      <w:r>
        <w:rPr>
          <w:rFonts w:hint="eastAsia" w:ascii="Times New Roman" w:hAnsi="Times New Roman" w:eastAsia="宋体" w:cs="Times New Roman"/>
          <w:b w:val="0"/>
          <w:bCs w:val="0"/>
          <w:color w:val="auto"/>
          <w:kern w:val="2"/>
          <w:sz w:val="21"/>
          <w:szCs w:val="21"/>
          <w:highlight w:val="none"/>
          <w:lang w:val="en-US" w:eastAsia="zh-CN" w:bidi="ar-SA"/>
        </w:rPr>
        <w:t>年12月31日</w:t>
      </w:r>
    </w:p>
    <w:p w14:paraId="412B990A">
      <w:pPr>
        <w:pStyle w:val="8"/>
        <w:spacing w:line="360" w:lineRule="auto"/>
        <w:rPr>
          <w:rFonts w:hint="eastAsia" w:ascii="黑体" w:eastAsia="黑体"/>
          <w:b/>
          <w:bCs/>
          <w:color w:val="auto"/>
          <w:sz w:val="24"/>
          <w:szCs w:val="24"/>
        </w:rPr>
      </w:pPr>
      <w:r>
        <w:rPr>
          <w:rFonts w:hint="eastAsia" w:ascii="黑体" w:eastAsia="黑体"/>
          <w:b/>
          <w:bCs/>
          <w:color w:val="auto"/>
          <w:sz w:val="24"/>
          <w:szCs w:val="24"/>
          <w:lang w:val="en-US" w:eastAsia="zh-CN"/>
        </w:rPr>
        <w:t>四</w:t>
      </w:r>
      <w:r>
        <w:rPr>
          <w:rFonts w:hint="eastAsia" w:ascii="黑体" w:eastAsia="黑体"/>
          <w:b/>
          <w:bCs/>
          <w:color w:val="auto"/>
          <w:sz w:val="24"/>
          <w:szCs w:val="24"/>
        </w:rPr>
        <w:t>、运维要求</w:t>
      </w:r>
    </w:p>
    <w:p w14:paraId="7EB4C26A">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1、基本要求：投标方负责</w:t>
      </w:r>
      <w:r>
        <w:rPr>
          <w:rFonts w:hint="eastAsia"/>
          <w:color w:val="auto"/>
          <w:szCs w:val="21"/>
        </w:rPr>
        <w:t>招标方</w:t>
      </w:r>
      <w:r>
        <w:rPr>
          <w:rFonts w:hint="eastAsia" w:ascii="宋体" w:hAnsi="宋体" w:cs="宋体"/>
          <w:color w:val="auto"/>
          <w:kern w:val="0"/>
          <w:szCs w:val="21"/>
        </w:rPr>
        <w:t>自动监控设备的运行维护，运行维护必须满足</w:t>
      </w:r>
      <w:r>
        <w:rPr>
          <w:rFonts w:hint="eastAsia" w:ascii="宋体" w:hAnsi="宋体" w:cs="宋体"/>
          <w:color w:val="auto"/>
          <w:kern w:val="0"/>
          <w:szCs w:val="21"/>
          <w:lang w:eastAsia="zh-CN"/>
        </w:rPr>
        <w:t>环保规范</w:t>
      </w:r>
      <w:r>
        <w:rPr>
          <w:rFonts w:hint="eastAsia" w:ascii="宋体" w:hAnsi="宋体" w:cs="宋体"/>
          <w:color w:val="auto"/>
          <w:kern w:val="0"/>
          <w:szCs w:val="21"/>
        </w:rPr>
        <w:t>。</w:t>
      </w:r>
    </w:p>
    <w:p w14:paraId="380611F4">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2、运维目标：投标方保障连续监测系统的正常运行，有效数据上传率不低于95%。</w:t>
      </w:r>
    </w:p>
    <w:p w14:paraId="5CD8C7F8">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3、运维内容：投标方负责连续监测系统的日常巡检、常规维护、系统标定（定期校准、校验）、耗材更换、故障诊断、设备维修（仅限更换备件和易耗品）、数据监控等。</w:t>
      </w:r>
    </w:p>
    <w:p w14:paraId="0F2F0E81">
      <w:pPr>
        <w:autoSpaceDE w:val="0"/>
        <w:autoSpaceDN w:val="0"/>
        <w:spacing w:line="360" w:lineRule="exact"/>
        <w:jc w:val="left"/>
        <w:rPr>
          <w:rFonts w:hint="eastAsia"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4、运维要求：投标方负责保证监测设备正常运行和监测数据、相关参数及时上报，并在对设备进行日常维护的基础上对应建立专人负责制，根据连续监测设备说明书的要求对保养内容、保养周期或耗材更换周期等作出明确规定，并制定操作及维修规程和日常保养制度，建立日常运行记录和各类台帐（定期校准校验记录、耗材更换记录、故障处置记录等台账），投标方必须将每日平台巡检情况向相关部门汇报，每周做运行维护工作汇报，并提交书面报告，包括每个站点连续监测系统的运行状况、连续监测数据报表、巡检记录和故障报告等。同时自觉接受招标方及环保相关主管部门的监督考核和不定期的工作抽查。</w:t>
      </w:r>
    </w:p>
    <w:p w14:paraId="6E06925E">
      <w:pPr>
        <w:widowControl/>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rPr>
        <w:t>5</w:t>
      </w:r>
      <w:r>
        <w:rPr>
          <w:rFonts w:ascii="宋体" w:hAnsi="宋体" w:cs="宋体"/>
          <w:color w:val="auto"/>
          <w:kern w:val="0"/>
        </w:rPr>
        <w:t>.1.1 日查看</w:t>
      </w:r>
    </w:p>
    <w:p w14:paraId="56B4638F">
      <w:pPr>
        <w:autoSpaceDE w:val="0"/>
        <w:autoSpaceDN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rPr>
        <w:t>投标方负责</w:t>
      </w:r>
      <w:r>
        <w:rPr>
          <w:rFonts w:ascii="宋体" w:hAnsi="宋体" w:cs="宋体"/>
          <w:color w:val="auto"/>
          <w:kern w:val="0"/>
          <w:szCs w:val="21"/>
        </w:rPr>
        <w:t>应安排专人每日通过监控终端登录</w:t>
      </w:r>
      <w:r>
        <w:rPr>
          <w:rFonts w:hint="eastAsia" w:ascii="宋体" w:hAnsi="宋体" w:cs="宋体"/>
          <w:color w:val="auto"/>
          <w:kern w:val="0"/>
          <w:szCs w:val="21"/>
        </w:rPr>
        <w:t>连续监测</w:t>
      </w:r>
      <w:r>
        <w:rPr>
          <w:rFonts w:ascii="宋体" w:hAnsi="宋体" w:cs="宋体"/>
          <w:color w:val="auto"/>
          <w:kern w:val="0"/>
          <w:szCs w:val="21"/>
        </w:rPr>
        <w:t>服务平台远程监视辖区内设备运行情况，分析各设备是否异常，</w:t>
      </w:r>
      <w:r>
        <w:rPr>
          <w:rFonts w:hint="eastAsia" w:ascii="宋体" w:hAnsi="宋体" w:cs="宋体"/>
          <w:color w:val="auto"/>
          <w:kern w:val="0"/>
          <w:szCs w:val="21"/>
        </w:rPr>
        <w:t>及时在平台标记设备停开机信息、故障处置信息、校准校验信息，确保在线数据正常传输，</w:t>
      </w:r>
      <w:r>
        <w:rPr>
          <w:rFonts w:ascii="宋体" w:hAnsi="宋体" w:cs="宋体"/>
          <w:color w:val="auto"/>
          <w:kern w:val="0"/>
          <w:szCs w:val="21"/>
        </w:rPr>
        <w:t>并填写远程检查记录和统计设备在线情况，筛选功能工作正常的设备，并调整工作计划，及时对异常设备</w:t>
      </w:r>
      <w:r>
        <w:rPr>
          <w:rFonts w:ascii="宋体" w:hAnsi="宋体" w:cs="宋体"/>
          <w:color w:val="auto"/>
          <w:kern w:val="0"/>
          <w:szCs w:val="21"/>
          <w:highlight w:val="none"/>
        </w:rPr>
        <w:t>进行检查、维修，对正常运行的设备进行巡检维护，并制作《</w:t>
      </w:r>
      <w:r>
        <w:rPr>
          <w:rFonts w:hint="eastAsia" w:ascii="宋体" w:hAnsi="宋体" w:cs="宋体"/>
          <w:color w:val="auto"/>
          <w:kern w:val="0"/>
          <w:szCs w:val="21"/>
          <w:highlight w:val="none"/>
        </w:rPr>
        <w:t>连续监测</w:t>
      </w:r>
      <w:r>
        <w:rPr>
          <w:rFonts w:ascii="宋体" w:hAnsi="宋体" w:cs="宋体"/>
          <w:color w:val="auto"/>
          <w:kern w:val="0"/>
          <w:szCs w:val="21"/>
          <w:highlight w:val="none"/>
        </w:rPr>
        <w:t xml:space="preserve">设备运维平台日报》，对于数据异常情况及时填写《污染源 VOCs </w:t>
      </w:r>
      <w:r>
        <w:rPr>
          <w:rFonts w:hint="eastAsia" w:ascii="宋体" w:hAnsi="宋体" w:cs="宋体"/>
          <w:color w:val="auto"/>
          <w:kern w:val="0"/>
          <w:szCs w:val="21"/>
          <w:highlight w:val="none"/>
        </w:rPr>
        <w:t>连续监测</w:t>
      </w:r>
      <w:r>
        <w:rPr>
          <w:rFonts w:ascii="宋体" w:hAnsi="宋体" w:cs="宋体"/>
          <w:color w:val="auto"/>
          <w:kern w:val="0"/>
          <w:szCs w:val="21"/>
          <w:highlight w:val="none"/>
        </w:rPr>
        <w:t>数据异常报告》</w:t>
      </w:r>
      <w:r>
        <w:rPr>
          <w:rFonts w:hint="eastAsia" w:ascii="宋体" w:hAnsi="宋体" w:cs="宋体"/>
          <w:color w:val="auto"/>
          <w:kern w:val="0"/>
          <w:szCs w:val="21"/>
          <w:highlight w:val="none"/>
        </w:rPr>
        <w:t>，并在12小时内上报平台并标记。</w:t>
      </w:r>
    </w:p>
    <w:p w14:paraId="67ACA20F">
      <w:pPr>
        <w:autoSpaceDE w:val="0"/>
        <w:autoSpaceDN w:val="0"/>
        <w:spacing w:line="360" w:lineRule="exact"/>
        <w:jc w:val="left"/>
        <w:rPr>
          <w:rFonts w:ascii="宋体" w:hAnsi="宋体" w:cs="宋体"/>
          <w:color w:val="auto"/>
          <w:kern w:val="0"/>
        </w:rPr>
      </w:pPr>
      <w:r>
        <w:rPr>
          <w:rFonts w:ascii="宋体" w:hAnsi="宋体" w:cs="宋体"/>
          <w:color w:val="auto"/>
          <w:kern w:val="0"/>
          <w:szCs w:val="21"/>
        </w:rPr>
        <w:t>4.</w:t>
      </w:r>
      <w:r>
        <w:rPr>
          <w:rFonts w:hint="eastAsia" w:ascii="宋体" w:hAnsi="宋体" w:cs="宋体"/>
          <w:color w:val="auto"/>
          <w:kern w:val="0"/>
        </w:rPr>
        <w:t>5</w:t>
      </w:r>
      <w:r>
        <w:rPr>
          <w:rFonts w:ascii="宋体" w:hAnsi="宋体" w:cs="宋体"/>
          <w:color w:val="auto"/>
          <w:kern w:val="0"/>
        </w:rPr>
        <w:t>.1.2 周巡检</w:t>
      </w:r>
    </w:p>
    <w:p w14:paraId="3A85473C">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投标方负责</w:t>
      </w:r>
      <w:r>
        <w:rPr>
          <w:rFonts w:ascii="宋体" w:hAnsi="宋体" w:cs="宋体"/>
          <w:color w:val="auto"/>
          <w:kern w:val="0"/>
          <w:szCs w:val="21"/>
        </w:rPr>
        <w:t>每周针对运维区域编制巡检计划，保证每个站点的每台设备每周至少巡检、保养一次。巡检时须查看各分析仪器及辅助设备的运行状态和各参数数据情况，判断运行是否正常；检查电路系统、通讯线路是否正常；检查取样探头、预处理系统是否正常等；并对设备整体进行必要的现场维护，做好《</w:t>
      </w:r>
      <w:r>
        <w:rPr>
          <w:rFonts w:hint="eastAsia" w:ascii="宋体" w:hAnsi="宋体" w:cs="宋体"/>
          <w:color w:val="auto"/>
          <w:kern w:val="0"/>
          <w:szCs w:val="21"/>
        </w:rPr>
        <w:t>连续监测</w:t>
      </w:r>
      <w:r>
        <w:rPr>
          <w:rFonts w:ascii="宋体" w:hAnsi="宋体" w:cs="宋体"/>
          <w:color w:val="auto"/>
          <w:kern w:val="0"/>
          <w:szCs w:val="21"/>
        </w:rPr>
        <w:t>设备巡检表》。每周对</w:t>
      </w:r>
      <w:r>
        <w:rPr>
          <w:rFonts w:hint="eastAsia" w:ascii="宋体" w:hAnsi="宋体" w:cs="宋体"/>
          <w:color w:val="auto"/>
          <w:kern w:val="0"/>
          <w:szCs w:val="21"/>
        </w:rPr>
        <w:t>连续监测</w:t>
      </w:r>
      <w:r>
        <w:rPr>
          <w:rFonts w:ascii="宋体" w:hAnsi="宋体" w:cs="宋体"/>
          <w:color w:val="auto"/>
          <w:kern w:val="0"/>
          <w:szCs w:val="21"/>
        </w:rPr>
        <w:t>设备的运行情况和故障情况等进行汇报，并提交《运维周报》。</w:t>
      </w:r>
    </w:p>
    <w:p w14:paraId="29E4B082">
      <w:pPr>
        <w:pStyle w:val="15"/>
        <w:ind w:left="0" w:lef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使用氢气发生器时，至少每周检查一次氢气发生器的变色硅胶，硅胶超过2/3变色时应予以更换。</w:t>
      </w:r>
    </w:p>
    <w:p w14:paraId="3115C069">
      <w:pPr>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至少每周检查一次除烃装置的温度，应使其保持在350℃以上。</w:t>
      </w:r>
    </w:p>
    <w:p w14:paraId="36047FD3">
      <w:pPr>
        <w:pStyle w:val="15"/>
        <w:ind w:left="0" w:leftChars="0"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每周至少检查一次出峰时间与标准图谱的一致性是否符合仪器使用手册要求。</w:t>
      </w:r>
    </w:p>
    <w:p w14:paraId="56C37101">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rPr>
        <w:t>5</w:t>
      </w:r>
      <w:r>
        <w:rPr>
          <w:rFonts w:ascii="宋体" w:hAnsi="宋体" w:cs="宋体"/>
          <w:color w:val="auto"/>
          <w:kern w:val="0"/>
        </w:rPr>
        <w:t>.1.3 月度分析和考核</w:t>
      </w:r>
    </w:p>
    <w:p w14:paraId="0DF1A7DE">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投标方负责</w:t>
      </w:r>
      <w:r>
        <w:rPr>
          <w:rFonts w:ascii="宋体" w:hAnsi="宋体" w:cs="宋体"/>
          <w:color w:val="auto"/>
          <w:kern w:val="0"/>
          <w:szCs w:val="21"/>
        </w:rPr>
        <w:t>每月汇总日报、周巡检记录、维修记录、备件库存率，并编写《运维月报》。</w:t>
      </w:r>
    </w:p>
    <w:p w14:paraId="5CFC4C94">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.1.4 季</w:t>
      </w:r>
      <w:r>
        <w:rPr>
          <w:rFonts w:hint="eastAsia" w:ascii="宋体" w:hAnsi="宋体" w:cs="宋体"/>
          <w:color w:val="auto"/>
          <w:kern w:val="0"/>
        </w:rPr>
        <w:t>度</w:t>
      </w:r>
      <w:bookmarkStart w:id="33" w:name="_Hlk48547261"/>
      <w:r>
        <w:rPr>
          <w:rFonts w:hint="eastAsia" w:ascii="宋体" w:hAnsi="宋体" w:cs="宋体"/>
          <w:color w:val="auto"/>
          <w:kern w:val="0"/>
        </w:rPr>
        <w:t>全流程校准</w:t>
      </w:r>
      <w:bookmarkEnd w:id="33"/>
    </w:p>
    <w:p w14:paraId="665EB6D4">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投标方负责</w:t>
      </w:r>
      <w:r>
        <w:rPr>
          <w:rFonts w:ascii="宋体" w:hAnsi="宋体" w:cs="宋体"/>
          <w:color w:val="auto"/>
          <w:kern w:val="0"/>
          <w:szCs w:val="21"/>
        </w:rPr>
        <w:t>每季度对运维设备进行一次</w:t>
      </w:r>
      <w:r>
        <w:rPr>
          <w:rFonts w:hint="eastAsia" w:ascii="宋体" w:hAnsi="宋体" w:cs="宋体"/>
          <w:color w:val="auto"/>
          <w:kern w:val="0"/>
        </w:rPr>
        <w:t>全流程校准</w:t>
      </w:r>
      <w:r>
        <w:rPr>
          <w:rFonts w:ascii="宋体" w:hAnsi="宋体" w:cs="宋体"/>
          <w:color w:val="auto"/>
          <w:kern w:val="0"/>
          <w:szCs w:val="21"/>
        </w:rPr>
        <w:t>，</w:t>
      </w:r>
      <w:r>
        <w:rPr>
          <w:rFonts w:hint="eastAsia" w:ascii="宋体" w:hAnsi="宋体" w:cs="宋体"/>
          <w:color w:val="auto"/>
          <w:kern w:val="0"/>
          <w:szCs w:val="21"/>
        </w:rPr>
        <w:t>校准</w:t>
      </w:r>
      <w:r>
        <w:rPr>
          <w:rFonts w:ascii="宋体" w:hAnsi="宋体" w:cs="宋体"/>
          <w:color w:val="auto"/>
          <w:kern w:val="0"/>
          <w:szCs w:val="21"/>
        </w:rPr>
        <w:t>结果报告上传至环境监控平台，并接受抽样检查。</w:t>
      </w:r>
    </w:p>
    <w:p w14:paraId="6A94568F">
      <w:pPr>
        <w:autoSpaceDE w:val="0"/>
        <w:autoSpaceDN w:val="0"/>
        <w:spacing w:line="360" w:lineRule="exact"/>
        <w:jc w:val="left"/>
        <w:rPr>
          <w:rFonts w:ascii="宋体" w:hAnsi="宋体" w:cs="宋体"/>
          <w:color w:val="auto"/>
          <w:kern w:val="0"/>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.1.5 半年、年度报表</w:t>
      </w:r>
    </w:p>
    <w:p w14:paraId="19465350">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投标方负责</w:t>
      </w:r>
      <w:r>
        <w:rPr>
          <w:rFonts w:ascii="宋体" w:hAnsi="宋体" w:cs="宋体"/>
          <w:color w:val="auto"/>
          <w:kern w:val="0"/>
          <w:szCs w:val="21"/>
        </w:rPr>
        <w:t>应每年或每半年提供半年、年度运维报告，并接受主管部门抽查。</w:t>
      </w:r>
    </w:p>
    <w:p w14:paraId="0A71CEAD">
      <w:pPr>
        <w:autoSpaceDE w:val="0"/>
        <w:autoSpaceDN w:val="0"/>
        <w:spacing w:line="360" w:lineRule="exact"/>
        <w:jc w:val="left"/>
        <w:rPr>
          <w:rFonts w:ascii="宋体" w:hAnsi="宋体" w:cs="宋体"/>
          <w:color w:val="auto"/>
          <w:kern w:val="0"/>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.1.6 二十四小时快修</w:t>
      </w:r>
    </w:p>
    <w:p w14:paraId="1F384963">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投标方负责提</w:t>
      </w:r>
      <w:r>
        <w:rPr>
          <w:rFonts w:hint="eastAsia" w:ascii="宋体" w:hAnsi="宋体" w:cs="宋体"/>
          <w:color w:val="auto"/>
          <w:kern w:val="0"/>
          <w:szCs w:val="21"/>
          <w:highlight w:val="none"/>
        </w:rPr>
        <w:t>供全天候 7</w:t>
      </w:r>
      <w:r>
        <w:rPr>
          <w:rFonts w:ascii="Arial" w:hAnsi="Arial" w:cs="Arial"/>
          <w:color w:val="auto"/>
          <w:kern w:val="0"/>
          <w:szCs w:val="21"/>
          <w:highlight w:val="none"/>
        </w:rPr>
        <w:t>×</w:t>
      </w:r>
      <w:r>
        <w:rPr>
          <w:rFonts w:hint="eastAsia" w:ascii="宋体" w:hAnsi="宋体" w:cs="宋体"/>
          <w:color w:val="auto"/>
          <w:kern w:val="0"/>
          <w:szCs w:val="21"/>
          <w:highlight w:val="none"/>
        </w:rPr>
        <w:t>24 小时维修服务。</w:t>
      </w:r>
      <w:r>
        <w:rPr>
          <w:rFonts w:ascii="宋体" w:hAnsi="宋体" w:cs="宋体"/>
          <w:color w:val="auto"/>
          <w:kern w:val="0"/>
          <w:szCs w:val="21"/>
          <w:highlight w:val="none"/>
        </w:rPr>
        <w:t>在日查看和周巡检中发现设备故障或者接到通知的设备故障，</w:t>
      </w:r>
      <w:r>
        <w:rPr>
          <w:rFonts w:hint="eastAsia" w:ascii="宋体" w:hAnsi="宋体" w:cs="宋体"/>
          <w:color w:val="auto"/>
          <w:kern w:val="0"/>
          <w:szCs w:val="21"/>
          <w:highlight w:val="none"/>
        </w:rPr>
        <w:t>在确认用户的服务请求后,30 分钟内响应，安排技术人员在 1 小时之内到达现场,</w:t>
      </w:r>
      <w:r>
        <w:rPr>
          <w:rFonts w:ascii="宋体" w:hAnsi="宋体" w:cs="宋体"/>
          <w:color w:val="auto"/>
          <w:kern w:val="0"/>
          <w:szCs w:val="21"/>
          <w:highlight w:val="none"/>
        </w:rPr>
        <w:t>6</w:t>
      </w:r>
      <w:r>
        <w:rPr>
          <w:rFonts w:hint="eastAsia" w:ascii="宋体" w:hAnsi="宋体" w:cs="宋体"/>
          <w:color w:val="auto"/>
          <w:kern w:val="0"/>
          <w:szCs w:val="21"/>
          <w:highlight w:val="none"/>
        </w:rPr>
        <w:t>小时内解决故障完成维修；</w:t>
      </w:r>
    </w:p>
    <w:p w14:paraId="1BA35F95">
      <w:pPr>
        <w:pStyle w:val="15"/>
        <w:ind w:left="0" w:leftChars="0"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招标方全额承担现场烟气污染源监控设备单台单次总体损坏大于5000.00元（含）（以原设备供应商报价为参考）配件供应的责任，不做差价承担。小于5000元时费用由投标方负责。</w:t>
      </w:r>
    </w:p>
    <w:p w14:paraId="73912594">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 xml:space="preserve">.1.7 备件管理 </w:t>
      </w:r>
    </w:p>
    <w:p w14:paraId="215A96D3">
      <w:pPr>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w:t>
      </w:r>
      <w:r>
        <w:rPr>
          <w:rFonts w:ascii="宋体" w:hAnsi="宋体" w:cs="宋体"/>
          <w:color w:val="auto"/>
          <w:kern w:val="0"/>
          <w:szCs w:val="21"/>
        </w:rPr>
        <w:t>必须保证充足、优质的备件，保证维修、保养工作的进行，确保设备无故障运行时间。</w:t>
      </w:r>
    </w:p>
    <w:p w14:paraId="58866591">
      <w:pPr>
        <w:autoSpaceDE w:val="0"/>
        <w:autoSpaceDN w:val="0"/>
        <w:spacing w:line="360" w:lineRule="exact"/>
        <w:jc w:val="left"/>
        <w:rPr>
          <w:rFonts w:ascii="宋体" w:hAnsi="宋体" w:cs="宋体"/>
          <w:color w:val="auto"/>
          <w:kern w:val="0"/>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.2 日常维护巡检工作内容</w:t>
      </w:r>
    </w:p>
    <w:p w14:paraId="24B2391D">
      <w:pPr>
        <w:autoSpaceDE w:val="0"/>
        <w:autoSpaceDN w:val="0"/>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rPr>
        <w:t>投标方负责为招标方各个站点</w:t>
      </w:r>
      <w:r>
        <w:rPr>
          <w:rFonts w:ascii="宋体" w:hAnsi="宋体" w:cs="宋体"/>
          <w:color w:val="auto"/>
          <w:kern w:val="0"/>
          <w:szCs w:val="21"/>
        </w:rPr>
        <w:t>巡检</w:t>
      </w:r>
      <w:r>
        <w:rPr>
          <w:rFonts w:hint="eastAsia" w:ascii="宋体" w:hAnsi="宋体" w:cs="宋体"/>
          <w:color w:val="auto"/>
          <w:kern w:val="0"/>
          <w:szCs w:val="21"/>
        </w:rPr>
        <w:t>，</w:t>
      </w:r>
      <w:r>
        <w:rPr>
          <w:rFonts w:ascii="宋体" w:hAnsi="宋体" w:cs="宋体"/>
          <w:color w:val="auto"/>
          <w:kern w:val="0"/>
          <w:szCs w:val="21"/>
        </w:rPr>
        <w:t>周期为每站点每周一次，</w:t>
      </w:r>
      <w:r>
        <w:rPr>
          <w:rFonts w:hint="eastAsia" w:ascii="宋体" w:hAnsi="宋体" w:cs="宋体"/>
          <w:color w:val="auto"/>
          <w:kern w:val="0"/>
          <w:szCs w:val="21"/>
        </w:rPr>
        <w:t>投标方</w:t>
      </w:r>
      <w:r>
        <w:rPr>
          <w:rFonts w:ascii="宋体" w:hAnsi="宋体" w:cs="宋体"/>
          <w:color w:val="auto"/>
          <w:kern w:val="0"/>
          <w:szCs w:val="21"/>
        </w:rPr>
        <w:t>每周的巡检的内容主要包括站点安全检查、预处理系统的检查维护、辅助设施检查、分析仪的检查维护、数据采集传输与处</w:t>
      </w:r>
      <w:r>
        <w:rPr>
          <w:rFonts w:ascii="宋体" w:hAnsi="宋体" w:cs="宋体"/>
          <w:color w:val="auto"/>
          <w:kern w:val="0"/>
          <w:szCs w:val="21"/>
          <w:highlight w:val="none"/>
        </w:rPr>
        <w:t>理子系统的检查维护、现场标气核查</w:t>
      </w:r>
      <w:r>
        <w:rPr>
          <w:rFonts w:hint="eastAsia" w:ascii="宋体" w:hAnsi="宋体" w:cs="宋体"/>
          <w:color w:val="auto"/>
          <w:kern w:val="0"/>
          <w:szCs w:val="21"/>
          <w:highlight w:val="none"/>
          <w:lang w:eastAsia="zh-CN"/>
        </w:rPr>
        <w:t>（包含气瓶的安全检查）</w:t>
      </w:r>
      <w:r>
        <w:rPr>
          <w:rFonts w:ascii="宋体" w:hAnsi="宋体" w:cs="宋体"/>
          <w:color w:val="auto"/>
          <w:kern w:val="0"/>
          <w:szCs w:val="21"/>
          <w:highlight w:val="none"/>
        </w:rPr>
        <w:t>等内容。</w:t>
      </w:r>
    </w:p>
    <w:p w14:paraId="6550ACEA">
      <w:pPr>
        <w:pStyle w:val="15"/>
        <w:ind w:left="0" w:leftChars="0" w:firstLine="0" w:firstLineChars="0"/>
        <w:rPr>
          <w:rFonts w:hint="default"/>
          <w:color w:val="auto"/>
          <w:highlight w:val="none"/>
          <w:lang w:val="en-US" w:eastAsia="zh-CN"/>
        </w:rPr>
      </w:pP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当CEMS不能满足技术指标要求时，应及时采取纠正措施，并应缩短下一次校准、维护和核查的时间间隔。</w:t>
      </w:r>
    </w:p>
    <w:p w14:paraId="319FBE2F">
      <w:pPr>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 xml:space="preserve">.2.1 </w:t>
      </w:r>
      <w:r>
        <w:rPr>
          <w:rFonts w:hint="eastAsia" w:ascii="宋体" w:hAnsi="宋体" w:cs="宋体"/>
          <w:color w:val="auto"/>
          <w:kern w:val="0"/>
          <w:szCs w:val="21"/>
        </w:rPr>
        <w:t>投标方负责</w:t>
      </w:r>
      <w:r>
        <w:rPr>
          <w:rFonts w:ascii="宋体" w:hAnsi="宋体" w:cs="宋体"/>
          <w:color w:val="auto"/>
          <w:kern w:val="0"/>
        </w:rPr>
        <w:t>安全性检查维护</w:t>
      </w:r>
    </w:p>
    <w:p w14:paraId="4826BAF0">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a)站房门、窗、外墙是否完好，有无外力损坏情况。</w:t>
      </w:r>
    </w:p>
    <w:p w14:paraId="0BA62389">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b)保持站房的清洁，保持设备的清洁，保证仪表房内的温度、湿度满足仪器正常运行的需求。空调运转是否正常，是否能够正常制冷、制热，排风扇运转是否正常，如扇叶有污渍，及时清理扇叶。</w:t>
      </w:r>
    </w:p>
    <w:p w14:paraId="51A7C002">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c)对电源控制器、压缩空气等辅助设备要进行检查。</w:t>
      </w:r>
    </w:p>
    <w:p w14:paraId="26A73F29">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d)在对系统进行日常维护时，作好相关记录，并注明时间，记录一式</w:t>
      </w:r>
      <w:r>
        <w:rPr>
          <w:rFonts w:hint="eastAsia" w:ascii="宋体" w:hAnsi="宋体" w:cs="宋体"/>
          <w:color w:val="auto"/>
          <w:kern w:val="0"/>
          <w:szCs w:val="21"/>
          <w:lang w:eastAsia="zh-CN"/>
        </w:rPr>
        <w:t>一</w:t>
      </w:r>
      <w:r>
        <w:rPr>
          <w:rFonts w:ascii="宋体" w:hAnsi="宋体" w:cs="宋体"/>
          <w:color w:val="auto"/>
          <w:kern w:val="0"/>
          <w:szCs w:val="21"/>
        </w:rPr>
        <w:t>份。</w:t>
      </w:r>
    </w:p>
    <w:p w14:paraId="2B2F8EC5">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e)检查站房的供电系统、接地线路和通讯线路是否正常。</w:t>
      </w:r>
    </w:p>
    <w:p w14:paraId="175BFF51">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f)检查站房的通风、照明、消防、防雷等设施是否正常。</w:t>
      </w:r>
    </w:p>
    <w:p w14:paraId="78AE3077">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g)定期检查站房内的各种安全设施，切实做好防盗、防火等措施，保障站房内系统及人身安全,预防各种意外情况的发生。</w:t>
      </w:r>
    </w:p>
    <w:p w14:paraId="49CCC3E8">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h)建立仪器设备运行档案，包括站名、所在地、环境条件、常用配件和消耗品、故障和维修记录等。</w:t>
      </w:r>
    </w:p>
    <w:p w14:paraId="5D51C62C">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rPr>
        <w:t>4.</w:t>
      </w:r>
      <w:r>
        <w:rPr>
          <w:rFonts w:hint="eastAsia" w:ascii="宋体" w:hAnsi="宋体" w:cs="宋体"/>
          <w:color w:val="auto"/>
          <w:kern w:val="0"/>
          <w:szCs w:val="21"/>
        </w:rPr>
        <w:t>5</w:t>
      </w:r>
      <w:r>
        <w:rPr>
          <w:rFonts w:ascii="宋体" w:hAnsi="宋体" w:cs="宋体"/>
          <w:color w:val="auto"/>
          <w:kern w:val="0"/>
        </w:rPr>
        <w:t xml:space="preserve">.2.2 </w:t>
      </w:r>
      <w:r>
        <w:rPr>
          <w:rFonts w:hint="eastAsia" w:ascii="宋体" w:hAnsi="宋体" w:cs="宋体"/>
          <w:color w:val="auto"/>
          <w:kern w:val="0"/>
          <w:szCs w:val="21"/>
        </w:rPr>
        <w:t>投标</w:t>
      </w:r>
      <w:r>
        <w:rPr>
          <w:rFonts w:hint="eastAsia" w:ascii="宋体" w:hAnsi="宋体" w:cs="宋体"/>
          <w:color w:val="auto"/>
          <w:kern w:val="0"/>
          <w:szCs w:val="21"/>
          <w:highlight w:val="none"/>
        </w:rPr>
        <w:t>方负责</w:t>
      </w:r>
      <w:r>
        <w:rPr>
          <w:rFonts w:ascii="宋体" w:hAnsi="宋体" w:cs="宋体"/>
          <w:color w:val="auto"/>
          <w:kern w:val="0"/>
          <w:highlight w:val="none"/>
        </w:rPr>
        <w:t>预处理系统的检查维护</w:t>
      </w:r>
    </w:p>
    <w:p w14:paraId="651F23F9">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a)检查采样头、反吹系统、气体预处理设施等。 </w:t>
      </w:r>
    </w:p>
    <w:p w14:paraId="67BC45F5">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b)检查采样头电加热、阀箱温度和加热是否异常； </w:t>
      </w:r>
    </w:p>
    <w:p w14:paraId="3E78C351">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c)清理空压机气罐内的积水一次；管道反吹气检查油水过滤器滤芯是否需要更换。 </w:t>
      </w:r>
    </w:p>
    <w:p w14:paraId="79361823">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d)检查内部管路气密性； </w:t>
      </w:r>
    </w:p>
    <w:p w14:paraId="3630B92E">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e)对监测系统的采样泵工作状态和管路畅通情况进行检查，必要时更换泵膜，清洗管路； </w:t>
      </w:r>
    </w:p>
    <w:p w14:paraId="32730D11">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f)检查过滤器、阀箱、风扇及工控机的工作状态； </w:t>
      </w:r>
    </w:p>
    <w:p w14:paraId="1DAFAC4A">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g)检查流量计的流量控制情况； </w:t>
      </w:r>
    </w:p>
    <w:p w14:paraId="3E0FECA8">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h)检查各管路、接头、针阀、电磁阀、分水调压阀及反吹管路工作状态。 </w:t>
      </w:r>
    </w:p>
    <w:p w14:paraId="34424D5F">
      <w:pPr>
        <w:tabs>
          <w:tab w:val="left" w:pos="1613"/>
        </w:tabs>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i)检查排气口是否堵塞。</w:t>
      </w:r>
    </w:p>
    <w:p w14:paraId="59DFB2DD">
      <w:pPr>
        <w:tabs>
          <w:tab w:val="left" w:pos="1613"/>
        </w:tabs>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 xml:space="preserve">.2.3 </w:t>
      </w:r>
      <w:r>
        <w:rPr>
          <w:rFonts w:hint="eastAsia" w:ascii="宋体" w:hAnsi="宋体" w:cs="宋体"/>
          <w:color w:val="auto"/>
          <w:kern w:val="0"/>
          <w:szCs w:val="21"/>
          <w:highlight w:val="none"/>
        </w:rPr>
        <w:t>投标方负责</w:t>
      </w:r>
      <w:r>
        <w:rPr>
          <w:rFonts w:ascii="宋体" w:hAnsi="宋体" w:cs="宋体"/>
          <w:color w:val="auto"/>
          <w:kern w:val="0"/>
          <w:highlight w:val="none"/>
        </w:rPr>
        <w:t>辅助设施检查</w:t>
      </w:r>
    </w:p>
    <w:p w14:paraId="72997D39">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a)检查助燃气系统运行是否异常</w:t>
      </w:r>
      <w:r>
        <w:rPr>
          <w:rFonts w:hint="eastAsia" w:ascii="宋体" w:hAnsi="宋体" w:cs="宋体"/>
          <w:color w:val="auto"/>
          <w:kern w:val="0"/>
          <w:szCs w:val="21"/>
          <w:highlight w:val="none"/>
        </w:rPr>
        <w:t>。</w:t>
      </w:r>
    </w:p>
    <w:p w14:paraId="1C02AF03">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b)检查燃烧气系统运行是否正常</w:t>
      </w:r>
      <w:r>
        <w:rPr>
          <w:rFonts w:hint="eastAsia" w:ascii="宋体" w:hAnsi="宋体" w:cs="宋体"/>
          <w:color w:val="auto"/>
          <w:kern w:val="0"/>
          <w:szCs w:val="21"/>
          <w:highlight w:val="none"/>
        </w:rPr>
        <w:t>。</w:t>
      </w:r>
    </w:p>
    <w:p w14:paraId="192CA3D7">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c)检查载气系统运行是否正常</w:t>
      </w:r>
      <w:r>
        <w:rPr>
          <w:rFonts w:hint="eastAsia" w:ascii="宋体" w:hAnsi="宋体" w:cs="宋体"/>
          <w:color w:val="auto"/>
          <w:kern w:val="0"/>
          <w:szCs w:val="21"/>
          <w:highlight w:val="none"/>
        </w:rPr>
        <w:t>。</w:t>
      </w:r>
    </w:p>
    <w:p w14:paraId="5C83FAAF">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 xml:space="preserve">.2.4 </w:t>
      </w:r>
      <w:r>
        <w:rPr>
          <w:rFonts w:hint="eastAsia" w:ascii="宋体" w:hAnsi="宋体" w:cs="宋体"/>
          <w:color w:val="auto"/>
          <w:kern w:val="0"/>
          <w:szCs w:val="21"/>
          <w:highlight w:val="none"/>
        </w:rPr>
        <w:t>投标方负责</w:t>
      </w:r>
      <w:r>
        <w:rPr>
          <w:rFonts w:ascii="宋体" w:hAnsi="宋体" w:cs="宋体"/>
          <w:color w:val="auto"/>
          <w:kern w:val="0"/>
          <w:highlight w:val="none"/>
        </w:rPr>
        <w:t xml:space="preserve">分析仪的检查维护 </w:t>
      </w:r>
    </w:p>
    <w:p w14:paraId="2A0CBA73">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a)检查分析仪的过滤装置是否需要维护或更换</w:t>
      </w:r>
      <w:r>
        <w:rPr>
          <w:rFonts w:hint="eastAsia" w:ascii="宋体" w:hAnsi="宋体" w:cs="宋体"/>
          <w:color w:val="auto"/>
          <w:kern w:val="0"/>
          <w:szCs w:val="21"/>
          <w:highlight w:val="none"/>
        </w:rPr>
        <w:t>。</w:t>
      </w:r>
    </w:p>
    <w:p w14:paraId="1D2DB5FB">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b)检查气相色谱仪运行是否异常</w:t>
      </w:r>
      <w:r>
        <w:rPr>
          <w:rFonts w:hint="eastAsia" w:ascii="宋体" w:hAnsi="宋体" w:cs="宋体"/>
          <w:color w:val="auto"/>
          <w:kern w:val="0"/>
          <w:szCs w:val="21"/>
          <w:highlight w:val="none"/>
        </w:rPr>
        <w:t>。</w:t>
      </w:r>
    </w:p>
    <w:p w14:paraId="4A2AEB73">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 xml:space="preserve">.2.5 </w:t>
      </w:r>
      <w:r>
        <w:rPr>
          <w:rFonts w:hint="eastAsia" w:ascii="宋体" w:hAnsi="宋体" w:cs="宋体"/>
          <w:color w:val="auto"/>
          <w:kern w:val="0"/>
          <w:szCs w:val="21"/>
          <w:highlight w:val="none"/>
        </w:rPr>
        <w:t>投标方负责</w:t>
      </w:r>
      <w:r>
        <w:rPr>
          <w:rFonts w:ascii="宋体" w:hAnsi="宋体" w:cs="宋体"/>
          <w:color w:val="auto"/>
          <w:kern w:val="0"/>
          <w:highlight w:val="none"/>
        </w:rPr>
        <w:t>数据控制与采集单元的检查维护</w:t>
      </w:r>
    </w:p>
    <w:p w14:paraId="0F359213">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a)检查工控机运行情况是否异常</w:t>
      </w:r>
      <w:r>
        <w:rPr>
          <w:rFonts w:hint="eastAsia" w:ascii="宋体" w:hAnsi="宋体" w:cs="宋体"/>
          <w:color w:val="auto"/>
          <w:kern w:val="0"/>
          <w:szCs w:val="21"/>
          <w:highlight w:val="none"/>
        </w:rPr>
        <w:t>。</w:t>
      </w:r>
    </w:p>
    <w:p w14:paraId="139CBD94">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b)检查各参数设置是否异常</w:t>
      </w:r>
      <w:r>
        <w:rPr>
          <w:rFonts w:hint="eastAsia" w:ascii="宋体" w:hAnsi="宋体" w:cs="宋体"/>
          <w:color w:val="auto"/>
          <w:kern w:val="0"/>
          <w:szCs w:val="21"/>
          <w:highlight w:val="none"/>
        </w:rPr>
        <w:t>。</w:t>
      </w:r>
    </w:p>
    <w:p w14:paraId="78D7202D">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c)检查数据显示情况，查看报表，对照历史数据，检查分析仪的工作稳定性</w:t>
      </w:r>
      <w:r>
        <w:rPr>
          <w:rFonts w:hint="eastAsia" w:ascii="宋体" w:hAnsi="宋体" w:cs="宋体"/>
          <w:color w:val="auto"/>
          <w:kern w:val="0"/>
          <w:szCs w:val="21"/>
          <w:highlight w:val="none"/>
        </w:rPr>
        <w:t>。</w:t>
      </w:r>
    </w:p>
    <w:p w14:paraId="63EE8648">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d)检查数据存储及控制系统工作状态等</w:t>
      </w:r>
      <w:r>
        <w:rPr>
          <w:rFonts w:hint="eastAsia" w:ascii="宋体" w:hAnsi="宋体" w:cs="宋体"/>
          <w:color w:val="auto"/>
          <w:kern w:val="0"/>
          <w:szCs w:val="21"/>
          <w:highlight w:val="none"/>
        </w:rPr>
        <w:t>。</w:t>
      </w:r>
    </w:p>
    <w:p w14:paraId="6959C069">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e)检查 PLC 控制单元是否异常。</w:t>
      </w:r>
    </w:p>
    <w:p w14:paraId="678CD8E1">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.2.6</w:t>
      </w:r>
      <w:r>
        <w:rPr>
          <w:rFonts w:hint="eastAsia" w:ascii="宋体" w:hAnsi="宋体" w:cs="宋体"/>
          <w:color w:val="auto"/>
          <w:kern w:val="0"/>
          <w:szCs w:val="21"/>
          <w:highlight w:val="none"/>
        </w:rPr>
        <w:t>投标方负责</w:t>
      </w:r>
      <w:r>
        <w:rPr>
          <w:rFonts w:ascii="宋体" w:hAnsi="宋体" w:cs="宋体"/>
          <w:color w:val="auto"/>
          <w:kern w:val="0"/>
          <w:highlight w:val="none"/>
        </w:rPr>
        <w:t xml:space="preserve"> 数据传输单元维护</w:t>
      </w:r>
    </w:p>
    <w:p w14:paraId="343E6155">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检查数据采集仪运行是否正常</w:t>
      </w:r>
      <w:r>
        <w:rPr>
          <w:rFonts w:hint="eastAsia" w:ascii="宋体" w:hAnsi="宋体" w:cs="宋体"/>
          <w:color w:val="auto"/>
          <w:kern w:val="0"/>
          <w:szCs w:val="21"/>
          <w:highlight w:val="none"/>
        </w:rPr>
        <w:t>。</w:t>
      </w:r>
    </w:p>
    <w:p w14:paraId="7BB8CED0">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检查上位机与数采仪数据是否一致</w:t>
      </w:r>
      <w:r>
        <w:rPr>
          <w:rFonts w:hint="eastAsia" w:ascii="宋体" w:hAnsi="宋体" w:cs="宋体"/>
          <w:color w:val="auto"/>
          <w:kern w:val="0"/>
          <w:szCs w:val="21"/>
          <w:highlight w:val="none"/>
        </w:rPr>
        <w:t>。</w:t>
      </w:r>
    </w:p>
    <w:p w14:paraId="49B1EA93">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c)</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检查平台与数采仪数据是否相同</w:t>
      </w:r>
      <w:r>
        <w:rPr>
          <w:rFonts w:hint="eastAsia" w:ascii="宋体" w:hAnsi="宋体" w:cs="宋体"/>
          <w:color w:val="auto"/>
          <w:kern w:val="0"/>
          <w:szCs w:val="21"/>
          <w:highlight w:val="none"/>
        </w:rPr>
        <w:t>。</w:t>
      </w:r>
    </w:p>
    <w:p w14:paraId="46113F93">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 xml:space="preserve">.2.7 </w:t>
      </w:r>
      <w:r>
        <w:rPr>
          <w:rFonts w:hint="eastAsia" w:ascii="宋体" w:hAnsi="宋体" w:cs="宋体"/>
          <w:color w:val="auto"/>
          <w:kern w:val="0"/>
          <w:szCs w:val="21"/>
          <w:highlight w:val="none"/>
        </w:rPr>
        <w:t>投标方负责</w:t>
      </w:r>
      <w:r>
        <w:rPr>
          <w:rFonts w:ascii="宋体" w:hAnsi="宋体" w:cs="宋体"/>
          <w:color w:val="auto"/>
          <w:kern w:val="0"/>
          <w:highlight w:val="none"/>
        </w:rPr>
        <w:t>现场标气核查</w:t>
      </w:r>
    </w:p>
    <w:p w14:paraId="63C7FF1E">
      <w:pPr>
        <w:autoSpaceDE w:val="0"/>
        <w:autoSpaceDN w:val="0"/>
        <w:spacing w:line="36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 xml:space="preserve"> 提供并检查</w:t>
      </w:r>
      <w:r>
        <w:rPr>
          <w:rFonts w:hint="eastAsia" w:ascii="宋体" w:hAnsi="宋体" w:cs="宋体"/>
          <w:color w:val="auto"/>
          <w:kern w:val="0"/>
          <w:szCs w:val="21"/>
          <w:highlight w:val="none"/>
          <w:lang w:eastAsia="zh-CN"/>
        </w:rPr>
        <w:t>符合要求</w:t>
      </w:r>
      <w:r>
        <w:rPr>
          <w:rFonts w:hint="eastAsia" w:ascii="宋体" w:hAnsi="宋体" w:cs="宋体"/>
          <w:color w:val="auto"/>
          <w:kern w:val="0"/>
          <w:szCs w:val="21"/>
          <w:highlight w:val="none"/>
        </w:rPr>
        <w:t>的标准气体。</w:t>
      </w:r>
    </w:p>
    <w:p w14:paraId="437CB1BF">
      <w:pPr>
        <w:autoSpaceDE w:val="0"/>
        <w:autoSpaceDN w:val="0"/>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b</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检查标准气体是否过期。</w:t>
      </w:r>
    </w:p>
    <w:p w14:paraId="6CFABABA">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.3 日常校验及数据准确性保障</w:t>
      </w:r>
    </w:p>
    <w:p w14:paraId="16A416C7">
      <w:pPr>
        <w:autoSpaceDE w:val="0"/>
        <w:autoSpaceDN w:val="0"/>
        <w:spacing w:line="360" w:lineRule="exact"/>
        <w:jc w:val="left"/>
        <w:rPr>
          <w:rFonts w:ascii="宋体" w:hAnsi="宋体" w:cs="宋体"/>
          <w:color w:val="auto"/>
          <w:kern w:val="0"/>
          <w:highlight w:val="none"/>
        </w:rPr>
      </w:pPr>
      <w:r>
        <w:rPr>
          <w:rFonts w:ascii="宋体" w:hAnsi="宋体" w:cs="宋体"/>
          <w:color w:val="auto"/>
          <w:kern w:val="0"/>
          <w:szCs w:val="21"/>
          <w:highlight w:val="none"/>
        </w:rPr>
        <w:t>4.</w:t>
      </w:r>
      <w:r>
        <w:rPr>
          <w:rFonts w:hint="eastAsia" w:ascii="宋体" w:hAnsi="宋体" w:cs="宋体"/>
          <w:color w:val="auto"/>
          <w:kern w:val="0"/>
          <w:highlight w:val="none"/>
        </w:rPr>
        <w:t>5</w:t>
      </w:r>
      <w:r>
        <w:rPr>
          <w:rFonts w:ascii="宋体" w:hAnsi="宋体" w:cs="宋体"/>
          <w:color w:val="auto"/>
          <w:kern w:val="0"/>
          <w:highlight w:val="none"/>
        </w:rPr>
        <w:t xml:space="preserve">.3.1 </w:t>
      </w:r>
      <w:r>
        <w:rPr>
          <w:rFonts w:hint="eastAsia" w:ascii="宋体" w:hAnsi="宋体" w:cs="宋体"/>
          <w:color w:val="auto"/>
          <w:kern w:val="0"/>
          <w:szCs w:val="21"/>
          <w:highlight w:val="none"/>
        </w:rPr>
        <w:t>投标方负责</w:t>
      </w:r>
      <w:r>
        <w:rPr>
          <w:rFonts w:ascii="宋体" w:hAnsi="宋体" w:cs="宋体"/>
          <w:color w:val="auto"/>
          <w:kern w:val="0"/>
          <w:highlight w:val="none"/>
        </w:rPr>
        <w:t>日常校验</w:t>
      </w:r>
    </w:p>
    <w:p w14:paraId="4CC05F8C">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每周对挥发性有机连续监测系统分析单元至少进行一次零点、量程校验，校验周期不得大于7天</w:t>
      </w:r>
      <w:r>
        <w:rPr>
          <w:rFonts w:hint="eastAsia" w:ascii="宋体" w:hAnsi="宋体" w:cs="宋体"/>
          <w:color w:val="auto"/>
          <w:kern w:val="0"/>
          <w:szCs w:val="21"/>
          <w:highlight w:val="none"/>
        </w:rPr>
        <w:t>。</w:t>
      </w:r>
    </w:p>
    <w:p w14:paraId="5F40303E">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每季度对挥发性有机连续监测系统分析单元进行一次重复性、零点漂移和量程漂移试验</w:t>
      </w:r>
      <w:r>
        <w:rPr>
          <w:rFonts w:hint="eastAsia" w:ascii="宋体" w:hAnsi="宋体" w:cs="宋体"/>
          <w:color w:val="auto"/>
          <w:kern w:val="0"/>
          <w:szCs w:val="21"/>
          <w:highlight w:val="none"/>
        </w:rPr>
        <w:t>。</w:t>
      </w:r>
    </w:p>
    <w:p w14:paraId="1D5909F0">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c)</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当仪器发生严重故障，经维修后在正常使用和运行之前亦必须对仪器进行一次校准和校验</w:t>
      </w:r>
      <w:r>
        <w:rPr>
          <w:rFonts w:hint="eastAsia" w:ascii="宋体" w:hAnsi="宋体" w:cs="宋体"/>
          <w:color w:val="auto"/>
          <w:kern w:val="0"/>
          <w:szCs w:val="21"/>
          <w:highlight w:val="none"/>
        </w:rPr>
        <w:t>。</w:t>
      </w:r>
    </w:p>
    <w:p w14:paraId="73DA0A15">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d)</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进行相关校准和校验时，在测试期间工况应保持相对稳定，作好测试记录和调整、校验、维护记录。 </w:t>
      </w:r>
    </w:p>
    <w:p w14:paraId="2DCA67CF">
      <w:pPr>
        <w:pStyle w:val="15"/>
        <w:ind w:left="0" w:leftChars="0" w:firstLine="420" w:firstLineChars="200"/>
        <w:rPr>
          <w:color w:val="auto"/>
          <w:highlight w:val="none"/>
        </w:rPr>
      </w:pPr>
      <w:r>
        <w:rPr>
          <w:rFonts w:hint="eastAsia" w:ascii="宋体" w:hAnsi="宋体" w:eastAsia="宋体" w:cs="宋体"/>
          <w:color w:val="auto"/>
          <w:kern w:val="0"/>
          <w:sz w:val="21"/>
          <w:szCs w:val="21"/>
          <w:highlight w:val="none"/>
          <w:lang w:val="en-US" w:eastAsia="zh-CN" w:bidi="ar-SA"/>
        </w:rPr>
        <w:t>e）进行正确度度核查时，流速、烟温、湿度应不少于5个数据对，非甲烷总烃、氧含量应不少于9个数据对。</w:t>
      </w:r>
    </w:p>
    <w:p w14:paraId="38DDA670">
      <w:pPr>
        <w:autoSpaceDE w:val="0"/>
        <w:autoSpaceDN w:val="0"/>
        <w:spacing w:line="360" w:lineRule="exact"/>
        <w:jc w:val="left"/>
        <w:rPr>
          <w:rFonts w:ascii="宋体" w:hAnsi="宋体" w:cs="宋体"/>
          <w:color w:val="auto"/>
          <w:kern w:val="0"/>
          <w:highlight w:val="none"/>
        </w:rPr>
      </w:pPr>
      <w:r>
        <w:rPr>
          <w:rFonts w:hint="eastAsia" w:ascii="宋体" w:hAnsi="宋体" w:cs="宋体"/>
          <w:color w:val="auto"/>
          <w:kern w:val="0"/>
          <w:highlight w:val="none"/>
        </w:rPr>
        <w:t>5</w:t>
      </w:r>
      <w:r>
        <w:rPr>
          <w:rFonts w:ascii="宋体" w:hAnsi="宋体" w:cs="宋体"/>
          <w:color w:val="auto"/>
          <w:kern w:val="0"/>
          <w:highlight w:val="none"/>
        </w:rPr>
        <w:t>.3.2</w:t>
      </w:r>
      <w:r>
        <w:rPr>
          <w:rFonts w:hint="eastAsia" w:ascii="宋体" w:hAnsi="宋体" w:cs="宋体"/>
          <w:color w:val="auto"/>
          <w:kern w:val="0"/>
          <w:szCs w:val="21"/>
          <w:highlight w:val="none"/>
        </w:rPr>
        <w:t>投标方负责</w:t>
      </w:r>
      <w:r>
        <w:rPr>
          <w:rFonts w:ascii="宋体" w:hAnsi="宋体" w:cs="宋体"/>
          <w:color w:val="auto"/>
          <w:kern w:val="0"/>
          <w:highlight w:val="none"/>
        </w:rPr>
        <w:t>数据准确性保障</w:t>
      </w:r>
    </w:p>
    <w:p w14:paraId="54A1A146">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运维维护人员均正确掌握有关仪器设备的原理、操作和使用。严格执行操作程序，保持机器设备正常运行。设备发生故障，及时上报环境保护主管部门，并做好记录，形成上报机制</w:t>
      </w:r>
      <w:r>
        <w:rPr>
          <w:rFonts w:hint="eastAsia" w:ascii="宋体" w:hAnsi="宋体" w:cs="宋体"/>
          <w:color w:val="auto"/>
          <w:kern w:val="0"/>
          <w:szCs w:val="21"/>
          <w:highlight w:val="none"/>
        </w:rPr>
        <w:t>。</w:t>
      </w:r>
    </w:p>
    <w:p w14:paraId="2BF7BCDD">
      <w:pPr>
        <w:autoSpaceDE w:val="0"/>
        <w:autoSpaceDN w:val="0"/>
        <w:spacing w:line="3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b)</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挥发性有机连续监测系统需具有相关认证证书，必须具备全程和分析仪标定校准功能，以保证监测系统监测结果的可靠性和准确性。</w:t>
      </w:r>
    </w:p>
    <w:p w14:paraId="51BCB99C">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c)</w:t>
      </w:r>
      <w:r>
        <w:rPr>
          <w:rFonts w:hint="eastAsia" w:ascii="宋体" w:hAnsi="宋体" w:cs="宋体"/>
          <w:color w:val="auto"/>
          <w:kern w:val="0"/>
          <w:szCs w:val="21"/>
        </w:rPr>
        <w:t xml:space="preserve"> </w:t>
      </w:r>
      <w:r>
        <w:rPr>
          <w:rFonts w:ascii="宋体" w:hAnsi="宋体" w:cs="宋体"/>
          <w:color w:val="auto"/>
          <w:kern w:val="0"/>
          <w:szCs w:val="21"/>
        </w:rPr>
        <w:t>采用国家认可的标准气体对仪器进行标定。填写仪器零点、中间状态和满量程标定记录，仪器零点和量程漂移检查记录仪器例行检查记录，并定期上报。标准气体尽可能使用同一厂家的标气。</w:t>
      </w:r>
    </w:p>
    <w:p w14:paraId="5431145C">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d)</w:t>
      </w:r>
      <w:r>
        <w:rPr>
          <w:rFonts w:hint="eastAsia" w:ascii="宋体" w:hAnsi="宋体" w:cs="宋体"/>
          <w:color w:val="auto"/>
          <w:kern w:val="0"/>
          <w:szCs w:val="21"/>
        </w:rPr>
        <w:t xml:space="preserve"> </w:t>
      </w:r>
      <w:r>
        <w:rPr>
          <w:rFonts w:ascii="宋体" w:hAnsi="宋体" w:cs="宋体"/>
          <w:color w:val="auto"/>
          <w:kern w:val="0"/>
          <w:szCs w:val="21"/>
        </w:rPr>
        <w:t>仪器经过维修后，在正常使用和运行之前确保维修内容全部完成，性能通过检测程序，按国家有关技术规定对仪器进行校准检查。若监测仪器进行了更换，在正常使用和运行之前对仪器进行一次比对检验和校验</w:t>
      </w:r>
      <w:r>
        <w:rPr>
          <w:rFonts w:hint="eastAsia" w:ascii="宋体" w:hAnsi="宋体" w:cs="宋体"/>
          <w:color w:val="auto"/>
          <w:kern w:val="0"/>
          <w:szCs w:val="21"/>
        </w:rPr>
        <w:t>。</w:t>
      </w:r>
    </w:p>
    <w:p w14:paraId="56130D8A">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e)</w:t>
      </w:r>
      <w:r>
        <w:rPr>
          <w:rFonts w:hint="eastAsia" w:ascii="宋体" w:hAnsi="宋体" w:cs="宋体"/>
          <w:color w:val="auto"/>
          <w:kern w:val="0"/>
          <w:szCs w:val="21"/>
        </w:rPr>
        <w:t xml:space="preserve"> </w:t>
      </w:r>
      <w:r>
        <w:rPr>
          <w:rFonts w:ascii="宋体" w:hAnsi="宋体" w:cs="宋体"/>
          <w:color w:val="auto"/>
          <w:kern w:val="0"/>
          <w:szCs w:val="21"/>
        </w:rPr>
        <w:t>严格执行运行维护的方案内容进行运维工作</w:t>
      </w:r>
      <w:r>
        <w:rPr>
          <w:rFonts w:hint="eastAsia" w:ascii="宋体" w:hAnsi="宋体" w:cs="宋体"/>
          <w:color w:val="auto"/>
          <w:kern w:val="0"/>
          <w:szCs w:val="21"/>
        </w:rPr>
        <w:t>。</w:t>
      </w:r>
    </w:p>
    <w:p w14:paraId="1745D648">
      <w:pPr>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f)</w:t>
      </w:r>
      <w:r>
        <w:rPr>
          <w:rFonts w:hint="eastAsia" w:ascii="宋体" w:hAnsi="宋体" w:cs="宋体"/>
          <w:color w:val="auto"/>
          <w:kern w:val="0"/>
          <w:szCs w:val="21"/>
        </w:rPr>
        <w:t xml:space="preserve"> </w:t>
      </w:r>
      <w:r>
        <w:rPr>
          <w:rFonts w:ascii="宋体" w:hAnsi="宋体" w:cs="宋体"/>
          <w:color w:val="auto"/>
          <w:kern w:val="0"/>
          <w:szCs w:val="21"/>
        </w:rPr>
        <w:t>保证监测站点监测数据获取率达到90%以上</w:t>
      </w:r>
      <w:r>
        <w:rPr>
          <w:rFonts w:hint="eastAsia" w:ascii="宋体" w:hAnsi="宋体" w:cs="宋体"/>
          <w:color w:val="auto"/>
          <w:kern w:val="0"/>
          <w:szCs w:val="21"/>
        </w:rPr>
        <w:t>。</w:t>
      </w:r>
    </w:p>
    <w:p w14:paraId="4F4576AB">
      <w:pPr>
        <w:tabs>
          <w:tab w:val="left" w:pos="1680"/>
        </w:tabs>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g)</w:t>
      </w:r>
      <w:r>
        <w:rPr>
          <w:rFonts w:hint="eastAsia" w:ascii="宋体" w:hAnsi="宋体" w:cs="宋体"/>
          <w:color w:val="auto"/>
          <w:kern w:val="0"/>
          <w:szCs w:val="21"/>
        </w:rPr>
        <w:t xml:space="preserve"> </w:t>
      </w:r>
      <w:r>
        <w:rPr>
          <w:rFonts w:ascii="宋体" w:hAnsi="宋体" w:cs="宋体"/>
          <w:color w:val="auto"/>
          <w:kern w:val="0"/>
          <w:szCs w:val="21"/>
        </w:rPr>
        <w:t>明确专人管理，建立设备登记和管理档案</w:t>
      </w:r>
      <w:r>
        <w:rPr>
          <w:rFonts w:hint="eastAsia" w:ascii="宋体" w:hAnsi="宋体" w:cs="宋体"/>
          <w:color w:val="auto"/>
          <w:kern w:val="0"/>
          <w:szCs w:val="21"/>
        </w:rPr>
        <w:t>。</w:t>
      </w:r>
    </w:p>
    <w:p w14:paraId="4E33960C">
      <w:pPr>
        <w:tabs>
          <w:tab w:val="left" w:pos="1680"/>
        </w:tabs>
        <w:autoSpaceDE w:val="0"/>
        <w:autoSpaceDN w:val="0"/>
        <w:spacing w:line="360" w:lineRule="exact"/>
        <w:ind w:firstLine="420" w:firstLineChars="200"/>
        <w:jc w:val="left"/>
        <w:rPr>
          <w:rFonts w:ascii="宋体" w:hAnsi="宋体" w:cs="宋体"/>
          <w:color w:val="auto"/>
          <w:kern w:val="0"/>
          <w:szCs w:val="21"/>
        </w:rPr>
      </w:pPr>
      <w:r>
        <w:rPr>
          <w:rFonts w:ascii="宋体" w:hAnsi="宋体" w:cs="宋体"/>
          <w:color w:val="auto"/>
          <w:kern w:val="0"/>
          <w:szCs w:val="21"/>
        </w:rPr>
        <w:t>h)</w:t>
      </w:r>
      <w:r>
        <w:rPr>
          <w:rFonts w:hint="eastAsia" w:ascii="宋体" w:hAnsi="宋体" w:cs="宋体"/>
          <w:color w:val="auto"/>
          <w:kern w:val="0"/>
          <w:szCs w:val="21"/>
        </w:rPr>
        <w:t xml:space="preserve"> </w:t>
      </w:r>
      <w:r>
        <w:rPr>
          <w:rFonts w:ascii="宋体" w:hAnsi="宋体" w:cs="宋体"/>
          <w:color w:val="auto"/>
          <w:kern w:val="0"/>
          <w:szCs w:val="21"/>
        </w:rPr>
        <w:t>备有足够的备品备件，对其使用情况进行定期清点，并根据实际需要进行增购，以调整和补充各种备品备件的存储数量。</w:t>
      </w:r>
    </w:p>
    <w:p w14:paraId="07817860">
      <w:pPr>
        <w:tabs>
          <w:tab w:val="left" w:pos="1680"/>
        </w:tabs>
        <w:autoSpaceDE w:val="0"/>
        <w:autoSpaceDN w:val="0"/>
        <w:spacing w:line="360" w:lineRule="exact"/>
        <w:jc w:val="left"/>
        <w:rPr>
          <w:rFonts w:ascii="宋体" w:hAnsi="宋体" w:cs="宋体"/>
          <w:color w:val="auto"/>
          <w:kern w:val="0"/>
        </w:rPr>
      </w:pPr>
      <w:r>
        <w:rPr>
          <w:rFonts w:ascii="宋体" w:hAnsi="宋体" w:cs="宋体"/>
          <w:color w:val="auto"/>
          <w:kern w:val="0"/>
          <w:szCs w:val="21"/>
        </w:rPr>
        <w:t>4.</w:t>
      </w:r>
      <w:r>
        <w:rPr>
          <w:rFonts w:hint="eastAsia" w:ascii="宋体" w:hAnsi="宋体" w:cs="宋体"/>
          <w:color w:val="auto"/>
          <w:kern w:val="0"/>
        </w:rPr>
        <w:t>5</w:t>
      </w:r>
      <w:r>
        <w:rPr>
          <w:rFonts w:ascii="宋体" w:hAnsi="宋体" w:cs="宋体"/>
          <w:color w:val="auto"/>
          <w:kern w:val="0"/>
        </w:rPr>
        <w:t>.3.3 运维所需备品备件保障</w:t>
      </w:r>
    </w:p>
    <w:p w14:paraId="1B1F9ECC">
      <w:pPr>
        <w:tabs>
          <w:tab w:val="left" w:pos="1680"/>
        </w:tabs>
        <w:autoSpaceDE w:val="0"/>
        <w:autoSpaceDN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投标方应</w:t>
      </w:r>
      <w:r>
        <w:rPr>
          <w:rFonts w:ascii="宋体" w:hAnsi="宋体" w:cs="宋体"/>
          <w:color w:val="auto"/>
          <w:kern w:val="0"/>
          <w:szCs w:val="21"/>
        </w:rPr>
        <w:t>设立专门的备品备件库，由专人管理，备品备件库常备运维区域设备的耗材和配件。根据运维区域设备的配备情况，备品备件的采购和使用都应建立台账明细。</w:t>
      </w:r>
    </w:p>
    <w:p w14:paraId="1C685AA9">
      <w:pPr>
        <w:tabs>
          <w:tab w:val="left" w:pos="1680"/>
        </w:tabs>
        <w:autoSpaceDE w:val="0"/>
        <w:autoSpaceDN w:val="0"/>
        <w:spacing w:line="360" w:lineRule="exact"/>
        <w:jc w:val="left"/>
        <w:rPr>
          <w:color w:val="auto"/>
        </w:rPr>
      </w:pPr>
      <w:r>
        <w:rPr>
          <w:rFonts w:ascii="宋体" w:hAnsi="宋体" w:cs="宋体"/>
          <w:color w:val="auto"/>
          <w:kern w:val="0"/>
          <w:szCs w:val="21"/>
        </w:rPr>
        <w:t>4.</w:t>
      </w:r>
      <w:r>
        <w:rPr>
          <w:rFonts w:hint="eastAsia" w:ascii="宋体" w:hAnsi="宋体" w:cs="宋体"/>
          <w:color w:val="auto"/>
          <w:kern w:val="0"/>
          <w:szCs w:val="21"/>
        </w:rPr>
        <w:t>5.4投标方负责</w:t>
      </w:r>
      <w:r>
        <w:rPr>
          <w:color w:val="auto"/>
        </w:rPr>
        <w:t>故障预防和处理方案</w:t>
      </w:r>
    </w:p>
    <w:p w14:paraId="7DBD622A">
      <w:pPr>
        <w:tabs>
          <w:tab w:val="left" w:pos="1680"/>
        </w:tabs>
        <w:autoSpaceDE w:val="0"/>
        <w:autoSpaceDN w:val="0"/>
        <w:spacing w:line="360" w:lineRule="exact"/>
        <w:jc w:val="left"/>
        <w:rPr>
          <w:color w:val="auto"/>
        </w:rPr>
      </w:pPr>
      <w:r>
        <w:rPr>
          <w:rFonts w:hint="eastAsia"/>
          <w:color w:val="auto"/>
        </w:rPr>
        <w:t xml:space="preserve">    编制故障预防和处理方案，并满足以下要求。</w:t>
      </w:r>
    </w:p>
    <w:p w14:paraId="06093D1A">
      <w:pPr>
        <w:tabs>
          <w:tab w:val="left" w:pos="1680"/>
        </w:tabs>
        <w:autoSpaceDE w:val="0"/>
        <w:autoSpaceDN w:val="0"/>
        <w:spacing w:line="360" w:lineRule="exact"/>
        <w:jc w:val="left"/>
        <w:rPr>
          <w:rFonts w:ascii="宋体" w:hAnsi="宋体" w:cs="宋体"/>
          <w:color w:val="auto"/>
          <w:kern w:val="0"/>
          <w:szCs w:val="21"/>
        </w:rPr>
      </w:pPr>
      <w:r>
        <w:rPr>
          <w:rFonts w:ascii="宋体" w:hAnsi="宋体" w:cs="宋体"/>
          <w:color w:val="auto"/>
          <w:kern w:val="0"/>
          <w:szCs w:val="21"/>
        </w:rPr>
        <w:t>4.</w:t>
      </w:r>
      <w:r>
        <w:rPr>
          <w:rFonts w:hint="eastAsia"/>
          <w:color w:val="auto"/>
        </w:rPr>
        <w:t>5.4.1</w:t>
      </w:r>
      <w:r>
        <w:rPr>
          <w:color w:val="auto"/>
        </w:rPr>
        <w:t>故障报修响应机制</w:t>
      </w:r>
    </w:p>
    <w:p w14:paraId="5630FBEE">
      <w:pPr>
        <w:autoSpaceDE w:val="0"/>
        <w:autoSpaceDN w:val="0"/>
        <w:spacing w:line="360" w:lineRule="exact"/>
        <w:ind w:firstLine="420" w:firstLineChars="200"/>
        <w:jc w:val="left"/>
        <w:rPr>
          <w:color w:val="auto"/>
          <w:kern w:val="0"/>
          <w:szCs w:val="21"/>
        </w:rPr>
      </w:pPr>
      <w:r>
        <w:rPr>
          <w:color w:val="auto"/>
          <w:kern w:val="0"/>
          <w:szCs w:val="21"/>
        </w:rPr>
        <w:t>对于巡检过程中发现的问题，第一时间处理；对于环境保护主管部门发现的问题，1小时内到达现场处理。</w:t>
      </w:r>
    </w:p>
    <w:p w14:paraId="6029BFB8">
      <w:pPr>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5.4.2</w:t>
      </w:r>
      <w:r>
        <w:rPr>
          <w:color w:val="auto"/>
        </w:rPr>
        <w:t>故障预防机制</w:t>
      </w:r>
    </w:p>
    <w:p w14:paraId="7FC1A3B2">
      <w:pPr>
        <w:tabs>
          <w:tab w:val="left" w:pos="1680"/>
        </w:tabs>
        <w:autoSpaceDE w:val="0"/>
        <w:autoSpaceDN w:val="0"/>
        <w:spacing w:line="360" w:lineRule="exact"/>
        <w:ind w:firstLine="420" w:firstLineChars="200"/>
        <w:jc w:val="left"/>
        <w:rPr>
          <w:color w:val="auto"/>
          <w:kern w:val="0"/>
          <w:szCs w:val="21"/>
        </w:rPr>
      </w:pPr>
      <w:r>
        <w:rPr>
          <w:color w:val="auto"/>
          <w:kern w:val="0"/>
          <w:szCs w:val="21"/>
        </w:rPr>
        <w:t>a)</w:t>
      </w:r>
      <w:r>
        <w:rPr>
          <w:rFonts w:hint="eastAsia"/>
          <w:color w:val="auto"/>
          <w:kern w:val="0"/>
          <w:szCs w:val="21"/>
        </w:rPr>
        <w:t xml:space="preserve"> </w:t>
      </w:r>
      <w:r>
        <w:rPr>
          <w:color w:val="auto"/>
          <w:kern w:val="0"/>
          <w:szCs w:val="21"/>
        </w:rPr>
        <w:t>采样须真实，严禁弄虚作假。</w:t>
      </w:r>
    </w:p>
    <w:p w14:paraId="53612717">
      <w:pPr>
        <w:tabs>
          <w:tab w:val="left" w:pos="1680"/>
        </w:tabs>
        <w:autoSpaceDE w:val="0"/>
        <w:autoSpaceDN w:val="0"/>
        <w:spacing w:line="360" w:lineRule="exact"/>
        <w:ind w:firstLine="420" w:firstLineChars="200"/>
        <w:jc w:val="left"/>
        <w:rPr>
          <w:color w:val="auto"/>
          <w:kern w:val="0"/>
          <w:szCs w:val="21"/>
        </w:rPr>
      </w:pPr>
      <w:r>
        <w:rPr>
          <w:color w:val="auto"/>
          <w:kern w:val="0"/>
          <w:szCs w:val="21"/>
        </w:rPr>
        <w:t>b)</w:t>
      </w:r>
      <w:r>
        <w:rPr>
          <w:rFonts w:hint="eastAsia"/>
          <w:color w:val="auto"/>
          <w:kern w:val="0"/>
          <w:szCs w:val="21"/>
        </w:rPr>
        <w:t xml:space="preserve"> </w:t>
      </w:r>
      <w:r>
        <w:rPr>
          <w:color w:val="auto"/>
          <w:kern w:val="0"/>
          <w:szCs w:val="21"/>
        </w:rPr>
        <w:t>保证电源正常供给。</w:t>
      </w:r>
    </w:p>
    <w:p w14:paraId="236FEFD6">
      <w:pPr>
        <w:tabs>
          <w:tab w:val="left" w:pos="1680"/>
        </w:tabs>
        <w:autoSpaceDE w:val="0"/>
        <w:autoSpaceDN w:val="0"/>
        <w:spacing w:line="360" w:lineRule="exact"/>
        <w:ind w:firstLine="420" w:firstLineChars="200"/>
        <w:jc w:val="left"/>
        <w:rPr>
          <w:color w:val="auto"/>
          <w:kern w:val="0"/>
          <w:szCs w:val="21"/>
        </w:rPr>
      </w:pPr>
      <w:r>
        <w:rPr>
          <w:color w:val="auto"/>
          <w:kern w:val="0"/>
          <w:szCs w:val="21"/>
        </w:rPr>
        <w:t>c)</w:t>
      </w:r>
      <w:r>
        <w:rPr>
          <w:rFonts w:hint="eastAsia"/>
          <w:color w:val="auto"/>
          <w:kern w:val="0"/>
          <w:szCs w:val="21"/>
        </w:rPr>
        <w:t xml:space="preserve"> </w:t>
      </w:r>
      <w:r>
        <w:rPr>
          <w:color w:val="auto"/>
          <w:kern w:val="0"/>
          <w:szCs w:val="21"/>
        </w:rPr>
        <w:t xml:space="preserve">站房应选择远离强烈振动和强电磁干扰的地点，以防影响仪器正常使用。 </w:t>
      </w:r>
    </w:p>
    <w:p w14:paraId="79CB3A48">
      <w:pPr>
        <w:tabs>
          <w:tab w:val="left" w:pos="1680"/>
        </w:tabs>
        <w:autoSpaceDE w:val="0"/>
        <w:autoSpaceDN w:val="0"/>
        <w:spacing w:line="360" w:lineRule="exact"/>
        <w:ind w:firstLine="420" w:firstLineChars="200"/>
        <w:jc w:val="left"/>
        <w:rPr>
          <w:color w:val="auto"/>
          <w:kern w:val="0"/>
          <w:szCs w:val="21"/>
        </w:rPr>
      </w:pPr>
      <w:r>
        <w:rPr>
          <w:color w:val="auto"/>
          <w:kern w:val="0"/>
          <w:szCs w:val="21"/>
        </w:rPr>
        <w:t>d)</w:t>
      </w:r>
      <w:r>
        <w:rPr>
          <w:rFonts w:hint="eastAsia"/>
          <w:color w:val="auto"/>
          <w:kern w:val="0"/>
          <w:szCs w:val="21"/>
        </w:rPr>
        <w:t xml:space="preserve"> </w:t>
      </w:r>
      <w:r>
        <w:rPr>
          <w:color w:val="auto"/>
          <w:kern w:val="0"/>
          <w:szCs w:val="21"/>
        </w:rPr>
        <w:t xml:space="preserve">保持站房环境清洁，严禁在清扫过程中随意移位仪器。 </w:t>
      </w:r>
    </w:p>
    <w:p w14:paraId="72D97DC4">
      <w:pPr>
        <w:tabs>
          <w:tab w:val="left" w:pos="1680"/>
        </w:tabs>
        <w:autoSpaceDE w:val="0"/>
        <w:autoSpaceDN w:val="0"/>
        <w:spacing w:line="360" w:lineRule="exact"/>
        <w:ind w:firstLine="420" w:firstLineChars="200"/>
        <w:jc w:val="left"/>
        <w:rPr>
          <w:color w:val="auto"/>
          <w:kern w:val="0"/>
          <w:szCs w:val="21"/>
        </w:rPr>
      </w:pPr>
      <w:r>
        <w:rPr>
          <w:color w:val="auto"/>
          <w:kern w:val="0"/>
          <w:szCs w:val="21"/>
        </w:rPr>
        <w:t>e)</w:t>
      </w:r>
      <w:r>
        <w:rPr>
          <w:rFonts w:hint="eastAsia"/>
          <w:color w:val="auto"/>
          <w:kern w:val="0"/>
          <w:szCs w:val="21"/>
        </w:rPr>
        <w:t xml:space="preserve"> </w:t>
      </w:r>
      <w:r>
        <w:rPr>
          <w:color w:val="auto"/>
          <w:kern w:val="0"/>
          <w:szCs w:val="21"/>
        </w:rPr>
        <w:t xml:space="preserve">严禁把监测室作为休息场所，无关人员严禁入内。 </w:t>
      </w:r>
    </w:p>
    <w:p w14:paraId="2D9E2A2F">
      <w:pPr>
        <w:tabs>
          <w:tab w:val="left" w:pos="1680"/>
        </w:tabs>
        <w:autoSpaceDE w:val="0"/>
        <w:autoSpaceDN w:val="0"/>
        <w:spacing w:line="360" w:lineRule="exact"/>
        <w:ind w:firstLine="420" w:firstLineChars="200"/>
        <w:jc w:val="left"/>
        <w:rPr>
          <w:color w:val="auto"/>
          <w:kern w:val="0"/>
          <w:szCs w:val="21"/>
        </w:rPr>
      </w:pPr>
      <w:r>
        <w:rPr>
          <w:color w:val="auto"/>
          <w:kern w:val="0"/>
          <w:szCs w:val="21"/>
        </w:rPr>
        <w:t>f)</w:t>
      </w:r>
      <w:r>
        <w:rPr>
          <w:rFonts w:hint="eastAsia"/>
          <w:color w:val="auto"/>
          <w:kern w:val="0"/>
          <w:szCs w:val="21"/>
        </w:rPr>
        <w:t xml:space="preserve"> </w:t>
      </w:r>
      <w:r>
        <w:rPr>
          <w:color w:val="auto"/>
          <w:kern w:val="0"/>
          <w:szCs w:val="21"/>
        </w:rPr>
        <w:t xml:space="preserve">保持室内温度 20ºC～30ºC 之间。 </w:t>
      </w:r>
    </w:p>
    <w:p w14:paraId="6C103787">
      <w:pPr>
        <w:tabs>
          <w:tab w:val="left" w:pos="1680"/>
        </w:tabs>
        <w:autoSpaceDE w:val="0"/>
        <w:autoSpaceDN w:val="0"/>
        <w:spacing w:line="360" w:lineRule="exact"/>
        <w:ind w:firstLine="420" w:firstLineChars="200"/>
        <w:jc w:val="left"/>
        <w:rPr>
          <w:color w:val="auto"/>
          <w:kern w:val="0"/>
          <w:szCs w:val="21"/>
        </w:rPr>
      </w:pPr>
      <w:r>
        <w:rPr>
          <w:color w:val="auto"/>
          <w:kern w:val="0"/>
          <w:szCs w:val="21"/>
        </w:rPr>
        <w:t>g)</w:t>
      </w:r>
      <w:r>
        <w:rPr>
          <w:rFonts w:hint="eastAsia"/>
          <w:color w:val="auto"/>
          <w:kern w:val="0"/>
          <w:szCs w:val="21"/>
        </w:rPr>
        <w:t xml:space="preserve"> </w:t>
      </w:r>
      <w:r>
        <w:rPr>
          <w:color w:val="auto"/>
          <w:kern w:val="0"/>
          <w:szCs w:val="21"/>
        </w:rPr>
        <w:t>在进行某设备故障处理和维修工作时</w:t>
      </w:r>
      <w:r>
        <w:rPr>
          <w:rFonts w:hint="eastAsia"/>
          <w:color w:val="auto"/>
          <w:kern w:val="0"/>
          <w:szCs w:val="21"/>
        </w:rPr>
        <w:t>，需提前报备环境保护主管部门</w:t>
      </w:r>
      <w:r>
        <w:rPr>
          <w:color w:val="auto"/>
          <w:kern w:val="0"/>
          <w:szCs w:val="21"/>
        </w:rPr>
        <w:t xml:space="preserve">，保证正常上传其余各数据的同时，开展检查维护、维修及各仪器设备更换工作。 </w:t>
      </w:r>
    </w:p>
    <w:p w14:paraId="56A5F761">
      <w:pPr>
        <w:tabs>
          <w:tab w:val="left" w:pos="1680"/>
        </w:tabs>
        <w:autoSpaceDE w:val="0"/>
        <w:autoSpaceDN w:val="0"/>
        <w:spacing w:line="360" w:lineRule="exact"/>
        <w:ind w:firstLine="420" w:firstLineChars="200"/>
        <w:jc w:val="left"/>
        <w:rPr>
          <w:color w:val="auto"/>
          <w:kern w:val="0"/>
          <w:szCs w:val="21"/>
        </w:rPr>
      </w:pPr>
      <w:r>
        <w:rPr>
          <w:color w:val="auto"/>
          <w:kern w:val="0"/>
          <w:szCs w:val="21"/>
        </w:rPr>
        <w:t>h)</w:t>
      </w:r>
      <w:r>
        <w:rPr>
          <w:rFonts w:hint="eastAsia"/>
          <w:color w:val="auto"/>
          <w:kern w:val="0"/>
          <w:szCs w:val="21"/>
        </w:rPr>
        <w:t xml:space="preserve"> </w:t>
      </w:r>
      <w:r>
        <w:rPr>
          <w:color w:val="auto"/>
          <w:kern w:val="0"/>
          <w:szCs w:val="21"/>
        </w:rPr>
        <w:t xml:space="preserve">出现故障的设备零部件，应进行全面仔细的故障查找，必要时进行设备更换。 </w:t>
      </w:r>
    </w:p>
    <w:p w14:paraId="0B938FB0">
      <w:pPr>
        <w:tabs>
          <w:tab w:val="left" w:pos="1680"/>
        </w:tabs>
        <w:autoSpaceDE w:val="0"/>
        <w:autoSpaceDN w:val="0"/>
        <w:spacing w:line="360" w:lineRule="exact"/>
        <w:ind w:firstLine="420" w:firstLineChars="200"/>
        <w:jc w:val="left"/>
        <w:rPr>
          <w:color w:val="auto"/>
          <w:kern w:val="0"/>
          <w:szCs w:val="21"/>
        </w:rPr>
      </w:pPr>
      <w:r>
        <w:rPr>
          <w:color w:val="auto"/>
          <w:kern w:val="0"/>
          <w:szCs w:val="21"/>
        </w:rPr>
        <w:t>i)</w:t>
      </w:r>
      <w:r>
        <w:rPr>
          <w:rFonts w:hint="eastAsia"/>
          <w:color w:val="auto"/>
          <w:kern w:val="0"/>
          <w:szCs w:val="21"/>
        </w:rPr>
        <w:t xml:space="preserve"> </w:t>
      </w:r>
      <w:r>
        <w:rPr>
          <w:color w:val="auto"/>
          <w:kern w:val="0"/>
          <w:szCs w:val="21"/>
        </w:rPr>
        <w:t>仪器故障，应在现场将故障设备的问题就地解决。</w:t>
      </w:r>
    </w:p>
    <w:p w14:paraId="30827D53">
      <w:pPr>
        <w:tabs>
          <w:tab w:val="left" w:pos="1680"/>
        </w:tabs>
        <w:autoSpaceDE w:val="0"/>
        <w:autoSpaceDN w:val="0"/>
        <w:spacing w:line="360" w:lineRule="exact"/>
        <w:jc w:val="left"/>
        <w:rPr>
          <w:color w:val="auto"/>
        </w:rPr>
      </w:pPr>
      <w:r>
        <w:rPr>
          <w:rFonts w:ascii="宋体" w:hAnsi="宋体" w:cs="宋体"/>
          <w:color w:val="auto"/>
          <w:kern w:val="0"/>
          <w:szCs w:val="21"/>
        </w:rPr>
        <w:t>4.</w:t>
      </w:r>
      <w:r>
        <w:rPr>
          <w:rFonts w:hint="eastAsia"/>
          <w:color w:val="auto"/>
          <w:kern w:val="0"/>
          <w:szCs w:val="21"/>
        </w:rPr>
        <w:t>5.5</w:t>
      </w:r>
      <w:r>
        <w:rPr>
          <w:rFonts w:hint="eastAsia" w:ascii="宋体" w:hAnsi="宋体" w:cs="宋体"/>
          <w:color w:val="auto"/>
          <w:kern w:val="0"/>
          <w:szCs w:val="21"/>
        </w:rPr>
        <w:t>投标方负责</w:t>
      </w:r>
      <w:r>
        <w:rPr>
          <w:color w:val="auto"/>
        </w:rPr>
        <w:t xml:space="preserve">运行管理报告制度及档案管理 </w:t>
      </w:r>
    </w:p>
    <w:p w14:paraId="77776CE3">
      <w:pPr>
        <w:tabs>
          <w:tab w:val="left" w:pos="1680"/>
        </w:tabs>
        <w:autoSpaceDE w:val="0"/>
        <w:autoSpaceDN w:val="0"/>
        <w:spacing w:line="360" w:lineRule="exact"/>
        <w:ind w:firstLine="420" w:firstLineChars="200"/>
        <w:jc w:val="left"/>
        <w:rPr>
          <w:color w:val="auto"/>
        </w:rPr>
      </w:pPr>
      <w:r>
        <w:rPr>
          <w:rFonts w:hint="eastAsia"/>
          <w:color w:val="auto"/>
        </w:rPr>
        <w:t>投标方按要求建立</w:t>
      </w:r>
      <w:r>
        <w:rPr>
          <w:color w:val="auto"/>
        </w:rPr>
        <w:t>运行管理报告制度，</w:t>
      </w:r>
      <w:r>
        <w:rPr>
          <w:rFonts w:hint="eastAsia"/>
          <w:color w:val="auto"/>
        </w:rPr>
        <w:t>并做好</w:t>
      </w:r>
      <w:r>
        <w:rPr>
          <w:color w:val="auto"/>
        </w:rPr>
        <w:t>档案管理</w:t>
      </w:r>
      <w:r>
        <w:rPr>
          <w:rFonts w:hint="eastAsia"/>
          <w:color w:val="auto"/>
        </w:rPr>
        <w:t>工作</w:t>
      </w:r>
    </w:p>
    <w:p w14:paraId="56A8D3DF">
      <w:pPr>
        <w:tabs>
          <w:tab w:val="left" w:pos="1680"/>
        </w:tabs>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rPr>
        <w:t>5.5.1</w:t>
      </w:r>
      <w:r>
        <w:rPr>
          <w:color w:val="auto"/>
        </w:rPr>
        <w:t xml:space="preserve"> 技术档案的内容及要求</w:t>
      </w:r>
    </w:p>
    <w:p w14:paraId="27B375B2">
      <w:pPr>
        <w:autoSpaceDE w:val="0"/>
        <w:autoSpaceDN w:val="0"/>
        <w:spacing w:line="360" w:lineRule="exact"/>
        <w:ind w:firstLine="420" w:firstLineChars="200"/>
        <w:jc w:val="left"/>
        <w:rPr>
          <w:color w:val="auto"/>
          <w:kern w:val="0"/>
          <w:szCs w:val="21"/>
        </w:rPr>
      </w:pPr>
      <w:r>
        <w:rPr>
          <w:color w:val="auto"/>
          <w:kern w:val="0"/>
          <w:szCs w:val="21"/>
        </w:rPr>
        <w:t xml:space="preserve">技术档案是进行维护管理的依据，必须建立健全制度，专人保管，及时修订，方便使用。 </w:t>
      </w:r>
    </w:p>
    <w:p w14:paraId="6C19EF4B">
      <w:pPr>
        <w:autoSpaceDE w:val="0"/>
        <w:autoSpaceDN w:val="0"/>
        <w:spacing w:line="360" w:lineRule="exact"/>
        <w:ind w:firstLine="420" w:firstLineChars="200"/>
        <w:jc w:val="left"/>
        <w:rPr>
          <w:color w:val="auto"/>
          <w:kern w:val="0"/>
          <w:szCs w:val="21"/>
        </w:rPr>
      </w:pPr>
      <w:r>
        <w:rPr>
          <w:color w:val="auto"/>
          <w:kern w:val="0"/>
          <w:szCs w:val="21"/>
        </w:rPr>
        <w:t>技术档案的内容</w:t>
      </w:r>
      <w:r>
        <w:rPr>
          <w:rFonts w:hint="eastAsia"/>
          <w:color w:val="auto"/>
          <w:kern w:val="0"/>
          <w:szCs w:val="21"/>
        </w:rPr>
        <w:t>：</w:t>
      </w:r>
    </w:p>
    <w:p w14:paraId="28553FDA">
      <w:pPr>
        <w:numPr>
          <w:ilvl w:val="0"/>
          <w:numId w:val="4"/>
        </w:numPr>
        <w:autoSpaceDE w:val="0"/>
        <w:autoSpaceDN w:val="0"/>
        <w:spacing w:line="360" w:lineRule="exact"/>
        <w:ind w:firstLine="420" w:firstLineChars="200"/>
        <w:jc w:val="left"/>
        <w:rPr>
          <w:color w:val="auto"/>
          <w:kern w:val="0"/>
          <w:szCs w:val="21"/>
        </w:rPr>
      </w:pPr>
      <w:r>
        <w:rPr>
          <w:color w:val="auto"/>
          <w:kern w:val="0"/>
          <w:szCs w:val="21"/>
        </w:rPr>
        <w:t>仪器的生产厂家、型号、系统的安装单位和竣工验收记录</w:t>
      </w:r>
      <w:r>
        <w:rPr>
          <w:rFonts w:hint="eastAsia"/>
          <w:color w:val="auto"/>
          <w:kern w:val="0"/>
          <w:szCs w:val="21"/>
        </w:rPr>
        <w:t>。</w:t>
      </w:r>
      <w:r>
        <w:rPr>
          <w:color w:val="auto"/>
          <w:kern w:val="0"/>
          <w:szCs w:val="21"/>
        </w:rPr>
        <w:t xml:space="preserve"> </w:t>
      </w:r>
    </w:p>
    <w:p w14:paraId="06C3C56B">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监测仪器的校准、零点和量程漂移的例行检查维护报表及校准记录</w:t>
      </w:r>
      <w:r>
        <w:rPr>
          <w:rFonts w:hint="eastAsia"/>
          <w:color w:val="auto"/>
          <w:kern w:val="0"/>
          <w:szCs w:val="21"/>
        </w:rPr>
        <w:t>。</w:t>
      </w:r>
      <w:r>
        <w:rPr>
          <w:color w:val="auto"/>
          <w:kern w:val="0"/>
          <w:szCs w:val="21"/>
        </w:rPr>
        <w:t xml:space="preserve"> </w:t>
      </w:r>
    </w:p>
    <w:p w14:paraId="03AB06DA">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仪器设备的检修登记记录</w:t>
      </w:r>
      <w:r>
        <w:rPr>
          <w:rFonts w:hint="eastAsia"/>
          <w:color w:val="auto"/>
          <w:kern w:val="0"/>
          <w:szCs w:val="21"/>
        </w:rPr>
        <w:t>。</w:t>
      </w:r>
      <w:r>
        <w:rPr>
          <w:color w:val="auto"/>
          <w:kern w:val="0"/>
          <w:szCs w:val="21"/>
        </w:rPr>
        <w:t xml:space="preserve"> </w:t>
      </w:r>
    </w:p>
    <w:p w14:paraId="7427BF87">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 xml:space="preserve">各种仪器的操作、使用、维护规范。 </w:t>
      </w:r>
    </w:p>
    <w:p w14:paraId="1B5837F1">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日常维护维修记录表</w:t>
      </w:r>
      <w:r>
        <w:rPr>
          <w:rFonts w:hint="eastAsia"/>
          <w:color w:val="auto"/>
          <w:kern w:val="0"/>
          <w:szCs w:val="21"/>
        </w:rPr>
        <w:t>。</w:t>
      </w:r>
    </w:p>
    <w:p w14:paraId="644B08A5">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故障反馈记录表</w:t>
      </w:r>
      <w:r>
        <w:rPr>
          <w:rFonts w:hint="eastAsia"/>
          <w:color w:val="auto"/>
          <w:kern w:val="0"/>
          <w:szCs w:val="21"/>
        </w:rPr>
        <w:t>。</w:t>
      </w:r>
    </w:p>
    <w:p w14:paraId="0E85C939">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仪器每月、每季度、每年运行情况报表</w:t>
      </w:r>
      <w:r>
        <w:rPr>
          <w:rFonts w:hint="eastAsia"/>
          <w:color w:val="auto"/>
          <w:kern w:val="0"/>
          <w:szCs w:val="21"/>
        </w:rPr>
        <w:t>。</w:t>
      </w:r>
    </w:p>
    <w:p w14:paraId="3C0754AD">
      <w:pPr>
        <w:numPr>
          <w:ilvl w:val="0"/>
          <w:numId w:val="4"/>
        </w:numPr>
        <w:tabs>
          <w:tab w:val="left" w:pos="1800"/>
        </w:tabs>
        <w:autoSpaceDE w:val="0"/>
        <w:autoSpaceDN w:val="0"/>
        <w:spacing w:line="360" w:lineRule="exact"/>
        <w:ind w:firstLine="420" w:firstLineChars="200"/>
        <w:jc w:val="left"/>
        <w:rPr>
          <w:color w:val="auto"/>
          <w:kern w:val="0"/>
          <w:szCs w:val="21"/>
        </w:rPr>
      </w:pPr>
      <w:r>
        <w:rPr>
          <w:color w:val="auto"/>
          <w:kern w:val="0"/>
          <w:szCs w:val="21"/>
        </w:rPr>
        <w:t>自动监控设备数据远程巡检记录</w:t>
      </w:r>
      <w:r>
        <w:rPr>
          <w:rFonts w:hint="eastAsia"/>
          <w:color w:val="auto"/>
          <w:kern w:val="0"/>
          <w:szCs w:val="21"/>
        </w:rPr>
        <w:t>。</w:t>
      </w:r>
    </w:p>
    <w:p w14:paraId="23BE0365">
      <w:pPr>
        <w:tabs>
          <w:tab w:val="left" w:pos="1800"/>
        </w:tabs>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5.5.2</w:t>
      </w:r>
      <w:r>
        <w:rPr>
          <w:color w:val="auto"/>
        </w:rPr>
        <w:t>技术档案基本要求</w:t>
      </w:r>
    </w:p>
    <w:p w14:paraId="0D0CCD78">
      <w:pPr>
        <w:tabs>
          <w:tab w:val="left" w:pos="1800"/>
        </w:tabs>
        <w:autoSpaceDE w:val="0"/>
        <w:autoSpaceDN w:val="0"/>
        <w:spacing w:line="360" w:lineRule="exact"/>
        <w:ind w:firstLine="420" w:firstLineChars="200"/>
        <w:jc w:val="left"/>
        <w:rPr>
          <w:color w:val="auto"/>
          <w:kern w:val="0"/>
          <w:szCs w:val="21"/>
        </w:rPr>
      </w:pPr>
      <w:r>
        <w:rPr>
          <w:color w:val="auto"/>
          <w:kern w:val="0"/>
          <w:szCs w:val="21"/>
        </w:rPr>
        <w:t>a)</w:t>
      </w:r>
      <w:r>
        <w:rPr>
          <w:rFonts w:hint="eastAsia"/>
          <w:color w:val="auto"/>
          <w:kern w:val="0"/>
          <w:szCs w:val="21"/>
        </w:rPr>
        <w:t xml:space="preserve"> </w:t>
      </w:r>
      <w:r>
        <w:rPr>
          <w:color w:val="auto"/>
          <w:kern w:val="0"/>
          <w:szCs w:val="21"/>
        </w:rPr>
        <w:t>建立健全的制度，做到一站一档</w:t>
      </w:r>
      <w:r>
        <w:rPr>
          <w:rFonts w:hint="eastAsia"/>
          <w:color w:val="auto"/>
          <w:kern w:val="0"/>
          <w:szCs w:val="21"/>
        </w:rPr>
        <w:t>。</w:t>
      </w:r>
      <w:r>
        <w:rPr>
          <w:color w:val="auto"/>
          <w:kern w:val="0"/>
          <w:szCs w:val="21"/>
        </w:rPr>
        <w:t xml:space="preserve"> </w:t>
      </w:r>
    </w:p>
    <w:p w14:paraId="56218597">
      <w:pPr>
        <w:tabs>
          <w:tab w:val="left" w:pos="1800"/>
        </w:tabs>
        <w:autoSpaceDE w:val="0"/>
        <w:autoSpaceDN w:val="0"/>
        <w:spacing w:line="360" w:lineRule="exact"/>
        <w:ind w:firstLine="420" w:firstLineChars="200"/>
        <w:jc w:val="left"/>
        <w:rPr>
          <w:color w:val="auto"/>
          <w:kern w:val="0"/>
          <w:szCs w:val="21"/>
        </w:rPr>
      </w:pPr>
      <w:r>
        <w:rPr>
          <w:color w:val="auto"/>
          <w:kern w:val="0"/>
          <w:szCs w:val="21"/>
        </w:rPr>
        <w:t>b)</w:t>
      </w:r>
      <w:r>
        <w:rPr>
          <w:rFonts w:hint="eastAsia"/>
          <w:color w:val="auto"/>
          <w:kern w:val="0"/>
          <w:szCs w:val="21"/>
        </w:rPr>
        <w:t xml:space="preserve"> </w:t>
      </w:r>
      <w:r>
        <w:rPr>
          <w:color w:val="auto"/>
          <w:kern w:val="0"/>
          <w:szCs w:val="21"/>
        </w:rPr>
        <w:t>档案中表格必须采用统一的标准表格</w:t>
      </w:r>
      <w:r>
        <w:rPr>
          <w:rFonts w:hint="eastAsia"/>
          <w:color w:val="auto"/>
          <w:kern w:val="0"/>
          <w:szCs w:val="21"/>
        </w:rPr>
        <w:t>。</w:t>
      </w:r>
      <w:r>
        <w:rPr>
          <w:color w:val="auto"/>
          <w:kern w:val="0"/>
          <w:szCs w:val="21"/>
        </w:rPr>
        <w:t xml:space="preserve"> </w:t>
      </w:r>
    </w:p>
    <w:p w14:paraId="35E8FE01">
      <w:pPr>
        <w:tabs>
          <w:tab w:val="left" w:pos="1800"/>
        </w:tabs>
        <w:autoSpaceDE w:val="0"/>
        <w:autoSpaceDN w:val="0"/>
        <w:spacing w:line="360" w:lineRule="exact"/>
        <w:ind w:firstLine="420" w:firstLineChars="200"/>
        <w:jc w:val="left"/>
        <w:rPr>
          <w:color w:val="auto"/>
          <w:kern w:val="0"/>
          <w:szCs w:val="21"/>
        </w:rPr>
      </w:pPr>
      <w:r>
        <w:rPr>
          <w:color w:val="auto"/>
          <w:kern w:val="0"/>
          <w:szCs w:val="21"/>
        </w:rPr>
        <w:t>c)</w:t>
      </w:r>
      <w:r>
        <w:rPr>
          <w:rFonts w:hint="eastAsia"/>
          <w:color w:val="auto"/>
          <w:kern w:val="0"/>
          <w:szCs w:val="21"/>
        </w:rPr>
        <w:t xml:space="preserve"> </w:t>
      </w:r>
      <w:r>
        <w:rPr>
          <w:color w:val="auto"/>
          <w:kern w:val="0"/>
          <w:szCs w:val="21"/>
        </w:rPr>
        <w:t>记录必须清晰、完整，现场记录必须在现场及时填写，注明填写时间，有专业维护人员的签字。记录一式两份，一份必须放置在设备现场，以便相关部门随时监督抽查</w:t>
      </w:r>
      <w:r>
        <w:rPr>
          <w:rFonts w:hint="eastAsia"/>
          <w:color w:val="auto"/>
          <w:kern w:val="0"/>
          <w:szCs w:val="21"/>
        </w:rPr>
        <w:t>。</w:t>
      </w:r>
      <w:r>
        <w:rPr>
          <w:color w:val="auto"/>
          <w:kern w:val="0"/>
          <w:szCs w:val="21"/>
        </w:rPr>
        <w:t xml:space="preserve"> </w:t>
      </w:r>
    </w:p>
    <w:p w14:paraId="4292A235">
      <w:pPr>
        <w:tabs>
          <w:tab w:val="left" w:pos="1800"/>
        </w:tabs>
        <w:autoSpaceDE w:val="0"/>
        <w:autoSpaceDN w:val="0"/>
        <w:spacing w:line="360" w:lineRule="exact"/>
        <w:ind w:firstLine="420" w:firstLineChars="200"/>
        <w:jc w:val="left"/>
        <w:rPr>
          <w:color w:val="auto"/>
          <w:kern w:val="0"/>
          <w:szCs w:val="21"/>
        </w:rPr>
      </w:pPr>
      <w:r>
        <w:rPr>
          <w:color w:val="auto"/>
          <w:kern w:val="0"/>
          <w:szCs w:val="21"/>
        </w:rPr>
        <w:t>d)</w:t>
      </w:r>
      <w:r>
        <w:rPr>
          <w:rFonts w:hint="eastAsia"/>
          <w:color w:val="auto"/>
          <w:kern w:val="0"/>
          <w:szCs w:val="21"/>
        </w:rPr>
        <w:t xml:space="preserve"> </w:t>
      </w:r>
      <w:r>
        <w:rPr>
          <w:color w:val="auto"/>
          <w:kern w:val="0"/>
          <w:szCs w:val="21"/>
        </w:rPr>
        <w:t>可从技术档案中查阅和了解仪器设备的使用、维修和性能检验等全部历史资料，以对运行的仪器设备做出正确的评价</w:t>
      </w:r>
      <w:r>
        <w:rPr>
          <w:rFonts w:hint="eastAsia"/>
          <w:color w:val="auto"/>
          <w:kern w:val="0"/>
          <w:szCs w:val="21"/>
        </w:rPr>
        <w:t>。</w:t>
      </w:r>
      <w:r>
        <w:rPr>
          <w:color w:val="auto"/>
          <w:kern w:val="0"/>
          <w:szCs w:val="21"/>
        </w:rPr>
        <w:t xml:space="preserve"> </w:t>
      </w:r>
    </w:p>
    <w:p w14:paraId="150502F4">
      <w:pPr>
        <w:tabs>
          <w:tab w:val="left" w:pos="1800"/>
        </w:tabs>
        <w:autoSpaceDE w:val="0"/>
        <w:autoSpaceDN w:val="0"/>
        <w:spacing w:line="360" w:lineRule="exact"/>
        <w:ind w:firstLine="420" w:firstLineChars="200"/>
        <w:jc w:val="left"/>
        <w:rPr>
          <w:color w:val="auto"/>
          <w:kern w:val="0"/>
          <w:szCs w:val="21"/>
        </w:rPr>
      </w:pPr>
      <w:r>
        <w:rPr>
          <w:color w:val="auto"/>
          <w:kern w:val="0"/>
          <w:szCs w:val="21"/>
        </w:rPr>
        <w:t>e)</w:t>
      </w:r>
      <w:r>
        <w:rPr>
          <w:rFonts w:hint="eastAsia"/>
          <w:color w:val="auto"/>
          <w:kern w:val="0"/>
          <w:szCs w:val="21"/>
        </w:rPr>
        <w:t xml:space="preserve"> </w:t>
      </w:r>
      <w:r>
        <w:rPr>
          <w:color w:val="auto"/>
          <w:kern w:val="0"/>
          <w:szCs w:val="21"/>
        </w:rPr>
        <w:t xml:space="preserve">与仪器相关的记录必须放置在现场，所有记录均应妥善保管。 </w:t>
      </w:r>
    </w:p>
    <w:p w14:paraId="7C26EDEA">
      <w:pPr>
        <w:tabs>
          <w:tab w:val="left" w:pos="1800"/>
        </w:tabs>
        <w:autoSpaceDE w:val="0"/>
        <w:autoSpaceDN w:val="0"/>
        <w:spacing w:line="360" w:lineRule="exact"/>
        <w:ind w:firstLine="420" w:firstLineChars="200"/>
        <w:jc w:val="left"/>
        <w:rPr>
          <w:color w:val="auto"/>
          <w:kern w:val="0"/>
          <w:szCs w:val="21"/>
        </w:rPr>
      </w:pPr>
      <w:r>
        <w:rPr>
          <w:color w:val="auto"/>
          <w:kern w:val="0"/>
          <w:szCs w:val="21"/>
        </w:rPr>
        <w:t>f)</w:t>
      </w:r>
      <w:r>
        <w:rPr>
          <w:rFonts w:hint="eastAsia"/>
          <w:color w:val="auto"/>
          <w:kern w:val="0"/>
          <w:szCs w:val="21"/>
        </w:rPr>
        <w:t xml:space="preserve"> </w:t>
      </w:r>
      <w:r>
        <w:rPr>
          <w:color w:val="auto"/>
          <w:kern w:val="0"/>
          <w:szCs w:val="21"/>
        </w:rPr>
        <w:t>定期汇总监控数据日报、月报和年报</w:t>
      </w:r>
      <w:r>
        <w:rPr>
          <w:rFonts w:hint="eastAsia"/>
          <w:color w:val="auto"/>
          <w:kern w:val="0"/>
          <w:szCs w:val="21"/>
        </w:rPr>
        <w:t>。</w:t>
      </w:r>
      <w:r>
        <w:rPr>
          <w:color w:val="auto"/>
          <w:kern w:val="0"/>
          <w:szCs w:val="21"/>
        </w:rPr>
        <w:t xml:space="preserve"> </w:t>
      </w:r>
    </w:p>
    <w:p w14:paraId="60AA8C70">
      <w:pPr>
        <w:tabs>
          <w:tab w:val="left" w:pos="1800"/>
        </w:tabs>
        <w:autoSpaceDE w:val="0"/>
        <w:autoSpaceDN w:val="0"/>
        <w:spacing w:line="360" w:lineRule="exact"/>
        <w:ind w:firstLine="420" w:firstLineChars="200"/>
        <w:jc w:val="left"/>
        <w:rPr>
          <w:color w:val="auto"/>
          <w:kern w:val="0"/>
          <w:szCs w:val="21"/>
        </w:rPr>
      </w:pPr>
      <w:r>
        <w:rPr>
          <w:color w:val="auto"/>
          <w:kern w:val="0"/>
          <w:szCs w:val="21"/>
        </w:rPr>
        <w:t>g)</w:t>
      </w:r>
      <w:r>
        <w:rPr>
          <w:rFonts w:hint="eastAsia"/>
          <w:color w:val="auto"/>
          <w:kern w:val="0"/>
          <w:szCs w:val="21"/>
        </w:rPr>
        <w:t xml:space="preserve"> </w:t>
      </w:r>
      <w:r>
        <w:rPr>
          <w:color w:val="auto"/>
          <w:kern w:val="0"/>
          <w:szCs w:val="21"/>
        </w:rPr>
        <w:t>每月形成运行管理工作报告备查</w:t>
      </w:r>
      <w:r>
        <w:rPr>
          <w:rFonts w:hint="eastAsia"/>
          <w:color w:val="auto"/>
          <w:kern w:val="0"/>
          <w:szCs w:val="21"/>
        </w:rPr>
        <w:t>。</w:t>
      </w:r>
      <w:r>
        <w:rPr>
          <w:color w:val="auto"/>
          <w:kern w:val="0"/>
          <w:szCs w:val="21"/>
        </w:rPr>
        <w:t xml:space="preserve"> </w:t>
      </w:r>
    </w:p>
    <w:p w14:paraId="0473ED8A">
      <w:pPr>
        <w:tabs>
          <w:tab w:val="left" w:pos="1800"/>
        </w:tabs>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5.5.3</w:t>
      </w:r>
      <w:r>
        <w:rPr>
          <w:color w:val="auto"/>
        </w:rPr>
        <w:t>技术档案的管理规定</w:t>
      </w:r>
    </w:p>
    <w:p w14:paraId="4DC8BB62">
      <w:pPr>
        <w:tabs>
          <w:tab w:val="left" w:pos="1800"/>
        </w:tabs>
        <w:autoSpaceDE w:val="0"/>
        <w:autoSpaceDN w:val="0"/>
        <w:spacing w:line="360" w:lineRule="exact"/>
        <w:ind w:firstLine="420" w:firstLineChars="200"/>
        <w:jc w:val="left"/>
        <w:rPr>
          <w:color w:val="auto"/>
          <w:kern w:val="0"/>
          <w:szCs w:val="21"/>
        </w:rPr>
      </w:pPr>
      <w:r>
        <w:rPr>
          <w:color w:val="auto"/>
          <w:kern w:val="0"/>
          <w:szCs w:val="21"/>
        </w:rPr>
        <w:t>a)</w:t>
      </w:r>
      <w:r>
        <w:rPr>
          <w:rFonts w:hint="eastAsia"/>
          <w:color w:val="auto"/>
          <w:kern w:val="0"/>
          <w:szCs w:val="21"/>
        </w:rPr>
        <w:t xml:space="preserve"> </w:t>
      </w:r>
      <w:r>
        <w:rPr>
          <w:color w:val="auto"/>
          <w:kern w:val="0"/>
          <w:szCs w:val="21"/>
        </w:rPr>
        <w:t xml:space="preserve">专柜存放，专人管理，定期检查清理。 </w:t>
      </w:r>
    </w:p>
    <w:p w14:paraId="4B337C18">
      <w:pPr>
        <w:tabs>
          <w:tab w:val="left" w:pos="1800"/>
        </w:tabs>
        <w:autoSpaceDE w:val="0"/>
        <w:autoSpaceDN w:val="0"/>
        <w:spacing w:line="360" w:lineRule="exact"/>
        <w:ind w:firstLine="420" w:firstLineChars="200"/>
        <w:jc w:val="left"/>
        <w:rPr>
          <w:color w:val="auto"/>
          <w:kern w:val="0"/>
          <w:szCs w:val="21"/>
        </w:rPr>
      </w:pPr>
      <w:r>
        <w:rPr>
          <w:color w:val="auto"/>
          <w:kern w:val="0"/>
          <w:szCs w:val="21"/>
        </w:rPr>
        <w:t>b)</w:t>
      </w:r>
      <w:r>
        <w:rPr>
          <w:rFonts w:hint="eastAsia"/>
          <w:color w:val="auto"/>
          <w:kern w:val="0"/>
          <w:szCs w:val="21"/>
        </w:rPr>
        <w:t xml:space="preserve"> </w:t>
      </w:r>
      <w:r>
        <w:rPr>
          <w:color w:val="auto"/>
          <w:kern w:val="0"/>
          <w:szCs w:val="21"/>
        </w:rPr>
        <w:t xml:space="preserve">不得随意带出监测站房。 </w:t>
      </w:r>
    </w:p>
    <w:p w14:paraId="7D3DA8B7">
      <w:pPr>
        <w:tabs>
          <w:tab w:val="left" w:pos="1800"/>
        </w:tabs>
        <w:autoSpaceDE w:val="0"/>
        <w:autoSpaceDN w:val="0"/>
        <w:spacing w:line="360" w:lineRule="exact"/>
        <w:ind w:firstLine="420" w:firstLineChars="200"/>
        <w:jc w:val="left"/>
        <w:rPr>
          <w:color w:val="auto"/>
          <w:kern w:val="0"/>
          <w:szCs w:val="21"/>
        </w:rPr>
      </w:pPr>
      <w:r>
        <w:rPr>
          <w:color w:val="auto"/>
          <w:kern w:val="0"/>
          <w:szCs w:val="21"/>
        </w:rPr>
        <w:t>c)</w:t>
      </w:r>
      <w:r>
        <w:rPr>
          <w:rFonts w:hint="eastAsia"/>
          <w:color w:val="auto"/>
          <w:kern w:val="0"/>
          <w:szCs w:val="21"/>
        </w:rPr>
        <w:t xml:space="preserve"> </w:t>
      </w:r>
      <w:r>
        <w:rPr>
          <w:color w:val="auto"/>
          <w:kern w:val="0"/>
          <w:szCs w:val="21"/>
        </w:rPr>
        <w:t xml:space="preserve">使用时应珍惜爱护，不得抽页、涂写，有破损时应立即修补。 </w:t>
      </w:r>
    </w:p>
    <w:p w14:paraId="52030245">
      <w:pPr>
        <w:tabs>
          <w:tab w:val="left" w:pos="1800"/>
        </w:tabs>
        <w:autoSpaceDE w:val="0"/>
        <w:autoSpaceDN w:val="0"/>
        <w:spacing w:line="360" w:lineRule="exact"/>
        <w:ind w:firstLine="420" w:firstLineChars="200"/>
        <w:jc w:val="left"/>
        <w:rPr>
          <w:color w:val="auto"/>
          <w:kern w:val="0"/>
          <w:szCs w:val="21"/>
        </w:rPr>
      </w:pPr>
      <w:r>
        <w:rPr>
          <w:color w:val="auto"/>
          <w:kern w:val="0"/>
          <w:szCs w:val="21"/>
        </w:rPr>
        <w:t>d)</w:t>
      </w:r>
      <w:r>
        <w:rPr>
          <w:rFonts w:hint="eastAsia"/>
          <w:color w:val="auto"/>
          <w:kern w:val="0"/>
          <w:szCs w:val="21"/>
        </w:rPr>
        <w:t xml:space="preserve"> </w:t>
      </w:r>
      <w:r>
        <w:rPr>
          <w:color w:val="auto"/>
          <w:kern w:val="0"/>
          <w:szCs w:val="21"/>
        </w:rPr>
        <w:t xml:space="preserve">维护报表、定期测试记录、质量分析报表和其他原始记录等，均应按季分月整理成册，集中存放，专人保管（或输入计算机保存），保存期限不少于三年。 </w:t>
      </w:r>
    </w:p>
    <w:p w14:paraId="3F653C92">
      <w:pPr>
        <w:tabs>
          <w:tab w:val="left" w:pos="1800"/>
        </w:tabs>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5.6</w:t>
      </w:r>
      <w:r>
        <w:rPr>
          <w:color w:val="auto"/>
        </w:rPr>
        <w:t xml:space="preserve">技术档案安全/保密制度 </w:t>
      </w:r>
    </w:p>
    <w:p w14:paraId="08CAB9A5">
      <w:pPr>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5.6.1投标方需遵守的</w:t>
      </w:r>
      <w:r>
        <w:rPr>
          <w:color w:val="auto"/>
          <w:kern w:val="0"/>
          <w:szCs w:val="21"/>
        </w:rPr>
        <w:t>安全规定</w:t>
      </w:r>
      <w:r>
        <w:rPr>
          <w:rFonts w:hint="eastAsia"/>
          <w:color w:val="auto"/>
          <w:kern w:val="0"/>
          <w:szCs w:val="21"/>
        </w:rPr>
        <w:t>：</w:t>
      </w:r>
    </w:p>
    <w:p w14:paraId="1ECB12BD">
      <w:pPr>
        <w:autoSpaceDE w:val="0"/>
        <w:autoSpaceDN w:val="0"/>
        <w:spacing w:line="360" w:lineRule="exact"/>
        <w:ind w:firstLine="420" w:firstLineChars="200"/>
        <w:jc w:val="left"/>
        <w:rPr>
          <w:color w:val="auto"/>
          <w:kern w:val="0"/>
          <w:szCs w:val="21"/>
        </w:rPr>
      </w:pPr>
      <w:r>
        <w:rPr>
          <w:color w:val="auto"/>
          <w:kern w:val="0"/>
          <w:szCs w:val="21"/>
        </w:rPr>
        <w:t>a)</w:t>
      </w:r>
      <w:r>
        <w:rPr>
          <w:rFonts w:hint="eastAsia"/>
          <w:color w:val="auto"/>
          <w:kern w:val="0"/>
          <w:szCs w:val="21"/>
        </w:rPr>
        <w:t xml:space="preserve"> </w:t>
      </w:r>
      <w:r>
        <w:rPr>
          <w:color w:val="auto"/>
          <w:kern w:val="0"/>
          <w:szCs w:val="21"/>
        </w:rPr>
        <w:t xml:space="preserve">联网设备必须采取必要的安全措施，以保障监测站点的设备安全及所承载业务的信息安全。 </w:t>
      </w:r>
    </w:p>
    <w:p w14:paraId="49511027">
      <w:pPr>
        <w:tabs>
          <w:tab w:val="left" w:pos="1800"/>
        </w:tabs>
        <w:autoSpaceDE w:val="0"/>
        <w:autoSpaceDN w:val="0"/>
        <w:spacing w:line="360" w:lineRule="exact"/>
        <w:ind w:firstLine="420" w:firstLineChars="200"/>
        <w:jc w:val="left"/>
        <w:rPr>
          <w:color w:val="auto"/>
          <w:kern w:val="0"/>
          <w:szCs w:val="21"/>
        </w:rPr>
      </w:pPr>
      <w:r>
        <w:rPr>
          <w:color w:val="auto"/>
          <w:kern w:val="0"/>
          <w:szCs w:val="21"/>
        </w:rPr>
        <w:t>b)</w:t>
      </w:r>
      <w:r>
        <w:rPr>
          <w:rFonts w:hint="eastAsia"/>
          <w:color w:val="auto"/>
          <w:kern w:val="0"/>
          <w:szCs w:val="21"/>
        </w:rPr>
        <w:t xml:space="preserve"> </w:t>
      </w:r>
      <w:r>
        <w:rPr>
          <w:color w:val="auto"/>
          <w:kern w:val="0"/>
          <w:szCs w:val="21"/>
        </w:rPr>
        <w:t xml:space="preserve">维护人员应严格遵循相关的安全防火规定。 </w:t>
      </w:r>
    </w:p>
    <w:p w14:paraId="1DDFC6A0">
      <w:pPr>
        <w:tabs>
          <w:tab w:val="left" w:pos="1800"/>
        </w:tabs>
        <w:autoSpaceDE w:val="0"/>
        <w:autoSpaceDN w:val="0"/>
        <w:spacing w:line="360" w:lineRule="exact"/>
        <w:ind w:firstLine="420" w:firstLineChars="200"/>
        <w:jc w:val="left"/>
        <w:rPr>
          <w:color w:val="auto"/>
          <w:kern w:val="0"/>
          <w:szCs w:val="21"/>
        </w:rPr>
      </w:pPr>
      <w:r>
        <w:rPr>
          <w:color w:val="auto"/>
          <w:kern w:val="0"/>
          <w:szCs w:val="21"/>
        </w:rPr>
        <w:t>c)</w:t>
      </w:r>
      <w:r>
        <w:rPr>
          <w:rFonts w:hint="eastAsia"/>
          <w:color w:val="auto"/>
          <w:kern w:val="0"/>
          <w:szCs w:val="21"/>
        </w:rPr>
        <w:t xml:space="preserve"> </w:t>
      </w:r>
      <w:r>
        <w:rPr>
          <w:color w:val="auto"/>
          <w:kern w:val="0"/>
          <w:szCs w:val="21"/>
        </w:rPr>
        <w:t xml:space="preserve">当站房的交流供电系统停止工作时，维护人员应立即向相关主管部门报告。 </w:t>
      </w:r>
    </w:p>
    <w:p w14:paraId="52BF73FE">
      <w:pPr>
        <w:tabs>
          <w:tab w:val="left" w:pos="1800"/>
        </w:tabs>
        <w:autoSpaceDE w:val="0"/>
        <w:autoSpaceDN w:val="0"/>
        <w:spacing w:line="360" w:lineRule="exact"/>
        <w:ind w:firstLine="420" w:firstLineChars="200"/>
        <w:jc w:val="left"/>
        <w:rPr>
          <w:color w:val="auto"/>
          <w:kern w:val="0"/>
          <w:szCs w:val="21"/>
        </w:rPr>
      </w:pPr>
      <w:r>
        <w:rPr>
          <w:color w:val="auto"/>
          <w:kern w:val="0"/>
          <w:szCs w:val="21"/>
        </w:rPr>
        <w:t>d)</w:t>
      </w:r>
      <w:r>
        <w:rPr>
          <w:rFonts w:hint="eastAsia"/>
          <w:color w:val="auto"/>
          <w:kern w:val="0"/>
          <w:szCs w:val="21"/>
        </w:rPr>
        <w:t xml:space="preserve"> </w:t>
      </w:r>
      <w:r>
        <w:rPr>
          <w:color w:val="auto"/>
          <w:kern w:val="0"/>
          <w:szCs w:val="21"/>
        </w:rPr>
        <w:t xml:space="preserve">雷雨季节应加强对监测站房内部安全设备、地线及防护电路的检修。 </w:t>
      </w:r>
    </w:p>
    <w:p w14:paraId="60EE7001">
      <w:pPr>
        <w:tabs>
          <w:tab w:val="left" w:pos="1800"/>
        </w:tabs>
        <w:autoSpaceDE w:val="0"/>
        <w:autoSpaceDN w:val="0"/>
        <w:spacing w:line="360" w:lineRule="exact"/>
        <w:ind w:firstLine="420" w:firstLineChars="200"/>
        <w:jc w:val="left"/>
        <w:rPr>
          <w:color w:val="auto"/>
          <w:kern w:val="0"/>
          <w:szCs w:val="21"/>
        </w:rPr>
      </w:pPr>
      <w:r>
        <w:rPr>
          <w:color w:val="auto"/>
          <w:kern w:val="0"/>
          <w:szCs w:val="21"/>
        </w:rPr>
        <w:t>e)</w:t>
      </w:r>
      <w:r>
        <w:rPr>
          <w:rFonts w:hint="eastAsia"/>
          <w:color w:val="auto"/>
          <w:kern w:val="0"/>
          <w:szCs w:val="21"/>
        </w:rPr>
        <w:t xml:space="preserve"> </w:t>
      </w:r>
      <w:r>
        <w:rPr>
          <w:color w:val="auto"/>
          <w:kern w:val="0"/>
          <w:szCs w:val="21"/>
        </w:rPr>
        <w:t xml:space="preserve">非电气人员不准安装电气设备和线路，不准带电工作。 </w:t>
      </w:r>
    </w:p>
    <w:p w14:paraId="22D0B047">
      <w:pPr>
        <w:autoSpaceDE w:val="0"/>
        <w:autoSpaceDN w:val="0"/>
        <w:spacing w:line="360" w:lineRule="exact"/>
        <w:jc w:val="left"/>
        <w:rPr>
          <w:color w:val="auto"/>
          <w:kern w:val="0"/>
          <w:szCs w:val="21"/>
        </w:rPr>
      </w:pPr>
      <w:r>
        <w:rPr>
          <w:rFonts w:ascii="宋体" w:hAnsi="宋体" w:cs="宋体"/>
          <w:color w:val="auto"/>
          <w:kern w:val="0"/>
          <w:szCs w:val="21"/>
        </w:rPr>
        <w:t>4.</w:t>
      </w:r>
      <w:r>
        <w:rPr>
          <w:rFonts w:hint="eastAsia"/>
          <w:color w:val="auto"/>
          <w:kern w:val="0"/>
          <w:szCs w:val="21"/>
        </w:rPr>
        <w:t>5.6.2</w:t>
      </w:r>
      <w:r>
        <w:rPr>
          <w:color w:val="auto"/>
          <w:kern w:val="0"/>
          <w:szCs w:val="21"/>
        </w:rPr>
        <w:t xml:space="preserve">保密规定： </w:t>
      </w:r>
    </w:p>
    <w:p w14:paraId="517184E9">
      <w:pPr>
        <w:ind w:firstLine="420" w:firstLineChars="200"/>
        <w:jc w:val="left"/>
        <w:rPr>
          <w:color w:val="auto"/>
          <w:kern w:val="0"/>
          <w:szCs w:val="21"/>
        </w:rPr>
      </w:pPr>
      <w:r>
        <w:rPr>
          <w:rFonts w:hint="eastAsia"/>
          <w:color w:val="auto"/>
          <w:kern w:val="0"/>
          <w:szCs w:val="21"/>
        </w:rPr>
        <w:t>投标方</w:t>
      </w:r>
      <w:r>
        <w:rPr>
          <w:color w:val="auto"/>
          <w:kern w:val="0"/>
          <w:szCs w:val="21"/>
        </w:rPr>
        <w:t>未经批准不得将有关监测站点资料抄录、复制和擅自带出监测站房，并不得对外泄密。</w:t>
      </w:r>
    </w:p>
    <w:p w14:paraId="6E71FA23">
      <w:pPr>
        <w:tabs>
          <w:tab w:val="left" w:pos="1800"/>
        </w:tabs>
        <w:autoSpaceDE w:val="0"/>
        <w:autoSpaceDN w:val="0"/>
        <w:spacing w:line="360" w:lineRule="exact"/>
        <w:jc w:val="left"/>
        <w:rPr>
          <w:color w:val="auto"/>
          <w:kern w:val="0"/>
          <w:szCs w:val="21"/>
        </w:rPr>
      </w:pPr>
      <w:r>
        <w:rPr>
          <w:color w:val="auto"/>
          <w:kern w:val="0"/>
          <w:szCs w:val="21"/>
        </w:rPr>
        <w:t>5</w:t>
      </w:r>
      <w:r>
        <w:rPr>
          <w:rFonts w:hint="eastAsia"/>
          <w:color w:val="auto"/>
          <w:kern w:val="0"/>
          <w:szCs w:val="21"/>
        </w:rPr>
        <w:t>、其它</w:t>
      </w:r>
    </w:p>
    <w:p w14:paraId="6F4B4688">
      <w:pPr>
        <w:tabs>
          <w:tab w:val="left" w:pos="1800"/>
        </w:tabs>
        <w:autoSpaceDE w:val="0"/>
        <w:autoSpaceDN w:val="0"/>
        <w:spacing w:line="360" w:lineRule="exact"/>
        <w:jc w:val="left"/>
        <w:rPr>
          <w:color w:val="auto"/>
          <w:kern w:val="0"/>
          <w:szCs w:val="21"/>
        </w:rPr>
      </w:pPr>
      <w:r>
        <w:rPr>
          <w:color w:val="auto"/>
          <w:kern w:val="0"/>
          <w:szCs w:val="21"/>
        </w:rPr>
        <w:t>5</w:t>
      </w:r>
      <w:r>
        <w:rPr>
          <w:rFonts w:hint="eastAsia"/>
          <w:color w:val="auto"/>
          <w:kern w:val="0"/>
          <w:szCs w:val="21"/>
        </w:rPr>
        <w:t>.</w:t>
      </w:r>
      <w:r>
        <w:rPr>
          <w:rFonts w:hint="eastAsia"/>
          <w:color w:val="auto"/>
          <w:kern w:val="0"/>
          <w:szCs w:val="21"/>
          <w:lang w:val="en-US" w:eastAsia="zh-CN"/>
        </w:rPr>
        <w:t>1</w:t>
      </w:r>
      <w:r>
        <w:rPr>
          <w:rFonts w:hint="eastAsia"/>
          <w:color w:val="auto"/>
          <w:kern w:val="0"/>
          <w:szCs w:val="21"/>
        </w:rPr>
        <w:t>因标的物为投标方运维，在环保局等单位检查过程中，所提整改均由投标方负责。合同到期投标方需返还标的物操作说明书、系统密码、机柜钥匙等标的物附件。</w:t>
      </w:r>
    </w:p>
    <w:p w14:paraId="5027CCEF">
      <w:pPr>
        <w:tabs>
          <w:tab w:val="left" w:pos="1800"/>
        </w:tabs>
        <w:autoSpaceDE w:val="0"/>
        <w:autoSpaceDN w:val="0"/>
        <w:spacing w:line="360" w:lineRule="exact"/>
        <w:jc w:val="left"/>
        <w:rPr>
          <w:color w:val="auto"/>
          <w:kern w:val="0"/>
          <w:szCs w:val="21"/>
        </w:rPr>
      </w:pPr>
      <w:r>
        <w:rPr>
          <w:color w:val="auto"/>
          <w:kern w:val="0"/>
          <w:szCs w:val="21"/>
        </w:rPr>
        <w:t>5</w:t>
      </w:r>
      <w:r>
        <w:rPr>
          <w:rFonts w:hint="eastAsia"/>
          <w:color w:val="auto"/>
          <w:kern w:val="0"/>
          <w:szCs w:val="21"/>
        </w:rPr>
        <w:t>.</w:t>
      </w:r>
      <w:r>
        <w:rPr>
          <w:rFonts w:hint="eastAsia"/>
          <w:color w:val="auto"/>
          <w:kern w:val="0"/>
          <w:szCs w:val="21"/>
          <w:lang w:val="en-US" w:eastAsia="zh-CN"/>
        </w:rPr>
        <w:t>2</w:t>
      </w:r>
      <w:r>
        <w:rPr>
          <w:rFonts w:hint="eastAsia"/>
          <w:color w:val="auto"/>
          <w:kern w:val="0"/>
          <w:szCs w:val="21"/>
        </w:rPr>
        <w:t>非正常使用条件下造成的标的物损坏的费用负责：由于非正常使用条件下造成的标的物损坏的：自然灾害造成的损坏、失窃被盗造成的损失由招标方承担；由于投标方运维不当造成的标的物损坏由投标方承担。</w:t>
      </w:r>
    </w:p>
    <w:p w14:paraId="514553F8">
      <w:pPr>
        <w:tabs>
          <w:tab w:val="left" w:pos="1800"/>
        </w:tabs>
        <w:autoSpaceDE w:val="0"/>
        <w:autoSpaceDN w:val="0"/>
        <w:spacing w:line="360" w:lineRule="exact"/>
        <w:jc w:val="left"/>
        <w:rPr>
          <w:color w:val="auto"/>
          <w:kern w:val="0"/>
          <w:szCs w:val="21"/>
        </w:rPr>
      </w:pPr>
      <w:r>
        <w:rPr>
          <w:color w:val="auto"/>
          <w:kern w:val="0"/>
          <w:szCs w:val="21"/>
        </w:rPr>
        <w:t>5</w:t>
      </w:r>
      <w:r>
        <w:rPr>
          <w:rFonts w:hint="eastAsia"/>
          <w:color w:val="auto"/>
          <w:kern w:val="0"/>
          <w:szCs w:val="21"/>
        </w:rPr>
        <w:t>.</w:t>
      </w:r>
      <w:r>
        <w:rPr>
          <w:rFonts w:hint="eastAsia"/>
          <w:color w:val="auto"/>
          <w:kern w:val="0"/>
          <w:szCs w:val="21"/>
          <w:lang w:val="en-US" w:eastAsia="zh-CN"/>
        </w:rPr>
        <w:t>3</w:t>
      </w:r>
      <w:r>
        <w:rPr>
          <w:rFonts w:hint="eastAsia"/>
          <w:color w:val="auto"/>
          <w:kern w:val="0"/>
          <w:szCs w:val="21"/>
        </w:rPr>
        <w:t>车辆要求：所有的进厂运输车辆须满足中国重汽《关于对进入厂区物流车辆实施统一品牌管理的通知》相关要求。货车要求为重汽品牌，排放标准国</w:t>
      </w:r>
      <w:r>
        <w:rPr>
          <w:rFonts w:hint="eastAsia"/>
          <w:color w:val="auto"/>
          <w:kern w:val="0"/>
          <w:szCs w:val="21"/>
        </w:rPr>
        <w:fldChar w:fldCharType="begin"/>
      </w:r>
      <w:r>
        <w:rPr>
          <w:rFonts w:hint="eastAsia"/>
          <w:color w:val="auto"/>
          <w:kern w:val="0"/>
          <w:szCs w:val="21"/>
        </w:rPr>
        <w:instrText xml:space="preserve">= 5 \* ROMAN</w:instrText>
      </w:r>
      <w:r>
        <w:rPr>
          <w:rFonts w:hint="eastAsia"/>
          <w:color w:val="auto"/>
          <w:kern w:val="0"/>
          <w:szCs w:val="21"/>
        </w:rPr>
        <w:fldChar w:fldCharType="separate"/>
      </w:r>
      <w:r>
        <w:rPr>
          <w:rFonts w:hint="eastAsia"/>
          <w:color w:val="auto"/>
          <w:kern w:val="0"/>
          <w:szCs w:val="21"/>
        </w:rPr>
        <w:t>V</w:t>
      </w:r>
      <w:r>
        <w:rPr>
          <w:rFonts w:hint="eastAsia"/>
          <w:color w:val="auto"/>
          <w:kern w:val="0"/>
          <w:szCs w:val="21"/>
        </w:rPr>
        <w:fldChar w:fldCharType="end"/>
      </w:r>
      <w:r>
        <w:rPr>
          <w:rFonts w:hint="eastAsia"/>
          <w:color w:val="auto"/>
          <w:kern w:val="0"/>
          <w:szCs w:val="21"/>
        </w:rPr>
        <w:t>及以上。非道路移动机械（叉车及装载机）：国Ⅲ排放标准。</w:t>
      </w:r>
    </w:p>
    <w:p w14:paraId="558F6007">
      <w:pPr>
        <w:tabs>
          <w:tab w:val="left" w:pos="1800"/>
        </w:tabs>
        <w:autoSpaceDE w:val="0"/>
        <w:autoSpaceDN w:val="0"/>
        <w:spacing w:line="360" w:lineRule="exact"/>
        <w:jc w:val="left"/>
        <w:rPr>
          <w:color w:val="auto"/>
          <w:kern w:val="0"/>
          <w:szCs w:val="21"/>
        </w:rPr>
      </w:pPr>
      <w:r>
        <w:rPr>
          <w:color w:val="auto"/>
          <w:kern w:val="0"/>
          <w:szCs w:val="21"/>
        </w:rPr>
        <w:t>5</w:t>
      </w:r>
      <w:r>
        <w:rPr>
          <w:rFonts w:hint="eastAsia"/>
          <w:color w:val="auto"/>
          <w:kern w:val="0"/>
          <w:szCs w:val="21"/>
        </w:rPr>
        <w:t>.</w:t>
      </w:r>
      <w:r>
        <w:rPr>
          <w:rFonts w:hint="eastAsia"/>
          <w:color w:val="auto"/>
          <w:kern w:val="0"/>
          <w:szCs w:val="21"/>
          <w:lang w:val="en-US" w:eastAsia="zh-CN"/>
        </w:rPr>
        <w:t>4</w:t>
      </w:r>
      <w:r>
        <w:rPr>
          <w:rFonts w:hint="eastAsia"/>
          <w:color w:val="auto"/>
          <w:kern w:val="0"/>
          <w:szCs w:val="21"/>
        </w:rPr>
        <w:t>人员管理要求：</w:t>
      </w:r>
      <w:r>
        <w:rPr>
          <w:rFonts w:hint="eastAsia"/>
          <w:color w:val="auto"/>
          <w:kern w:val="0"/>
          <w:szCs w:val="21"/>
          <w:highlight w:val="none"/>
        </w:rPr>
        <w:t>投标人</w:t>
      </w:r>
      <w:r>
        <w:rPr>
          <w:rFonts w:hint="eastAsia"/>
          <w:color w:val="auto"/>
          <w:szCs w:val="21"/>
          <w:highlight w:val="none"/>
          <w:shd w:val="clear" w:color="auto" w:fill="FFFFFF"/>
        </w:rPr>
        <w:t>运维、化验分析人员应通过培训取得相应</w:t>
      </w:r>
      <w:r>
        <w:rPr>
          <w:rFonts w:hint="eastAsia"/>
          <w:color w:val="auto"/>
          <w:szCs w:val="21"/>
          <w:highlight w:val="none"/>
          <w:shd w:val="clear" w:color="auto" w:fill="FFFFFF"/>
          <w:lang w:val="en-US" w:eastAsia="zh-CN"/>
        </w:rPr>
        <w:t>资格</w:t>
      </w:r>
      <w:r>
        <w:rPr>
          <w:rFonts w:hint="eastAsia"/>
          <w:color w:val="auto"/>
          <w:szCs w:val="21"/>
          <w:highlight w:val="none"/>
          <w:shd w:val="clear" w:color="auto" w:fill="FFFFFF"/>
        </w:rPr>
        <w:t>证书，</w:t>
      </w:r>
      <w:r>
        <w:rPr>
          <w:rFonts w:hint="eastAsia"/>
          <w:color w:val="auto"/>
          <w:kern w:val="0"/>
          <w:szCs w:val="21"/>
          <w:highlight w:val="none"/>
        </w:rPr>
        <w:t>人员配置组织架构设置满足作业需求，人均不超过8点位、20个点位配一台车辆、10台设备最少一个备机。投标人运营组织架构的设置须以招标人的</w:t>
      </w:r>
      <w:r>
        <w:rPr>
          <w:rFonts w:hint="eastAsia"/>
          <w:color w:val="auto"/>
          <w:kern w:val="0"/>
          <w:szCs w:val="21"/>
        </w:rPr>
        <w:t>业务设定为基础，与招标人系统的业务框架和运营流程保持一致。投标人必须建立合理的薪酬体系及员工激励机制，控制人员流失率，避免对招标人的生产运营造成不良影响。各级人员应具备“一岗多能”，在组织机构设置和人员配备上投标人应充分体现这一要求。在某些特殊岗位投标人人员必须达到相关岗位要求并且具备相关的操作资格证。</w:t>
      </w:r>
    </w:p>
    <w:p w14:paraId="760AB461">
      <w:pPr>
        <w:tabs>
          <w:tab w:val="left" w:pos="1800"/>
        </w:tabs>
        <w:autoSpaceDE w:val="0"/>
        <w:autoSpaceDN w:val="0"/>
        <w:spacing w:line="360" w:lineRule="exact"/>
        <w:jc w:val="left"/>
        <w:rPr>
          <w:rFonts w:hint="eastAsia"/>
          <w:color w:val="auto"/>
          <w:kern w:val="0"/>
          <w:szCs w:val="21"/>
        </w:rPr>
      </w:pPr>
      <w:r>
        <w:rPr>
          <w:color w:val="auto"/>
          <w:kern w:val="0"/>
          <w:szCs w:val="21"/>
        </w:rPr>
        <w:t>5</w:t>
      </w:r>
      <w:r>
        <w:rPr>
          <w:rFonts w:hint="eastAsia"/>
          <w:color w:val="auto"/>
          <w:kern w:val="0"/>
          <w:szCs w:val="21"/>
        </w:rPr>
        <w:t>.6人员管理：投标人专职岗位人员如发生变更，需要在变更前2个工作日内向招标部门备案并获得招标人同意后方可进行人员的变更。投标人根据招标人业务定期组织人员培训，保存培训记录，培训费用由投标人自行承担。培训类型包括操作技能及标准化作业培训、安全和消防培训、新业务流程培训等。</w:t>
      </w:r>
    </w:p>
    <w:p w14:paraId="3C055C34">
      <w:pPr>
        <w:tabs>
          <w:tab w:val="left" w:pos="1800"/>
        </w:tabs>
        <w:autoSpaceDE w:val="0"/>
        <w:autoSpaceDN w:val="0"/>
        <w:spacing w:line="360" w:lineRule="exact"/>
        <w:jc w:val="left"/>
        <w:rPr>
          <w:rFonts w:hint="eastAsia"/>
          <w:color w:val="auto"/>
          <w:kern w:val="0"/>
          <w:szCs w:val="21"/>
        </w:rPr>
      </w:pPr>
      <w:r>
        <w:rPr>
          <w:color w:val="auto"/>
          <w:kern w:val="0"/>
          <w:szCs w:val="21"/>
        </w:rPr>
        <w:t>5</w:t>
      </w:r>
      <w:r>
        <w:rPr>
          <w:rFonts w:hint="eastAsia"/>
          <w:color w:val="auto"/>
          <w:kern w:val="0"/>
          <w:szCs w:val="21"/>
        </w:rPr>
        <w:t>.7投标方严格执行招标方各项规章制度，对投标方违反招标方规章制度行为，参照招标方管理考核办法执行。</w:t>
      </w:r>
    </w:p>
    <w:p w14:paraId="279E0E60">
      <w:pP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5.8 安全要求：</w:t>
      </w:r>
    </w:p>
    <w:p w14:paraId="0A0C2A6B">
      <w:pPr>
        <w:pStyle w:val="15"/>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5.8.1 运行维护人员应参加安全培训。</w:t>
      </w:r>
    </w:p>
    <w:p w14:paraId="78BB09F1">
      <w:pPr>
        <w:pStyle w:val="15"/>
        <w:ind w:left="0" w:leftChars="0" w:firstLine="0" w:firstLineChars="0"/>
        <w:rPr>
          <w:color w:val="auto"/>
          <w:highlight w:val="none"/>
        </w:rPr>
      </w:pPr>
      <w:r>
        <w:rPr>
          <w:rFonts w:hint="eastAsia" w:ascii="宋体" w:hAnsi="宋体" w:eastAsia="宋体" w:cs="宋体"/>
          <w:color w:val="auto"/>
          <w:kern w:val="0"/>
          <w:sz w:val="21"/>
          <w:szCs w:val="21"/>
          <w:highlight w:val="none"/>
          <w:lang w:val="en-US" w:eastAsia="zh-CN" w:bidi="ar-SA"/>
        </w:rPr>
        <w:t>5.8.2 运行维护人员应掌握防火防爆常识，并熟练使用消防器材。</w:t>
      </w:r>
    </w:p>
    <w:p w14:paraId="40347C65">
      <w:pPr>
        <w:pStyle w:val="8"/>
        <w:spacing w:line="360" w:lineRule="auto"/>
        <w:rPr>
          <w:rFonts w:hint="eastAsia" w:ascii="黑体" w:eastAsia="黑体"/>
          <w:b/>
          <w:bCs/>
          <w:color w:val="auto"/>
          <w:sz w:val="24"/>
          <w:szCs w:val="24"/>
        </w:rPr>
      </w:pPr>
      <w:bookmarkStart w:id="34" w:name="_Toc47031026"/>
      <w:bookmarkStart w:id="35" w:name="_Toc44077658"/>
      <w:bookmarkStart w:id="36" w:name="_Toc44077709"/>
      <w:r>
        <w:rPr>
          <w:rFonts w:hint="eastAsia" w:ascii="黑体" w:eastAsia="黑体"/>
          <w:b/>
          <w:bCs/>
          <w:color w:val="auto"/>
          <w:sz w:val="24"/>
          <w:szCs w:val="24"/>
        </w:rPr>
        <w:t>六、考核</w:t>
      </w:r>
      <w:bookmarkEnd w:id="34"/>
      <w:bookmarkEnd w:id="35"/>
      <w:bookmarkEnd w:id="36"/>
    </w:p>
    <w:p w14:paraId="59F0E4FA">
      <w:pPr>
        <w:spacing w:line="360" w:lineRule="auto"/>
        <w:rPr>
          <w:rFonts w:hint="eastAsia" w:ascii="宋体" w:hAnsi="宋体" w:cs="宋体"/>
          <w:color w:val="auto"/>
          <w:szCs w:val="21"/>
        </w:rPr>
      </w:pPr>
      <w:bookmarkStart w:id="37" w:name="_Toc47031027"/>
      <w:bookmarkStart w:id="38" w:name="_Toc44077710"/>
      <w:bookmarkStart w:id="39" w:name="_Toc44077659"/>
      <w:r>
        <w:rPr>
          <w:rFonts w:hint="eastAsia" w:ascii="宋体" w:hAnsi="宋体" w:cs="宋体"/>
          <w:color w:val="auto"/>
          <w:szCs w:val="21"/>
        </w:rPr>
        <w:t>6.1基础管理项目检查考核办法</w:t>
      </w:r>
      <w:bookmarkEnd w:id="37"/>
      <w:bookmarkEnd w:id="38"/>
      <w:bookmarkEnd w:id="39"/>
    </w:p>
    <w:p w14:paraId="5582A3EE">
      <w:pPr>
        <w:spacing w:line="360" w:lineRule="auto"/>
        <w:rPr>
          <w:rFonts w:hint="eastAsia" w:ascii="宋体" w:hAnsi="宋体" w:cs="宋体"/>
          <w:color w:val="auto"/>
          <w:szCs w:val="21"/>
        </w:rPr>
      </w:pPr>
      <w:bookmarkStart w:id="40" w:name="_Toc44077711"/>
      <w:bookmarkStart w:id="41" w:name="_Toc47031028"/>
      <w:bookmarkStart w:id="42" w:name="_Toc44077660"/>
      <w:r>
        <w:rPr>
          <w:rFonts w:hint="eastAsia" w:ascii="宋体" w:hAnsi="宋体" w:cs="宋体"/>
          <w:color w:val="auto"/>
          <w:szCs w:val="21"/>
        </w:rPr>
        <w:t>①如果违反以上有关制度条例，</w:t>
      </w:r>
      <w:r>
        <w:rPr>
          <w:rFonts w:hint="eastAsia" w:ascii="宋体" w:hAnsi="宋体" w:cs="宋体"/>
          <w:color w:val="auto"/>
          <w:szCs w:val="21"/>
          <w:lang w:val="en-US" w:eastAsia="zh-CN"/>
        </w:rPr>
        <w:t>中国重汽集团泰安五岳专用汽车有限公司</w:t>
      </w:r>
      <w:r>
        <w:rPr>
          <w:rFonts w:hint="eastAsia" w:ascii="宋体" w:hAnsi="宋体" w:cs="宋体"/>
          <w:color w:val="auto"/>
          <w:szCs w:val="21"/>
        </w:rPr>
        <w:t>将对相关管理方进行</w:t>
      </w:r>
      <w:r>
        <w:rPr>
          <w:rFonts w:hint="eastAsia" w:ascii="宋体" w:hAnsi="宋体" w:cs="宋体"/>
          <w:color w:val="auto"/>
          <w:szCs w:val="21"/>
          <w:lang w:val="en-US" w:eastAsia="zh-CN"/>
        </w:rPr>
        <w:t>5</w:t>
      </w:r>
      <w:r>
        <w:rPr>
          <w:rFonts w:hint="eastAsia" w:ascii="宋体" w:hAnsi="宋体" w:cs="宋体"/>
          <w:color w:val="auto"/>
          <w:szCs w:val="21"/>
        </w:rPr>
        <w:t>00-5000元考核，情节严重者，加倍考核。</w:t>
      </w:r>
    </w:p>
    <w:p w14:paraId="07CC1B06">
      <w:pPr>
        <w:spacing w:line="360" w:lineRule="auto"/>
        <w:rPr>
          <w:rFonts w:hint="eastAsia" w:ascii="宋体" w:hAnsi="宋体" w:cs="宋体"/>
          <w:color w:val="auto"/>
          <w:szCs w:val="21"/>
        </w:rPr>
      </w:pPr>
      <w:r>
        <w:rPr>
          <w:rFonts w:hint="eastAsia" w:ascii="宋体" w:hAnsi="宋体" w:cs="宋体"/>
          <w:color w:val="auto"/>
          <w:szCs w:val="21"/>
        </w:rPr>
        <w:t>②如因在线设备运维单位原因造成设备无故停运、监测数据有重大失误，以及在接受有关部门监督管理时被发现弄虚作假的，未能保证数据的真实性、有效性的，造成的环保局的行政处罚，由在线设备运维单位承担全部责任。</w:t>
      </w:r>
    </w:p>
    <w:p w14:paraId="40B6DB1A">
      <w:pPr>
        <w:spacing w:line="360" w:lineRule="auto"/>
        <w:rPr>
          <w:rFonts w:hint="eastAsia" w:ascii="宋体" w:hAnsi="宋体" w:cs="宋体"/>
          <w:color w:val="auto"/>
          <w:szCs w:val="21"/>
        </w:rPr>
      </w:pPr>
      <w:r>
        <w:rPr>
          <w:rFonts w:hint="eastAsia" w:ascii="宋体" w:hAnsi="宋体" w:cs="宋体"/>
          <w:color w:val="auto"/>
          <w:szCs w:val="21"/>
        </w:rPr>
        <w:t>6.2指标</w:t>
      </w:r>
      <w:bookmarkEnd w:id="40"/>
      <w:bookmarkEnd w:id="41"/>
      <w:bookmarkEnd w:id="42"/>
      <w:r>
        <w:rPr>
          <w:rFonts w:hint="eastAsia" w:ascii="宋体" w:hAnsi="宋体" w:cs="宋体"/>
          <w:color w:val="auto"/>
          <w:szCs w:val="21"/>
        </w:rPr>
        <w:t>管理</w:t>
      </w:r>
    </w:p>
    <w:tbl>
      <w:tblPr>
        <w:tblStyle w:val="1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99"/>
        <w:gridCol w:w="1361"/>
        <w:gridCol w:w="5010"/>
      </w:tblGrid>
      <w:tr w14:paraId="45B0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noWrap w:val="0"/>
            <w:vAlign w:val="center"/>
          </w:tcPr>
          <w:p w14:paraId="6C7F3F00">
            <w:pPr>
              <w:jc w:val="center"/>
              <w:rPr>
                <w:rFonts w:hint="eastAsia" w:ascii="宋体" w:hAnsi="宋体" w:cs="宋体"/>
                <w:b/>
                <w:bCs/>
                <w:color w:val="auto"/>
              </w:rPr>
            </w:pPr>
            <w:r>
              <w:rPr>
                <w:rFonts w:hint="eastAsia" w:ascii="宋体" w:hAnsi="宋体" w:cs="宋体"/>
                <w:b/>
                <w:bCs/>
                <w:color w:val="auto"/>
              </w:rPr>
              <w:t>序号</w:t>
            </w:r>
          </w:p>
        </w:tc>
        <w:tc>
          <w:tcPr>
            <w:tcW w:w="2099" w:type="dxa"/>
            <w:noWrap w:val="0"/>
            <w:vAlign w:val="center"/>
          </w:tcPr>
          <w:p w14:paraId="05556A8A">
            <w:pPr>
              <w:jc w:val="center"/>
              <w:rPr>
                <w:rFonts w:hint="eastAsia" w:ascii="宋体" w:hAnsi="宋体" w:cs="宋体"/>
                <w:b/>
                <w:bCs/>
                <w:color w:val="auto"/>
              </w:rPr>
            </w:pPr>
            <w:r>
              <w:rPr>
                <w:rFonts w:hint="eastAsia" w:ascii="宋体" w:hAnsi="宋体" w:cs="宋体"/>
                <w:b/>
                <w:bCs/>
                <w:color w:val="auto"/>
              </w:rPr>
              <w:t>绩效指标名称</w:t>
            </w:r>
          </w:p>
        </w:tc>
        <w:tc>
          <w:tcPr>
            <w:tcW w:w="1361" w:type="dxa"/>
            <w:noWrap w:val="0"/>
            <w:vAlign w:val="center"/>
          </w:tcPr>
          <w:p w14:paraId="4500DB22">
            <w:pPr>
              <w:jc w:val="center"/>
              <w:rPr>
                <w:rFonts w:hint="eastAsia" w:ascii="宋体" w:hAnsi="宋体" w:cs="宋体"/>
                <w:b/>
                <w:bCs/>
                <w:color w:val="auto"/>
              </w:rPr>
            </w:pPr>
            <w:r>
              <w:rPr>
                <w:rFonts w:hint="eastAsia" w:ascii="宋体" w:hAnsi="宋体" w:cs="宋体"/>
                <w:b/>
                <w:bCs/>
                <w:color w:val="auto"/>
              </w:rPr>
              <w:t>指标</w:t>
            </w:r>
          </w:p>
        </w:tc>
        <w:tc>
          <w:tcPr>
            <w:tcW w:w="5010" w:type="dxa"/>
            <w:noWrap w:val="0"/>
            <w:vAlign w:val="center"/>
          </w:tcPr>
          <w:p w14:paraId="4E56E11D">
            <w:pPr>
              <w:jc w:val="center"/>
              <w:rPr>
                <w:rFonts w:hint="eastAsia" w:ascii="宋体" w:hAnsi="宋体" w:cs="宋体"/>
                <w:b/>
                <w:bCs/>
                <w:color w:val="auto"/>
              </w:rPr>
            </w:pPr>
            <w:r>
              <w:rPr>
                <w:rFonts w:hint="eastAsia" w:ascii="宋体" w:hAnsi="宋体" w:cs="宋体"/>
                <w:b/>
                <w:bCs/>
                <w:color w:val="auto"/>
              </w:rPr>
              <w:t>指标测量方法</w:t>
            </w:r>
          </w:p>
        </w:tc>
      </w:tr>
      <w:tr w14:paraId="0AA5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noWrap w:val="0"/>
            <w:vAlign w:val="center"/>
          </w:tcPr>
          <w:p w14:paraId="5B3D380C">
            <w:pPr>
              <w:jc w:val="center"/>
              <w:rPr>
                <w:rFonts w:hint="eastAsia" w:ascii="宋体" w:hAnsi="宋体" w:cs="宋体"/>
                <w:color w:val="auto"/>
              </w:rPr>
            </w:pPr>
            <w:r>
              <w:rPr>
                <w:rFonts w:hint="eastAsia" w:ascii="宋体" w:hAnsi="宋体" w:cs="宋体"/>
                <w:color w:val="auto"/>
              </w:rPr>
              <w:t>1</w:t>
            </w:r>
          </w:p>
        </w:tc>
        <w:tc>
          <w:tcPr>
            <w:tcW w:w="2099" w:type="dxa"/>
            <w:noWrap w:val="0"/>
            <w:vAlign w:val="center"/>
          </w:tcPr>
          <w:p w14:paraId="6C2BC381">
            <w:pPr>
              <w:jc w:val="center"/>
              <w:rPr>
                <w:rFonts w:hint="eastAsia" w:ascii="宋体" w:hAnsi="宋体" w:cs="宋体"/>
                <w:color w:val="auto"/>
              </w:rPr>
            </w:pPr>
            <w:r>
              <w:rPr>
                <w:rFonts w:hint="eastAsia" w:ascii="宋体" w:hAnsi="宋体" w:cs="宋体"/>
                <w:color w:val="auto"/>
              </w:rPr>
              <w:t>异常问题重复发生率</w:t>
            </w:r>
          </w:p>
        </w:tc>
        <w:tc>
          <w:tcPr>
            <w:tcW w:w="1361" w:type="dxa"/>
            <w:noWrap w:val="0"/>
            <w:vAlign w:val="center"/>
          </w:tcPr>
          <w:p w14:paraId="42B3E1B2">
            <w:pPr>
              <w:jc w:val="center"/>
              <w:rPr>
                <w:rFonts w:hint="eastAsia" w:ascii="宋体" w:hAnsi="宋体" w:cs="宋体"/>
                <w:color w:val="auto"/>
              </w:rPr>
            </w:pPr>
            <w:r>
              <w:rPr>
                <w:rFonts w:hint="eastAsia" w:ascii="宋体" w:hAnsi="宋体" w:cs="宋体"/>
                <w:color w:val="auto"/>
              </w:rPr>
              <w:t>≥95%</w:t>
            </w:r>
          </w:p>
        </w:tc>
        <w:tc>
          <w:tcPr>
            <w:tcW w:w="5010" w:type="dxa"/>
            <w:noWrap w:val="0"/>
            <w:vAlign w:val="center"/>
          </w:tcPr>
          <w:p w14:paraId="3AD39E86">
            <w:pPr>
              <w:jc w:val="center"/>
              <w:rPr>
                <w:rFonts w:hint="eastAsia" w:ascii="宋体" w:hAnsi="宋体" w:cs="宋体"/>
                <w:color w:val="auto"/>
              </w:rPr>
            </w:pPr>
            <w:r>
              <w:rPr>
                <w:rFonts w:hint="eastAsia" w:ascii="宋体" w:hAnsi="宋体" w:cs="宋体"/>
                <w:color w:val="auto"/>
              </w:rPr>
              <w:t>考核期内不合格事件关闭项数/考核期内发现不合格事件总项数*100%</w:t>
            </w:r>
          </w:p>
        </w:tc>
      </w:tr>
      <w:tr w14:paraId="738B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noWrap w:val="0"/>
            <w:vAlign w:val="center"/>
          </w:tcPr>
          <w:p w14:paraId="64A8654B">
            <w:pPr>
              <w:jc w:val="center"/>
              <w:rPr>
                <w:rFonts w:hint="eastAsia" w:ascii="宋体" w:hAnsi="宋体" w:cs="宋体"/>
                <w:color w:val="auto"/>
              </w:rPr>
            </w:pPr>
            <w:r>
              <w:rPr>
                <w:rFonts w:hint="eastAsia" w:ascii="宋体" w:hAnsi="宋体" w:cs="宋体"/>
                <w:color w:val="auto"/>
              </w:rPr>
              <w:t>2</w:t>
            </w:r>
          </w:p>
        </w:tc>
        <w:tc>
          <w:tcPr>
            <w:tcW w:w="2099" w:type="dxa"/>
            <w:noWrap w:val="0"/>
            <w:vAlign w:val="center"/>
          </w:tcPr>
          <w:p w14:paraId="25F924D1">
            <w:pPr>
              <w:jc w:val="center"/>
              <w:rPr>
                <w:rFonts w:hint="eastAsia" w:ascii="宋体" w:hAnsi="宋体" w:cs="宋体"/>
                <w:color w:val="auto"/>
              </w:rPr>
            </w:pPr>
            <w:r>
              <w:rPr>
                <w:rFonts w:hint="eastAsia" w:ascii="宋体" w:hAnsi="宋体" w:cs="宋体"/>
                <w:color w:val="auto"/>
              </w:rPr>
              <w:t>每月在线监测故障导致生产停机次数</w:t>
            </w:r>
          </w:p>
        </w:tc>
        <w:tc>
          <w:tcPr>
            <w:tcW w:w="1361" w:type="dxa"/>
            <w:noWrap w:val="0"/>
            <w:vAlign w:val="center"/>
          </w:tcPr>
          <w:p w14:paraId="1E06CAC7">
            <w:pPr>
              <w:jc w:val="center"/>
              <w:rPr>
                <w:rFonts w:ascii="宋体" w:hAnsi="宋体" w:cs="宋体"/>
                <w:color w:val="auto"/>
              </w:rPr>
            </w:pPr>
            <w:r>
              <w:rPr>
                <w:rFonts w:hint="eastAsia" w:ascii="宋体" w:hAnsi="宋体" w:cs="宋体"/>
                <w:color w:val="auto"/>
              </w:rPr>
              <w:t>≤2</w:t>
            </w:r>
          </w:p>
        </w:tc>
        <w:tc>
          <w:tcPr>
            <w:tcW w:w="5010" w:type="dxa"/>
            <w:noWrap w:val="0"/>
            <w:vAlign w:val="center"/>
          </w:tcPr>
          <w:p w14:paraId="5DEC87BE">
            <w:pPr>
              <w:jc w:val="center"/>
              <w:rPr>
                <w:rFonts w:hint="eastAsia" w:ascii="宋体" w:hAnsi="宋体" w:cs="宋体"/>
                <w:color w:val="auto"/>
              </w:rPr>
            </w:pPr>
            <w:r>
              <w:rPr>
                <w:rFonts w:hint="eastAsia" w:ascii="宋体" w:hAnsi="宋体" w:cs="宋体"/>
                <w:color w:val="auto"/>
              </w:rPr>
              <w:t>因维护不利导致生产调产、缓产及停线次数</w:t>
            </w:r>
          </w:p>
        </w:tc>
      </w:tr>
    </w:tbl>
    <w:p w14:paraId="747F47B0">
      <w:pPr>
        <w:pStyle w:val="8"/>
        <w:spacing w:line="360" w:lineRule="auto"/>
        <w:jc w:val="left"/>
        <w:rPr>
          <w:rFonts w:ascii="黑体" w:eastAsia="黑体"/>
          <w:b/>
          <w:bCs/>
          <w:color w:val="auto"/>
          <w:sz w:val="36"/>
          <w:szCs w:val="36"/>
        </w:rPr>
      </w:pPr>
      <w:r>
        <w:rPr>
          <w:rFonts w:hint="eastAsia" w:hAnsi="宋体" w:cs="宋体"/>
          <w:color w:val="auto"/>
          <w:szCs w:val="21"/>
        </w:rPr>
        <w:t>以上2项指标未完成者，</w:t>
      </w:r>
      <w:r>
        <w:rPr>
          <w:rFonts w:hint="eastAsia" w:hAnsi="宋体" w:cs="宋体"/>
          <w:color w:val="auto"/>
          <w:szCs w:val="21"/>
          <w:lang w:val="en-US" w:eastAsia="zh-CN"/>
        </w:rPr>
        <w:t>招标方</w:t>
      </w:r>
      <w:r>
        <w:rPr>
          <w:rFonts w:hint="eastAsia" w:hAnsi="宋体" w:cs="宋体"/>
          <w:color w:val="auto"/>
          <w:szCs w:val="21"/>
        </w:rPr>
        <w:t>有权解除与相关方的合同。</w:t>
      </w:r>
    </w:p>
    <w:p w14:paraId="2659BBDF">
      <w:pPr>
        <w:pStyle w:val="8"/>
        <w:spacing w:line="360" w:lineRule="auto"/>
        <w:rPr>
          <w:rFonts w:ascii="黑体" w:eastAsia="黑体"/>
          <w:b/>
          <w:bCs/>
          <w:color w:val="auto"/>
          <w:sz w:val="36"/>
          <w:szCs w:val="36"/>
        </w:rPr>
      </w:pPr>
    </w:p>
    <w:p w14:paraId="5A6EDBA7">
      <w:pPr>
        <w:pStyle w:val="8"/>
        <w:spacing w:line="360" w:lineRule="auto"/>
        <w:rPr>
          <w:rFonts w:ascii="黑体" w:eastAsia="黑体"/>
          <w:b/>
          <w:bCs/>
          <w:color w:val="auto"/>
          <w:sz w:val="36"/>
          <w:szCs w:val="36"/>
        </w:rPr>
      </w:pPr>
    </w:p>
    <w:p w14:paraId="0F333138">
      <w:pPr>
        <w:pStyle w:val="8"/>
        <w:spacing w:line="360" w:lineRule="auto"/>
        <w:rPr>
          <w:rFonts w:ascii="黑体" w:eastAsia="黑体"/>
          <w:b/>
          <w:bCs/>
          <w:color w:val="auto"/>
          <w:sz w:val="36"/>
          <w:szCs w:val="36"/>
        </w:rPr>
      </w:pPr>
    </w:p>
    <w:p w14:paraId="52B556A0">
      <w:pPr>
        <w:pStyle w:val="8"/>
        <w:spacing w:line="360" w:lineRule="auto"/>
        <w:rPr>
          <w:rFonts w:ascii="黑体" w:eastAsia="黑体"/>
          <w:b/>
          <w:bCs/>
          <w:color w:val="auto"/>
          <w:sz w:val="36"/>
          <w:szCs w:val="36"/>
        </w:rPr>
      </w:pPr>
    </w:p>
    <w:p w14:paraId="3BF771BC">
      <w:pPr>
        <w:pStyle w:val="8"/>
        <w:spacing w:line="360" w:lineRule="auto"/>
        <w:rPr>
          <w:rFonts w:ascii="黑体" w:eastAsia="黑体"/>
          <w:b/>
          <w:bCs/>
          <w:color w:val="auto"/>
          <w:sz w:val="36"/>
          <w:szCs w:val="36"/>
        </w:rPr>
      </w:pPr>
    </w:p>
    <w:p w14:paraId="5A9A7B97">
      <w:pPr>
        <w:pStyle w:val="8"/>
        <w:spacing w:line="360" w:lineRule="auto"/>
        <w:rPr>
          <w:rFonts w:ascii="黑体" w:eastAsia="黑体"/>
          <w:b/>
          <w:bCs/>
          <w:color w:val="auto"/>
          <w:sz w:val="36"/>
          <w:szCs w:val="36"/>
        </w:rPr>
      </w:pPr>
    </w:p>
    <w:p w14:paraId="45660CAD">
      <w:pPr>
        <w:pStyle w:val="8"/>
        <w:spacing w:line="360" w:lineRule="auto"/>
        <w:rPr>
          <w:rFonts w:ascii="黑体" w:eastAsia="黑体"/>
          <w:b/>
          <w:bCs/>
          <w:color w:val="auto"/>
          <w:sz w:val="36"/>
          <w:szCs w:val="36"/>
        </w:rPr>
      </w:pPr>
    </w:p>
    <w:p w14:paraId="35FD8712">
      <w:pPr>
        <w:pStyle w:val="8"/>
        <w:spacing w:line="360" w:lineRule="auto"/>
        <w:rPr>
          <w:rFonts w:ascii="黑体" w:eastAsia="黑体"/>
          <w:b/>
          <w:bCs/>
          <w:color w:val="auto"/>
          <w:sz w:val="36"/>
          <w:szCs w:val="36"/>
        </w:rPr>
      </w:pPr>
    </w:p>
    <w:p w14:paraId="3533EABE">
      <w:pPr>
        <w:pStyle w:val="8"/>
        <w:spacing w:line="360" w:lineRule="auto"/>
        <w:rPr>
          <w:rFonts w:ascii="黑体" w:eastAsia="黑体"/>
          <w:b/>
          <w:bCs/>
          <w:color w:val="auto"/>
          <w:sz w:val="36"/>
          <w:szCs w:val="36"/>
        </w:rPr>
      </w:pPr>
    </w:p>
    <w:p w14:paraId="7A665DEA">
      <w:pPr>
        <w:spacing w:line="360" w:lineRule="auto"/>
        <w:jc w:val="center"/>
        <w:rPr>
          <w:color w:val="auto"/>
          <w:sz w:val="28"/>
          <w:szCs w:val="28"/>
        </w:rPr>
      </w:pPr>
    </w:p>
    <w:p w14:paraId="636543C5">
      <w:pPr>
        <w:spacing w:line="360" w:lineRule="auto"/>
        <w:jc w:val="center"/>
        <w:rPr>
          <w:color w:val="auto"/>
          <w:sz w:val="28"/>
          <w:szCs w:val="28"/>
        </w:rPr>
      </w:pPr>
    </w:p>
    <w:p w14:paraId="72F23AE9">
      <w:pPr>
        <w:tabs>
          <w:tab w:val="left" w:pos="2700"/>
        </w:tabs>
        <w:spacing w:line="0" w:lineRule="atLeast"/>
        <w:rPr>
          <w:rFonts w:hint="eastAsia" w:hAnsi="宋体"/>
          <w:b/>
          <w:color w:val="auto"/>
          <w:sz w:val="24"/>
        </w:rPr>
      </w:pPr>
    </w:p>
    <w:p w14:paraId="35685894">
      <w:pPr>
        <w:tabs>
          <w:tab w:val="left" w:pos="2700"/>
        </w:tabs>
        <w:spacing w:line="0" w:lineRule="atLeast"/>
        <w:rPr>
          <w:rFonts w:hint="eastAsia" w:hAnsi="宋体"/>
          <w:b/>
          <w:color w:val="auto"/>
          <w:sz w:val="24"/>
        </w:rPr>
      </w:pPr>
    </w:p>
    <w:p w14:paraId="11F55074">
      <w:pPr>
        <w:tabs>
          <w:tab w:val="left" w:pos="2700"/>
        </w:tabs>
        <w:spacing w:line="0" w:lineRule="atLeast"/>
        <w:ind w:firstLine="240" w:firstLineChars="100"/>
        <w:rPr>
          <w:rFonts w:hint="eastAsia"/>
          <w:color w:val="auto"/>
        </w:rPr>
      </w:pPr>
      <w:r>
        <w:rPr>
          <w:rFonts w:hint="eastAsia" w:eastAsia="仿宋_GB2312"/>
          <w:color w:val="auto"/>
          <w:sz w:val="24"/>
        </w:rPr>
        <w:t xml:space="preserve">                                                           </w:t>
      </w: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046E">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- 2 -</w:t>
    </w:r>
    <w:r>
      <w:fldChar w:fldCharType="end"/>
    </w:r>
  </w:p>
  <w:p w14:paraId="7A7265D8">
    <w:pPr>
      <w:pStyle w:val="9"/>
    </w:pPr>
  </w:p>
  <w:p w14:paraId="38DB11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94AD">
    <w:pPr>
      <w:pStyle w:val="9"/>
      <w:framePr w:wrap="around" w:vAnchor="text" w:hAnchor="margin" w:xAlign="center" w:y="1"/>
      <w:rPr>
        <w:rStyle w:val="20"/>
      </w:rPr>
    </w:pPr>
    <w:r>
      <w:fldChar w:fldCharType="begin"/>
    </w:r>
    <w:r>
      <w:rPr>
        <w:rStyle w:val="20"/>
      </w:rPr>
      <w:instrText xml:space="preserve">PAGE  </w:instrText>
    </w:r>
    <w:r>
      <w:fldChar w:fldCharType="end"/>
    </w:r>
  </w:p>
  <w:p w14:paraId="57BC0CCA">
    <w:pPr>
      <w:pStyle w:val="9"/>
    </w:pPr>
  </w:p>
  <w:p w14:paraId="1A17130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7D5B">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0FC27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7135F"/>
    <w:multiLevelType w:val="singleLevel"/>
    <w:tmpl w:val="92A7135F"/>
    <w:lvl w:ilvl="0" w:tentative="0">
      <w:start w:val="4"/>
      <w:numFmt w:val="decimal"/>
      <w:suff w:val="nothing"/>
      <w:lvlText w:val="%1、"/>
      <w:lvlJc w:val="left"/>
    </w:lvl>
  </w:abstractNum>
  <w:abstractNum w:abstractNumId="1">
    <w:nsid w:val="991B0D5D"/>
    <w:multiLevelType w:val="singleLevel"/>
    <w:tmpl w:val="991B0D5D"/>
    <w:lvl w:ilvl="0" w:tentative="0">
      <w:start w:val="1"/>
      <w:numFmt w:val="lowerLetter"/>
      <w:suff w:val="space"/>
      <w:lvlText w:val="%1)"/>
      <w:lvlJc w:val="left"/>
    </w:lvl>
  </w:abstractNum>
  <w:abstractNum w:abstractNumId="2">
    <w:nsid w:val="F61F2DE6"/>
    <w:multiLevelType w:val="singleLevel"/>
    <w:tmpl w:val="F61F2DE6"/>
    <w:lvl w:ilvl="0" w:tentative="0">
      <w:start w:val="9"/>
      <w:numFmt w:val="decimal"/>
      <w:suff w:val="nothing"/>
      <w:lvlText w:val="%1、"/>
      <w:lvlJc w:val="left"/>
    </w:lvl>
  </w:abstractNum>
  <w:abstractNum w:abstractNumId="3">
    <w:nsid w:val="4337B36B"/>
    <w:multiLevelType w:val="singleLevel"/>
    <w:tmpl w:val="4337B36B"/>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2NmYjg3MWNkMTFhNDk5NjI2YTgzN2JiY2NmZGUifQ=="/>
  </w:docVars>
  <w:rsids>
    <w:rsidRoot w:val="00172A27"/>
    <w:rsid w:val="000A03AF"/>
    <w:rsid w:val="00262436"/>
    <w:rsid w:val="00731BBD"/>
    <w:rsid w:val="00744E49"/>
    <w:rsid w:val="007612ED"/>
    <w:rsid w:val="009239AF"/>
    <w:rsid w:val="009D5DC8"/>
    <w:rsid w:val="00A272C2"/>
    <w:rsid w:val="00AE6CD8"/>
    <w:rsid w:val="00B8316F"/>
    <w:rsid w:val="00D77B67"/>
    <w:rsid w:val="00FD659B"/>
    <w:rsid w:val="01343700"/>
    <w:rsid w:val="013B2357"/>
    <w:rsid w:val="0204742C"/>
    <w:rsid w:val="020C4532"/>
    <w:rsid w:val="021D0874"/>
    <w:rsid w:val="029D6B7B"/>
    <w:rsid w:val="02A1499E"/>
    <w:rsid w:val="0353554C"/>
    <w:rsid w:val="036C4D0C"/>
    <w:rsid w:val="03AC309B"/>
    <w:rsid w:val="03AE5D33"/>
    <w:rsid w:val="03C05559"/>
    <w:rsid w:val="042758F3"/>
    <w:rsid w:val="043F2022"/>
    <w:rsid w:val="04505DA4"/>
    <w:rsid w:val="046E624C"/>
    <w:rsid w:val="049824E7"/>
    <w:rsid w:val="04BC5297"/>
    <w:rsid w:val="05704DD8"/>
    <w:rsid w:val="0586124C"/>
    <w:rsid w:val="05DD06BF"/>
    <w:rsid w:val="062B066A"/>
    <w:rsid w:val="065D70FD"/>
    <w:rsid w:val="07264FD5"/>
    <w:rsid w:val="078E278D"/>
    <w:rsid w:val="07945B0B"/>
    <w:rsid w:val="07C75183"/>
    <w:rsid w:val="08B06243"/>
    <w:rsid w:val="094F32D3"/>
    <w:rsid w:val="098A23AE"/>
    <w:rsid w:val="09C27D33"/>
    <w:rsid w:val="0A51342A"/>
    <w:rsid w:val="0AC9589E"/>
    <w:rsid w:val="0ACA278E"/>
    <w:rsid w:val="0ADA620B"/>
    <w:rsid w:val="0B024724"/>
    <w:rsid w:val="0BD25341"/>
    <w:rsid w:val="0C434FF4"/>
    <w:rsid w:val="0C6F1945"/>
    <w:rsid w:val="0CF84031"/>
    <w:rsid w:val="0DF052B3"/>
    <w:rsid w:val="0E1529C0"/>
    <w:rsid w:val="0E39220B"/>
    <w:rsid w:val="0E6F0323"/>
    <w:rsid w:val="0EEB4A4C"/>
    <w:rsid w:val="0F3455E8"/>
    <w:rsid w:val="0F46207F"/>
    <w:rsid w:val="0F7F00F1"/>
    <w:rsid w:val="0F900551"/>
    <w:rsid w:val="0FDC4758"/>
    <w:rsid w:val="10B464C1"/>
    <w:rsid w:val="10D206F5"/>
    <w:rsid w:val="10FE598E"/>
    <w:rsid w:val="115919CD"/>
    <w:rsid w:val="11B36778"/>
    <w:rsid w:val="11E608FC"/>
    <w:rsid w:val="12491BA5"/>
    <w:rsid w:val="12E83BAB"/>
    <w:rsid w:val="132316DC"/>
    <w:rsid w:val="13280CB7"/>
    <w:rsid w:val="13B356BC"/>
    <w:rsid w:val="13BC5DB8"/>
    <w:rsid w:val="13FA68E0"/>
    <w:rsid w:val="140E413A"/>
    <w:rsid w:val="14184FB8"/>
    <w:rsid w:val="144313FB"/>
    <w:rsid w:val="146E4BD8"/>
    <w:rsid w:val="14963C39"/>
    <w:rsid w:val="1568064D"/>
    <w:rsid w:val="157C708C"/>
    <w:rsid w:val="16240220"/>
    <w:rsid w:val="164A498D"/>
    <w:rsid w:val="16687F93"/>
    <w:rsid w:val="16704C38"/>
    <w:rsid w:val="16730284"/>
    <w:rsid w:val="16F13FCB"/>
    <w:rsid w:val="16FD6AE2"/>
    <w:rsid w:val="17412671"/>
    <w:rsid w:val="17506BFE"/>
    <w:rsid w:val="18015B42"/>
    <w:rsid w:val="18354086"/>
    <w:rsid w:val="18675BED"/>
    <w:rsid w:val="18B7465F"/>
    <w:rsid w:val="191304AC"/>
    <w:rsid w:val="192D0BBE"/>
    <w:rsid w:val="1A215C10"/>
    <w:rsid w:val="1AC17A63"/>
    <w:rsid w:val="1AC86132"/>
    <w:rsid w:val="1ADC0AEE"/>
    <w:rsid w:val="1AF37D10"/>
    <w:rsid w:val="1B2902E1"/>
    <w:rsid w:val="1C0320AA"/>
    <w:rsid w:val="1C170EDF"/>
    <w:rsid w:val="1C3E520E"/>
    <w:rsid w:val="1C9D3366"/>
    <w:rsid w:val="1CE62BC0"/>
    <w:rsid w:val="1D6B6159"/>
    <w:rsid w:val="1D81597C"/>
    <w:rsid w:val="1DB7086F"/>
    <w:rsid w:val="1DD7559C"/>
    <w:rsid w:val="1DEF0B38"/>
    <w:rsid w:val="1DF13A59"/>
    <w:rsid w:val="1DF146E0"/>
    <w:rsid w:val="1E397853"/>
    <w:rsid w:val="1E756B6C"/>
    <w:rsid w:val="1E7B23CC"/>
    <w:rsid w:val="1E8110F9"/>
    <w:rsid w:val="1E9C2349"/>
    <w:rsid w:val="1E9E11F7"/>
    <w:rsid w:val="1EB678A8"/>
    <w:rsid w:val="1EBA1146"/>
    <w:rsid w:val="1EEB43F0"/>
    <w:rsid w:val="1F093E7B"/>
    <w:rsid w:val="1F642E60"/>
    <w:rsid w:val="1FAF3C93"/>
    <w:rsid w:val="1FB24C62"/>
    <w:rsid w:val="1FDB75C6"/>
    <w:rsid w:val="1FF43BA4"/>
    <w:rsid w:val="205E1FA5"/>
    <w:rsid w:val="206C021E"/>
    <w:rsid w:val="20736297"/>
    <w:rsid w:val="207E43F5"/>
    <w:rsid w:val="211865F8"/>
    <w:rsid w:val="2123032B"/>
    <w:rsid w:val="21511E4F"/>
    <w:rsid w:val="21B856E5"/>
    <w:rsid w:val="21D31DD5"/>
    <w:rsid w:val="225A19E0"/>
    <w:rsid w:val="22614F8B"/>
    <w:rsid w:val="22EA5D72"/>
    <w:rsid w:val="22FA4207"/>
    <w:rsid w:val="23071D13"/>
    <w:rsid w:val="23812232"/>
    <w:rsid w:val="239C1C3F"/>
    <w:rsid w:val="23AD74CB"/>
    <w:rsid w:val="243C71FC"/>
    <w:rsid w:val="245E5D8B"/>
    <w:rsid w:val="24794872"/>
    <w:rsid w:val="249661B1"/>
    <w:rsid w:val="24AC1230"/>
    <w:rsid w:val="252723DC"/>
    <w:rsid w:val="2609650F"/>
    <w:rsid w:val="261A4BC0"/>
    <w:rsid w:val="267267AA"/>
    <w:rsid w:val="26755F72"/>
    <w:rsid w:val="269A183A"/>
    <w:rsid w:val="26AB75C6"/>
    <w:rsid w:val="26C64EAA"/>
    <w:rsid w:val="26ED1EAF"/>
    <w:rsid w:val="271028CB"/>
    <w:rsid w:val="27910EB2"/>
    <w:rsid w:val="27DB07FD"/>
    <w:rsid w:val="28055B1A"/>
    <w:rsid w:val="281318C7"/>
    <w:rsid w:val="28922210"/>
    <w:rsid w:val="28C43E21"/>
    <w:rsid w:val="28DC3349"/>
    <w:rsid w:val="29437BE4"/>
    <w:rsid w:val="29F92976"/>
    <w:rsid w:val="29F9341C"/>
    <w:rsid w:val="2A234793"/>
    <w:rsid w:val="2A385748"/>
    <w:rsid w:val="2A3A12B5"/>
    <w:rsid w:val="2A5F7045"/>
    <w:rsid w:val="2AED63FF"/>
    <w:rsid w:val="2AF459E0"/>
    <w:rsid w:val="2BA86359"/>
    <w:rsid w:val="2BC32913"/>
    <w:rsid w:val="2BCD3BBB"/>
    <w:rsid w:val="2C4265F2"/>
    <w:rsid w:val="2C5030EA"/>
    <w:rsid w:val="2C773DE6"/>
    <w:rsid w:val="2CBA2771"/>
    <w:rsid w:val="2CE51A2A"/>
    <w:rsid w:val="2D2334D0"/>
    <w:rsid w:val="2DC02FDA"/>
    <w:rsid w:val="2DE928A8"/>
    <w:rsid w:val="2E34556F"/>
    <w:rsid w:val="2E50561E"/>
    <w:rsid w:val="2E701821"/>
    <w:rsid w:val="2EB45BB2"/>
    <w:rsid w:val="2EF44200"/>
    <w:rsid w:val="2F000DF7"/>
    <w:rsid w:val="2F1C430B"/>
    <w:rsid w:val="2F432A92"/>
    <w:rsid w:val="2FAE0DA7"/>
    <w:rsid w:val="2FAF45CB"/>
    <w:rsid w:val="2FED308F"/>
    <w:rsid w:val="30006BD5"/>
    <w:rsid w:val="300814BF"/>
    <w:rsid w:val="30234671"/>
    <w:rsid w:val="30463003"/>
    <w:rsid w:val="31577273"/>
    <w:rsid w:val="317055EC"/>
    <w:rsid w:val="31E06934"/>
    <w:rsid w:val="325B4596"/>
    <w:rsid w:val="32794A1C"/>
    <w:rsid w:val="32F37FFD"/>
    <w:rsid w:val="335E433E"/>
    <w:rsid w:val="33AC5A3E"/>
    <w:rsid w:val="33E81E5A"/>
    <w:rsid w:val="33EE2585"/>
    <w:rsid w:val="33F12316"/>
    <w:rsid w:val="33F95E15"/>
    <w:rsid w:val="34020097"/>
    <w:rsid w:val="342002E1"/>
    <w:rsid w:val="34407EFA"/>
    <w:rsid w:val="34FB3571"/>
    <w:rsid w:val="350257E4"/>
    <w:rsid w:val="3507784C"/>
    <w:rsid w:val="352944D8"/>
    <w:rsid w:val="35410CCD"/>
    <w:rsid w:val="359A53D6"/>
    <w:rsid w:val="35A04422"/>
    <w:rsid w:val="35BA7826"/>
    <w:rsid w:val="35F8390A"/>
    <w:rsid w:val="361208B0"/>
    <w:rsid w:val="364F61C0"/>
    <w:rsid w:val="37403D5B"/>
    <w:rsid w:val="37515F68"/>
    <w:rsid w:val="37623CD1"/>
    <w:rsid w:val="37C50277"/>
    <w:rsid w:val="37DE77FC"/>
    <w:rsid w:val="38044709"/>
    <w:rsid w:val="38751292"/>
    <w:rsid w:val="388760E5"/>
    <w:rsid w:val="38A04AB1"/>
    <w:rsid w:val="38BC79F1"/>
    <w:rsid w:val="38C40B74"/>
    <w:rsid w:val="38C84008"/>
    <w:rsid w:val="38EC7C95"/>
    <w:rsid w:val="392562C1"/>
    <w:rsid w:val="39805B4C"/>
    <w:rsid w:val="399C796E"/>
    <w:rsid w:val="3A661D2A"/>
    <w:rsid w:val="3AE83A19"/>
    <w:rsid w:val="3B027CA5"/>
    <w:rsid w:val="3B7010B2"/>
    <w:rsid w:val="3BDD054D"/>
    <w:rsid w:val="3C51583E"/>
    <w:rsid w:val="3C7D42C9"/>
    <w:rsid w:val="3CA2745D"/>
    <w:rsid w:val="3D08531B"/>
    <w:rsid w:val="3D0D2624"/>
    <w:rsid w:val="3D89020A"/>
    <w:rsid w:val="3DB159B2"/>
    <w:rsid w:val="3DFC4E7F"/>
    <w:rsid w:val="3E0E1BEF"/>
    <w:rsid w:val="3E32264F"/>
    <w:rsid w:val="3E330919"/>
    <w:rsid w:val="3E6D124E"/>
    <w:rsid w:val="3F593C0C"/>
    <w:rsid w:val="3F5B3E28"/>
    <w:rsid w:val="3FCC2A3F"/>
    <w:rsid w:val="3FDB0DA8"/>
    <w:rsid w:val="3FE721E6"/>
    <w:rsid w:val="40691125"/>
    <w:rsid w:val="40D46108"/>
    <w:rsid w:val="40EE5E61"/>
    <w:rsid w:val="410645A3"/>
    <w:rsid w:val="41137DFA"/>
    <w:rsid w:val="41A15D8F"/>
    <w:rsid w:val="41E023C2"/>
    <w:rsid w:val="41FE72A3"/>
    <w:rsid w:val="4221593A"/>
    <w:rsid w:val="42750D5C"/>
    <w:rsid w:val="427D6BF1"/>
    <w:rsid w:val="42D71A17"/>
    <w:rsid w:val="430976F7"/>
    <w:rsid w:val="433B53FD"/>
    <w:rsid w:val="43972F54"/>
    <w:rsid w:val="43DB72E5"/>
    <w:rsid w:val="44064ACB"/>
    <w:rsid w:val="441B5933"/>
    <w:rsid w:val="44264D71"/>
    <w:rsid w:val="444E5D09"/>
    <w:rsid w:val="445502C3"/>
    <w:rsid w:val="44817E8C"/>
    <w:rsid w:val="4493196E"/>
    <w:rsid w:val="44A2785B"/>
    <w:rsid w:val="44B04A96"/>
    <w:rsid w:val="453E5865"/>
    <w:rsid w:val="45AF1927"/>
    <w:rsid w:val="45AF3CA8"/>
    <w:rsid w:val="461F7B30"/>
    <w:rsid w:val="465810C1"/>
    <w:rsid w:val="465E6D46"/>
    <w:rsid w:val="467862E6"/>
    <w:rsid w:val="46793E20"/>
    <w:rsid w:val="4692223D"/>
    <w:rsid w:val="46FC7C9E"/>
    <w:rsid w:val="478A662B"/>
    <w:rsid w:val="47991FBD"/>
    <w:rsid w:val="479965C7"/>
    <w:rsid w:val="47B47B29"/>
    <w:rsid w:val="48876E94"/>
    <w:rsid w:val="489F2FD7"/>
    <w:rsid w:val="48B14AB8"/>
    <w:rsid w:val="490F72F6"/>
    <w:rsid w:val="493608BA"/>
    <w:rsid w:val="493A0EAE"/>
    <w:rsid w:val="4967528F"/>
    <w:rsid w:val="49857DB0"/>
    <w:rsid w:val="4AAC19DB"/>
    <w:rsid w:val="4AB77C70"/>
    <w:rsid w:val="4ABA40F8"/>
    <w:rsid w:val="4AE7154C"/>
    <w:rsid w:val="4B4E03C7"/>
    <w:rsid w:val="4B50680B"/>
    <w:rsid w:val="4B756271"/>
    <w:rsid w:val="4B7778F3"/>
    <w:rsid w:val="4B8D5E3B"/>
    <w:rsid w:val="4C7E4BF4"/>
    <w:rsid w:val="4CCD0D31"/>
    <w:rsid w:val="4CD0026F"/>
    <w:rsid w:val="4D2322F5"/>
    <w:rsid w:val="4D577849"/>
    <w:rsid w:val="4D87403A"/>
    <w:rsid w:val="4DCB03CA"/>
    <w:rsid w:val="4DE043A9"/>
    <w:rsid w:val="4E257ADB"/>
    <w:rsid w:val="4E3E3DE3"/>
    <w:rsid w:val="4E6A622C"/>
    <w:rsid w:val="4E6F4284"/>
    <w:rsid w:val="4E8326E2"/>
    <w:rsid w:val="4EF50504"/>
    <w:rsid w:val="4F7E40D5"/>
    <w:rsid w:val="506A3ECB"/>
    <w:rsid w:val="514D2C04"/>
    <w:rsid w:val="518D5141"/>
    <w:rsid w:val="51FB551D"/>
    <w:rsid w:val="521265C8"/>
    <w:rsid w:val="52546CFC"/>
    <w:rsid w:val="52615C47"/>
    <w:rsid w:val="52A42F98"/>
    <w:rsid w:val="53193986"/>
    <w:rsid w:val="532A16EF"/>
    <w:rsid w:val="534F2413"/>
    <w:rsid w:val="5367409E"/>
    <w:rsid w:val="53840D3D"/>
    <w:rsid w:val="53A47B44"/>
    <w:rsid w:val="53AB6130"/>
    <w:rsid w:val="53EA24F1"/>
    <w:rsid w:val="54063F0A"/>
    <w:rsid w:val="54273E81"/>
    <w:rsid w:val="54302D35"/>
    <w:rsid w:val="543E64D1"/>
    <w:rsid w:val="546450D5"/>
    <w:rsid w:val="5479474B"/>
    <w:rsid w:val="548D5005"/>
    <w:rsid w:val="54C06B6E"/>
    <w:rsid w:val="556F5ADF"/>
    <w:rsid w:val="55997394"/>
    <w:rsid w:val="55B81234"/>
    <w:rsid w:val="55F3522C"/>
    <w:rsid w:val="56130B60"/>
    <w:rsid w:val="5621094B"/>
    <w:rsid w:val="565C27C7"/>
    <w:rsid w:val="56867B3A"/>
    <w:rsid w:val="56F46DDF"/>
    <w:rsid w:val="57086CB1"/>
    <w:rsid w:val="570F757A"/>
    <w:rsid w:val="573141EE"/>
    <w:rsid w:val="576176AA"/>
    <w:rsid w:val="57857401"/>
    <w:rsid w:val="57F36C73"/>
    <w:rsid w:val="57F56770"/>
    <w:rsid w:val="583F6981"/>
    <w:rsid w:val="587A1E15"/>
    <w:rsid w:val="58B73A25"/>
    <w:rsid w:val="58C250F7"/>
    <w:rsid w:val="58CC4D66"/>
    <w:rsid w:val="58D00F8B"/>
    <w:rsid w:val="595C637A"/>
    <w:rsid w:val="597C40AD"/>
    <w:rsid w:val="59EE16C8"/>
    <w:rsid w:val="5A0A5DD6"/>
    <w:rsid w:val="5A410A83"/>
    <w:rsid w:val="5ADF54B5"/>
    <w:rsid w:val="5B1E7D8B"/>
    <w:rsid w:val="5B386065"/>
    <w:rsid w:val="5BAB78A8"/>
    <w:rsid w:val="5BB16E51"/>
    <w:rsid w:val="5C2869E8"/>
    <w:rsid w:val="5C643EC4"/>
    <w:rsid w:val="5C97238E"/>
    <w:rsid w:val="5C9A293B"/>
    <w:rsid w:val="5CD80D22"/>
    <w:rsid w:val="5CEB6393"/>
    <w:rsid w:val="5D0E5D09"/>
    <w:rsid w:val="5D3503EC"/>
    <w:rsid w:val="5D79399F"/>
    <w:rsid w:val="5E0E349C"/>
    <w:rsid w:val="5E7303EE"/>
    <w:rsid w:val="5EC95F75"/>
    <w:rsid w:val="5ECE3876"/>
    <w:rsid w:val="5ED40878"/>
    <w:rsid w:val="5EF64B7B"/>
    <w:rsid w:val="5F1871E8"/>
    <w:rsid w:val="5F41418A"/>
    <w:rsid w:val="5FD21144"/>
    <w:rsid w:val="5FF67529"/>
    <w:rsid w:val="60436A52"/>
    <w:rsid w:val="608E2BCD"/>
    <w:rsid w:val="60AA20C1"/>
    <w:rsid w:val="611A575B"/>
    <w:rsid w:val="619D1807"/>
    <w:rsid w:val="62163E3F"/>
    <w:rsid w:val="6220263B"/>
    <w:rsid w:val="6223212B"/>
    <w:rsid w:val="623C7548"/>
    <w:rsid w:val="627D702E"/>
    <w:rsid w:val="629B6165"/>
    <w:rsid w:val="63AB18D5"/>
    <w:rsid w:val="63E1229E"/>
    <w:rsid w:val="6409549B"/>
    <w:rsid w:val="641C6E32"/>
    <w:rsid w:val="642329C1"/>
    <w:rsid w:val="643679D0"/>
    <w:rsid w:val="64416899"/>
    <w:rsid w:val="64520E2E"/>
    <w:rsid w:val="64721148"/>
    <w:rsid w:val="6486074F"/>
    <w:rsid w:val="649A318E"/>
    <w:rsid w:val="64D4595F"/>
    <w:rsid w:val="64EA5182"/>
    <w:rsid w:val="64F01C9E"/>
    <w:rsid w:val="65B44A17"/>
    <w:rsid w:val="661F0878"/>
    <w:rsid w:val="66657FC1"/>
    <w:rsid w:val="66833198"/>
    <w:rsid w:val="66E81180"/>
    <w:rsid w:val="66F830AB"/>
    <w:rsid w:val="67242BCD"/>
    <w:rsid w:val="673B3A73"/>
    <w:rsid w:val="679C1CD0"/>
    <w:rsid w:val="67CC52C7"/>
    <w:rsid w:val="68550B65"/>
    <w:rsid w:val="68D93544"/>
    <w:rsid w:val="691245BD"/>
    <w:rsid w:val="69693141"/>
    <w:rsid w:val="69A74E23"/>
    <w:rsid w:val="69C57427"/>
    <w:rsid w:val="6A1D56B2"/>
    <w:rsid w:val="6A1E1172"/>
    <w:rsid w:val="6A364619"/>
    <w:rsid w:val="6A527A52"/>
    <w:rsid w:val="6A715A2D"/>
    <w:rsid w:val="6A7F2059"/>
    <w:rsid w:val="6A9F2E10"/>
    <w:rsid w:val="6BD77154"/>
    <w:rsid w:val="6C1453AB"/>
    <w:rsid w:val="6C402C93"/>
    <w:rsid w:val="6CDD4ECA"/>
    <w:rsid w:val="6CFA1CDB"/>
    <w:rsid w:val="6D256661"/>
    <w:rsid w:val="6D793547"/>
    <w:rsid w:val="6DA060C2"/>
    <w:rsid w:val="6DA305C4"/>
    <w:rsid w:val="6DCF760B"/>
    <w:rsid w:val="6E02353D"/>
    <w:rsid w:val="6E0D5578"/>
    <w:rsid w:val="6E657628"/>
    <w:rsid w:val="6E8C5638"/>
    <w:rsid w:val="6E977D8C"/>
    <w:rsid w:val="6EC34E26"/>
    <w:rsid w:val="6ED06653"/>
    <w:rsid w:val="6EE80984"/>
    <w:rsid w:val="6EF62369"/>
    <w:rsid w:val="6F212EC1"/>
    <w:rsid w:val="6FAB2D27"/>
    <w:rsid w:val="6FCF67E3"/>
    <w:rsid w:val="6FF149AA"/>
    <w:rsid w:val="6FF36CE4"/>
    <w:rsid w:val="70072DA5"/>
    <w:rsid w:val="7064403B"/>
    <w:rsid w:val="70827219"/>
    <w:rsid w:val="70C77D48"/>
    <w:rsid w:val="710D46D2"/>
    <w:rsid w:val="71500A63"/>
    <w:rsid w:val="715C7408"/>
    <w:rsid w:val="716B4622"/>
    <w:rsid w:val="71E74571"/>
    <w:rsid w:val="71F15E64"/>
    <w:rsid w:val="724D1DE2"/>
    <w:rsid w:val="72D34FA8"/>
    <w:rsid w:val="731A30D6"/>
    <w:rsid w:val="735E1215"/>
    <w:rsid w:val="7400407A"/>
    <w:rsid w:val="740B6DF1"/>
    <w:rsid w:val="742064CB"/>
    <w:rsid w:val="742E1730"/>
    <w:rsid w:val="744E128A"/>
    <w:rsid w:val="74795AC3"/>
    <w:rsid w:val="74936C9D"/>
    <w:rsid w:val="749B0247"/>
    <w:rsid w:val="74CA4688"/>
    <w:rsid w:val="750D44AC"/>
    <w:rsid w:val="757A1C0A"/>
    <w:rsid w:val="759E10C5"/>
    <w:rsid w:val="75D752AF"/>
    <w:rsid w:val="75DF4163"/>
    <w:rsid w:val="76013D15"/>
    <w:rsid w:val="7662687C"/>
    <w:rsid w:val="76911902"/>
    <w:rsid w:val="7719530D"/>
    <w:rsid w:val="77342040"/>
    <w:rsid w:val="777B27B5"/>
    <w:rsid w:val="780967DC"/>
    <w:rsid w:val="78372035"/>
    <w:rsid w:val="78454752"/>
    <w:rsid w:val="7855070D"/>
    <w:rsid w:val="78A01CE3"/>
    <w:rsid w:val="78EE2FF1"/>
    <w:rsid w:val="790F480C"/>
    <w:rsid w:val="79BA592A"/>
    <w:rsid w:val="79CB3D99"/>
    <w:rsid w:val="79F301DD"/>
    <w:rsid w:val="7A2560D7"/>
    <w:rsid w:val="7A3F4EA7"/>
    <w:rsid w:val="7AA37EC7"/>
    <w:rsid w:val="7AE876F9"/>
    <w:rsid w:val="7B1512C0"/>
    <w:rsid w:val="7B622686"/>
    <w:rsid w:val="7B680CAB"/>
    <w:rsid w:val="7BAE6AB2"/>
    <w:rsid w:val="7C3158FB"/>
    <w:rsid w:val="7C355A77"/>
    <w:rsid w:val="7C5E5E7C"/>
    <w:rsid w:val="7C8F4C94"/>
    <w:rsid w:val="7CB74A2F"/>
    <w:rsid w:val="7CF20C20"/>
    <w:rsid w:val="7CF30EC8"/>
    <w:rsid w:val="7D3C79DA"/>
    <w:rsid w:val="7D9615AC"/>
    <w:rsid w:val="7E69379E"/>
    <w:rsid w:val="7EB10D93"/>
    <w:rsid w:val="7EC22492"/>
    <w:rsid w:val="7F2A58CF"/>
    <w:rsid w:val="7F6776A3"/>
    <w:rsid w:val="7FBA1686"/>
    <w:rsid w:val="7FCC38B1"/>
    <w:rsid w:val="7FCF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spacing w:beforeAutospacing="1" w:afterAutospacing="1"/>
      <w:jc w:val="left"/>
      <w:outlineLvl w:val="0"/>
    </w:pPr>
    <w:rPr>
      <w:rFonts w:hint="eastAsia" w:ascii="宋体" w:hAnsi="宋体"/>
      <w:b/>
      <w:bCs/>
      <w:kern w:val="44"/>
      <w:sz w:val="48"/>
      <w:szCs w:val="4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index 6"/>
    <w:basedOn w:val="1"/>
    <w:next w:val="1"/>
    <w:qFormat/>
    <w:uiPriority w:val="0"/>
    <w:pPr>
      <w:spacing w:line="360" w:lineRule="auto"/>
      <w:ind w:firstLine="400" w:firstLineChars="400"/>
    </w:pPr>
  </w:style>
  <w:style w:type="paragraph" w:styleId="5">
    <w:name w:val="Body Text"/>
    <w:basedOn w:val="1"/>
    <w:next w:val="6"/>
    <w:qFormat/>
    <w:uiPriority w:val="0"/>
    <w:rPr>
      <w:rFonts w:ascii="仿宋_GB2312" w:hAnsi="Calibri" w:eastAsia="仿宋_GB2312" w:cs="Times New Roman"/>
      <w:sz w:val="32"/>
      <w:szCs w:val="22"/>
    </w:rPr>
  </w:style>
  <w:style w:type="paragraph" w:customStyle="1" w:styleId="6">
    <w:name w:val="Date1"/>
    <w:basedOn w:val="1"/>
    <w:next w:val="1"/>
    <w:qFormat/>
    <w:uiPriority w:val="0"/>
    <w:rPr>
      <w:szCs w:val="20"/>
    </w:rPr>
  </w:style>
  <w:style w:type="paragraph" w:styleId="7">
    <w:name w:val="Body Text Indent"/>
    <w:basedOn w:val="1"/>
    <w:qFormat/>
    <w:uiPriority w:val="0"/>
    <w:pPr>
      <w:spacing w:line="500" w:lineRule="exact"/>
      <w:ind w:firstLine="560" w:firstLineChars="200"/>
    </w:pPr>
    <w:rPr>
      <w:rFonts w:ascii="仿宋_GB2312" w:eastAsia="仿宋_GB2312"/>
      <w:sz w:val="28"/>
    </w:rPr>
  </w:style>
  <w:style w:type="paragraph" w:styleId="8">
    <w:name w:val="Plain Text"/>
    <w:basedOn w:val="1"/>
    <w:qFormat/>
    <w:uiPriority w:val="0"/>
    <w:rPr>
      <w:rFonts w:ascii="宋体" w:hAnsi="Courier New"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3">
    <w:name w:val="List"/>
    <w:basedOn w:val="1"/>
    <w:qFormat/>
    <w:uiPriority w:val="0"/>
    <w:pPr>
      <w:ind w:left="420" w:hanging="420"/>
    </w:pPr>
  </w:style>
  <w:style w:type="paragraph" w:styleId="14">
    <w:name w:val="Normal (Web)"/>
    <w:basedOn w:val="1"/>
    <w:qFormat/>
    <w:uiPriority w:val="0"/>
    <w:rPr>
      <w:sz w:val="24"/>
    </w:rPr>
  </w:style>
  <w:style w:type="paragraph" w:styleId="15">
    <w:name w:val="Body Text First Indent 2"/>
    <w:basedOn w:val="7"/>
    <w:qFormat/>
    <w:uiPriority w:val="0"/>
    <w:pPr>
      <w:ind w:left="420"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semiHidden/>
    <w:qFormat/>
    <w:uiPriority w:val="99"/>
    <w:rPr>
      <w:rFonts w:cs="Times New Roman"/>
      <w:color w:val="1F4F88"/>
      <w:u w:val="none"/>
    </w:rPr>
  </w:style>
  <w:style w:type="paragraph" w:customStyle="1" w:styleId="22">
    <w:name w:val="首行缩进"/>
    <w:basedOn w:val="1"/>
    <w:qFormat/>
    <w:uiPriority w:val="0"/>
    <w:pPr>
      <w:spacing w:line="360" w:lineRule="auto"/>
      <w:ind w:firstLine="480" w:firstLineChars="200"/>
    </w:pPr>
    <w:rPr>
      <w:rFonts w:ascii="宋体" w:hAnsi="宋体" w:cs="宋体"/>
      <w:kern w:val="0"/>
      <w:sz w:val="24"/>
    </w:rPr>
  </w:style>
  <w:style w:type="character" w:customStyle="1" w:styleId="23">
    <w:name w:val="font11"/>
    <w:basedOn w:val="18"/>
    <w:qFormat/>
    <w:uiPriority w:val="0"/>
    <w:rPr>
      <w:rFonts w:hint="eastAsia" w:ascii="宋体" w:hAnsi="宋体" w:eastAsia="宋体" w:cs="宋体"/>
      <w:color w:val="000000"/>
      <w:sz w:val="24"/>
      <w:szCs w:val="24"/>
      <w:u w:val="single"/>
    </w:rPr>
  </w:style>
  <w:style w:type="character" w:customStyle="1" w:styleId="24">
    <w:name w:val="font21"/>
    <w:basedOn w:val="18"/>
    <w:qFormat/>
    <w:uiPriority w:val="0"/>
    <w:rPr>
      <w:rFonts w:hint="eastAsia" w:ascii="宋体" w:hAnsi="宋体" w:eastAsia="宋体" w:cs="宋体"/>
      <w:color w:val="000000"/>
      <w:sz w:val="24"/>
      <w:szCs w:val="24"/>
      <w:u w:val="none"/>
    </w:rPr>
  </w:style>
  <w:style w:type="paragraph" w:customStyle="1" w:styleId="25">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26">
    <w:name w:val="font01"/>
    <w:qFormat/>
    <w:uiPriority w:val="0"/>
    <w:rPr>
      <w:rFonts w:hint="eastAsia" w:ascii="宋体" w:hAnsi="宋体" w:eastAsia="宋体" w:cs="宋体"/>
      <w:color w:val="000000"/>
      <w:sz w:val="22"/>
      <w:szCs w:val="22"/>
      <w:u w:val="none"/>
    </w:rPr>
  </w:style>
  <w:style w:type="paragraph" w:customStyle="1" w:styleId="27">
    <w:name w:val="标书表格"/>
    <w:basedOn w:val="1"/>
    <w:qFormat/>
    <w:uiPriority w:val="0"/>
    <w:pPr>
      <w:jc w:val="center"/>
    </w:pPr>
    <w:rPr>
      <w:b/>
    </w:rPr>
  </w:style>
  <w:style w:type="paragraph" w:customStyle="1" w:styleId="28">
    <w:name w:val="Body Text First Indent 21"/>
    <w:basedOn w:val="29"/>
    <w:next w:val="2"/>
    <w:qFormat/>
    <w:uiPriority w:val="0"/>
    <w:pPr>
      <w:tabs>
        <w:tab w:val="left" w:pos="6615"/>
      </w:tabs>
      <w:ind w:firstLine="200"/>
    </w:pPr>
  </w:style>
  <w:style w:type="paragraph" w:customStyle="1" w:styleId="29">
    <w:name w:val="Body Text Indent1"/>
    <w:basedOn w:val="1"/>
    <w:next w:val="30"/>
    <w:qFormat/>
    <w:uiPriority w:val="0"/>
    <w:pPr>
      <w:ind w:firstLine="480" w:firstLineChars="200"/>
    </w:pPr>
    <w:rPr>
      <w:sz w:val="24"/>
    </w:rPr>
  </w:style>
  <w:style w:type="paragraph" w:customStyle="1" w:styleId="30">
    <w:name w:val="Body Text First Indent1"/>
    <w:basedOn w:val="5"/>
    <w:qFormat/>
    <w:uiPriority w:val="0"/>
    <w:pPr>
      <w:spacing w:after="120"/>
      <w:ind w:firstLine="420" w:firstLineChars="100"/>
    </w:pPr>
    <w:rPr>
      <w:sz w:val="21"/>
    </w:rPr>
  </w:style>
  <w:style w:type="character" w:customStyle="1" w:styleId="31">
    <w:name w:val="标题 1 Char"/>
    <w:link w:val="3"/>
    <w:qFormat/>
    <w:uiPriority w:val="0"/>
    <w:rPr>
      <w:rFonts w:hint="eastAsia" w:ascii="宋体" w:hAnsi="宋体"/>
      <w:b/>
      <w:bCs/>
      <w:kern w:val="44"/>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9321</Words>
  <Characters>9940</Characters>
  <Lines>1</Lines>
  <Paragraphs>1</Paragraphs>
  <TotalTime>4</TotalTime>
  <ScaleCrop>false</ScaleCrop>
  <LinksUpToDate>false</LinksUpToDate>
  <CharactersWithSpaces>11712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2022-06-22T17:12:00Z</dcterms:created>
  <dc:creator>SD-PENGCHAO</dc:creator>
  <cp:lastModifiedBy>张卫波</cp:lastModifiedBy>
  <dcterms:modified xsi:type="dcterms:W3CDTF">2025-11-27T00:52:54Z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5454AF5FEE284EF794740B1C459491B9_13</vt:lpwstr>
  </property>
  <property fmtid="{D5CDD505-2E9C-101B-9397-08002B2CF9AE}" pid="4" name="KSOTemplateDocerSaveRecord">
    <vt:lpwstr>eyJoZGlkIjoiNDRkZDIwYTQ5MjlhYjE0NTEzZDAzZjgyMTRmY2YwZTgiLCJ1c2VySWQiOiIxMDIwMzI4MDU5In0=</vt:lpwstr>
  </property>
</Properties>
</file>