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5D67B">
      <w:pPr>
        <w:pStyle w:val="10"/>
      </w:pPr>
      <w:bookmarkStart w:id="0" w:name="_Toc7104"/>
      <w:bookmarkStart w:id="1" w:name="_Toc47976587"/>
      <w:r>
        <w:rPr>
          <w:rFonts w:hint="eastAsia"/>
        </w:rPr>
        <w:t>招标公告</w:t>
      </w:r>
      <w:bookmarkEnd w:id="0"/>
      <w:bookmarkEnd w:id="1"/>
    </w:p>
    <w:p w14:paraId="41176CC4">
      <w:pPr>
        <w:pStyle w:val="10"/>
        <w:rPr>
          <w:rFonts w:hint="eastAsia"/>
          <w:sz w:val="28"/>
        </w:rPr>
      </w:pPr>
      <w:bookmarkStart w:id="2" w:name="_Toc32474"/>
      <w:r>
        <w:rPr>
          <w:rFonts w:hint="eastAsia"/>
          <w:sz w:val="28"/>
        </w:rPr>
        <w:t>济南成型厂、杭州发动机公司新增蓝光三维扫描仪招标公告</w:t>
      </w:r>
      <w:bookmarkEnd w:id="2"/>
    </w:p>
    <w:p w14:paraId="74E58B43">
      <w:pPr>
        <w:pStyle w:val="10"/>
        <w:rPr>
          <w:rFonts w:hint="eastAsia"/>
        </w:rPr>
      </w:pPr>
    </w:p>
    <w:p w14:paraId="22B57D47">
      <w:pPr>
        <w:pStyle w:val="11"/>
      </w:pPr>
      <w:bookmarkStart w:id="3" w:name="_Toc47976588"/>
      <w:r>
        <w:rPr>
          <w:rFonts w:hint="eastAsia"/>
        </w:rPr>
        <w:t>项目名称及项目编号</w:t>
      </w:r>
      <w:bookmarkEnd w:id="3"/>
    </w:p>
    <w:p w14:paraId="724D4F12">
      <w:pPr>
        <w:pStyle w:val="12"/>
      </w:pPr>
      <w:r>
        <w:rPr>
          <w:rFonts w:hint="eastAsia"/>
        </w:rPr>
        <w:t>项目名称：济南成型厂、杭州发动机公司新增蓝光三维扫描仪</w:t>
      </w:r>
    </w:p>
    <w:p w14:paraId="457110D4">
      <w:pPr>
        <w:pStyle w:val="12"/>
      </w:pPr>
      <w:r>
        <w:rPr>
          <w:rFonts w:hint="eastAsia"/>
        </w:rPr>
        <w:t>项目编号：</w:t>
      </w:r>
      <w:r>
        <w:rPr>
          <w:rFonts w:hint="eastAsia"/>
          <w:highlight w:val="none"/>
        </w:rPr>
        <w:t>FSCZB2025090187</w:t>
      </w:r>
    </w:p>
    <w:p w14:paraId="1795C03E">
      <w:pPr>
        <w:pStyle w:val="11"/>
      </w:pPr>
      <w:bookmarkStart w:id="4" w:name="_Toc47976589"/>
      <w:r>
        <w:rPr>
          <w:rFonts w:hint="eastAsia"/>
          <w:lang w:val="en-US" w:eastAsia="zh-CN"/>
        </w:rPr>
        <w:t>项目概况</w:t>
      </w:r>
      <w:r>
        <w:rPr>
          <w:rFonts w:hint="eastAsia"/>
        </w:rPr>
        <w:t>及招标形式</w:t>
      </w:r>
      <w:bookmarkEnd w:id="4"/>
    </w:p>
    <w:p w14:paraId="4DEE7246">
      <w:pPr>
        <w:pStyle w:val="12"/>
        <w:numPr>
          <w:ilvl w:val="0"/>
          <w:numId w:val="3"/>
        </w:numPr>
        <w:spacing w:line="240" w:lineRule="auto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招标内容：</w:t>
      </w:r>
    </w:p>
    <w:p w14:paraId="7A047920">
      <w:pPr>
        <w:pStyle w:val="12"/>
        <w:numPr>
          <w:ilvl w:val="0"/>
          <w:numId w:val="0"/>
        </w:numPr>
        <w:spacing w:line="240" w:lineRule="auto"/>
        <w:ind w:left="710" w:leftChars="0" w:firstLine="417" w:firstLineChars="0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杭发公司：本次项目主要新增1台蓝光三维扫描仪，满足铸件及模具的尺寸检验需求，完善铸件尺寸及模具检测与管控手段，实现产品一致性、稳定性提升；</w:t>
      </w:r>
    </w:p>
    <w:p w14:paraId="496D605C">
      <w:pPr>
        <w:pStyle w:val="12"/>
        <w:numPr>
          <w:ilvl w:val="0"/>
          <w:numId w:val="0"/>
        </w:numPr>
        <w:spacing w:line="240" w:lineRule="auto"/>
        <w:ind w:left="710" w:leftChars="0" w:firstLine="417" w:firstLineChars="0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济南成型厂：本次项目主要新增1台蓝光三维扫描仪，满足铸锻用模具及产品快速全尺寸检验需求，完善工装模具及产品尺寸管控手段。</w:t>
      </w:r>
    </w:p>
    <w:p w14:paraId="3B55C509">
      <w:pPr>
        <w:pStyle w:val="12"/>
        <w:numPr>
          <w:ilvl w:val="0"/>
          <w:numId w:val="3"/>
        </w:numPr>
        <w:spacing w:line="240" w:lineRule="auto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招标形式：公开招标</w:t>
      </w:r>
    </w:p>
    <w:p w14:paraId="6DAEA7A7">
      <w:pPr>
        <w:pStyle w:val="11"/>
        <w:rPr>
          <w:highlight w:val="none"/>
        </w:rPr>
      </w:pPr>
      <w:bookmarkStart w:id="5" w:name="_Toc47976590"/>
      <w:r>
        <w:rPr>
          <w:rFonts w:hint="eastAsia"/>
          <w:highlight w:val="none"/>
        </w:rPr>
        <w:t>投标人资格要求</w:t>
      </w:r>
      <w:bookmarkEnd w:id="5"/>
    </w:p>
    <w:p w14:paraId="62D8CB8C">
      <w:pPr>
        <w:pStyle w:val="11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1.拟投标人必须是在中华人民共和国境内注册的独立法人机构，具有独立承担民事责任能力；注册资金不少于500万人民币(或等值其他货币);公司成立三年以上(以营业执照成立日期到开标当日满三年为准),且经营范围 满足招标人需求；并在人员、设备、资金等方面具有承担本项目的能力；</w:t>
      </w:r>
    </w:p>
    <w:p w14:paraId="52B43F8A">
      <w:pPr>
        <w:pStyle w:val="11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2.拟投标人应提供三证合一的营业执照副本原件和扫描件(需盖章);</w:t>
      </w:r>
    </w:p>
    <w:p w14:paraId="018708A2">
      <w:pPr>
        <w:pStyle w:val="11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3.拟投标人应提供法定代表人资格证明文件；</w:t>
      </w:r>
    </w:p>
    <w:p w14:paraId="18307CF9">
      <w:pPr>
        <w:pStyle w:val="11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4.拟投标人在工商行政管理局的《国家企业信用信息公示系统》中查询不存在不良记录；</w:t>
      </w:r>
    </w:p>
    <w:p w14:paraId="700E8C1A">
      <w:pPr>
        <w:pStyle w:val="11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5.拟投标人不存在严重违规或被列入招标人“黑名单”的声明；</w:t>
      </w:r>
    </w:p>
    <w:p w14:paraId="310FA90C">
      <w:pPr>
        <w:pStyle w:val="11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6. 拟投标人近三年经第三方机构审计的财务报表（资产负债表、损益表、现金流量表）复印件，必须连续，同时填写投标人基本情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highlight w:val="none"/>
          <w:lang w:val="en-US" w:eastAsia="zh-CN" w:bidi="ar-SA"/>
        </w:rPr>
        <w:t>况及资产情况汇总表（附件）；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若没有财务审计报告，需提供资产负债表、利润表、现金流量表（加盖公章版），且未显示异常；</w:t>
      </w:r>
    </w:p>
    <w:p w14:paraId="19CDEE78">
      <w:pPr>
        <w:pStyle w:val="11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7.拟投标人有与本次招标内容相同或类似项目业绩，且近3年内无因服务不当而造成重大事故；</w:t>
      </w:r>
    </w:p>
    <w:p w14:paraId="067ACEC7">
      <w:pPr>
        <w:pStyle w:val="11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8.投标人三年内无违法及重大违规情况；</w:t>
      </w:r>
    </w:p>
    <w:p w14:paraId="704AAB18">
      <w:pPr>
        <w:pStyle w:val="11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9.投标人须认可招标人的工作指令，包括节、假日能正常开展工作的要求；</w:t>
      </w:r>
    </w:p>
    <w:p w14:paraId="1CBE0C46">
      <w:pPr>
        <w:pStyle w:val="11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10. 投标人最近半年纳税正常；</w:t>
      </w:r>
    </w:p>
    <w:p w14:paraId="321A32A9">
      <w:pPr>
        <w:pStyle w:val="11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11. 投标人信用证明材料(中国人民银行信用代码证+征信报告)未显示异常；</w:t>
      </w:r>
    </w:p>
    <w:p w14:paraId="4EB20B9A">
      <w:pPr>
        <w:pStyle w:val="11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12.供方的直接或间接股东、法定代表人、董事、监事、高管非重汽员工及其亲属；</w:t>
      </w:r>
    </w:p>
    <w:p w14:paraId="62D54338">
      <w:pPr>
        <w:pStyle w:val="11"/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lang w:val="en-US" w:eastAsia="zh-CN" w:bidi="ar-SA"/>
        </w:rPr>
        <w:t>13.本项目不接受联合体投标，拟投标人必须是最终投标单位和签订合同单位，不得以任何理由将已中标项目以任何形式分包或转包给其他单位。</w:t>
      </w:r>
    </w:p>
    <w:p w14:paraId="198A8BB0">
      <w:pPr>
        <w:pStyle w:val="11"/>
        <w:rPr>
          <w:highlight w:val="none"/>
        </w:rPr>
      </w:pPr>
      <w:bookmarkStart w:id="6" w:name="_Toc47976591"/>
      <w:r>
        <w:rPr>
          <w:rFonts w:hint="eastAsia"/>
          <w:highlight w:val="none"/>
        </w:rPr>
        <w:t>报名及招标文件的获取</w:t>
      </w:r>
      <w:bookmarkEnd w:id="6"/>
    </w:p>
    <w:p w14:paraId="7BE84DEC">
      <w:pPr>
        <w:pStyle w:val="4"/>
        <w:spacing w:line="360" w:lineRule="auto"/>
        <w:ind w:firstLine="422" w:firstLineChars="200"/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  <w:t>报名方式：</w:t>
      </w:r>
    </w:p>
    <w:p w14:paraId="42AFD17A">
      <w:pPr>
        <w:pStyle w:val="4"/>
        <w:spacing w:line="360" w:lineRule="auto"/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hAnsi="宋体" w:cs="Times New Roman"/>
          <w:lang w:eastAsia="zh-CN"/>
        </w:rPr>
        <w:t>本次招标公告在</w:t>
      </w:r>
      <w:r>
        <w:rPr>
          <w:rFonts w:hint="eastAsia" w:hAnsi="宋体" w:cs="Times New Roman"/>
        </w:rPr>
        <w:t>中国重汽官网</w:t>
      </w:r>
      <w:r>
        <w:rPr>
          <w:rFonts w:hint="eastAsia" w:hAnsi="宋体" w:cs="Times New Roman"/>
          <w:lang w:val="en-US" w:eastAsia="zh-CN"/>
        </w:rPr>
        <w:t>的</w:t>
      </w:r>
      <w:r>
        <w:rPr>
          <w:rFonts w:hint="eastAsia" w:hAnsi="宋体" w:cs="Times New Roman"/>
          <w:lang w:eastAsia="zh-CN"/>
        </w:rPr>
        <w:t>公开媒体发布招标公告</w:t>
      </w:r>
      <w:r>
        <w:rPr>
          <w:rFonts w:hint="eastAsia" w:hAnsi="宋体" w:cs="Times New Roman"/>
        </w:rPr>
        <w:t>（https://www.cnhtc.com.cn/sinotruk/xwzx/tzgg/index.html）。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t>拟投标人根据招标人在中国重汽官网等公开媒体上发布的招标信息，在“中国重汽e采通”平台报名。</w:t>
      </w:r>
    </w:p>
    <w:p w14:paraId="0D546C04">
      <w:pPr>
        <w:spacing w:line="360" w:lineRule="auto"/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/>
        </w:rPr>
        <w:t>未在重汽e采通平台注册的投标方请先进行注册，请按照附件《非生产供应商注册操作手册》完成平台注册（网址：http</w:t>
      </w:r>
      <w:r>
        <w:rPr>
          <w:rFonts w:hint="eastAsia" w:ascii="宋体" w:hAnsi="宋体"/>
          <w:lang w:val="en-US" w:eastAsia="zh-CN"/>
        </w:rPr>
        <w:t>s</w:t>
      </w:r>
      <w:r>
        <w:rPr>
          <w:rFonts w:hint="eastAsia" w:ascii="宋体" w:hAnsi="宋体"/>
        </w:rPr>
        <w:t>://ecaitong.sinotruk.com:8012/#/login）。注册并审核通过后方能参与本项目应标及后续投标，审核通过后请电话告知招标方联系人</w:t>
      </w:r>
      <w:r>
        <w:rPr>
          <w:rFonts w:hint="eastAsia" w:ascii="宋体" w:hAnsi="宋体"/>
          <w:lang w:eastAsia="zh-CN"/>
        </w:rPr>
        <w:t>，</w:t>
      </w:r>
      <w:r>
        <w:rPr>
          <w:rFonts w:hint="eastAsia"/>
        </w:rPr>
        <w:t>请于报名截止时间前完成注册审批，未注册完成的不允许参加相关投标报名。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t>注册完毕后按照</w:t>
      </w:r>
      <w:r>
        <w:rPr>
          <w:rFonts w:hint="eastAsia" w:ascii="宋体" w:hAnsi="宋体"/>
        </w:rPr>
        <w:t>附件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t>“供应商用户手册”，登录重汽e采通平台后进入“供应商应标”，选择对应的项目，点击“应标”后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  <w:t>按照招标</w:t>
      </w:r>
      <w:r>
        <w:rPr>
          <w:rFonts w:hint="eastAsia" w:cs="Times New Roman"/>
          <w:b/>
          <w:bCs/>
          <w:kern w:val="2"/>
          <w:sz w:val="21"/>
          <w:lang w:val="en-US" w:eastAsia="zh-CN" w:bidi="ar-SA"/>
        </w:rPr>
        <w:t>公告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  <w:t>第三部分投标人资格要求中的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highlight w:val="none"/>
          <w:lang w:val="en-US" w:eastAsia="zh-CN" w:bidi="ar-SA"/>
        </w:rPr>
        <w:t>1-1</w:t>
      </w:r>
      <w:r>
        <w:rPr>
          <w:rFonts w:hint="eastAsia" w:cs="Times New Roman"/>
          <w:b/>
          <w:bCs/>
          <w:kern w:val="2"/>
          <w:sz w:val="21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  <w:t>准备资料并上传</w:t>
      </w:r>
      <w:r>
        <w:rPr>
          <w:rFonts w:hint="eastAsia" w:cs="Times New Roman"/>
          <w:b/>
          <w:bCs/>
          <w:kern w:val="2"/>
          <w:sz w:val="21"/>
          <w:lang w:val="en-US" w:eastAsia="zh-CN" w:bidi="ar-SA"/>
        </w:rPr>
        <w:t>到资质文件（PDF格式，做好目录）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t>，资质审查通过即为报名成功；公示期间请尽快报名。</w:t>
      </w:r>
    </w:p>
    <w:p w14:paraId="44527A9C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/>
        </w:rPr>
        <w:t>本项目招标工作的所有过程均须在中国重汽e采通上完成，包括报名、资质审核、招标、应标、评标、审批等环节。</w:t>
      </w:r>
      <w:r>
        <w:rPr>
          <w:rFonts w:hint="eastAsia" w:ascii="宋体" w:hAnsi="宋体"/>
          <w:b/>
          <w:bCs/>
        </w:rPr>
        <w:t>应标截止时间为</w:t>
      </w:r>
      <w:r>
        <w:rPr>
          <w:rFonts w:hint="eastAsia" w:ascii="宋体" w:hAnsi="宋体"/>
          <w:b/>
          <w:bCs/>
          <w:highlight w:val="red"/>
        </w:rPr>
        <w:t>2025年</w:t>
      </w:r>
      <w:r>
        <w:rPr>
          <w:rFonts w:hint="eastAsia" w:ascii="宋体" w:hAnsi="宋体"/>
          <w:b/>
          <w:bCs/>
          <w:highlight w:val="red"/>
          <w:lang w:val="en-US" w:eastAsia="zh-CN"/>
        </w:rPr>
        <w:t>10</w:t>
      </w:r>
      <w:r>
        <w:rPr>
          <w:rFonts w:hint="eastAsia" w:ascii="宋体" w:hAnsi="宋体"/>
          <w:b/>
          <w:bCs/>
          <w:highlight w:val="red"/>
        </w:rPr>
        <w:t>月</w:t>
      </w:r>
      <w:r>
        <w:rPr>
          <w:rFonts w:hint="eastAsia" w:ascii="宋体" w:hAnsi="宋体"/>
          <w:b/>
          <w:bCs/>
          <w:highlight w:val="red"/>
          <w:lang w:val="en-US" w:eastAsia="zh-CN"/>
        </w:rPr>
        <w:t>16</w:t>
      </w:r>
      <w:r>
        <w:rPr>
          <w:rFonts w:hint="eastAsia" w:ascii="宋体" w:hAnsi="宋体"/>
          <w:b/>
          <w:bCs/>
          <w:highlight w:val="red"/>
        </w:rPr>
        <w:t>日17:00:00</w:t>
      </w:r>
      <w:r>
        <w:rPr>
          <w:rFonts w:hint="eastAsia" w:ascii="宋体" w:hAnsi="宋体"/>
          <w:b/>
          <w:bCs/>
        </w:rPr>
        <w:t>，</w:t>
      </w:r>
      <w:r>
        <w:rPr>
          <w:rFonts w:hint="eastAsia" w:ascii="宋体" w:hAnsi="宋体" w:eastAsia="宋体" w:cs="宋体"/>
          <w:b/>
          <w:bCs/>
        </w:rPr>
        <w:t>注册审核需2-4日，应标截止时间精确到秒，</w:t>
      </w:r>
      <w:r>
        <w:rPr>
          <w:rFonts w:hint="eastAsia" w:ascii="宋体" w:hAnsi="宋体"/>
          <w:b/>
          <w:bCs/>
        </w:rPr>
        <w:t>逾期将无法应标，视为报名不成功，无法参与投标。</w:t>
      </w:r>
      <w:r>
        <w:rPr>
          <w:rFonts w:hint="eastAsia" w:ascii="宋体" w:hAnsi="宋体"/>
        </w:rPr>
        <w:t>请自行掌握时间安排，避免无法应标。</w:t>
      </w:r>
    </w:p>
    <w:p w14:paraId="6CC446A0">
      <w:pPr>
        <w:pStyle w:val="1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20" w:firstLineChars="0"/>
        <w:jc w:val="both"/>
        <w:textAlignment w:val="auto"/>
        <w:rPr>
          <w:rFonts w:hint="eastAsia" w:ascii="宋体" w:hAnsi="宋体"/>
        </w:rPr>
      </w:pPr>
      <w:r>
        <w:rPr>
          <w:rFonts w:hint="eastAsia" w:ascii="宋体" w:hAnsi="Courier New" w:eastAsia="宋体" w:cs="Times New Roman"/>
          <w:highlight w:val="none"/>
          <w:lang w:val="en-US" w:eastAsia="zh-CN"/>
        </w:rPr>
        <w:t>招标文件的获取</w:t>
      </w:r>
      <w:r>
        <w:rPr>
          <w:rFonts w:hint="eastAsia" w:cs="Times New Roman"/>
          <w:highlight w:val="none"/>
          <w:lang w:val="en-US" w:eastAsia="zh-CN"/>
        </w:rPr>
        <w:t>：报名成功后，可登录“中国重汽e采通”平台，在“供应商投标”模块下载招标文件。</w:t>
      </w:r>
    </w:p>
    <w:p w14:paraId="3D3539EA">
      <w:pPr>
        <w:pStyle w:val="11"/>
        <w:rPr>
          <w:highlight w:val="none"/>
        </w:rPr>
      </w:pPr>
      <w:bookmarkStart w:id="7" w:name="_Toc47976592"/>
      <w:r>
        <w:rPr>
          <w:rFonts w:hint="eastAsia"/>
          <w:highlight w:val="none"/>
        </w:rPr>
        <w:t>投标文件的递交</w:t>
      </w:r>
      <w:bookmarkEnd w:id="7"/>
    </w:p>
    <w:p w14:paraId="2002C439">
      <w:pPr>
        <w:ind w:firstLine="42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投标方式：在中国重汽e采通平台应标成功后，进入“供应商投标”环节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在中国重汽e采通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投递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标书文件，投标人应自备电脑（笔记本）进行流程操作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投递盖章扫描版电子标书（包含资质标书、技术标书、商务标书），注意应标、投标、开标、再次报价时间开始、截止节点，如错过时间节点将无法进行招投标流程节点的操作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若逾期未在中国重汽e采通平台上传电子标书，即便递交了纸版投标文件，一律视为无效投标。</w:t>
      </w:r>
    </w:p>
    <w:p w14:paraId="004D9805">
      <w:pPr>
        <w:pStyle w:val="11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开标时间和地点</w:t>
      </w:r>
    </w:p>
    <w:p w14:paraId="671FD4DF">
      <w:pPr>
        <w:pStyle w:val="4"/>
        <w:spacing w:line="360" w:lineRule="auto"/>
        <w:ind w:firstLine="420" w:firstLineChars="200"/>
        <w:rPr>
          <w:rFonts w:hint="eastAsia"/>
        </w:rPr>
      </w:pPr>
      <w:r>
        <w:rPr>
          <w:rFonts w:hint="eastAsia" w:hAnsi="宋体"/>
        </w:rPr>
        <w:t>开标时间：</w:t>
      </w:r>
      <w:r>
        <w:rPr>
          <w:rFonts w:hint="eastAsia" w:hAnsi="宋体"/>
          <w:b/>
        </w:rPr>
        <w:t>20</w:t>
      </w:r>
      <w:r>
        <w:rPr>
          <w:rFonts w:hint="eastAsia"/>
          <w:b/>
        </w:rPr>
        <w:t>2</w:t>
      </w:r>
      <w:r>
        <w:rPr>
          <w:rFonts w:hint="eastAsia" w:hAnsi="宋体"/>
          <w:b/>
        </w:rPr>
        <w:t>5年</w:t>
      </w:r>
      <w:r>
        <w:rPr>
          <w:rFonts w:hint="eastAsia" w:hAnsi="宋体"/>
          <w:b/>
          <w:lang w:val="en-US" w:eastAsia="zh-CN"/>
        </w:rPr>
        <w:t>11</w:t>
      </w:r>
      <w:r>
        <w:rPr>
          <w:rFonts w:hint="eastAsia" w:hAnsi="宋体"/>
          <w:b/>
        </w:rPr>
        <w:t>月</w:t>
      </w:r>
      <w:r>
        <w:rPr>
          <w:rFonts w:hint="eastAsia" w:hAnsi="宋体"/>
          <w:b/>
          <w:lang w:val="en-US" w:eastAsia="zh-CN"/>
        </w:rPr>
        <w:t>6</w:t>
      </w:r>
      <w:r>
        <w:rPr>
          <w:rFonts w:hint="eastAsia" w:hAnsi="宋体"/>
          <w:b/>
        </w:rPr>
        <w:t>日</w:t>
      </w:r>
      <w:r>
        <w:rPr>
          <w:rFonts w:hint="eastAsia" w:hAnsi="宋体"/>
          <w:b/>
          <w:lang w:val="en-US" w:eastAsia="zh-CN"/>
        </w:rPr>
        <w:t>上午9点</w:t>
      </w:r>
      <w:r>
        <w:rPr>
          <w:rFonts w:hint="eastAsia" w:hAnsi="宋体"/>
          <w:b w:val="0"/>
          <w:bCs/>
        </w:rPr>
        <w:t>（若有变动另行通知）。</w:t>
      </w:r>
    </w:p>
    <w:p w14:paraId="0F2FF55F">
      <w:pPr>
        <w:pStyle w:val="4"/>
        <w:spacing w:line="360" w:lineRule="auto"/>
        <w:ind w:firstLine="420" w:firstLineChars="200"/>
        <w:rPr>
          <w:highlight w:val="yellow"/>
        </w:rPr>
      </w:pPr>
      <w:r>
        <w:rPr>
          <w:rFonts w:hint="eastAsia" w:hAnsi="宋体"/>
          <w:lang w:val="en-US" w:eastAsia="zh-CN"/>
        </w:rPr>
        <w:t>开</w:t>
      </w:r>
      <w:r>
        <w:rPr>
          <w:rFonts w:hint="eastAsia" w:hAnsi="宋体"/>
        </w:rPr>
        <w:t>标地点：山东省济南市历城区华奥路777号中国重汽科技大厦</w:t>
      </w:r>
      <w:r>
        <w:rPr>
          <w:rFonts w:hint="eastAsia" w:hAnsi="宋体"/>
          <w:lang w:val="en-US" w:eastAsia="zh-CN"/>
        </w:rPr>
        <w:t>三楼</w:t>
      </w:r>
      <w:r>
        <w:rPr>
          <w:rFonts w:hint="eastAsia" w:hAnsi="宋体"/>
        </w:rPr>
        <w:t>会议室</w:t>
      </w:r>
      <w:r>
        <w:rPr>
          <w:rFonts w:hint="eastAsia" w:hAnsi="宋体"/>
          <w:b w:val="0"/>
          <w:bCs/>
        </w:rPr>
        <w:t>（若有变动另行通知）</w:t>
      </w:r>
      <w:r>
        <w:rPr>
          <w:rFonts w:hint="eastAsia" w:hAnsi="宋体"/>
        </w:rPr>
        <w:t>。</w:t>
      </w:r>
    </w:p>
    <w:p w14:paraId="7D607B70">
      <w:pPr>
        <w:pStyle w:val="11"/>
      </w:pPr>
      <w:bookmarkStart w:id="8" w:name="_Toc47976593"/>
      <w:r>
        <w:rPr>
          <w:rFonts w:hint="eastAsia"/>
        </w:rPr>
        <w:t>招标公告发布媒介</w:t>
      </w:r>
      <w:bookmarkEnd w:id="8"/>
    </w:p>
    <w:p w14:paraId="7A1BB818">
      <w:pPr>
        <w:pStyle w:val="12"/>
        <w:numPr>
          <w:ilvl w:val="0"/>
          <w:numId w:val="0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本次招标公告在中国重汽官网、山东省阳光采购服务平台、中国招标投标公共服务平台等公开媒体公布。</w:t>
      </w:r>
      <w:bookmarkStart w:id="10" w:name="_GoBack"/>
      <w:bookmarkEnd w:id="10"/>
    </w:p>
    <w:p w14:paraId="58FA47B8">
      <w:pPr>
        <w:pStyle w:val="11"/>
        <w:rPr>
          <w:highlight w:val="none"/>
        </w:rPr>
      </w:pPr>
      <w:bookmarkStart w:id="9" w:name="_Toc47976594"/>
      <w:r>
        <w:rPr>
          <w:rFonts w:hint="eastAsia"/>
          <w:highlight w:val="none"/>
        </w:rPr>
        <w:t>联系方式</w:t>
      </w:r>
      <w:bookmarkEnd w:id="9"/>
    </w:p>
    <w:p w14:paraId="1F6070F7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</w:rPr>
        <w:t>报名及投标招标事宜联系人：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  <w:t>王瑄17860605786</w:t>
      </w:r>
    </w:p>
    <w:p w14:paraId="12D2D91F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5C6AF329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33C8E085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55761B30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5D3504FD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56B7BC02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43E8D693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1EFB5480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0F83A6CE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1EE4EB43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77840522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1533D575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6A407235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59C6481E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3F68595D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6879717D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4FE5ED6D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383A75AB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4065E7D0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3684A80E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542E14E4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6707F552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2F1CB319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4D7C0B9D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378903A8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3690A1CF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3B2BA355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</w:p>
    <w:p w14:paraId="396A5D81">
      <w:pPr>
        <w:pStyle w:val="11"/>
        <w:numPr>
          <w:ilvl w:val="0"/>
          <w:numId w:val="0"/>
        </w:numPr>
        <w:ind w:leftChars="0"/>
        <w:outlineLvl w:val="1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附件 投标人基本情况及资产情况汇总表</w:t>
      </w:r>
    </w:p>
    <w:p w14:paraId="58088325">
      <w:pPr>
        <w:spacing w:line="360" w:lineRule="auto"/>
        <w:jc w:val="left"/>
        <w:outlineLvl w:val="3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表 1 投标人基本情况表</w:t>
      </w:r>
    </w:p>
    <w:p w14:paraId="0144CA54">
      <w:pPr>
        <w:spacing w:line="360" w:lineRule="auto"/>
        <w:jc w:val="center"/>
        <w:outlineLvl w:val="9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投标人基本情况表</w:t>
      </w:r>
    </w:p>
    <w:tbl>
      <w:tblPr>
        <w:tblStyle w:val="17"/>
        <w:tblpPr w:leftFromText="180" w:rightFromText="180" w:vertAnchor="text" w:horzAnchor="page" w:tblpX="1053" w:tblpY="310"/>
        <w:tblOverlap w:val="never"/>
        <w:tblW w:w="9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990"/>
        <w:gridCol w:w="1530"/>
        <w:gridCol w:w="1063"/>
        <w:gridCol w:w="1097"/>
        <w:gridCol w:w="1310"/>
        <w:gridCol w:w="1510"/>
      </w:tblGrid>
      <w:tr w14:paraId="4DE00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956" w:type="dxa"/>
          </w:tcPr>
          <w:p w14:paraId="467A997E">
            <w:pPr>
              <w:pStyle w:val="16"/>
              <w:spacing w:before="114"/>
              <w:ind w:left="720"/>
            </w:pPr>
            <w:r>
              <w:t xml:space="preserve">企业名称 </w:t>
            </w:r>
          </w:p>
        </w:tc>
        <w:tc>
          <w:tcPr>
            <w:tcW w:w="4680" w:type="dxa"/>
            <w:gridSpan w:val="4"/>
            <w:vAlign w:val="center"/>
          </w:tcPr>
          <w:p w14:paraId="095B82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10" w:type="dxa"/>
          </w:tcPr>
          <w:p w14:paraId="57DCA48F">
            <w:pPr>
              <w:pStyle w:val="16"/>
              <w:spacing w:before="106"/>
              <w:ind w:left="154" w:right="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联系人 </w:t>
            </w:r>
          </w:p>
        </w:tc>
        <w:tc>
          <w:tcPr>
            <w:tcW w:w="1510" w:type="dxa"/>
            <w:vAlign w:val="center"/>
          </w:tcPr>
          <w:p w14:paraId="481990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4F0B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56" w:type="dxa"/>
          </w:tcPr>
          <w:p w14:paraId="1A13248D">
            <w:pPr>
              <w:pStyle w:val="16"/>
              <w:spacing w:before="114"/>
              <w:ind w:left="720"/>
            </w:pPr>
            <w:r>
              <w:t xml:space="preserve">企业地址 </w:t>
            </w:r>
          </w:p>
        </w:tc>
        <w:tc>
          <w:tcPr>
            <w:tcW w:w="4680" w:type="dxa"/>
            <w:gridSpan w:val="4"/>
            <w:vAlign w:val="center"/>
          </w:tcPr>
          <w:p w14:paraId="4009A8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10" w:type="dxa"/>
          </w:tcPr>
          <w:p w14:paraId="0BA48AC5">
            <w:pPr>
              <w:pStyle w:val="16"/>
              <w:spacing w:before="106"/>
              <w:ind w:left="154" w:right="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联系人电话 </w:t>
            </w:r>
          </w:p>
        </w:tc>
        <w:tc>
          <w:tcPr>
            <w:tcW w:w="1510" w:type="dxa"/>
            <w:vAlign w:val="center"/>
          </w:tcPr>
          <w:p w14:paraId="7E3EED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6B4E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956" w:type="dxa"/>
          </w:tcPr>
          <w:p w14:paraId="4551FB39">
            <w:pPr>
              <w:pStyle w:val="16"/>
              <w:spacing w:before="111"/>
              <w:ind w:left="720"/>
            </w:pPr>
            <w:r>
              <w:t xml:space="preserve">企业性质 </w:t>
            </w:r>
          </w:p>
        </w:tc>
        <w:tc>
          <w:tcPr>
            <w:tcW w:w="4680" w:type="dxa"/>
            <w:gridSpan w:val="4"/>
            <w:vAlign w:val="center"/>
          </w:tcPr>
          <w:p w14:paraId="5B648F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10" w:type="dxa"/>
          </w:tcPr>
          <w:p w14:paraId="022012E2">
            <w:pPr>
              <w:pStyle w:val="16"/>
              <w:spacing w:before="103"/>
              <w:ind w:left="154" w:right="2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注册时间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10" w:type="dxa"/>
            <w:vAlign w:val="center"/>
          </w:tcPr>
          <w:p w14:paraId="3FA783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E91A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56" w:type="dxa"/>
          </w:tcPr>
          <w:p w14:paraId="17C1A7A9">
            <w:pPr>
              <w:pStyle w:val="16"/>
              <w:spacing w:before="111"/>
              <w:ind w:left="509"/>
              <w:rPr>
                <w:highlight w:val="yellow"/>
              </w:rPr>
            </w:pPr>
            <w:r>
              <w:t xml:space="preserve">企业法人代表  </w:t>
            </w:r>
          </w:p>
        </w:tc>
        <w:tc>
          <w:tcPr>
            <w:tcW w:w="4680" w:type="dxa"/>
            <w:gridSpan w:val="4"/>
          </w:tcPr>
          <w:p w14:paraId="4B5F8599"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450" w:lineRule="atLeas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0" w:type="dxa"/>
          </w:tcPr>
          <w:p w14:paraId="6D04B196">
            <w:pPr>
              <w:pStyle w:val="16"/>
              <w:spacing w:before="103"/>
              <w:ind w:right="26"/>
              <w:jc w:val="center"/>
              <w:rPr>
                <w:color w:val="000000"/>
              </w:rPr>
            </w:pPr>
            <w:r>
              <w:rPr>
                <w:color w:val="000000"/>
              </w:rPr>
              <w:t>企业资质</w:t>
            </w:r>
          </w:p>
        </w:tc>
        <w:tc>
          <w:tcPr>
            <w:tcW w:w="1510" w:type="dxa"/>
            <w:vAlign w:val="center"/>
          </w:tcPr>
          <w:p w14:paraId="475B8B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5A7F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956" w:type="dxa"/>
          </w:tcPr>
          <w:p w14:paraId="3619303D">
            <w:pPr>
              <w:pStyle w:val="16"/>
              <w:spacing w:before="114"/>
              <w:ind w:left="720"/>
            </w:pPr>
            <w:r>
              <w:t xml:space="preserve">品牌区分 </w:t>
            </w:r>
          </w:p>
        </w:tc>
        <w:tc>
          <w:tcPr>
            <w:tcW w:w="7500" w:type="dxa"/>
            <w:gridSpan w:val="6"/>
          </w:tcPr>
          <w:p w14:paraId="3BAE0FF2">
            <w:pPr>
              <w:pStyle w:val="16"/>
              <w:spacing w:before="106"/>
              <w:ind w:left="401"/>
            </w:pPr>
            <w:r>
              <w:t xml:space="preserve"> </w:t>
            </w:r>
            <w:r>
              <w:rPr/>
              <w:sym w:font="Wingdings 2" w:char="00A3"/>
            </w:r>
            <w:r>
              <w:t xml:space="preserve">自产 </w:t>
            </w:r>
            <w:r>
              <w:rPr/>
              <w:sym w:font="Wingdings 2" w:char="00A3"/>
            </w:r>
            <w:r>
              <w:t xml:space="preserve">总代理 </w:t>
            </w:r>
            <w:r>
              <w:rPr/>
              <w:sym w:font="Wingdings 2" w:char="00A3"/>
            </w:r>
            <w:r>
              <w:t xml:space="preserve">代理  </w:t>
            </w:r>
            <w:r>
              <w:rPr/>
              <w:sym w:font="Wingdings 2" w:char="00A3"/>
            </w:r>
            <w:r>
              <w:t xml:space="preserve">经销 </w:t>
            </w:r>
          </w:p>
        </w:tc>
      </w:tr>
      <w:tr w14:paraId="1E453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956" w:type="dxa"/>
          </w:tcPr>
          <w:p w14:paraId="7D05C8BF">
            <w:pPr>
              <w:pStyle w:val="16"/>
              <w:spacing w:before="178"/>
              <w:ind w:left="720"/>
            </w:pPr>
            <w:r>
              <w:t xml:space="preserve">品牌名称 </w:t>
            </w:r>
          </w:p>
        </w:tc>
        <w:tc>
          <w:tcPr>
            <w:tcW w:w="3583" w:type="dxa"/>
            <w:gridSpan w:val="3"/>
            <w:vAlign w:val="center"/>
          </w:tcPr>
          <w:p w14:paraId="454E744B">
            <w:pPr>
              <w:widowControl/>
              <w:rPr>
                <w:rFonts w:ascii="宋体" w:hAnsi="宋体" w:eastAsia="仿宋_GB2312"/>
                <w:kern w:val="0"/>
                <w:szCs w:val="21"/>
              </w:rPr>
            </w:pPr>
          </w:p>
        </w:tc>
        <w:tc>
          <w:tcPr>
            <w:tcW w:w="1097" w:type="dxa"/>
          </w:tcPr>
          <w:p w14:paraId="089ADBEF">
            <w:pPr>
              <w:pStyle w:val="16"/>
              <w:spacing w:before="15"/>
              <w:ind w:left="279"/>
            </w:pPr>
            <w:r>
              <w:rPr>
                <w:spacing w:val="-2"/>
              </w:rPr>
              <w:t>质量</w:t>
            </w:r>
            <w:r>
              <w:t xml:space="preserve"> </w:t>
            </w:r>
          </w:p>
          <w:p w14:paraId="38F7D920">
            <w:pPr>
              <w:pStyle w:val="16"/>
              <w:spacing w:before="30" w:line="277" w:lineRule="exact"/>
              <w:ind w:left="279"/>
            </w:pPr>
            <w:r>
              <w:rPr>
                <w:rFonts w:hint="eastAsia"/>
              </w:rPr>
              <w:t>体系</w:t>
            </w:r>
          </w:p>
        </w:tc>
        <w:tc>
          <w:tcPr>
            <w:tcW w:w="2820" w:type="dxa"/>
            <w:gridSpan w:val="2"/>
          </w:tcPr>
          <w:p w14:paraId="53E9DAB1">
            <w:pPr>
              <w:pStyle w:val="16"/>
              <w:spacing w:before="158"/>
              <w:jc w:val="center"/>
              <w:rPr>
                <w:sz w:val="24"/>
              </w:rPr>
            </w:pPr>
          </w:p>
        </w:tc>
      </w:tr>
      <w:tr w14:paraId="335D3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56" w:type="dxa"/>
            <w:gridSpan w:val="7"/>
          </w:tcPr>
          <w:p w14:paraId="0063BA57">
            <w:pPr>
              <w:pStyle w:val="16"/>
              <w:spacing w:before="149"/>
              <w:ind w:left="3345" w:right="3223"/>
              <w:jc w:val="center"/>
            </w:pPr>
            <w:r>
              <w:rPr>
                <w:rFonts w:hint="eastAsia"/>
                <w:szCs w:val="21"/>
              </w:rPr>
              <w:t>单位概况</w:t>
            </w:r>
          </w:p>
        </w:tc>
      </w:tr>
      <w:tr w14:paraId="6ECE5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56" w:type="dxa"/>
            <w:vAlign w:val="center"/>
          </w:tcPr>
          <w:p w14:paraId="1A7F5E6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</w:rPr>
              <w:t>参保</w:t>
            </w:r>
            <w:r>
              <w:rPr>
                <w:rFonts w:ascii="宋体" w:hAnsi="宋体" w:eastAsia="宋体" w:cs="宋体"/>
                <w:spacing w:val="-2"/>
                <w:szCs w:val="21"/>
              </w:rPr>
              <w:t>职工总人</w:t>
            </w:r>
            <w:r>
              <w:rPr>
                <w:rFonts w:ascii="宋体" w:hAnsi="宋体" w:eastAsia="宋体" w:cs="宋体"/>
                <w:spacing w:val="-1"/>
                <w:szCs w:val="21"/>
              </w:rPr>
              <w:t>数</w:t>
            </w:r>
          </w:p>
        </w:tc>
        <w:tc>
          <w:tcPr>
            <w:tcW w:w="990" w:type="dxa"/>
            <w:vAlign w:val="center"/>
          </w:tcPr>
          <w:p w14:paraId="516C369F"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4DE1BDA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工程技术人</w:t>
            </w:r>
            <w:r>
              <w:rPr>
                <w:rFonts w:ascii="宋体" w:hAnsi="宋体" w:eastAsia="宋体" w:cs="宋体"/>
                <w:spacing w:val="-1"/>
                <w:szCs w:val="21"/>
              </w:rPr>
              <w:t>员</w:t>
            </w:r>
          </w:p>
        </w:tc>
        <w:tc>
          <w:tcPr>
            <w:tcW w:w="1063" w:type="dxa"/>
            <w:vAlign w:val="center"/>
          </w:tcPr>
          <w:p w14:paraId="590EE67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7957444F"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生</w:t>
            </w:r>
            <w:r>
              <w:rPr>
                <w:rFonts w:ascii="宋体" w:hAnsi="宋体" w:eastAsia="宋体" w:cs="宋体"/>
                <w:spacing w:val="-2"/>
                <w:szCs w:val="21"/>
              </w:rPr>
              <w:t>产</w:t>
            </w:r>
            <w:r>
              <w:rPr>
                <w:rFonts w:hint="eastAsia" w:ascii="宋体" w:hAnsi="宋体" w:eastAsia="宋体" w:cs="宋体"/>
                <w:spacing w:val="-2"/>
                <w:szCs w:val="21"/>
              </w:rPr>
              <w:t>、销售人员</w:t>
            </w:r>
          </w:p>
        </w:tc>
        <w:tc>
          <w:tcPr>
            <w:tcW w:w="2820" w:type="dxa"/>
            <w:gridSpan w:val="2"/>
            <w:vAlign w:val="center"/>
          </w:tcPr>
          <w:p w14:paraId="46376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5DD2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956" w:type="dxa"/>
            <w:vAlign w:val="center"/>
          </w:tcPr>
          <w:p w14:paraId="2A1B389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企业优势、关键产品特点</w:t>
            </w:r>
          </w:p>
        </w:tc>
        <w:tc>
          <w:tcPr>
            <w:tcW w:w="7500" w:type="dxa"/>
            <w:gridSpan w:val="6"/>
            <w:vAlign w:val="center"/>
          </w:tcPr>
          <w:p w14:paraId="0DDABFCC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14197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956" w:type="dxa"/>
            <w:vAlign w:val="center"/>
          </w:tcPr>
          <w:p w14:paraId="60569FD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企业行业水平及行业口碑</w:t>
            </w:r>
          </w:p>
        </w:tc>
        <w:tc>
          <w:tcPr>
            <w:tcW w:w="7500" w:type="dxa"/>
            <w:gridSpan w:val="6"/>
            <w:vAlign w:val="center"/>
          </w:tcPr>
          <w:p w14:paraId="2D9B58CA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0FE72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956" w:type="dxa"/>
            <w:vAlign w:val="center"/>
          </w:tcPr>
          <w:p w14:paraId="1B730AB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7"/>
                <w:szCs w:val="21"/>
              </w:rPr>
              <w:t>司</w:t>
            </w:r>
            <w:r>
              <w:rPr>
                <w:rFonts w:ascii="宋体" w:hAnsi="宋体" w:eastAsia="宋体" w:cs="宋体"/>
                <w:spacing w:val="-5"/>
                <w:szCs w:val="21"/>
              </w:rPr>
              <w:t>现有主要研发、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Cs w:val="21"/>
              </w:rPr>
              <w:t>实</w:t>
            </w:r>
            <w:r>
              <w:rPr>
                <w:rFonts w:ascii="宋体" w:hAnsi="宋体" w:eastAsia="宋体" w:cs="宋体"/>
                <w:spacing w:val="-2"/>
                <w:szCs w:val="21"/>
              </w:rPr>
              <w:t>验、生产设备</w:t>
            </w:r>
          </w:p>
        </w:tc>
        <w:tc>
          <w:tcPr>
            <w:tcW w:w="7500" w:type="dxa"/>
            <w:gridSpan w:val="6"/>
            <w:vAlign w:val="center"/>
          </w:tcPr>
          <w:p w14:paraId="1C36C38C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27D5C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956" w:type="dxa"/>
            <w:vAlign w:val="center"/>
          </w:tcPr>
          <w:p w14:paraId="5E0FED4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近三或五年企业类似业绩及履约情况</w:t>
            </w:r>
          </w:p>
        </w:tc>
        <w:tc>
          <w:tcPr>
            <w:tcW w:w="7500" w:type="dxa"/>
            <w:gridSpan w:val="6"/>
            <w:vAlign w:val="center"/>
          </w:tcPr>
          <w:p w14:paraId="37D8D7C4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65BFB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56" w:type="dxa"/>
            <w:vAlign w:val="center"/>
          </w:tcPr>
          <w:p w14:paraId="062E87F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售后服务及质量</w:t>
            </w:r>
          </w:p>
        </w:tc>
        <w:tc>
          <w:tcPr>
            <w:tcW w:w="7500" w:type="dxa"/>
            <w:gridSpan w:val="6"/>
            <w:vAlign w:val="center"/>
          </w:tcPr>
          <w:p w14:paraId="2F1DFF56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45160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56" w:type="dxa"/>
            <w:vAlign w:val="center"/>
          </w:tcPr>
          <w:p w14:paraId="21206BEF">
            <w:pPr>
              <w:widowControl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Cs w:val="21"/>
              </w:rPr>
              <w:t>对本项目在设计、制造、进度、财务等方面采取的组织措施和相</w:t>
            </w:r>
            <w:r>
              <w:rPr>
                <w:rFonts w:ascii="宋体" w:hAnsi="宋体" w:eastAsia="宋体" w:cs="宋体"/>
                <w:spacing w:val="-2"/>
                <w:szCs w:val="21"/>
              </w:rPr>
              <w:t>关</w:t>
            </w:r>
            <w:r>
              <w:rPr>
                <w:rFonts w:ascii="宋体" w:hAnsi="宋体" w:eastAsia="宋体" w:cs="宋体"/>
                <w:spacing w:val="-3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2"/>
                <w:szCs w:val="21"/>
              </w:rPr>
              <w:t>员简介</w:t>
            </w:r>
          </w:p>
        </w:tc>
        <w:tc>
          <w:tcPr>
            <w:tcW w:w="7500" w:type="dxa"/>
            <w:gridSpan w:val="6"/>
            <w:vAlign w:val="center"/>
          </w:tcPr>
          <w:p w14:paraId="4107F0D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108F8C63">
      <w:pPr>
        <w:pStyle w:val="4"/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</w:pPr>
    </w:p>
    <w:p w14:paraId="37100778">
      <w:pPr>
        <w:pStyle w:val="4"/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</w:pPr>
    </w:p>
    <w:p w14:paraId="39756F36">
      <w:pPr>
        <w:pStyle w:val="4"/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</w:pPr>
    </w:p>
    <w:p w14:paraId="527F4C72">
      <w:pPr>
        <w:pStyle w:val="4"/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</w:pPr>
    </w:p>
    <w:p w14:paraId="0FDAE4A3">
      <w:pPr>
        <w:spacing w:line="360" w:lineRule="auto"/>
        <w:jc w:val="left"/>
        <w:outlineLvl w:val="3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表 2 资产情况汇总表</w:t>
      </w:r>
    </w:p>
    <w:p w14:paraId="54D6387F">
      <w:pPr>
        <w:spacing w:line="360" w:lineRule="auto"/>
        <w:jc w:val="center"/>
        <w:outlineLvl w:val="9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资产情况汇总表</w:t>
      </w:r>
    </w:p>
    <w:p w14:paraId="14935736">
      <w:pPr>
        <w:bidi w:val="0"/>
        <w:rPr>
          <w:rFonts w:hint="eastAsia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1287"/>
        <w:gridCol w:w="1288"/>
        <w:gridCol w:w="1290"/>
      </w:tblGrid>
      <w:tr w14:paraId="2928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9" w:type="dxa"/>
            <w:gridSpan w:val="4"/>
            <w:vAlign w:val="center"/>
          </w:tcPr>
          <w:p w14:paraId="36F67D10">
            <w:pPr>
              <w:spacing w:line="440" w:lineRule="exact"/>
              <w:jc w:val="center"/>
              <w:rPr>
                <w:rFonts w:ascii="宋体" w:hAnsi="宋体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公司资产情况汇总表</w:t>
            </w:r>
          </w:p>
        </w:tc>
      </w:tr>
      <w:tr w14:paraId="727B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4" w:type="dxa"/>
            <w:vAlign w:val="center"/>
          </w:tcPr>
          <w:p w14:paraId="13AD907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注册资金（万元）</w:t>
            </w:r>
          </w:p>
        </w:tc>
        <w:tc>
          <w:tcPr>
            <w:tcW w:w="3865" w:type="dxa"/>
            <w:gridSpan w:val="3"/>
          </w:tcPr>
          <w:p w14:paraId="048B63A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1271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4" w:type="dxa"/>
            <w:vAlign w:val="center"/>
          </w:tcPr>
          <w:p w14:paraId="05083AC6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实收资金（万元）</w:t>
            </w:r>
          </w:p>
        </w:tc>
        <w:tc>
          <w:tcPr>
            <w:tcW w:w="3865" w:type="dxa"/>
            <w:gridSpan w:val="3"/>
          </w:tcPr>
          <w:p w14:paraId="27C3827E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4390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4" w:type="dxa"/>
            <w:vAlign w:val="center"/>
          </w:tcPr>
          <w:p w14:paraId="3450AE9A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年度资产情况</w:t>
            </w:r>
          </w:p>
        </w:tc>
        <w:tc>
          <w:tcPr>
            <w:tcW w:w="1287" w:type="dxa"/>
            <w:vAlign w:val="center"/>
          </w:tcPr>
          <w:p w14:paraId="164720DD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288" w:type="dxa"/>
            <w:vAlign w:val="center"/>
          </w:tcPr>
          <w:p w14:paraId="41C48CB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288" w:type="dxa"/>
            <w:vAlign w:val="center"/>
          </w:tcPr>
          <w:p w14:paraId="2C57E8F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年</w:t>
            </w:r>
          </w:p>
        </w:tc>
      </w:tr>
      <w:tr w14:paraId="08B3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4" w:type="dxa"/>
            <w:vAlign w:val="center"/>
          </w:tcPr>
          <w:p w14:paraId="22ED9568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流动资产（万元）</w:t>
            </w:r>
          </w:p>
        </w:tc>
        <w:tc>
          <w:tcPr>
            <w:tcW w:w="1287" w:type="dxa"/>
          </w:tcPr>
          <w:p w14:paraId="0F8980BD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291C90DA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47EDCBE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7D7D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4" w:type="dxa"/>
            <w:vAlign w:val="center"/>
          </w:tcPr>
          <w:p w14:paraId="7700FF4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非流动资产（万元）</w:t>
            </w:r>
          </w:p>
        </w:tc>
        <w:tc>
          <w:tcPr>
            <w:tcW w:w="1287" w:type="dxa"/>
          </w:tcPr>
          <w:p w14:paraId="7C4E3409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5F2F372D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3164A792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3784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4" w:type="dxa"/>
            <w:vAlign w:val="center"/>
          </w:tcPr>
          <w:p w14:paraId="4A170FD2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营业收入（万元）</w:t>
            </w:r>
          </w:p>
        </w:tc>
        <w:tc>
          <w:tcPr>
            <w:tcW w:w="1287" w:type="dxa"/>
          </w:tcPr>
          <w:p w14:paraId="71C6D2C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73907D1F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091CF8E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4294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4" w:type="dxa"/>
            <w:vAlign w:val="center"/>
          </w:tcPr>
          <w:p w14:paraId="7FE782AA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年底资产总值（万元）</w:t>
            </w:r>
          </w:p>
        </w:tc>
        <w:tc>
          <w:tcPr>
            <w:tcW w:w="1287" w:type="dxa"/>
          </w:tcPr>
          <w:p w14:paraId="6F8CAB6A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029904D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435C2F6F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078D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4" w:type="dxa"/>
            <w:vAlign w:val="center"/>
          </w:tcPr>
          <w:p w14:paraId="564E1D90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年底负债总值（万元）</w:t>
            </w:r>
          </w:p>
        </w:tc>
        <w:tc>
          <w:tcPr>
            <w:tcW w:w="1287" w:type="dxa"/>
          </w:tcPr>
          <w:p w14:paraId="0DD10C49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27D1005F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18080AAA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AE3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4" w:type="dxa"/>
            <w:vAlign w:val="center"/>
          </w:tcPr>
          <w:p w14:paraId="68EC0498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资产负债率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（  %）</w:t>
            </w:r>
          </w:p>
        </w:tc>
        <w:tc>
          <w:tcPr>
            <w:tcW w:w="1287" w:type="dxa"/>
          </w:tcPr>
          <w:p w14:paraId="41791BBA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5E29869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7A1DF8E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A65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4" w:type="dxa"/>
            <w:vAlign w:val="center"/>
          </w:tcPr>
          <w:p w14:paraId="2AF268D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净利润（万元）</w:t>
            </w:r>
          </w:p>
        </w:tc>
        <w:tc>
          <w:tcPr>
            <w:tcW w:w="1287" w:type="dxa"/>
          </w:tcPr>
          <w:p w14:paraId="30AD9A8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0F0D5E39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0EE460E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0A60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4" w:type="dxa"/>
            <w:vAlign w:val="center"/>
          </w:tcPr>
          <w:p w14:paraId="5B14B596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未分配利润（万元）</w:t>
            </w:r>
          </w:p>
        </w:tc>
        <w:tc>
          <w:tcPr>
            <w:tcW w:w="1287" w:type="dxa"/>
          </w:tcPr>
          <w:p w14:paraId="44871F99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0ED3FDD6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75BDB8A1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46E3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84" w:type="dxa"/>
            <w:vAlign w:val="center"/>
          </w:tcPr>
          <w:p w14:paraId="45652DB8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营运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资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金</w:t>
            </w:r>
          </w:p>
        </w:tc>
        <w:tc>
          <w:tcPr>
            <w:tcW w:w="1287" w:type="dxa"/>
          </w:tcPr>
          <w:p w14:paraId="5597CEC0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3BE36C99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1ECA030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4009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4584" w:type="dxa"/>
            <w:vAlign w:val="center"/>
          </w:tcPr>
          <w:p w14:paraId="292BE738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</w:rPr>
              <w:t>（本年营业收入-上年营业收入）÷上年营业收入</w:t>
            </w:r>
          </w:p>
        </w:tc>
        <w:tc>
          <w:tcPr>
            <w:tcW w:w="1287" w:type="dxa"/>
          </w:tcPr>
          <w:p w14:paraId="14521B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2CFD590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</w:tcPr>
          <w:p w14:paraId="0E4D2176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31D18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240" w:firstLineChars="100"/>
        <w:textAlignment w:val="auto"/>
        <w:rPr>
          <w:rFonts w:ascii="宋体" w:hAnsi="Calibri" w:eastAsia="宋体" w:cs="Times New Roman"/>
          <w:sz w:val="24"/>
          <w:szCs w:val="20"/>
        </w:rPr>
      </w:pPr>
      <w:r>
        <w:rPr>
          <w:rFonts w:hint="eastAsia" w:ascii="宋体" w:hAnsi="宋体" w:eastAsia="宋体" w:cs="Times New Roman"/>
          <w:sz w:val="24"/>
          <w:szCs w:val="20"/>
        </w:rPr>
        <w:t>投标人：（盖章）</w:t>
      </w:r>
    </w:p>
    <w:p w14:paraId="4DAB8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240" w:firstLineChars="100"/>
        <w:textAlignment w:val="auto"/>
        <w:rPr>
          <w:rFonts w:ascii="宋体" w:hAnsi="Calibri" w:eastAsia="宋体" w:cs="Times New Roman"/>
          <w:sz w:val="24"/>
          <w:szCs w:val="20"/>
        </w:rPr>
      </w:pPr>
      <w:r>
        <w:rPr>
          <w:rFonts w:hint="eastAsia" w:ascii="宋体" w:hAnsi="宋体" w:eastAsia="宋体" w:cs="Times New Roman"/>
          <w:sz w:val="24"/>
          <w:szCs w:val="20"/>
        </w:rPr>
        <w:t>法定代表人（委托代理人）：（签字）</w:t>
      </w:r>
    </w:p>
    <w:p w14:paraId="19B1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0"/>
        </w:rPr>
        <w:t>日</w:t>
      </w:r>
      <w:r>
        <w:rPr>
          <w:rFonts w:ascii="宋体" w:hAnsi="宋体" w:eastAsia="宋体" w:cs="Times New Roman"/>
          <w:sz w:val="24"/>
          <w:szCs w:val="20"/>
        </w:rPr>
        <w:t xml:space="preserve">  </w:t>
      </w:r>
      <w:r>
        <w:rPr>
          <w:rFonts w:hint="eastAsia" w:ascii="宋体" w:hAnsi="宋体" w:eastAsia="宋体" w:cs="Times New Roman"/>
          <w:sz w:val="24"/>
          <w:szCs w:val="20"/>
        </w:rPr>
        <w:t>期：</w:t>
      </w:r>
      <w:r>
        <w:rPr>
          <w:rFonts w:ascii="宋体" w:hAnsi="宋体" w:eastAsia="宋体" w:cs="Times New Roman"/>
          <w:sz w:val="24"/>
          <w:szCs w:val="20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  <w:szCs w:val="20"/>
        </w:rPr>
        <w:t>年</w:t>
      </w:r>
      <w:r>
        <w:rPr>
          <w:rFonts w:ascii="宋体" w:hAnsi="宋体" w:eastAsia="宋体" w:cs="Times New Roman"/>
          <w:sz w:val="24"/>
          <w:szCs w:val="20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0"/>
        </w:rPr>
        <w:t>月</w:t>
      </w:r>
      <w:r>
        <w:rPr>
          <w:rFonts w:ascii="宋体" w:hAnsi="宋体" w:eastAsia="宋体" w:cs="Times New Roman"/>
          <w:sz w:val="24"/>
          <w:szCs w:val="20"/>
          <w:u w:val="single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84C72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74" name="文本框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F38329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5dblS0AAAAAUBAAAPAAAAAAAAAAEAIAAAACIAAABkcnMvZG93bnJl&#10;di54bWxQSwECFAAUAAAACACHTuJAd0knKMwBAACU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38329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20133"/>
    <w:multiLevelType w:val="multilevel"/>
    <w:tmpl w:val="56D20133"/>
    <w:lvl w:ilvl="0" w:tentative="0">
      <w:start w:val="1"/>
      <w:numFmt w:val="chineseCountingThousand"/>
      <w:pStyle w:val="12"/>
      <w:lvlText w:val="(%1)"/>
      <w:lvlJc w:val="left"/>
      <w:pPr>
        <w:ind w:left="1130" w:hanging="420"/>
      </w:pPr>
      <w:rPr>
        <w:rFonts w:hint="eastAsia"/>
        <w:b/>
      </w:rPr>
    </w:lvl>
    <w:lvl w:ilvl="1" w:tentative="0">
      <w:start w:val="1"/>
      <w:numFmt w:val="decimal"/>
      <w:lvlText w:val="%2."/>
      <w:lvlJc w:val="left"/>
      <w:pPr>
        <w:ind w:left="120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240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">
    <w:nsid w:val="656A6EAE"/>
    <w:multiLevelType w:val="multilevel"/>
    <w:tmpl w:val="656A6EAE"/>
    <w:lvl w:ilvl="0" w:tentative="0">
      <w:start w:val="1"/>
      <w:numFmt w:val="chineseCountingThousand"/>
      <w:pStyle w:val="11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sz w:val="28"/>
        <w:szCs w:val="28"/>
        <w:highlight w:val="none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6300"/>
    <w:rsid w:val="021438DF"/>
    <w:rsid w:val="042028BD"/>
    <w:rsid w:val="0C3F1158"/>
    <w:rsid w:val="17897814"/>
    <w:rsid w:val="1803364E"/>
    <w:rsid w:val="184F59E0"/>
    <w:rsid w:val="1C1779FE"/>
    <w:rsid w:val="1D180A37"/>
    <w:rsid w:val="24624692"/>
    <w:rsid w:val="2B0260E4"/>
    <w:rsid w:val="2FFF3042"/>
    <w:rsid w:val="48B0193B"/>
    <w:rsid w:val="4A1B043B"/>
    <w:rsid w:val="4B780BB6"/>
    <w:rsid w:val="5A9F5740"/>
    <w:rsid w:val="5B9306A3"/>
    <w:rsid w:val="5F451392"/>
    <w:rsid w:val="60947504"/>
    <w:rsid w:val="697223BE"/>
    <w:rsid w:val="707A1FA2"/>
    <w:rsid w:val="70EC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8" w:name="Normal"/>
    <w:lsdException w:qFormat="1" w:unhideWhenUsed="0" w:uiPriority="0" w:semiHidden="0" w:name="heading 1"/>
    <w:lsdException w:qFormat="1" w:uiPriority="0" w:name="heading 2"/>
    <w:lsdException w:qFormat="1" w:unhideWhenUsed="0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98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semiHidden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rFonts w:ascii="宋体" w:hAnsi="宋体"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paragraph" w:styleId="4">
    <w:name w:val="Plain Text"/>
    <w:basedOn w:val="1"/>
    <w:link w:val="14"/>
    <w:qFormat/>
    <w:uiPriority w:val="0"/>
    <w:rPr>
      <w:rFonts w:ascii="宋体" w:hAnsi="Courier New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spacing w:line="360" w:lineRule="auto"/>
      <w:jc w:val="left"/>
    </w:pPr>
    <w:rPr>
      <w:rFonts w:ascii="宋体" w:hAnsi="宋体" w:eastAsia="宋体" w:cs="Times New Roman"/>
      <w:b/>
      <w:caps/>
      <w:color w:val="FF0000"/>
      <w:szCs w:val="21"/>
    </w:rPr>
  </w:style>
  <w:style w:type="paragraph" w:customStyle="1" w:styleId="10">
    <w:name w:val="章节"/>
    <w:basedOn w:val="4"/>
    <w:qFormat/>
    <w:uiPriority w:val="0"/>
    <w:pPr>
      <w:spacing w:line="360" w:lineRule="auto"/>
      <w:jc w:val="center"/>
      <w:outlineLvl w:val="0"/>
    </w:pPr>
    <w:rPr>
      <w:rFonts w:ascii="黑体" w:eastAsia="黑体"/>
      <w:b/>
      <w:bCs/>
      <w:sz w:val="36"/>
      <w:szCs w:val="36"/>
    </w:rPr>
  </w:style>
  <w:style w:type="paragraph" w:customStyle="1" w:styleId="11">
    <w:name w:val="一级标题"/>
    <w:basedOn w:val="4"/>
    <w:qFormat/>
    <w:uiPriority w:val="1"/>
    <w:pPr>
      <w:numPr>
        <w:ilvl w:val="0"/>
        <w:numId w:val="1"/>
      </w:numPr>
      <w:spacing w:line="360" w:lineRule="auto"/>
      <w:ind w:left="420"/>
      <w:outlineLvl w:val="1"/>
    </w:pPr>
    <w:rPr>
      <w:rFonts w:ascii="黑体" w:eastAsia="黑体"/>
      <w:b/>
      <w:bCs/>
      <w:sz w:val="28"/>
    </w:rPr>
  </w:style>
  <w:style w:type="paragraph" w:customStyle="1" w:styleId="12">
    <w:name w:val="（二）级标题"/>
    <w:basedOn w:val="4"/>
    <w:qFormat/>
    <w:uiPriority w:val="2"/>
    <w:pPr>
      <w:numPr>
        <w:ilvl w:val="0"/>
        <w:numId w:val="2"/>
      </w:numPr>
      <w:spacing w:line="360" w:lineRule="auto"/>
      <w:outlineLvl w:val="2"/>
    </w:pPr>
    <w:rPr>
      <w:b/>
    </w:rPr>
  </w:style>
  <w:style w:type="character" w:customStyle="1" w:styleId="13">
    <w:name w:val="标书正文 字符"/>
    <w:basedOn w:val="14"/>
    <w:link w:val="15"/>
    <w:qFormat/>
    <w:uiPriority w:val="9"/>
  </w:style>
  <w:style w:type="character" w:customStyle="1" w:styleId="14">
    <w:name w:val="纯文本 字符1"/>
    <w:link w:val="4"/>
    <w:semiHidden/>
    <w:qFormat/>
    <w:uiPriority w:val="0"/>
    <w:rPr>
      <w:rFonts w:ascii="宋体" w:hAnsi="Courier New"/>
    </w:rPr>
  </w:style>
  <w:style w:type="paragraph" w:customStyle="1" w:styleId="15">
    <w:name w:val="标书正文"/>
    <w:basedOn w:val="4"/>
    <w:link w:val="13"/>
    <w:qFormat/>
    <w:uiPriority w:val="9"/>
    <w:pPr>
      <w:spacing w:line="360" w:lineRule="auto"/>
      <w:jc w:val="left"/>
    </w:pPr>
  </w:style>
  <w:style w:type="paragraph" w:customStyle="1" w:styleId="16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table" w:customStyle="1" w:styleId="17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1996</Words>
  <Characters>2169</Characters>
  <Lines>0</Lines>
  <Paragraphs>0</Paragraphs>
  <TotalTime>0</TotalTime>
  <ScaleCrop>false</ScaleCrop>
  <LinksUpToDate>false</LinksUpToDate>
  <CharactersWithSpaces>2239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2025-09-23T02:57:00Z</dcterms:created>
  <dc:creator>Lenovo</dc:creator>
  <cp:lastModifiedBy>㎡</cp:lastModifiedBy>
  <dcterms:modified xsi:type="dcterms:W3CDTF">2025-10-10T08:18:10Z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eyJoZGlkIjoiZWQxZjNmOWI4MjYxMjE3YWYxMWY4NzIzOWZkNTY1ZGEiLCJ1c2VySWQiOiI4MjkwNzMwMzkifQ==</vt:lpwstr>
  </property>
  <property fmtid="{D5CDD505-2E9C-101B-9397-08002B2CF9AE}" pid="4" name="ICV">
    <vt:lpwstr>E5B74E2B321047168E523CD9B993DF42_12</vt:lpwstr>
  </property>
</Properties>
</file>