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济南部件公司展厅产品展台展架制作</w:t>
      </w:r>
      <w:r>
        <w:rPr>
          <w:rFonts w:hint="eastAsia" w:ascii="Calibri" w:hAnsi="宋体" w:eastAsia="宋体" w:cs="Times New Roman"/>
          <w:b/>
          <w:bCs/>
          <w:color w:val="000000"/>
          <w:spacing w:val="-8"/>
          <w:sz w:val="48"/>
          <w:szCs w:val="44"/>
          <w:lang w:val="en-US" w:eastAsia="zh-CN"/>
        </w:rPr>
        <w:t>单一来源采购</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pStyle w:val="21"/>
      </w:pPr>
    </w:p>
    <w:p>
      <w:pPr>
        <w:pStyle w:val="21"/>
      </w:pPr>
    </w:p>
    <w:p>
      <w:pPr>
        <w:pStyle w:val="21"/>
      </w:pPr>
    </w:p>
    <w:p>
      <w:pPr>
        <w:pStyle w:val="21"/>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8"/>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8"/>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8"/>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8"/>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4"/>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3"/>
                <w:rFonts w:hint="eastAsia"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济南部件公司展厅产品展台展架制作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FSCZB2025090175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widowControl/>
              <w:spacing w:line="400" w:lineRule="exact"/>
              <w:ind w:left="2" w:firstLine="574"/>
              <w:textAlignment w:val="baseline"/>
              <w:rPr>
                <w:rFonts w:hint="eastAsia" w:ascii="宋体" w:hAnsi="宋体" w:eastAsia="宋体" w:cs="宋体"/>
                <w:b/>
                <w:bCs/>
                <w:sz w:val="24"/>
                <w:szCs w:val="24"/>
                <w:u w:val="single"/>
              </w:rPr>
            </w:pPr>
            <w:r>
              <w:rPr>
                <w:rFonts w:hint="eastAsia" w:ascii="宋体" w:hAnsi="宋体" w:eastAsia="宋体" w:cs="宋体"/>
                <w:b/>
                <w:bCs/>
                <w:sz w:val="24"/>
                <w:szCs w:val="24"/>
              </w:rPr>
              <w:t>招标内容：</w:t>
            </w:r>
            <w:r>
              <w:rPr>
                <w:rFonts w:hint="eastAsia" w:ascii="宋体" w:hAnsi="宋体" w:eastAsia="宋体" w:cs="Times New Roman"/>
                <w:color w:val="000000"/>
                <w:sz w:val="24"/>
                <w:szCs w:val="24"/>
              </w:rPr>
              <w:t>为提升公司展厅布局，更好的呈现公司产品特点及技术优势，济南部件公司拟制作批量展台、展架用来展示产品实物。</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中国重汽集团济南汽车部件有限公司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val="en-US" w:eastAsia="zh-CN"/>
              </w:rPr>
              <w:t>单一来源采购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赵力</w:t>
            </w:r>
          </w:p>
          <w:p>
            <w:pPr>
              <w:pStyle w:val="21"/>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b/>
                <w:bCs/>
                <w:sz w:val="24"/>
                <w:szCs w:val="24"/>
                <w:highlight w:val="yellow"/>
                <w:lang w:val="en-US" w:eastAsia="zh-CN"/>
              </w:rPr>
              <w:t>沃衍德</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15253109815</w:t>
            </w:r>
          </w:p>
          <w:p>
            <w:pPr>
              <w:rPr>
                <w:rFonts w:hint="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人民币2.0300万元（含税，税率</w:t>
            </w:r>
            <w:r>
              <w:rPr>
                <w:rFonts w:hint="eastAsia" w:hAnsi="宋体" w:eastAsia="宋体" w:cs="Times New Roman"/>
                <w:b/>
                <w:bCs/>
                <w:color w:val="000000"/>
                <w:sz w:val="24"/>
                <w:szCs w:val="24"/>
                <w:highlight w:val="yellow"/>
                <w:lang w:val="en-US" w:eastAsia="zh-CN"/>
              </w:rPr>
              <w:t>13</w:t>
            </w:r>
            <w:r>
              <w:rPr>
                <w:rFonts w:hint="eastAsia" w:hAnsi="宋体" w:eastAsia="宋体" w:cs="Times New Roman"/>
                <w:b/>
                <w:bCs/>
                <w:color w:val="000000"/>
                <w:sz w:val="24"/>
                <w:szCs w:val="24"/>
                <w:highlight w:val="yellow"/>
              </w:rPr>
              <w:t>%），超过投标限价无法投标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zh-TW"/>
              </w:rPr>
              <w:t>）供应商须遵守《中华人民共和国民法典》及其它有关的法律和法规；为中华人民共和国境内注册的独立法人机构，具有独立承担民事责任能力。公司成立两年以上（以营业执照成立日期到开标当日满两年为准）；投标企业注册资金不少于</w:t>
            </w:r>
            <w:r>
              <w:rPr>
                <w:rFonts w:hint="eastAsia" w:ascii="宋体" w:hAnsi="宋体" w:eastAsia="宋体" w:cs="Times New Roman"/>
                <w:color w:val="000000"/>
                <w:sz w:val="24"/>
                <w:szCs w:val="24"/>
              </w:rPr>
              <w:t>50</w:t>
            </w:r>
            <w:r>
              <w:rPr>
                <w:rFonts w:hint="eastAsia" w:ascii="宋体" w:hAnsi="宋体" w:eastAsia="宋体" w:cs="Times New Roman"/>
                <w:color w:val="000000"/>
                <w:sz w:val="24"/>
                <w:szCs w:val="24"/>
                <w:lang w:val="zh-TW"/>
              </w:rPr>
              <w:t>万元人民币，公司需为一般纳税人资格，经营范围满足招标项目需求；供应商须提供具有统一社会信用代码的三证合一的营业执照副本原件及复印件（加盖公章）。</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zh-TW"/>
              </w:rPr>
              <w:t>）投标企业需要具有广告制作、建设装饰装修领域的从业经验，相应的证明材料需在标书内体现。</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3</w:t>
            </w:r>
            <w:r>
              <w:rPr>
                <w:rFonts w:hint="eastAsia" w:ascii="宋体" w:hAnsi="宋体" w:eastAsia="宋体" w:cs="Times New Roman"/>
                <w:color w:val="000000"/>
                <w:sz w:val="24"/>
                <w:szCs w:val="24"/>
                <w:lang w:val="zh-TW"/>
              </w:rPr>
              <w:t>）具有健全的财务会计制度，财务状况和市场行为良好。没有处于被有权机关吊销营业执照、列入失信人员名单、吊销资质、停业整顿、取消投标资格以及财产被接管、冻结或进入破产程序等。</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4</w:t>
            </w:r>
            <w:r>
              <w:rPr>
                <w:rFonts w:hint="eastAsia" w:ascii="宋体" w:hAnsi="宋体" w:eastAsia="宋体" w:cs="Times New Roman"/>
                <w:color w:val="000000"/>
                <w:sz w:val="24"/>
                <w:szCs w:val="24"/>
                <w:lang w:val="zh-TW"/>
              </w:rPr>
              <w:t>）供应商没有被列入采购方处《黑名单》（《黑名单》指供应商与采购方在以往或正在进行的合作中，存在采购方认为的违反合同约定或违反法律法规等的失信行为）的证明原件。</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5</w:t>
            </w:r>
            <w:r>
              <w:rPr>
                <w:rFonts w:hint="eastAsia" w:ascii="宋体" w:hAnsi="宋体" w:eastAsia="宋体" w:cs="Times New Roman"/>
                <w:color w:val="000000"/>
                <w:sz w:val="24"/>
                <w:szCs w:val="24"/>
                <w:lang w:val="zh-TW"/>
              </w:rPr>
              <w:t>）供应商须提供法人授权委托书原件（在投标文件副本中可用复印件）及投标单位的法定代表人或授权代表的身份证原件及复印件（加盖公章），法人到场的，出具法定代表人资格证明文件。</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6</w:t>
            </w:r>
            <w:r>
              <w:rPr>
                <w:rFonts w:hint="eastAsia" w:ascii="宋体" w:hAnsi="宋体" w:eastAsia="宋体" w:cs="Times New Roman"/>
                <w:color w:val="000000"/>
                <w:sz w:val="24"/>
                <w:szCs w:val="24"/>
                <w:lang w:val="zh-TW"/>
              </w:rPr>
              <w:t>）中标的供应商严禁弃标，弃标单位将进入中国重汽集团《违约单位名录》</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zh-TW"/>
              </w:rPr>
              <w:t>禁止其参加中国重汽集团系统内所有单位招标。</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7</w:t>
            </w:r>
            <w:r>
              <w:rPr>
                <w:rFonts w:hint="eastAsia" w:ascii="宋体" w:hAnsi="宋体" w:eastAsia="宋体" w:cs="Times New Roman"/>
                <w:color w:val="000000"/>
                <w:sz w:val="24"/>
                <w:szCs w:val="24"/>
                <w:lang w:val="zh-TW"/>
              </w:rPr>
              <w:t>）供应商须认可采购方的工作指令，包括节、假日能正常开展工作的要求。</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8</w:t>
            </w:r>
            <w:r>
              <w:rPr>
                <w:rFonts w:hint="eastAsia" w:ascii="宋体" w:hAnsi="宋体" w:eastAsia="宋体" w:cs="Times New Roman"/>
                <w:color w:val="000000"/>
                <w:sz w:val="24"/>
                <w:szCs w:val="24"/>
                <w:lang w:val="zh-TW"/>
              </w:rPr>
              <w:t>）本次招标项目不接受联合体投标。</w:t>
            </w:r>
          </w:p>
          <w:p>
            <w:pPr>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zh-TW"/>
              </w:rPr>
              <w:t>（</w:t>
            </w:r>
            <w:r>
              <w:rPr>
                <w:rFonts w:hint="eastAsia" w:ascii="宋体" w:hAnsi="宋体" w:eastAsia="宋体" w:cs="Times New Roman"/>
                <w:color w:val="000000"/>
                <w:sz w:val="24"/>
                <w:szCs w:val="24"/>
              </w:rPr>
              <w:t>9</w:t>
            </w:r>
            <w:r>
              <w:rPr>
                <w:rFonts w:hint="eastAsia" w:ascii="宋体" w:hAnsi="宋体" w:eastAsia="宋体" w:cs="Times New Roman"/>
                <w:color w:val="000000"/>
                <w:sz w:val="24"/>
                <w:szCs w:val="24"/>
                <w:lang w:val="zh-TW"/>
              </w:rPr>
              <w:t>）逾期的投标文件采购方不予受理。</w:t>
            </w:r>
          </w:p>
          <w:p>
            <w:pPr>
              <w:adjustRightInd w:val="0"/>
              <w:snapToGrid w:val="0"/>
              <w:spacing w:line="360" w:lineRule="auto"/>
              <w:ind w:firstLine="573"/>
              <w:jc w:val="left"/>
              <w:rPr>
                <w:rFonts w:hint="eastAsia" w:ascii="宋体" w:hAnsi="宋体" w:eastAsia="宋体"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21</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2</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w:t>
            </w:r>
            <w:r>
              <w:rPr>
                <w:rFonts w:hint="eastAsia" w:eastAsia="宋体" w:cs="宋体"/>
                <w:b/>
                <w:lang w:val="en-US" w:eastAsia="zh-CN"/>
              </w:rPr>
              <w:t>3</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21</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6"/>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26</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27</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合理最低价。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5.付款方式和付款节点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widowControl w:val="0"/>
              <w:spacing w:line="288" w:lineRule="auto"/>
              <w:ind w:firstLine="440"/>
              <w:jc w:val="both"/>
              <w:rPr>
                <w:rFonts w:hint="eastAsia" w:ascii="仿宋_GB2312" w:hAnsi="Adobe 仿宋 Std R" w:eastAsia="仿宋_GB2312" w:cs="Adobe 仿宋 Std R"/>
                <w:kern w:val="2"/>
                <w:u w:color="000000"/>
              </w:rPr>
            </w:pPr>
            <w:r>
              <w:rPr>
                <w:rFonts w:hint="eastAsia" w:ascii="仿宋_GB2312" w:eastAsia="仿宋_GB2312"/>
                <w:kern w:val="2"/>
                <w:u w:color="000000"/>
                <w:lang w:val="zh-TW"/>
              </w:rPr>
              <w:t>项目完成验收合格后，供应商开具合同要求的发票，</w:t>
            </w:r>
            <w:r>
              <w:rPr>
                <w:rFonts w:hint="eastAsia" w:ascii="仿宋_GB2312" w:eastAsia="仿宋_GB2312"/>
                <w:kern w:val="2"/>
                <w:u w:color="000000"/>
              </w:rPr>
              <w:t>采购方支付合同款90%，剩余10%作为质保金，终验收通过日期满12个月无质量问题后，支付质保金。</w:t>
            </w:r>
            <w:r>
              <w:rPr>
                <w:rFonts w:hint="eastAsia" w:ascii="仿宋_GB2312" w:eastAsia="仿宋_GB2312"/>
                <w:kern w:val="2"/>
                <w:u w:color="000000"/>
                <w:lang w:val="zh-TW"/>
              </w:rPr>
              <w:t>采购方收到发票后以半年期商业承兑汇票（包括银行承兑汇票和商业承兑汇票）结算。</w:t>
            </w:r>
          </w:p>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7.投标报价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1、</w:t>
            </w:r>
            <w:r>
              <w:rPr>
                <w:rFonts w:hint="eastAsia" w:ascii="宋体" w:hAnsi="Courier New" w:eastAsiaTheme="minorEastAsia" w:cstheme="minorBidi"/>
                <w:bCs/>
                <w:kern w:val="2"/>
                <w:sz w:val="21"/>
                <w:szCs w:val="22"/>
                <w:lang w:val="zh-TW" w:eastAsia="zh-CN" w:bidi="ar-SA"/>
              </w:rPr>
              <w:t>经与采购方或其指派的答疑人员充分沟通确认基础上，由供应商在满足采购方所提出的、与本项目有关的所有费用；投标单位报价必须涵盖所有类目，否则为无效投标。</w:t>
            </w:r>
            <w:r>
              <w:rPr>
                <w:rFonts w:hint="eastAsia" w:ascii="宋体" w:hAnsi="Courier New" w:eastAsiaTheme="minorEastAsia" w:cstheme="minorBidi"/>
                <w:bCs/>
                <w:kern w:val="2"/>
                <w:sz w:val="21"/>
                <w:szCs w:val="22"/>
                <w:lang w:val="en-US" w:eastAsia="zh-CN" w:bidi="ar-SA"/>
              </w:rPr>
              <w:t xml:space="preserve"> </w:t>
            </w: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2、</w:t>
            </w:r>
            <w:r>
              <w:rPr>
                <w:rFonts w:hint="eastAsia" w:ascii="宋体" w:hAnsi="Courier New" w:eastAsiaTheme="minorEastAsia" w:cstheme="minorBidi"/>
                <w:bCs/>
                <w:kern w:val="2"/>
                <w:sz w:val="21"/>
                <w:szCs w:val="22"/>
                <w:lang w:val="zh-TW" w:eastAsia="zh-CN" w:bidi="ar-SA"/>
              </w:rPr>
              <w:t>合同期内供应商应提供素材拍摄及制作全过程材料，版权归中国重汽集团济南汽车部件有限公司所有。并承诺对涉及中国重汽集团及中国重汽集团济南汽车部件有限公司产品的所有素材内容保密，因供应商（中标人）蓄意或失误导致采购方损失的，按实际损失赔偿。</w:t>
            </w: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3、</w:t>
            </w:r>
            <w:r>
              <w:rPr>
                <w:rFonts w:hint="eastAsia" w:ascii="宋体" w:hAnsi="Courier New" w:eastAsiaTheme="minorEastAsia" w:cstheme="minorBidi"/>
                <w:bCs/>
                <w:kern w:val="2"/>
                <w:sz w:val="21"/>
                <w:szCs w:val="22"/>
                <w:lang w:val="zh-TW" w:eastAsia="zh-CN" w:bidi="ar-SA"/>
              </w:rPr>
              <w:t>税价应注明税率</w:t>
            </w:r>
            <w:r>
              <w:rPr>
                <w:rFonts w:hint="eastAsia" w:ascii="宋体" w:hAnsi="Courier New" w:eastAsiaTheme="minorEastAsia" w:cstheme="minorBidi"/>
                <w:bCs/>
                <w:kern w:val="2"/>
                <w:sz w:val="21"/>
                <w:szCs w:val="22"/>
                <w:lang w:val="en-US" w:eastAsia="zh-CN" w:bidi="ar-SA"/>
              </w:rPr>
              <w:t>，</w:t>
            </w:r>
            <w:r>
              <w:rPr>
                <w:rFonts w:hint="eastAsia" w:ascii="宋体" w:hAnsi="Courier New" w:eastAsiaTheme="minorEastAsia" w:cstheme="minorBidi"/>
                <w:bCs/>
                <w:kern w:val="2"/>
                <w:sz w:val="21"/>
                <w:szCs w:val="22"/>
                <w:lang w:val="zh-TW" w:eastAsia="zh-CN" w:bidi="ar-SA"/>
              </w:rPr>
              <w:t>若相关税率发生变化时，应在不含税报价基础上，对相关税费进行相应调整。</w:t>
            </w:r>
          </w:p>
          <w:p>
            <w:pPr>
              <w:pStyle w:val="21"/>
              <w:ind w:firstLine="480" w:firstLineChars="200"/>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hint="default"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8.中标人瑕疵滞后发现的处理原则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21"/>
              <w:spacing w:line="360" w:lineRule="auto"/>
              <w:ind w:firstLine="420" w:firstLineChars="200"/>
              <w:rPr>
                <w:bCs/>
              </w:rPr>
            </w:pPr>
            <w:r>
              <w:rPr>
                <w:rFonts w:ascii="Arial" w:hAnsi="Arial" w:cs="Arial"/>
                <w:color w:val="333333"/>
                <w:szCs w:val="21"/>
                <w:shd w:val="clear" w:color="auto" w:fill="FFFFFF"/>
              </w:rPr>
              <w:t>无</w:t>
            </w:r>
            <w:r>
              <w:rPr>
                <w:bCs/>
              </w:rPr>
              <w:t>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4"/>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5"/>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5"/>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见</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highlight w:val="yellow"/>
          <w:lang w:val="en-US" w:eastAsia="zh-CN"/>
        </w:rPr>
        <w:t>见</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w:t>
      </w:r>
      <w:r>
        <w:rPr>
          <w:rFonts w:hint="eastAsia" w:ascii="宋体" w:hAnsi="宋体" w:eastAsia="宋体" w:cs="宋体"/>
          <w:color w:val="000000"/>
          <w:sz w:val="24"/>
          <w:szCs w:val="24"/>
          <w:lang w:val="en-US" w:eastAsia="zh-CN"/>
        </w:rPr>
        <w:t>编制要求准备材料</w:t>
      </w:r>
      <w:r>
        <w:rPr>
          <w:rFonts w:hint="eastAsia" w:ascii="宋体" w:hAnsi="宋体" w:eastAsia="宋体" w:cs="宋体"/>
          <w:color w:val="000000"/>
          <w:sz w:val="24"/>
          <w:szCs w:val="24"/>
        </w:rPr>
        <w:t>，资质审查通过即为报名成功，公示期间请尽快报名。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6"/>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val="en-US" w:eastAsia="zh-CN"/>
        </w:rPr>
        <w:t>单一来源采购</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pStyle w:val="21"/>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w:t>
      </w:r>
    </w:p>
    <w:p>
      <w:pPr>
        <w:pStyle w:val="21"/>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通知后3个工作日内）到招标单位对《中标人推荐表》进行签字确认并签订合同，如果中标人接到《中标通知书》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21"/>
        <w:spacing w:line="360" w:lineRule="auto"/>
        <w:ind w:firstLine="420" w:firstLineChars="200"/>
        <w:rPr>
          <w:rFonts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21"/>
        <w:spacing w:line="360" w:lineRule="auto"/>
        <w:ind w:firstLine="420" w:firstLineChars="200"/>
        <w:rPr>
          <w:rFonts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pStyle w:val="21"/>
        <w:spacing w:line="360" w:lineRule="auto"/>
        <w:ind w:firstLine="420" w:firstLineChars="200"/>
        <w:rPr>
          <w:rFonts w:hint="eastAsia" w:eastAsiaTheme="minorEastAsia"/>
          <w:lang w:eastAsia="zh-CN"/>
        </w:rPr>
      </w:pPr>
      <w:r>
        <w:rPr>
          <w:rFonts w:hint="eastAsia"/>
        </w:rPr>
        <w:t>出现下列情形之一，招标人有权否决所有投标人的投标，并终止招标</w:t>
      </w:r>
      <w:r>
        <w:rPr>
          <w:rFonts w:hint="eastAsia"/>
          <w:lang w:eastAsia="zh-CN"/>
        </w:rPr>
        <w:t>：</w:t>
      </w:r>
    </w:p>
    <w:p>
      <w:pPr>
        <w:pStyle w:val="21"/>
        <w:spacing w:line="360" w:lineRule="auto"/>
        <w:ind w:firstLine="420" w:firstLineChars="200"/>
      </w:pPr>
      <w:r>
        <w:rPr>
          <w:rFonts w:hint="eastAsia"/>
        </w:rPr>
        <w:t>1</w:t>
      </w:r>
      <w:r>
        <w:t>.</w:t>
      </w:r>
      <w:r>
        <w:rPr>
          <w:rFonts w:hint="eastAsia"/>
        </w:rPr>
        <w:t>符合条件的投标人或者对招标文件做实质响应的投标人不足三家的。</w:t>
      </w:r>
    </w:p>
    <w:p>
      <w:pPr>
        <w:pStyle w:val="21"/>
        <w:spacing w:line="360" w:lineRule="auto"/>
        <w:ind w:firstLine="420" w:firstLineChars="200"/>
      </w:pPr>
      <w:r>
        <w:rPr>
          <w:rFonts w:hint="eastAsia"/>
        </w:rPr>
        <w:t>2</w:t>
      </w:r>
      <w:r>
        <w:t>.</w:t>
      </w:r>
      <w:r>
        <w:rPr>
          <w:rFonts w:hint="eastAsia"/>
        </w:rPr>
        <w:t>出现影响采购公正的违法、违规行为的。</w:t>
      </w:r>
    </w:p>
    <w:p>
      <w:pPr>
        <w:pStyle w:val="21"/>
        <w:spacing w:line="360" w:lineRule="auto"/>
        <w:ind w:firstLine="420" w:firstLineChars="200"/>
      </w:pPr>
      <w:r>
        <w:rPr>
          <w:rFonts w:hint="eastAsia"/>
        </w:rPr>
        <w:t>3</w:t>
      </w:r>
      <w:r>
        <w:t>.</w:t>
      </w:r>
      <w:r>
        <w:rPr>
          <w:rFonts w:hint="eastAsia"/>
        </w:rPr>
        <w:t>经评标委员会评审，所有投标均不符合招标方要求的。</w:t>
      </w:r>
    </w:p>
    <w:p>
      <w:pPr>
        <w:pStyle w:val="21"/>
        <w:spacing w:line="360" w:lineRule="auto"/>
        <w:ind w:firstLine="420" w:firstLineChars="200"/>
      </w:pPr>
      <w:r>
        <w:rPr>
          <w:rFonts w:hint="eastAsia"/>
        </w:rPr>
        <w:t>4</w:t>
      </w:r>
      <w:r>
        <w:t>.</w:t>
      </w:r>
      <w:r>
        <w:rPr>
          <w:rFonts w:hint="eastAsia"/>
        </w:rPr>
        <w:t>因重大变故，采购任务取消的。</w:t>
      </w:r>
    </w:p>
    <w:p>
      <w:pPr>
        <w:pStyle w:val="21"/>
        <w:spacing w:line="360" w:lineRule="auto"/>
        <w:ind w:firstLine="420" w:firstLineChars="200"/>
        <w:rPr>
          <w:rFonts w:hint="eastAsia"/>
        </w:rPr>
      </w:pPr>
      <w:r>
        <w:rPr>
          <w:rFonts w:hint="eastAsia"/>
        </w:rPr>
        <w:t>5.招标人认为其他应终止招标的情形。</w:t>
      </w:r>
    </w:p>
    <w:p>
      <w:pPr>
        <w:pStyle w:val="21"/>
        <w:spacing w:line="360" w:lineRule="auto"/>
        <w:ind w:firstLine="420" w:firstLineChars="200"/>
      </w:pPr>
      <w:r>
        <w:rPr>
          <w:rFonts w:hint="eastAsia"/>
        </w:rPr>
        <w:t>投标人有下列情形之一，其投标将被视为废标，招标人将严格按照《中华人民共</w:t>
      </w:r>
      <w:r>
        <w:rPr>
          <w:rFonts w:hint="eastAsia"/>
        </w:rPr>
        <w:cr/>
      </w:r>
      <w:r>
        <w:rPr>
          <w:rFonts w:hint="eastAsia"/>
        </w:rPr>
        <w:t>和国招标投标法》及相关法律、法规及规章制度的规定行使权利。投标人给招标人造</w:t>
      </w:r>
      <w:r>
        <w:rPr>
          <w:rFonts w:hint="eastAsia"/>
        </w:rPr>
        <w:cr/>
      </w:r>
      <w:r>
        <w:rPr>
          <w:rFonts w:hint="eastAsia"/>
        </w:rPr>
        <w:t>成损失的，招标人有索赔的权利，投标人应予以赔偿。</w:t>
      </w:r>
    </w:p>
    <w:p>
      <w:pPr>
        <w:pStyle w:val="21"/>
        <w:spacing w:line="360" w:lineRule="auto"/>
        <w:ind w:firstLine="420" w:firstLineChars="200"/>
      </w:pPr>
      <w:r>
        <w:rPr>
          <w:rFonts w:hint="eastAsia"/>
        </w:rPr>
        <w:t>1</w:t>
      </w:r>
      <w:r>
        <w:t>.</w:t>
      </w:r>
      <w:r>
        <w:rPr>
          <w:rFonts w:hint="eastAsia"/>
        </w:rPr>
        <w:t>投标人提供的有关资格、资质证明文件不合格、不真实或提供虚假投标材料。</w:t>
      </w:r>
    </w:p>
    <w:p>
      <w:pPr>
        <w:pStyle w:val="21"/>
        <w:spacing w:line="360" w:lineRule="auto"/>
        <w:ind w:firstLine="420" w:firstLineChars="200"/>
      </w:pPr>
      <w:r>
        <w:rPr>
          <w:rFonts w:hint="eastAsia"/>
        </w:rPr>
        <w:t>2</w:t>
      </w:r>
      <w:r>
        <w:t>.</w:t>
      </w:r>
      <w:r>
        <w:rPr>
          <w:rFonts w:hint="eastAsia"/>
        </w:rPr>
        <w:t>投标人在报价有效期内撤回投标。</w:t>
      </w:r>
    </w:p>
    <w:p>
      <w:pPr>
        <w:pStyle w:val="21"/>
        <w:spacing w:line="360" w:lineRule="auto"/>
        <w:ind w:firstLine="420" w:firstLineChars="200"/>
      </w:pPr>
      <w:r>
        <w:rPr>
          <w:rFonts w:hint="eastAsia"/>
        </w:rPr>
        <w:t>3</w:t>
      </w:r>
      <w:r>
        <w:t>.</w:t>
      </w:r>
      <w:r>
        <w:rPr>
          <w:rFonts w:hint="eastAsia"/>
        </w:rPr>
        <w:t>在整个评标过程中，投标人有企图影响评标结果公正性的任何活动；</w:t>
      </w:r>
    </w:p>
    <w:p>
      <w:pPr>
        <w:pStyle w:val="21"/>
        <w:spacing w:line="360" w:lineRule="auto"/>
        <w:ind w:firstLine="420" w:firstLineChars="200"/>
      </w:pPr>
      <w:r>
        <w:rPr>
          <w:rFonts w:hint="eastAsia"/>
        </w:rPr>
        <w:t>4投标人以任何方式诋毁其他投标人。</w:t>
      </w:r>
    </w:p>
    <w:p>
      <w:pPr>
        <w:pStyle w:val="21"/>
        <w:spacing w:line="360" w:lineRule="auto"/>
        <w:ind w:firstLine="420" w:firstLineChars="200"/>
      </w:pPr>
      <w:r>
        <w:rPr>
          <w:rFonts w:hint="eastAsia"/>
        </w:rPr>
        <w:t>5</w:t>
      </w:r>
      <w:r>
        <w:t>.</w:t>
      </w:r>
      <w:r>
        <w:rPr>
          <w:rFonts w:hint="eastAsia"/>
        </w:rPr>
        <w:t>投标人串通投标。</w:t>
      </w:r>
    </w:p>
    <w:p>
      <w:pPr>
        <w:pStyle w:val="21"/>
        <w:spacing w:line="360" w:lineRule="auto"/>
        <w:ind w:firstLine="420" w:firstLineChars="200"/>
      </w:pPr>
      <w:r>
        <w:rPr>
          <w:rFonts w:hint="eastAsia"/>
        </w:rPr>
        <w:t>6</w:t>
      </w:r>
      <w:r>
        <w:t>.</w:t>
      </w:r>
      <w:r>
        <w:rPr>
          <w:rFonts w:hint="eastAsia"/>
        </w:rPr>
        <w:t>以他人名义投标或者以其他方式弄虚作假，骗取中标的。</w:t>
      </w:r>
    </w:p>
    <w:p>
      <w:pPr>
        <w:pStyle w:val="21"/>
        <w:spacing w:line="360" w:lineRule="auto"/>
        <w:ind w:firstLine="420" w:firstLineChars="200"/>
      </w:pPr>
      <w:r>
        <w:rPr>
          <w:rFonts w:hint="eastAsia"/>
        </w:rPr>
        <w:t>7</w:t>
      </w:r>
      <w:r>
        <w:t>.</w:t>
      </w:r>
      <w:r>
        <w:rPr>
          <w:rFonts w:hint="eastAsia"/>
        </w:rPr>
        <w:t>中标人不按规定签订合同。</w:t>
      </w:r>
    </w:p>
    <w:p>
      <w:pPr>
        <w:pStyle w:val="21"/>
        <w:spacing w:line="360" w:lineRule="auto"/>
        <w:ind w:firstLine="420" w:firstLineChars="200"/>
      </w:pPr>
      <w:r>
        <w:rPr>
          <w:rFonts w:hint="eastAsia"/>
        </w:rPr>
        <w:t>8</w:t>
      </w:r>
      <w:r>
        <w:t>.</w:t>
      </w:r>
      <w:r>
        <w:rPr>
          <w:rFonts w:hint="eastAsia"/>
        </w:rPr>
        <w:t>投标人负责人为同一人或者存在控股、管理关系的不同单位；</w:t>
      </w:r>
    </w:p>
    <w:p>
      <w:pPr>
        <w:pStyle w:val="21"/>
        <w:spacing w:line="360" w:lineRule="auto"/>
        <w:ind w:firstLine="420" w:firstLineChars="200"/>
      </w:pPr>
      <w:r>
        <w:rPr>
          <w:rFonts w:hint="eastAsia"/>
        </w:rPr>
        <w:t>9投标人被举报、检举，并经招标方查实无误的。</w:t>
      </w:r>
    </w:p>
    <w:p>
      <w:pPr>
        <w:pStyle w:val="21"/>
        <w:numPr>
          <w:ilvl w:val="0"/>
          <w:numId w:val="7"/>
        </w:numPr>
        <w:spacing w:line="360" w:lineRule="auto"/>
        <w:ind w:firstLine="420" w:firstLineChars="200"/>
        <w:rPr>
          <w:rFonts w:hint="eastAsia"/>
        </w:rPr>
      </w:pPr>
      <w:r>
        <w:rPr>
          <w:rFonts w:hint="eastAsia"/>
        </w:rPr>
        <w:t>法律、法规规定的其他情况。</w:t>
      </w:r>
    </w:p>
    <w:p>
      <w:pPr>
        <w:pStyle w:val="21"/>
        <w:numPr>
          <w:ilvl w:val="0"/>
          <w:numId w:val="0"/>
        </w:numPr>
        <w:spacing w:line="360" w:lineRule="auto"/>
        <w:rPr>
          <w:rFonts w:hint="eastAsia"/>
        </w:rPr>
      </w:pPr>
    </w:p>
    <w:p>
      <w:pPr>
        <w:pStyle w:val="21"/>
        <w:numPr>
          <w:ilvl w:val="0"/>
          <w:numId w:val="8"/>
        </w:numPr>
        <w:spacing w:line="360" w:lineRule="auto"/>
        <w:rPr>
          <w:rFonts w:hint="eastAsia" w:hAnsi="宋体" w:eastAsia="宋体" w:cs="宋体"/>
          <w:b/>
          <w:bCs/>
          <w:kern w:val="2"/>
          <w:sz w:val="24"/>
          <w:szCs w:val="24"/>
          <w:lang w:val="en-US" w:eastAsia="zh-CN" w:bidi="ar-SA"/>
        </w:rPr>
      </w:pPr>
      <w:r>
        <w:rPr>
          <w:rFonts w:hint="eastAsia" w:hAnsi="宋体" w:eastAsia="宋体" w:cs="宋体"/>
          <w:b/>
          <w:bCs/>
          <w:kern w:val="2"/>
          <w:sz w:val="24"/>
          <w:szCs w:val="24"/>
          <w:lang w:val="en-US" w:eastAsia="zh-CN" w:bidi="ar-SA"/>
        </w:rPr>
        <w:t>验收</w:t>
      </w:r>
    </w:p>
    <w:p>
      <w:pPr>
        <w:spacing w:line="360" w:lineRule="auto"/>
        <w:ind w:firstLine="420" w:firstLineChars="200"/>
        <w:rPr>
          <w:rFonts w:hint="default" w:hAnsi="宋体" w:eastAsia="宋体" w:cs="宋体"/>
          <w:b/>
          <w:bCs/>
          <w:kern w:val="2"/>
          <w:sz w:val="24"/>
          <w:szCs w:val="24"/>
          <w:lang w:val="en-US" w:eastAsia="zh-CN" w:bidi="ar-SA"/>
        </w:rPr>
      </w:pPr>
      <w:r>
        <w:rPr>
          <w:rFonts w:hint="eastAsia"/>
        </w:rPr>
        <w:t>中标人不得以任何非正当理由拒绝该项目执行，招标人有权根据项目执行情况</w:t>
      </w:r>
      <w:r>
        <w:rPr>
          <w:rFonts w:hint="eastAsia" w:ascii="宋体" w:hAnsi="Courier New"/>
          <w:szCs w:val="22"/>
        </w:rPr>
        <w:t>、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pStyle w:val="2"/>
        <w:ind w:left="0" w:leftChars="0" w:firstLine="0" w:firstLineChars="0"/>
        <w:rPr>
          <w:rFonts w:hint="eastAsia"/>
        </w:rPr>
      </w:pPr>
    </w:p>
    <w:p>
      <w:pPr>
        <w:spacing w:line="360" w:lineRule="auto"/>
        <w:ind w:right="2"/>
        <w:outlineLvl w:val="1"/>
        <w:rPr>
          <w:rFonts w:hint="eastAsia" w:ascii="宋体" w:hAnsi="宋体" w:eastAsia="宋体" w:cs="宋体"/>
          <w:b/>
          <w:color w:val="000000"/>
          <w:sz w:val="24"/>
          <w:szCs w:val="24"/>
        </w:rPr>
      </w:pPr>
      <w:r>
        <w:rPr>
          <w:rFonts w:hint="eastAsia" w:ascii="宋体" w:hAnsi="宋体" w:eastAsia="宋体" w:cs="宋体"/>
          <w:b/>
          <w:bCs/>
          <w:sz w:val="24"/>
          <w:szCs w:val="24"/>
          <w:lang w:val="en-US" w:eastAsia="zh-CN"/>
        </w:rPr>
        <w:t>十</w:t>
      </w:r>
      <w:r>
        <w:rPr>
          <w:rFonts w:hint="eastAsia" w:ascii="宋体" w:hAnsi="宋体" w:eastAsia="宋体" w:cs="宋体"/>
          <w:b/>
          <w:bCs/>
          <w:sz w:val="24"/>
          <w:szCs w:val="24"/>
        </w:rPr>
        <w:t>、本次招标最终解释权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bookmarkEnd w:id="0"/>
    <w:bookmarkEnd w:id="1"/>
    <w:p>
      <w:pPr>
        <w:spacing w:line="360" w:lineRule="auto"/>
        <w:jc w:val="both"/>
        <w:outlineLvl w:val="0"/>
        <w:rPr>
          <w:b/>
          <w:sz w:val="32"/>
          <w:szCs w:val="32"/>
        </w:rPr>
      </w:pPr>
      <w:bookmarkStart w:id="6" w:name="_Toc28859"/>
      <w:r>
        <w:rPr>
          <w:rFonts w:hint="eastAsia"/>
          <w:b/>
          <w:sz w:val="40"/>
          <w:szCs w:val="32"/>
          <w:lang w:val="en-US" w:eastAsia="zh-CN"/>
        </w:rPr>
        <w:t xml:space="preserve">第三部分 </w:t>
      </w:r>
      <w:r>
        <w:rPr>
          <w:rFonts w:hint="eastAsia"/>
          <w:b/>
          <w:sz w:val="40"/>
          <w:szCs w:val="32"/>
        </w:rPr>
        <w:t>技术</w:t>
      </w:r>
      <w:r>
        <w:rPr>
          <w:rFonts w:hint="eastAsia"/>
          <w:b/>
          <w:sz w:val="40"/>
          <w:szCs w:val="32"/>
          <w:lang w:val="en-US" w:eastAsia="zh-CN"/>
        </w:rPr>
        <w:t>标文件</w:t>
      </w:r>
    </w:p>
    <w:p>
      <w:pPr>
        <w:overflowPunct w:val="0"/>
        <w:topLinePunct/>
        <w:spacing w:line="560" w:lineRule="exact"/>
        <w:jc w:val="both"/>
        <w:outlineLvl w:val="1"/>
        <w:rPr>
          <w:rFonts w:hint="eastAsia" w:ascii="黑体" w:eastAsia="黑体"/>
          <w:sz w:val="28"/>
          <w:szCs w:val="28"/>
          <w:lang w:val="en-US" w:eastAsia="zh-CN"/>
        </w:rPr>
      </w:pPr>
      <w:r>
        <w:rPr>
          <w:rFonts w:hint="eastAsia" w:ascii="黑体" w:eastAsia="黑体"/>
          <w:sz w:val="28"/>
          <w:szCs w:val="28"/>
          <w:lang w:val="en-US" w:eastAsia="zh-CN"/>
        </w:rPr>
        <w:t>一、招标项目</w:t>
      </w:r>
    </w:p>
    <w:p>
      <w:pPr>
        <w:pStyle w:val="149"/>
        <w:spacing w:line="288" w:lineRule="auto"/>
        <w:jc w:val="both"/>
        <w:outlineLvl w:val="1"/>
        <w:rPr>
          <w:rFonts w:hint="default" w:ascii="Times New Roman" w:hAnsi="Times New Roman" w:eastAsia="Adobe 仿宋 Std R"/>
          <w:kern w:val="2"/>
          <w:sz w:val="24"/>
          <w:szCs w:val="24"/>
          <w:u w:color="000000"/>
          <w:lang w:eastAsia="zh-CN"/>
        </w:rPr>
      </w:pPr>
      <w:r>
        <w:rPr>
          <w:rFonts w:ascii="Times New Roman" w:hAnsi="Times New Roman" w:eastAsia="Adobe 仿宋 Std R"/>
          <w:kern w:val="2"/>
          <w:sz w:val="24"/>
          <w:szCs w:val="24"/>
          <w:u w:color="000000"/>
          <w:lang w:eastAsia="zh-CN"/>
        </w:rPr>
        <w:t>制作要求</w:t>
      </w:r>
    </w:p>
    <w:p>
      <w:pPr>
        <w:pStyle w:val="150"/>
        <w:spacing w:line="288" w:lineRule="auto"/>
        <w:rPr>
          <w:rFonts w:eastAsia="Adobe 仿宋 Std R"/>
          <w:sz w:val="24"/>
          <w:szCs w:val="24"/>
          <w:lang w:val="zh-TW"/>
        </w:rPr>
      </w:pPr>
      <w:bookmarkStart w:id="7" w:name="OLE_LINK2"/>
      <w:bookmarkStart w:id="8" w:name="OLE_LINK4"/>
      <w:r>
        <w:rPr>
          <w:rFonts w:eastAsia="PMingLiU"/>
          <w:sz w:val="24"/>
          <w:szCs w:val="24"/>
          <w:lang w:val="zh-TW" w:eastAsia="zh-TW"/>
        </w:rPr>
        <w:t>1</w:t>
      </w:r>
      <w:r>
        <w:rPr>
          <w:rFonts w:hint="eastAsia" w:eastAsia="Adobe 仿宋 Std R"/>
          <w:sz w:val="24"/>
          <w:szCs w:val="24"/>
          <w:lang w:val="zh-TW"/>
        </w:rPr>
        <w:t>.呈现公司产品的特点及技术优势，便于来宾直观深入的了解</w:t>
      </w:r>
      <w:r>
        <w:rPr>
          <w:rFonts w:hint="eastAsia" w:eastAsia="Adobe 仿宋 Std R"/>
          <w:sz w:val="24"/>
          <w:szCs w:val="24"/>
        </w:rPr>
        <w:t>公司的产品</w:t>
      </w:r>
      <w:r>
        <w:rPr>
          <w:rFonts w:hint="eastAsia" w:eastAsia="Adobe 仿宋 Std R"/>
          <w:sz w:val="24"/>
          <w:szCs w:val="24"/>
          <w:lang w:val="zh-TW"/>
        </w:rPr>
        <w:t>；</w:t>
      </w:r>
    </w:p>
    <w:p>
      <w:pPr>
        <w:pStyle w:val="150"/>
        <w:spacing w:line="288" w:lineRule="auto"/>
        <w:rPr>
          <w:rFonts w:eastAsia="Adobe 仿宋 Std R"/>
          <w:sz w:val="24"/>
          <w:szCs w:val="24"/>
          <w:lang w:val="zh-TW"/>
        </w:rPr>
      </w:pPr>
      <w:r>
        <w:rPr>
          <w:rFonts w:eastAsia="PMingLiU"/>
          <w:sz w:val="24"/>
          <w:szCs w:val="24"/>
          <w:lang w:val="zh-TW" w:eastAsia="zh-TW"/>
        </w:rPr>
        <w:t>2</w:t>
      </w:r>
      <w:r>
        <w:rPr>
          <w:rFonts w:hint="eastAsia" w:eastAsia="Adobe 仿宋 Std R"/>
          <w:sz w:val="24"/>
          <w:szCs w:val="24"/>
          <w:lang w:val="zh-TW"/>
        </w:rPr>
        <w:t>.符合集团宣传标准，体现高级感、科技感；</w:t>
      </w:r>
    </w:p>
    <w:p>
      <w:pPr>
        <w:pStyle w:val="150"/>
        <w:spacing w:line="288" w:lineRule="auto"/>
        <w:rPr>
          <w:rFonts w:eastAsia="Adobe 仿宋 Std R"/>
          <w:sz w:val="24"/>
          <w:szCs w:val="24"/>
          <w:lang w:val="zh-TW"/>
        </w:rPr>
      </w:pPr>
      <w:r>
        <w:rPr>
          <w:rFonts w:eastAsia="PMingLiU"/>
          <w:sz w:val="24"/>
          <w:szCs w:val="24"/>
          <w:lang w:val="zh-TW" w:eastAsia="zh-TW"/>
        </w:rPr>
        <w:t>3</w:t>
      </w:r>
      <w:r>
        <w:rPr>
          <w:rFonts w:hint="eastAsia" w:eastAsia="Adobe 仿宋 Std R"/>
          <w:sz w:val="24"/>
          <w:szCs w:val="24"/>
          <w:lang w:val="zh-TW"/>
        </w:rPr>
        <w:t>.所用物料要求安全、环保、稳固；</w:t>
      </w:r>
    </w:p>
    <w:p>
      <w:pPr>
        <w:pStyle w:val="150"/>
        <w:spacing w:line="288" w:lineRule="auto"/>
        <w:rPr>
          <w:rFonts w:eastAsia="Adobe 仿宋 Std R"/>
          <w:sz w:val="24"/>
          <w:szCs w:val="24"/>
          <w:lang w:val="zh-TW"/>
        </w:rPr>
      </w:pPr>
      <w:r>
        <w:rPr>
          <w:rFonts w:eastAsia="Adobe 仿宋 Std R"/>
          <w:sz w:val="24"/>
          <w:szCs w:val="24"/>
        </w:rPr>
        <w:t>4</w:t>
      </w:r>
      <w:r>
        <w:rPr>
          <w:rFonts w:hint="eastAsia" w:eastAsia="Adobe 仿宋 Std R"/>
          <w:sz w:val="24"/>
          <w:szCs w:val="24"/>
        </w:rPr>
        <w:t>.</w:t>
      </w:r>
      <w:r>
        <w:rPr>
          <w:rFonts w:hint="eastAsia" w:eastAsia="Adobe 仿宋 Std R"/>
          <w:sz w:val="24"/>
          <w:szCs w:val="24"/>
          <w:lang w:val="zh-TW"/>
        </w:rPr>
        <w:t>其他</w:t>
      </w:r>
    </w:p>
    <w:p>
      <w:pPr>
        <w:pStyle w:val="150"/>
        <w:spacing w:line="288" w:lineRule="auto"/>
        <w:ind w:firstLine="480" w:firstLineChars="200"/>
        <w:rPr>
          <w:rFonts w:eastAsia="Adobe 仿宋 Std R"/>
          <w:sz w:val="24"/>
          <w:szCs w:val="24"/>
          <w:lang w:val="zh-TW"/>
        </w:rPr>
      </w:pPr>
      <w:r>
        <w:rPr>
          <w:rFonts w:hint="eastAsia" w:eastAsia="Adobe 仿宋 Std R"/>
          <w:sz w:val="24"/>
          <w:szCs w:val="24"/>
          <w:lang w:val="zh-TW"/>
        </w:rPr>
        <w:t>展台展架要求质保</w:t>
      </w:r>
      <w:r>
        <w:rPr>
          <w:rFonts w:hint="eastAsia" w:eastAsia="Adobe 仿宋 Std R"/>
          <w:sz w:val="24"/>
          <w:szCs w:val="24"/>
        </w:rPr>
        <w:t>1</w:t>
      </w:r>
      <w:r>
        <w:rPr>
          <w:rFonts w:hint="eastAsia" w:eastAsia="Adobe 仿宋 Std R"/>
          <w:sz w:val="24"/>
          <w:szCs w:val="24"/>
          <w:lang w:val="zh-TW"/>
        </w:rPr>
        <w:t>年以上，保证产品耐久性</w:t>
      </w:r>
      <w:r>
        <w:rPr>
          <w:rFonts w:eastAsia="Adobe 仿宋 Std R"/>
          <w:sz w:val="24"/>
          <w:szCs w:val="24"/>
          <w:lang w:val="zh-TW"/>
        </w:rPr>
        <w:t>。质保期内投标供应商应保证响应时间和解决方案。</w:t>
      </w:r>
      <w:bookmarkEnd w:id="7"/>
      <w:bookmarkEnd w:id="8"/>
    </w:p>
    <w:p>
      <w:pPr>
        <w:pStyle w:val="2"/>
        <w:rPr>
          <w:rFonts w:hint="default"/>
          <w:lang w:val="en-US" w:eastAsia="zh-CN"/>
        </w:rPr>
      </w:pPr>
    </w:p>
    <w:p>
      <w:pPr>
        <w:numPr>
          <w:ilvl w:val="0"/>
          <w:numId w:val="9"/>
        </w:numPr>
        <w:overflowPunct w:val="0"/>
        <w:topLinePunct/>
        <w:spacing w:line="560" w:lineRule="exact"/>
        <w:jc w:val="both"/>
        <w:outlineLvl w:val="1"/>
        <w:rPr>
          <w:rFonts w:hint="eastAsia" w:ascii="黑体" w:eastAsia="黑体"/>
          <w:sz w:val="28"/>
          <w:szCs w:val="28"/>
          <w:lang w:val="en-US" w:eastAsia="zh-CN"/>
        </w:rPr>
      </w:pPr>
      <w:r>
        <w:rPr>
          <w:rFonts w:hint="eastAsia" w:ascii="黑体" w:eastAsia="黑体"/>
          <w:sz w:val="28"/>
          <w:szCs w:val="28"/>
          <w:lang w:val="en-US" w:eastAsia="zh-CN"/>
        </w:rPr>
        <w:t>技术规范与评分标准</w:t>
      </w:r>
    </w:p>
    <w:p>
      <w:pPr>
        <w:pStyle w:val="2"/>
        <w:widowControl/>
        <w:numPr>
          <w:ilvl w:val="0"/>
          <w:numId w:val="0"/>
        </w:numPr>
        <w:jc w:val="left"/>
        <w:rPr>
          <w:rFonts w:hint="default" w:ascii="宋体" w:hAnsi="Courier New" w:eastAsiaTheme="minorEastAsia" w:cstheme="minorBidi"/>
          <w:bCs/>
          <w:kern w:val="2"/>
          <w:sz w:val="21"/>
          <w:szCs w:val="22"/>
          <w:lang w:val="en-US" w:eastAsia="zh-CN" w:bidi="ar-SA"/>
        </w:rPr>
      </w:pP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1.</w:t>
      </w:r>
      <w:r>
        <w:rPr>
          <w:rFonts w:hint="eastAsia" w:ascii="宋体" w:hAnsi="Courier New" w:eastAsiaTheme="minorEastAsia" w:cstheme="minorBidi"/>
          <w:bCs/>
          <w:kern w:val="2"/>
          <w:sz w:val="21"/>
          <w:szCs w:val="22"/>
          <w:lang w:val="zh-TW" w:eastAsia="zh-CN" w:bidi="ar-SA"/>
        </w:rPr>
        <w:t>采购方将坚持</w:t>
      </w:r>
      <w:r>
        <w:rPr>
          <w:rFonts w:hint="eastAsia" w:ascii="宋体" w:hAnsi="Courier New" w:eastAsiaTheme="minorEastAsia" w:cstheme="minorBidi"/>
          <w:bCs/>
          <w:kern w:val="2"/>
          <w:sz w:val="21"/>
          <w:szCs w:val="22"/>
          <w:lang w:val="en-US" w:eastAsia="zh-CN" w:bidi="ar-SA"/>
        </w:rPr>
        <w:t>“</w:t>
      </w:r>
      <w:r>
        <w:rPr>
          <w:rFonts w:hint="eastAsia" w:ascii="宋体" w:hAnsi="Courier New" w:eastAsiaTheme="minorEastAsia" w:cstheme="minorBidi"/>
          <w:bCs/>
          <w:kern w:val="2"/>
          <w:sz w:val="21"/>
          <w:szCs w:val="22"/>
          <w:lang w:val="zh-TW" w:eastAsia="zh-CN" w:bidi="ar-SA"/>
        </w:rPr>
        <w:t>公开、公平、公正</w:t>
      </w:r>
      <w:r>
        <w:rPr>
          <w:rFonts w:hint="eastAsia" w:ascii="宋体" w:hAnsi="Courier New" w:eastAsiaTheme="minorEastAsia" w:cstheme="minorBidi"/>
          <w:bCs/>
          <w:kern w:val="2"/>
          <w:sz w:val="21"/>
          <w:szCs w:val="22"/>
          <w:lang w:val="en-US" w:eastAsia="zh-CN" w:bidi="ar-SA"/>
        </w:rPr>
        <w:t>”</w:t>
      </w:r>
      <w:r>
        <w:rPr>
          <w:rFonts w:hint="eastAsia" w:ascii="宋体" w:hAnsi="Courier New" w:eastAsiaTheme="minorEastAsia" w:cstheme="minorBidi"/>
          <w:bCs/>
          <w:kern w:val="2"/>
          <w:sz w:val="21"/>
          <w:szCs w:val="22"/>
          <w:lang w:val="zh-TW" w:eastAsia="zh-CN" w:bidi="ar-SA"/>
        </w:rPr>
        <w:t>原则，严格按照国家法律法规及公司规章制度要求，设立专家评审小组进行招标评审。</w:t>
      </w: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2.</w:t>
      </w:r>
      <w:r>
        <w:rPr>
          <w:rFonts w:hint="eastAsia" w:ascii="宋体" w:hAnsi="Courier New" w:eastAsiaTheme="minorEastAsia" w:cstheme="minorBidi"/>
          <w:bCs/>
          <w:kern w:val="2"/>
          <w:sz w:val="21"/>
          <w:szCs w:val="22"/>
          <w:lang w:val="zh-TW" w:eastAsia="zh-CN" w:bidi="ar-SA"/>
        </w:rPr>
        <w:t>评审小组专家成员评标将根据投标方全方位服务综合能力进行现场打分评审，根据项目情况，采取分别评标模式，</w:t>
      </w:r>
      <w:r>
        <w:rPr>
          <w:rFonts w:hint="eastAsia" w:ascii="宋体" w:hAnsi="Courier New" w:eastAsiaTheme="minorEastAsia" w:cstheme="minorBidi"/>
          <w:bCs/>
          <w:kern w:val="2"/>
          <w:sz w:val="21"/>
          <w:szCs w:val="22"/>
          <w:lang w:val="en-US" w:eastAsia="zh-CN" w:bidi="ar-SA"/>
        </w:rPr>
        <w:t>技术标符合需求入围商务标，合理最低价中标。</w:t>
      </w: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en-US" w:eastAsia="zh-CN" w:bidi="ar-SA"/>
        </w:rPr>
        <w:t>3.</w:t>
      </w:r>
      <w:r>
        <w:rPr>
          <w:rFonts w:hint="eastAsia" w:ascii="宋体" w:hAnsi="Courier New" w:eastAsiaTheme="minorEastAsia" w:cstheme="minorBidi"/>
          <w:bCs/>
          <w:kern w:val="2"/>
          <w:sz w:val="21"/>
          <w:szCs w:val="22"/>
          <w:lang w:val="zh-TW" w:eastAsia="zh-CN" w:bidi="ar-SA"/>
        </w:rPr>
        <w:t>具体评分标准：</w:t>
      </w:r>
    </w:p>
    <w:p>
      <w:pPr>
        <w:widowControl w:val="0"/>
        <w:spacing w:line="288" w:lineRule="auto"/>
        <w:ind w:firstLine="440"/>
        <w:jc w:val="both"/>
        <w:rPr>
          <w:rFonts w:hint="eastAsia" w:ascii="宋体" w:hAnsi="Courier New" w:eastAsiaTheme="minorEastAsia" w:cstheme="minorBidi"/>
          <w:bCs/>
          <w:kern w:val="2"/>
          <w:sz w:val="21"/>
          <w:szCs w:val="22"/>
          <w:lang w:val="en-US" w:eastAsia="zh-CN" w:bidi="ar-SA"/>
        </w:rPr>
      </w:pPr>
      <w:r>
        <w:rPr>
          <w:rFonts w:hint="eastAsia" w:ascii="宋体" w:hAnsi="Courier New" w:eastAsiaTheme="minorEastAsia" w:cstheme="minorBidi"/>
          <w:bCs/>
          <w:kern w:val="2"/>
          <w:sz w:val="21"/>
          <w:szCs w:val="22"/>
          <w:lang w:val="zh-CN" w:eastAsia="zh-CN" w:bidi="ar-SA"/>
        </w:rPr>
        <w:t>商务</w:t>
      </w:r>
      <w:r>
        <w:rPr>
          <w:rFonts w:hint="eastAsia" w:ascii="宋体" w:hAnsi="Courier New" w:eastAsiaTheme="minorEastAsia" w:cstheme="minorBidi"/>
          <w:bCs/>
          <w:kern w:val="2"/>
          <w:sz w:val="21"/>
          <w:szCs w:val="22"/>
          <w:lang w:val="zh-TW" w:eastAsia="zh-CN" w:bidi="ar-SA"/>
        </w:rPr>
        <w:t>标：</w:t>
      </w:r>
      <w:r>
        <w:rPr>
          <w:rFonts w:hint="eastAsia" w:ascii="宋体" w:hAnsi="Courier New" w:eastAsiaTheme="minorEastAsia" w:cstheme="minorBidi"/>
          <w:bCs/>
          <w:kern w:val="2"/>
          <w:sz w:val="21"/>
          <w:szCs w:val="22"/>
          <w:lang w:val="en-US" w:eastAsia="zh-CN" w:bidi="ar-SA"/>
        </w:rPr>
        <w:t>本项目为多轮报价，合理最低价中标</w:t>
      </w:r>
      <w:r>
        <w:rPr>
          <w:rFonts w:hint="eastAsia" w:ascii="宋体" w:hAnsi="Courier New" w:eastAsiaTheme="minorEastAsia" w:cstheme="minorBidi"/>
          <w:bCs/>
          <w:kern w:val="2"/>
          <w:sz w:val="21"/>
          <w:szCs w:val="22"/>
          <w:lang w:val="zh-TW" w:eastAsia="zh-CN" w:bidi="ar-SA"/>
        </w:rPr>
        <w:t>。</w:t>
      </w:r>
    </w:p>
    <w:p>
      <w:pPr>
        <w:pStyle w:val="2"/>
        <w:widowControl/>
        <w:numPr>
          <w:ilvl w:val="0"/>
          <w:numId w:val="0"/>
        </w:numPr>
        <w:jc w:val="left"/>
        <w:rPr>
          <w:rFonts w:hint="default"/>
          <w:lang w:val="en-US" w:eastAsia="zh-CN"/>
        </w:rPr>
        <w:sectPr>
          <w:headerReference r:id="rId9" w:type="default"/>
          <w:footerReference r:id="rId10" w:type="even"/>
          <w:pgSz w:w="11907" w:h="16840"/>
          <w:pgMar w:top="1418" w:right="1474" w:bottom="1418" w:left="1474" w:header="851" w:footer="992" w:gutter="0"/>
          <w:cols w:space="720" w:num="1"/>
          <w:docGrid w:type="lines" w:linePitch="318" w:charSpace="0"/>
        </w:sectPr>
      </w:pPr>
    </w:p>
    <w:p>
      <w:pPr>
        <w:pStyle w:val="146"/>
        <w:widowControl/>
        <w:numPr>
          <w:ilvl w:val="0"/>
          <w:numId w:val="10"/>
        </w:numPr>
        <w:spacing w:line="240" w:lineRule="auto"/>
        <w:ind w:left="480" w:leftChars="0"/>
        <w:jc w:val="center"/>
        <w:outlineLvl w:val="0"/>
        <w:rPr>
          <w:rFonts w:hint="eastAsia" w:ascii="Calibri" w:hAnsi="Calibri" w:eastAsia="宋体" w:cs="Times New Roman"/>
          <w:b/>
          <w:bCs/>
          <w:kern w:val="44"/>
          <w:sz w:val="36"/>
          <w:szCs w:val="44"/>
          <w:lang w:val="en-US" w:eastAsia="zh-CN" w:bidi="ar-SA"/>
        </w:rPr>
      </w:pPr>
      <w:r>
        <w:rPr>
          <w:rFonts w:hint="eastAsia" w:ascii="Calibri" w:hAnsi="Calibri" w:cs="Times New Roman"/>
          <w:b/>
          <w:bCs/>
          <w:kern w:val="44"/>
          <w:sz w:val="36"/>
          <w:szCs w:val="44"/>
          <w:lang w:val="en-US" w:eastAsia="zh-CN" w:bidi="ar-SA"/>
        </w:rPr>
        <w:t xml:space="preserve"> </w:t>
      </w:r>
      <w:r>
        <w:rPr>
          <w:rFonts w:hint="eastAsia" w:ascii="Calibri" w:hAnsi="Calibri" w:eastAsia="宋体" w:cs="Times New Roman"/>
          <w:b/>
          <w:bCs/>
          <w:kern w:val="44"/>
          <w:sz w:val="36"/>
          <w:szCs w:val="44"/>
          <w:lang w:val="en-US" w:eastAsia="zh-CN" w:bidi="ar-SA"/>
        </w:rPr>
        <w:t>招标文件编制</w:t>
      </w:r>
    </w:p>
    <w:p>
      <w:pPr>
        <w:pStyle w:val="21"/>
        <w:spacing w:line="360" w:lineRule="auto"/>
        <w:outlineLvl w:val="1"/>
        <w:rPr>
          <w:rFonts w:ascii="黑体" w:hAnsi="黑体" w:eastAsia="黑体"/>
          <w:b/>
          <w:bCs/>
          <w:sz w:val="28"/>
          <w:szCs w:val="28"/>
        </w:rPr>
      </w:pPr>
      <w:r>
        <w:rPr>
          <w:rFonts w:hint="eastAsia" w:ascii="黑体" w:hAnsi="黑体" w:eastAsia="黑体"/>
          <w:b/>
          <w:bCs/>
          <w:sz w:val="28"/>
          <w:szCs w:val="28"/>
        </w:rPr>
        <w:t>一、投标文件签署</w:t>
      </w:r>
    </w:p>
    <w:p>
      <w:pPr>
        <w:pStyle w:val="21"/>
        <w:spacing w:line="360" w:lineRule="auto"/>
        <w:ind w:firstLine="420" w:firstLineChars="200"/>
        <w:rPr>
          <w:rFonts w:hAnsi="宋体"/>
        </w:rPr>
      </w:pPr>
      <w:r>
        <w:rPr>
          <w:rFonts w:hint="eastAsia" w:hAnsi="宋体"/>
        </w:rPr>
        <w:t>法定代表人或投标人授权代表必须按招标文件的规定在投标文件（正本、副本及各附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1"/>
        <w:spacing w:line="360" w:lineRule="auto"/>
        <w:outlineLvl w:val="1"/>
        <w:rPr>
          <w:rFonts w:ascii="黑体" w:hAnsi="黑体" w:eastAsia="黑体"/>
          <w:b/>
          <w:bCs/>
          <w:sz w:val="28"/>
          <w:szCs w:val="28"/>
        </w:rPr>
      </w:pPr>
      <w:r>
        <w:rPr>
          <w:rFonts w:hint="eastAsia" w:ascii="黑体" w:hAnsi="黑体" w:eastAsia="黑体"/>
          <w:b/>
          <w:bCs/>
          <w:sz w:val="28"/>
          <w:szCs w:val="28"/>
        </w:rPr>
        <w:t>二、投标文件的密封和标记</w:t>
      </w:r>
    </w:p>
    <w:p>
      <w:pPr>
        <w:pStyle w:val="21"/>
        <w:numPr>
          <w:ilvl w:val="0"/>
          <w:numId w:val="11"/>
        </w:numPr>
        <w:spacing w:line="360" w:lineRule="auto"/>
        <w:outlineLvl w:val="1"/>
        <w:rPr>
          <w:rFonts w:ascii="黑体" w:hAnsi="黑体" w:eastAsia="黑体"/>
          <w:b/>
          <w:bCs/>
          <w:sz w:val="28"/>
        </w:rPr>
      </w:pPr>
      <w:r>
        <w:rPr>
          <w:rFonts w:hint="eastAsia" w:ascii="黑体" w:hAnsi="黑体" w:eastAsia="黑体"/>
          <w:b/>
          <w:bCs/>
          <w:sz w:val="28"/>
        </w:rPr>
        <w:t>开标时需提交的材料：</w:t>
      </w:r>
    </w:p>
    <w:p>
      <w:pPr>
        <w:pStyle w:val="147"/>
        <w:keepNext w:val="0"/>
        <w:widowControl/>
        <w:numPr>
          <w:ilvl w:val="0"/>
          <w:numId w:val="12"/>
        </w:numPr>
        <w:tabs>
          <w:tab w:val="clear" w:pos="1275"/>
        </w:tabs>
        <w:rPr>
          <w:rFonts w:ascii="宋体" w:hAnsi="宋体" w:cs="宋体"/>
          <w:sz w:val="21"/>
          <w:szCs w:val="21"/>
        </w:rPr>
      </w:pPr>
      <w:r>
        <w:rPr>
          <w:rFonts w:hint="eastAsia" w:ascii="宋体" w:hAnsi="宋体" w:cs="宋体"/>
          <w:sz w:val="21"/>
          <w:szCs w:val="21"/>
        </w:rPr>
        <w:t>投标文件计量单位</w:t>
      </w:r>
    </w:p>
    <w:p>
      <w:pPr>
        <w:pStyle w:val="146"/>
        <w:widowControl/>
        <w:ind w:firstLine="0" w:firstLineChars="0"/>
        <w:rPr>
          <w:rFonts w:ascii="宋体" w:hAnsi="宋体" w:cs="宋体"/>
          <w:sz w:val="21"/>
          <w:szCs w:val="21"/>
        </w:rPr>
      </w:pPr>
      <w:r>
        <w:rPr>
          <w:rFonts w:hint="eastAsia" w:ascii="宋体" w:hAnsi="宋体" w:cs="宋体"/>
          <w:sz w:val="21"/>
          <w:szCs w:val="21"/>
        </w:rPr>
        <w:t>投标文件中所使用的计量单位，除招标文件中有特殊要求外，应采用国家法定计量单位。</w:t>
      </w:r>
    </w:p>
    <w:p>
      <w:pPr>
        <w:pStyle w:val="147"/>
        <w:keepNext w:val="0"/>
        <w:widowControl/>
        <w:numPr>
          <w:ilvl w:val="0"/>
          <w:numId w:val="12"/>
        </w:numPr>
        <w:tabs>
          <w:tab w:val="clear" w:pos="1275"/>
        </w:tabs>
        <w:rPr>
          <w:rFonts w:ascii="宋体" w:hAnsi="宋体" w:cs="宋体"/>
          <w:b w:val="0"/>
          <w:bCs w:val="0"/>
          <w:sz w:val="21"/>
          <w:szCs w:val="21"/>
        </w:rPr>
      </w:pPr>
      <w:bookmarkStart w:id="9" w:name="_Toc50742898"/>
      <w:r>
        <w:rPr>
          <w:rFonts w:hint="eastAsia" w:ascii="宋体" w:hAnsi="宋体" w:cs="宋体"/>
          <w:b w:val="0"/>
          <w:bCs w:val="0"/>
          <w:sz w:val="21"/>
          <w:szCs w:val="21"/>
        </w:rPr>
        <w:t>投标文件</w:t>
      </w:r>
      <w:bookmarkEnd w:id="9"/>
      <w:r>
        <w:rPr>
          <w:rFonts w:hint="eastAsia" w:ascii="宋体" w:hAnsi="宋体" w:cs="宋体"/>
          <w:b w:val="0"/>
          <w:bCs w:val="0"/>
          <w:sz w:val="21"/>
          <w:szCs w:val="21"/>
        </w:rPr>
        <w:t>需提交</w:t>
      </w:r>
      <w:r>
        <w:rPr>
          <w:rFonts w:hint="eastAsia" w:ascii="宋体" w:hAnsi="宋体" w:cs="宋体"/>
          <w:sz w:val="21"/>
          <w:szCs w:val="21"/>
        </w:rPr>
        <w:t>纸质版文件</w:t>
      </w:r>
      <w:r>
        <w:rPr>
          <w:rFonts w:hint="eastAsia" w:ascii="宋体" w:hAnsi="宋体" w:cs="宋体"/>
          <w:b w:val="0"/>
          <w:bCs w:val="0"/>
          <w:sz w:val="21"/>
          <w:szCs w:val="21"/>
        </w:rPr>
        <w:t>和</w:t>
      </w:r>
      <w:r>
        <w:rPr>
          <w:rFonts w:hint="eastAsia" w:ascii="宋体" w:hAnsi="宋体" w:cs="宋体"/>
          <w:sz w:val="21"/>
          <w:szCs w:val="21"/>
        </w:rPr>
        <w:t>电子版文件</w:t>
      </w:r>
      <w:r>
        <w:rPr>
          <w:rFonts w:hint="eastAsia" w:ascii="宋体" w:hAnsi="宋体" w:cs="宋体"/>
          <w:b w:val="0"/>
          <w:bCs w:val="0"/>
          <w:sz w:val="21"/>
          <w:szCs w:val="21"/>
        </w:rPr>
        <w:t>两种，均需包含</w:t>
      </w:r>
      <w:r>
        <w:rPr>
          <w:rFonts w:hint="eastAsia" w:ascii="宋体" w:hAnsi="宋体" w:cs="宋体"/>
          <w:sz w:val="21"/>
          <w:szCs w:val="21"/>
        </w:rPr>
        <w:t>资质文件、技术标文件、商务标文件三部分</w:t>
      </w:r>
      <w:r>
        <w:rPr>
          <w:rFonts w:hint="eastAsia" w:ascii="宋体" w:hAnsi="宋体" w:cs="宋体"/>
          <w:b w:val="0"/>
          <w:bCs w:val="0"/>
          <w:sz w:val="21"/>
          <w:szCs w:val="21"/>
        </w:rPr>
        <w:t>提交，纸质版以实物形式提交，电子版以存入U盘形式提交。</w:t>
      </w:r>
    </w:p>
    <w:p>
      <w:pPr>
        <w:pStyle w:val="146"/>
        <w:widowControl/>
        <w:numPr>
          <w:ilvl w:val="0"/>
          <w:numId w:val="12"/>
        </w:numPr>
        <w:ind w:firstLineChars="0"/>
        <w:rPr>
          <w:rFonts w:ascii="宋体" w:hAnsi="宋体" w:cs="宋体"/>
          <w:b/>
          <w:bCs/>
          <w:sz w:val="21"/>
          <w:szCs w:val="21"/>
        </w:rPr>
      </w:pPr>
      <w:r>
        <w:rPr>
          <w:rFonts w:hint="eastAsia" w:ascii="宋体" w:hAnsi="宋体" w:cs="宋体"/>
          <w:b/>
          <w:bCs/>
          <w:sz w:val="21"/>
          <w:szCs w:val="21"/>
        </w:rPr>
        <w:t>纸质版文件</w:t>
      </w:r>
    </w:p>
    <w:p>
      <w:pPr>
        <w:pStyle w:val="146"/>
        <w:widowControl/>
        <w:numPr>
          <w:ilvl w:val="0"/>
          <w:numId w:val="13"/>
        </w:numPr>
        <w:ind w:firstLineChars="0"/>
        <w:rPr>
          <w:rFonts w:ascii="宋体" w:hAnsi="宋体" w:cs="宋体"/>
          <w:b/>
          <w:bCs/>
          <w:sz w:val="21"/>
          <w:szCs w:val="21"/>
        </w:rPr>
      </w:pPr>
      <w:r>
        <w:rPr>
          <w:rFonts w:hint="eastAsia" w:ascii="宋体" w:hAnsi="宋体" w:cs="宋体"/>
          <w:b/>
          <w:bCs/>
          <w:sz w:val="21"/>
          <w:szCs w:val="21"/>
        </w:rPr>
        <w:t>资质文件（独立封装在一个档案袋，一式三份）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r>
        <w:rPr>
          <w:rFonts w:hint="eastAsia" w:ascii="宋体" w:hAnsi="宋体" w:eastAsia="宋体" w:cs="宋体"/>
          <w:color w:val="000000"/>
          <w:sz w:val="24"/>
          <w:szCs w:val="24"/>
          <w:highlight w:val="yellow"/>
        </w:rPr>
        <w:t>（提供2025年6月份社会保险的凭据证明材料复印件）；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Times New Roman"/>
          <w:sz w:val="24"/>
          <w:szCs w:val="24"/>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1</w:t>
      </w:r>
      <w:r>
        <w:rPr>
          <w:rFonts w:hint="eastAsia" w:ascii="宋体" w:hAnsi="宋体" w:eastAsia="宋体" w:cs="宋体"/>
          <w:color w:val="000000"/>
          <w:sz w:val="24"/>
          <w:szCs w:val="24"/>
          <w:highlight w:val="yellow"/>
        </w:rPr>
        <w:t>.1</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 xml:space="preserve"> 2023年8月1日至今，企业同类项目业绩证明，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pStyle w:val="146"/>
        <w:widowControl/>
        <w:numPr>
          <w:numId w:val="0"/>
        </w:numPr>
        <w:ind w:leftChars="0"/>
        <w:rPr>
          <w:rFonts w:ascii="宋体" w:hAnsi="宋体" w:cs="宋体"/>
          <w:b/>
          <w:bCs/>
          <w:sz w:val="21"/>
          <w:szCs w:val="21"/>
        </w:rPr>
      </w:pPr>
    </w:p>
    <w:p>
      <w:pPr>
        <w:pStyle w:val="146"/>
        <w:widowControl/>
        <w:numPr>
          <w:ilvl w:val="0"/>
          <w:numId w:val="14"/>
        </w:numPr>
        <w:ind w:firstLineChars="0"/>
        <w:rPr>
          <w:rFonts w:ascii="宋体" w:hAnsi="宋体" w:cs="宋体"/>
          <w:b/>
          <w:bCs/>
          <w:sz w:val="21"/>
          <w:szCs w:val="21"/>
        </w:rPr>
      </w:pPr>
      <w:r>
        <w:rPr>
          <w:rFonts w:hint="eastAsia" w:ascii="宋体" w:hAnsi="宋体" w:cs="宋体"/>
          <w:b/>
          <w:bCs/>
          <w:sz w:val="21"/>
          <w:szCs w:val="21"/>
        </w:rPr>
        <w:t>技术标文件（独立封装在一个档案袋，其中正本一份，副本三份）：</w:t>
      </w:r>
    </w:p>
    <w:p>
      <w:pPr>
        <w:pStyle w:val="148"/>
        <w:widowControl/>
        <w:numPr>
          <w:numId w:val="0"/>
        </w:numPr>
        <w:tabs>
          <w:tab w:val="left" w:pos="420"/>
        </w:tabs>
        <w:adjustRightInd w:val="0"/>
        <w:snapToGrid w:val="0"/>
        <w:ind w:left="420" w:leftChars="0"/>
        <w:rPr>
          <w:rFonts w:ascii="宋体" w:hAnsi="宋体" w:cs="宋体"/>
          <w:sz w:val="21"/>
          <w:szCs w:val="21"/>
        </w:rPr>
      </w:pPr>
      <w:r>
        <w:rPr>
          <w:rFonts w:hint="eastAsia" w:ascii="宋体" w:hAnsi="宋体" w:cs="宋体"/>
          <w:sz w:val="21"/>
          <w:szCs w:val="21"/>
        </w:rPr>
        <w:t>项目方案明确项目总体规划及具体实施方案等；</w:t>
      </w:r>
    </w:p>
    <w:p>
      <w:pPr>
        <w:pStyle w:val="148"/>
        <w:widowControl/>
        <w:numPr>
          <w:ilvl w:val="0"/>
          <w:numId w:val="15"/>
        </w:numPr>
        <w:adjustRightInd w:val="0"/>
        <w:snapToGrid w:val="0"/>
        <w:rPr>
          <w:rFonts w:ascii="宋体" w:hAnsi="宋体" w:cs="宋体"/>
          <w:b/>
          <w:bCs/>
          <w:color w:val="000000"/>
          <w:sz w:val="21"/>
          <w:szCs w:val="21"/>
        </w:rPr>
      </w:pPr>
      <w:r>
        <w:rPr>
          <w:rFonts w:hint="eastAsia" w:ascii="宋体" w:hAnsi="宋体" w:cs="宋体"/>
          <w:b/>
          <w:bCs/>
          <w:color w:val="000000"/>
          <w:sz w:val="21"/>
          <w:szCs w:val="21"/>
        </w:rPr>
        <w:t>商务标文件（独立封装在一个档案袋，其中正本一份，副本三份）：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10" w:name="OLE_LINK18"/>
      <w:bookmarkStart w:id="11" w:name="OLE_LINK19"/>
      <w:r>
        <w:rPr>
          <w:rFonts w:hint="eastAsia" w:ascii="宋体" w:hAnsi="宋体" w:eastAsia="宋体" w:cs="宋体"/>
          <w:b/>
          <w:color w:val="000000"/>
          <w:sz w:val="24"/>
          <w:szCs w:val="24"/>
        </w:rPr>
        <w:t>；</w:t>
      </w:r>
      <w:bookmarkEnd w:id="10"/>
      <w:bookmarkEnd w:id="1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cs="宋体"/>
          <w:b/>
          <w:bCs/>
          <w:color w:val="000000"/>
          <w:sz w:val="21"/>
          <w:szCs w:val="21"/>
        </w:rPr>
      </w:pPr>
      <w:r>
        <w:rPr>
          <w:rFonts w:hint="eastAsia" w:ascii="宋体" w:hAnsi="宋体" w:eastAsia="宋体" w:cs="宋体"/>
          <w:color w:val="000000"/>
          <w:sz w:val="24"/>
          <w:szCs w:val="24"/>
        </w:rPr>
        <w:t>3.6按招标文件投标人须知和技术规格书中要求提供的有关文件。</w:t>
      </w:r>
    </w:p>
    <w:p>
      <w:pPr>
        <w:pStyle w:val="146"/>
        <w:widowControl/>
        <w:numPr>
          <w:ilvl w:val="0"/>
          <w:numId w:val="16"/>
        </w:numPr>
        <w:ind w:firstLineChars="0"/>
        <w:rPr>
          <w:rFonts w:ascii="宋体" w:hAnsi="宋体" w:cs="宋体"/>
          <w:b/>
          <w:bCs/>
          <w:sz w:val="21"/>
          <w:szCs w:val="21"/>
        </w:rPr>
      </w:pPr>
      <w:r>
        <w:rPr>
          <w:rFonts w:hint="eastAsia" w:ascii="宋体" w:hAnsi="宋体" w:cs="宋体"/>
          <w:b/>
          <w:bCs/>
          <w:sz w:val="21"/>
          <w:szCs w:val="21"/>
        </w:rPr>
        <w:t>电子版文件</w:t>
      </w:r>
    </w:p>
    <w:p>
      <w:pPr>
        <w:pStyle w:val="21"/>
        <w:numPr>
          <w:ilvl w:val="0"/>
          <w:numId w:val="17"/>
        </w:numPr>
        <w:spacing w:line="360" w:lineRule="auto"/>
        <w:ind w:left="5" w:firstLine="415"/>
        <w:rPr>
          <w:rFonts w:hAnsi="宋体" w:cs="宋体"/>
          <w:szCs w:val="21"/>
        </w:rPr>
      </w:pPr>
      <w:r>
        <w:rPr>
          <w:rFonts w:hint="eastAsia" w:hAnsi="宋体" w:cs="宋体"/>
          <w:szCs w:val="21"/>
        </w:rPr>
        <w:t>请在U盘中分别建立资质标文件、技术标文件、商务标文件三个文件夹放入投标相关资料，U盘总文件名称为投标单位全称，U盘上交存档，不返还。</w:t>
      </w:r>
      <w:bookmarkStart w:id="16" w:name="_GoBack"/>
      <w:bookmarkEnd w:id="16"/>
    </w:p>
    <w:p>
      <w:pPr>
        <w:pStyle w:val="21"/>
        <w:numPr>
          <w:ilvl w:val="0"/>
          <w:numId w:val="17"/>
        </w:numPr>
        <w:spacing w:line="360" w:lineRule="auto"/>
        <w:ind w:left="5" w:firstLine="415"/>
        <w:rPr>
          <w:rFonts w:hAnsi="宋体" w:cs="宋体"/>
          <w:szCs w:val="21"/>
        </w:rPr>
      </w:pPr>
      <w:r>
        <w:rPr>
          <w:rFonts w:hint="eastAsia" w:hAnsi="宋体" w:cs="宋体"/>
          <w:szCs w:val="21"/>
        </w:rPr>
        <w:t>包含资质标文件、技术标文件、商务标文件等所有内容，将文件扫描后存为pdf格式提交。</w:t>
      </w:r>
    </w:p>
    <w:bookmarkEnd w:id="6"/>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附件</w:t>
      </w:r>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5811"/>
      <w:bookmarkStart w:id="13" w:name="_Toc353881012"/>
      <w:bookmarkStart w:id="14" w:name="_Toc639004"/>
      <w:bookmarkStart w:id="1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lang w:val="en-US" w:eastAsia="zh-CN"/>
        </w:rPr>
        <w:t xml:space="preserve">                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4"/>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4"/>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4"/>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4"/>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4"/>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14"/>
              <w:ind w:left="720"/>
              <w:rPr>
                <w:rFonts w:hint="eastAsia"/>
              </w:rPr>
            </w:pPr>
            <w:r>
              <w:t xml:space="preserve">品牌区分 </w:t>
            </w:r>
          </w:p>
        </w:tc>
        <w:tc>
          <w:tcPr>
            <w:tcW w:w="7500" w:type="dxa"/>
            <w:gridSpan w:val="6"/>
          </w:tcPr>
          <w:p>
            <w:pPr>
              <w:pStyle w:val="134"/>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4"/>
              <w:spacing w:before="15"/>
              <w:ind w:left="279"/>
              <w:rPr>
                <w:rFonts w:hint="eastAsia"/>
              </w:rPr>
            </w:pPr>
            <w:r>
              <w:rPr>
                <w:spacing w:val="-2"/>
              </w:rPr>
              <w:t>质量</w:t>
            </w:r>
            <w:r>
              <w:t xml:space="preserve"> </w:t>
            </w:r>
          </w:p>
          <w:p>
            <w:pPr>
              <w:pStyle w:val="134"/>
              <w:spacing w:before="30" w:line="277" w:lineRule="exact"/>
              <w:ind w:left="279"/>
              <w:rPr>
                <w:rFonts w:hint="eastAsia"/>
              </w:rPr>
            </w:pPr>
            <w:r>
              <w:rPr>
                <w:rFonts w:hint="eastAsia"/>
              </w:rPr>
              <w:t>体系</w:t>
            </w:r>
          </w:p>
        </w:tc>
        <w:tc>
          <w:tcPr>
            <w:tcW w:w="2820" w:type="dxa"/>
            <w:gridSpan w:val="2"/>
          </w:tcPr>
          <w:p>
            <w:pPr>
              <w:pStyle w:val="134"/>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4"/>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pStyle w:val="21"/>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 xml:space="preserve">                     </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0"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b/>
          <w:bCs/>
          <w:sz w:val="24"/>
          <w:szCs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 xml:space="preserve">                    </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1"/>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pStyle w:val="129"/>
              <w:spacing w:before="60" w:after="60" w:line="240" w:lineRule="auto"/>
              <w:jc w:val="center"/>
              <w:rPr>
                <w:rFonts w:hint="eastAsia" w:ascii="宋体" w:hAnsi="宋体" w:eastAsia="宋体" w:cs="宋体"/>
                <w:b/>
                <w:bCs/>
                <w:sz w:val="24"/>
              </w:rPr>
            </w:pPr>
          </w:p>
        </w:tc>
        <w:tc>
          <w:tcPr>
            <w:tcW w:w="2238" w:type="dxa"/>
          </w:tcPr>
          <w:p>
            <w:pPr>
              <w:widowControl/>
              <w:jc w:val="center"/>
              <w:textAlignment w:val="center"/>
              <w:rPr>
                <w:rFonts w:hint="eastAsia" w:ascii="宋体" w:hAnsi="宋体" w:eastAsia="宋体" w:cs="宋体"/>
                <w:b/>
                <w:bCs/>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1"/>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1"/>
        <w:rPr>
          <w:rFonts w:hint="eastAsia" w:hAnsi="宋体" w:eastAsia="宋体" w:cs="宋体"/>
          <w:sz w:val="24"/>
          <w:szCs w:val="24"/>
        </w:rPr>
      </w:pPr>
    </w:p>
    <w:p>
      <w:pPr>
        <w:pStyle w:val="21"/>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1"/>
        <w:rPr>
          <w:rFonts w:hint="eastAsia" w:hAnsi="宋体" w:eastAsia="宋体" w:cs="宋体"/>
          <w:sz w:val="24"/>
          <w:szCs w:val="24"/>
        </w:rPr>
        <w:sectPr>
          <w:footerReference r:id="rId27"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1"/>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1"/>
        <w:sectPr>
          <w:footerReference r:id="rId28" w:type="default"/>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https://ecaitong.sinotruk.com:8012/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564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564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dobe 仿宋 Std R">
    <w:altName w:val="仿宋"/>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4"/>
        <w:sz w:val="20"/>
      </w:rPr>
    </w:pPr>
    <w:r>
      <w:rPr>
        <w:sz w:val="20"/>
      </w:rPr>
      <w:fldChar w:fldCharType="begin"/>
    </w:r>
    <w:r>
      <w:rPr>
        <w:rStyle w:val="44"/>
        <w:sz w:val="20"/>
      </w:rPr>
      <w:instrText xml:space="preserve">PAGE  </w:instrText>
    </w:r>
    <w:r>
      <w:rPr>
        <w:sz w:val="20"/>
      </w:rPr>
      <w:fldChar w:fldCharType="end"/>
    </w:r>
  </w:p>
  <w:p>
    <w:pPr>
      <w:pStyle w:val="26"/>
      <w:ind w:right="36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p>
    <w:pPr>
      <w:pStyle w:val="27"/>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C667B"/>
    <w:multiLevelType w:val="singleLevel"/>
    <w:tmpl w:val="86DC667B"/>
    <w:lvl w:ilvl="0" w:tentative="0">
      <w:start w:val="3"/>
      <w:numFmt w:val="decimal"/>
      <w:lvlText w:val="%1)"/>
      <w:lvlJc w:val="left"/>
      <w:pPr>
        <w:tabs>
          <w:tab w:val="left" w:pos="420"/>
        </w:tabs>
        <w:ind w:left="425" w:hanging="425"/>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4A5AD7B"/>
    <w:multiLevelType w:val="singleLevel"/>
    <w:tmpl w:val="B4A5AD7B"/>
    <w:lvl w:ilvl="0" w:tentative="0">
      <w:start w:val="9"/>
      <w:numFmt w:val="chineseCounting"/>
      <w:suff w:val="nothing"/>
      <w:lvlText w:val="%1、"/>
      <w:lvlJc w:val="left"/>
      <w:rPr>
        <w:rFonts w:hint="eastAsia"/>
      </w:rPr>
    </w:lvl>
  </w:abstractNum>
  <w:abstractNum w:abstractNumId="3">
    <w:nsid w:val="C1C89038"/>
    <w:multiLevelType w:val="singleLevel"/>
    <w:tmpl w:val="C1C89038"/>
    <w:lvl w:ilvl="0" w:tentative="0">
      <w:start w:val="2"/>
      <w:numFmt w:val="chineseCounting"/>
      <w:suff w:val="nothing"/>
      <w:lvlText w:val="%1、"/>
      <w:lvlJc w:val="left"/>
      <w:rPr>
        <w:rFonts w:hint="eastAsia"/>
      </w:rPr>
    </w:lvl>
  </w:abstractNum>
  <w:abstractNum w:abstractNumId="4">
    <w:nsid w:val="F2BF6B68"/>
    <w:multiLevelType w:val="singleLevel"/>
    <w:tmpl w:val="F2BF6B68"/>
    <w:lvl w:ilvl="0" w:tentative="0">
      <w:start w:val="2"/>
      <w:numFmt w:val="decimal"/>
      <w:lvlText w:val="%1)"/>
      <w:lvlJc w:val="left"/>
      <w:pPr>
        <w:tabs>
          <w:tab w:val="left" w:pos="420"/>
        </w:tabs>
        <w:ind w:left="425" w:hanging="425"/>
      </w:pPr>
      <w:rPr>
        <w:rFonts w:hint="default"/>
      </w:rPr>
    </w:lvl>
  </w:abstractNum>
  <w:abstractNum w:abstractNumId="5">
    <w:nsid w:val="F9502771"/>
    <w:multiLevelType w:val="singleLevel"/>
    <w:tmpl w:val="F9502771"/>
    <w:lvl w:ilvl="0" w:tentative="0">
      <w:start w:val="10"/>
      <w:numFmt w:val="decimal"/>
      <w:lvlText w:val="%1."/>
      <w:lvlJc w:val="left"/>
      <w:pPr>
        <w:tabs>
          <w:tab w:val="left" w:pos="312"/>
        </w:tabs>
      </w:pPr>
    </w:lvl>
  </w:abstractNum>
  <w:abstractNum w:abstractNumId="6">
    <w:nsid w:val="201F4971"/>
    <w:multiLevelType w:val="multilevel"/>
    <w:tmpl w:val="201F4971"/>
    <w:lvl w:ilvl="0" w:tentative="0">
      <w:start w:val="1"/>
      <w:numFmt w:val="decimal"/>
      <w:pStyle w:val="148"/>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abstractNum w:abstractNumId="7">
    <w:nsid w:val="222DA98A"/>
    <w:multiLevelType w:val="singleLevel"/>
    <w:tmpl w:val="222DA98A"/>
    <w:lvl w:ilvl="0" w:tentative="0">
      <w:start w:val="1"/>
      <w:numFmt w:val="decimal"/>
      <w:lvlText w:val="%1)"/>
      <w:lvlJc w:val="left"/>
      <w:pPr>
        <w:ind w:left="425" w:hanging="425"/>
      </w:pPr>
      <w:rPr>
        <w:rFonts w:hint="default"/>
      </w:rPr>
    </w:lvl>
  </w:abstractNum>
  <w:abstractNum w:abstractNumId="8">
    <w:nsid w:val="2F5711B6"/>
    <w:multiLevelType w:val="singleLevel"/>
    <w:tmpl w:val="2F5711B6"/>
    <w:lvl w:ilvl="0" w:tentative="0">
      <w:start w:val="1"/>
      <w:numFmt w:val="decimal"/>
      <w:lvlText w:val="%1."/>
      <w:lvlJc w:val="left"/>
      <w:pPr>
        <w:ind w:left="425" w:hanging="425"/>
      </w:pPr>
      <w:rPr>
        <w:rFonts w:hint="default"/>
      </w:rPr>
    </w:lvl>
  </w:abstractNum>
  <w:abstractNum w:abstractNumId="9">
    <w:nsid w:val="3295D6C8"/>
    <w:multiLevelType w:val="singleLevel"/>
    <w:tmpl w:val="3295D6C8"/>
    <w:lvl w:ilvl="0" w:tentative="0">
      <w:start w:val="3"/>
      <w:numFmt w:val="chineseCounting"/>
      <w:suff w:val="space"/>
      <w:lvlText w:val="%1、"/>
      <w:lvlJc w:val="left"/>
      <w:rPr>
        <w:rFonts w:hint="eastAsia"/>
      </w:rPr>
    </w:lvl>
  </w:abstractNum>
  <w:abstractNum w:abstractNumId="10">
    <w:nsid w:val="377EA9E6"/>
    <w:multiLevelType w:val="singleLevel"/>
    <w:tmpl w:val="377EA9E6"/>
    <w:lvl w:ilvl="0" w:tentative="0">
      <w:start w:val="4"/>
      <w:numFmt w:val="chineseCounting"/>
      <w:suff w:val="space"/>
      <w:lvlText w:val="第%1部分"/>
      <w:lvlJc w:val="left"/>
      <w:rPr>
        <w:rFonts w:hint="eastAsia"/>
      </w:rPr>
    </w:lvl>
  </w:abstractNum>
  <w:abstractNum w:abstractNumId="11">
    <w:nsid w:val="405248CF"/>
    <w:multiLevelType w:val="singleLevel"/>
    <w:tmpl w:val="405248CF"/>
    <w:lvl w:ilvl="0" w:tentative="0">
      <w:start w:val="1"/>
      <w:numFmt w:val="decimal"/>
      <w:lvlText w:val="(%1)"/>
      <w:lvlJc w:val="left"/>
      <w:pPr>
        <w:ind w:left="425" w:hanging="425"/>
      </w:pPr>
      <w:rPr>
        <w:rFonts w:hint="default"/>
      </w:rPr>
    </w:lvl>
  </w:abstractNum>
  <w:abstractNum w:abstractNumId="12">
    <w:nsid w:val="5A29D1C2"/>
    <w:multiLevelType w:val="multilevel"/>
    <w:tmpl w:val="5A29D1C2"/>
    <w:lvl w:ilvl="0" w:tentative="0">
      <w:start w:val="1"/>
      <w:numFmt w:val="decimal"/>
      <w:isLgl/>
      <w:suff w:val="space"/>
      <w:lvlText w:val="%1"/>
      <w:lvlJc w:val="left"/>
      <w:pPr>
        <w:ind w:left="0" w:firstLine="0"/>
      </w:pPr>
    </w:lvl>
    <w:lvl w:ilvl="1" w:tentative="0">
      <w:start w:val="1"/>
      <w:numFmt w:val="decimal"/>
      <w:pStyle w:val="147"/>
      <w:isLgl/>
      <w:suff w:val="space"/>
      <w:lvlText w:val="%1.%2"/>
      <w:lvlJc w:val="left"/>
      <w:pPr>
        <w:ind w:left="1134" w:firstLine="0"/>
      </w:p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isLgl/>
      <w:suff w:val="space"/>
      <w:lvlText w:val="%1.%2.%3.%4.%5.%6.%7"/>
      <w:lvlJc w:val="left"/>
      <w:pPr>
        <w:ind w:left="0" w:firstLine="0"/>
      </w:pPr>
    </w:lvl>
    <w:lvl w:ilvl="7" w:tentative="0">
      <w:start w:val="1"/>
      <w:numFmt w:val="decimal"/>
      <w:isLgl/>
      <w:suff w:val="space"/>
      <w:lvlText w:val="图%1"/>
      <w:lvlJc w:val="center"/>
      <w:pPr>
        <w:ind w:left="0" w:firstLine="0"/>
      </w:pPr>
    </w:lvl>
    <w:lvl w:ilvl="8" w:tentative="0">
      <w:start w:val="1"/>
      <w:numFmt w:val="decimal"/>
      <w:isLgl/>
      <w:suff w:val="space"/>
      <w:lvlText w:val="表%1"/>
      <w:lvlJc w:val="center"/>
      <w:pPr>
        <w:ind w:left="0" w:firstLine="0"/>
      </w:pPr>
    </w:lvl>
  </w:abstractNum>
  <w:abstractNum w:abstractNumId="13">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66D0D39"/>
    <w:multiLevelType w:val="singleLevel"/>
    <w:tmpl w:val="766D0D39"/>
    <w:lvl w:ilvl="0" w:tentative="0">
      <w:start w:val="4"/>
      <w:numFmt w:val="decimal"/>
      <w:lvlText w:val="%1."/>
      <w:lvlJc w:val="left"/>
      <w:pPr>
        <w:tabs>
          <w:tab w:val="left" w:pos="420"/>
        </w:tabs>
        <w:ind w:left="425" w:hanging="425"/>
      </w:pPr>
      <w:rPr>
        <w:rFonts w:hint="default"/>
      </w:rPr>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13"/>
  </w:num>
  <w:num w:numId="2">
    <w:abstractNumId w:val="12"/>
  </w:num>
  <w:num w:numId="3">
    <w:abstractNumId w:val="6"/>
  </w:num>
  <w:num w:numId="4">
    <w:abstractNumId w:val="14"/>
  </w:num>
  <w:num w:numId="5">
    <w:abstractNumId w:val="1"/>
  </w:num>
  <w:num w:numId="6">
    <w:abstractNumId w:val="16"/>
  </w:num>
  <w:num w:numId="7">
    <w:abstractNumId w:val="5"/>
  </w:num>
  <w:num w:numId="8">
    <w:abstractNumId w:val="2"/>
  </w:num>
  <w:num w:numId="9">
    <w:abstractNumId w:val="3"/>
  </w:num>
  <w:num w:numId="10">
    <w:abstractNumId w:val="10"/>
  </w:num>
  <w:num w:numId="11">
    <w:abstractNumId w:val="9"/>
  </w:num>
  <w:num w:numId="12">
    <w:abstractNumId w:val="8"/>
  </w:num>
  <w:num w:numId="13">
    <w:abstractNumId w:val="7"/>
  </w:num>
  <w:num w:numId="14">
    <w:abstractNumId w:val="4"/>
  </w:num>
  <w:num w:numId="15">
    <w:abstractNumId w:val="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020DE"/>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6210AF"/>
    <w:rsid w:val="05A351AD"/>
    <w:rsid w:val="05C234EE"/>
    <w:rsid w:val="05D95918"/>
    <w:rsid w:val="05DF009E"/>
    <w:rsid w:val="05E327F4"/>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59260D"/>
    <w:rsid w:val="08A24774"/>
    <w:rsid w:val="08A33F77"/>
    <w:rsid w:val="08E64121"/>
    <w:rsid w:val="090D5816"/>
    <w:rsid w:val="0942017F"/>
    <w:rsid w:val="09BA1FBB"/>
    <w:rsid w:val="09CB139F"/>
    <w:rsid w:val="09D73678"/>
    <w:rsid w:val="0A0106F5"/>
    <w:rsid w:val="0A112AB7"/>
    <w:rsid w:val="0A2A0685"/>
    <w:rsid w:val="0A447F32"/>
    <w:rsid w:val="0AD71BC7"/>
    <w:rsid w:val="0ADB7197"/>
    <w:rsid w:val="0AF420EB"/>
    <w:rsid w:val="0B2B2BF5"/>
    <w:rsid w:val="0B2E55BC"/>
    <w:rsid w:val="0B2F3908"/>
    <w:rsid w:val="0B3F6206"/>
    <w:rsid w:val="0B932DA7"/>
    <w:rsid w:val="0B9C1007"/>
    <w:rsid w:val="0BD848FB"/>
    <w:rsid w:val="0BDB06E0"/>
    <w:rsid w:val="0BE12DB6"/>
    <w:rsid w:val="0C345AD1"/>
    <w:rsid w:val="0C477D59"/>
    <w:rsid w:val="0C626CE4"/>
    <w:rsid w:val="0D0C2B7B"/>
    <w:rsid w:val="0D9308F8"/>
    <w:rsid w:val="0E1A1D85"/>
    <w:rsid w:val="0E2350DD"/>
    <w:rsid w:val="0E696120"/>
    <w:rsid w:val="0E750568"/>
    <w:rsid w:val="0EB93A32"/>
    <w:rsid w:val="0F2D7A80"/>
    <w:rsid w:val="0F4277E5"/>
    <w:rsid w:val="0F6B7381"/>
    <w:rsid w:val="0FA545F8"/>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8A1577"/>
    <w:rsid w:val="16F94849"/>
    <w:rsid w:val="17001571"/>
    <w:rsid w:val="17045E51"/>
    <w:rsid w:val="172011D4"/>
    <w:rsid w:val="17252C3B"/>
    <w:rsid w:val="173F0A2E"/>
    <w:rsid w:val="17770BC2"/>
    <w:rsid w:val="17860E2F"/>
    <w:rsid w:val="17A119AA"/>
    <w:rsid w:val="17AF1095"/>
    <w:rsid w:val="17C55E7C"/>
    <w:rsid w:val="18586F2B"/>
    <w:rsid w:val="192F3CC4"/>
    <w:rsid w:val="1935690C"/>
    <w:rsid w:val="19516138"/>
    <w:rsid w:val="19A766B9"/>
    <w:rsid w:val="19BE4F9F"/>
    <w:rsid w:val="19CE76BA"/>
    <w:rsid w:val="19F26070"/>
    <w:rsid w:val="19F97C8B"/>
    <w:rsid w:val="1A1523CE"/>
    <w:rsid w:val="1A21343D"/>
    <w:rsid w:val="1AA730BD"/>
    <w:rsid w:val="1ABD4410"/>
    <w:rsid w:val="1B333D5D"/>
    <w:rsid w:val="1B587618"/>
    <w:rsid w:val="1B5F19C7"/>
    <w:rsid w:val="1BDA1B03"/>
    <w:rsid w:val="1C0457E4"/>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556ABB"/>
    <w:rsid w:val="207870A4"/>
    <w:rsid w:val="208672CF"/>
    <w:rsid w:val="208717DB"/>
    <w:rsid w:val="20AB56C6"/>
    <w:rsid w:val="2176507C"/>
    <w:rsid w:val="21BA10C4"/>
    <w:rsid w:val="21BE35AF"/>
    <w:rsid w:val="21C11174"/>
    <w:rsid w:val="221C6506"/>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B65524"/>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52A91"/>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904053"/>
    <w:rsid w:val="2EBC0905"/>
    <w:rsid w:val="2EC73739"/>
    <w:rsid w:val="2EFB1B0E"/>
    <w:rsid w:val="2F5C684F"/>
    <w:rsid w:val="2FD33BF2"/>
    <w:rsid w:val="2FE82C1E"/>
    <w:rsid w:val="303A20E7"/>
    <w:rsid w:val="307776D1"/>
    <w:rsid w:val="30862574"/>
    <w:rsid w:val="30B631E1"/>
    <w:rsid w:val="311933AA"/>
    <w:rsid w:val="317D15BB"/>
    <w:rsid w:val="31A67308"/>
    <w:rsid w:val="31D07E6C"/>
    <w:rsid w:val="31DF0B90"/>
    <w:rsid w:val="323F65DA"/>
    <w:rsid w:val="32412074"/>
    <w:rsid w:val="325B63D6"/>
    <w:rsid w:val="327D09D4"/>
    <w:rsid w:val="32A0644D"/>
    <w:rsid w:val="32DE0199"/>
    <w:rsid w:val="32E26B1D"/>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964CD3"/>
    <w:rsid w:val="36A77DAA"/>
    <w:rsid w:val="37085B1F"/>
    <w:rsid w:val="372E04CB"/>
    <w:rsid w:val="37742729"/>
    <w:rsid w:val="37C85FF9"/>
    <w:rsid w:val="380D3B5E"/>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586E6A"/>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C35BF6"/>
    <w:rsid w:val="43D110E1"/>
    <w:rsid w:val="43E873C9"/>
    <w:rsid w:val="441540A8"/>
    <w:rsid w:val="44250817"/>
    <w:rsid w:val="445E7E37"/>
    <w:rsid w:val="44905B1F"/>
    <w:rsid w:val="45007767"/>
    <w:rsid w:val="45316885"/>
    <w:rsid w:val="4567010B"/>
    <w:rsid w:val="4577147D"/>
    <w:rsid w:val="45A95EE9"/>
    <w:rsid w:val="45FB0F21"/>
    <w:rsid w:val="46167166"/>
    <w:rsid w:val="461A1E38"/>
    <w:rsid w:val="461A2194"/>
    <w:rsid w:val="465E515F"/>
    <w:rsid w:val="46AE7548"/>
    <w:rsid w:val="47200EE3"/>
    <w:rsid w:val="47435AC2"/>
    <w:rsid w:val="47544B78"/>
    <w:rsid w:val="47587AF7"/>
    <w:rsid w:val="47745A86"/>
    <w:rsid w:val="47E239AC"/>
    <w:rsid w:val="480C3F11"/>
    <w:rsid w:val="480F4B73"/>
    <w:rsid w:val="482F564F"/>
    <w:rsid w:val="48334AEC"/>
    <w:rsid w:val="48380650"/>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A04944"/>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95693C"/>
    <w:rsid w:val="58E525CA"/>
    <w:rsid w:val="58FD43FD"/>
    <w:rsid w:val="59080439"/>
    <w:rsid w:val="593D045A"/>
    <w:rsid w:val="5960739E"/>
    <w:rsid w:val="597E61C3"/>
    <w:rsid w:val="59896D0A"/>
    <w:rsid w:val="59B72684"/>
    <w:rsid w:val="59CC6E29"/>
    <w:rsid w:val="59CE7D0B"/>
    <w:rsid w:val="59DC5A85"/>
    <w:rsid w:val="5A082249"/>
    <w:rsid w:val="5A9579AE"/>
    <w:rsid w:val="5AC468CD"/>
    <w:rsid w:val="5AD813C2"/>
    <w:rsid w:val="5AE25B34"/>
    <w:rsid w:val="5AEE6358"/>
    <w:rsid w:val="5B342B9A"/>
    <w:rsid w:val="5B5953B0"/>
    <w:rsid w:val="5B5B1AB4"/>
    <w:rsid w:val="5B630802"/>
    <w:rsid w:val="5B807F68"/>
    <w:rsid w:val="5B9F5D96"/>
    <w:rsid w:val="5BFB631F"/>
    <w:rsid w:val="5C034D53"/>
    <w:rsid w:val="5C903B7A"/>
    <w:rsid w:val="5D7C6E06"/>
    <w:rsid w:val="5E1D6F56"/>
    <w:rsid w:val="5E52187F"/>
    <w:rsid w:val="5E6A13CD"/>
    <w:rsid w:val="5E705D15"/>
    <w:rsid w:val="5E92274E"/>
    <w:rsid w:val="5E93326C"/>
    <w:rsid w:val="5E9F1A7A"/>
    <w:rsid w:val="5EAA6F51"/>
    <w:rsid w:val="5EFB4BA4"/>
    <w:rsid w:val="5F306109"/>
    <w:rsid w:val="5F5E046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DC6652"/>
    <w:rsid w:val="6AE73176"/>
    <w:rsid w:val="6B17424A"/>
    <w:rsid w:val="6B2218FA"/>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C266A9"/>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3C76977"/>
    <w:rsid w:val="74A11E7D"/>
    <w:rsid w:val="74B25745"/>
    <w:rsid w:val="74C12F49"/>
    <w:rsid w:val="74F97739"/>
    <w:rsid w:val="750E2D70"/>
    <w:rsid w:val="75590B0A"/>
    <w:rsid w:val="755E0C45"/>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05003"/>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885398"/>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qFormat/>
    <w:uiPriority w:val="0"/>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qFormat/>
    <w:uiPriority w:val="0"/>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3"/>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4"/>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2"/>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6"/>
    <w:qFormat/>
    <w:uiPriority w:val="0"/>
    <w:pPr>
      <w:ind w:left="100" w:leftChars="2500"/>
    </w:pPr>
    <w:rPr>
      <w:sz w:val="24"/>
    </w:r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70"/>
    <w:qFormat/>
    <w:uiPriority w:val="0"/>
    <w:rPr>
      <w:sz w:val="18"/>
    </w:rPr>
  </w:style>
  <w:style w:type="paragraph" w:styleId="26">
    <w:name w:val="footer"/>
    <w:basedOn w:val="1"/>
    <w:link w:val="76"/>
    <w:qFormat/>
    <w:uiPriority w:val="99"/>
    <w:pPr>
      <w:tabs>
        <w:tab w:val="center" w:pos="4153"/>
        <w:tab w:val="right" w:pos="8306"/>
      </w:tabs>
      <w:snapToGrid w:val="0"/>
      <w:jc w:val="left"/>
    </w:pPr>
    <w:rPr>
      <w:sz w:val="18"/>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6"/>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qFormat/>
    <w:uiPriority w:val="0"/>
    <w:rPr>
      <w:b/>
    </w:rPr>
  </w:style>
  <w:style w:type="paragraph" w:styleId="39">
    <w:name w:val="Body Text First Indent 2"/>
    <w:basedOn w:val="17"/>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字符"/>
    <w:basedOn w:val="42"/>
    <w:link w:val="3"/>
    <w:qFormat/>
    <w:uiPriority w:val="0"/>
    <w:rPr>
      <w:rFonts w:ascii="Calibri" w:hAnsi="Calibri" w:eastAsia="宋体" w:cs="Times New Roman"/>
      <w:b/>
      <w:bCs/>
      <w:kern w:val="44"/>
      <w:sz w:val="36"/>
      <w:szCs w:val="44"/>
    </w:rPr>
  </w:style>
  <w:style w:type="character" w:customStyle="1" w:styleId="51">
    <w:name w:val="标题 2 字符"/>
    <w:basedOn w:val="42"/>
    <w:link w:val="4"/>
    <w:qFormat/>
    <w:uiPriority w:val="9"/>
    <w:rPr>
      <w:rFonts w:ascii="Arial" w:hAnsi="Arial" w:eastAsia="宋体" w:cs="Times New Roman"/>
      <w:b/>
      <w:bCs/>
      <w:sz w:val="24"/>
      <w:szCs w:val="32"/>
    </w:rPr>
  </w:style>
  <w:style w:type="character" w:customStyle="1" w:styleId="52">
    <w:name w:val="标题 3 字符"/>
    <w:basedOn w:val="42"/>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4"/>
    <w:qFormat/>
    <w:locked/>
    <w:uiPriority w:val="0"/>
  </w:style>
  <w:style w:type="character" w:customStyle="1" w:styleId="55">
    <w:name w:val="批注主题 字符"/>
    <w:link w:val="38"/>
    <w:qFormat/>
    <w:locked/>
    <w:uiPriority w:val="0"/>
    <w:rPr>
      <w:b/>
    </w:rPr>
  </w:style>
  <w:style w:type="character" w:customStyle="1" w:styleId="56">
    <w:name w:val="正文文本缩进 3 字符"/>
    <w:link w:val="32"/>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字符"/>
    <w:link w:val="27"/>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4"/>
    <w:qFormat/>
    <w:locked/>
    <w:uiPriority w:val="0"/>
  </w:style>
  <w:style w:type="character" w:customStyle="1" w:styleId="65">
    <w:name w:val="标题 字符"/>
    <w:link w:val="37"/>
    <w:qFormat/>
    <w:locked/>
    <w:uiPriority w:val="0"/>
    <w:rPr>
      <w:rFonts w:ascii="Arial" w:hAnsi="Arial"/>
      <w:b/>
      <w:sz w:val="32"/>
    </w:rPr>
  </w:style>
  <w:style w:type="character" w:customStyle="1" w:styleId="66">
    <w:name w:val="日期 字符"/>
    <w:link w:val="23"/>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5"/>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2"/>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21"/>
    <w:qFormat/>
    <w:locked/>
    <w:uiPriority w:val="0"/>
    <w:rPr>
      <w:rFonts w:ascii="宋体" w:hAnsi="Courier New"/>
    </w:rPr>
  </w:style>
  <w:style w:type="character" w:customStyle="1" w:styleId="76">
    <w:name w:val="页脚 字符"/>
    <w:link w:val="26"/>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42"/>
    <w:semiHidden/>
    <w:qFormat/>
    <w:uiPriority w:val="99"/>
  </w:style>
  <w:style w:type="character" w:customStyle="1" w:styleId="81">
    <w:name w:val="批注文字 字符11"/>
    <w:basedOn w:val="42"/>
    <w:qFormat/>
    <w:uiPriority w:val="0"/>
    <w:rPr>
      <w:rFonts w:cs="Times New Roman"/>
      <w:kern w:val="2"/>
      <w:sz w:val="21"/>
    </w:rPr>
  </w:style>
  <w:style w:type="character" w:customStyle="1" w:styleId="82">
    <w:name w:val="正文文本缩进 字符"/>
    <w:basedOn w:val="42"/>
    <w:link w:val="17"/>
    <w:qFormat/>
    <w:uiPriority w:val="99"/>
    <w:rPr>
      <w:rFonts w:ascii="Calibri" w:hAnsi="Calibri" w:eastAsia="宋体" w:cs="Times New Roman"/>
      <w:szCs w:val="20"/>
    </w:rPr>
  </w:style>
  <w:style w:type="character" w:customStyle="1" w:styleId="83">
    <w:name w:val="文档结构图 字符1"/>
    <w:basedOn w:val="42"/>
    <w:semiHidden/>
    <w:qFormat/>
    <w:uiPriority w:val="99"/>
    <w:rPr>
      <w:rFonts w:ascii="Microsoft YaHei UI" w:eastAsia="Microsoft YaHei UI"/>
      <w:sz w:val="18"/>
      <w:szCs w:val="18"/>
    </w:rPr>
  </w:style>
  <w:style w:type="character" w:customStyle="1" w:styleId="84">
    <w:name w:val="文档结构图 字符11"/>
    <w:basedOn w:val="42"/>
    <w:semiHidden/>
    <w:qFormat/>
    <w:uiPriority w:val="99"/>
    <w:rPr>
      <w:rFonts w:ascii="Microsoft YaHei UI" w:eastAsia="Microsoft YaHei UI" w:cs="Times New Roman"/>
      <w:kern w:val="2"/>
      <w:sz w:val="18"/>
      <w:szCs w:val="18"/>
    </w:rPr>
  </w:style>
  <w:style w:type="character" w:customStyle="1" w:styleId="85">
    <w:name w:val="正文文本 字符"/>
    <w:basedOn w:val="42"/>
    <w:link w:val="16"/>
    <w:qFormat/>
    <w:uiPriority w:val="99"/>
    <w:rPr>
      <w:rFonts w:ascii="Calibri" w:hAnsi="Calibri" w:eastAsia="新宋体" w:cs="Times New Roman"/>
      <w:szCs w:val="21"/>
    </w:rPr>
  </w:style>
  <w:style w:type="character" w:customStyle="1" w:styleId="86">
    <w:name w:val="纯文本 字符1"/>
    <w:basedOn w:val="42"/>
    <w:semiHidden/>
    <w:qFormat/>
    <w:uiPriority w:val="99"/>
    <w:rPr>
      <w:rFonts w:hAnsi="Courier New" w:cs="Courier New" w:asciiTheme="minorEastAsia"/>
    </w:rPr>
  </w:style>
  <w:style w:type="character" w:customStyle="1" w:styleId="87">
    <w:name w:val="纯文本 字符11"/>
    <w:basedOn w:val="42"/>
    <w:qFormat/>
    <w:uiPriority w:val="0"/>
    <w:rPr>
      <w:rFonts w:hAnsi="Courier New" w:cs="Courier New" w:asciiTheme="minorEastAsia" w:eastAsiaTheme="minorEastAsia"/>
      <w:kern w:val="2"/>
      <w:sz w:val="21"/>
    </w:rPr>
  </w:style>
  <w:style w:type="character" w:customStyle="1" w:styleId="88">
    <w:name w:val="页眉 字符1"/>
    <w:basedOn w:val="42"/>
    <w:semiHidden/>
    <w:qFormat/>
    <w:uiPriority w:val="99"/>
    <w:rPr>
      <w:sz w:val="18"/>
      <w:szCs w:val="18"/>
    </w:rPr>
  </w:style>
  <w:style w:type="character" w:customStyle="1" w:styleId="89">
    <w:name w:val="页眉 字符11"/>
    <w:basedOn w:val="42"/>
    <w:semiHidden/>
    <w:qFormat/>
    <w:uiPriority w:val="99"/>
    <w:rPr>
      <w:rFonts w:cs="Times New Roman"/>
      <w:kern w:val="2"/>
      <w:sz w:val="18"/>
      <w:szCs w:val="18"/>
    </w:rPr>
  </w:style>
  <w:style w:type="character" w:customStyle="1" w:styleId="90">
    <w:name w:val="批注框文本 字符1"/>
    <w:basedOn w:val="42"/>
    <w:semiHidden/>
    <w:qFormat/>
    <w:uiPriority w:val="99"/>
    <w:rPr>
      <w:sz w:val="18"/>
      <w:szCs w:val="18"/>
    </w:rPr>
  </w:style>
  <w:style w:type="character" w:customStyle="1" w:styleId="91">
    <w:name w:val="批注框文本 字符11"/>
    <w:basedOn w:val="42"/>
    <w:semiHidden/>
    <w:qFormat/>
    <w:uiPriority w:val="99"/>
    <w:rPr>
      <w:rFonts w:cs="Times New Roman"/>
      <w:kern w:val="2"/>
      <w:sz w:val="18"/>
      <w:szCs w:val="18"/>
    </w:rPr>
  </w:style>
  <w:style w:type="character" w:customStyle="1" w:styleId="92">
    <w:name w:val="日期 字符1"/>
    <w:basedOn w:val="42"/>
    <w:semiHidden/>
    <w:qFormat/>
    <w:uiPriority w:val="99"/>
  </w:style>
  <w:style w:type="character" w:customStyle="1" w:styleId="93">
    <w:name w:val="日期 字符11"/>
    <w:basedOn w:val="42"/>
    <w:semiHidden/>
    <w:qFormat/>
    <w:uiPriority w:val="99"/>
    <w:rPr>
      <w:rFonts w:cs="Times New Roman"/>
      <w:kern w:val="2"/>
      <w:sz w:val="21"/>
    </w:rPr>
  </w:style>
  <w:style w:type="character" w:customStyle="1" w:styleId="94">
    <w:name w:val="页脚 字符1"/>
    <w:basedOn w:val="42"/>
    <w:semiHidden/>
    <w:qFormat/>
    <w:uiPriority w:val="99"/>
    <w:rPr>
      <w:sz w:val="18"/>
      <w:szCs w:val="18"/>
    </w:rPr>
  </w:style>
  <w:style w:type="character" w:customStyle="1" w:styleId="95">
    <w:name w:val="页脚 字符11"/>
    <w:basedOn w:val="42"/>
    <w:semiHidden/>
    <w:qFormat/>
    <w:uiPriority w:val="99"/>
    <w:rPr>
      <w:rFonts w:cs="Times New Roman"/>
      <w:kern w:val="2"/>
      <w:sz w:val="18"/>
      <w:szCs w:val="18"/>
    </w:rPr>
  </w:style>
  <w:style w:type="character" w:customStyle="1" w:styleId="96">
    <w:name w:val="正文文本缩进 2 字符1"/>
    <w:basedOn w:val="42"/>
    <w:semiHidden/>
    <w:qFormat/>
    <w:uiPriority w:val="99"/>
  </w:style>
  <w:style w:type="character" w:customStyle="1" w:styleId="97">
    <w:name w:val="正文文本缩进 2 字符11"/>
    <w:basedOn w:val="42"/>
    <w:semiHidden/>
    <w:qFormat/>
    <w:uiPriority w:val="99"/>
    <w:rPr>
      <w:rFonts w:cs="Times New Roman"/>
      <w:kern w:val="2"/>
      <w:sz w:val="21"/>
    </w:rPr>
  </w:style>
  <w:style w:type="character" w:customStyle="1" w:styleId="98">
    <w:name w:val="正文文本缩进 3 字符1"/>
    <w:basedOn w:val="42"/>
    <w:semiHidden/>
    <w:qFormat/>
    <w:uiPriority w:val="99"/>
    <w:rPr>
      <w:sz w:val="16"/>
      <w:szCs w:val="16"/>
    </w:rPr>
  </w:style>
  <w:style w:type="character" w:customStyle="1" w:styleId="99">
    <w:name w:val="正文文本缩进 3 字符11"/>
    <w:basedOn w:val="42"/>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3"/>
    <w:link w:val="144"/>
    <w:qFormat/>
    <w:uiPriority w:val="0"/>
    <w:rPr>
      <w:rFonts w:eastAsia="黑体"/>
      <w:b w:val="0"/>
      <w:color w:val="000000"/>
      <w:sz w:val="30"/>
      <w:szCs w:val="24"/>
    </w:rPr>
  </w:style>
  <w:style w:type="paragraph" w:customStyle="1" w:styleId="136">
    <w:name w:val="首行缩进"/>
    <w:basedOn w:val="1"/>
    <w:qFormat/>
    <w:uiPriority w:val="0"/>
    <w:pPr>
      <w:ind w:firstLine="480" w:firstLineChars="200"/>
    </w:pPr>
    <w:rPr>
      <w:lang w:val="zh-CN"/>
    </w:rPr>
  </w:style>
  <w:style w:type="paragraph" w:customStyle="1" w:styleId="137">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1">
    <w:name w:val="font11"/>
    <w:basedOn w:val="42"/>
    <w:qFormat/>
    <w:uiPriority w:val="0"/>
    <w:rPr>
      <w:rFonts w:hint="eastAsia" w:ascii="宋体" w:hAnsi="宋体" w:eastAsia="宋体" w:cs="宋体"/>
      <w:color w:val="000000"/>
      <w:sz w:val="32"/>
      <w:szCs w:val="32"/>
      <w:u w:val="none"/>
    </w:rPr>
  </w:style>
  <w:style w:type="character" w:customStyle="1" w:styleId="142">
    <w:name w:val="font21"/>
    <w:basedOn w:val="42"/>
    <w:qFormat/>
    <w:uiPriority w:val="0"/>
    <w:rPr>
      <w:rFonts w:hint="eastAsia" w:ascii="宋体" w:hAnsi="宋体" w:eastAsia="宋体" w:cs="宋体"/>
      <w:color w:val="000000"/>
      <w:sz w:val="21"/>
      <w:szCs w:val="21"/>
      <w:u w:val="none"/>
    </w:rPr>
  </w:style>
  <w:style w:type="character" w:customStyle="1" w:styleId="143">
    <w:name w:val="font41"/>
    <w:basedOn w:val="42"/>
    <w:qFormat/>
    <w:uiPriority w:val="0"/>
    <w:rPr>
      <w:rFonts w:hint="default" w:ascii="Times New Roman" w:hAnsi="Times New Roman" w:cs="Times New Roman"/>
      <w:color w:val="000000"/>
      <w:sz w:val="32"/>
      <w:szCs w:val="32"/>
      <w:u w:val="none"/>
    </w:rPr>
  </w:style>
  <w:style w:type="character" w:customStyle="1" w:styleId="144">
    <w:name w:val="标书一级标题 字符"/>
    <w:link w:val="135"/>
    <w:qFormat/>
    <w:uiPriority w:val="0"/>
    <w:rPr>
      <w:rFonts w:eastAsia="黑体" w:asciiTheme="minorHAnsi" w:hAnsiTheme="minorHAnsi" w:cstheme="minorBidi"/>
      <w:bCs/>
      <w:color w:val="000000"/>
      <w:kern w:val="44"/>
      <w:sz w:val="30"/>
      <w:szCs w:val="24"/>
    </w:rPr>
  </w:style>
  <w:style w:type="character" w:customStyle="1" w:styleId="145">
    <w:name w:val="Unresolved Mention"/>
    <w:basedOn w:val="42"/>
    <w:semiHidden/>
    <w:unhideWhenUsed/>
    <w:qFormat/>
    <w:uiPriority w:val="99"/>
    <w:rPr>
      <w:color w:val="605E5C"/>
      <w:shd w:val="clear" w:color="auto" w:fill="E1DFDD"/>
    </w:rPr>
  </w:style>
  <w:style w:type="paragraph" w:customStyle="1" w:styleId="146">
    <w:name w:val="文档正文-1"/>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147">
    <w:name w:val="文档标题2"/>
    <w:basedOn w:val="4"/>
    <w:next w:val="146"/>
    <w:qFormat/>
    <w:uiPriority w:val="0"/>
    <w:pPr>
      <w:numPr>
        <w:ilvl w:val="1"/>
        <w:numId w:val="2"/>
      </w:numPr>
      <w:tabs>
        <w:tab w:val="left" w:pos="1275"/>
      </w:tabs>
      <w:spacing w:before="0" w:after="0" w:line="360" w:lineRule="auto"/>
      <w:ind w:left="0" w:hanging="420"/>
      <w:jc w:val="left"/>
    </w:pPr>
    <w:rPr>
      <w:rFonts w:ascii="Times New Roman" w:hAnsi="Times New Roman" w:eastAsia="宋体" w:cs="Times New Roman"/>
      <w:sz w:val="28"/>
    </w:rPr>
  </w:style>
  <w:style w:type="paragraph" w:customStyle="1" w:styleId="148">
    <w:name w:val="文档正文一级标题"/>
    <w:basedOn w:val="146"/>
    <w:qFormat/>
    <w:uiPriority w:val="0"/>
    <w:pPr>
      <w:numPr>
        <w:ilvl w:val="0"/>
        <w:numId w:val="3"/>
      </w:numPr>
      <w:ind w:firstLine="0" w:firstLineChars="0"/>
    </w:pPr>
  </w:style>
  <w:style w:type="paragraph" w:customStyle="1" w:styleId="149">
    <w:name w:val="默认 A"/>
    <w:qFormat/>
    <w:uiPriority w:val="0"/>
    <w:rPr>
      <w:rFonts w:hint="eastAsia" w:ascii="Arial Unicode MS" w:hAnsi="Arial Unicode MS" w:eastAsia="Arial Unicode MS" w:cs="Arial Unicode MS"/>
      <w:color w:val="000000"/>
      <w:kern w:val="0"/>
      <w:sz w:val="22"/>
      <w:szCs w:val="22"/>
      <w:lang w:val="zh-TW" w:eastAsia="zh-TW" w:bidi="ar-SA"/>
    </w:rPr>
  </w:style>
  <w:style w:type="paragraph" w:customStyle="1" w:styleId="15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9794</Words>
  <Characters>55830</Characters>
  <Lines>465</Lines>
  <Paragraphs>130</Paragraphs>
  <TotalTime>1</TotalTime>
  <ScaleCrop>false</ScaleCrop>
  <LinksUpToDate>false</LinksUpToDate>
  <CharactersWithSpaces>65494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2025-10-16T07:23:43Z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1D2B68A8623843D2B03E6F4028EC20D4</vt:lpwstr>
  </property>
  <property fmtid="{D5CDD505-2E9C-101B-9397-08002B2CF9AE}" pid="4" name="KSOTemplateDocerSaveRecord">
    <vt:lpwstr>eyJoZGlkIjoiNWM4YzFjOWU0Nzg0NmRkMzI1ZDk2YmYxNGU0NmE0YTUiLCJ1c2VySWQiOiIyMzM1Mzg3MjEifQ==</vt:lpwstr>
  </property>
</Properties>
</file>