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5"/>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7B177185">
      <w:pPr>
        <w:ind w:right="280"/>
        <w:jc w:val="center"/>
        <w:rPr>
          <w:rFonts w:hint="eastAsia" w:ascii="楷体_GB2312" w:hAnsi="宋体" w:eastAsia="楷体_GB2312"/>
          <w:sz w:val="52"/>
          <w:szCs w:val="52"/>
          <w:highlight w:val="yellow"/>
        </w:rPr>
      </w:pPr>
      <w:r>
        <w:rPr>
          <w:rFonts w:hint="eastAsia" w:ascii="楷体_GB2312" w:hAnsi="宋体" w:eastAsia="楷体_GB2312"/>
          <w:sz w:val="52"/>
          <w:szCs w:val="52"/>
          <w:highlight w:val="yellow"/>
        </w:rPr>
        <w:t>泰安五岳公司-下料设备更新</w:t>
      </w:r>
    </w:p>
    <w:p w14:paraId="009EA4D6">
      <w:pPr>
        <w:ind w:right="280"/>
        <w:jc w:val="center"/>
        <w:rPr>
          <w:rFonts w:ascii="楷体_GB2312" w:hAnsi="宋体" w:eastAsia="楷体_GB2312"/>
          <w:sz w:val="52"/>
          <w:szCs w:val="52"/>
        </w:rPr>
      </w:pPr>
      <w:r>
        <w:rPr>
          <w:rFonts w:hint="eastAsia" w:ascii="楷体_GB2312" w:hAnsi="宋体" w:eastAsia="楷体_GB2312"/>
          <w:sz w:val="52"/>
          <w:szCs w:val="52"/>
        </w:rPr>
        <w:t>招标项目</w:t>
      </w:r>
    </w:p>
    <w:p w14:paraId="612663B5">
      <w:pPr>
        <w:ind w:right="280"/>
        <w:jc w:val="center"/>
        <w:rPr>
          <w:sz w:val="28"/>
          <w:szCs w:val="28"/>
        </w:rPr>
      </w:pPr>
    </w:p>
    <w:p w14:paraId="18CBF8EA">
      <w:pPr>
        <w:ind w:right="280"/>
        <w:jc w:val="center"/>
        <w:rPr>
          <w:sz w:val="28"/>
          <w:szCs w:val="28"/>
        </w:rPr>
      </w:pPr>
    </w:p>
    <w:p w14:paraId="6418E5FF">
      <w:pPr>
        <w:jc w:val="center"/>
        <w:rPr>
          <w:rFonts w:ascii="宋体" w:hAnsi="宋体" w:cs="宋体"/>
          <w:sz w:val="72"/>
          <w:szCs w:val="72"/>
        </w:rPr>
      </w:pPr>
      <w:r>
        <w:rPr>
          <w:rFonts w:hint="eastAsia" w:ascii="宋体" w:hAnsi="宋体" w:cs="宋体"/>
          <w:sz w:val="72"/>
          <w:szCs w:val="72"/>
        </w:rPr>
        <w:t>招标文件</w:t>
      </w:r>
    </w:p>
    <w:p w14:paraId="2A3C624C">
      <w:pPr>
        <w:jc w:val="center"/>
        <w:rPr>
          <w:rFonts w:ascii="宋体" w:hAnsi="宋体"/>
          <w:sz w:val="48"/>
          <w:szCs w:val="48"/>
        </w:rPr>
      </w:pPr>
    </w:p>
    <w:p w14:paraId="6993BE58">
      <w:pPr>
        <w:jc w:val="center"/>
        <w:rPr>
          <w:rFonts w:ascii="宋体" w:hAnsi="宋体"/>
          <w:sz w:val="48"/>
          <w:szCs w:val="48"/>
        </w:rPr>
      </w:pPr>
    </w:p>
    <w:p w14:paraId="63FA33C5">
      <w:pPr>
        <w:widowControl/>
        <w:spacing w:line="360" w:lineRule="auto"/>
        <w:jc w:val="center"/>
        <w:rPr>
          <w:rFonts w:ascii="宋体" w:hAnsi="宋体" w:cs="宋体"/>
          <w:b/>
          <w:bCs/>
          <w:kern w:val="0"/>
          <w:sz w:val="32"/>
          <w:szCs w:val="32"/>
          <w:u w:val="single"/>
        </w:rPr>
      </w:pPr>
      <w:r>
        <w:rPr>
          <w:rFonts w:hint="eastAsia" w:ascii="宋体" w:hAnsi="宋体" w:cs="宋体"/>
          <w:b/>
          <w:bCs/>
          <w:kern w:val="0"/>
          <w:sz w:val="32"/>
          <w:szCs w:val="32"/>
        </w:rPr>
        <w:t>项目编号：</w:t>
      </w:r>
      <w:r>
        <w:rPr>
          <w:rFonts w:hint="eastAsia" w:ascii="宋体" w:hAnsi="宋体" w:cs="宋体"/>
          <w:b/>
          <w:bCs/>
          <w:kern w:val="0"/>
          <w:sz w:val="32"/>
          <w:szCs w:val="32"/>
          <w:highlight w:val="yellow"/>
        </w:rPr>
        <w:t>FSCZB2025100001</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人：中国重汽集团</w:t>
      </w:r>
      <w:r>
        <w:rPr>
          <w:rFonts w:hint="eastAsia" w:ascii="宋体" w:hAnsi="宋体"/>
          <w:sz w:val="28"/>
          <w:szCs w:val="28"/>
          <w:lang w:val="en-US" w:eastAsia="zh-CN"/>
        </w:rPr>
        <w:t>动力</w:t>
      </w:r>
      <w:r>
        <w:rPr>
          <w:rFonts w:hint="eastAsia" w:ascii="宋体" w:hAnsi="宋体"/>
          <w:sz w:val="28"/>
          <w:szCs w:val="28"/>
        </w:rPr>
        <w:t>有限公司</w:t>
      </w:r>
    </w:p>
    <w:p w14:paraId="0D8A0D9A">
      <w:pPr>
        <w:jc w:val="center"/>
        <w:rPr>
          <w:rFonts w:ascii="宋体" w:hAnsi="宋体"/>
          <w:sz w:val="28"/>
          <w:szCs w:val="28"/>
        </w:rPr>
      </w:pPr>
    </w:p>
    <w:p w14:paraId="09CB3C92">
      <w:pPr>
        <w:jc w:val="center"/>
        <w:rPr>
          <w:rFonts w:ascii="宋体" w:hAnsi="宋体"/>
          <w:b/>
          <w:bCs/>
          <w:sz w:val="48"/>
          <w:szCs w:val="48"/>
        </w:rPr>
      </w:pPr>
      <w:r>
        <w:rPr>
          <w:rFonts w:hint="eastAsia" w:ascii="宋体" w:hAnsi="宋体"/>
          <w:sz w:val="28"/>
          <w:szCs w:val="28"/>
          <w:u w:val="single"/>
        </w:rPr>
        <w:t>20</w:t>
      </w:r>
      <w:r>
        <w:rPr>
          <w:rFonts w:hint="eastAsia" w:ascii="宋体" w:hAnsi="宋体"/>
          <w:sz w:val="28"/>
          <w:szCs w:val="28"/>
          <w:u w:val="single"/>
          <w:lang w:val="en-US" w:eastAsia="zh-CN"/>
        </w:rPr>
        <w:t>25</w:t>
      </w:r>
      <w:r>
        <w:rPr>
          <w:rFonts w:hint="eastAsia" w:ascii="宋体" w:hAnsi="宋体"/>
          <w:sz w:val="28"/>
          <w:szCs w:val="28"/>
          <w:u w:val="single"/>
        </w:rPr>
        <w:t>年</w:t>
      </w:r>
      <w:r>
        <w:rPr>
          <w:rFonts w:hint="eastAsia" w:ascii="宋体" w:hAnsi="宋体"/>
          <w:sz w:val="28"/>
          <w:szCs w:val="28"/>
          <w:u w:val="single"/>
          <w:lang w:val="en-US" w:eastAsia="zh-CN"/>
        </w:rPr>
        <w:t>10</w:t>
      </w:r>
      <w:r>
        <w:rPr>
          <w:rFonts w:hint="eastAsia" w:ascii="宋体" w:hAnsi="宋体"/>
          <w:sz w:val="28"/>
          <w:szCs w:val="28"/>
          <w:u w:val="single"/>
        </w:rPr>
        <w:t>月</w:t>
      </w:r>
    </w:p>
    <w:p w14:paraId="54D825EF">
      <w:pPr>
        <w:spacing w:line="480" w:lineRule="auto"/>
        <w:jc w:val="center"/>
        <w:rPr>
          <w:rFonts w:ascii="宋体" w:hAnsi="宋体"/>
          <w:b/>
          <w:bCs/>
          <w:sz w:val="48"/>
          <w:szCs w:val="48"/>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p>
    <w:sdt>
      <w:sdtPr>
        <w:rPr>
          <w:rFonts w:ascii="Times New Roman" w:hAnsi="Times New Roman" w:eastAsia="宋体" w:cs="Times New Roman"/>
          <w:color w:val="auto"/>
          <w:kern w:val="2"/>
          <w:sz w:val="21"/>
          <w:szCs w:val="20"/>
          <w:lang w:val="zh-CN"/>
        </w:rPr>
        <w:id w:val="-629018532"/>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14:paraId="176426B1">
          <w:pPr>
            <w:pStyle w:val="69"/>
            <w:jc w:val="center"/>
            <w:rPr>
              <w:rFonts w:ascii="黑体" w:hAnsi="黑体" w:eastAsia="黑体"/>
              <w:b/>
              <w:color w:val="auto"/>
              <w:sz w:val="44"/>
              <w:szCs w:val="44"/>
              <w:lang w:val="zh-CN"/>
            </w:rPr>
          </w:pPr>
          <w:r>
            <w:rPr>
              <w:rFonts w:ascii="黑体" w:hAnsi="黑体" w:eastAsia="黑体"/>
              <w:b/>
              <w:color w:val="auto"/>
              <w:sz w:val="44"/>
              <w:szCs w:val="44"/>
              <w:lang w:val="zh-CN"/>
            </w:rPr>
            <w:t>目</w:t>
          </w:r>
          <w:r>
            <w:rPr>
              <w:rFonts w:hint="eastAsia" w:ascii="黑体" w:hAnsi="黑体" w:eastAsia="黑体"/>
              <w:b/>
              <w:color w:val="auto"/>
              <w:sz w:val="44"/>
              <w:szCs w:val="44"/>
              <w:lang w:val="zh-CN"/>
            </w:rPr>
            <w:t xml:space="preserve"> </w:t>
          </w:r>
          <w:r>
            <w:rPr>
              <w:rFonts w:ascii="黑体" w:hAnsi="黑体" w:eastAsia="黑体"/>
              <w:b/>
              <w:color w:val="auto"/>
              <w:sz w:val="44"/>
              <w:szCs w:val="44"/>
              <w:lang w:val="zh-CN"/>
            </w:rPr>
            <w:t xml:space="preserve">    录</w:t>
          </w:r>
        </w:p>
        <w:p w14:paraId="46B5AC1E">
          <w:pPr>
            <w:pStyle w:val="22"/>
            <w:tabs>
              <w:tab w:val="right" w:leader="middleDot" w:pos="9070"/>
              <w:tab w:val="clear" w:pos="8729"/>
            </w:tabs>
          </w:pPr>
          <w:r>
            <w:rPr>
              <w:rFonts w:hint="eastAsia" w:ascii="Calibri" w:hAnsi="Calibri"/>
              <w:bCs/>
              <w:kern w:val="44"/>
              <w:sz w:val="36"/>
              <w:szCs w:val="44"/>
            </w:rPr>
            <w:fldChar w:fldCharType="begin"/>
          </w:r>
          <w:r>
            <w:rPr>
              <w:rFonts w:hint="eastAsia" w:ascii="Calibri" w:hAnsi="Calibri"/>
              <w:bCs/>
              <w:kern w:val="44"/>
              <w:sz w:val="36"/>
              <w:szCs w:val="44"/>
            </w:rPr>
            <w:instrText xml:space="preserve">TOC \o "1-1" \h \u </w:instrText>
          </w:r>
          <w:r>
            <w:rPr>
              <w:rFonts w:hint="eastAsia" w:ascii="Calibri" w:hAnsi="Calibri"/>
              <w:bCs/>
              <w:kern w:val="44"/>
              <w:sz w:val="36"/>
              <w:szCs w:val="44"/>
            </w:rPr>
            <w:fldChar w:fldCharType="separate"/>
          </w:r>
          <w:r>
            <w:rPr>
              <w:rFonts w:hint="eastAsia" w:ascii="Calibri" w:hAnsi="Calibri"/>
              <w:bCs/>
              <w:kern w:val="44"/>
              <w:szCs w:val="44"/>
            </w:rPr>
            <w:fldChar w:fldCharType="begin"/>
          </w:r>
          <w:r>
            <w:rPr>
              <w:rFonts w:hint="eastAsia" w:ascii="Calibri" w:hAnsi="Calibri"/>
              <w:bCs/>
              <w:kern w:val="44"/>
              <w:szCs w:val="44"/>
            </w:rPr>
            <w:instrText xml:space="preserve"> HYPERLINK \l _Toc7104 </w:instrText>
          </w:r>
          <w:r>
            <w:rPr>
              <w:rFonts w:hint="eastAsia" w:ascii="Calibri" w:hAnsi="Calibri"/>
              <w:bCs/>
              <w:kern w:val="44"/>
              <w:szCs w:val="44"/>
            </w:rPr>
            <w:fldChar w:fldCharType="separate"/>
          </w:r>
          <w:r>
            <w:rPr>
              <w:rFonts w:hint="eastAsia"/>
            </w:rPr>
            <w:t>招标公告</w:t>
          </w:r>
          <w:r>
            <w:tab/>
          </w:r>
          <w:r>
            <w:fldChar w:fldCharType="begin"/>
          </w:r>
          <w:r>
            <w:instrText xml:space="preserve"> PAGEREF _Toc7104 \h </w:instrText>
          </w:r>
          <w:r>
            <w:fldChar w:fldCharType="separate"/>
          </w:r>
          <w:r>
            <w:t>- 1 -</w:t>
          </w:r>
          <w:r>
            <w:fldChar w:fldCharType="end"/>
          </w:r>
          <w:r>
            <w:rPr>
              <w:rFonts w:hint="eastAsia" w:ascii="Calibri" w:hAnsi="Calibri"/>
              <w:bCs/>
              <w:kern w:val="44"/>
              <w:szCs w:val="44"/>
            </w:rPr>
            <w:fldChar w:fldCharType="end"/>
          </w:r>
        </w:p>
        <w:p w14:paraId="3718B9B5">
          <w:pPr>
            <w:pStyle w:val="22"/>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_Toc7753 </w:instrText>
          </w:r>
          <w:r>
            <w:rPr>
              <w:rFonts w:hint="eastAsia" w:ascii="Calibri" w:hAnsi="Calibri" w:eastAsia="宋体" w:cs="Times New Roman"/>
              <w:bCs/>
              <w:kern w:val="44"/>
              <w:szCs w:val="44"/>
            </w:rPr>
            <w:fldChar w:fldCharType="separate"/>
          </w:r>
          <w:r>
            <w:rPr>
              <w:rFonts w:hint="eastAsia"/>
            </w:rPr>
            <w:t>第一部分  投标人须知</w:t>
          </w:r>
          <w:r>
            <w:tab/>
          </w:r>
          <w:r>
            <w:fldChar w:fldCharType="begin"/>
          </w:r>
          <w:r>
            <w:instrText xml:space="preserve"> PAGEREF _Toc7753 \h </w:instrText>
          </w:r>
          <w:r>
            <w:fldChar w:fldCharType="separate"/>
          </w:r>
          <w:r>
            <w:t>- 2 -</w:t>
          </w:r>
          <w:r>
            <w:fldChar w:fldCharType="end"/>
          </w:r>
          <w:r>
            <w:rPr>
              <w:rFonts w:hint="eastAsia" w:ascii="Calibri" w:hAnsi="Calibri" w:eastAsia="宋体" w:cs="Times New Roman"/>
              <w:bCs/>
              <w:kern w:val="44"/>
              <w:szCs w:val="44"/>
            </w:rPr>
            <w:fldChar w:fldCharType="end"/>
          </w:r>
        </w:p>
        <w:p w14:paraId="4D6E9C52">
          <w:pPr>
            <w:pStyle w:val="22"/>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_Toc1910 </w:instrText>
          </w:r>
          <w:r>
            <w:rPr>
              <w:rFonts w:hint="eastAsia" w:ascii="Calibri" w:hAnsi="Calibri" w:eastAsia="宋体" w:cs="Times New Roman"/>
              <w:bCs/>
              <w:kern w:val="44"/>
              <w:szCs w:val="44"/>
            </w:rPr>
            <w:fldChar w:fldCharType="separate"/>
          </w:r>
          <w:r>
            <w:rPr>
              <w:rFonts w:hint="eastAsia"/>
            </w:rPr>
            <w:t>第二部分　</w:t>
          </w:r>
          <w:r>
            <w:rPr>
              <w:rFonts w:hint="eastAsia"/>
              <w:lang w:val="en-US" w:eastAsia="zh-CN"/>
            </w:rPr>
            <w:t>技术标书</w:t>
          </w:r>
          <w:r>
            <w:tab/>
          </w:r>
          <w:r>
            <w:fldChar w:fldCharType="begin"/>
          </w:r>
          <w:r>
            <w:instrText xml:space="preserve"> PAGEREF _Toc1910 \h </w:instrText>
          </w:r>
          <w:r>
            <w:fldChar w:fldCharType="separate"/>
          </w:r>
          <w:r>
            <w:t>- 8 -</w:t>
          </w:r>
          <w:r>
            <w:fldChar w:fldCharType="end"/>
          </w:r>
          <w:r>
            <w:rPr>
              <w:rFonts w:hint="eastAsia" w:ascii="Calibri" w:hAnsi="Calibri" w:eastAsia="宋体" w:cs="Times New Roman"/>
              <w:bCs/>
              <w:kern w:val="44"/>
              <w:szCs w:val="44"/>
            </w:rPr>
            <w:fldChar w:fldCharType="end"/>
          </w:r>
        </w:p>
        <w:p w14:paraId="5D6BEB3E">
          <w:pPr>
            <w:pStyle w:val="22"/>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_Toc20595 </w:instrText>
          </w:r>
          <w:r>
            <w:rPr>
              <w:rFonts w:hint="eastAsia" w:ascii="Calibri" w:hAnsi="Calibri" w:eastAsia="宋体" w:cs="Times New Roman"/>
              <w:bCs/>
              <w:kern w:val="44"/>
              <w:szCs w:val="44"/>
            </w:rPr>
            <w:fldChar w:fldCharType="separate"/>
          </w:r>
          <w:r>
            <w:rPr>
              <w:rFonts w:hint="eastAsia"/>
            </w:rPr>
            <w:t>第三部分　合同主要条款</w:t>
          </w:r>
          <w:r>
            <w:tab/>
          </w:r>
          <w:r>
            <w:fldChar w:fldCharType="begin"/>
          </w:r>
          <w:r>
            <w:instrText xml:space="preserve"> PAGEREF _Toc20595 \h </w:instrText>
          </w:r>
          <w:r>
            <w:fldChar w:fldCharType="separate"/>
          </w:r>
          <w:r>
            <w:t>- 8 -</w:t>
          </w:r>
          <w:r>
            <w:fldChar w:fldCharType="end"/>
          </w:r>
          <w:r>
            <w:rPr>
              <w:rFonts w:hint="eastAsia" w:ascii="Calibri" w:hAnsi="Calibri" w:eastAsia="宋体" w:cs="Times New Roman"/>
              <w:bCs/>
              <w:kern w:val="44"/>
              <w:szCs w:val="44"/>
            </w:rPr>
            <w:fldChar w:fldCharType="end"/>
          </w:r>
        </w:p>
        <w:p w14:paraId="7691DBF9">
          <w:pPr>
            <w:pStyle w:val="22"/>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_Toc5925 </w:instrText>
          </w:r>
          <w:r>
            <w:rPr>
              <w:rFonts w:hint="eastAsia" w:ascii="Calibri" w:hAnsi="Calibri" w:eastAsia="宋体" w:cs="Times New Roman"/>
              <w:bCs/>
              <w:kern w:val="44"/>
              <w:szCs w:val="44"/>
            </w:rPr>
            <w:fldChar w:fldCharType="separate"/>
          </w:r>
          <w:r>
            <w:rPr>
              <w:rFonts w:hint="eastAsia"/>
            </w:rPr>
            <w:t>第四部分　</w:t>
          </w:r>
          <w:r>
            <w:rPr>
              <w:rFonts w:hint="eastAsia"/>
              <w:lang w:val="en-US" w:eastAsia="zh-CN"/>
            </w:rPr>
            <w:t>投标文件附件</w:t>
          </w:r>
          <w:r>
            <w:tab/>
          </w:r>
          <w:r>
            <w:fldChar w:fldCharType="begin"/>
          </w:r>
          <w:r>
            <w:instrText xml:space="preserve"> PAGEREF _Toc5925 \h </w:instrText>
          </w:r>
          <w:r>
            <w:fldChar w:fldCharType="separate"/>
          </w:r>
          <w:r>
            <w:t>- 9 -</w:t>
          </w:r>
          <w:r>
            <w:fldChar w:fldCharType="end"/>
          </w:r>
          <w:r>
            <w:rPr>
              <w:rFonts w:hint="eastAsia" w:ascii="Calibri" w:hAnsi="Calibri" w:eastAsia="宋体" w:cs="Times New Roman"/>
              <w:bCs/>
              <w:kern w:val="44"/>
              <w:szCs w:val="44"/>
            </w:rPr>
            <w:fldChar w:fldCharType="end"/>
          </w:r>
        </w:p>
        <w:p w14:paraId="6617A57C">
          <w:pPr>
            <w:pStyle w:val="22"/>
          </w:pPr>
          <w:r>
            <w:rPr>
              <w:rFonts w:hint="eastAsia" w:ascii="Calibri" w:hAnsi="Calibri" w:eastAsia="宋体" w:cs="Times New Roman"/>
              <w:bCs/>
              <w:kern w:val="44"/>
              <w:szCs w:val="44"/>
            </w:rPr>
            <w:fldChar w:fldCharType="end"/>
          </w:r>
        </w:p>
      </w:sdtContent>
    </w:sdt>
    <w:p w14:paraId="582BF911">
      <w:pPr>
        <w:pStyle w:val="16"/>
        <w:tabs>
          <w:tab w:val="left" w:pos="2940"/>
        </w:tabs>
        <w:spacing w:line="360" w:lineRule="auto"/>
      </w:pPr>
      <w:r>
        <w:tab/>
      </w:r>
    </w:p>
    <w:p w14:paraId="29FEE1FC">
      <w:pPr>
        <w:pStyle w:val="16"/>
        <w:spacing w:line="360" w:lineRule="auto"/>
        <w:jc w:val="center"/>
      </w:pPr>
    </w:p>
    <w:p w14:paraId="39447326">
      <w:pPr>
        <w:pStyle w:val="16"/>
        <w:spacing w:line="360" w:lineRule="auto"/>
        <w:jc w:val="center"/>
        <w:sectPr>
          <w:pgSz w:w="11906" w:h="16838"/>
          <w:pgMar w:top="1701" w:right="1418" w:bottom="1134" w:left="1418" w:header="851" w:footer="992" w:gutter="0"/>
          <w:pgNumType w:fmt="numberInDash" w:start="1"/>
          <w:cols w:space="720" w:num="1"/>
          <w:titlePg/>
          <w:docGrid w:type="lines" w:linePitch="312" w:charSpace="0"/>
        </w:sectPr>
      </w:pPr>
    </w:p>
    <w:p w14:paraId="3B867C39">
      <w:pPr>
        <w:pStyle w:val="72"/>
        <w:rPr>
          <w:rFonts w:hint="eastAsia"/>
        </w:rPr>
      </w:pPr>
      <w:bookmarkStart w:id="0" w:name="_Toc47976587"/>
      <w:bookmarkStart w:id="1" w:name="_Toc7104"/>
      <w:r>
        <w:rPr>
          <w:rFonts w:hint="eastAsia"/>
        </w:rPr>
        <w:t>招标公告</w:t>
      </w:r>
      <w:bookmarkEnd w:id="0"/>
      <w:bookmarkEnd w:id="1"/>
      <w:bookmarkStart w:id="2" w:name="_Toc32474"/>
      <w:r>
        <w:rPr>
          <w:rFonts w:hint="eastAsia"/>
          <w:sz w:val="28"/>
        </w:rPr>
        <w:t>_</w:t>
      </w:r>
      <w:bookmarkEnd w:id="2"/>
    </w:p>
    <w:p w14:paraId="2A47C58A">
      <w:pPr>
        <w:pStyle w:val="73"/>
      </w:pPr>
      <w:bookmarkStart w:id="3" w:name="_Toc47976588"/>
      <w:r>
        <w:rPr>
          <w:rFonts w:hint="eastAsia"/>
        </w:rPr>
        <w:t>项目名称及项目编号</w:t>
      </w:r>
      <w:bookmarkEnd w:id="3"/>
    </w:p>
    <w:p w14:paraId="1E71F649">
      <w:pPr>
        <w:pStyle w:val="74"/>
      </w:pPr>
      <w:r>
        <w:rPr>
          <w:rFonts w:hint="eastAsia"/>
          <w:highlight w:val="yellow"/>
        </w:rPr>
        <w:t>项目名称</w:t>
      </w:r>
      <w:r>
        <w:rPr>
          <w:rFonts w:hint="eastAsia"/>
        </w:rPr>
        <w:t>：泰安五岳公司-下料设备更新项目</w:t>
      </w:r>
      <w:bookmarkStart w:id="40" w:name="_GoBack"/>
      <w:bookmarkEnd w:id="40"/>
    </w:p>
    <w:p w14:paraId="15020D03">
      <w:pPr>
        <w:pStyle w:val="74"/>
      </w:pPr>
      <w:r>
        <w:rPr>
          <w:rFonts w:hint="eastAsia"/>
        </w:rPr>
        <w:t>项目编号：FSCZB2025100001</w:t>
      </w:r>
    </w:p>
    <w:p w14:paraId="0AB9F24D">
      <w:pPr>
        <w:pStyle w:val="73"/>
      </w:pPr>
      <w:bookmarkStart w:id="4" w:name="_Toc47976589"/>
      <w:r>
        <w:rPr>
          <w:rFonts w:hint="eastAsia"/>
          <w:lang w:val="en-US" w:eastAsia="zh-CN"/>
        </w:rPr>
        <w:t>项目概况</w:t>
      </w:r>
      <w:r>
        <w:rPr>
          <w:rFonts w:hint="eastAsia"/>
        </w:rPr>
        <w:t>及招标形式</w:t>
      </w:r>
      <w:bookmarkEnd w:id="4"/>
    </w:p>
    <w:p w14:paraId="1A912F05">
      <w:pPr>
        <w:pStyle w:val="74"/>
        <w:numPr>
          <w:ilvl w:val="0"/>
          <w:numId w:val="9"/>
        </w:numPr>
      </w:pPr>
      <w:r>
        <w:rPr>
          <w:rFonts w:hint="eastAsia"/>
        </w:rPr>
        <w:t>招标内容：公司2007年投入使用的两台数控精细等离子切割机（同轨作业）现已使用超过15年，常年高负荷的作业，设备老化情况严重，设备耗材费用较高，并且较高的设备故障率已严重影响正常生产的开展。项目计划新增一台20KW激光切割机替代老旧的两台数控等离子切割机，同时配备相应的吸尘、供气等辅助设施。项目投入使用后，将进一步提升公司板材下料工艺装备水平，有效保证日常生产对下料能力的需求。</w:t>
      </w:r>
    </w:p>
    <w:p w14:paraId="4EC58B63">
      <w:pPr>
        <w:pStyle w:val="74"/>
      </w:pPr>
      <w:r>
        <w:rPr>
          <w:rFonts w:hint="eastAsia"/>
        </w:rPr>
        <w:t>招标形式：</w:t>
      </w:r>
      <w:r>
        <w:rPr>
          <w:rFonts w:hint="eastAsia"/>
          <w:lang w:val="en-US" w:eastAsia="zh-CN"/>
        </w:rPr>
        <w:t>公开招标</w:t>
      </w:r>
    </w:p>
    <w:p w14:paraId="0B813421">
      <w:pPr>
        <w:pStyle w:val="73"/>
        <w:rPr>
          <w:highlight w:val="yellow"/>
        </w:rPr>
      </w:pPr>
      <w:bookmarkStart w:id="5" w:name="_Toc47976590"/>
      <w:r>
        <w:rPr>
          <w:rFonts w:hint="eastAsia"/>
          <w:highlight w:val="yellow"/>
        </w:rPr>
        <w:t>投标人资格要求</w:t>
      </w:r>
      <w:bookmarkEnd w:id="5"/>
    </w:p>
    <w:p w14:paraId="4336682A">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1.拟标投人必须是在中华人民共和国境内注册的独立法人机构，具有独立承担民事责任能力；注册资金不少于1000万人民币（或等值其他货币）；公司成立三年以上（以营业执照成立日期到开标当日满三年为准），且经营范围满足招标人需求；并在人员、设备、资金等方面具有承担本项目的能力；</w:t>
      </w:r>
    </w:p>
    <w:p w14:paraId="5283196F">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2.拟投标人应提供营业执照副本原件和扫描件（需盖章）；</w:t>
      </w:r>
    </w:p>
    <w:p w14:paraId="70F22729">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3.拟投标人应提供法定代表人资格证明文件；</w:t>
      </w:r>
    </w:p>
    <w:p w14:paraId="3170F969">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4.拟投标人在国家市场监督管理总局的《国家企业信用信息公示系统》中查询不存在不良记录；</w:t>
      </w:r>
    </w:p>
    <w:p w14:paraId="53F437A7">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5.拟投标人不存在严重违规或被列入招标人“黑名单”的声明；</w:t>
      </w:r>
    </w:p>
    <w:p w14:paraId="7B4A15BB">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6.拟投标人2021年1月1日至今经第三方会计师事务所审计且出具无保留意见的财务审计报告，并加盖公章，包括但不限于报告页、经审计的资产负债表、利润表、现金流量表及报表附注，且未显示异常；如无法提供，请提供相关说明。</w:t>
      </w:r>
    </w:p>
    <w:p w14:paraId="46EA5D4D">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7.拟投标人有与本次招标内容相同或类似项目业绩，且近3年内无因服务不当而造成重大事故；</w:t>
      </w:r>
    </w:p>
    <w:p w14:paraId="587653C7">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8.拟投标人近三年内在经营活动中无与本项目有关的违法及重大违规情况；</w:t>
      </w:r>
    </w:p>
    <w:p w14:paraId="4CB116F1">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9.拟投标人须认可招标人的工作指令，包括节、假日能正常开展工作的要求；</w:t>
      </w:r>
    </w:p>
    <w:p w14:paraId="0EF86EF0">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10.拟投标人最近半年纳税正常；</w:t>
      </w:r>
    </w:p>
    <w:p w14:paraId="1F011401">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11.拟投标人信用证明材料（征信报告）未显示异常；</w:t>
      </w:r>
    </w:p>
    <w:p w14:paraId="089FDF51">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12.拟投标人的直接或间接股东、法定代表人、董事、监事、高管非重汽员工及其亲属；</w:t>
      </w:r>
    </w:p>
    <w:p w14:paraId="77631245">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13企业对外担保说明（写明投标单位对外有无对外担保和质押业务，需加盖公章）；</w:t>
      </w:r>
    </w:p>
    <w:p w14:paraId="10B6BD40">
      <w:pPr>
        <w:pStyle w:val="73"/>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14.本项目不接受联合体、代理商投标，拟投标人必须是最终投标单位和签订合同单位，不得以任何理由将已中标项目以任何形式分包或转包给其他单位。</w:t>
      </w:r>
    </w:p>
    <w:p w14:paraId="76B97D53">
      <w:pPr>
        <w:pStyle w:val="73"/>
        <w:rPr>
          <w:highlight w:val="none"/>
        </w:rPr>
      </w:pPr>
      <w:bookmarkStart w:id="6" w:name="_Toc47976591"/>
      <w:r>
        <w:rPr>
          <w:rFonts w:hint="eastAsia"/>
          <w:highlight w:val="none"/>
        </w:rPr>
        <w:t>报名及招标文件的获取</w:t>
      </w:r>
      <w:bookmarkEnd w:id="6"/>
    </w:p>
    <w:p w14:paraId="01FDA97E">
      <w:pPr>
        <w:pStyle w:val="73"/>
        <w:numPr>
          <w:ilvl w:val="0"/>
          <w:numId w:val="0"/>
        </w:numPr>
        <w:ind w:leftChars="0"/>
        <w:rPr>
          <w:rFonts w:hint="eastAsia" w:ascii="宋体" w:hAnsi="宋体" w:eastAsia="宋体" w:cs="宋体"/>
          <w:sz w:val="21"/>
          <w:szCs w:val="21"/>
          <w:highlight w:val="yellow"/>
        </w:rPr>
      </w:pPr>
      <w:r>
        <w:rPr>
          <w:rFonts w:hint="eastAsia" w:ascii="宋体" w:hAnsi="宋体" w:eastAsia="宋体" w:cs="宋体"/>
          <w:sz w:val="21"/>
          <w:szCs w:val="21"/>
          <w:highlight w:val="none"/>
          <w:lang w:val="en-US" w:eastAsia="zh-CN"/>
        </w:rPr>
        <w:t>重汽e采通，重汽官网等平台</w:t>
      </w:r>
    </w:p>
    <w:p w14:paraId="4509C0DA">
      <w:pPr>
        <w:pStyle w:val="73"/>
        <w:rPr>
          <w:highlight w:val="yellow"/>
        </w:rPr>
      </w:pPr>
      <w:bookmarkStart w:id="7" w:name="_Toc47976592"/>
      <w:r>
        <w:rPr>
          <w:rFonts w:hint="eastAsia"/>
          <w:highlight w:val="yellow"/>
        </w:rPr>
        <w:t>投标文件的递交</w:t>
      </w:r>
      <w:bookmarkEnd w:id="7"/>
    </w:p>
    <w:p w14:paraId="56E2BAAC">
      <w:pPr>
        <w:pStyle w:val="73"/>
        <w:numPr>
          <w:ilvl w:val="0"/>
          <w:numId w:val="0"/>
        </w:numPr>
        <w:ind w:leftChars="0"/>
        <w:rPr>
          <w:rFonts w:hint="eastAsia" w:ascii="宋体" w:hAnsi="宋体" w:eastAsia="宋体" w:cs="宋体"/>
          <w:sz w:val="21"/>
          <w:szCs w:val="21"/>
          <w:highlight w:val="yellow"/>
        </w:rPr>
      </w:pPr>
      <w:r>
        <w:rPr>
          <w:rFonts w:hint="eastAsia" w:ascii="宋体" w:hAnsi="宋体" w:eastAsia="宋体" w:cs="宋体"/>
          <w:sz w:val="21"/>
          <w:szCs w:val="21"/>
          <w:highlight w:val="none"/>
          <w:lang w:val="en-US" w:eastAsia="zh-CN"/>
        </w:rPr>
        <w:t>e采通系统上传电子文件</w:t>
      </w:r>
    </w:p>
    <w:p w14:paraId="27B65ABD">
      <w:pPr>
        <w:pStyle w:val="73"/>
        <w:rPr>
          <w:highlight w:val="yellow"/>
        </w:rPr>
      </w:pPr>
      <w:r>
        <w:rPr>
          <w:rFonts w:hint="eastAsia"/>
          <w:highlight w:val="yellow"/>
          <w:lang w:val="en-US" w:eastAsia="zh-CN"/>
        </w:rPr>
        <w:t>开标时间和地点</w:t>
      </w:r>
    </w:p>
    <w:p w14:paraId="7DA904F8">
      <w:pPr>
        <w:pStyle w:val="73"/>
        <w:numPr>
          <w:ilvl w:val="0"/>
          <w:numId w:val="0"/>
        </w:numPr>
        <w:ind w:leftChars="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开标时间：2025年11月11号9点00分</w:t>
      </w:r>
    </w:p>
    <w:p w14:paraId="2DEA083B">
      <w:pPr>
        <w:pStyle w:val="73"/>
        <w:numPr>
          <w:ilvl w:val="0"/>
          <w:numId w:val="0"/>
        </w:numPr>
        <w:ind w:leftChars="0"/>
        <w:rPr>
          <w:rFonts w:hint="default" w:ascii="宋体" w:hAnsi="宋体" w:eastAsia="宋体" w:cs="宋体"/>
          <w:sz w:val="21"/>
          <w:szCs w:val="21"/>
          <w:highlight w:val="yellow"/>
          <w:lang w:val="en-US"/>
        </w:rPr>
      </w:pPr>
      <w:r>
        <w:rPr>
          <w:rFonts w:hint="eastAsia" w:ascii="宋体" w:hAnsi="宋体" w:eastAsia="宋体" w:cs="宋体"/>
          <w:sz w:val="21"/>
          <w:szCs w:val="21"/>
          <w:highlight w:val="none"/>
          <w:lang w:val="en-US" w:eastAsia="zh-CN"/>
        </w:rPr>
        <w:t>开标地点：线上（暂定）</w:t>
      </w:r>
    </w:p>
    <w:p w14:paraId="22385406">
      <w:pPr>
        <w:pStyle w:val="73"/>
      </w:pPr>
      <w:bookmarkStart w:id="8" w:name="_Toc47976593"/>
      <w:r>
        <w:rPr>
          <w:rFonts w:hint="eastAsia"/>
        </w:rPr>
        <w:t>招标公告发布媒介</w:t>
      </w:r>
      <w:bookmarkEnd w:id="8"/>
    </w:p>
    <w:p w14:paraId="15C59335">
      <w:pPr>
        <w:pStyle w:val="74"/>
        <w:numPr>
          <w:ilvl w:val="0"/>
          <w:numId w:val="0"/>
        </w:numPr>
        <w:rPr>
          <w:rFonts w:hint="eastAsia"/>
          <w:highlight w:val="none"/>
        </w:rPr>
      </w:pPr>
      <w:r>
        <w:rPr>
          <w:rFonts w:hint="eastAsia"/>
          <w:highlight w:val="none"/>
        </w:rPr>
        <w:t xml:space="preserve">本次招标公告同时在 </w:t>
      </w:r>
      <w:r>
        <w:rPr>
          <w:rFonts w:hint="eastAsia"/>
          <w:highlight w:val="none"/>
          <w:lang w:val="en-US" w:eastAsia="zh-CN"/>
        </w:rPr>
        <w:t>重汽e采通，重汽官网，阳光采购平台</w:t>
      </w:r>
      <w:r>
        <w:rPr>
          <w:rFonts w:hint="eastAsia"/>
          <w:highlight w:val="none"/>
        </w:rPr>
        <w:t>上发布。</w:t>
      </w:r>
    </w:p>
    <w:p w14:paraId="65FC2213">
      <w:pPr>
        <w:pStyle w:val="73"/>
        <w:rPr>
          <w:highlight w:val="yellow"/>
        </w:rPr>
      </w:pPr>
      <w:bookmarkStart w:id="9" w:name="_Toc47976594"/>
      <w:r>
        <w:rPr>
          <w:rFonts w:hint="eastAsia"/>
          <w:highlight w:val="yellow"/>
        </w:rPr>
        <w:t>联系方式</w:t>
      </w:r>
      <w:bookmarkEnd w:id="9"/>
    </w:p>
    <w:p w14:paraId="1C827295">
      <w:pPr>
        <w:pStyle w:val="73"/>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商务联系人：李帅威-17860605079</w:t>
      </w:r>
    </w:p>
    <w:p w14:paraId="42F3703B">
      <w:pPr>
        <w:pStyle w:val="73"/>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技术联系人：张卫波-15253846000</w:t>
      </w:r>
    </w:p>
    <w:p w14:paraId="5F538BD8">
      <w:pPr>
        <w:pStyle w:val="77"/>
      </w:pPr>
    </w:p>
    <w:p w14:paraId="6D4C3503">
      <w:pPr>
        <w:pStyle w:val="77"/>
      </w:pPr>
    </w:p>
    <w:p w14:paraId="70A7FEA7">
      <w:pPr>
        <w:pStyle w:val="77"/>
        <w:jc w:val="both"/>
        <w:rPr>
          <w:rFonts w:hint="default"/>
          <w:highlight w:val="cyan"/>
          <w:u w:val="single"/>
          <w:lang w:val="en-US" w:eastAsia="zh-CN"/>
        </w:rPr>
      </w:pPr>
    </w:p>
    <w:p w14:paraId="3A7E2D48">
      <w:pPr>
        <w:pStyle w:val="77"/>
        <w:jc w:val="right"/>
        <w:rPr>
          <w:rFonts w:hint="eastAsia"/>
          <w:highlight w:val="cyan"/>
          <w:u w:val="single"/>
          <w:lang w:val="en-US" w:eastAsia="zh-CN"/>
        </w:rPr>
      </w:pPr>
    </w:p>
    <w:p w14:paraId="22C6BEDA">
      <w:pPr>
        <w:pStyle w:val="77"/>
        <w:jc w:val="right"/>
        <w:rPr>
          <w:rFonts w:hint="eastAsia"/>
          <w:highlight w:val="cyan"/>
          <w:u w:val="single"/>
          <w:lang w:val="en-US" w:eastAsia="zh-CN"/>
        </w:rPr>
      </w:pPr>
    </w:p>
    <w:p w14:paraId="04C96706">
      <w:pPr>
        <w:pStyle w:val="77"/>
      </w:pPr>
    </w:p>
    <w:p w14:paraId="17D11F99">
      <w:pPr>
        <w:pStyle w:val="77"/>
      </w:pPr>
    </w:p>
    <w:p w14:paraId="0457C8CE">
      <w:pPr>
        <w:pStyle w:val="77"/>
      </w:pPr>
    </w:p>
    <w:p w14:paraId="7D387847">
      <w:pPr>
        <w:pStyle w:val="77"/>
      </w:pPr>
    </w:p>
    <w:p w14:paraId="2BBAA2EE">
      <w:pPr>
        <w:pStyle w:val="77"/>
      </w:pPr>
    </w:p>
    <w:p w14:paraId="3D820EEC">
      <w:pPr>
        <w:pStyle w:val="72"/>
      </w:pPr>
      <w:bookmarkStart w:id="10" w:name="_Toc47976595"/>
      <w:bookmarkStart w:id="11" w:name="_Toc7753"/>
      <w:r>
        <w:rPr>
          <w:rFonts w:hint="eastAsia"/>
        </w:rPr>
        <w:t>第一部分  投标人须知</w:t>
      </w:r>
      <w:bookmarkEnd w:id="10"/>
      <w:bookmarkEnd w:id="11"/>
    </w:p>
    <w:p w14:paraId="418340FC">
      <w:pPr>
        <w:pStyle w:val="73"/>
        <w:numPr>
          <w:ilvl w:val="0"/>
          <w:numId w:val="10"/>
        </w:numPr>
        <w:ind w:left="420"/>
        <w:jc w:val="left"/>
      </w:pPr>
      <w:bookmarkStart w:id="12" w:name="_Toc47976596"/>
      <w:r>
        <w:rPr>
          <w:rFonts w:hint="eastAsia"/>
        </w:rPr>
        <w:t>项目介绍</w:t>
      </w:r>
      <w:bookmarkEnd w:id="12"/>
    </w:p>
    <w:p w14:paraId="6360E7CD">
      <w:pPr>
        <w:pStyle w:val="77"/>
        <w:numPr>
          <w:ilvl w:val="0"/>
          <w:numId w:val="11"/>
        </w:numPr>
        <w:ind w:left="425" w:leftChars="0" w:hanging="425" w:firstLineChars="0"/>
      </w:pPr>
      <w:r>
        <w:rPr>
          <w:rFonts w:hint="eastAsia"/>
        </w:rPr>
        <w:t>项目名称：泰安五岳公司-下料设备更新项目</w:t>
      </w:r>
    </w:p>
    <w:p w14:paraId="17A97EAA">
      <w:pPr>
        <w:pStyle w:val="77"/>
        <w:numPr>
          <w:ilvl w:val="0"/>
          <w:numId w:val="11"/>
        </w:numPr>
        <w:ind w:left="425" w:leftChars="0" w:hanging="425" w:firstLineChars="0"/>
      </w:pPr>
      <w:r>
        <w:rPr>
          <w:rFonts w:hint="eastAsia"/>
        </w:rPr>
        <w:t>项目编号：FSCZB2025100001</w:t>
      </w:r>
    </w:p>
    <w:p w14:paraId="5C6CF568">
      <w:pPr>
        <w:pStyle w:val="77"/>
        <w:numPr>
          <w:ilvl w:val="0"/>
          <w:numId w:val="11"/>
        </w:numPr>
        <w:ind w:left="425" w:leftChars="0" w:hanging="425" w:firstLineChars="0"/>
      </w:pPr>
      <w:r>
        <w:rPr>
          <w:rFonts w:hint="eastAsia"/>
        </w:rPr>
        <w:t>招标形式：</w:t>
      </w:r>
      <w:bookmarkStart w:id="13" w:name="_Toc47112482"/>
      <w:r>
        <w:rPr>
          <w:rFonts w:hint="eastAsia"/>
          <w:lang w:val="en-US" w:eastAsia="zh-CN"/>
        </w:rPr>
        <w:t>公开招标</w:t>
      </w:r>
    </w:p>
    <w:p w14:paraId="742B3A80">
      <w:pPr>
        <w:pStyle w:val="77"/>
        <w:numPr>
          <w:ilvl w:val="0"/>
          <w:numId w:val="11"/>
        </w:numPr>
        <w:ind w:left="425" w:leftChars="0" w:hanging="425" w:firstLineChars="0"/>
      </w:pPr>
      <w:r>
        <w:rPr>
          <w:rFonts w:hint="eastAsia"/>
          <w:lang w:val="en-US" w:eastAsia="zh-CN"/>
        </w:rPr>
        <w:t>项目概况：公司2007年投入使用的两台数控精细等离子切割机（同轨作业）现已使用超过15年，常年高负荷的作业，设备老化情况严重，设备耗材费用较高，并且较高的设备故障率已严重影响正常生产的开展。项目计划新增一台20KW激光切割机替代老旧的两台数控等离子切割机，同时配备相应的吸尘、供气等辅助设施。项目投入使用后，将进一步提升公司板材下料工艺装备水平，有效保证日常生产对下料能力的需求。</w:t>
      </w:r>
    </w:p>
    <w:p w14:paraId="151561C8">
      <w:pPr>
        <w:pStyle w:val="77"/>
        <w:numPr>
          <w:ilvl w:val="0"/>
          <w:numId w:val="11"/>
        </w:numPr>
        <w:ind w:left="425" w:leftChars="0" w:hanging="425" w:firstLineChars="0"/>
        <w:rPr>
          <w:rFonts w:hint="default" w:ascii="宋体" w:hAnsi="Courier New" w:eastAsia="宋体" w:cs="Times New Roman"/>
          <w:highlight w:val="none"/>
          <w:lang w:val="en-US" w:eastAsia="zh-CN"/>
        </w:rPr>
      </w:pPr>
      <w:r>
        <w:rPr>
          <w:rFonts w:hint="eastAsia" w:cs="Times New Roman"/>
          <w:highlight w:val="none"/>
          <w:lang w:val="en-US" w:eastAsia="zh-CN"/>
        </w:rPr>
        <w:t>招标内容</w:t>
      </w:r>
      <w:r>
        <w:rPr>
          <w:rFonts w:hint="eastAsia" w:ascii="宋体" w:hAnsi="Courier New" w:eastAsia="宋体" w:cs="Times New Roman"/>
          <w:highlight w:val="none"/>
          <w:lang w:val="en-US" w:eastAsia="zh-CN"/>
        </w:rPr>
        <w:t>具体要求详见《技术标书》。</w:t>
      </w:r>
    </w:p>
    <w:p w14:paraId="10BC6F77">
      <w:pPr>
        <w:pStyle w:val="77"/>
        <w:numPr>
          <w:ilvl w:val="0"/>
          <w:numId w:val="11"/>
        </w:numPr>
        <w:ind w:left="425" w:leftChars="0" w:hanging="425" w:firstLineChars="0"/>
        <w:rPr>
          <w:rFonts w:hint="default" w:cs="Times New Roman"/>
          <w:highlight w:val="yellow"/>
          <w:u w:val="none"/>
          <w:lang w:val="en-US" w:eastAsia="zh-CN"/>
        </w:rPr>
      </w:pPr>
      <w:r>
        <w:rPr>
          <w:rFonts w:hint="eastAsia"/>
          <w:highlight w:val="yellow"/>
          <w:lang w:val="en-US" w:eastAsia="zh-CN"/>
        </w:rPr>
        <w:t>报价：报价上限：含税113.91万元；税率：13%</w:t>
      </w:r>
    </w:p>
    <w:p w14:paraId="7BC3DB93">
      <w:pPr>
        <w:pStyle w:val="77"/>
        <w:numPr>
          <w:ilvl w:val="0"/>
          <w:numId w:val="11"/>
        </w:numPr>
        <w:ind w:left="425" w:leftChars="0" w:hanging="425" w:firstLineChars="0"/>
      </w:pPr>
      <w:r>
        <w:rPr>
          <w:rFonts w:hint="eastAsia" w:ascii="宋体" w:hAnsi="Courier New" w:eastAsia="宋体" w:cs="Times New Roman"/>
          <w:highlight w:val="yellow"/>
          <w:lang w:val="en-US" w:eastAsia="zh-CN"/>
        </w:rPr>
        <w:t>招标人信息</w:t>
      </w:r>
      <w:r>
        <w:rPr>
          <w:rFonts w:hint="eastAsia" w:ascii="宋体" w:hAnsi="Courier New" w:eastAsia="宋体" w:cs="Times New Roman"/>
          <w:highlight w:val="none"/>
          <w:lang w:val="en-US" w:eastAsia="zh-CN"/>
        </w:rPr>
        <w:t>：</w:t>
      </w:r>
      <w:r>
        <w:rPr>
          <w:rFonts w:hint="eastAsia" w:cs="Times New Roman"/>
          <w:highlight w:val="none"/>
          <w:lang w:val="en-US" w:eastAsia="zh-CN"/>
        </w:rPr>
        <w:t>李帅威-17</w:t>
      </w:r>
      <w:bookmarkEnd w:id="13"/>
      <w:bookmarkStart w:id="14" w:name="_Toc47976598"/>
      <w:r>
        <w:rPr>
          <w:rFonts w:hint="eastAsia" w:cs="Times New Roman"/>
          <w:highlight w:val="none"/>
          <w:lang w:val="en-US" w:eastAsia="zh-CN"/>
        </w:rPr>
        <w:t>860605079；</w:t>
      </w:r>
      <w:r>
        <w:rPr>
          <w:rFonts w:hint="eastAsia" w:ascii="宋体" w:hAnsi="宋体" w:eastAsia="宋体" w:cs="宋体"/>
          <w:sz w:val="21"/>
          <w:szCs w:val="21"/>
          <w:highlight w:val="none"/>
          <w:lang w:val="en-US" w:eastAsia="zh-CN"/>
        </w:rPr>
        <w:t>张卫波-15253846000</w:t>
      </w:r>
    </w:p>
    <w:p w14:paraId="50DC6C75">
      <w:pPr>
        <w:pStyle w:val="77"/>
        <w:numPr>
          <w:ilvl w:val="0"/>
          <w:numId w:val="11"/>
        </w:numPr>
        <w:ind w:left="425" w:leftChars="0" w:hanging="425" w:firstLineChars="0"/>
      </w:pPr>
      <w:r>
        <w:rPr>
          <w:rFonts w:hint="eastAsia"/>
        </w:rPr>
        <w:t>合格的投标人。</w:t>
      </w:r>
      <w:bookmarkEnd w:id="14"/>
    </w:p>
    <w:p w14:paraId="3C8DE851">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投标人须遵守《中华人民共和国招标投标法》及其它有关的法律和法规；为中华人民共和国境内注册的独立法人机构，具有独立承担民事责任能力；</w:t>
      </w:r>
    </w:p>
    <w:p w14:paraId="3A0297CA">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hint="eastAsia" w:ascii="宋体" w:hAnsi="Courier New" w:eastAsia="宋体" w:cs="Times New Roman"/>
          <w:b w:val="0"/>
          <w:bCs/>
          <w:strike w:val="0"/>
          <w:dstrike w:val="0"/>
          <w:highlight w:val="none"/>
        </w:rPr>
      </w:pPr>
      <w:r>
        <w:rPr>
          <w:rFonts w:hint="eastAsia" w:ascii="宋体" w:hAnsi="Courier New" w:eastAsia="宋体" w:cs="Times New Roman"/>
          <w:b w:val="0"/>
          <w:bCs/>
          <w:strike w:val="0"/>
          <w:dstrike w:val="0"/>
          <w:highlight w:val="none"/>
        </w:rPr>
        <w:t>拟标投人必须是在中华人民共和国境内注册的独立法人机构，具有独立承担民事责任能力；注册资金不少于</w:t>
      </w:r>
      <w:r>
        <w:rPr>
          <w:rFonts w:hint="eastAsia" w:ascii="宋体" w:hAnsi="Courier New" w:eastAsia="宋体" w:cs="Times New Roman"/>
          <w:b w:val="0"/>
          <w:bCs/>
          <w:strike w:val="0"/>
          <w:dstrike w:val="0"/>
          <w:highlight w:val="yellow"/>
          <w:u w:val="single"/>
          <w:lang w:val="en-US" w:eastAsia="zh-CN"/>
        </w:rPr>
        <w:t xml:space="preserve"> </w:t>
      </w:r>
      <w:r>
        <w:rPr>
          <w:rFonts w:hint="eastAsia" w:cs="Times New Roman"/>
          <w:b w:val="0"/>
          <w:bCs/>
          <w:strike w:val="0"/>
          <w:dstrike w:val="0"/>
          <w:highlight w:val="yellow"/>
          <w:u w:val="single"/>
          <w:lang w:val="en-US" w:eastAsia="zh-CN"/>
        </w:rPr>
        <w:t>1000</w:t>
      </w:r>
      <w:r>
        <w:rPr>
          <w:rFonts w:hint="eastAsia" w:ascii="宋体" w:hAnsi="Courier New" w:eastAsia="宋体" w:cs="Times New Roman"/>
          <w:b w:val="0"/>
          <w:bCs/>
          <w:strike w:val="0"/>
          <w:dstrike w:val="0"/>
          <w:highlight w:val="yellow"/>
          <w:u w:val="single"/>
          <w:lang w:val="en-US" w:eastAsia="zh-CN"/>
        </w:rPr>
        <w:t xml:space="preserve">  </w:t>
      </w:r>
      <w:r>
        <w:rPr>
          <w:rFonts w:hint="eastAsia" w:ascii="宋体" w:hAnsi="Courier New" w:eastAsia="宋体" w:cs="Times New Roman"/>
          <w:b w:val="0"/>
          <w:bCs/>
          <w:strike w:val="0"/>
          <w:dstrike w:val="0"/>
          <w:highlight w:val="none"/>
        </w:rPr>
        <w:t>万人民币（或等值其他货币）；公司成立</w:t>
      </w:r>
      <w:r>
        <w:rPr>
          <w:rFonts w:hint="eastAsia" w:ascii="宋体" w:hAnsi="Courier New" w:eastAsia="宋体" w:cs="Times New Roman"/>
          <w:b w:val="0"/>
          <w:bCs/>
          <w:strike w:val="0"/>
          <w:dstrike w:val="0"/>
          <w:highlight w:val="yellow"/>
          <w:u w:val="single"/>
          <w:lang w:val="en-US" w:eastAsia="zh-CN"/>
        </w:rPr>
        <w:t xml:space="preserve">  </w:t>
      </w:r>
      <w:r>
        <w:rPr>
          <w:rFonts w:hint="eastAsia" w:cs="Times New Roman"/>
          <w:b w:val="0"/>
          <w:bCs/>
          <w:strike w:val="0"/>
          <w:dstrike w:val="0"/>
          <w:highlight w:val="yellow"/>
          <w:u w:val="single"/>
          <w:lang w:val="en-US" w:eastAsia="zh-CN"/>
        </w:rPr>
        <w:t>3</w:t>
      </w:r>
      <w:r>
        <w:rPr>
          <w:rFonts w:hint="eastAsia" w:ascii="宋体" w:hAnsi="Courier New" w:eastAsia="宋体" w:cs="Times New Roman"/>
          <w:b w:val="0"/>
          <w:bCs/>
          <w:strike w:val="0"/>
          <w:dstrike w:val="0"/>
          <w:highlight w:val="yellow"/>
          <w:u w:val="single"/>
          <w:lang w:val="en-US" w:eastAsia="zh-CN"/>
        </w:rPr>
        <w:t xml:space="preserve">  </w:t>
      </w:r>
      <w:r>
        <w:rPr>
          <w:rFonts w:hint="eastAsia" w:ascii="宋体" w:hAnsi="Courier New" w:eastAsia="宋体" w:cs="Times New Roman"/>
          <w:b w:val="0"/>
          <w:bCs/>
          <w:strike w:val="0"/>
          <w:dstrike w:val="0"/>
          <w:highlight w:val="none"/>
        </w:rPr>
        <w:t>年以上（以营业执照成立日期到开标当日满</w:t>
      </w:r>
      <w:r>
        <w:rPr>
          <w:rFonts w:hint="eastAsia" w:ascii="宋体" w:hAnsi="Courier New" w:eastAsia="宋体" w:cs="Times New Roman"/>
          <w:b w:val="0"/>
          <w:bCs/>
          <w:strike w:val="0"/>
          <w:dstrike w:val="0"/>
          <w:highlight w:val="yellow"/>
          <w:u w:val="single"/>
          <w:lang w:val="en-US" w:eastAsia="zh-CN"/>
        </w:rPr>
        <w:t xml:space="preserve"> </w:t>
      </w:r>
      <w:r>
        <w:rPr>
          <w:rFonts w:hint="eastAsia" w:cs="Times New Roman"/>
          <w:b w:val="0"/>
          <w:bCs/>
          <w:strike w:val="0"/>
          <w:dstrike w:val="0"/>
          <w:highlight w:val="yellow"/>
          <w:u w:val="single"/>
          <w:lang w:val="en-US" w:eastAsia="zh-CN"/>
        </w:rPr>
        <w:t>3</w:t>
      </w:r>
      <w:r>
        <w:rPr>
          <w:rFonts w:hint="eastAsia" w:ascii="宋体" w:hAnsi="Courier New" w:eastAsia="宋体" w:cs="Times New Roman"/>
          <w:b w:val="0"/>
          <w:bCs/>
          <w:strike w:val="0"/>
          <w:dstrike w:val="0"/>
          <w:highlight w:val="yellow"/>
          <w:u w:val="single"/>
          <w:lang w:val="en-US" w:eastAsia="zh-CN"/>
        </w:rPr>
        <w:t xml:space="preserve"> </w:t>
      </w:r>
      <w:r>
        <w:rPr>
          <w:rFonts w:hint="eastAsia" w:ascii="宋体" w:hAnsi="Courier New" w:eastAsia="宋体" w:cs="Times New Roman"/>
          <w:b w:val="0"/>
          <w:bCs/>
          <w:strike w:val="0"/>
          <w:dstrike w:val="0"/>
          <w:highlight w:val="none"/>
        </w:rPr>
        <w:t>年为准），且经营范围满足招标人需求；并在人员、设备、资金等方面具有承担本项目的能力；</w:t>
      </w:r>
    </w:p>
    <w:p w14:paraId="2B164D82">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投标人须具有良好的商业信誉和健全的财务会计制度，财务状况和市场行为良好。没有处于被有权机关吊销营业执照、吊销资质、停业整顿、取消投标资格以及财产被接管、冻结或进入破产程序等；</w:t>
      </w:r>
    </w:p>
    <w:p w14:paraId="11A84527">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投标人在“信用中国”中未列入联合惩戒失信人名单，且工商行政管理局的《国家企业信用信息公示系统》中查询不存在不良记录；</w:t>
      </w:r>
    </w:p>
    <w:p w14:paraId="7850D9F4">
      <w:pPr>
        <w:pStyle w:val="74"/>
        <w:numPr>
          <w:ilvl w:val="0"/>
          <w:numId w:val="12"/>
        </w:numPr>
        <w:ind w:left="0" w:firstLine="0"/>
        <w:rPr>
          <w:b w:val="0"/>
          <w:bCs/>
        </w:rPr>
      </w:pPr>
      <w:r>
        <w:rPr>
          <w:rFonts w:hint="eastAsia" w:ascii="宋体" w:hAnsi="Courier New" w:eastAsia="宋体" w:cs="Times New Roman"/>
          <w:b w:val="0"/>
          <w:bCs/>
          <w:strike w:val="0"/>
          <w:dstrike w:val="0"/>
          <w:highlight w:val="none"/>
        </w:rPr>
        <w:t>无招标违规、谎报年度报告信息、提供虚假资质资料等行为或其他行政处罚记录；</w:t>
      </w:r>
    </w:p>
    <w:p w14:paraId="0124C8EA">
      <w:pPr>
        <w:pStyle w:val="74"/>
        <w:numPr>
          <w:ilvl w:val="0"/>
          <w:numId w:val="12"/>
        </w:numPr>
        <w:ind w:left="0" w:firstLine="0"/>
        <w:rPr>
          <w:rFonts w:hint="eastAsia" w:ascii="宋体" w:hAnsi="Courier New" w:eastAsia="宋体" w:cs="Times New Roman"/>
          <w:b w:val="0"/>
          <w:bCs/>
          <w:strike w:val="0"/>
          <w:dstrike w:val="0"/>
          <w:highlight w:val="none"/>
        </w:rPr>
      </w:pPr>
      <w:r>
        <w:rPr>
          <w:rFonts w:hint="eastAsia"/>
          <w:b w:val="0"/>
          <w:bCs/>
        </w:rPr>
        <w:t>近三年内在经营活动中无与本项目有关的违法及重大违规情况</w:t>
      </w:r>
      <w:r>
        <w:rPr>
          <w:rFonts w:hint="eastAsia"/>
          <w:b w:val="0"/>
          <w:bCs/>
          <w:lang w:eastAsia="zh-CN"/>
        </w:rPr>
        <w:t>；</w:t>
      </w:r>
    </w:p>
    <w:p w14:paraId="7F71A33C">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投标人没有被列入招标人处《黑名单》（《黑名单》指投标人与招标人在以往或正在进行的合作中，存在招标人认为的违反合同约定或违反法律法规等的失信行为）的；</w:t>
      </w:r>
    </w:p>
    <w:p w14:paraId="45902C3C">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公司经营范围满足招标项目需求；</w:t>
      </w:r>
    </w:p>
    <w:p w14:paraId="46FDC1F4">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投标人须具有履行招标文件所有设备、专业技术等要求的能力；</w:t>
      </w:r>
    </w:p>
    <w:p w14:paraId="10068469">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投标人须有依法缴纳税收和社会保障资金的良好记录；</w:t>
      </w:r>
    </w:p>
    <w:p w14:paraId="651270A8">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具有本次招标货物的供货、安装、售后服务等的相应资质；</w:t>
      </w:r>
    </w:p>
    <w:p w14:paraId="274E20B1">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投标人须负责提供合理的便于运输的包装物，并承担相关费用</w:t>
      </w:r>
      <w:r>
        <w:rPr>
          <w:rFonts w:hint="eastAsia"/>
          <w:b w:val="0"/>
          <w:bCs/>
          <w:strike w:val="0"/>
          <w:dstrike w:val="0"/>
          <w:highlight w:val="none"/>
          <w:lang w:eastAsia="zh-CN"/>
        </w:rPr>
        <w:t>；</w:t>
      </w:r>
    </w:p>
    <w:p w14:paraId="7B48E8FC">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投标人须认可招标人的工作指令，包括节、假日能正常开展工作的要求。</w:t>
      </w:r>
    </w:p>
    <w:p w14:paraId="316F538A">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ascii="宋体" w:hAnsi="Courier New" w:eastAsia="宋体" w:cs="Times New Roman"/>
          <w:b w:val="0"/>
          <w:bCs/>
          <w:strike w:val="0"/>
          <w:dstrike w:val="0"/>
          <w:highlight w:val="none"/>
          <w:lang w:val="en-US" w:eastAsia="zh-CN"/>
        </w:rPr>
        <w:t>拟投标人的直接或间接股东、法定代表人、董事、监事、高管非重汽员工及其亲属；</w:t>
      </w:r>
    </w:p>
    <w:p w14:paraId="371EFEB6">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投标人必须是最终投标、签订合同的单位，不得以任何理由将已中标项目以任何形式转包或者分包给其他单位</w:t>
      </w:r>
      <w:r>
        <w:rPr>
          <w:rFonts w:hint="eastAsia"/>
          <w:b w:val="0"/>
          <w:bCs/>
          <w:strike w:val="0"/>
          <w:dstrike w:val="0"/>
          <w:highlight w:val="none"/>
          <w:lang w:eastAsia="zh-CN"/>
        </w:rPr>
        <w:t>；</w:t>
      </w:r>
    </w:p>
    <w:p w14:paraId="3B1E6D00">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bCs w:val="0"/>
          <w:strike w:val="0"/>
          <w:dstrike w:val="0"/>
          <w:color w:val="FF0000"/>
          <w:highlight w:val="none"/>
        </w:rPr>
      </w:pPr>
      <w:r>
        <w:rPr>
          <w:rFonts w:hint="eastAsia"/>
          <w:b w:val="0"/>
          <w:bCs/>
          <w:strike w:val="0"/>
          <w:dstrike w:val="0"/>
          <w:highlight w:val="none"/>
        </w:rPr>
        <w:t>本次招标项目（</w:t>
      </w:r>
      <w:r>
        <w:rPr>
          <w:rFonts w:hint="eastAsia"/>
          <w:b w:val="0"/>
          <w:bCs/>
          <w:strike w:val="0"/>
          <w:dstrike w:val="0"/>
          <w:highlight w:val="yellow"/>
          <w:u w:val="none"/>
        </w:rPr>
        <w:t>不接受</w:t>
      </w:r>
      <w:r>
        <w:rPr>
          <w:rFonts w:hint="eastAsia"/>
          <w:b w:val="0"/>
          <w:bCs/>
          <w:strike w:val="0"/>
          <w:dstrike w:val="0"/>
          <w:highlight w:val="none"/>
        </w:rPr>
        <w:t>）联合体投标</w:t>
      </w:r>
      <w:r>
        <w:rPr>
          <w:rFonts w:hint="eastAsia"/>
          <w:b w:val="0"/>
          <w:bCs/>
          <w:strike w:val="0"/>
          <w:dstrike w:val="0"/>
          <w:highlight w:val="none"/>
          <w:lang w:eastAsia="zh-CN"/>
        </w:rPr>
        <w:t>；</w:t>
      </w:r>
    </w:p>
    <w:p w14:paraId="3339A7C9">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法律、行政法规规定的其他条件</w:t>
      </w:r>
      <w:r>
        <w:rPr>
          <w:rFonts w:hint="eastAsia"/>
          <w:b w:val="0"/>
          <w:bCs/>
          <w:strike w:val="0"/>
          <w:dstrike w:val="0"/>
          <w:highlight w:val="none"/>
          <w:lang w:eastAsia="zh-CN"/>
        </w:rPr>
        <w:t>；</w:t>
      </w:r>
    </w:p>
    <w:p w14:paraId="31CA8C38">
      <w:pPr>
        <w:pStyle w:val="73"/>
        <w:rPr>
          <w:rFonts w:hint="eastAsia" w:hAnsi="Courier New" w:cs="Times New Roman"/>
          <w:highlight w:val="none"/>
        </w:rPr>
      </w:pPr>
      <w:r>
        <w:rPr>
          <w:rFonts w:hint="eastAsia" w:hAnsi="Courier New" w:cs="Times New Roman"/>
          <w:highlight w:val="none"/>
        </w:rPr>
        <w:t>招标文件的</w:t>
      </w:r>
      <w:r>
        <w:rPr>
          <w:rFonts w:hint="eastAsia" w:hAnsi="Courier New" w:cs="Times New Roman"/>
          <w:highlight w:val="none"/>
          <w:lang w:val="en-US" w:eastAsia="zh-CN"/>
        </w:rPr>
        <w:t>领取、</w:t>
      </w:r>
      <w:r>
        <w:rPr>
          <w:rFonts w:hint="eastAsia" w:hAnsi="Courier New" w:cs="Times New Roman"/>
          <w:highlight w:val="none"/>
        </w:rPr>
        <w:t>答疑、</w:t>
      </w:r>
      <w:r>
        <w:rPr>
          <w:rFonts w:hint="eastAsia" w:hAnsi="Courier New" w:cs="Times New Roman"/>
          <w:highlight w:val="none"/>
          <w:lang w:val="en-US" w:eastAsia="zh-CN"/>
        </w:rPr>
        <w:t>应标</w:t>
      </w:r>
      <w:r>
        <w:rPr>
          <w:rFonts w:hint="eastAsia" w:hAnsi="Courier New" w:cs="Times New Roman"/>
          <w:highlight w:val="none"/>
        </w:rPr>
        <w:t>及投标报名</w:t>
      </w:r>
    </w:p>
    <w:p w14:paraId="09A92690">
      <w:pPr>
        <w:pStyle w:val="77"/>
        <w:numPr>
          <w:ilvl w:val="0"/>
          <w:numId w:val="13"/>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w:t>
      </w:r>
      <w:r>
        <w:rPr>
          <w:rFonts w:hint="eastAsia" w:ascii="宋体" w:hAnsi="Courier New" w:eastAsia="宋体" w:cs="Times New Roman"/>
          <w:highlight w:val="yellow"/>
          <w:lang w:val="en-US" w:eastAsia="zh-CN"/>
        </w:rPr>
        <w:t>20</w:t>
      </w:r>
      <w:r>
        <w:rPr>
          <w:rFonts w:hint="eastAsia" w:cs="Times New Roman"/>
          <w:highlight w:val="yellow"/>
          <w:lang w:val="en-US" w:eastAsia="zh-CN"/>
        </w:rPr>
        <w:t>25</w:t>
      </w:r>
      <w:r>
        <w:rPr>
          <w:rFonts w:hint="eastAsia" w:ascii="宋体" w:hAnsi="Courier New" w:eastAsia="宋体" w:cs="Times New Roman"/>
          <w:highlight w:val="yellow"/>
          <w:lang w:val="en-US" w:eastAsia="zh-CN"/>
        </w:rPr>
        <w:t>年</w:t>
      </w:r>
      <w:r>
        <w:rPr>
          <w:rFonts w:hint="eastAsia" w:cs="Times New Roman"/>
          <w:highlight w:val="yellow"/>
          <w:lang w:val="en-US" w:eastAsia="zh-CN"/>
        </w:rPr>
        <w:t>10</w:t>
      </w:r>
      <w:r>
        <w:rPr>
          <w:rFonts w:hint="eastAsia" w:ascii="宋体" w:hAnsi="Courier New" w:eastAsia="宋体" w:cs="Times New Roman"/>
          <w:highlight w:val="yellow"/>
          <w:lang w:val="en-US" w:eastAsia="zh-CN"/>
        </w:rPr>
        <w:t>月</w:t>
      </w:r>
      <w:r>
        <w:rPr>
          <w:rFonts w:hint="eastAsia" w:cs="Times New Roman"/>
          <w:highlight w:val="yellow"/>
          <w:lang w:val="en-US" w:eastAsia="zh-CN"/>
        </w:rPr>
        <w:t>13</w:t>
      </w:r>
      <w:r>
        <w:rPr>
          <w:rFonts w:hint="eastAsia" w:ascii="宋体" w:hAnsi="Courier New" w:eastAsia="宋体" w:cs="Times New Roman"/>
          <w:highlight w:val="yellow"/>
          <w:lang w:val="en-US" w:eastAsia="zh-CN"/>
        </w:rPr>
        <w:t>日</w:t>
      </w:r>
    </w:p>
    <w:p w14:paraId="7480CA22">
      <w:pPr>
        <w:pStyle w:val="77"/>
        <w:numPr>
          <w:ilvl w:val="0"/>
          <w:numId w:val="13"/>
        </w:numPr>
        <w:ind w:left="425" w:leftChars="0" w:hanging="425" w:firstLineChars="0"/>
        <w:jc w:val="both"/>
        <w:rPr>
          <w:rFonts w:hint="default" w:ascii="宋体" w:hAnsi="Courier New" w:eastAsia="宋体" w:cs="Times New Roman"/>
          <w:highlight w:val="yellow"/>
          <w:lang w:val="en-US" w:eastAsia="zh-CN"/>
        </w:rPr>
      </w:pPr>
      <w:r>
        <w:rPr>
          <w:rFonts w:hint="eastAsia" w:ascii="宋体" w:hAnsi="Courier New" w:eastAsia="宋体" w:cs="Times New Roman"/>
          <w:highlight w:val="yellow"/>
          <w:lang w:val="en-US" w:eastAsia="zh-CN"/>
        </w:rPr>
        <w:t>招标文件领取方式、地点及领取截止时间</w:t>
      </w:r>
    </w:p>
    <w:p w14:paraId="62084E4B">
      <w:pPr>
        <w:pStyle w:val="77"/>
        <w:numPr>
          <w:ilvl w:val="0"/>
          <w:numId w:val="13"/>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答疑时间：20</w:t>
      </w:r>
      <w:r>
        <w:rPr>
          <w:rFonts w:hint="eastAsia" w:cs="Times New Roman"/>
          <w:highlight w:val="none"/>
          <w:lang w:val="en-US" w:eastAsia="zh-CN"/>
        </w:rPr>
        <w:t>25</w:t>
      </w:r>
      <w:r>
        <w:rPr>
          <w:rFonts w:hint="eastAsia" w:ascii="宋体" w:hAnsi="Courier New" w:eastAsia="宋体" w:cs="Times New Roman"/>
          <w:highlight w:val="none"/>
          <w:lang w:val="en-US" w:eastAsia="zh-CN"/>
        </w:rPr>
        <w:t>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23</w:t>
      </w:r>
      <w:r>
        <w:rPr>
          <w:rFonts w:hint="eastAsia" w:ascii="宋体" w:hAnsi="Courier New" w:eastAsia="宋体" w:cs="Times New Roman"/>
          <w:highlight w:val="none"/>
          <w:lang w:val="en-US" w:eastAsia="zh-CN"/>
        </w:rPr>
        <w:t>日前</w:t>
      </w:r>
    </w:p>
    <w:p w14:paraId="62CB87C4">
      <w:pPr>
        <w:pStyle w:val="77"/>
        <w:keepNext w:val="0"/>
        <w:keepLines w:val="0"/>
        <w:pageBreakBefore w:val="0"/>
        <w:widowControl w:val="0"/>
        <w:numPr>
          <w:ilvl w:val="0"/>
          <w:numId w:val="13"/>
        </w:numPr>
        <w:kinsoku/>
        <w:wordWrap/>
        <w:overflowPunct/>
        <w:topLinePunct w:val="0"/>
        <w:autoSpaceDE/>
        <w:autoSpaceDN/>
        <w:bidi w:val="0"/>
        <w:adjustRightInd/>
        <w:snapToGrid/>
        <w:ind w:left="0" w:leftChars="0" w:firstLine="0" w:firstLineChars="0"/>
        <w:jc w:val="both"/>
        <w:textAlignment w:val="auto"/>
        <w:rPr>
          <w:rFonts w:hint="eastAsia" w:cs="Times New Roman"/>
          <w:highlight w:val="none"/>
          <w:lang w:val="en-US" w:eastAsia="zh-CN"/>
        </w:rPr>
      </w:pPr>
      <w:r>
        <w:rPr>
          <w:rFonts w:hint="eastAsia" w:cs="Times New Roman"/>
          <w:highlight w:val="none"/>
          <w:lang w:val="en-US" w:eastAsia="zh-CN"/>
        </w:rPr>
        <w:t>提交疑问</w:t>
      </w:r>
      <w:r>
        <w:rPr>
          <w:rFonts w:hint="eastAsia" w:ascii="宋体" w:hAnsi="Courier New" w:eastAsia="宋体" w:cs="Times New Roman"/>
          <w:highlight w:val="none"/>
          <w:lang w:val="en-US" w:eastAsia="zh-CN"/>
        </w:rPr>
        <w:t>方式</w:t>
      </w:r>
      <w:r>
        <w:rPr>
          <w:rFonts w:hint="eastAsia" w:cs="Times New Roman"/>
          <w:highlight w:val="none"/>
          <w:lang w:val="en-US" w:eastAsia="zh-CN"/>
        </w:rPr>
        <w:t>：建议电话联系（或者将答疑问题以word文件格式发送至联系人邮件内，并电话联系工作人员查收，</w:t>
      </w:r>
      <w:r>
        <w:rPr>
          <w:rFonts w:hint="eastAsia" w:cs="Times New Roman"/>
          <w:b/>
          <w:bCs/>
          <w:highlight w:val="none"/>
          <w:lang w:val="en-US" w:eastAsia="zh-CN"/>
        </w:rPr>
        <w:t>邮件名格式为：XXX公司（五个字以内公司简称）XX项目答疑文件。同时必须在邮件中以文字方式提供投标人全称、投标授权人姓名、联系方式（固定电话、手机、电子邮箱），并提供附件2法定代表人授权委托书。）</w:t>
      </w:r>
    </w:p>
    <w:p w14:paraId="07C0B551">
      <w:pPr>
        <w:pStyle w:val="77"/>
        <w:numPr>
          <w:ilvl w:val="0"/>
          <w:numId w:val="13"/>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领取答疑、澄清和修改文件时间：20</w:t>
      </w:r>
      <w:r>
        <w:rPr>
          <w:rFonts w:hint="eastAsia" w:cs="Times New Roman"/>
          <w:highlight w:val="none"/>
          <w:lang w:val="en-US" w:eastAsia="zh-CN"/>
        </w:rPr>
        <w:t>25</w:t>
      </w:r>
      <w:r>
        <w:rPr>
          <w:rFonts w:hint="eastAsia" w:ascii="宋体" w:hAnsi="Courier New" w:eastAsia="宋体" w:cs="Times New Roman"/>
          <w:highlight w:val="none"/>
          <w:lang w:val="en-US" w:eastAsia="zh-CN"/>
        </w:rPr>
        <w:t>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23</w:t>
      </w:r>
      <w:r>
        <w:rPr>
          <w:rFonts w:hint="eastAsia" w:ascii="宋体" w:hAnsi="Courier New" w:eastAsia="宋体" w:cs="Times New Roman"/>
          <w:highlight w:val="none"/>
          <w:lang w:val="en-US" w:eastAsia="zh-CN"/>
        </w:rPr>
        <w:t>日前：</w:t>
      </w:r>
    </w:p>
    <w:p w14:paraId="59AC1516">
      <w:pPr>
        <w:pStyle w:val="77"/>
        <w:keepNext w:val="0"/>
        <w:keepLines w:val="0"/>
        <w:pageBreakBefore w:val="0"/>
        <w:widowControl w:val="0"/>
        <w:numPr>
          <w:ilvl w:val="0"/>
          <w:numId w:val="13"/>
        </w:numPr>
        <w:kinsoku/>
        <w:wordWrap/>
        <w:overflowPunct/>
        <w:topLinePunct w:val="0"/>
        <w:autoSpaceDE/>
        <w:autoSpaceDN/>
        <w:bidi w:val="0"/>
        <w:adjustRightInd/>
        <w:snapToGrid/>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答疑、澄清和修改文件方式：招标人将以电子邮件的方式将招标文件的答疑澄清文件发送至答疑文件提交时登记的电子邮箱。</w:t>
      </w:r>
    </w:p>
    <w:p w14:paraId="2C7F0CB4">
      <w:pPr>
        <w:pStyle w:val="77"/>
        <w:numPr>
          <w:ilvl w:val="0"/>
          <w:numId w:val="13"/>
        </w:numPr>
        <w:ind w:left="425" w:leftChars="0" w:hanging="425" w:firstLineChars="0"/>
        <w:jc w:val="both"/>
        <w:rPr>
          <w:rFonts w:hint="eastAsia" w:ascii="宋体" w:hAnsi="Courier New" w:eastAsia="宋体" w:cs="Times New Roman"/>
          <w:highlight w:val="yellow"/>
          <w:lang w:val="en-US" w:eastAsia="zh-CN"/>
        </w:rPr>
      </w:pPr>
      <w:r>
        <w:rPr>
          <w:rFonts w:hint="eastAsia" w:ascii="宋体" w:hAnsi="Courier New" w:eastAsia="宋体" w:cs="Times New Roman"/>
          <w:highlight w:val="yellow"/>
          <w:lang w:val="en-US" w:eastAsia="zh-CN"/>
        </w:rPr>
        <w:t>报名方式</w:t>
      </w:r>
      <w:r>
        <w:rPr>
          <w:rFonts w:hint="eastAsia" w:cs="Times New Roman"/>
          <w:highlight w:val="yellow"/>
          <w:lang w:val="en-US" w:eastAsia="zh-CN"/>
        </w:rPr>
        <w:t>：</w:t>
      </w:r>
      <w:r>
        <w:rPr>
          <w:rFonts w:hint="eastAsia" w:cs="Times New Roman"/>
          <w:highlight w:val="none"/>
          <w:lang w:val="en-US" w:eastAsia="zh-CN"/>
        </w:rPr>
        <w:t>重汽e采通系统</w:t>
      </w:r>
    </w:p>
    <w:p w14:paraId="2D48A6E3">
      <w:pPr>
        <w:pStyle w:val="77"/>
        <w:numPr>
          <w:ilvl w:val="0"/>
          <w:numId w:val="13"/>
        </w:numPr>
        <w:ind w:left="425" w:leftChars="0" w:hanging="425" w:firstLineChars="0"/>
        <w:jc w:val="both"/>
        <w:rPr>
          <w:rFonts w:hint="eastAsia" w:ascii="宋体" w:hAnsi="Courier New" w:eastAsia="宋体" w:cs="Times New Roman"/>
          <w:highlight w:val="yellow"/>
          <w:lang w:val="en-US" w:eastAsia="zh-CN"/>
        </w:rPr>
      </w:pPr>
      <w:r>
        <w:rPr>
          <w:rFonts w:hint="eastAsia" w:ascii="宋体" w:hAnsi="Courier New" w:eastAsia="宋体" w:cs="Times New Roman"/>
          <w:highlight w:val="yellow"/>
          <w:lang w:val="en-US" w:eastAsia="zh-CN"/>
        </w:rPr>
        <w:t>应标截止时间</w:t>
      </w:r>
      <w:r>
        <w:rPr>
          <w:rFonts w:hint="eastAsia" w:cs="Times New Roman"/>
          <w:highlight w:val="yellow"/>
          <w:lang w:val="en-US" w:eastAsia="zh-CN"/>
        </w:rPr>
        <w:t>：2025年10月20日17点00分</w:t>
      </w:r>
    </w:p>
    <w:p w14:paraId="0C785EC5">
      <w:pPr>
        <w:pStyle w:val="73"/>
        <w:rPr>
          <w:rFonts w:hint="eastAsia" w:ascii="宋体" w:hAnsi="Courier New" w:eastAsia="宋体" w:cs="Times New Roman"/>
          <w:highlight w:val="none"/>
          <w:lang w:val="en-US" w:eastAsia="zh-CN"/>
        </w:rPr>
      </w:pPr>
      <w:r>
        <w:rPr>
          <w:rFonts w:hint="eastAsia" w:hAnsi="Courier New" w:cs="Times New Roman"/>
          <w:highlight w:val="none"/>
        </w:rPr>
        <w:t>投标文件</w:t>
      </w:r>
      <w:r>
        <w:rPr>
          <w:rFonts w:hint="eastAsia" w:cs="Times New Roman"/>
          <w:highlight w:val="none"/>
          <w:lang w:val="en-US" w:eastAsia="zh-CN"/>
        </w:rPr>
        <w:t>编制</w:t>
      </w:r>
    </w:p>
    <w:p w14:paraId="59493963">
      <w:pPr>
        <w:pStyle w:val="74"/>
        <w:keepNext w:val="0"/>
        <w:keepLines w:val="0"/>
        <w:pageBreakBefore w:val="0"/>
        <w:widowControl w:val="0"/>
        <w:numPr>
          <w:ilvl w:val="0"/>
          <w:numId w:val="14"/>
        </w:numPr>
        <w:kinsoku/>
        <w:wordWrap/>
        <w:overflowPunct/>
        <w:topLinePunct w:val="0"/>
        <w:autoSpaceDE/>
        <w:autoSpaceDN/>
        <w:bidi w:val="0"/>
        <w:adjustRightInd/>
        <w:snapToGrid/>
        <w:ind w:left="0" w:leftChars="0" w:firstLine="0" w:firstLineChars="0"/>
        <w:textAlignment w:val="auto"/>
        <w:rPr>
          <w:b w:val="0"/>
        </w:rPr>
      </w:pPr>
      <w:r>
        <w:rPr>
          <w:rFonts w:hint="eastAsia"/>
          <w:b w:val="0"/>
          <w:lang w:val="en-US" w:eastAsia="zh-CN"/>
        </w:rPr>
        <w:t>投标文件的组成</w:t>
      </w:r>
    </w:p>
    <w:p w14:paraId="5EA04826">
      <w:pPr>
        <w:pStyle w:val="7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投标人编写的投标文件由《投标文件（资质标）》、《投标文件（技术标）》、《投标文件（商务标）》（开标一览表）文件组成，共计</w:t>
      </w:r>
      <w:r>
        <w:rPr>
          <w:rFonts w:hint="eastAsia" w:ascii="宋体" w:hAnsi="Courier New" w:eastAsia="宋体" w:cs="Times New Roman"/>
          <w:b w:val="0"/>
          <w:bCs/>
          <w:highlight w:val="yellow"/>
          <w:u w:val="single"/>
          <w:lang w:val="en-US" w:eastAsia="zh-CN"/>
        </w:rPr>
        <w:t xml:space="preserve"> </w:t>
      </w:r>
      <w:r>
        <w:rPr>
          <w:rFonts w:hint="eastAsia" w:cs="Times New Roman"/>
          <w:b w:val="0"/>
          <w:bCs/>
          <w:highlight w:val="yellow"/>
          <w:u w:val="single"/>
          <w:lang w:val="en-US" w:eastAsia="zh-CN"/>
        </w:rPr>
        <w:t>3</w:t>
      </w:r>
      <w:r>
        <w:rPr>
          <w:rFonts w:hint="eastAsia" w:ascii="宋体" w:hAnsi="Courier New" w:eastAsia="宋体" w:cs="Times New Roman"/>
          <w:b w:val="0"/>
          <w:bCs/>
          <w:highlight w:val="yellow"/>
          <w:u w:val="single"/>
          <w:lang w:val="en-US" w:eastAsia="zh-CN"/>
        </w:rPr>
        <w:t xml:space="preserve"> </w:t>
      </w:r>
      <w:r>
        <w:rPr>
          <w:rFonts w:hint="eastAsia" w:ascii="宋体" w:hAnsi="Courier New" w:eastAsia="宋体" w:cs="Times New Roman"/>
          <w:b w:val="0"/>
          <w:bCs/>
          <w:highlight w:val="none"/>
          <w:lang w:val="en-US" w:eastAsia="zh-CN"/>
        </w:rPr>
        <w:t>个文件。</w:t>
      </w:r>
    </w:p>
    <w:p w14:paraId="2DD7BA97">
      <w:pPr>
        <w:pStyle w:val="75"/>
        <w:numPr>
          <w:ilvl w:val="0"/>
          <w:numId w:val="15"/>
        </w:numPr>
        <w:ind w:left="425" w:leftChars="0" w:hanging="425" w:firstLineChars="0"/>
        <w:rPr>
          <w:b w:val="0"/>
          <w:bCs/>
          <w:highlight w:val="none"/>
        </w:rPr>
      </w:pPr>
      <w:r>
        <w:rPr>
          <w:rFonts w:hint="eastAsia"/>
          <w:b w:val="0"/>
          <w:bCs/>
          <w:highlight w:val="none"/>
        </w:rPr>
        <w:t>资质文件：</w:t>
      </w:r>
    </w:p>
    <w:p w14:paraId="13BAC003">
      <w:pPr>
        <w:pStyle w:val="76"/>
        <w:numPr>
          <w:ilvl w:val="0"/>
          <w:numId w:val="16"/>
        </w:numPr>
        <w:ind w:left="425" w:leftChars="0" w:hanging="425" w:firstLineChars="0"/>
        <w:rPr>
          <w:b w:val="0"/>
          <w:bCs/>
          <w:highlight w:val="none"/>
        </w:rPr>
      </w:pPr>
      <w:r>
        <w:rPr>
          <w:rFonts w:hint="eastAsia"/>
          <w:b w:val="0"/>
          <w:bCs/>
          <w:highlight w:val="none"/>
        </w:rPr>
        <w:t>法定代表人身份证明；</w:t>
      </w:r>
    </w:p>
    <w:p w14:paraId="4DBDF119">
      <w:pPr>
        <w:pStyle w:val="76"/>
        <w:numPr>
          <w:ilvl w:val="0"/>
          <w:numId w:val="16"/>
        </w:numPr>
        <w:ind w:left="425" w:leftChars="0" w:hanging="425" w:firstLineChars="0"/>
        <w:rPr>
          <w:b w:val="0"/>
          <w:bCs/>
          <w:highlight w:val="none"/>
        </w:rPr>
      </w:pPr>
      <w:r>
        <w:rPr>
          <w:rFonts w:hint="eastAsia"/>
          <w:b w:val="0"/>
          <w:bCs/>
          <w:highlight w:val="none"/>
        </w:rPr>
        <w:t>法定代表人授权委托书（授权人需带身份证原件）；</w:t>
      </w:r>
    </w:p>
    <w:p w14:paraId="73FE5F95">
      <w:pPr>
        <w:pStyle w:val="76"/>
        <w:numPr>
          <w:ilvl w:val="0"/>
          <w:numId w:val="16"/>
        </w:numPr>
        <w:ind w:left="425" w:leftChars="0" w:hanging="425" w:firstLineChars="0"/>
        <w:rPr>
          <w:b w:val="0"/>
          <w:bCs/>
          <w:highlight w:val="none"/>
        </w:rPr>
      </w:pPr>
      <w:r>
        <w:rPr>
          <w:rFonts w:hint="eastAsia"/>
          <w:b w:val="0"/>
          <w:bCs/>
          <w:highlight w:val="none"/>
        </w:rPr>
        <w:t>营业执照副本原件</w:t>
      </w:r>
      <w:r>
        <w:rPr>
          <w:rFonts w:hint="eastAsia"/>
          <w:b w:val="0"/>
          <w:bCs/>
          <w:highlight w:val="none"/>
          <w:lang w:val="en-US" w:eastAsia="zh-CN"/>
        </w:rPr>
        <w:t>或复印件并加盖公章</w:t>
      </w:r>
      <w:r>
        <w:rPr>
          <w:rFonts w:hint="eastAsia"/>
          <w:b w:val="0"/>
          <w:bCs/>
          <w:highlight w:val="none"/>
        </w:rPr>
        <w:t>；</w:t>
      </w:r>
    </w:p>
    <w:p w14:paraId="440F9E5B">
      <w:pPr>
        <w:pStyle w:val="76"/>
        <w:keepNext w:val="0"/>
        <w:keepLines w:val="0"/>
        <w:pageBreakBefore w:val="0"/>
        <w:widowControl w:val="0"/>
        <w:numPr>
          <w:ilvl w:val="0"/>
          <w:numId w:val="16"/>
        </w:numPr>
        <w:kinsoku/>
        <w:wordWrap/>
        <w:overflowPunct/>
        <w:topLinePunct w:val="0"/>
        <w:autoSpaceDE/>
        <w:autoSpaceDN/>
        <w:bidi w:val="0"/>
        <w:adjustRightInd/>
        <w:snapToGrid/>
        <w:ind w:left="0" w:leftChars="0" w:firstLine="0" w:firstLineChars="0"/>
        <w:textAlignment w:val="auto"/>
        <w:rPr>
          <w:b w:val="0"/>
          <w:bCs/>
          <w:highlight w:val="none"/>
        </w:rPr>
      </w:pPr>
      <w:r>
        <w:rPr>
          <w:rFonts w:hint="eastAsia"/>
          <w:b w:val="0"/>
          <w:bCs/>
          <w:highlight w:val="none"/>
        </w:rPr>
        <w:t>投标人应具有相应生产证明，若</w:t>
      </w:r>
      <w:r>
        <w:rPr>
          <w:rFonts w:hint="eastAsia"/>
          <w:b w:val="0"/>
          <w:bCs/>
          <w:highlight w:val="none"/>
          <w:lang w:val="en-US" w:eastAsia="zh-CN"/>
        </w:rPr>
        <w:t>非原厂商</w:t>
      </w:r>
      <w:r>
        <w:rPr>
          <w:rFonts w:hint="eastAsia"/>
          <w:b w:val="0"/>
          <w:bCs/>
          <w:highlight w:val="none"/>
        </w:rPr>
        <w:t>需提供</w:t>
      </w:r>
      <w:r>
        <w:rPr>
          <w:rFonts w:hint="eastAsia"/>
          <w:b w:val="0"/>
          <w:bCs/>
          <w:highlight w:val="none"/>
          <w:lang w:val="en-US" w:eastAsia="zh-CN"/>
        </w:rPr>
        <w:t>原厂商</w:t>
      </w:r>
      <w:r>
        <w:rPr>
          <w:rFonts w:hint="eastAsia"/>
          <w:b w:val="0"/>
          <w:bCs/>
          <w:highlight w:val="none"/>
        </w:rPr>
        <w:t>授权书（原件或加盖投标单位公章的彩色打印件）；</w:t>
      </w:r>
    </w:p>
    <w:p w14:paraId="6A7B69C9">
      <w:pPr>
        <w:pStyle w:val="76"/>
        <w:keepNext w:val="0"/>
        <w:keepLines w:val="0"/>
        <w:pageBreakBefore w:val="0"/>
        <w:widowControl w:val="0"/>
        <w:numPr>
          <w:ilvl w:val="0"/>
          <w:numId w:val="16"/>
        </w:numPr>
        <w:kinsoku/>
        <w:wordWrap/>
        <w:overflowPunct/>
        <w:topLinePunct w:val="0"/>
        <w:autoSpaceDE/>
        <w:autoSpaceDN/>
        <w:bidi w:val="0"/>
        <w:adjustRightInd/>
        <w:snapToGrid/>
        <w:ind w:left="0" w:leftChars="0" w:firstLine="0" w:firstLineChars="0"/>
        <w:textAlignment w:val="auto"/>
        <w:rPr>
          <w:b w:val="0"/>
          <w:bCs/>
          <w:highlight w:val="none"/>
        </w:rPr>
      </w:pPr>
      <w:r>
        <w:rPr>
          <w:rFonts w:hint="eastAsia"/>
          <w:b w:val="0"/>
          <w:bCs/>
          <w:highlight w:val="none"/>
        </w:rPr>
        <w:t>证明投标人满足投标资料表中列出的业绩要求的文件</w:t>
      </w:r>
      <w:r>
        <w:rPr>
          <w:rFonts w:hint="eastAsia"/>
          <w:b w:val="0"/>
          <w:bCs/>
          <w:highlight w:val="none"/>
          <w:lang w:eastAsia="zh-CN"/>
        </w:rPr>
        <w:t>；</w:t>
      </w:r>
    </w:p>
    <w:p w14:paraId="2E43C7FD">
      <w:pPr>
        <w:pStyle w:val="76"/>
        <w:keepNext w:val="0"/>
        <w:keepLines w:val="0"/>
        <w:pageBreakBefore w:val="0"/>
        <w:widowControl w:val="0"/>
        <w:numPr>
          <w:ilvl w:val="0"/>
          <w:numId w:val="16"/>
        </w:numPr>
        <w:kinsoku/>
        <w:wordWrap/>
        <w:overflowPunct/>
        <w:topLinePunct w:val="0"/>
        <w:autoSpaceDE/>
        <w:autoSpaceDN/>
        <w:bidi w:val="0"/>
        <w:adjustRightInd/>
        <w:snapToGrid/>
        <w:ind w:left="0" w:leftChars="0" w:firstLine="0" w:firstLineChars="0"/>
        <w:textAlignment w:val="auto"/>
        <w:rPr>
          <w:b w:val="0"/>
          <w:bCs/>
          <w:highlight w:val="none"/>
        </w:rPr>
      </w:pPr>
      <w:r>
        <w:rPr>
          <w:rFonts w:hint="eastAsia" w:hAnsi="Courier New"/>
          <w:b w:val="0"/>
          <w:bCs/>
          <w:highlight w:val="none"/>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CB7B902">
      <w:pPr>
        <w:pStyle w:val="76"/>
        <w:numPr>
          <w:ilvl w:val="0"/>
          <w:numId w:val="16"/>
        </w:numPr>
        <w:ind w:left="425" w:leftChars="0" w:hanging="425" w:firstLineChars="0"/>
        <w:rPr>
          <w:rFonts w:hint="eastAsia" w:hAnsi="Courier New"/>
          <w:b w:val="0"/>
          <w:bCs/>
          <w:highlight w:val="none"/>
        </w:rPr>
      </w:pPr>
      <w:r>
        <w:rPr>
          <w:rFonts w:hint="eastAsia" w:hAnsi="Courier New"/>
          <w:b w:val="0"/>
          <w:bCs/>
          <w:highlight w:val="none"/>
        </w:rPr>
        <w:t>企业最近半年完税证明、信用证明材料（征信报告）；</w:t>
      </w:r>
    </w:p>
    <w:p w14:paraId="2F1917FF">
      <w:pPr>
        <w:pStyle w:val="76"/>
        <w:numPr>
          <w:ilvl w:val="0"/>
          <w:numId w:val="16"/>
        </w:numPr>
        <w:ind w:left="425" w:leftChars="0" w:hanging="425" w:firstLineChars="0"/>
        <w:rPr>
          <w:rFonts w:hint="eastAsia" w:hAnsi="Courier New"/>
          <w:b w:val="0"/>
          <w:bCs/>
          <w:highlight w:val="none"/>
        </w:rPr>
      </w:pPr>
      <w:r>
        <w:rPr>
          <w:rFonts w:hint="eastAsia" w:hAnsi="Courier New"/>
          <w:b w:val="0"/>
          <w:bCs/>
          <w:highlight w:val="none"/>
        </w:rPr>
        <w:t>年度纳税信用评价信息（可从电子税务局查询截图，需加盖公章）；</w:t>
      </w:r>
    </w:p>
    <w:p w14:paraId="66CC3FFB">
      <w:pPr>
        <w:pStyle w:val="76"/>
        <w:numPr>
          <w:ilvl w:val="0"/>
          <w:numId w:val="16"/>
        </w:numPr>
        <w:ind w:left="425" w:leftChars="0" w:hanging="425" w:firstLineChars="0"/>
        <w:rPr>
          <w:rFonts w:hint="eastAsia" w:hAnsi="Courier New"/>
          <w:b w:val="0"/>
          <w:bCs/>
          <w:highlight w:val="none"/>
        </w:rPr>
      </w:pPr>
      <w:r>
        <w:rPr>
          <w:rFonts w:hint="eastAsia" w:hAnsi="Courier New"/>
          <w:b w:val="0"/>
          <w:bCs/>
          <w:highlight w:val="none"/>
        </w:rPr>
        <w:t>企业对外担保说明（写明贵单位对外有无对外担保和质押业务，需加盖公章）。</w:t>
      </w:r>
    </w:p>
    <w:p w14:paraId="49857420">
      <w:pPr>
        <w:pStyle w:val="76"/>
        <w:numPr>
          <w:ilvl w:val="0"/>
          <w:numId w:val="16"/>
        </w:numPr>
        <w:ind w:left="425" w:leftChars="0" w:hanging="425" w:firstLineChars="0"/>
        <w:rPr>
          <w:b w:val="0"/>
          <w:bCs/>
          <w:highlight w:val="none"/>
        </w:rPr>
      </w:pPr>
      <w:r>
        <w:rPr>
          <w:rFonts w:hint="eastAsia"/>
          <w:b w:val="0"/>
          <w:bCs/>
          <w:highlight w:val="none"/>
        </w:rPr>
        <w:t>信用中国截图或国家企业信用信息公示系统截图；</w:t>
      </w:r>
    </w:p>
    <w:p w14:paraId="0FCAA68A">
      <w:pPr>
        <w:pStyle w:val="76"/>
        <w:keepNext w:val="0"/>
        <w:keepLines w:val="0"/>
        <w:pageBreakBefore w:val="0"/>
        <w:widowControl w:val="0"/>
        <w:numPr>
          <w:ilvl w:val="0"/>
          <w:numId w:val="17"/>
        </w:numPr>
        <w:kinsoku/>
        <w:wordWrap/>
        <w:overflowPunct/>
        <w:topLinePunct w:val="0"/>
        <w:autoSpaceDE/>
        <w:autoSpaceDN/>
        <w:bidi w:val="0"/>
        <w:adjustRightInd/>
        <w:snapToGrid/>
        <w:ind w:left="10" w:leftChars="0" w:firstLine="0"/>
        <w:textAlignment w:val="auto"/>
        <w:rPr>
          <w:b w:val="0"/>
          <w:bCs/>
          <w:highlight w:val="none"/>
        </w:rPr>
      </w:pPr>
      <w:r>
        <w:rPr>
          <w:rFonts w:hint="eastAsia"/>
          <w:b w:val="0"/>
          <w:bCs/>
          <w:highlight w:val="none"/>
        </w:rPr>
        <w:t>对于投标人资质审核不通过的，招标人有权拒绝其投标。</w:t>
      </w:r>
    </w:p>
    <w:p w14:paraId="35D922EF">
      <w:pPr>
        <w:pStyle w:val="75"/>
        <w:numPr>
          <w:ilvl w:val="0"/>
          <w:numId w:val="15"/>
        </w:numPr>
        <w:ind w:left="425" w:leftChars="0" w:hanging="425" w:firstLineChars="0"/>
        <w:rPr>
          <w:rFonts w:hint="eastAsia" w:cs="Times New Roman"/>
          <w:b w:val="0"/>
          <w:bCs/>
          <w:highlight w:val="yellow"/>
        </w:rPr>
      </w:pPr>
      <w:r>
        <w:rPr>
          <w:rFonts w:hint="eastAsia" w:cs="Times New Roman"/>
          <w:b w:val="0"/>
          <w:bCs/>
          <w:highlight w:val="yellow"/>
        </w:rPr>
        <w:t>技术标：</w:t>
      </w:r>
    </w:p>
    <w:p w14:paraId="3D6F729D">
      <w:pPr>
        <w:pStyle w:val="76"/>
        <w:numPr>
          <w:ilvl w:val="0"/>
          <w:numId w:val="18"/>
        </w:numPr>
        <w:ind w:left="425" w:leftChars="0" w:hanging="425" w:firstLineChars="0"/>
        <w:rPr>
          <w:b w:val="0"/>
          <w:bCs/>
          <w:highlight w:val="yellow"/>
        </w:rPr>
      </w:pPr>
      <w:r>
        <w:rPr>
          <w:rFonts w:hint="eastAsia"/>
          <w:b w:val="0"/>
          <w:bCs/>
          <w:highlight w:val="yellow"/>
        </w:rPr>
        <w:t>投标设备配置明细表；</w:t>
      </w:r>
    </w:p>
    <w:p w14:paraId="5D2BBFAC">
      <w:pPr>
        <w:pStyle w:val="76"/>
        <w:numPr>
          <w:ilvl w:val="0"/>
          <w:numId w:val="18"/>
        </w:numPr>
        <w:ind w:left="425" w:leftChars="0" w:hanging="425" w:firstLineChars="0"/>
        <w:rPr>
          <w:b w:val="0"/>
          <w:bCs/>
          <w:highlight w:val="yellow"/>
        </w:rPr>
      </w:pPr>
      <w:r>
        <w:rPr>
          <w:rFonts w:hint="eastAsia"/>
          <w:b w:val="0"/>
          <w:bCs/>
          <w:highlight w:val="yellow"/>
        </w:rPr>
        <w:t>技术性能、参数的描述；</w:t>
      </w:r>
      <w:r>
        <w:rPr>
          <w:b w:val="0"/>
          <w:bCs/>
          <w:highlight w:val="yellow"/>
        </w:rPr>
        <w:t xml:space="preserve"> </w:t>
      </w:r>
    </w:p>
    <w:p w14:paraId="6E70AD99">
      <w:pPr>
        <w:pStyle w:val="76"/>
        <w:numPr>
          <w:ilvl w:val="0"/>
          <w:numId w:val="18"/>
        </w:numPr>
        <w:ind w:left="425" w:leftChars="0" w:hanging="425" w:firstLineChars="0"/>
        <w:rPr>
          <w:b w:val="0"/>
          <w:bCs/>
          <w:highlight w:val="yellow"/>
        </w:rPr>
      </w:pPr>
      <w:r>
        <w:rPr>
          <w:rFonts w:hint="eastAsia"/>
          <w:b w:val="0"/>
          <w:bCs/>
          <w:highlight w:val="yellow"/>
        </w:rPr>
        <w:t>备品备件工具材料明细表；</w:t>
      </w:r>
      <w:r>
        <w:rPr>
          <w:b w:val="0"/>
          <w:bCs/>
          <w:highlight w:val="yellow"/>
        </w:rPr>
        <w:t xml:space="preserve"> </w:t>
      </w:r>
    </w:p>
    <w:p w14:paraId="47175D6D">
      <w:pPr>
        <w:pStyle w:val="75"/>
        <w:numPr>
          <w:ilvl w:val="0"/>
          <w:numId w:val="15"/>
        </w:numPr>
        <w:ind w:left="425" w:leftChars="0" w:hanging="425" w:firstLineChars="0"/>
        <w:rPr>
          <w:rFonts w:hint="eastAsia" w:cs="Times New Roman"/>
          <w:b w:val="0"/>
          <w:bCs/>
          <w:highlight w:val="none"/>
        </w:rPr>
      </w:pPr>
      <w:r>
        <w:rPr>
          <w:rFonts w:hint="eastAsia" w:cs="Times New Roman"/>
          <w:b w:val="0"/>
          <w:bCs/>
          <w:highlight w:val="none"/>
        </w:rPr>
        <w:t>商务标：</w:t>
      </w:r>
    </w:p>
    <w:p w14:paraId="1FEC8CF2">
      <w:pPr>
        <w:pStyle w:val="76"/>
        <w:keepNext w:val="0"/>
        <w:keepLines w:val="0"/>
        <w:pageBreakBefore w:val="0"/>
        <w:widowControl w:val="0"/>
        <w:numPr>
          <w:ilvl w:val="0"/>
          <w:numId w:val="19"/>
        </w:numPr>
        <w:kinsoku/>
        <w:wordWrap/>
        <w:overflowPunct/>
        <w:topLinePunct w:val="0"/>
        <w:autoSpaceDE/>
        <w:autoSpaceDN/>
        <w:bidi w:val="0"/>
        <w:adjustRightInd/>
        <w:snapToGrid/>
        <w:ind w:left="425" w:leftChars="0" w:hanging="425" w:firstLineChars="0"/>
        <w:textAlignment w:val="auto"/>
        <w:rPr>
          <w:b w:val="0"/>
          <w:bCs/>
          <w:highlight w:val="yellow"/>
        </w:rPr>
      </w:pPr>
      <w:r>
        <w:rPr>
          <w:rFonts w:hint="eastAsia"/>
          <w:b w:val="0"/>
          <w:bCs/>
          <w:highlight w:val="yellow"/>
          <w:lang w:val="en-US" w:eastAsia="zh-CN"/>
        </w:rPr>
        <w:t>开标一览表</w:t>
      </w:r>
    </w:p>
    <w:p w14:paraId="0DFA5CBE">
      <w:pPr>
        <w:pStyle w:val="76"/>
        <w:numPr>
          <w:ilvl w:val="0"/>
          <w:numId w:val="19"/>
        </w:numPr>
        <w:ind w:left="425" w:leftChars="0" w:hanging="425" w:firstLineChars="0"/>
        <w:rPr>
          <w:b w:val="0"/>
          <w:bCs/>
          <w:highlight w:val="yellow"/>
        </w:rPr>
      </w:pPr>
      <w:r>
        <w:rPr>
          <w:rFonts w:hint="eastAsia"/>
          <w:b w:val="0"/>
          <w:bCs/>
          <w:highlight w:val="yellow"/>
        </w:rPr>
        <w:t>投标函（格式见附件）;</w:t>
      </w:r>
    </w:p>
    <w:p w14:paraId="5C36F232">
      <w:pPr>
        <w:pStyle w:val="76"/>
        <w:numPr>
          <w:ilvl w:val="0"/>
          <w:numId w:val="19"/>
        </w:numPr>
        <w:ind w:left="425" w:leftChars="0" w:hanging="425" w:firstLineChars="0"/>
        <w:rPr>
          <w:b w:val="0"/>
          <w:bCs/>
          <w:highlight w:val="yellow"/>
        </w:rPr>
      </w:pPr>
      <w:r>
        <w:rPr>
          <w:rFonts w:hint="eastAsia"/>
          <w:b w:val="0"/>
          <w:bCs/>
          <w:highlight w:val="yellow"/>
        </w:rPr>
        <w:t>商务条款偏离表；</w:t>
      </w:r>
    </w:p>
    <w:p w14:paraId="0BD75519">
      <w:pPr>
        <w:pStyle w:val="76"/>
        <w:numPr>
          <w:ilvl w:val="0"/>
          <w:numId w:val="19"/>
        </w:numPr>
        <w:ind w:left="425" w:leftChars="0" w:hanging="425" w:firstLineChars="0"/>
        <w:rPr>
          <w:rFonts w:hint="eastAsia" w:ascii="宋体" w:hAnsi="Courier New" w:eastAsia="宋体" w:cs="Times New Roman"/>
          <w:b w:val="0"/>
          <w:bCs/>
          <w:highlight w:val="none"/>
          <w:lang w:val="en-US" w:eastAsia="zh-CN"/>
        </w:rPr>
      </w:pPr>
      <w:r>
        <w:rPr>
          <w:rFonts w:hint="eastAsia"/>
          <w:b w:val="0"/>
          <w:bCs/>
          <w:highlight w:val="yellow"/>
        </w:rPr>
        <w:t>备配件目录报价表</w:t>
      </w:r>
    </w:p>
    <w:p w14:paraId="53DECED4">
      <w:pPr>
        <w:pStyle w:val="76"/>
        <w:keepNext w:val="0"/>
        <w:keepLines w:val="0"/>
        <w:pageBreakBefore w:val="0"/>
        <w:widowControl w:val="0"/>
        <w:numPr>
          <w:ilvl w:val="0"/>
          <w:numId w:val="17"/>
        </w:numPr>
        <w:kinsoku/>
        <w:wordWrap/>
        <w:overflowPunct/>
        <w:topLinePunct w:val="0"/>
        <w:autoSpaceDE/>
        <w:autoSpaceDN/>
        <w:bidi w:val="0"/>
        <w:adjustRightInd/>
        <w:snapToGrid/>
        <w:ind w:left="10" w:leftChars="0" w:firstLine="0"/>
        <w:textAlignment w:val="auto"/>
        <w:rPr>
          <w:rFonts w:hint="default" w:cs="Times New Roman"/>
          <w:b w:val="0"/>
          <w:bCs/>
          <w:highlight w:val="none"/>
          <w:lang w:val="en-US" w:eastAsia="zh-CN"/>
        </w:rPr>
      </w:pPr>
      <w:r>
        <w:rPr>
          <w:rFonts w:hint="eastAsia" w:cs="Times New Roman"/>
          <w:b w:val="0"/>
          <w:bCs/>
          <w:highlight w:val="none"/>
          <w:lang w:val="en-US" w:eastAsia="zh-CN"/>
        </w:rPr>
        <w:t>商务报价注意内容：</w:t>
      </w:r>
      <w:r>
        <w:rPr>
          <w:rFonts w:hint="eastAsia" w:cs="Times New Roman"/>
          <w:b w:val="0"/>
          <w:bCs/>
          <w:highlight w:val="none"/>
        </w:rPr>
        <w:t>最高投标限价（招标控制价）：人民币</w:t>
      </w:r>
      <w:r>
        <w:rPr>
          <w:rFonts w:hint="eastAsia" w:cs="Times New Roman"/>
          <w:b w:val="0"/>
          <w:bCs/>
          <w:highlight w:val="yellow"/>
          <w:u w:val="single"/>
          <w:lang w:val="en-US" w:eastAsia="zh-CN"/>
        </w:rPr>
        <w:t xml:space="preserve">  </w:t>
      </w:r>
      <w:r>
        <w:rPr>
          <w:rFonts w:hint="eastAsia"/>
          <w:highlight w:val="yellow"/>
          <w:lang w:val="en-US" w:eastAsia="zh-CN"/>
        </w:rPr>
        <w:t>113.91</w:t>
      </w:r>
      <w:r>
        <w:rPr>
          <w:rFonts w:hint="eastAsia" w:cs="Times New Roman"/>
          <w:b w:val="0"/>
          <w:bCs/>
          <w:highlight w:val="yellow"/>
          <w:u w:val="single"/>
          <w:lang w:val="en-US" w:eastAsia="zh-CN"/>
        </w:rPr>
        <w:t xml:space="preserve">  </w:t>
      </w:r>
      <w:r>
        <w:rPr>
          <w:rFonts w:hint="eastAsia" w:cs="Times New Roman"/>
          <w:b w:val="0"/>
          <w:bCs/>
          <w:highlight w:val="none"/>
        </w:rPr>
        <w:t>万元（含</w:t>
      </w:r>
      <w:r>
        <w:rPr>
          <w:rFonts w:hint="eastAsia" w:cs="Times New Roman"/>
          <w:b w:val="0"/>
          <w:bCs/>
          <w:highlight w:val="yellow"/>
          <w:u w:val="single"/>
          <w:lang w:val="en-US" w:eastAsia="zh-CN"/>
        </w:rPr>
        <w:t xml:space="preserve">  13 </w:t>
      </w:r>
      <w:r>
        <w:rPr>
          <w:rFonts w:hint="eastAsia" w:cs="Times New Roman"/>
          <w:b w:val="0"/>
          <w:bCs/>
          <w:highlight w:val="none"/>
        </w:rPr>
        <w:t>%增值税），超过投标限价无法投标。</w:t>
      </w:r>
    </w:p>
    <w:p w14:paraId="70E2A45F">
      <w:pPr>
        <w:pStyle w:val="74"/>
        <w:keepNext w:val="0"/>
        <w:keepLines w:val="0"/>
        <w:pageBreakBefore w:val="0"/>
        <w:widowControl w:val="0"/>
        <w:numPr>
          <w:ilvl w:val="0"/>
          <w:numId w:val="14"/>
        </w:numPr>
        <w:kinsoku/>
        <w:wordWrap/>
        <w:overflowPunct/>
        <w:topLinePunct w:val="0"/>
        <w:autoSpaceDE/>
        <w:autoSpaceDN/>
        <w:bidi w:val="0"/>
        <w:adjustRightInd/>
        <w:snapToGrid/>
        <w:ind w:left="0" w:leftChars="0" w:firstLine="0" w:firstLineChars="0"/>
        <w:textAlignment w:val="auto"/>
        <w:rPr>
          <w:rFonts w:hint="eastAsia" w:cs="Times New Roman"/>
          <w:b w:val="0"/>
          <w:lang w:val="en-US" w:eastAsia="zh-CN"/>
        </w:rPr>
      </w:pPr>
      <w:r>
        <w:rPr>
          <w:rFonts w:hint="eastAsia" w:cs="Times New Roman"/>
          <w:b w:val="0"/>
          <w:lang w:val="en-US" w:eastAsia="zh-CN"/>
        </w:rPr>
        <w:t>投标文件的投递</w:t>
      </w:r>
    </w:p>
    <w:p w14:paraId="776A71A0">
      <w:pPr>
        <w:pStyle w:val="76"/>
        <w:numPr>
          <w:ilvl w:val="0"/>
          <w:numId w:val="20"/>
        </w:numPr>
        <w:ind w:left="425" w:leftChars="0" w:hanging="425" w:firstLineChars="0"/>
        <w:rPr>
          <w:rFonts w:hint="eastAsia" w:ascii="宋体" w:hAnsi="Courier New" w:eastAsia="宋体" w:cs="Times New Roman"/>
          <w:b w:val="0"/>
          <w:bCs/>
          <w:highlight w:val="yellow"/>
          <w:lang w:val="en-US" w:eastAsia="zh-CN"/>
        </w:rPr>
      </w:pPr>
      <w:r>
        <w:rPr>
          <w:rFonts w:hint="eastAsia" w:ascii="宋体" w:hAnsi="Courier New" w:eastAsia="宋体" w:cs="Times New Roman"/>
          <w:b w:val="0"/>
          <w:bCs/>
          <w:highlight w:val="yellow"/>
          <w:lang w:val="en-US" w:eastAsia="zh-CN"/>
        </w:rPr>
        <w:t>投标方式：</w:t>
      </w:r>
      <w:r>
        <w:rPr>
          <w:rFonts w:hint="eastAsia" w:cs="Times New Roman"/>
          <w:b w:val="0"/>
          <w:bCs/>
          <w:highlight w:val="yellow"/>
          <w:lang w:val="en-US" w:eastAsia="zh-CN"/>
        </w:rPr>
        <w:t>重汽e采通系统投标</w:t>
      </w:r>
    </w:p>
    <w:p w14:paraId="430BD106">
      <w:pPr>
        <w:pStyle w:val="76"/>
        <w:numPr>
          <w:ilvl w:val="0"/>
          <w:numId w:val="20"/>
        </w:numPr>
        <w:ind w:left="425" w:leftChars="0" w:hanging="425" w:firstLineChars="0"/>
        <w:rPr>
          <w:rFonts w:hint="eastAsia" w:ascii="宋体" w:hAnsi="Courier New" w:eastAsia="宋体" w:cs="Times New Roman"/>
          <w:b w:val="0"/>
          <w:bCs/>
          <w:highlight w:val="yellow"/>
        </w:rPr>
      </w:pPr>
      <w:r>
        <w:rPr>
          <w:rFonts w:hint="eastAsia" w:ascii="宋体" w:hAnsi="Courier New" w:eastAsia="宋体" w:cs="Times New Roman"/>
          <w:b w:val="0"/>
          <w:bCs/>
          <w:highlight w:val="yellow"/>
          <w:lang w:val="en-US" w:eastAsia="zh-CN"/>
        </w:rPr>
        <w:t>邮寄地址：</w:t>
      </w:r>
      <w:r>
        <w:rPr>
          <w:rFonts w:hint="eastAsia" w:cs="Times New Roman"/>
          <w:b w:val="0"/>
          <w:bCs/>
          <w:highlight w:val="yellow"/>
          <w:lang w:val="en-US" w:eastAsia="zh-CN"/>
        </w:rPr>
        <w:t>济南市历城区华奥路777号重汽科技大厦</w:t>
      </w:r>
    </w:p>
    <w:p w14:paraId="2079F016">
      <w:pPr>
        <w:pStyle w:val="76"/>
        <w:numPr>
          <w:ilvl w:val="0"/>
          <w:numId w:val="20"/>
        </w:numPr>
        <w:ind w:left="425" w:leftChars="0" w:hanging="425" w:firstLineChars="0"/>
        <w:rPr>
          <w:rFonts w:hint="eastAsia" w:ascii="宋体" w:hAnsi="Courier New" w:eastAsia="宋体" w:cs="Times New Roman"/>
          <w:b w:val="0"/>
          <w:bCs/>
          <w:highlight w:val="yellow"/>
          <w:lang w:val="en-US" w:eastAsia="zh-CN"/>
        </w:rPr>
      </w:pPr>
      <w:r>
        <w:rPr>
          <w:rFonts w:hint="eastAsia" w:ascii="宋体" w:hAnsi="Courier New" w:eastAsia="宋体" w:cs="Times New Roman"/>
          <w:b w:val="0"/>
          <w:bCs/>
          <w:highlight w:val="yellow"/>
          <w:lang w:val="en-US" w:eastAsia="zh-CN"/>
        </w:rPr>
        <w:t>联系人及联系方式：</w:t>
      </w:r>
      <w:r>
        <w:rPr>
          <w:rFonts w:hint="eastAsia" w:cs="Times New Roman"/>
          <w:b w:val="0"/>
          <w:bCs/>
          <w:highlight w:val="none"/>
          <w:lang w:val="en-US" w:eastAsia="zh-CN"/>
        </w:rPr>
        <w:t>商务联系人：李帅威-17860605079；技术联系人：</w:t>
      </w:r>
      <w:r>
        <w:rPr>
          <w:rFonts w:hint="eastAsia" w:ascii="宋体" w:hAnsi="宋体" w:eastAsia="宋体" w:cs="宋体"/>
          <w:sz w:val="21"/>
          <w:szCs w:val="21"/>
          <w:highlight w:val="none"/>
          <w:lang w:val="en-US" w:eastAsia="zh-CN"/>
        </w:rPr>
        <w:t>张卫波-15253846000</w:t>
      </w:r>
    </w:p>
    <w:p w14:paraId="4AAA3F9B">
      <w:pPr>
        <w:pStyle w:val="76"/>
        <w:numPr>
          <w:ilvl w:val="0"/>
          <w:numId w:val="20"/>
        </w:numPr>
        <w:ind w:left="425" w:leftChars="0" w:hanging="425" w:firstLineChars="0"/>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投标文件递交截止时间：</w:t>
      </w:r>
      <w:r>
        <w:rPr>
          <w:rFonts w:hint="eastAsia" w:ascii="宋体" w:hAnsi="Courier New" w:eastAsia="宋体" w:cs="Times New Roman"/>
          <w:b w:val="0"/>
          <w:bCs/>
          <w:highlight w:val="yellow"/>
          <w:lang w:val="en-US" w:eastAsia="zh-CN"/>
        </w:rPr>
        <w:t>20</w:t>
      </w:r>
      <w:r>
        <w:rPr>
          <w:rFonts w:hint="eastAsia" w:cs="Times New Roman"/>
          <w:b w:val="0"/>
          <w:bCs/>
          <w:highlight w:val="yellow"/>
          <w:lang w:val="en-US" w:eastAsia="zh-CN"/>
        </w:rPr>
        <w:t>25年11</w:t>
      </w:r>
      <w:r>
        <w:rPr>
          <w:rFonts w:hint="eastAsia" w:ascii="宋体" w:hAnsi="Courier New" w:eastAsia="宋体" w:cs="Times New Roman"/>
          <w:b w:val="0"/>
          <w:bCs/>
          <w:highlight w:val="yellow"/>
          <w:lang w:val="en-US" w:eastAsia="zh-CN"/>
        </w:rPr>
        <w:t>月</w:t>
      </w:r>
      <w:r>
        <w:rPr>
          <w:rFonts w:hint="eastAsia" w:cs="Times New Roman"/>
          <w:b w:val="0"/>
          <w:bCs/>
          <w:highlight w:val="yellow"/>
          <w:lang w:val="en-US" w:eastAsia="zh-CN"/>
        </w:rPr>
        <w:t>11</w:t>
      </w:r>
      <w:r>
        <w:rPr>
          <w:rFonts w:hint="eastAsia" w:ascii="宋体" w:hAnsi="Courier New" w:eastAsia="宋体" w:cs="Times New Roman"/>
          <w:b w:val="0"/>
          <w:bCs/>
          <w:highlight w:val="yellow"/>
          <w:lang w:val="en-US" w:eastAsia="zh-CN"/>
        </w:rPr>
        <w:t>日</w:t>
      </w:r>
      <w:r>
        <w:rPr>
          <w:rFonts w:hint="eastAsia" w:cs="Times New Roman"/>
          <w:b w:val="0"/>
          <w:bCs/>
          <w:highlight w:val="yellow"/>
          <w:lang w:val="en-US" w:eastAsia="zh-CN"/>
        </w:rPr>
        <w:t>9点00分</w:t>
      </w:r>
    </w:p>
    <w:p w14:paraId="25974AAC">
      <w:pPr>
        <w:pStyle w:val="73"/>
        <w:rPr>
          <w:rFonts w:hint="eastAsia" w:hAnsi="Courier New" w:cs="Times New Roman"/>
          <w:highlight w:val="none"/>
        </w:rPr>
      </w:pPr>
      <w:bookmarkStart w:id="15" w:name="_Toc47976601"/>
      <w:r>
        <w:rPr>
          <w:rFonts w:hint="eastAsia" w:hAnsi="Courier New" w:cs="Times New Roman"/>
          <w:highlight w:val="none"/>
        </w:rPr>
        <w:t>投标保证金</w:t>
      </w:r>
      <w:r>
        <w:rPr>
          <w:rFonts w:hint="eastAsia" w:hAnsi="Courier New" w:cs="Times New Roman"/>
          <w:highlight w:val="none"/>
          <w:lang w:val="en-US" w:eastAsia="zh-CN"/>
        </w:rPr>
        <w:t>收取</w:t>
      </w:r>
      <w:r>
        <w:rPr>
          <w:rFonts w:hint="eastAsia" w:hAnsi="Courier New" w:cs="Times New Roman"/>
          <w:highlight w:val="none"/>
          <w:lang w:eastAsia="zh-CN"/>
        </w:rPr>
        <w:t>、</w:t>
      </w:r>
      <w:r>
        <w:rPr>
          <w:rFonts w:hint="eastAsia" w:hAnsi="Courier New" w:cs="Times New Roman"/>
          <w:highlight w:val="none"/>
          <w:lang w:val="en-US" w:eastAsia="zh-CN"/>
        </w:rPr>
        <w:t>缴纳</w:t>
      </w:r>
      <w:r>
        <w:rPr>
          <w:rFonts w:hint="eastAsia" w:hAnsi="Courier New" w:cs="Times New Roman"/>
          <w:highlight w:val="none"/>
        </w:rPr>
        <w:t>有效期</w:t>
      </w:r>
      <w:r>
        <w:rPr>
          <w:rFonts w:hint="eastAsia" w:hAnsi="Courier New" w:cs="Times New Roman"/>
          <w:highlight w:val="none"/>
          <w:lang w:val="en-US" w:eastAsia="zh-CN"/>
        </w:rPr>
        <w:t>及罚没</w:t>
      </w:r>
    </w:p>
    <w:p w14:paraId="071E67B8">
      <w:pPr>
        <w:pStyle w:val="73"/>
        <w:numPr>
          <w:ilvl w:val="0"/>
          <w:numId w:val="21"/>
        </w:numPr>
        <w:ind w:leftChars="0"/>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rPr>
        <w:t>投标保证金的缴纳</w:t>
      </w:r>
    </w:p>
    <w:p w14:paraId="021ADBC0">
      <w:pPr>
        <w:pStyle w:val="73"/>
        <w:numPr>
          <w:ilvl w:val="0"/>
          <w:numId w:val="22"/>
        </w:numPr>
        <w:ind w:left="425" w:leftChars="0" w:hanging="425" w:firstLineChars="0"/>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rPr>
        <w:t>投标保证金</w:t>
      </w:r>
      <w:r>
        <w:rPr>
          <w:rFonts w:hint="eastAsia" w:ascii="宋体" w:hAnsi="宋体" w:eastAsia="宋体" w:cs="宋体"/>
          <w:b w:val="0"/>
          <w:bCs w:val="0"/>
          <w:sz w:val="21"/>
          <w:szCs w:val="21"/>
          <w:highlight w:val="none"/>
          <w:lang w:val="en-US" w:eastAsia="zh-CN"/>
        </w:rPr>
        <w:t>的缴纳</w:t>
      </w:r>
      <w:r>
        <w:rPr>
          <w:rFonts w:hint="eastAsia" w:ascii="宋体" w:hAnsi="宋体" w:eastAsia="宋体" w:cs="宋体"/>
          <w:b w:val="0"/>
          <w:bCs w:val="0"/>
          <w:sz w:val="21"/>
          <w:szCs w:val="21"/>
          <w:highlight w:val="none"/>
        </w:rPr>
        <w:t>形式：</w:t>
      </w:r>
      <w:r>
        <w:rPr>
          <w:rFonts w:hint="eastAsia" w:ascii="宋体" w:hAnsi="宋体" w:eastAsia="宋体" w:cs="宋体"/>
          <w:b w:val="0"/>
          <w:bCs w:val="0"/>
          <w:sz w:val="21"/>
          <w:szCs w:val="21"/>
          <w:highlight w:val="none"/>
          <w:u w:val="single"/>
          <w:lang w:val="en-US" w:eastAsia="zh-CN"/>
        </w:rPr>
        <w:t>提交银行投标保函或从银行基本账户转账</w:t>
      </w:r>
    </w:p>
    <w:p w14:paraId="04CD311F">
      <w:pPr>
        <w:pStyle w:val="73"/>
        <w:numPr>
          <w:ilvl w:val="0"/>
          <w:numId w:val="22"/>
        </w:numPr>
        <w:ind w:left="425" w:leftChars="0" w:hanging="425" w:firstLineChars="0"/>
        <w:rPr>
          <w:rFonts w:hint="default" w:ascii="宋体" w:hAnsi="宋体" w:eastAsia="宋体" w:cs="宋体"/>
          <w:b w:val="0"/>
          <w:bCs w:val="0"/>
          <w:sz w:val="21"/>
          <w:szCs w:val="21"/>
          <w:highlight w:val="yellow"/>
          <w:u w:val="single"/>
          <w:lang w:val="en-US" w:eastAsia="zh-CN"/>
        </w:rPr>
      </w:pPr>
      <w:r>
        <w:rPr>
          <w:rFonts w:hint="eastAsia" w:ascii="宋体" w:hAnsi="宋体" w:eastAsia="宋体" w:cs="宋体"/>
          <w:b w:val="0"/>
          <w:bCs w:val="0"/>
          <w:sz w:val="21"/>
          <w:szCs w:val="21"/>
          <w:highlight w:val="none"/>
        </w:rPr>
        <w:t>投标保证金的金额：人民币</w:t>
      </w:r>
      <w:r>
        <w:rPr>
          <w:rFonts w:hint="eastAsia" w:ascii="宋体" w:hAnsi="宋体" w:eastAsia="宋体" w:cs="宋体"/>
          <w:b w:val="0"/>
          <w:bCs w:val="0"/>
          <w:sz w:val="21"/>
          <w:szCs w:val="21"/>
          <w:highlight w:val="yellow"/>
          <w:u w:val="single"/>
          <w:lang w:val="en-US" w:eastAsia="zh-CN"/>
        </w:rPr>
        <w:t xml:space="preserve">  20000    </w:t>
      </w:r>
      <w:r>
        <w:rPr>
          <w:rFonts w:hint="eastAsia" w:ascii="宋体" w:hAnsi="宋体" w:eastAsia="宋体" w:cs="宋体"/>
          <w:b w:val="0"/>
          <w:bCs w:val="0"/>
          <w:sz w:val="21"/>
          <w:szCs w:val="21"/>
          <w:highlight w:val="none"/>
        </w:rPr>
        <w:t>元</w:t>
      </w:r>
    </w:p>
    <w:p w14:paraId="03C9A881">
      <w:pPr>
        <w:pStyle w:val="73"/>
        <w:numPr>
          <w:ilvl w:val="0"/>
          <w:numId w:val="0"/>
        </w:numPr>
        <w:ind w:leftChars="0"/>
        <w:rPr>
          <w:rFonts w:hint="default" w:ascii="宋体" w:hAnsi="宋体" w:eastAsia="宋体" w:cs="宋体"/>
          <w:b w:val="0"/>
          <w:bCs w:val="0"/>
          <w:sz w:val="21"/>
          <w:szCs w:val="21"/>
          <w:highlight w:val="yellow"/>
          <w:u w:val="single"/>
          <w:lang w:val="en-US" w:eastAsia="zh-CN"/>
        </w:rPr>
      </w:pPr>
      <w:r>
        <w:rPr>
          <w:rFonts w:ascii="宋体" w:hAnsi="宋体" w:eastAsia="宋体" w:cs="宋体"/>
          <w:sz w:val="24"/>
          <w:szCs w:val="24"/>
        </w:rPr>
        <w:t>保证金收款账号：</w:t>
      </w:r>
      <w:r>
        <w:rPr>
          <w:rFonts w:ascii="宋体" w:hAnsi="宋体" w:eastAsia="宋体" w:cs="宋体"/>
          <w:sz w:val="24"/>
          <w:szCs w:val="24"/>
        </w:rPr>
        <w:br w:type="textWrapping"/>
      </w:r>
      <w:r>
        <w:rPr>
          <w:rFonts w:ascii="宋体" w:hAnsi="宋体" w:eastAsia="宋体" w:cs="宋体"/>
          <w:sz w:val="24"/>
          <w:szCs w:val="24"/>
        </w:rPr>
        <w:t>单位名称：中国重汽集团济南动力有限公司</w:t>
      </w:r>
      <w:r>
        <w:rPr>
          <w:rFonts w:ascii="宋体" w:hAnsi="宋体" w:eastAsia="宋体" w:cs="宋体"/>
          <w:sz w:val="24"/>
          <w:szCs w:val="24"/>
        </w:rPr>
        <w:br w:type="textWrapping"/>
      </w:r>
      <w:r>
        <w:rPr>
          <w:rFonts w:ascii="宋体" w:hAnsi="宋体" w:eastAsia="宋体" w:cs="宋体"/>
          <w:sz w:val="24"/>
          <w:szCs w:val="24"/>
        </w:rPr>
        <w:t>收款账号：37001616508050150300</w:t>
      </w:r>
      <w:r>
        <w:rPr>
          <w:rFonts w:ascii="宋体" w:hAnsi="宋体" w:eastAsia="宋体" w:cs="宋体"/>
          <w:sz w:val="24"/>
          <w:szCs w:val="24"/>
        </w:rPr>
        <w:br w:type="textWrapping"/>
      </w:r>
      <w:r>
        <w:rPr>
          <w:rFonts w:ascii="宋体" w:hAnsi="宋体" w:eastAsia="宋体" w:cs="宋体"/>
          <w:sz w:val="24"/>
          <w:szCs w:val="24"/>
        </w:rPr>
        <w:t>开户行名称：中国建设银行股份有限公司济南天桥支行</w:t>
      </w:r>
      <w:r>
        <w:rPr>
          <w:rFonts w:ascii="宋体" w:hAnsi="宋体" w:eastAsia="宋体" w:cs="宋体"/>
          <w:sz w:val="24"/>
          <w:szCs w:val="24"/>
        </w:rPr>
        <w:br w:type="textWrapping"/>
      </w:r>
      <w:r>
        <w:rPr>
          <w:rFonts w:ascii="宋体" w:hAnsi="宋体" w:eastAsia="宋体" w:cs="宋体"/>
          <w:sz w:val="24"/>
          <w:szCs w:val="24"/>
        </w:rPr>
        <w:t>开户行行号：105451000362</w:t>
      </w:r>
    </w:p>
    <w:p w14:paraId="1591D62C">
      <w:pPr>
        <w:pStyle w:val="76"/>
        <w:keepNext w:val="0"/>
        <w:keepLines w:val="0"/>
        <w:pageBreakBefore w:val="0"/>
        <w:widowControl w:val="0"/>
        <w:numPr>
          <w:ilvl w:val="0"/>
          <w:numId w:val="17"/>
        </w:numPr>
        <w:kinsoku/>
        <w:wordWrap/>
        <w:overflowPunct/>
        <w:topLinePunct w:val="0"/>
        <w:autoSpaceDE/>
        <w:autoSpaceDN/>
        <w:bidi w:val="0"/>
        <w:adjustRightInd/>
        <w:snapToGrid/>
        <w:ind w:left="10" w:leftChars="0" w:firstLine="0"/>
        <w:textAlignment w:val="auto"/>
        <w:rPr>
          <w:rFonts w:hint="eastAsia" w:cs="Times New Roman"/>
          <w:b w:val="0"/>
          <w:bCs/>
          <w:highlight w:val="none"/>
          <w:lang w:val="en-US" w:eastAsia="zh-CN"/>
        </w:rPr>
      </w:pPr>
      <w:r>
        <w:rPr>
          <w:rFonts w:hint="eastAsia" w:cs="Times New Roman"/>
          <w:b w:val="0"/>
          <w:bCs/>
          <w:highlight w:val="none"/>
          <w:lang w:val="en-US" w:eastAsia="zh-CN"/>
        </w:rPr>
        <w:t>转账附言：公司名称+项目名称+投标保证金。</w:t>
      </w:r>
    </w:p>
    <w:p w14:paraId="5568414C">
      <w:pPr>
        <w:pStyle w:val="73"/>
        <w:numPr>
          <w:ilvl w:val="0"/>
          <w:numId w:val="0"/>
        </w:numPr>
        <w:ind w:left="425" w:leftChars="0" w:hanging="425" w:firstLineChars="0"/>
        <w:rPr>
          <w:rFonts w:hint="eastAsia" w:ascii="宋体" w:hAnsi="宋体" w:eastAsia="宋体" w:cs="宋体"/>
          <w:b w:val="0"/>
          <w:bCs w:val="0"/>
          <w:sz w:val="21"/>
          <w:szCs w:val="21"/>
          <w:highlight w:val="none"/>
        </w:rPr>
      </w:pP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4</w:t>
      </w: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sz w:val="21"/>
          <w:szCs w:val="21"/>
          <w:highlight w:val="none"/>
        </w:rPr>
        <w:t>保证金缴纳截止时间：202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11</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lang w:val="en-US" w:eastAsia="zh-CN"/>
        </w:rPr>
        <w:t>17</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00</w:t>
      </w:r>
      <w:r>
        <w:rPr>
          <w:rFonts w:hint="eastAsia" w:ascii="宋体" w:hAnsi="宋体" w:eastAsia="宋体" w:cs="宋体"/>
          <w:b w:val="0"/>
          <w:bCs w:val="0"/>
          <w:sz w:val="21"/>
          <w:szCs w:val="21"/>
          <w:highlight w:val="none"/>
        </w:rPr>
        <w:t>前</w:t>
      </w:r>
    </w:p>
    <w:p w14:paraId="4C2C93DA">
      <w:pPr>
        <w:pStyle w:val="73"/>
        <w:keepNext w:val="0"/>
        <w:keepLines w:val="0"/>
        <w:pageBreakBefore w:val="0"/>
        <w:widowControl w:val="0"/>
        <w:numPr>
          <w:ilvl w:val="0"/>
          <w:numId w:val="21"/>
        </w:numPr>
        <w:kinsoku/>
        <w:wordWrap/>
        <w:overflowPunct/>
        <w:topLinePunct w:val="0"/>
        <w:autoSpaceDE/>
        <w:autoSpaceDN/>
        <w:bidi w:val="0"/>
        <w:adjustRightInd/>
        <w:snapToGrid/>
        <w:ind w:left="0" w:leftChars="0" w:firstLine="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选择</w:t>
      </w:r>
      <w:r>
        <w:rPr>
          <w:rFonts w:hint="eastAsia" w:ascii="宋体" w:hAnsi="宋体" w:eastAsia="宋体" w:cs="宋体"/>
          <w:b w:val="0"/>
          <w:bCs w:val="0"/>
          <w:sz w:val="21"/>
          <w:szCs w:val="21"/>
          <w:highlight w:val="none"/>
        </w:rPr>
        <w:t>提交银行投标保函的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投标人，应在开标时提交投标保函正本，作为《投标文件》的一部分，该投标保函应是不可撤销的“见索即付”保函，保函有效期应满足投标有效期要求，</w:t>
      </w:r>
      <w:r>
        <w:rPr>
          <w:rFonts w:hint="eastAsia" w:ascii="宋体" w:hAnsi="宋体" w:eastAsia="宋体" w:cs="宋体"/>
          <w:b w:val="0"/>
          <w:bCs w:val="0"/>
          <w:sz w:val="21"/>
          <w:szCs w:val="21"/>
          <w:highlight w:val="none"/>
          <w:lang w:val="en-US" w:eastAsia="zh-CN"/>
        </w:rPr>
        <w:t>由招标人</w:t>
      </w:r>
      <w:r>
        <w:rPr>
          <w:rFonts w:hint="eastAsia" w:ascii="宋体" w:hAnsi="宋体" w:eastAsia="宋体" w:cs="宋体"/>
          <w:b w:val="0"/>
          <w:bCs w:val="0"/>
          <w:sz w:val="21"/>
          <w:szCs w:val="21"/>
          <w:highlight w:val="none"/>
        </w:rPr>
        <w:t>留存保函正本</w:t>
      </w:r>
      <w:r>
        <w:rPr>
          <w:rFonts w:hint="eastAsia" w:ascii="宋体" w:hAnsi="宋体" w:eastAsia="宋体" w:cs="宋体"/>
          <w:b w:val="0"/>
          <w:bCs w:val="0"/>
          <w:sz w:val="21"/>
          <w:szCs w:val="21"/>
          <w:highlight w:val="none"/>
          <w:lang w:eastAsia="zh-CN"/>
        </w:rPr>
        <w:t>。</w:t>
      </w:r>
    </w:p>
    <w:p w14:paraId="7486A087">
      <w:pPr>
        <w:pStyle w:val="73"/>
        <w:keepNext w:val="0"/>
        <w:keepLines w:val="0"/>
        <w:pageBreakBefore w:val="0"/>
        <w:widowControl w:val="0"/>
        <w:numPr>
          <w:ilvl w:val="0"/>
          <w:numId w:val="21"/>
        </w:numPr>
        <w:kinsoku/>
        <w:wordWrap/>
        <w:overflowPunct/>
        <w:topLinePunct w:val="0"/>
        <w:autoSpaceDE/>
        <w:autoSpaceDN/>
        <w:bidi w:val="0"/>
        <w:adjustRightInd/>
        <w:snapToGrid/>
        <w:ind w:left="0" w:leftChars="0" w:firstLine="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lang w:val="en-US" w:eastAsia="zh-CN"/>
        </w:rPr>
        <w:t>选择从银行基本账户转账</w:t>
      </w:r>
      <w:r>
        <w:rPr>
          <w:rFonts w:hint="eastAsia" w:ascii="宋体" w:hAnsi="宋体" w:eastAsia="宋体" w:cs="宋体"/>
          <w:b w:val="0"/>
          <w:bCs w:val="0"/>
          <w:sz w:val="21"/>
          <w:szCs w:val="21"/>
          <w:highlight w:val="none"/>
        </w:rPr>
        <w:t>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须在规定的时间之前</w:t>
      </w:r>
      <w:r>
        <w:rPr>
          <w:rFonts w:hint="eastAsia" w:ascii="宋体" w:hAnsi="宋体" w:eastAsia="宋体" w:cs="宋体"/>
          <w:b w:val="0"/>
          <w:bCs w:val="0"/>
          <w:sz w:val="21"/>
          <w:szCs w:val="21"/>
          <w:highlight w:val="none"/>
        </w:rPr>
        <w:t>将投标保证金从</w:t>
      </w:r>
      <w:r>
        <w:rPr>
          <w:rFonts w:hint="eastAsia" w:ascii="宋体" w:hAnsi="宋体" w:eastAsia="宋体" w:cs="宋体"/>
          <w:b w:val="0"/>
          <w:bCs w:val="0"/>
          <w:sz w:val="21"/>
          <w:szCs w:val="21"/>
          <w:highlight w:val="none"/>
          <w:lang w:val="en-US" w:eastAsia="zh-CN"/>
        </w:rPr>
        <w:t>其</w:t>
      </w:r>
      <w:r>
        <w:rPr>
          <w:rFonts w:hint="eastAsia" w:ascii="宋体" w:hAnsi="宋体" w:eastAsia="宋体" w:cs="宋体"/>
          <w:b w:val="0"/>
          <w:bCs w:val="0"/>
          <w:sz w:val="21"/>
          <w:szCs w:val="21"/>
          <w:highlight w:val="none"/>
        </w:rPr>
        <w:t>单位基本帐户转出并到账，否则</w:t>
      </w:r>
      <w:r>
        <w:rPr>
          <w:rFonts w:hint="eastAsia" w:ascii="宋体" w:hAnsi="宋体" w:eastAsia="宋体" w:cs="宋体"/>
          <w:b w:val="0"/>
          <w:bCs w:val="0"/>
          <w:sz w:val="21"/>
          <w:szCs w:val="21"/>
          <w:highlight w:val="none"/>
          <w:lang w:val="en-US" w:eastAsia="zh-CN"/>
        </w:rPr>
        <w:t>视为无效投标</w:t>
      </w:r>
      <w:r>
        <w:rPr>
          <w:rFonts w:hint="eastAsia" w:ascii="宋体" w:hAnsi="宋体" w:eastAsia="宋体" w:cs="宋体"/>
          <w:b w:val="0"/>
          <w:bCs w:val="0"/>
          <w:sz w:val="21"/>
          <w:szCs w:val="21"/>
          <w:highlight w:val="none"/>
        </w:rPr>
        <w:t>；未按规定提交保证金的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投标人，其投标文件</w:t>
      </w:r>
      <w:r>
        <w:rPr>
          <w:rFonts w:hint="eastAsia" w:ascii="宋体" w:hAnsi="宋体" w:eastAsia="宋体" w:cs="宋体"/>
          <w:b w:val="0"/>
          <w:bCs w:val="0"/>
          <w:sz w:val="21"/>
          <w:szCs w:val="21"/>
          <w:highlight w:val="none"/>
          <w:lang w:val="en-US" w:eastAsia="zh-CN"/>
        </w:rPr>
        <w:t>视为无效投标</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拟投标人</w:t>
      </w:r>
      <w:r>
        <w:rPr>
          <w:rFonts w:hint="eastAsia" w:ascii="宋体" w:hAnsi="宋体" w:eastAsia="宋体" w:cs="宋体"/>
          <w:b w:val="0"/>
          <w:bCs w:val="0"/>
          <w:sz w:val="21"/>
          <w:szCs w:val="21"/>
          <w:highlight w:val="none"/>
        </w:rPr>
        <w:t>应充分考虑银行信息交换时间，由此带来的保证金不能按时到帐的责任由</w:t>
      </w:r>
      <w:r>
        <w:rPr>
          <w:rFonts w:hint="eastAsia" w:ascii="宋体" w:hAnsi="宋体" w:eastAsia="宋体" w:cs="宋体"/>
          <w:b w:val="0"/>
          <w:bCs w:val="0"/>
          <w:sz w:val="21"/>
          <w:szCs w:val="21"/>
          <w:highlight w:val="none"/>
          <w:lang w:val="en-US" w:eastAsia="zh-CN"/>
        </w:rPr>
        <w:t>拟投标人</w:t>
      </w:r>
      <w:r>
        <w:rPr>
          <w:rFonts w:hint="eastAsia" w:ascii="宋体" w:hAnsi="宋体" w:eastAsia="宋体" w:cs="宋体"/>
          <w:b w:val="0"/>
          <w:bCs w:val="0"/>
          <w:sz w:val="21"/>
          <w:szCs w:val="21"/>
          <w:highlight w:val="none"/>
        </w:rPr>
        <w:t>自行承担。</w:t>
      </w:r>
    </w:p>
    <w:p w14:paraId="5306DE77">
      <w:pPr>
        <w:pStyle w:val="73"/>
        <w:keepNext w:val="0"/>
        <w:keepLines w:val="0"/>
        <w:pageBreakBefore w:val="0"/>
        <w:widowControl w:val="0"/>
        <w:numPr>
          <w:ilvl w:val="0"/>
          <w:numId w:val="21"/>
        </w:numPr>
        <w:kinsoku/>
        <w:wordWrap/>
        <w:overflowPunct/>
        <w:topLinePunct w:val="0"/>
        <w:autoSpaceDE/>
        <w:autoSpaceDN/>
        <w:bidi w:val="0"/>
        <w:adjustRightInd/>
        <w:snapToGrid/>
        <w:ind w:left="0" w:leftChars="0" w:firstLine="0" w:firstLineChars="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rPr>
        <w:t>对于没有中标的</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，投标保证金将于招标人内部完成中标人评审并确认最终中标人后在</w:t>
      </w:r>
      <w:r>
        <w:rPr>
          <w:rFonts w:hint="eastAsia" w:ascii="宋体" w:hAnsi="宋体" w:eastAsia="宋体" w:cs="宋体"/>
          <w:b w:val="0"/>
          <w:bCs w:val="0"/>
          <w:sz w:val="21"/>
          <w:szCs w:val="21"/>
          <w:highlight w:val="yellow"/>
          <w:u w:val="single"/>
          <w:lang w:val="en-US" w:eastAsia="zh-CN"/>
        </w:rPr>
        <w:t xml:space="preserve"> 30 </w:t>
      </w:r>
      <w:r>
        <w:rPr>
          <w:rFonts w:hint="eastAsia" w:ascii="宋体" w:hAnsi="宋体" w:eastAsia="宋体" w:cs="宋体"/>
          <w:b w:val="0"/>
          <w:bCs w:val="0"/>
          <w:sz w:val="21"/>
          <w:szCs w:val="21"/>
          <w:highlight w:val="none"/>
        </w:rPr>
        <w:t>日内予以原路返还（无息）；对于中标方，投标保证金将在签订合同后</w:t>
      </w:r>
      <w:r>
        <w:rPr>
          <w:rFonts w:hint="eastAsia" w:ascii="宋体" w:hAnsi="宋体" w:eastAsia="宋体" w:cs="宋体"/>
          <w:b w:val="0"/>
          <w:bCs w:val="0"/>
          <w:sz w:val="21"/>
          <w:szCs w:val="21"/>
          <w:highlight w:val="none"/>
          <w:lang w:val="en-US" w:eastAsia="zh-CN"/>
        </w:rPr>
        <w:t>30个</w:t>
      </w:r>
      <w:r>
        <w:rPr>
          <w:rFonts w:hint="eastAsia" w:ascii="宋体" w:hAnsi="宋体" w:eastAsia="宋体" w:cs="宋体"/>
          <w:b w:val="0"/>
          <w:bCs w:val="0"/>
          <w:sz w:val="21"/>
          <w:szCs w:val="21"/>
          <w:highlight w:val="none"/>
        </w:rPr>
        <w:t>日内原路返还（无息）。</w:t>
      </w:r>
    </w:p>
    <w:p w14:paraId="271EC8CF">
      <w:pPr>
        <w:pStyle w:val="73"/>
        <w:keepNext w:val="0"/>
        <w:keepLines w:val="0"/>
        <w:pageBreakBefore w:val="0"/>
        <w:widowControl w:val="0"/>
        <w:numPr>
          <w:ilvl w:val="0"/>
          <w:numId w:val="21"/>
        </w:numPr>
        <w:kinsoku/>
        <w:wordWrap/>
        <w:overflowPunct/>
        <w:topLinePunct w:val="0"/>
        <w:autoSpaceDE/>
        <w:autoSpaceDN/>
        <w:bidi w:val="0"/>
        <w:adjustRightInd/>
        <w:snapToGrid/>
        <w:ind w:left="0" w:leftChars="0" w:firstLine="0" w:firstLineChars="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rPr>
        <w:t>发生以下情况时，有权没收保证金：</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①供应商在提交响应文件截止时间后撤回响应文件的；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②供应商在响应文件中提供虚假材料的；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③除因不可抗力或谈判文件、询价通知书认可的情形以外，成交供应商不与采购人签订合同的；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④供应商与采购人、其他供应商或者采购代理机构恶意串通、围标、陪标的；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⑤供应商有违约违规行为或被投诉、举报的，在调查处理期间，保证金暂不退还，待调查处理结束后按有关规定处理。</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⑥截至开标前3天，投标人无正当理由、未以书面形式向招标人递交说明而在投标截止日不来投标的。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⑦自中标通知书发出之日起30日内，中标人无正当理由投标人无正当签订合同的；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⑧采购文件规定的其他情形</w:t>
      </w:r>
      <w:r>
        <w:rPr>
          <w:rFonts w:hint="eastAsia" w:ascii="宋体" w:hAnsi="宋体" w:eastAsia="宋体" w:cs="宋体"/>
          <w:b w:val="0"/>
          <w:bCs w:val="0"/>
          <w:sz w:val="21"/>
          <w:szCs w:val="21"/>
          <w:highlight w:val="none"/>
          <w:lang w:eastAsia="zh-CN"/>
        </w:rPr>
        <w:t>。</w:t>
      </w:r>
    </w:p>
    <w:bookmarkEnd w:id="15"/>
    <w:p w14:paraId="368B6990">
      <w:pPr>
        <w:pStyle w:val="73"/>
      </w:pPr>
      <w:r>
        <w:rPr>
          <w:rFonts w:hint="eastAsia"/>
          <w:lang w:val="en-US" w:eastAsia="zh-CN"/>
        </w:rPr>
        <w:t>开评标</w:t>
      </w:r>
    </w:p>
    <w:p w14:paraId="009655B5">
      <w:pPr>
        <w:pStyle w:val="73"/>
        <w:keepNext w:val="0"/>
        <w:keepLines w:val="0"/>
        <w:pageBreakBefore w:val="0"/>
        <w:widowControl w:val="0"/>
        <w:numPr>
          <w:ilvl w:val="0"/>
          <w:numId w:val="23"/>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开标时间：</w:t>
      </w:r>
      <w:r>
        <w:rPr>
          <w:rFonts w:hint="eastAsia" w:ascii="宋体" w:hAnsi="宋体" w:eastAsia="宋体" w:cs="宋体"/>
          <w:sz w:val="21"/>
          <w:szCs w:val="21"/>
          <w:highlight w:val="yellow"/>
          <w:lang w:val="en-US" w:eastAsia="zh-CN"/>
        </w:rPr>
        <w:t>2025年11月11号9点00分</w:t>
      </w:r>
    </w:p>
    <w:p w14:paraId="06F7B67A">
      <w:pPr>
        <w:pStyle w:val="73"/>
        <w:keepNext w:val="0"/>
        <w:keepLines w:val="0"/>
        <w:pageBreakBefore w:val="0"/>
        <w:widowControl w:val="0"/>
        <w:numPr>
          <w:ilvl w:val="0"/>
          <w:numId w:val="23"/>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开标地点：线上（暂定）</w:t>
      </w:r>
    </w:p>
    <w:p w14:paraId="420F0E0C">
      <w:pPr>
        <w:pStyle w:val="73"/>
        <w:keepNext w:val="0"/>
        <w:keepLines w:val="0"/>
        <w:pageBreakBefore w:val="0"/>
        <w:widowControl w:val="0"/>
        <w:numPr>
          <w:ilvl w:val="0"/>
          <w:numId w:val="23"/>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开标方式：</w:t>
      </w:r>
    </w:p>
    <w:p w14:paraId="4DCBC48A">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1" w:leftChars="0" w:firstLine="0" w:firstLineChars="0"/>
        <w:textAlignment w:val="auto"/>
        <w:rPr>
          <w:rFonts w:hint="eastAsia" w:ascii="宋体" w:hAnsi="宋体" w:eastAsia="宋体" w:cs="宋体"/>
          <w:color w:val="000000"/>
          <w:sz w:val="21"/>
          <w:szCs w:val="21"/>
          <w:highlight w:val="none"/>
        </w:rPr>
      </w:pPr>
      <w:r>
        <w:rPr>
          <w:rFonts w:hint="eastAsia" w:ascii="宋体" w:hAnsi="Courier New" w:eastAsia="宋体" w:cs="Times New Roman"/>
          <w:b w:val="0"/>
          <w:bCs/>
          <w:kern w:val="2"/>
          <w:sz w:val="21"/>
          <w:highlight w:val="none"/>
          <w:lang w:val="en-US" w:eastAsia="zh-CN" w:bidi="ar-SA"/>
        </w:rPr>
        <w:t>现场招</w:t>
      </w:r>
      <w:r>
        <w:rPr>
          <w:rFonts w:hint="eastAsia" w:ascii="宋体" w:hAnsi="宋体" w:eastAsia="宋体" w:cs="宋体"/>
          <w:b w:val="0"/>
          <w:bCs w:val="0"/>
          <w:sz w:val="21"/>
          <w:szCs w:val="21"/>
          <w:highlight w:val="none"/>
          <w:lang w:val="en-US" w:eastAsia="zh-CN"/>
        </w:rPr>
        <w:t>标：</w:t>
      </w:r>
      <w:r>
        <w:rPr>
          <w:rFonts w:hint="eastAsia" w:ascii="宋体" w:hAnsi="宋体" w:eastAsia="宋体" w:cs="宋体"/>
          <w:color w:val="000000"/>
          <w:sz w:val="21"/>
          <w:szCs w:val="21"/>
          <w:highlight w:val="none"/>
        </w:rPr>
        <w:t>原则上来现场参与开标。如因特殊情况无法现场参与，需在开标前三日，通知招标人，由招标人创建视频链接，并在报名结束后统一通知。</w:t>
      </w:r>
    </w:p>
    <w:p w14:paraId="3EF8D0F8">
      <w:pPr>
        <w:pStyle w:val="73"/>
        <w:keepNext w:val="0"/>
        <w:keepLines w:val="0"/>
        <w:pageBreakBefore w:val="0"/>
        <w:widowControl w:val="0"/>
        <w:numPr>
          <w:ilvl w:val="0"/>
          <w:numId w:val="24"/>
        </w:numPr>
        <w:kinsoku/>
        <w:wordWrap/>
        <w:overflowPunct/>
        <w:topLinePunct w:val="0"/>
        <w:autoSpaceDE/>
        <w:autoSpaceDN/>
        <w:bidi w:val="0"/>
        <w:adjustRightInd/>
        <w:snapToGrid/>
        <w:ind w:left="11" w:leftChars="0" w:firstLine="0" w:firstLineChars="0"/>
        <w:textAlignment w:val="auto"/>
        <w:rPr>
          <w:rFonts w:hint="eastAsia" w:ascii="宋体" w:hAnsi="宋体" w:eastAsia="宋体" w:cs="宋体"/>
          <w:color w:val="000000"/>
          <w:sz w:val="21"/>
          <w:szCs w:val="21"/>
          <w:highlight w:val="none"/>
        </w:rPr>
      </w:pPr>
      <w:r>
        <w:rPr>
          <w:rFonts w:hint="eastAsia" w:ascii="宋体" w:hAnsi="Courier New" w:eastAsia="宋体" w:cs="Times New Roman"/>
          <w:b w:val="0"/>
          <w:bCs/>
          <w:kern w:val="2"/>
          <w:sz w:val="21"/>
          <w:highlight w:val="none"/>
          <w:lang w:val="en-US" w:eastAsia="zh-CN" w:bidi="ar-SA"/>
        </w:rPr>
        <w:t>线上招标：</w:t>
      </w:r>
      <w:r>
        <w:rPr>
          <w:rFonts w:hint="eastAsia" w:ascii="宋体" w:hAnsi="宋体" w:eastAsia="宋体" w:cs="宋体"/>
          <w:b w:val="0"/>
          <w:bCs w:val="0"/>
          <w:sz w:val="21"/>
          <w:szCs w:val="21"/>
          <w:highlight w:val="none"/>
          <w:lang w:val="en-US" w:eastAsia="zh-CN"/>
        </w:rPr>
        <w:t>因招标人原因，允许各投标方通过视频会议等形式线上招标，所需过程资料均通过e采通进行提报，由</w:t>
      </w:r>
      <w:r>
        <w:rPr>
          <w:rFonts w:hint="eastAsia" w:ascii="宋体" w:hAnsi="宋体" w:eastAsia="宋体" w:cs="宋体"/>
          <w:color w:val="000000"/>
          <w:sz w:val="21"/>
          <w:szCs w:val="21"/>
          <w:highlight w:val="none"/>
        </w:rPr>
        <w:t>招标人创建视频链接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并在报名结束后统一通知。</w:t>
      </w:r>
    </w:p>
    <w:p w14:paraId="2C652027">
      <w:pPr>
        <w:pStyle w:val="73"/>
        <w:keepNext w:val="0"/>
        <w:keepLines w:val="0"/>
        <w:pageBreakBefore w:val="0"/>
        <w:widowControl w:val="0"/>
        <w:numPr>
          <w:ilvl w:val="0"/>
          <w:numId w:val="23"/>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评标</w:t>
      </w:r>
    </w:p>
    <w:p w14:paraId="6136E50F">
      <w:pPr>
        <w:pStyle w:val="73"/>
        <w:keepNext w:val="0"/>
        <w:keepLines w:val="0"/>
        <w:pageBreakBefore w:val="0"/>
        <w:widowControl w:val="0"/>
        <w:numPr>
          <w:ilvl w:val="0"/>
          <w:numId w:val="25"/>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评标方法</w:t>
      </w:r>
    </w:p>
    <w:p w14:paraId="649C28C4">
      <w:pPr>
        <w:pStyle w:val="76"/>
        <w:keepNext w:val="0"/>
        <w:keepLines w:val="0"/>
        <w:pageBreakBefore w:val="0"/>
        <w:widowControl w:val="0"/>
        <w:numPr>
          <w:ilvl w:val="0"/>
          <w:numId w:val="17"/>
        </w:numPr>
        <w:kinsoku/>
        <w:wordWrap/>
        <w:overflowPunct/>
        <w:topLinePunct w:val="0"/>
        <w:autoSpaceDE/>
        <w:autoSpaceDN/>
        <w:bidi w:val="0"/>
        <w:adjustRightInd/>
        <w:snapToGrid/>
        <w:ind w:left="10" w:leftChars="0" w:firstLine="0"/>
        <w:textAlignment w:val="auto"/>
        <w:rPr>
          <w:rFonts w:hint="eastAsia" w:cs="Times New Roman"/>
          <w:b w:val="0"/>
          <w:bCs/>
          <w:highlight w:val="none"/>
          <w:lang w:val="en-US" w:eastAsia="zh-CN"/>
        </w:rPr>
      </w:pPr>
      <w:r>
        <w:rPr>
          <w:rFonts w:hint="eastAsia" w:cs="Times New Roman"/>
          <w:b w:val="0"/>
          <w:bCs/>
          <w:highlight w:val="none"/>
          <w:lang w:val="en-US" w:eastAsia="zh-CN"/>
        </w:rPr>
        <w:t>评标方法</w:t>
      </w:r>
    </w:p>
    <w:p w14:paraId="2509BD7C">
      <w:pPr>
        <w:pStyle w:val="7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本次招标采用技术标入围后，原则上合理最低价中标。本着公平、公正、公开的原则，在通过技术标综合评审后入围的前提下，选择合理最低价确定中标人，对未中标单位不做任何解释。</w:t>
      </w:r>
    </w:p>
    <w:p w14:paraId="0B2A8F6D">
      <w:pPr>
        <w:pStyle w:val="73"/>
        <w:keepNext w:val="0"/>
        <w:keepLines w:val="0"/>
        <w:pageBreakBefore w:val="0"/>
        <w:widowControl w:val="0"/>
        <w:numPr>
          <w:ilvl w:val="0"/>
          <w:numId w:val="25"/>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评标流程</w:t>
      </w:r>
    </w:p>
    <w:p w14:paraId="08C47440">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应标资格审查：在“中国重汽e采通”应标报名时，</w:t>
      </w:r>
      <w:r>
        <w:rPr>
          <w:rFonts w:hint="eastAsia" w:ascii="宋体" w:hAnsi="宋体" w:eastAsia="宋体" w:cs="宋体"/>
          <w:b/>
          <w:bCs/>
          <w:color w:val="000000"/>
          <w:sz w:val="21"/>
          <w:szCs w:val="21"/>
          <w:highlight w:val="none"/>
        </w:rPr>
        <w:t>按照第</w:t>
      </w:r>
      <w:r>
        <w:rPr>
          <w:rFonts w:hint="eastAsia" w:ascii="宋体" w:hAnsi="宋体" w:eastAsia="宋体" w:cs="宋体"/>
          <w:b/>
          <w:bCs/>
          <w:color w:val="000000"/>
          <w:sz w:val="21"/>
          <w:szCs w:val="21"/>
          <w:highlight w:val="none"/>
          <w:lang w:val="en-US" w:eastAsia="zh-CN"/>
        </w:rPr>
        <w:t>一</w:t>
      </w:r>
      <w:r>
        <w:rPr>
          <w:rFonts w:hint="eastAsia" w:ascii="宋体" w:hAnsi="宋体" w:eastAsia="宋体" w:cs="宋体"/>
          <w:b/>
          <w:bCs/>
          <w:color w:val="000000"/>
          <w:sz w:val="21"/>
          <w:szCs w:val="21"/>
          <w:highlight w:val="none"/>
        </w:rPr>
        <w:t>部分第</w:t>
      </w:r>
      <w:r>
        <w:rPr>
          <w:rFonts w:hint="eastAsia" w:ascii="宋体" w:hAnsi="宋体" w:eastAsia="宋体" w:cs="宋体"/>
          <w:b/>
          <w:bCs/>
          <w:color w:val="000000"/>
          <w:sz w:val="21"/>
          <w:szCs w:val="21"/>
          <w:highlight w:val="none"/>
          <w:lang w:val="en-US" w:eastAsia="zh-CN"/>
        </w:rPr>
        <w:t>四</w:t>
      </w:r>
      <w:r>
        <w:rPr>
          <w:rFonts w:hint="eastAsia" w:ascii="宋体" w:hAnsi="宋体" w:eastAsia="宋体" w:cs="宋体"/>
          <w:b/>
          <w:bCs/>
          <w:color w:val="000000"/>
          <w:sz w:val="21"/>
          <w:szCs w:val="21"/>
          <w:highlight w:val="none"/>
        </w:rPr>
        <w:t>条投标文件</w:t>
      </w:r>
      <w:r>
        <w:rPr>
          <w:rFonts w:hint="eastAsia" w:ascii="宋体" w:hAnsi="宋体" w:eastAsia="宋体" w:cs="宋体"/>
          <w:b/>
          <w:bCs/>
          <w:color w:val="000000"/>
          <w:sz w:val="21"/>
          <w:szCs w:val="21"/>
          <w:highlight w:val="none"/>
          <w:lang w:val="en-US" w:eastAsia="zh-CN"/>
        </w:rPr>
        <w:t>编制</w:t>
      </w:r>
      <w:r>
        <w:rPr>
          <w:rFonts w:hint="eastAsia" w:ascii="宋体" w:hAnsi="宋体" w:eastAsia="宋体" w:cs="宋体"/>
          <w:b/>
          <w:bCs/>
          <w:color w:val="000000"/>
          <w:sz w:val="21"/>
          <w:szCs w:val="21"/>
          <w:highlight w:val="none"/>
        </w:rPr>
        <w:t>资格证明文件中的1.1-1.1</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准备资料，上传完毕后，等待审核</w:t>
      </w:r>
      <w:r>
        <w:rPr>
          <w:rFonts w:hint="eastAsia" w:ascii="宋体" w:hAnsi="宋体" w:eastAsia="宋体" w:cs="宋体"/>
          <w:b/>
          <w:color w:val="000000"/>
          <w:sz w:val="21"/>
          <w:szCs w:val="21"/>
          <w:highlight w:val="none"/>
        </w:rPr>
        <w:t>；</w:t>
      </w:r>
    </w:p>
    <w:p w14:paraId="3925B8AD">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通过应标资格审查的单位进入投标环节，按照“SRM系统供应商用户手册”，在重汽e采通平台投递电子标书（包含资质标、技术标、商务标）；没有通过应标资质审查的单位不能进入投标环节；</w:t>
      </w:r>
    </w:p>
    <w:p w14:paraId="3B34C86F">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资质标评审：资质标审核通过的单位，可以进入公开唱标环节；</w:t>
      </w:r>
    </w:p>
    <w:p w14:paraId="5672B712">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公开唱标：公示资质标入围单位的开标价格及商务条款响应情况；</w:t>
      </w:r>
    </w:p>
    <w:p w14:paraId="7E63C2E8">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技术标评审：技术标评标专家组，通过重汽e采通，对各投标人的《投标文件（技术标）》进行综合评审；评审期间产生的技术澄清均由投标人在重汽e采通平台内完成提交；评审合格的单位进入商务标评审环节，评审不合格的单位被淘汰；具体</w:t>
      </w:r>
      <w:r>
        <w:rPr>
          <w:rFonts w:hint="eastAsia" w:ascii="宋体" w:hAnsi="宋体" w:eastAsia="宋体" w:cs="宋体"/>
          <w:b/>
          <w:bCs/>
          <w:color w:val="000000"/>
          <w:sz w:val="21"/>
          <w:szCs w:val="21"/>
          <w:highlight w:val="none"/>
          <w:lang w:val="en-US" w:eastAsia="zh-CN"/>
        </w:rPr>
        <w:t>评分详见</w:t>
      </w:r>
      <w:r>
        <w:rPr>
          <w:rFonts w:hint="eastAsia" w:ascii="宋体" w:hAnsi="宋体" w:eastAsia="宋体" w:cs="宋体"/>
          <w:b/>
          <w:bCs/>
          <w:color w:val="000000"/>
          <w:sz w:val="21"/>
          <w:szCs w:val="21"/>
          <w:highlight w:val="none"/>
        </w:rPr>
        <w:t>评分标准；</w:t>
      </w:r>
    </w:p>
    <w:p w14:paraId="17C23BBD">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商务标评审：商务条款相应确认→价格澄清→商务标评审；评审期间产生的商务价格澄清均由投标人在重汽e采通平台限时内完成提交；</w:t>
      </w:r>
    </w:p>
    <w:p w14:paraId="148C0E04">
      <w:pPr>
        <w:pStyle w:val="76"/>
        <w:keepNext w:val="0"/>
        <w:keepLines w:val="0"/>
        <w:pageBreakBefore w:val="0"/>
        <w:widowControl w:val="0"/>
        <w:numPr>
          <w:ilvl w:val="0"/>
          <w:numId w:val="17"/>
        </w:numPr>
        <w:kinsoku/>
        <w:wordWrap/>
        <w:overflowPunct/>
        <w:topLinePunct w:val="0"/>
        <w:autoSpaceDE/>
        <w:autoSpaceDN/>
        <w:bidi w:val="0"/>
        <w:adjustRightInd/>
        <w:snapToGrid/>
        <w:ind w:left="10" w:leftChars="0" w:firstLine="0"/>
        <w:textAlignment w:val="auto"/>
        <w:rPr>
          <w:rFonts w:hint="eastAsia" w:cs="Times New Roman"/>
          <w:b/>
          <w:bCs w:val="0"/>
          <w:highlight w:val="none"/>
        </w:rPr>
      </w:pPr>
      <w:r>
        <w:rPr>
          <w:rFonts w:hint="eastAsia" w:cs="Times New Roman"/>
          <w:b/>
          <w:bCs w:val="0"/>
          <w:highlight w:val="none"/>
        </w:rPr>
        <w:t>注意：投标人均需要自带笔记本电脑在重汽e采通进行自主投标和提交澄清函；投标和提交澄清函均有时间限制，超时未提交的按无效处理。</w:t>
      </w:r>
    </w:p>
    <w:p w14:paraId="5C1753E7">
      <w:pPr>
        <w:numPr>
          <w:ilvl w:val="0"/>
          <w:numId w:val="27"/>
        </w:numPr>
        <w:spacing w:line="360" w:lineRule="auto"/>
        <w:rPr>
          <w:rFonts w:hint="default" w:ascii="宋体" w:hAnsi="宋体" w:eastAsia="宋体" w:cs="宋体"/>
          <w:b w:val="0"/>
          <w:bCs w:val="0"/>
          <w:sz w:val="24"/>
          <w:szCs w:val="24"/>
          <w:highlight w:val="none"/>
          <w:lang w:val="en-US" w:eastAsia="zh-CN"/>
        </w:rPr>
      </w:pPr>
      <w:r>
        <w:rPr>
          <w:rFonts w:hint="eastAsia" w:ascii="宋体" w:hAnsi="宋体" w:eastAsia="宋体" w:cs="宋体"/>
          <w:b/>
          <w:color w:val="auto"/>
          <w:sz w:val="24"/>
          <w:szCs w:val="24"/>
          <w:lang w:val="en-US" w:eastAsia="zh-CN"/>
        </w:rPr>
        <w:t>中标人确定</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技术标入围后，原则上</w:t>
      </w:r>
      <w:r>
        <w:rPr>
          <w:rFonts w:hint="eastAsia" w:ascii="宋体" w:hAnsi="宋体" w:eastAsia="宋体" w:cs="宋体"/>
          <w:b/>
          <w:bCs/>
          <w:color w:val="auto"/>
          <w:sz w:val="24"/>
          <w:szCs w:val="24"/>
          <w:lang w:val="en-US" w:eastAsia="zh-CN"/>
        </w:rPr>
        <w:t>合理最低价</w:t>
      </w:r>
      <w:r>
        <w:rPr>
          <w:rFonts w:hint="eastAsia" w:ascii="宋体" w:hAnsi="宋体" w:eastAsia="宋体" w:cs="宋体"/>
          <w:b/>
          <w:color w:val="auto"/>
          <w:sz w:val="24"/>
          <w:szCs w:val="24"/>
          <w:lang w:val="en-US" w:eastAsia="zh-CN"/>
        </w:rPr>
        <w:t>中标</w:t>
      </w:r>
      <w:r>
        <w:rPr>
          <w:rFonts w:hint="eastAsia" w:ascii="宋体" w:hAnsi="宋体" w:eastAsia="宋体" w:cs="宋体"/>
          <w:b/>
          <w:color w:val="auto"/>
          <w:sz w:val="24"/>
          <w:szCs w:val="24"/>
        </w:rPr>
        <w:t>。</w:t>
      </w:r>
    </w:p>
    <w:p w14:paraId="7C0A112D">
      <w:pPr>
        <w:pStyle w:val="73"/>
      </w:pPr>
      <w:r>
        <w:rPr>
          <w:rFonts w:hint="eastAsia"/>
          <w:lang w:val="en-US" w:eastAsia="zh-CN"/>
        </w:rPr>
        <w:t>定标</w:t>
      </w:r>
    </w:p>
    <w:p w14:paraId="6B705137">
      <w:pPr>
        <w:pStyle w:val="73"/>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本项目只产生</w:t>
      </w:r>
      <w:r>
        <w:rPr>
          <w:rFonts w:hint="eastAsia" w:ascii="宋体" w:hAnsi="宋体" w:eastAsia="宋体" w:cs="宋体"/>
          <w:b w:val="0"/>
          <w:bCs w:val="0"/>
          <w:sz w:val="21"/>
          <w:szCs w:val="21"/>
          <w:highlight w:val="yellow"/>
          <w:u w:val="single"/>
          <w:lang w:val="en-US" w:eastAsia="zh-CN"/>
        </w:rPr>
        <w:t xml:space="preserve"> 1  </w:t>
      </w:r>
      <w:r>
        <w:rPr>
          <w:rFonts w:hint="eastAsia" w:ascii="宋体" w:hAnsi="宋体" w:eastAsia="宋体" w:cs="宋体"/>
          <w:b w:val="0"/>
          <w:bCs w:val="0"/>
          <w:sz w:val="21"/>
          <w:szCs w:val="21"/>
          <w:highlight w:val="none"/>
        </w:rPr>
        <w:t>个中标人。中标人签订合同前须进行最终审查。最终审查的对象</w:t>
      </w:r>
      <w:r>
        <w:rPr>
          <w:rFonts w:hint="eastAsia" w:ascii="宋体" w:hAnsi="宋体" w:eastAsia="宋体" w:cs="宋体"/>
          <w:b w:val="0"/>
          <w:bCs w:val="0"/>
          <w:sz w:val="21"/>
          <w:szCs w:val="21"/>
          <w:highlight w:val="none"/>
          <w:lang w:val="en-US" w:eastAsia="zh-CN"/>
        </w:rPr>
        <w:t>是</w:t>
      </w:r>
      <w:r>
        <w:rPr>
          <w:rFonts w:hint="eastAsia" w:ascii="宋体" w:hAnsi="宋体" w:eastAsia="宋体" w:cs="宋体"/>
          <w:b w:val="0"/>
          <w:bCs w:val="0"/>
          <w:sz w:val="21"/>
          <w:szCs w:val="21"/>
          <w:highlight w:val="none"/>
        </w:rPr>
        <w:t>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w:t>
      </w:r>
      <w:r>
        <w:rPr>
          <w:rFonts w:hint="eastAsia" w:ascii="宋体" w:hAnsi="宋体" w:eastAsia="宋体" w:cs="宋体"/>
          <w:b w:val="0"/>
          <w:bCs w:val="0"/>
          <w:sz w:val="21"/>
          <w:szCs w:val="21"/>
          <w:highlight w:val="none"/>
          <w:lang w:val="en-US" w:eastAsia="zh-CN"/>
        </w:rPr>
        <w:t>的</w:t>
      </w:r>
      <w:r>
        <w:rPr>
          <w:rFonts w:hint="eastAsia" w:ascii="宋体" w:hAnsi="宋体" w:eastAsia="宋体" w:cs="宋体"/>
          <w:b w:val="0"/>
          <w:bCs w:val="0"/>
          <w:sz w:val="21"/>
          <w:szCs w:val="21"/>
          <w:highlight w:val="none"/>
        </w:rPr>
        <w:t>，则本次评标作废</w:t>
      </w:r>
      <w:r>
        <w:rPr>
          <w:rFonts w:hint="eastAsia" w:ascii="宋体" w:hAnsi="宋体" w:eastAsia="宋体" w:cs="宋体"/>
          <w:b w:val="0"/>
          <w:bCs w:val="0"/>
          <w:sz w:val="21"/>
          <w:szCs w:val="21"/>
          <w:highlight w:val="none"/>
          <w:lang w:val="en-US" w:eastAsia="zh-CN"/>
        </w:rPr>
        <w:t>或变更意向中标人</w:t>
      </w:r>
      <w:r>
        <w:rPr>
          <w:rFonts w:hint="eastAsia" w:ascii="宋体" w:hAnsi="宋体" w:eastAsia="宋体" w:cs="宋体"/>
          <w:b w:val="0"/>
          <w:bCs w:val="0"/>
          <w:sz w:val="21"/>
          <w:szCs w:val="21"/>
          <w:highlight w:val="none"/>
          <w:lang w:eastAsia="zh-CN"/>
        </w:rPr>
        <w:t>。</w:t>
      </w:r>
    </w:p>
    <w:p w14:paraId="434A2260">
      <w:pPr>
        <w:pStyle w:val="73"/>
      </w:pPr>
      <w:r>
        <w:rPr>
          <w:rFonts w:hint="eastAsia"/>
          <w:lang w:val="en-US" w:eastAsia="zh-CN"/>
        </w:rPr>
        <w:t>废标及终止招标</w:t>
      </w:r>
    </w:p>
    <w:p w14:paraId="2C8EAF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F5A6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highlight w:val="none"/>
        </w:rPr>
        <w:t>投标人提供的有关资格、资质证明文件不合格、不真实或提供虚假投标材料；</w:t>
      </w:r>
    </w:p>
    <w:p w14:paraId="3B8EDB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highlight w:val="none"/>
        </w:rPr>
        <w:t>投标人在报价有效期内撤回投标；</w:t>
      </w:r>
    </w:p>
    <w:p w14:paraId="434300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(3)</w:t>
      </w:r>
      <w:r>
        <w:rPr>
          <w:rFonts w:hint="eastAsia" w:ascii="宋体" w:hAnsi="宋体" w:eastAsia="宋体" w:cs="宋体"/>
          <w:color w:val="000000"/>
          <w:sz w:val="21"/>
          <w:szCs w:val="21"/>
          <w:highlight w:val="none"/>
        </w:rPr>
        <w:t>在整个评标过程中，投标人有企图影响评标结果公正性的任何活动；</w:t>
      </w:r>
    </w:p>
    <w:p w14:paraId="0178F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lang w:eastAsia="zh-CN"/>
        </w:rPr>
      </w:pPr>
      <w:r>
        <w:rPr>
          <w:rFonts w:hint="default" w:ascii="宋体" w:hAnsi="宋体" w:eastAsia="宋体" w:cs="宋体"/>
          <w:color w:val="000000"/>
          <w:kern w:val="2"/>
          <w:sz w:val="21"/>
          <w:szCs w:val="21"/>
          <w:lang w:val="en-US" w:eastAsia="zh-CN" w:bidi="ar-SA"/>
        </w:rPr>
        <w:t>(4)</w:t>
      </w:r>
      <w:r>
        <w:rPr>
          <w:rFonts w:hint="eastAsia" w:ascii="宋体" w:hAnsi="宋体" w:eastAsia="宋体" w:cs="宋体"/>
          <w:color w:val="000000"/>
          <w:sz w:val="21"/>
          <w:szCs w:val="21"/>
          <w:highlight w:val="none"/>
        </w:rPr>
        <w:t>投标人以任何方式诋毁其他投标人；</w:t>
      </w:r>
    </w:p>
    <w:p w14:paraId="4A147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(5)</w:t>
      </w:r>
      <w:r>
        <w:rPr>
          <w:rFonts w:hint="eastAsia" w:ascii="宋体" w:hAnsi="宋体" w:eastAsia="宋体" w:cs="宋体"/>
          <w:color w:val="000000"/>
          <w:sz w:val="21"/>
          <w:szCs w:val="21"/>
          <w:highlight w:val="none"/>
        </w:rPr>
        <w:t>投标人串通投标；</w:t>
      </w:r>
    </w:p>
    <w:p w14:paraId="57D4CDCD">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(6)</w:t>
      </w:r>
      <w:r>
        <w:rPr>
          <w:rFonts w:hint="eastAsia" w:ascii="宋体" w:hAnsi="宋体" w:eastAsia="宋体" w:cs="宋体"/>
          <w:color w:val="000000"/>
          <w:sz w:val="21"/>
          <w:szCs w:val="21"/>
          <w:highlight w:val="none"/>
        </w:rPr>
        <w:t>投标人被举报、检举，并经招标人查实无误的；</w:t>
      </w:r>
    </w:p>
    <w:p w14:paraId="019FF2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(7)</w:t>
      </w:r>
      <w:r>
        <w:rPr>
          <w:rFonts w:hint="eastAsia" w:ascii="宋体" w:hAnsi="宋体" w:eastAsia="宋体" w:cs="宋体"/>
          <w:color w:val="000000"/>
          <w:sz w:val="21"/>
          <w:szCs w:val="21"/>
          <w:highlight w:val="none"/>
        </w:rPr>
        <w:t>以他人名义投标或者以其他方式弄虚作假，骗取中标的；</w:t>
      </w:r>
    </w:p>
    <w:p w14:paraId="7FEF70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(8)</w:t>
      </w:r>
      <w:r>
        <w:rPr>
          <w:rFonts w:hint="eastAsia" w:ascii="宋体" w:hAnsi="宋体" w:eastAsia="宋体" w:cs="宋体"/>
          <w:sz w:val="21"/>
          <w:szCs w:val="21"/>
          <w:highlight w:val="none"/>
        </w:rPr>
        <w:t>投标人负责人为同一人或者存在控股、管理关系的不同单位；</w:t>
      </w:r>
    </w:p>
    <w:p w14:paraId="5DB4D4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(9)</w:t>
      </w:r>
      <w:r>
        <w:rPr>
          <w:rFonts w:hint="eastAsia" w:ascii="宋体" w:hAnsi="宋体" w:eastAsia="宋体" w:cs="宋体"/>
          <w:sz w:val="21"/>
          <w:szCs w:val="21"/>
          <w:highlight w:val="none"/>
        </w:rPr>
        <w:t>有效投标不足三家；</w:t>
      </w:r>
    </w:p>
    <w:p w14:paraId="06AA86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(10)</w:t>
      </w:r>
      <w:r>
        <w:rPr>
          <w:rFonts w:hint="eastAsia" w:ascii="宋体" w:hAnsi="宋体" w:eastAsia="宋体" w:cs="宋体"/>
          <w:sz w:val="21"/>
          <w:szCs w:val="21"/>
          <w:highlight w:val="none"/>
        </w:rPr>
        <w:t>不同投标人的投标文件异常一致或者投标报价呈规律性差异的；</w:t>
      </w:r>
    </w:p>
    <w:p w14:paraId="1AD76C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(11)</w:t>
      </w:r>
      <w:r>
        <w:rPr>
          <w:rFonts w:hint="eastAsia" w:ascii="宋体" w:hAnsi="宋体" w:eastAsia="宋体" w:cs="宋体"/>
          <w:sz w:val="21"/>
          <w:szCs w:val="21"/>
          <w:highlight w:val="none"/>
        </w:rPr>
        <w:t>投标人报价均超过</w:t>
      </w:r>
      <w:r>
        <w:rPr>
          <w:rFonts w:hint="eastAsia" w:ascii="宋体" w:hAnsi="宋体" w:cs="宋体"/>
          <w:sz w:val="21"/>
          <w:szCs w:val="21"/>
          <w:highlight w:val="none"/>
          <w:lang w:val="en-US" w:eastAsia="zh-CN"/>
        </w:rPr>
        <w:t>最高限价</w:t>
      </w:r>
      <w:r>
        <w:rPr>
          <w:rFonts w:hint="eastAsia" w:ascii="宋体" w:hAnsi="宋体" w:eastAsia="宋体" w:cs="宋体"/>
          <w:sz w:val="21"/>
          <w:szCs w:val="21"/>
          <w:highlight w:val="none"/>
        </w:rPr>
        <w:t>的；</w:t>
      </w:r>
    </w:p>
    <w:p w14:paraId="0D7AB8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(12)</w:t>
      </w:r>
      <w:r>
        <w:rPr>
          <w:rFonts w:hint="eastAsia" w:ascii="宋体" w:hAnsi="宋体" w:eastAsia="宋体" w:cs="宋体"/>
          <w:color w:val="000000"/>
          <w:sz w:val="21"/>
          <w:szCs w:val="21"/>
          <w:highlight w:val="none"/>
        </w:rPr>
        <w:t>未按要求填报商务报价资料，对招标开展造成较大影响；</w:t>
      </w:r>
    </w:p>
    <w:p w14:paraId="46E473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(13)</w:t>
      </w:r>
      <w:r>
        <w:rPr>
          <w:rFonts w:hint="eastAsia" w:ascii="宋体" w:hAnsi="宋体" w:eastAsia="宋体" w:cs="宋体"/>
          <w:b w:val="0"/>
          <w:bCs w:val="0"/>
          <w:spacing w:val="0"/>
          <w:sz w:val="21"/>
          <w:szCs w:val="21"/>
          <w:highlight w:val="none"/>
          <w:lang w:val="en-US" w:eastAsia="zh-CN"/>
        </w:rPr>
        <w:t>未按照招标人规定的时间内在中国重汽e采通完成投标的；</w:t>
      </w:r>
    </w:p>
    <w:p w14:paraId="2A852C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(14)</w:t>
      </w:r>
      <w:r>
        <w:rPr>
          <w:rFonts w:hint="eastAsia" w:ascii="宋体" w:hAnsi="宋体" w:eastAsia="宋体" w:cs="宋体"/>
          <w:color w:val="000000"/>
          <w:sz w:val="21"/>
          <w:szCs w:val="21"/>
          <w:highlight w:val="none"/>
        </w:rPr>
        <w:t>法律、法规规定的其他情况。</w:t>
      </w:r>
    </w:p>
    <w:p w14:paraId="75E706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eastAsia" w:ascii="宋体" w:hAnsi="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highlight w:val="none"/>
        </w:rPr>
        <w:t>出现下列情形之一，招标人有权否决所有投标人的投标，并终止招标。</w:t>
      </w:r>
    </w:p>
    <w:p w14:paraId="6BC017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bCs/>
          <w:color w:val="FF0000"/>
          <w:sz w:val="18"/>
          <w:szCs w:val="18"/>
          <w:highlight w:val="none"/>
          <w:lang w:eastAsia="zh-CN"/>
        </w:rPr>
      </w:pPr>
      <w:r>
        <w:rPr>
          <w:rFonts w:hint="default"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1</w:t>
      </w:r>
      <w:r>
        <w:rPr>
          <w:rFonts w:hint="default" w:ascii="宋体" w:hAnsi="宋体" w:eastAsia="宋体" w:cs="宋体"/>
          <w:b w:val="0"/>
          <w:bCs w:val="0"/>
          <w:color w:val="auto"/>
          <w:kern w:val="2"/>
          <w:sz w:val="21"/>
          <w:szCs w:val="21"/>
          <w:lang w:val="en-US" w:eastAsia="zh-CN" w:bidi="ar-SA"/>
        </w:rPr>
        <w:t>)</w:t>
      </w:r>
      <w:r>
        <w:rPr>
          <w:rFonts w:hint="eastAsia" w:ascii="宋体" w:hAnsi="宋体" w:eastAsia="宋体" w:cs="宋体"/>
          <w:sz w:val="21"/>
          <w:szCs w:val="21"/>
          <w:highlight w:val="yellow"/>
        </w:rPr>
        <w:t>符合条件的投标人或者对招标文件做实质响应的投标人不足三家的；</w:t>
      </w:r>
    </w:p>
    <w:p w14:paraId="4633E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highlight w:val="none"/>
        </w:rPr>
        <w:t>出现影响采购公正的违法、违规行为的；</w:t>
      </w:r>
    </w:p>
    <w:p w14:paraId="3D944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ascii="宋体" w:hAnsi="宋体" w:cs="宋体"/>
          <w:bCs/>
          <w:kern w:val="2"/>
          <w:sz w:val="21"/>
          <w:szCs w:val="21"/>
          <w:lang w:val="en-US" w:eastAsia="zh-CN" w:bidi="ar-SA"/>
        </w:rPr>
        <w:t>3</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评标委员会经评审，认为所有投标都不符合招标文件要求的；</w:t>
      </w:r>
    </w:p>
    <w:p w14:paraId="1872B7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ascii="宋体" w:hAnsi="宋体" w:cs="宋体"/>
          <w:bCs/>
          <w:kern w:val="2"/>
          <w:sz w:val="21"/>
          <w:szCs w:val="21"/>
          <w:lang w:val="en-US" w:eastAsia="zh-CN" w:bidi="ar-SA"/>
        </w:rPr>
        <w:t>4</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因重大变故，采购任务取消的</w:t>
      </w:r>
      <w:bookmarkStart w:id="16" w:name="OLE_LINK26"/>
      <w:bookmarkStart w:id="17" w:name="OLE_LINK28"/>
      <w:bookmarkStart w:id="18" w:name="OLE_LINK27"/>
      <w:bookmarkStart w:id="19" w:name="OLE_LINK29"/>
      <w:bookmarkStart w:id="20" w:name="OLE_LINK25"/>
      <w:r>
        <w:rPr>
          <w:rFonts w:hint="eastAsia" w:ascii="宋体" w:hAnsi="宋体" w:eastAsia="宋体" w:cs="宋体"/>
          <w:bCs/>
          <w:sz w:val="21"/>
          <w:szCs w:val="21"/>
          <w:highlight w:val="none"/>
        </w:rPr>
        <w:t>；</w:t>
      </w:r>
      <w:bookmarkEnd w:id="16"/>
      <w:bookmarkEnd w:id="17"/>
      <w:bookmarkEnd w:id="18"/>
      <w:bookmarkEnd w:id="19"/>
      <w:bookmarkEnd w:id="20"/>
    </w:p>
    <w:p w14:paraId="5CD1D199">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hAnsi="宋体" w:cs="宋体"/>
          <w:bCs/>
          <w:kern w:val="2"/>
          <w:sz w:val="21"/>
          <w:szCs w:val="21"/>
          <w:lang w:val="en-US" w:eastAsia="zh-CN" w:bidi="ar-SA"/>
        </w:rPr>
        <w:t>5</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招标人认为其他应终止招标的情形。</w:t>
      </w:r>
    </w:p>
    <w:p w14:paraId="24E68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sz w:val="21"/>
          <w:szCs w:val="21"/>
        </w:rPr>
      </w:pPr>
      <w:r>
        <w:rPr>
          <w:rFonts w:hint="eastAsia" w:ascii="宋体" w:hAnsi="宋体" w:eastAsia="宋体" w:cs="宋体"/>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w:t>
      </w:r>
      <w:r>
        <w:rPr>
          <w:rFonts w:hint="eastAsia" w:ascii="宋体" w:hAnsi="宋体" w:eastAsia="宋体" w:cs="宋体"/>
          <w:color w:val="000000"/>
          <w:sz w:val="21"/>
          <w:szCs w:val="21"/>
          <w:highlight w:val="none"/>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3E00D4EE">
      <w:pPr>
        <w:pStyle w:val="73"/>
      </w:pPr>
      <w:r>
        <w:rPr>
          <w:rFonts w:hint="eastAsia"/>
          <w:lang w:val="en-US" w:eastAsia="zh-CN"/>
        </w:rPr>
        <w:t>合同签订</w:t>
      </w:r>
    </w:p>
    <w:p w14:paraId="470297F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1.招标人根据评标工作小组的评标结果确定中标人，在重汽e采通平台公布中标结果，并发送中标通知。</w:t>
      </w:r>
    </w:p>
    <w:p w14:paraId="13B368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2.中标人应该在中标通知书规定的时间、地点与招标人签订采购合同，否则按照开标后撤回投标处理。</w:t>
      </w:r>
    </w:p>
    <w:p w14:paraId="247515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3.中标人应当按照合同约定的履约责任，在保证质量的前提下完成中标项目，不得将中标项目转包或分包给他人，否则视为违约，招标人有权解除合同。</w:t>
      </w:r>
    </w:p>
    <w:p w14:paraId="71A3F1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b/>
          <w:sz w:val="21"/>
          <w:szCs w:val="21"/>
        </w:rPr>
      </w:pPr>
      <w:r>
        <w:rPr>
          <w:rFonts w:hint="eastAsia" w:ascii="宋体" w:hAnsi="宋体" w:cs="宋体"/>
          <w:b/>
          <w:sz w:val="21"/>
          <w:szCs w:val="21"/>
        </w:rPr>
        <w:t>4.中标人由于履行义务的能力或信用有严重缺陷，招标人有权取消其中标资格，招标人将从中标候选单位中依序重新确定中标人，或重新组织招标；</w:t>
      </w:r>
    </w:p>
    <w:p w14:paraId="4B1A7D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cs="宋体"/>
          <w:b/>
          <w:sz w:val="21"/>
          <w:szCs w:val="21"/>
        </w:rPr>
        <w:t>5.合同以双方最终签署的版本为准。</w:t>
      </w:r>
    </w:p>
    <w:p w14:paraId="610E8BB3">
      <w:pPr>
        <w:pStyle w:val="73"/>
      </w:pPr>
      <w:r>
        <w:rPr>
          <w:rFonts w:hint="eastAsia"/>
          <w:lang w:val="en-US" w:eastAsia="zh-CN"/>
        </w:rPr>
        <w:t>交货及付款</w:t>
      </w:r>
    </w:p>
    <w:p w14:paraId="0DD46053">
      <w:pPr>
        <w:pStyle w:val="73"/>
        <w:numPr>
          <w:ilvl w:val="0"/>
          <w:numId w:val="28"/>
        </w:numPr>
        <w:ind w:left="425" w:leftChars="0" w:hanging="425" w:firstLineChars="0"/>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交货期：以合同为准</w:t>
      </w:r>
    </w:p>
    <w:p w14:paraId="6AAC4A46">
      <w:pPr>
        <w:pStyle w:val="73"/>
        <w:numPr>
          <w:ilvl w:val="0"/>
          <w:numId w:val="28"/>
        </w:numPr>
        <w:ind w:left="425" w:leftChars="0" w:hanging="425" w:firstLineChars="0"/>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交货地点：以合同为准</w:t>
      </w:r>
    </w:p>
    <w:p w14:paraId="6C8560A2">
      <w:pPr>
        <w:pStyle w:val="73"/>
        <w:numPr>
          <w:ilvl w:val="0"/>
          <w:numId w:val="28"/>
        </w:numPr>
        <w:ind w:left="425" w:leftChars="0" w:hanging="425" w:firstLineChars="0"/>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交货方式：</w:t>
      </w:r>
      <w:r>
        <w:rPr>
          <w:rFonts w:hint="eastAsia" w:ascii="仿宋" w:hAnsi="仿宋" w:eastAsia="仿宋" w:cs="仿宋"/>
          <w:b w:val="0"/>
          <w:bCs w:val="0"/>
          <w:sz w:val="24"/>
          <w:szCs w:val="24"/>
        </w:rPr>
        <w:t>交钥匙工程</w:t>
      </w:r>
    </w:p>
    <w:p w14:paraId="249F80CF">
      <w:pPr>
        <w:pStyle w:val="16"/>
        <w:rPr>
          <w:rFonts w:hint="eastAsia" w:ascii="宋体" w:hAnsi="宋体" w:eastAsia="宋体" w:cs="宋体"/>
          <w:b w:val="0"/>
          <w:bCs w:val="0"/>
          <w:color w:val="000000"/>
          <w:sz w:val="21"/>
          <w:szCs w:val="21"/>
          <w:highlight w:val="yellow"/>
        </w:rPr>
      </w:pPr>
      <w:r>
        <w:rPr>
          <w:rFonts w:hint="eastAsia" w:ascii="宋体" w:hAnsi="宋体" w:eastAsia="宋体" w:cs="宋体"/>
          <w:b w:val="0"/>
          <w:bCs w:val="0"/>
          <w:color w:val="000000"/>
          <w:sz w:val="21"/>
          <w:szCs w:val="21"/>
        </w:rPr>
        <w:t>付款方式：</w:t>
      </w:r>
      <w:r>
        <w:rPr>
          <w:rFonts w:hint="eastAsia" w:ascii="宋体" w:hAnsi="宋体" w:eastAsia="宋体" w:cs="宋体"/>
          <w:b w:val="0"/>
          <w:bCs w:val="0"/>
          <w:sz w:val="21"/>
          <w:szCs w:val="21"/>
        </w:rPr>
        <w:t>半年期</w:t>
      </w:r>
      <w:r>
        <w:rPr>
          <w:rFonts w:hint="eastAsia" w:ascii="宋体" w:hAnsi="宋体" w:eastAsia="宋体" w:cs="宋体"/>
          <w:b w:val="0"/>
          <w:bCs w:val="0"/>
          <w:sz w:val="21"/>
          <w:szCs w:val="21"/>
          <w:lang w:eastAsia="zh-CN"/>
        </w:rPr>
        <w:t>商业汇票（包括银行承兑汇票和商业承兑汇票）</w:t>
      </w:r>
    </w:p>
    <w:p w14:paraId="37C82059">
      <w:pPr>
        <w:keepNext/>
        <w:keepLines/>
        <w:spacing w:line="360" w:lineRule="auto"/>
        <w:outlineLvl w:val="1"/>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（1）设备全部到货后，中标人提交金额为合同价款30%的收据并提供合同价款</w:t>
      </w:r>
      <w:r>
        <w:rPr>
          <w:rFonts w:hint="eastAsia" w:ascii="宋体" w:hAnsi="宋体" w:eastAsia="宋体" w:cs="宋体"/>
          <w:b w:val="0"/>
          <w:bCs w:val="0"/>
          <w:sz w:val="21"/>
          <w:szCs w:val="21"/>
          <w:highlight w:val="yellow"/>
          <w:lang w:val="en-US" w:eastAsia="zh-CN"/>
        </w:rPr>
        <w:t>30</w:t>
      </w:r>
      <w:r>
        <w:rPr>
          <w:rFonts w:hint="eastAsia" w:ascii="宋体" w:hAnsi="宋体" w:eastAsia="宋体" w:cs="宋体"/>
          <w:b w:val="0"/>
          <w:bCs w:val="0"/>
          <w:sz w:val="21"/>
          <w:szCs w:val="21"/>
          <w:lang w:val="en-US" w:eastAsia="zh-CN"/>
        </w:rPr>
        <w:t>%的增值税专用发票（含复印件二份），经招标人依照财务制度审核通过后30日支付；</w:t>
      </w:r>
    </w:p>
    <w:p w14:paraId="7BF15AC5">
      <w:pPr>
        <w:keepNext/>
        <w:keepLines/>
        <w:spacing w:line="360" w:lineRule="auto"/>
        <w:outlineLvl w:val="1"/>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（2）设备验收合格后，中标人提交金额为合同价款</w:t>
      </w:r>
      <w:r>
        <w:rPr>
          <w:rFonts w:hint="eastAsia" w:ascii="宋体" w:hAnsi="宋体" w:eastAsia="宋体" w:cs="宋体"/>
          <w:b w:val="0"/>
          <w:bCs w:val="0"/>
          <w:sz w:val="21"/>
          <w:szCs w:val="21"/>
          <w:highlight w:val="yellow"/>
          <w:lang w:val="en-US" w:eastAsia="zh-CN"/>
        </w:rPr>
        <w:t>60</w:t>
      </w:r>
      <w:r>
        <w:rPr>
          <w:rFonts w:hint="eastAsia" w:ascii="宋体" w:hAnsi="宋体" w:eastAsia="宋体" w:cs="宋体"/>
          <w:b w:val="0"/>
          <w:bCs w:val="0"/>
          <w:sz w:val="21"/>
          <w:szCs w:val="21"/>
          <w:lang w:val="en-US" w:eastAsia="zh-CN"/>
        </w:rPr>
        <w:t>%的收据并提供合同价款70%的增值税专用发票（含复印件二份），经招标人依照财务制度审核通过后30日支付；</w:t>
      </w:r>
    </w:p>
    <w:p w14:paraId="339B0F78">
      <w:pPr>
        <w:keepNext/>
        <w:keepLines/>
        <w:spacing w:line="360" w:lineRule="auto"/>
        <w:outlineLvl w:val="1"/>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（3）合同总价款的</w:t>
      </w:r>
      <w:r>
        <w:rPr>
          <w:rFonts w:hint="eastAsia" w:ascii="宋体" w:hAnsi="宋体" w:eastAsia="宋体" w:cs="宋体"/>
          <w:b w:val="0"/>
          <w:bCs w:val="0"/>
          <w:sz w:val="21"/>
          <w:szCs w:val="21"/>
          <w:highlight w:val="yellow"/>
          <w:lang w:val="en-US" w:eastAsia="zh-CN"/>
        </w:rPr>
        <w:t>10%</w:t>
      </w:r>
      <w:r>
        <w:rPr>
          <w:rFonts w:hint="eastAsia" w:ascii="宋体" w:hAnsi="宋体" w:eastAsia="宋体" w:cs="宋体"/>
          <w:b w:val="0"/>
          <w:bCs w:val="0"/>
          <w:sz w:val="21"/>
          <w:szCs w:val="21"/>
          <w:lang w:val="en-US" w:eastAsia="zh-CN"/>
        </w:rPr>
        <w:t>作为本合同约定设备的质量保证金，质量保证金在质量保证期内不计利息。质保期届满后支付。</w:t>
      </w:r>
    </w:p>
    <w:p w14:paraId="65C1E95A">
      <w:pPr>
        <w:rPr>
          <w:rFonts w:hint="eastAsia" w:ascii="宋体" w:hAnsi="宋体" w:eastAsia="宋体" w:cs="宋体"/>
          <w:b w:val="0"/>
          <w:bCs w:val="0"/>
          <w:sz w:val="21"/>
          <w:szCs w:val="21"/>
          <w:highlight w:val="yellow"/>
          <w:lang w:eastAsia="zh-CN"/>
        </w:rPr>
      </w:pPr>
      <w:r>
        <w:rPr>
          <w:rFonts w:hint="eastAsia" w:ascii="宋体" w:hAnsi="宋体" w:eastAsia="宋体" w:cs="宋体"/>
          <w:b w:val="0"/>
          <w:bCs w:val="0"/>
          <w:sz w:val="21"/>
          <w:szCs w:val="21"/>
        </w:rPr>
        <w:t>待每套合同设备质量保证期满2年后，经买方依照财务制度审核无误后支付。如有质量问题，质量保证金予以相应扣除。</w:t>
      </w:r>
    </w:p>
    <w:p w14:paraId="6E0D7439">
      <w:pPr>
        <w:pStyle w:val="73"/>
        <w:rPr>
          <w:rFonts w:hint="eastAsia"/>
          <w:lang w:val="en-US" w:eastAsia="zh-CN"/>
        </w:rPr>
      </w:pPr>
      <w:r>
        <w:rPr>
          <w:rFonts w:hint="eastAsia"/>
          <w:lang w:val="en-US" w:eastAsia="zh-CN"/>
        </w:rPr>
        <w:t>本次招标最终解释权归中国重汽集团动力有限公司。</w:t>
      </w:r>
    </w:p>
    <w:p w14:paraId="66BCACD8">
      <w:pPr>
        <w:pStyle w:val="77"/>
      </w:pPr>
    </w:p>
    <w:p w14:paraId="07A4B493">
      <w:pPr>
        <w:pStyle w:val="72"/>
        <w:jc w:val="both"/>
        <w:rPr>
          <w:rFonts w:hint="eastAsia"/>
        </w:rPr>
      </w:pPr>
      <w:bookmarkStart w:id="21" w:name="_Toc47976607"/>
    </w:p>
    <w:p w14:paraId="243FF35F">
      <w:pPr>
        <w:pStyle w:val="72"/>
        <w:jc w:val="both"/>
        <w:rPr>
          <w:rFonts w:hint="eastAsia"/>
        </w:rPr>
      </w:pPr>
    </w:p>
    <w:p w14:paraId="394E55CC">
      <w:pPr>
        <w:pStyle w:val="72"/>
        <w:jc w:val="both"/>
        <w:rPr>
          <w:rFonts w:hint="eastAsia"/>
        </w:rPr>
      </w:pPr>
    </w:p>
    <w:p w14:paraId="08FDAD18">
      <w:pPr>
        <w:pStyle w:val="72"/>
        <w:jc w:val="both"/>
        <w:rPr>
          <w:rFonts w:hint="eastAsia"/>
        </w:rPr>
      </w:pPr>
    </w:p>
    <w:p w14:paraId="61C52650">
      <w:pPr>
        <w:pStyle w:val="72"/>
        <w:jc w:val="both"/>
        <w:rPr>
          <w:rFonts w:hint="eastAsia"/>
        </w:rPr>
      </w:pPr>
    </w:p>
    <w:p w14:paraId="7AADC904">
      <w:pPr>
        <w:pStyle w:val="72"/>
        <w:jc w:val="both"/>
        <w:rPr>
          <w:rFonts w:hint="eastAsia"/>
        </w:rPr>
      </w:pPr>
    </w:p>
    <w:p w14:paraId="11D09006">
      <w:pPr>
        <w:pStyle w:val="72"/>
        <w:jc w:val="both"/>
        <w:rPr>
          <w:rFonts w:hint="eastAsia"/>
        </w:rPr>
      </w:pPr>
    </w:p>
    <w:p w14:paraId="3C0B7DF3">
      <w:pPr>
        <w:pStyle w:val="72"/>
        <w:jc w:val="both"/>
        <w:rPr>
          <w:rFonts w:hint="eastAsia"/>
        </w:rPr>
      </w:pPr>
    </w:p>
    <w:p w14:paraId="18DB8D41">
      <w:pPr>
        <w:pStyle w:val="72"/>
        <w:jc w:val="both"/>
        <w:rPr>
          <w:rFonts w:hint="eastAsia"/>
        </w:rPr>
      </w:pPr>
    </w:p>
    <w:p w14:paraId="214F3BD0">
      <w:pPr>
        <w:pStyle w:val="72"/>
        <w:jc w:val="both"/>
        <w:rPr>
          <w:rFonts w:hint="eastAsia"/>
        </w:rPr>
      </w:pPr>
    </w:p>
    <w:p w14:paraId="0D4FFED9">
      <w:pPr>
        <w:pStyle w:val="72"/>
        <w:jc w:val="both"/>
        <w:rPr>
          <w:rFonts w:hint="eastAsia"/>
        </w:rPr>
      </w:pPr>
    </w:p>
    <w:p w14:paraId="28CE5E86">
      <w:pPr>
        <w:pStyle w:val="72"/>
        <w:jc w:val="both"/>
        <w:rPr>
          <w:rFonts w:hint="eastAsia"/>
        </w:rPr>
      </w:pPr>
    </w:p>
    <w:p w14:paraId="198E2ABF">
      <w:pPr>
        <w:pStyle w:val="72"/>
        <w:jc w:val="both"/>
        <w:rPr>
          <w:rFonts w:hint="eastAsia"/>
        </w:rPr>
      </w:pPr>
    </w:p>
    <w:p w14:paraId="54D2F184">
      <w:pPr>
        <w:pStyle w:val="72"/>
        <w:jc w:val="both"/>
        <w:rPr>
          <w:rFonts w:hint="eastAsia"/>
        </w:rPr>
      </w:pPr>
    </w:p>
    <w:p w14:paraId="6C9F2140">
      <w:pPr>
        <w:pStyle w:val="72"/>
        <w:jc w:val="both"/>
        <w:rPr>
          <w:rFonts w:hint="eastAsia"/>
        </w:rPr>
      </w:pPr>
    </w:p>
    <w:bookmarkEnd w:id="21"/>
    <w:p w14:paraId="65B12B78">
      <w:pPr>
        <w:pStyle w:val="72"/>
        <w:numPr>
          <w:ilvl w:val="0"/>
          <w:numId w:val="29"/>
        </w:numPr>
        <w:jc w:val="center"/>
        <w:rPr>
          <w:rFonts w:hint="eastAsia"/>
          <w:lang w:val="en-US" w:eastAsia="zh-CN"/>
        </w:rPr>
      </w:pPr>
      <w:bookmarkStart w:id="22" w:name="_Toc1910"/>
      <w:r>
        <w:rPr>
          <w:rFonts w:hint="eastAsia"/>
          <w:lang w:val="en-US" w:eastAsia="zh-CN"/>
        </w:rPr>
        <w:t>技术标书</w:t>
      </w:r>
      <w:bookmarkEnd w:id="22"/>
      <w:bookmarkStart w:id="23" w:name="OLE_LINK31"/>
      <w:bookmarkStart w:id="24" w:name="OLE_LINK30"/>
    </w:p>
    <w:p w14:paraId="76BCCBF2">
      <w:pPr>
        <w:pStyle w:val="72"/>
        <w:numPr>
          <w:ilvl w:val="0"/>
          <w:numId w:val="0"/>
        </w:numPr>
        <w:jc w:val="both"/>
        <w:rPr>
          <w:rFonts w:hint="eastAsia"/>
          <w:lang w:val="en-US" w:eastAsia="zh-CN"/>
        </w:rPr>
      </w:pPr>
    </w:p>
    <w:bookmarkEnd w:id="23"/>
    <w:bookmarkEnd w:id="24"/>
    <w:p w14:paraId="2BD24D7B">
      <w:pPr>
        <w:keepNext/>
        <w:keepLines/>
        <w:jc w:val="center"/>
        <w:outlineLvl w:val="0"/>
        <w:rPr>
          <w:rFonts w:ascii="Calibri" w:hAnsi="Calibri" w:eastAsia="宋体" w:cs="Times New Roman"/>
          <w:b/>
          <w:bCs/>
          <w:kern w:val="44"/>
          <w:sz w:val="36"/>
          <w:szCs w:val="44"/>
        </w:rPr>
      </w:pPr>
      <w:bookmarkStart w:id="25" w:name="_Toc9849"/>
      <w:r>
        <w:rPr>
          <w:rFonts w:hint="eastAsia" w:ascii="Calibri" w:hAnsi="Calibri" w:eastAsia="宋体" w:cs="Times New Roman"/>
          <w:b/>
          <w:bCs/>
          <w:kern w:val="44"/>
          <w:sz w:val="36"/>
          <w:szCs w:val="44"/>
        </w:rPr>
        <w:t xml:space="preserve"> 技术标书</w:t>
      </w:r>
      <w:bookmarkEnd w:id="25"/>
    </w:p>
    <w:p w14:paraId="4BEA4F31">
      <w:pPr>
        <w:widowControl/>
        <w:ind w:firstLine="482" w:firstLineChars="200"/>
        <w:jc w:val="left"/>
        <w:textAlignment w:val="center"/>
        <w:rPr>
          <w:rFonts w:ascii="仿宋" w:hAnsi="仿宋" w:eastAsia="仿宋" w:cs="仿宋"/>
          <w:sz w:val="24"/>
          <w:szCs w:val="24"/>
        </w:rPr>
      </w:pPr>
      <w:r>
        <w:rPr>
          <w:rFonts w:hint="eastAsia" w:ascii="仿宋" w:hAnsi="仿宋" w:eastAsia="仿宋" w:cs="仿宋"/>
          <w:b/>
          <w:bCs/>
          <w:sz w:val="24"/>
          <w:szCs w:val="24"/>
        </w:rPr>
        <w:t>一、设备明细如下</w:t>
      </w:r>
      <w:r>
        <w:rPr>
          <w:rFonts w:hint="eastAsia" w:ascii="仿宋" w:hAnsi="仿宋" w:eastAsia="仿宋" w:cs="仿宋"/>
          <w:sz w:val="24"/>
          <w:szCs w:val="24"/>
        </w:rPr>
        <w:t>：</w:t>
      </w:r>
    </w:p>
    <w:tbl>
      <w:tblPr>
        <w:tblStyle w:val="32"/>
        <w:tblW w:w="8505" w:type="dxa"/>
        <w:tblInd w:w="108" w:type="dxa"/>
        <w:tblLayout w:type="fixed"/>
        <w:tblCellMar>
          <w:top w:w="0" w:type="dxa"/>
          <w:left w:w="108" w:type="dxa"/>
          <w:bottom w:w="0" w:type="dxa"/>
          <w:right w:w="108" w:type="dxa"/>
        </w:tblCellMar>
      </w:tblPr>
      <w:tblGrid>
        <w:gridCol w:w="778"/>
        <w:gridCol w:w="2199"/>
        <w:gridCol w:w="1843"/>
        <w:gridCol w:w="709"/>
        <w:gridCol w:w="850"/>
        <w:gridCol w:w="2126"/>
      </w:tblGrid>
      <w:tr w14:paraId="7BF7BEFB">
        <w:tblPrEx>
          <w:tblCellMar>
            <w:top w:w="0" w:type="dxa"/>
            <w:left w:w="108" w:type="dxa"/>
            <w:bottom w:w="0" w:type="dxa"/>
            <w:right w:w="108" w:type="dxa"/>
          </w:tblCellMar>
        </w:tblPrEx>
        <w:trPr>
          <w:trHeight w:val="5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9598">
            <w:pPr>
              <w:widowControl/>
              <w:spacing w:line="400" w:lineRule="exact"/>
              <w:jc w:val="center"/>
              <w:textAlignment w:val="center"/>
              <w:rPr>
                <w:rFonts w:ascii="仿宋" w:hAnsi="仿宋" w:eastAsia="仿宋" w:cs="仿宋"/>
                <w:sz w:val="24"/>
                <w:szCs w:val="24"/>
              </w:rPr>
            </w:pPr>
            <w:r>
              <w:rPr>
                <w:rFonts w:hint="eastAsia" w:ascii="仿宋" w:hAnsi="仿宋" w:eastAsia="仿宋" w:cs="仿宋"/>
                <w:sz w:val="24"/>
                <w:szCs w:val="24"/>
              </w:rPr>
              <w:t>序号</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DB42">
            <w:pPr>
              <w:widowControl/>
              <w:spacing w:line="400" w:lineRule="exact"/>
              <w:jc w:val="center"/>
              <w:textAlignment w:val="center"/>
              <w:rPr>
                <w:rFonts w:ascii="仿宋" w:hAnsi="仿宋" w:eastAsia="仿宋" w:cs="仿宋"/>
                <w:sz w:val="24"/>
                <w:szCs w:val="24"/>
              </w:rPr>
            </w:pPr>
            <w:r>
              <w:rPr>
                <w:rFonts w:hint="eastAsia" w:ascii="仿宋" w:hAnsi="仿宋" w:eastAsia="仿宋" w:cs="仿宋"/>
                <w:sz w:val="24"/>
                <w:szCs w:val="24"/>
              </w:rPr>
              <w:t>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C14B">
            <w:pPr>
              <w:widowControl/>
              <w:spacing w:line="400" w:lineRule="exact"/>
              <w:jc w:val="center"/>
              <w:textAlignment w:val="center"/>
              <w:rPr>
                <w:rFonts w:ascii="仿宋" w:hAnsi="仿宋" w:eastAsia="仿宋" w:cs="仿宋"/>
                <w:sz w:val="24"/>
                <w:szCs w:val="24"/>
              </w:rPr>
            </w:pPr>
            <w:r>
              <w:rPr>
                <w:rFonts w:hint="eastAsia" w:ascii="仿宋" w:hAnsi="仿宋" w:eastAsia="仿宋" w:cs="仿宋"/>
                <w:sz w:val="24"/>
                <w:szCs w:val="24"/>
              </w:rPr>
              <w:t>规格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2C30">
            <w:pPr>
              <w:widowControl/>
              <w:spacing w:line="400" w:lineRule="exact"/>
              <w:jc w:val="center"/>
              <w:textAlignment w:val="center"/>
              <w:rPr>
                <w:rFonts w:ascii="仿宋" w:hAnsi="仿宋" w:eastAsia="仿宋" w:cs="仿宋"/>
                <w:sz w:val="24"/>
                <w:szCs w:val="24"/>
              </w:rPr>
            </w:pPr>
            <w:r>
              <w:rPr>
                <w:rFonts w:hint="eastAsia" w:ascii="仿宋" w:hAnsi="仿宋" w:eastAsia="仿宋" w:cs="仿宋"/>
                <w:sz w:val="24"/>
                <w:szCs w:val="24"/>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E9EB">
            <w:pPr>
              <w:widowControl/>
              <w:spacing w:line="400" w:lineRule="exact"/>
              <w:jc w:val="center"/>
              <w:textAlignment w:val="center"/>
              <w:rPr>
                <w:rFonts w:ascii="仿宋" w:hAnsi="仿宋" w:eastAsia="仿宋" w:cs="仿宋"/>
                <w:sz w:val="24"/>
                <w:szCs w:val="24"/>
              </w:rPr>
            </w:pPr>
            <w:r>
              <w:rPr>
                <w:rFonts w:hint="eastAsia" w:ascii="仿宋" w:hAnsi="仿宋" w:eastAsia="仿宋" w:cs="仿宋"/>
                <w:sz w:val="24"/>
                <w:szCs w:val="24"/>
              </w:rPr>
              <w:t>数量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A4D0">
            <w:pPr>
              <w:widowControl/>
              <w:spacing w:line="400" w:lineRule="exact"/>
              <w:jc w:val="center"/>
              <w:textAlignment w:val="center"/>
              <w:rPr>
                <w:rFonts w:ascii="仿宋" w:hAnsi="仿宋" w:eastAsia="仿宋" w:cs="仿宋"/>
                <w:sz w:val="24"/>
                <w:szCs w:val="24"/>
              </w:rPr>
            </w:pPr>
            <w:r>
              <w:rPr>
                <w:rFonts w:hint="eastAsia" w:ascii="仿宋" w:hAnsi="仿宋" w:eastAsia="仿宋" w:cs="仿宋"/>
                <w:sz w:val="24"/>
                <w:szCs w:val="24"/>
              </w:rPr>
              <w:t>备注</w:t>
            </w:r>
          </w:p>
        </w:tc>
      </w:tr>
      <w:tr w14:paraId="1D88E232">
        <w:tblPrEx>
          <w:tblCellMar>
            <w:top w:w="0" w:type="dxa"/>
            <w:left w:w="108" w:type="dxa"/>
            <w:bottom w:w="0" w:type="dxa"/>
            <w:right w:w="108" w:type="dxa"/>
          </w:tblCellMar>
        </w:tblPrEx>
        <w:trPr>
          <w:trHeight w:val="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6908">
            <w:pPr>
              <w:widowControl/>
              <w:spacing w:line="400" w:lineRule="exact"/>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4FB6">
            <w:pPr>
              <w:widowControl/>
              <w:jc w:val="center"/>
              <w:textAlignment w:val="center"/>
              <w:rPr>
                <w:rFonts w:ascii="仿宋" w:hAnsi="仿宋" w:eastAsia="仿宋" w:cs="仿宋"/>
                <w:sz w:val="24"/>
                <w:szCs w:val="24"/>
              </w:rPr>
            </w:pPr>
            <w:r>
              <w:rPr>
                <w:rFonts w:hint="eastAsia" w:ascii="仿宋" w:hAnsi="仿宋" w:eastAsia="仿宋" w:cs="仿宋"/>
                <w:sz w:val="24"/>
                <w:szCs w:val="24"/>
              </w:rPr>
              <w:t>数控激光切割机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C09F">
            <w:pPr>
              <w:widowControl/>
              <w:spacing w:line="400" w:lineRule="exact"/>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0KW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C67C">
            <w:pPr>
              <w:widowControl/>
              <w:spacing w:line="400" w:lineRule="exact"/>
              <w:jc w:val="center"/>
              <w:textAlignment w:val="center"/>
              <w:rPr>
                <w:rFonts w:ascii="仿宋" w:hAnsi="仿宋" w:eastAsia="仿宋" w:cs="仿宋"/>
                <w:sz w:val="24"/>
                <w:szCs w:val="24"/>
              </w:rPr>
            </w:pPr>
            <w:r>
              <w:rPr>
                <w:rFonts w:hint="eastAsia" w:ascii="仿宋" w:hAnsi="仿宋" w:eastAsia="仿宋" w:cs="仿宋"/>
                <w:sz w:val="24"/>
                <w:szCs w:val="24"/>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716B">
            <w:pPr>
              <w:widowControl/>
              <w:spacing w:line="400" w:lineRule="exact"/>
              <w:jc w:val="center"/>
              <w:textAlignment w:val="center"/>
              <w:rPr>
                <w:rFonts w:ascii="仿宋" w:hAnsi="仿宋" w:eastAsia="仿宋" w:cs="仿宋"/>
                <w:sz w:val="24"/>
                <w:szCs w:val="24"/>
              </w:rPr>
            </w:pPr>
            <w:r>
              <w:rPr>
                <w:rFonts w:ascii="仿宋" w:hAnsi="仿宋" w:eastAsia="仿宋" w:cs="仿宋"/>
                <w:sz w:val="24"/>
                <w:szCs w:val="24"/>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2DD0">
            <w:pPr>
              <w:widowControl/>
              <w:spacing w:line="400" w:lineRule="exact"/>
              <w:jc w:val="center"/>
              <w:textAlignment w:val="center"/>
              <w:rPr>
                <w:rFonts w:ascii="仿宋" w:hAnsi="仿宋" w:eastAsia="仿宋" w:cs="仿宋"/>
                <w:sz w:val="24"/>
                <w:szCs w:val="24"/>
              </w:rPr>
            </w:pPr>
            <w:r>
              <w:rPr>
                <w:rFonts w:hint="eastAsia" w:ascii="仿宋" w:hAnsi="仿宋" w:eastAsia="仿宋" w:cs="仿宋"/>
                <w:sz w:val="24"/>
                <w:szCs w:val="24"/>
              </w:rPr>
              <w:t>交钥匙工程</w:t>
            </w:r>
          </w:p>
        </w:tc>
      </w:tr>
    </w:tbl>
    <w:p w14:paraId="2DB6D7BD">
      <w:pPr>
        <w:pStyle w:val="13"/>
        <w:spacing w:line="4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二、总体要求</w:t>
      </w:r>
    </w:p>
    <w:p w14:paraId="56E64329">
      <w:pPr>
        <w:pStyle w:val="13"/>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此项目为交钥匙工程投标方负责投标设备的工艺设计、制造、运输、安装、调试、培训及售后服务、基础制作等所有内容（招标方只提供主电源、主气源），直至招标方验收合格并交付使用。</w:t>
      </w:r>
    </w:p>
    <w:p w14:paraId="522B2A50">
      <w:pPr>
        <w:spacing w:line="420" w:lineRule="exact"/>
        <w:ind w:firstLine="480" w:firstLineChars="200"/>
        <w:rPr>
          <w:rFonts w:ascii="仿宋" w:hAnsi="仿宋" w:eastAsia="仿宋" w:cs="仿宋"/>
          <w:sz w:val="24"/>
          <w:szCs w:val="24"/>
        </w:rPr>
      </w:pPr>
      <w:r>
        <w:rPr>
          <w:rFonts w:ascii="仿宋" w:hAnsi="仿宋" w:eastAsia="仿宋" w:cs="仿宋"/>
          <w:sz w:val="24"/>
          <w:szCs w:val="24"/>
        </w:rPr>
        <w:t>2.1</w:t>
      </w:r>
      <w:r>
        <w:rPr>
          <w:rFonts w:hint="eastAsia" w:ascii="仿宋" w:hAnsi="仿宋" w:eastAsia="仿宋" w:cs="仿宋"/>
          <w:sz w:val="24"/>
          <w:szCs w:val="24"/>
        </w:rPr>
        <w:t>本技术要求提出的是最低限度的技术要求，并未对一切技术细节做出规定，投标方应保证提供满足本技术条件和国际国内工业标准的优质产品，并提供相应服务。对国家有关安全、环保等强制性标准，必须满足其要求。</w:t>
      </w:r>
    </w:p>
    <w:p w14:paraId="22E1C029">
      <w:pPr>
        <w:spacing w:line="420" w:lineRule="exact"/>
        <w:ind w:firstLine="480" w:firstLineChars="200"/>
        <w:rPr>
          <w:rFonts w:ascii="仿宋" w:hAnsi="仿宋" w:eastAsia="仿宋" w:cs="仿宋"/>
          <w:sz w:val="24"/>
          <w:szCs w:val="24"/>
        </w:rPr>
      </w:pPr>
      <w:r>
        <w:rPr>
          <w:rFonts w:ascii="仿宋" w:hAnsi="仿宋" w:eastAsia="仿宋" w:cs="仿宋"/>
          <w:sz w:val="24"/>
          <w:szCs w:val="24"/>
        </w:rPr>
        <w:t>2.2</w:t>
      </w:r>
      <w:r>
        <w:rPr>
          <w:rFonts w:hint="eastAsia" w:ascii="仿宋" w:hAnsi="仿宋" w:eastAsia="仿宋" w:cs="仿宋"/>
          <w:sz w:val="24"/>
          <w:szCs w:val="24"/>
        </w:rPr>
        <w:t>本技术要求为订货合同的附件，与合同正文具有同等法律效力，未尽事宜双方协商解决。</w:t>
      </w:r>
    </w:p>
    <w:p w14:paraId="482B6B83">
      <w:pPr>
        <w:pStyle w:val="13"/>
        <w:spacing w:line="420" w:lineRule="exact"/>
        <w:ind w:firstLine="482" w:firstLineChars="200"/>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三、基本要求</w:t>
      </w:r>
    </w:p>
    <w:p w14:paraId="6E9975AC">
      <w:pPr>
        <w:pStyle w:val="16"/>
        <w:spacing w:line="42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 xml:space="preserve"> 投标方所提供的设备必须是投标方自己原厂生产，并且是其设备制造基地生产的完整的、全新的成套设备，设备结构合理、稳定耐用、安全可靠，操作简单，维修方便。该设备机床床身应该设计合理，结构和刚性可靠，确保切割质量和切割精度的长期稳定性。</w:t>
      </w:r>
    </w:p>
    <w:p w14:paraId="0438E17E">
      <w:pPr>
        <w:tabs>
          <w:tab w:val="left" w:pos="2143"/>
        </w:tabs>
        <w:autoSpaceDE w:val="0"/>
        <w:autoSpaceDN w:val="0"/>
        <w:adjustRightInd w:val="0"/>
        <w:spacing w:line="420" w:lineRule="exact"/>
        <w:ind w:left="1"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 xml:space="preserve"> 投标方所提供的设备主要零部件需选用优质材料制造，所选用的机械、液压、电子、电气元器件和控制系统是行业领先的、稳定可靠的国际或国内知名品牌系列产品。激光发生器、激光切割头、数控系统、排版软件、床身台面等，必须有至少2样是投标方或其控股公司自研自产的，不得全部是外采拼装集成。</w:t>
      </w:r>
    </w:p>
    <w:p w14:paraId="4542CB30">
      <w:pPr>
        <w:tabs>
          <w:tab w:val="left" w:pos="2143"/>
        </w:tabs>
        <w:autoSpaceDE w:val="0"/>
        <w:autoSpaceDN w:val="0"/>
        <w:adjustRightInd w:val="0"/>
        <w:spacing w:line="42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 xml:space="preserve"> 投标方所提供的设备必须具有完善的机械传动装置、液压传动装置、自动润滑、滤清装置及电气控制系统。</w:t>
      </w:r>
    </w:p>
    <w:p w14:paraId="793E086E">
      <w:pPr>
        <w:tabs>
          <w:tab w:val="left" w:pos="2143"/>
        </w:tabs>
        <w:autoSpaceDE w:val="0"/>
        <w:autoSpaceDN w:val="0"/>
        <w:adjustRightInd w:val="0"/>
        <w:spacing w:line="42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投标方所提供的设备和仪表的设计、制造与试验应符合国际标准化组织（ISO）标准和国际电工委员会（IEC）标准，度量单位全部采用国际单位制（SI）。计量仪表需提供出厂合格证及有效期内的第三方检测报告。</w:t>
      </w:r>
    </w:p>
    <w:p w14:paraId="10CE7BD2">
      <w:pPr>
        <w:pStyle w:val="16"/>
        <w:tabs>
          <w:tab w:val="left" w:pos="900"/>
        </w:tabs>
        <w:spacing w:line="42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 xml:space="preserve"> 投标方所提供的设备必须具有足够的刚度和耐磨性，运行平稳和高效率的切割性能，满足需方使用的环境温度-20℃～40℃，相对湿度≤90%、额定负荷下连续工作24小时，且加工性能稳定。</w:t>
      </w:r>
    </w:p>
    <w:p w14:paraId="178EA4D5">
      <w:pPr>
        <w:pStyle w:val="16"/>
        <w:spacing w:line="42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 xml:space="preserve"> 投标方所提供的设备厂界噪声满足《工业企业厂界环境噪声排放标准》（GB12348-2008）3 类、4类声环境功能区标准，昼间 65，夜间 55。工作场所噪声应满足《工作场所有害因素职业接触限值第</w:t>
      </w:r>
      <w:r>
        <w:rPr>
          <w:rFonts w:ascii="仿宋" w:hAnsi="仿宋" w:eastAsia="仿宋" w:cs="仿宋"/>
          <w:sz w:val="24"/>
          <w:szCs w:val="24"/>
        </w:rPr>
        <w:t>2</w:t>
      </w:r>
      <w:r>
        <w:rPr>
          <w:rFonts w:hint="eastAsia" w:ascii="仿宋" w:hAnsi="仿宋" w:eastAsia="仿宋" w:cs="仿宋"/>
          <w:sz w:val="24"/>
          <w:szCs w:val="24"/>
        </w:rPr>
        <w:t>部分：物理因素》（</w:t>
      </w:r>
      <w:r>
        <w:rPr>
          <w:rFonts w:ascii="仿宋" w:hAnsi="仿宋" w:eastAsia="仿宋" w:cs="仿宋"/>
          <w:sz w:val="24"/>
          <w:szCs w:val="24"/>
        </w:rPr>
        <w:t>GBZ2.2-2007</w:t>
      </w:r>
      <w:r>
        <w:rPr>
          <w:rFonts w:hint="eastAsia" w:ascii="仿宋" w:hAnsi="仿宋" w:eastAsia="仿宋" w:cs="仿宋"/>
          <w:sz w:val="24"/>
          <w:szCs w:val="24"/>
        </w:rPr>
        <w:t>）要求，每周工作40h的等效声级小于</w:t>
      </w:r>
      <w:r>
        <w:rPr>
          <w:rFonts w:ascii="仿宋" w:hAnsi="仿宋" w:eastAsia="仿宋" w:cs="仿宋"/>
          <w:sz w:val="24"/>
          <w:szCs w:val="24"/>
        </w:rPr>
        <w:t>85</w:t>
      </w:r>
      <w:r>
        <w:rPr>
          <w:rFonts w:hint="eastAsia" w:ascii="仿宋" w:hAnsi="仿宋" w:eastAsia="仿宋" w:cs="仿宋"/>
          <w:sz w:val="24"/>
          <w:szCs w:val="24"/>
        </w:rPr>
        <w:t>dB(A)。</w:t>
      </w:r>
    </w:p>
    <w:p w14:paraId="3B043D3E">
      <w:pPr>
        <w:tabs>
          <w:tab w:val="left" w:pos="2143"/>
        </w:tabs>
        <w:autoSpaceDE w:val="0"/>
        <w:autoSpaceDN w:val="0"/>
        <w:adjustRightInd w:val="0"/>
        <w:spacing w:line="42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 xml:space="preserve"> 投标方所提供的设备必须对有可能造成人身或设备伤害的危险部位采取相应的安全防护措施。</w:t>
      </w:r>
    </w:p>
    <w:p w14:paraId="1B23FE5D">
      <w:pPr>
        <w:pStyle w:val="16"/>
        <w:spacing w:line="42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 xml:space="preserve"> 投标方所提供的设备和仪器的金属构件除装配表面和电镀表面外，都应进行除锈处理和油漆。</w:t>
      </w:r>
    </w:p>
    <w:p w14:paraId="67445F96">
      <w:pPr>
        <w:spacing w:line="420" w:lineRule="exact"/>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sz w:val="24"/>
          <w:szCs w:val="24"/>
        </w:rPr>
        <w:t>投标方所提供的设备</w:t>
      </w:r>
      <w:r>
        <w:rPr>
          <w:rFonts w:hint="eastAsia" w:ascii="仿宋" w:hAnsi="仿宋" w:eastAsia="仿宋" w:cs="仿宋"/>
          <w:color w:val="000000" w:themeColor="text1"/>
          <w:sz w:val="24"/>
          <w:szCs w:val="24"/>
          <w14:textFill>
            <w14:solidFill>
              <w14:schemeClr w14:val="tx1"/>
            </w14:solidFill>
          </w14:textFill>
        </w:rPr>
        <w:t>应配备合格的除尘系统，收集效率达到85%以上，除尘装置除尘效率≥9</w:t>
      </w:r>
      <w:r>
        <w:rPr>
          <w:rFonts w:hint="eastAsia" w:ascii="仿宋" w:hAnsi="仿宋" w:eastAsia="仿宋" w:cs="仿宋"/>
          <w:color w:val="000000" w:themeColor="text1"/>
          <w:sz w:val="24"/>
          <w:szCs w:val="24"/>
          <w:lang w:eastAsia="zh-CN"/>
          <w14:textFill>
            <w14:solidFill>
              <w14:schemeClr w14:val="tx1"/>
            </w14:solidFill>
          </w14:textFill>
        </w:rPr>
        <w:t>4.1.7.</w:t>
      </w:r>
      <w:r>
        <w:rPr>
          <w:rFonts w:hint="eastAsia" w:ascii="仿宋" w:hAnsi="仿宋" w:eastAsia="仿宋" w:cs="仿宋"/>
          <w:color w:val="000000" w:themeColor="text1"/>
          <w:sz w:val="24"/>
          <w:szCs w:val="24"/>
          <w14:textFill>
            <w14:solidFill>
              <w14:schemeClr w14:val="tx1"/>
            </w14:solidFill>
          </w14:textFill>
        </w:rPr>
        <w:t>9%，粉尘排放满足《区域性大气污染物综合排放标准》（DB37/2376-2019）中“重点控制区”的排放浓度限值以下，排放浓度≤10mg/m3；颗粒物排放速率及无组织排放浓度满足《大气污染物综合排放标准》（GB 16297-1996）表2中要求，排放浓度≤1mg/m3。工作场所空气中粉尘含量满足《工作场所有害因素职业接触限值 第 1 部分：化学有害因素》（</w:t>
      </w:r>
      <w:r>
        <w:rPr>
          <w:rFonts w:ascii="仿宋" w:hAnsi="仿宋" w:eastAsia="仿宋" w:cs="仿宋"/>
          <w:color w:val="000000" w:themeColor="text1"/>
          <w:sz w:val="24"/>
          <w:szCs w:val="24"/>
          <w14:textFill>
            <w14:solidFill>
              <w14:schemeClr w14:val="tx1"/>
            </w14:solidFill>
          </w14:textFill>
        </w:rPr>
        <w:t>GBZ2.1-2019</w:t>
      </w:r>
      <w:r>
        <w:rPr>
          <w:rFonts w:hint="eastAsia" w:ascii="仿宋" w:hAnsi="仿宋" w:eastAsia="仿宋" w:cs="仿宋"/>
          <w:color w:val="000000" w:themeColor="text1"/>
          <w:sz w:val="24"/>
          <w:szCs w:val="24"/>
          <w14:textFill>
            <w14:solidFill>
              <w14:schemeClr w14:val="tx1"/>
            </w14:solidFill>
          </w14:textFill>
        </w:rPr>
        <w:t>）要求，粉尘浓度≤</w:t>
      </w: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mg</w:t>
      </w:r>
      <w:r>
        <w:rPr>
          <w:rFonts w:ascii="仿宋" w:hAnsi="仿宋" w:eastAsia="仿宋" w:cs="仿宋"/>
          <w:color w:val="000000" w:themeColor="text1"/>
          <w:sz w:val="24"/>
          <w:szCs w:val="24"/>
          <w14:textFill>
            <w14:solidFill>
              <w14:schemeClr w14:val="tx1"/>
            </w14:solidFill>
          </w14:textFill>
        </w:rPr>
        <w:t>/m3</w:t>
      </w:r>
      <w:r>
        <w:rPr>
          <w:rFonts w:hint="eastAsia" w:ascii="仿宋" w:hAnsi="仿宋" w:eastAsia="仿宋" w:cs="仿宋"/>
          <w:color w:val="000000" w:themeColor="text1"/>
          <w:sz w:val="24"/>
          <w:szCs w:val="24"/>
          <w14:textFill>
            <w14:solidFill>
              <w14:schemeClr w14:val="tx1"/>
            </w14:solidFill>
          </w14:textFill>
        </w:rPr>
        <w:t>。要求供方提供需方认可的第三方检测报告。</w:t>
      </w:r>
    </w:p>
    <w:p w14:paraId="19A4AB37">
      <w:pPr>
        <w:spacing w:line="42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 xml:space="preserve"> 投标方所提供的设备应符合国家有关安全及法规标准。</w:t>
      </w:r>
    </w:p>
    <w:p w14:paraId="4A5202E4">
      <w:pPr>
        <w:spacing w:line="42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 xml:space="preserve"> 投标方所提供的设备对操作人员的职业健康应有完善的设计保护，室内粉尘满足职业卫生要求。</w:t>
      </w:r>
    </w:p>
    <w:p w14:paraId="35BDFFE5">
      <w:pPr>
        <w:spacing w:line="42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 xml:space="preserve"> 投标方所提供的设备所有电机均采用节能型电机，满足国家及地方、行业节能法律法规、能源管理体系标准要求。</w:t>
      </w:r>
    </w:p>
    <w:p w14:paraId="5D0FD806">
      <w:pPr>
        <w:spacing w:line="42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四、主要技术参数及配置要求</w:t>
      </w:r>
    </w:p>
    <w:p w14:paraId="14828F82">
      <w:pPr>
        <w:spacing w:line="42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ascii="仿宋" w:hAnsi="仿宋" w:eastAsia="仿宋" w:cs="仿宋"/>
          <w:b/>
          <w:bCs/>
          <w:color w:val="000000" w:themeColor="text1"/>
          <w:sz w:val="24"/>
          <w:szCs w:val="24"/>
          <w14:textFill>
            <w14:solidFill>
              <w14:schemeClr w14:val="tx1"/>
            </w14:solidFill>
          </w14:textFill>
        </w:rPr>
        <w:t>4.</w:t>
      </w:r>
      <w:r>
        <w:rPr>
          <w:rFonts w:hint="eastAsia" w:ascii="仿宋" w:hAnsi="仿宋" w:eastAsia="仿宋" w:cs="仿宋"/>
          <w:b/>
          <w:bCs/>
          <w:color w:val="000000" w:themeColor="text1"/>
          <w:sz w:val="24"/>
          <w:szCs w:val="24"/>
          <w14:textFill>
            <w14:solidFill>
              <w14:schemeClr w14:val="tx1"/>
            </w14:solidFill>
          </w14:textFill>
        </w:rPr>
        <w:t>1数控激光切割机（大平台切割有效行程</w:t>
      </w:r>
      <w:r>
        <w:rPr>
          <w:rFonts w:hint="eastAsia" w:ascii="仿宋" w:hAnsi="仿宋" w:eastAsia="仿宋" w:cs="仿宋"/>
          <w:b/>
          <w:bCs/>
          <w:color w:val="000000" w:themeColor="text1"/>
          <w:sz w:val="24"/>
          <w:szCs w:val="24"/>
          <w:lang w:val="en-US" w:eastAsia="zh-CN"/>
          <w14:textFill>
            <w14:solidFill>
              <w14:schemeClr w14:val="tx1"/>
            </w14:solidFill>
          </w14:textFill>
        </w:rPr>
        <w:t>24.5</w:t>
      </w:r>
      <w:r>
        <w:rPr>
          <w:rFonts w:hint="eastAsia" w:ascii="仿宋" w:hAnsi="仿宋" w:eastAsia="仿宋" w:cs="仿宋"/>
          <w:b/>
          <w:bCs/>
          <w:color w:val="000000" w:themeColor="text1"/>
          <w:sz w:val="24"/>
          <w:szCs w:val="24"/>
          <w14:textFill>
            <w14:solidFill>
              <w14:schemeClr w14:val="tx1"/>
            </w14:solidFill>
          </w14:textFill>
        </w:rPr>
        <w:t>m）</w:t>
      </w:r>
    </w:p>
    <w:p w14:paraId="258A9EE0">
      <w:pPr>
        <w:spacing w:line="4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.1.1</w:t>
      </w:r>
      <w:r>
        <w:rPr>
          <w:rFonts w:hint="eastAsia" w:ascii="仿宋" w:hAnsi="仿宋" w:eastAsia="仿宋" w:cs="仿宋"/>
          <w:b/>
          <w:bCs/>
          <w:sz w:val="24"/>
          <w:szCs w:val="24"/>
        </w:rPr>
        <w:t>供货范围</w:t>
      </w:r>
    </w:p>
    <w:p w14:paraId="27B0B5A1">
      <w:pPr>
        <w:spacing w:line="420" w:lineRule="exact"/>
        <w:ind w:firstLine="480" w:firstLineChars="200"/>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①数控激光切割机1套，机床供货范围：包括</w:t>
      </w:r>
      <w:r>
        <w:rPr>
          <w:rFonts w:hint="eastAsia" w:ascii="仿宋" w:hAnsi="仿宋" w:eastAsia="仿宋" w:cs="仿宋"/>
          <w:color w:val="000000" w:themeColor="text1"/>
          <w:sz w:val="24"/>
          <w:szCs w:val="24"/>
          <w:lang w:val="en-US" w:eastAsia="zh-CN"/>
          <w14:textFill>
            <w14:solidFill>
              <w14:schemeClr w14:val="tx1"/>
            </w14:solidFill>
          </w14:textFill>
        </w:rPr>
        <w:t>20KW</w:t>
      </w:r>
      <w:r>
        <w:rPr>
          <w:rFonts w:hint="eastAsia" w:ascii="仿宋" w:hAnsi="仿宋" w:eastAsia="仿宋" w:cs="仿宋"/>
          <w:color w:val="000000" w:themeColor="text1"/>
          <w:sz w:val="24"/>
          <w:szCs w:val="24"/>
          <w14:textFill>
            <w14:solidFill>
              <w14:schemeClr w14:val="tx1"/>
            </w14:solidFill>
          </w14:textFill>
        </w:rPr>
        <w:t>以上固体激光发生器（含空调房）、数控系统、切割头及自动聚焦系统、水冷机、自动润滑系统、除尘系统、小件和废料收集处理装置、保护镜片检测系统、机床安全防护、免费排版及编程软件1套（兼容兰特接口，如需端口费用卖方提供）；（设备日常易损件和消耗品、设备维修用专用工具）。</w:t>
      </w:r>
    </w:p>
    <w:p w14:paraId="4CFDD6D6">
      <w:pPr>
        <w:spacing w:line="4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②激光切割机配套用稳压电源、螺杆空压机及其安装辅助需求</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设备为交钥匙工程，包括但不限于设备设计制造、安装、调试、验收、附属装置（水、电、气等）、基建等。</w:t>
      </w:r>
    </w:p>
    <w:p w14:paraId="167CFDB2">
      <w:pPr>
        <w:spacing w:line="420" w:lineRule="exact"/>
        <w:ind w:firstLine="482" w:firstLineChars="200"/>
        <w:rPr>
          <w:rFonts w:ascii="仿宋" w:hAnsi="仿宋" w:eastAsia="仿宋" w:cs="仿宋"/>
          <w:b/>
          <w:bCs/>
          <w:sz w:val="24"/>
          <w:szCs w:val="24"/>
        </w:rPr>
      </w:pPr>
      <w:r>
        <w:rPr>
          <w:rFonts w:hint="eastAsia" w:ascii="仿宋" w:hAnsi="仿宋" w:eastAsia="仿宋" w:cs="仿宋"/>
          <w:b/>
          <w:bCs/>
          <w:color w:val="000000" w:themeColor="text1"/>
          <w:sz w:val="24"/>
          <w:szCs w:val="24"/>
          <w14:textFill>
            <w14:solidFill>
              <w14:schemeClr w14:val="tx1"/>
            </w14:solidFill>
          </w14:textFill>
        </w:rPr>
        <w:t>4</w:t>
      </w:r>
      <w:r>
        <w:rPr>
          <w:rFonts w:ascii="仿宋" w:hAnsi="仿宋" w:eastAsia="仿宋" w:cs="仿宋"/>
          <w:b/>
          <w:bCs/>
          <w:color w:val="000000" w:themeColor="text1"/>
          <w:sz w:val="24"/>
          <w:szCs w:val="24"/>
          <w14:textFill>
            <w14:solidFill>
              <w14:schemeClr w14:val="tx1"/>
            </w14:solidFill>
          </w14:textFill>
        </w:rPr>
        <w:t>.1.</w:t>
      </w:r>
      <w:r>
        <w:rPr>
          <w:rFonts w:ascii="仿宋" w:hAnsi="仿宋" w:eastAsia="仿宋" w:cs="仿宋"/>
          <w:b/>
          <w:bCs/>
          <w:sz w:val="24"/>
          <w:szCs w:val="24"/>
        </w:rPr>
        <w:t>2</w:t>
      </w:r>
      <w:r>
        <w:rPr>
          <w:rFonts w:hint="eastAsia" w:ascii="仿宋" w:hAnsi="仿宋" w:eastAsia="仿宋" w:cs="仿宋"/>
          <w:b/>
          <w:bCs/>
          <w:sz w:val="24"/>
          <w:szCs w:val="24"/>
        </w:rPr>
        <w:t>工作环境及加工对象</w:t>
      </w:r>
    </w:p>
    <w:p w14:paraId="24ABF44C">
      <w:pPr>
        <w:spacing w:line="420" w:lineRule="exact"/>
        <w:ind w:firstLine="480" w:firstLineChars="200"/>
        <w:rPr>
          <w:rFonts w:ascii="仿宋" w:hAnsi="仿宋" w:eastAsia="仿宋" w:cs="仿宋"/>
          <w:b/>
          <w:bCs/>
          <w:sz w:val="24"/>
          <w:szCs w:val="24"/>
        </w:rPr>
      </w:pPr>
      <w:r>
        <w:rPr>
          <w:rFonts w:hint="eastAsia" w:ascii="仿宋" w:hAnsi="仿宋" w:eastAsia="仿宋" w:cs="仿宋"/>
          <w:color w:val="000000" w:themeColor="text1"/>
          <w:sz w:val="24"/>
          <w:szCs w:val="24"/>
          <w14:textFill>
            <w14:solidFill>
              <w14:schemeClr w14:val="tx1"/>
            </w14:solidFill>
          </w14:textFill>
        </w:rPr>
        <w:t>①</w:t>
      </w:r>
      <w:r>
        <w:rPr>
          <w:rFonts w:hint="eastAsia" w:ascii="仿宋" w:hAnsi="仿宋" w:eastAsia="仿宋" w:cs="仿宋"/>
          <w:sz w:val="24"/>
          <w:szCs w:val="24"/>
        </w:rPr>
        <w:t>工作环境</w:t>
      </w:r>
    </w:p>
    <w:p w14:paraId="2EB39249">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电源：交流三相电源、380V±10%、50 Hz、</w:t>
      </w:r>
      <w:r>
        <w:fldChar w:fldCharType="begin"/>
      </w:r>
      <w:r>
        <w:instrText xml:space="preserve"> HYPERLINK "https://baike.so.com/doc/6845583-7062936.html" \t "https://baike.so.com/doc/_blank" </w:instrText>
      </w:r>
      <w:r>
        <w:fldChar w:fldCharType="separate"/>
      </w:r>
      <w:r>
        <w:rPr>
          <w:rFonts w:hint="eastAsia" w:ascii="仿宋" w:hAnsi="仿宋" w:eastAsia="仿宋" w:cs="仿宋"/>
          <w:sz w:val="24"/>
          <w:szCs w:val="24"/>
        </w:rPr>
        <w:t>中性线</w:t>
      </w:r>
      <w:r>
        <w:rPr>
          <w:rFonts w:hint="eastAsia" w:ascii="仿宋" w:hAnsi="仿宋" w:eastAsia="仿宋" w:cs="仿宋"/>
          <w:sz w:val="24"/>
          <w:szCs w:val="24"/>
        </w:rPr>
        <w:fldChar w:fldCharType="end"/>
      </w:r>
      <w:r>
        <w:rPr>
          <w:rFonts w:hint="eastAsia" w:ascii="仿宋" w:hAnsi="仿宋" w:eastAsia="仿宋" w:cs="仿宋"/>
          <w:sz w:val="24"/>
          <w:szCs w:val="24"/>
        </w:rPr>
        <w:t>(N线)、地线(PE线)。</w:t>
      </w:r>
    </w:p>
    <w:p w14:paraId="36F0E27C">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环境温度：-20℃～40℃。</w:t>
      </w:r>
    </w:p>
    <w:p w14:paraId="4036A8CD">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相对湿度：≤90%</w:t>
      </w:r>
    </w:p>
    <w:p w14:paraId="5161B02C">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工作方式：可保证24小时连续工作。</w:t>
      </w:r>
    </w:p>
    <w:p w14:paraId="77143145">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空气介质：无腐蚀性介质。</w:t>
      </w:r>
    </w:p>
    <w:p w14:paraId="4616CFAE">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②加工对象</w:t>
      </w:r>
    </w:p>
    <w:p w14:paraId="3F4EF615">
      <w:pPr>
        <w:spacing w:line="4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不锈钢（厚度）                            0.5-40mm（批量加工）</w:t>
      </w:r>
    </w:p>
    <w:p w14:paraId="0A7E6FC3">
      <w:pPr>
        <w:spacing w:line="4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低碳钢、低合金钢、高强板、耐磨板（厚度）  0.5-40mm（批量加工）</w:t>
      </w:r>
    </w:p>
    <w:p w14:paraId="15FD7FA3">
      <w:pPr>
        <w:spacing w:line="4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低碳钢、低合金钢（极限切割厚度）          ≤50mm</w:t>
      </w:r>
    </w:p>
    <w:p w14:paraId="19269634">
      <w:pPr>
        <w:spacing w:line="4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有效切割尺寸                              24500×3500mm</w:t>
      </w:r>
    </w:p>
    <w:p w14:paraId="2E99CCAA">
      <w:pPr>
        <w:spacing w:line="420" w:lineRule="exact"/>
        <w:ind w:firstLine="480" w:firstLineChars="20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粗糙度要求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≤30mm碳钢</w:t>
      </w:r>
      <w:r>
        <w:rPr>
          <w:rFonts w:hint="eastAsia" w:ascii="仿宋" w:hAnsi="仿宋" w:eastAsia="仿宋" w:cs="仿宋"/>
          <w:color w:val="000000" w:themeColor="text1"/>
          <w:sz w:val="24"/>
          <w:szCs w:val="24"/>
          <w:lang w:val="en-US" w:eastAsia="zh-CN"/>
          <w14:textFill>
            <w14:solidFill>
              <w14:schemeClr w14:val="tx1"/>
            </w14:solidFill>
          </w14:textFill>
        </w:rPr>
        <w:t>≤4.1.10.5</w:t>
      </w:r>
      <w:r>
        <w:rPr>
          <w:rFonts w:hint="eastAsia" w:ascii="仿宋" w:hAnsi="仿宋" w:eastAsia="仿宋" w:cs="仿宋"/>
          <w:color w:val="000000" w:themeColor="text1"/>
          <w:sz w:val="24"/>
          <w:szCs w:val="24"/>
          <w14:textFill>
            <w14:solidFill>
              <w14:schemeClr w14:val="tx1"/>
            </w14:solidFill>
          </w14:textFill>
        </w:rPr>
        <w:t>μm</w:t>
      </w:r>
    </w:p>
    <w:p w14:paraId="4D1D6075">
      <w:pPr>
        <w:spacing w:line="4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空气切割厚度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≤20mm（碳钢）</w:t>
      </w:r>
    </w:p>
    <w:p w14:paraId="15FB0E9A">
      <w:pPr>
        <w:spacing w:line="42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*不同材质和板厚对应的切割速度供方可单独标明</w:t>
      </w:r>
    </w:p>
    <w:p w14:paraId="0A86ACEA">
      <w:pPr>
        <w:spacing w:line="4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.1.3</w:t>
      </w:r>
      <w:r>
        <w:rPr>
          <w:rFonts w:hint="eastAsia" w:ascii="仿宋" w:hAnsi="仿宋" w:eastAsia="仿宋" w:cs="仿宋"/>
          <w:b/>
          <w:bCs/>
          <w:sz w:val="24"/>
          <w:szCs w:val="24"/>
        </w:rPr>
        <w:t>主要技术参数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3395"/>
        <w:gridCol w:w="1843"/>
        <w:gridCol w:w="1140"/>
      </w:tblGrid>
      <w:tr w14:paraId="6519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vAlign w:val="center"/>
          </w:tcPr>
          <w:p w14:paraId="3539535A">
            <w:pPr>
              <w:spacing w:line="3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3395" w:type="dxa"/>
            <w:vAlign w:val="center"/>
          </w:tcPr>
          <w:p w14:paraId="2D096860">
            <w:pPr>
              <w:spacing w:line="3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项   目</w:t>
            </w:r>
          </w:p>
        </w:tc>
        <w:tc>
          <w:tcPr>
            <w:tcW w:w="1843" w:type="dxa"/>
            <w:vAlign w:val="center"/>
          </w:tcPr>
          <w:p w14:paraId="32D669D1">
            <w:pPr>
              <w:spacing w:line="3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参   数</w:t>
            </w:r>
          </w:p>
        </w:tc>
        <w:tc>
          <w:tcPr>
            <w:tcW w:w="1140" w:type="dxa"/>
            <w:vAlign w:val="center"/>
          </w:tcPr>
          <w:p w14:paraId="00C9A1CE">
            <w:pPr>
              <w:spacing w:line="3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单位</w:t>
            </w:r>
          </w:p>
        </w:tc>
      </w:tr>
      <w:tr w14:paraId="02A3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vAlign w:val="center"/>
          </w:tcPr>
          <w:p w14:paraId="15DF7A06">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3395" w:type="dxa"/>
            <w:vAlign w:val="center"/>
          </w:tcPr>
          <w:p w14:paraId="2C849B5E">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切割最大板幅（有效行程）</w:t>
            </w:r>
          </w:p>
        </w:tc>
        <w:tc>
          <w:tcPr>
            <w:tcW w:w="1843" w:type="dxa"/>
            <w:vAlign w:val="center"/>
          </w:tcPr>
          <w:p w14:paraId="1A018488">
            <w:pPr>
              <w:jc w:val="center"/>
              <w:rPr>
                <w:rFonts w:ascii="仿宋" w:hAnsi="仿宋" w:eastAsia="仿宋" w:cs="仿宋"/>
                <w:color w:val="auto"/>
                <w:sz w:val="24"/>
                <w:szCs w:val="24"/>
              </w:rPr>
            </w:pPr>
            <w:r>
              <w:rPr>
                <w:rFonts w:hint="eastAsia" w:ascii="仿宋" w:hAnsi="仿宋" w:eastAsia="仿宋" w:cs="仿宋"/>
                <w:color w:val="auto"/>
                <w:sz w:val="24"/>
                <w:szCs w:val="24"/>
              </w:rPr>
              <w:t>24500×3500</w:t>
            </w:r>
          </w:p>
        </w:tc>
        <w:tc>
          <w:tcPr>
            <w:tcW w:w="1140" w:type="dxa"/>
            <w:vAlign w:val="center"/>
          </w:tcPr>
          <w:p w14:paraId="4E7A34F6">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mm</w:t>
            </w:r>
          </w:p>
        </w:tc>
      </w:tr>
      <w:tr w14:paraId="0D4D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vAlign w:val="center"/>
          </w:tcPr>
          <w:p w14:paraId="2DD08FE5">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3395" w:type="dxa"/>
            <w:vAlign w:val="center"/>
          </w:tcPr>
          <w:p w14:paraId="00CD558C">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X、Y轴定位精度</w:t>
            </w:r>
          </w:p>
        </w:tc>
        <w:tc>
          <w:tcPr>
            <w:tcW w:w="1843" w:type="dxa"/>
            <w:vAlign w:val="center"/>
          </w:tcPr>
          <w:p w14:paraId="36ED0573">
            <w:pPr>
              <w:jc w:val="center"/>
              <w:rPr>
                <w:rFonts w:ascii="仿宋" w:hAnsi="仿宋" w:eastAsia="仿宋" w:cs="仿宋"/>
                <w:color w:val="auto"/>
                <w:sz w:val="24"/>
                <w:szCs w:val="24"/>
              </w:rPr>
            </w:pPr>
            <w:r>
              <w:rPr>
                <w:rFonts w:hint="eastAsia" w:ascii="仿宋" w:hAnsi="仿宋" w:eastAsia="仿宋" w:cs="仿宋"/>
                <w:color w:val="auto"/>
                <w:sz w:val="24"/>
                <w:szCs w:val="24"/>
              </w:rPr>
              <w:t>±0.05</w:t>
            </w:r>
          </w:p>
        </w:tc>
        <w:tc>
          <w:tcPr>
            <w:tcW w:w="1140" w:type="dxa"/>
            <w:vAlign w:val="center"/>
          </w:tcPr>
          <w:p w14:paraId="3A822AA9">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mm/m</w:t>
            </w:r>
          </w:p>
        </w:tc>
      </w:tr>
      <w:tr w14:paraId="0C3A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vAlign w:val="center"/>
          </w:tcPr>
          <w:p w14:paraId="6CFD0F9C">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3395" w:type="dxa"/>
            <w:vAlign w:val="center"/>
          </w:tcPr>
          <w:p w14:paraId="1B8CDA27">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重复定位精度</w:t>
            </w:r>
          </w:p>
        </w:tc>
        <w:tc>
          <w:tcPr>
            <w:tcW w:w="1843" w:type="dxa"/>
            <w:vAlign w:val="center"/>
          </w:tcPr>
          <w:p w14:paraId="2F3D4180">
            <w:pPr>
              <w:jc w:val="center"/>
              <w:rPr>
                <w:rFonts w:ascii="仿宋" w:hAnsi="仿宋" w:eastAsia="仿宋" w:cs="仿宋"/>
                <w:color w:val="auto"/>
                <w:sz w:val="24"/>
                <w:szCs w:val="24"/>
              </w:rPr>
            </w:pPr>
            <w:r>
              <w:rPr>
                <w:rFonts w:hint="eastAsia" w:ascii="仿宋" w:hAnsi="仿宋" w:eastAsia="仿宋" w:cs="仿宋"/>
                <w:color w:val="auto"/>
                <w:sz w:val="24"/>
                <w:szCs w:val="24"/>
              </w:rPr>
              <w:t>±0.03</w:t>
            </w:r>
          </w:p>
        </w:tc>
        <w:tc>
          <w:tcPr>
            <w:tcW w:w="1140" w:type="dxa"/>
            <w:vAlign w:val="center"/>
          </w:tcPr>
          <w:p w14:paraId="50F69080">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mm/m</w:t>
            </w:r>
          </w:p>
        </w:tc>
      </w:tr>
      <w:tr w14:paraId="77A8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vAlign w:val="center"/>
          </w:tcPr>
          <w:p w14:paraId="24B80A8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3395" w:type="dxa"/>
            <w:vAlign w:val="center"/>
          </w:tcPr>
          <w:p w14:paraId="0F2FFE29">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最大联动速度</w:t>
            </w:r>
          </w:p>
        </w:tc>
        <w:tc>
          <w:tcPr>
            <w:tcW w:w="1843" w:type="dxa"/>
            <w:vAlign w:val="center"/>
          </w:tcPr>
          <w:p w14:paraId="7C64558E">
            <w:pPr>
              <w:jc w:val="center"/>
              <w:rPr>
                <w:rFonts w:ascii="仿宋" w:hAnsi="仿宋" w:eastAsia="仿宋" w:cs="仿宋"/>
                <w:color w:val="auto"/>
                <w:sz w:val="24"/>
                <w:szCs w:val="24"/>
              </w:rPr>
            </w:pPr>
            <w:r>
              <w:rPr>
                <w:rFonts w:hint="eastAsia" w:ascii="仿宋" w:hAnsi="仿宋" w:eastAsia="仿宋" w:cs="仿宋"/>
                <w:color w:val="auto"/>
                <w:sz w:val="24"/>
                <w:szCs w:val="24"/>
              </w:rPr>
              <w:t>≥80</w:t>
            </w:r>
          </w:p>
        </w:tc>
        <w:tc>
          <w:tcPr>
            <w:tcW w:w="1140" w:type="dxa"/>
            <w:vAlign w:val="center"/>
          </w:tcPr>
          <w:p w14:paraId="7EF430E5">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m/min</w:t>
            </w:r>
          </w:p>
        </w:tc>
      </w:tr>
      <w:tr w14:paraId="7BED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vAlign w:val="center"/>
          </w:tcPr>
          <w:p w14:paraId="69ACD81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3395" w:type="dxa"/>
            <w:vAlign w:val="center"/>
          </w:tcPr>
          <w:p w14:paraId="17E23B09">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最大加速度</w:t>
            </w:r>
          </w:p>
        </w:tc>
        <w:tc>
          <w:tcPr>
            <w:tcW w:w="1843" w:type="dxa"/>
            <w:vAlign w:val="center"/>
          </w:tcPr>
          <w:p w14:paraId="38FFE62C">
            <w:pPr>
              <w:jc w:val="center"/>
              <w:rPr>
                <w:rFonts w:ascii="仿宋" w:hAnsi="仿宋" w:eastAsia="仿宋" w:cs="仿宋"/>
                <w:color w:val="auto"/>
                <w:sz w:val="24"/>
                <w:szCs w:val="24"/>
              </w:rPr>
            </w:pPr>
            <w:r>
              <w:rPr>
                <w:rFonts w:hint="eastAsia" w:ascii="仿宋" w:hAnsi="仿宋" w:eastAsia="仿宋" w:cs="仿宋"/>
                <w:color w:val="auto"/>
                <w:sz w:val="24"/>
                <w:szCs w:val="24"/>
              </w:rPr>
              <w:t>≥0.8</w:t>
            </w:r>
          </w:p>
        </w:tc>
        <w:tc>
          <w:tcPr>
            <w:tcW w:w="1140" w:type="dxa"/>
            <w:vAlign w:val="center"/>
          </w:tcPr>
          <w:p w14:paraId="04DB3F8D">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G</w:t>
            </w:r>
          </w:p>
        </w:tc>
      </w:tr>
      <w:tr w14:paraId="0FED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vAlign w:val="center"/>
          </w:tcPr>
          <w:p w14:paraId="1582A2A5">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3395" w:type="dxa"/>
            <w:vAlign w:val="center"/>
          </w:tcPr>
          <w:p w14:paraId="5FD7FAE7">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激光器功率</w:t>
            </w:r>
          </w:p>
        </w:tc>
        <w:tc>
          <w:tcPr>
            <w:tcW w:w="1843" w:type="dxa"/>
            <w:vAlign w:val="center"/>
          </w:tcPr>
          <w:p w14:paraId="25A5EACC">
            <w:pPr>
              <w:jc w:val="center"/>
              <w:rPr>
                <w:rFonts w:ascii="仿宋" w:hAnsi="仿宋" w:eastAsia="仿宋" w:cs="仿宋"/>
                <w:color w:val="auto"/>
                <w:sz w:val="24"/>
                <w:szCs w:val="24"/>
              </w:rPr>
            </w:pPr>
            <w:r>
              <w:rPr>
                <w:rFonts w:hint="eastAsia" w:ascii="仿宋" w:hAnsi="仿宋" w:eastAsia="仿宋" w:cs="仿宋"/>
                <w:color w:val="auto"/>
                <w:sz w:val="24"/>
                <w:szCs w:val="24"/>
              </w:rPr>
              <w:t>20</w:t>
            </w:r>
          </w:p>
        </w:tc>
        <w:tc>
          <w:tcPr>
            <w:tcW w:w="1140" w:type="dxa"/>
            <w:vAlign w:val="center"/>
          </w:tcPr>
          <w:p w14:paraId="2058978F">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KW</w:t>
            </w:r>
          </w:p>
        </w:tc>
      </w:tr>
    </w:tbl>
    <w:p w14:paraId="6B100EB7">
      <w:pPr>
        <w:spacing w:line="420" w:lineRule="exact"/>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4.1.4</w:t>
      </w:r>
      <w:r>
        <w:rPr>
          <w:rFonts w:hint="eastAsia" w:ascii="仿宋" w:hAnsi="仿宋" w:eastAsia="仿宋" w:cs="仿宋"/>
          <w:b/>
          <w:bCs/>
          <w:sz w:val="24"/>
          <w:szCs w:val="24"/>
        </w:rPr>
        <w:t>设备主要配置明细及说明</w:t>
      </w:r>
    </w:p>
    <w:tbl>
      <w:tblPr>
        <w:tblStyle w:val="112"/>
        <w:tblW w:w="91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2841"/>
        <w:gridCol w:w="850"/>
        <w:gridCol w:w="4536"/>
      </w:tblGrid>
      <w:tr w14:paraId="77248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AEE5F86">
            <w:pPr>
              <w:spacing w:line="360" w:lineRule="exact"/>
              <w:jc w:val="center"/>
              <w:rPr>
                <w:rFonts w:ascii="仿宋" w:hAnsi="仿宋" w:eastAsia="仿宋" w:cs="仿宋"/>
                <w:b/>
                <w:szCs w:val="28"/>
              </w:rPr>
            </w:pPr>
            <w:r>
              <w:rPr>
                <w:rFonts w:hint="eastAsia" w:ascii="仿宋" w:hAnsi="仿宋" w:eastAsia="仿宋" w:cs="仿宋"/>
                <w:b/>
                <w:szCs w:val="28"/>
                <w:lang w:val="zh-TW" w:eastAsia="zh-TW"/>
              </w:rPr>
              <w:t>序号</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36B5C2D">
            <w:pPr>
              <w:spacing w:line="360" w:lineRule="exact"/>
              <w:jc w:val="center"/>
              <w:rPr>
                <w:rFonts w:ascii="仿宋" w:hAnsi="仿宋" w:eastAsia="仿宋" w:cs="仿宋"/>
                <w:b/>
                <w:szCs w:val="28"/>
              </w:rPr>
            </w:pPr>
            <w:r>
              <w:rPr>
                <w:rFonts w:hint="eastAsia" w:ascii="仿宋" w:hAnsi="仿宋" w:eastAsia="仿宋" w:cs="仿宋"/>
                <w:b/>
                <w:szCs w:val="28"/>
                <w:lang w:val="zh-TW" w:eastAsia="zh-TW"/>
              </w:rPr>
              <w:t>名</w:t>
            </w:r>
            <w:r>
              <w:rPr>
                <w:rFonts w:hint="eastAsia" w:ascii="仿宋" w:hAnsi="仿宋" w:eastAsia="仿宋" w:cs="仿宋"/>
                <w:b/>
                <w:szCs w:val="28"/>
                <w:lang w:val="zh-TW"/>
              </w:rPr>
              <w:t xml:space="preserve">   </w:t>
            </w:r>
            <w:r>
              <w:rPr>
                <w:rFonts w:hint="eastAsia" w:ascii="仿宋" w:hAnsi="仿宋" w:eastAsia="仿宋" w:cs="仿宋"/>
                <w:b/>
                <w:szCs w:val="28"/>
                <w:lang w:val="zh-TW" w:eastAsia="zh-TW"/>
              </w:rPr>
              <w:t>称</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74995E6">
            <w:pPr>
              <w:spacing w:line="360" w:lineRule="exact"/>
              <w:jc w:val="center"/>
              <w:rPr>
                <w:rFonts w:ascii="仿宋" w:hAnsi="仿宋" w:eastAsia="仿宋" w:cs="仿宋"/>
                <w:b/>
                <w:szCs w:val="28"/>
              </w:rPr>
            </w:pPr>
            <w:r>
              <w:rPr>
                <w:rFonts w:hint="eastAsia" w:ascii="仿宋" w:hAnsi="仿宋" w:eastAsia="仿宋" w:cs="仿宋"/>
                <w:b/>
                <w:szCs w:val="28"/>
                <w:lang w:val="zh-TW" w:eastAsia="zh-TW"/>
              </w:rPr>
              <w:t>数量</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E10EDA8">
            <w:pPr>
              <w:spacing w:line="360" w:lineRule="exact"/>
              <w:jc w:val="center"/>
              <w:rPr>
                <w:rFonts w:ascii="仿宋" w:hAnsi="仿宋" w:eastAsia="仿宋" w:cs="仿宋"/>
                <w:b/>
                <w:szCs w:val="28"/>
              </w:rPr>
            </w:pPr>
            <w:r>
              <w:rPr>
                <w:rFonts w:hint="eastAsia" w:ascii="仿宋" w:hAnsi="仿宋" w:eastAsia="仿宋" w:cs="仿宋"/>
                <w:b/>
                <w:szCs w:val="28"/>
              </w:rPr>
              <w:t>备  注</w:t>
            </w:r>
          </w:p>
        </w:tc>
      </w:tr>
      <w:tr w14:paraId="1C3DD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51D43061">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w:t>
            </w:r>
          </w:p>
        </w:tc>
        <w:tc>
          <w:tcPr>
            <w:tcW w:w="284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01AD47A6">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2</w:t>
            </w:r>
            <w:r>
              <w:rPr>
                <w:rFonts w:hint="eastAsia" w:ascii="仿宋" w:hAnsi="仿宋" w:eastAsia="仿宋" w:cs="仿宋"/>
                <w:color w:val="070000"/>
                <w:sz w:val="21"/>
                <w:szCs w:val="21"/>
                <w:u w:color="070000"/>
                <w:lang w:val="zh-TW"/>
              </w:rPr>
              <w:t>0</w:t>
            </w:r>
            <w:r>
              <w:rPr>
                <w:rFonts w:hint="eastAsia" w:ascii="仿宋" w:hAnsi="仿宋" w:eastAsia="仿宋" w:cs="仿宋"/>
                <w:color w:val="070000"/>
                <w:sz w:val="21"/>
                <w:szCs w:val="21"/>
                <w:u w:color="070000"/>
              </w:rPr>
              <w:t>KW及以上</w:t>
            </w:r>
            <w:r>
              <w:rPr>
                <w:rFonts w:hint="eastAsia" w:ascii="仿宋" w:hAnsi="仿宋" w:eastAsia="仿宋" w:cs="仿宋"/>
                <w:color w:val="070000"/>
                <w:sz w:val="21"/>
                <w:szCs w:val="21"/>
                <w:u w:color="070000"/>
                <w:lang w:val="zh-TW" w:eastAsia="zh-TW"/>
              </w:rPr>
              <w:t>激光</w:t>
            </w:r>
            <w:r>
              <w:rPr>
                <w:rFonts w:hint="eastAsia" w:ascii="仿宋" w:hAnsi="仿宋" w:eastAsia="仿宋" w:cs="仿宋"/>
                <w:color w:val="070000"/>
                <w:sz w:val="21"/>
                <w:szCs w:val="21"/>
                <w:u w:color="070000"/>
                <w:lang w:val="zh-TW"/>
              </w:rPr>
              <w:t>发生</w:t>
            </w:r>
            <w:r>
              <w:rPr>
                <w:rFonts w:hint="eastAsia" w:ascii="仿宋" w:hAnsi="仿宋" w:eastAsia="仿宋" w:cs="仿宋"/>
                <w:color w:val="070000"/>
                <w:sz w:val="21"/>
                <w:szCs w:val="21"/>
                <w:u w:color="070000"/>
                <w:lang w:val="zh-TW" w:eastAsia="zh-TW"/>
              </w:rPr>
              <w:t>器</w:t>
            </w:r>
            <w:r>
              <w:rPr>
                <w:rFonts w:hint="eastAsia" w:ascii="仿宋" w:hAnsi="仿宋" w:eastAsia="仿宋" w:cs="仿宋"/>
                <w:color w:val="070000"/>
                <w:sz w:val="21"/>
                <w:szCs w:val="21"/>
                <w:u w:color="070000"/>
                <w:lang w:val="zh-TW"/>
              </w:rPr>
              <w:t>系统</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565F0C3">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0ED197A">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电光转换率＞37%（注明）、模块数量（注明）、锐科、创鑫或同等质量品牌，激光功率年衰减≯2%</w:t>
            </w:r>
          </w:p>
        </w:tc>
      </w:tr>
      <w:tr w14:paraId="0F4DB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6B16CAD6">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2</w:t>
            </w:r>
          </w:p>
        </w:tc>
        <w:tc>
          <w:tcPr>
            <w:tcW w:w="284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4562411B">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rPr>
              <w:t>自动变焦式</w:t>
            </w:r>
            <w:r>
              <w:rPr>
                <w:rFonts w:hint="eastAsia" w:ascii="仿宋" w:hAnsi="仿宋" w:eastAsia="仿宋" w:cs="仿宋"/>
                <w:color w:val="070000"/>
                <w:sz w:val="21"/>
                <w:szCs w:val="21"/>
                <w:u w:color="070000"/>
                <w:lang w:val="zh-TW" w:eastAsia="zh-TW"/>
              </w:rPr>
              <w:t>专用激光切割头</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5ED41BE">
            <w:pPr>
              <w:spacing w:line="360" w:lineRule="exact"/>
              <w:jc w:val="left"/>
              <w:rPr>
                <w:rFonts w:hint="eastAsia" w:ascii="仿宋" w:hAnsi="仿宋" w:eastAsia="仿宋" w:cs="仿宋"/>
                <w:color w:val="070000"/>
                <w:sz w:val="21"/>
                <w:szCs w:val="21"/>
                <w:u w:color="070000"/>
                <w:lang w:val="zh-TW" w:eastAsia="zh-TW"/>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B33BE83">
            <w:pPr>
              <w:spacing w:line="360" w:lineRule="exact"/>
              <w:jc w:val="left"/>
              <w:rPr>
                <w:rFonts w:hint="eastAsia" w:ascii="仿宋" w:hAnsi="仿宋" w:eastAsia="仿宋" w:cs="仿宋"/>
                <w:color w:val="070000"/>
                <w:sz w:val="21"/>
                <w:szCs w:val="21"/>
                <w:u w:color="070000"/>
                <w:lang w:val="zh-TW" w:eastAsia="zh-TW"/>
              </w:rPr>
            </w:pPr>
            <w:r>
              <w:rPr>
                <w:rFonts w:hint="eastAsia" w:ascii="仿宋" w:hAnsi="仿宋" w:eastAsia="仿宋" w:cs="仿宋"/>
                <w:color w:val="070000"/>
                <w:sz w:val="21"/>
                <w:szCs w:val="21"/>
                <w:u w:color="070000"/>
                <w:lang w:val="zh-TW" w:eastAsia="zh-TW"/>
              </w:rPr>
              <w:t>1、品牌：普雷斯特等</w:t>
            </w:r>
            <w:r>
              <w:rPr>
                <w:rFonts w:hint="eastAsia" w:ascii="仿宋" w:hAnsi="仿宋" w:eastAsia="仿宋" w:cs="仿宋"/>
                <w:color w:val="070000"/>
                <w:sz w:val="21"/>
                <w:szCs w:val="21"/>
                <w:u w:color="070000"/>
              </w:rPr>
              <w:t>国内一线</w:t>
            </w:r>
            <w:r>
              <w:rPr>
                <w:rFonts w:hint="eastAsia" w:ascii="仿宋" w:hAnsi="仿宋" w:eastAsia="仿宋" w:cs="仿宋"/>
                <w:color w:val="070000"/>
                <w:sz w:val="21"/>
                <w:szCs w:val="21"/>
                <w:u w:color="070000"/>
                <w:lang w:val="zh-TW" w:eastAsia="zh-TW"/>
              </w:rPr>
              <w:t>品牌。</w:t>
            </w:r>
          </w:p>
          <w:p w14:paraId="3ECCBC1D">
            <w:pPr>
              <w:spacing w:line="360" w:lineRule="exact"/>
              <w:jc w:val="left"/>
              <w:rPr>
                <w:rFonts w:hint="eastAsia" w:ascii="仿宋" w:hAnsi="仿宋" w:eastAsia="仿宋" w:cs="仿宋"/>
                <w:color w:val="070000"/>
                <w:sz w:val="21"/>
                <w:szCs w:val="21"/>
                <w:u w:color="070000"/>
                <w:lang w:val="zh-TW" w:eastAsia="zh-TW"/>
              </w:rPr>
            </w:pPr>
            <w:r>
              <w:rPr>
                <w:rFonts w:hint="eastAsia" w:ascii="仿宋" w:hAnsi="仿宋" w:eastAsia="仿宋" w:cs="仿宋"/>
                <w:color w:val="070000"/>
                <w:sz w:val="21"/>
                <w:szCs w:val="21"/>
                <w:u w:color="070000"/>
                <w:lang w:val="zh-TW" w:eastAsia="zh-TW"/>
              </w:rPr>
              <w:t>2、防护等级达到IP65级；激光头内部采用精密丝杠传动，定位精度可以达到0.008mm；移动端APP及系统界面均可实时监测上下保护镜温度、准直镜温度、聚焦镜温度和激光头内部气压。</w:t>
            </w:r>
          </w:p>
        </w:tc>
      </w:tr>
      <w:tr w14:paraId="2AD0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3AF59D16">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3</w:t>
            </w:r>
          </w:p>
        </w:tc>
        <w:tc>
          <w:tcPr>
            <w:tcW w:w="284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6466CE40">
            <w:pPr>
              <w:spacing w:line="360" w:lineRule="exact"/>
              <w:jc w:val="left"/>
              <w:rPr>
                <w:rFonts w:hint="eastAsia" w:ascii="仿宋" w:hAnsi="仿宋" w:eastAsia="仿宋" w:cs="仿宋"/>
                <w:color w:val="070000"/>
                <w:sz w:val="21"/>
                <w:szCs w:val="21"/>
                <w:u w:color="070000"/>
                <w:lang w:val="zh-TW"/>
              </w:rPr>
            </w:pPr>
            <w:r>
              <w:rPr>
                <w:rFonts w:hint="eastAsia" w:ascii="仿宋" w:hAnsi="仿宋" w:eastAsia="仿宋" w:cs="仿宋"/>
                <w:color w:val="070000"/>
                <w:sz w:val="21"/>
                <w:szCs w:val="21"/>
                <w:u w:color="070000"/>
                <w:lang w:val="zh-TW" w:eastAsia="zh-TW"/>
              </w:rPr>
              <w:t>数控系统（含控制软件</w:t>
            </w:r>
            <w:r>
              <w:rPr>
                <w:rFonts w:hint="eastAsia" w:ascii="仿宋" w:hAnsi="仿宋" w:eastAsia="仿宋" w:cs="仿宋"/>
                <w:color w:val="070000"/>
                <w:sz w:val="21"/>
                <w:szCs w:val="21"/>
                <w:u w:color="070000"/>
                <w:lang w:val="zh-TW"/>
              </w:rPr>
              <w:t>，</w:t>
            </w:r>
            <w:r>
              <w:rPr>
                <w:rFonts w:hint="eastAsia" w:ascii="仿宋" w:hAnsi="仿宋" w:eastAsia="仿宋" w:cs="仿宋"/>
                <w:color w:val="070000"/>
                <w:sz w:val="21"/>
                <w:szCs w:val="21"/>
                <w:u w:color="070000"/>
                <w:lang w:val="zh-TW" w:eastAsia="zh-TW"/>
              </w:rPr>
              <w:t>激光切割工艺数据库）</w:t>
            </w:r>
          </w:p>
          <w:p w14:paraId="6F63A00C">
            <w:pPr>
              <w:spacing w:line="360" w:lineRule="exact"/>
              <w:jc w:val="left"/>
              <w:rPr>
                <w:rFonts w:hint="eastAsia" w:ascii="仿宋" w:hAnsi="仿宋" w:eastAsia="仿宋" w:cs="仿宋"/>
                <w:color w:val="070000"/>
                <w:sz w:val="21"/>
                <w:szCs w:val="21"/>
                <w:u w:color="070000"/>
                <w:lang w:val="zh-TW"/>
              </w:rPr>
            </w:pPr>
            <w:r>
              <w:rPr>
                <w:rFonts w:hint="eastAsia" w:ascii="仿宋" w:hAnsi="仿宋" w:eastAsia="仿宋" w:cs="仿宋"/>
                <w:color w:val="070000"/>
                <w:sz w:val="21"/>
                <w:szCs w:val="21"/>
                <w:u w:color="070000"/>
                <w:lang w:val="zh-TW"/>
              </w:rPr>
              <w:t>（无时限设置或保证无条件解锁）</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2992C6A">
            <w:pPr>
              <w:spacing w:line="360" w:lineRule="exact"/>
              <w:jc w:val="left"/>
              <w:rPr>
                <w:rFonts w:hint="eastAsia" w:ascii="仿宋" w:hAnsi="仿宋" w:eastAsia="仿宋" w:cs="仿宋"/>
                <w:color w:val="070000"/>
                <w:sz w:val="21"/>
                <w:szCs w:val="21"/>
                <w:u w:color="070000"/>
                <w:lang w:val="zh-TW"/>
              </w:rPr>
            </w:pPr>
            <w:r>
              <w:rPr>
                <w:rFonts w:hint="eastAsia" w:ascii="仿宋" w:hAnsi="仿宋" w:eastAsia="仿宋" w:cs="仿宋"/>
                <w:color w:val="070000"/>
                <w:sz w:val="21"/>
                <w:szCs w:val="21"/>
                <w:u w:color="070000"/>
                <w:lang w:val="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AC17FC2">
            <w:pPr>
              <w:spacing w:line="360" w:lineRule="exact"/>
              <w:jc w:val="left"/>
              <w:rPr>
                <w:rFonts w:hint="eastAsia" w:ascii="仿宋" w:hAnsi="仿宋" w:eastAsia="仿宋" w:cs="仿宋"/>
                <w:color w:val="070000"/>
                <w:sz w:val="21"/>
                <w:szCs w:val="21"/>
                <w:u w:color="070000"/>
                <w:lang w:val="zh-TW" w:eastAsia="zh-TW"/>
              </w:rPr>
            </w:pPr>
            <w:r>
              <w:rPr>
                <w:rFonts w:hint="eastAsia" w:ascii="仿宋" w:hAnsi="仿宋" w:eastAsia="仿宋" w:cs="仿宋"/>
                <w:color w:val="070000"/>
                <w:sz w:val="21"/>
                <w:szCs w:val="21"/>
                <w:u w:color="070000"/>
                <w:lang w:val="zh-TW" w:eastAsia="zh-TW"/>
              </w:rPr>
              <w:t>1、品牌：德国、意大利等</w:t>
            </w:r>
            <w:r>
              <w:rPr>
                <w:rFonts w:hint="eastAsia" w:ascii="仿宋" w:hAnsi="仿宋" w:eastAsia="仿宋" w:cs="仿宋"/>
                <w:color w:val="070000"/>
                <w:sz w:val="21"/>
                <w:szCs w:val="21"/>
                <w:u w:color="070000"/>
              </w:rPr>
              <w:t>国内一线</w:t>
            </w:r>
            <w:r>
              <w:rPr>
                <w:rFonts w:hint="eastAsia" w:ascii="仿宋" w:hAnsi="仿宋" w:eastAsia="仿宋" w:cs="仿宋"/>
                <w:color w:val="070000"/>
                <w:sz w:val="21"/>
                <w:szCs w:val="21"/>
                <w:u w:color="070000"/>
                <w:lang w:val="zh-TW" w:eastAsia="zh-TW"/>
              </w:rPr>
              <w:t>品牌。</w:t>
            </w:r>
          </w:p>
          <w:p w14:paraId="7DABA984">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2、其他：需总线控制系统，闭环控制（兼容套料软件西班牙兰特、并且支持图形批量导入、处理、分级、排版等操作），要求数控系统操作简单，稳定可靠，系统运行时不卡顿，图像清晰；并且软件需要具有预穿孔、多级穿孔、无痕微联、拐角切割、智能收刀、低气压切割（空气4-6公斤）功能。具有远程诊断、远程运行维护功能。具有15层激光切割工艺层</w:t>
            </w:r>
            <w:r>
              <w:rPr>
                <w:rFonts w:hint="eastAsia" w:ascii="仿宋" w:hAnsi="仿宋" w:eastAsia="仿宋" w:cs="仿宋"/>
                <w:color w:val="070000"/>
                <w:sz w:val="21"/>
                <w:szCs w:val="21"/>
                <w:u w:color="070000"/>
              </w:rPr>
              <w:t>.</w:t>
            </w:r>
          </w:p>
        </w:tc>
      </w:tr>
      <w:tr w14:paraId="4CE32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2775DC4">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4</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80DC3F4">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传动系统（</w:t>
            </w:r>
            <w:r>
              <w:rPr>
                <w:rFonts w:hint="eastAsia" w:ascii="仿宋" w:hAnsi="仿宋" w:eastAsia="仿宋" w:cs="仿宋"/>
                <w:color w:val="070000"/>
                <w:sz w:val="21"/>
                <w:szCs w:val="21"/>
                <w:u w:color="070000"/>
              </w:rPr>
              <w:t>X</w:t>
            </w:r>
            <w:r>
              <w:rPr>
                <w:rFonts w:hint="eastAsia" w:ascii="仿宋" w:hAnsi="仿宋" w:eastAsia="仿宋" w:cs="仿宋"/>
                <w:color w:val="070000"/>
                <w:sz w:val="21"/>
                <w:szCs w:val="21"/>
                <w:u w:color="070000"/>
                <w:lang w:val="zh-TW" w:eastAsia="zh-TW"/>
              </w:rPr>
              <w:t>、</w:t>
            </w:r>
            <w:r>
              <w:rPr>
                <w:rFonts w:hint="eastAsia" w:ascii="仿宋" w:hAnsi="仿宋" w:eastAsia="仿宋" w:cs="仿宋"/>
                <w:color w:val="070000"/>
                <w:sz w:val="21"/>
                <w:szCs w:val="21"/>
                <w:u w:color="070000"/>
              </w:rPr>
              <w:t>Y</w:t>
            </w:r>
            <w:r>
              <w:rPr>
                <w:rFonts w:hint="eastAsia" w:ascii="仿宋" w:hAnsi="仿宋" w:eastAsia="仿宋" w:cs="仿宋"/>
                <w:color w:val="070000"/>
                <w:sz w:val="21"/>
                <w:szCs w:val="21"/>
                <w:u w:color="070000"/>
                <w:lang w:val="zh-TW" w:eastAsia="zh-TW"/>
              </w:rPr>
              <w:t>轴齿条）</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C8815C0">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CAA3BDE">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斜齿，精度等级为国标6级或以上</w:t>
            </w:r>
          </w:p>
        </w:tc>
      </w:tr>
      <w:tr w14:paraId="3324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1550C66">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5</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B140147">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传动系统（</w:t>
            </w:r>
            <w:r>
              <w:rPr>
                <w:rFonts w:hint="eastAsia" w:ascii="仿宋" w:hAnsi="仿宋" w:eastAsia="仿宋" w:cs="仿宋"/>
                <w:color w:val="070000"/>
                <w:sz w:val="21"/>
                <w:szCs w:val="21"/>
                <w:u w:color="070000"/>
              </w:rPr>
              <w:t>X</w:t>
            </w:r>
            <w:r>
              <w:rPr>
                <w:rFonts w:hint="eastAsia" w:ascii="仿宋" w:hAnsi="仿宋" w:eastAsia="仿宋" w:cs="仿宋"/>
                <w:color w:val="070000"/>
                <w:sz w:val="21"/>
                <w:szCs w:val="21"/>
                <w:u w:color="070000"/>
                <w:lang w:val="zh-TW" w:eastAsia="zh-TW"/>
              </w:rPr>
              <w:t>、</w:t>
            </w:r>
            <w:r>
              <w:rPr>
                <w:rFonts w:hint="eastAsia" w:ascii="仿宋" w:hAnsi="仿宋" w:eastAsia="仿宋" w:cs="仿宋"/>
                <w:color w:val="070000"/>
                <w:sz w:val="21"/>
                <w:szCs w:val="21"/>
                <w:u w:color="070000"/>
              </w:rPr>
              <w:t>Y</w:t>
            </w:r>
            <w:r>
              <w:rPr>
                <w:rFonts w:hint="eastAsia" w:ascii="仿宋" w:hAnsi="仿宋" w:eastAsia="仿宋" w:cs="仿宋"/>
                <w:color w:val="070000"/>
                <w:sz w:val="21"/>
                <w:szCs w:val="21"/>
                <w:u w:color="070000"/>
                <w:lang w:val="zh-TW" w:eastAsia="zh-TW"/>
              </w:rPr>
              <w:t>导轨）</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166C2A6">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E9D8F3E">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直线导轨，精度等级为国标H级或以上</w:t>
            </w:r>
          </w:p>
        </w:tc>
      </w:tr>
      <w:tr w14:paraId="031AA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7C47FD9">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6</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DA97D5C">
            <w:pPr>
              <w:spacing w:line="360" w:lineRule="exact"/>
              <w:jc w:val="left"/>
              <w:rPr>
                <w:rFonts w:hint="eastAsia" w:ascii="仿宋" w:hAnsi="仿宋" w:eastAsia="仿宋" w:cs="仿宋"/>
                <w:color w:val="070000"/>
                <w:sz w:val="21"/>
                <w:szCs w:val="21"/>
                <w:u w:color="070000"/>
                <w:lang w:val="zh-TW" w:eastAsia="zh-TW"/>
              </w:rPr>
            </w:pPr>
            <w:r>
              <w:rPr>
                <w:rFonts w:hint="eastAsia" w:ascii="仿宋" w:hAnsi="仿宋" w:eastAsia="仿宋" w:cs="仿宋"/>
                <w:color w:val="070000"/>
                <w:sz w:val="21"/>
                <w:szCs w:val="21"/>
                <w:u w:color="070000"/>
                <w:lang w:val="zh-TW" w:eastAsia="zh-TW"/>
              </w:rPr>
              <w:t>传动系统（X、Y减速机）</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FD2E7DA">
            <w:pPr>
              <w:spacing w:line="360" w:lineRule="exact"/>
              <w:jc w:val="left"/>
              <w:rPr>
                <w:rFonts w:hint="eastAsia" w:ascii="仿宋" w:hAnsi="仿宋" w:eastAsia="仿宋" w:cs="仿宋"/>
                <w:color w:val="070000"/>
                <w:sz w:val="21"/>
                <w:szCs w:val="21"/>
                <w:u w:color="070000"/>
                <w:lang w:val="zh-TW" w:eastAsia="zh-TW"/>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4325F92">
            <w:pPr>
              <w:spacing w:line="360" w:lineRule="exact"/>
              <w:jc w:val="left"/>
              <w:rPr>
                <w:rFonts w:hint="eastAsia" w:ascii="仿宋" w:hAnsi="仿宋" w:eastAsia="仿宋" w:cs="仿宋"/>
                <w:color w:val="070000"/>
                <w:sz w:val="21"/>
                <w:szCs w:val="21"/>
                <w:u w:color="070000"/>
                <w:lang w:val="zh-TW" w:eastAsia="zh-TW"/>
              </w:rPr>
            </w:pPr>
            <w:r>
              <w:rPr>
                <w:rFonts w:hint="eastAsia" w:ascii="仿宋" w:hAnsi="仿宋" w:eastAsia="仿宋" w:cs="仿宋"/>
                <w:color w:val="070000"/>
                <w:sz w:val="21"/>
                <w:szCs w:val="21"/>
                <w:u w:color="070000"/>
                <w:lang w:val="zh-TW" w:eastAsia="zh-TW"/>
              </w:rPr>
              <w:t>精度等级≤</w:t>
            </w:r>
            <w:r>
              <w:rPr>
                <w:rFonts w:hint="eastAsia" w:ascii="仿宋" w:hAnsi="仿宋" w:eastAsia="仿宋" w:cs="仿宋"/>
                <w:color w:val="070000"/>
                <w:sz w:val="21"/>
                <w:szCs w:val="21"/>
                <w:u w:color="070000"/>
              </w:rPr>
              <w:t>3</w:t>
            </w:r>
            <w:r>
              <w:rPr>
                <w:rFonts w:hint="eastAsia" w:ascii="仿宋" w:hAnsi="仿宋" w:eastAsia="仿宋" w:cs="仿宋"/>
                <w:color w:val="070000"/>
                <w:sz w:val="21"/>
                <w:szCs w:val="21"/>
                <w:u w:color="070000"/>
                <w:lang w:val="zh-TW" w:eastAsia="zh-TW"/>
              </w:rPr>
              <w:t>arcmin</w:t>
            </w:r>
          </w:p>
        </w:tc>
      </w:tr>
      <w:tr w14:paraId="44D3F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14:paraId="0901E5CF">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7</w:t>
            </w:r>
          </w:p>
        </w:tc>
        <w:tc>
          <w:tcPr>
            <w:tcW w:w="284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14:paraId="72902E63">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自动</w:t>
            </w:r>
            <w:r>
              <w:rPr>
                <w:rFonts w:hint="eastAsia" w:ascii="仿宋" w:hAnsi="仿宋" w:eastAsia="仿宋" w:cs="仿宋"/>
                <w:color w:val="070000"/>
                <w:sz w:val="21"/>
                <w:szCs w:val="21"/>
                <w:u w:color="070000"/>
              </w:rPr>
              <w:t>排版功能</w:t>
            </w:r>
          </w:p>
        </w:tc>
        <w:tc>
          <w:tcPr>
            <w:tcW w:w="850"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739A5D">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3C780C">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套料软件应具备自动排版功能，若自带套料软件需兼容兰特，且可以免费使用。</w:t>
            </w:r>
          </w:p>
        </w:tc>
      </w:tr>
      <w:tr w14:paraId="344E1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E94290B">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8</w:t>
            </w:r>
          </w:p>
        </w:tc>
        <w:tc>
          <w:tcPr>
            <w:tcW w:w="284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7D2E7A9">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驱动</w:t>
            </w:r>
            <w:r>
              <w:rPr>
                <w:rFonts w:hint="eastAsia" w:ascii="仿宋" w:hAnsi="仿宋" w:eastAsia="仿宋" w:cs="仿宋"/>
                <w:color w:val="070000"/>
                <w:sz w:val="21"/>
                <w:szCs w:val="21"/>
                <w:u w:color="070000"/>
                <w:lang w:val="zh-TW"/>
              </w:rPr>
              <w:t>器、伺服电机系统</w:t>
            </w:r>
          </w:p>
        </w:tc>
        <w:tc>
          <w:tcPr>
            <w:tcW w:w="850"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BD70356">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4CC6DAA">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西门子、ABB、安川、松下、三菱,MPC,汇川</w:t>
            </w:r>
            <w:r>
              <w:rPr>
                <w:rFonts w:hint="eastAsia" w:ascii="仿宋" w:hAnsi="仿宋" w:eastAsia="仿宋" w:cs="仿宋"/>
                <w:color w:val="070000"/>
                <w:sz w:val="21"/>
                <w:szCs w:val="21"/>
                <w:u w:color="070000"/>
                <w:lang w:val="zh-TW"/>
              </w:rPr>
              <w:t>、</w:t>
            </w:r>
            <w:r>
              <w:rPr>
                <w:rFonts w:hint="eastAsia" w:ascii="仿宋" w:hAnsi="仿宋" w:eastAsia="仿宋" w:cs="仿宋"/>
                <w:color w:val="070000"/>
                <w:sz w:val="21"/>
                <w:szCs w:val="21"/>
                <w:u w:color="070000"/>
              </w:rPr>
              <w:t>禾川</w:t>
            </w:r>
            <w:r>
              <w:rPr>
                <w:rFonts w:hint="eastAsia" w:ascii="仿宋" w:hAnsi="仿宋" w:eastAsia="仿宋" w:cs="仿宋"/>
                <w:color w:val="070000"/>
                <w:sz w:val="21"/>
                <w:szCs w:val="21"/>
                <w:u w:color="070000"/>
                <w:lang w:val="zh-TW" w:eastAsia="zh-TW"/>
              </w:rPr>
              <w:t>等进口知名品牌，且与数控系统兼容</w:t>
            </w:r>
          </w:p>
        </w:tc>
      </w:tr>
      <w:tr w14:paraId="0C9D4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EA2FA1F">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9</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DB4ECDF">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rPr>
              <w:t>气体控制系统（含气动单元）</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8242214">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13A8BCE">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SMC、亚德客</w:t>
            </w:r>
          </w:p>
        </w:tc>
      </w:tr>
      <w:tr w14:paraId="4F8E1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4E6E407">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10</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D74669B">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rPr>
              <w:t>其他电子元器件</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33684F4">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B328D87">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国内外知名品牌</w:t>
            </w:r>
          </w:p>
        </w:tc>
      </w:tr>
      <w:tr w14:paraId="2CA6B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BA26A1A">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11</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685E3E3">
            <w:pPr>
              <w:spacing w:line="360" w:lineRule="exact"/>
              <w:jc w:val="left"/>
              <w:rPr>
                <w:rFonts w:hint="eastAsia" w:ascii="仿宋" w:hAnsi="仿宋" w:eastAsia="仿宋" w:cs="仿宋"/>
                <w:color w:val="070000"/>
                <w:sz w:val="21"/>
                <w:szCs w:val="21"/>
                <w:u w:color="070000"/>
                <w:lang w:val="zh-TW"/>
              </w:rPr>
            </w:pPr>
            <w:r>
              <w:rPr>
                <w:rFonts w:hint="eastAsia" w:ascii="仿宋" w:hAnsi="仿宋" w:eastAsia="仿宋" w:cs="仿宋"/>
                <w:color w:val="070000"/>
                <w:sz w:val="21"/>
                <w:szCs w:val="21"/>
                <w:u w:color="070000"/>
                <w:lang w:val="zh-TW" w:eastAsia="zh-TW"/>
              </w:rPr>
              <w:t>制冷系统</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5C2A127">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0DB3AE9">
            <w:pPr>
              <w:spacing w:line="360" w:lineRule="exact"/>
              <w:jc w:val="left"/>
              <w:rPr>
                <w:rFonts w:hint="eastAsia" w:ascii="仿宋" w:hAnsi="仿宋" w:eastAsia="仿宋" w:cs="仿宋"/>
                <w:color w:val="070000"/>
                <w:sz w:val="21"/>
                <w:szCs w:val="21"/>
                <w:u w:color="070000"/>
                <w:lang w:val="zh-TW"/>
              </w:rPr>
            </w:pPr>
            <w:r>
              <w:rPr>
                <w:rFonts w:hint="eastAsia" w:ascii="仿宋" w:hAnsi="仿宋" w:eastAsia="仿宋" w:cs="仿宋"/>
                <w:color w:val="070000"/>
                <w:sz w:val="21"/>
                <w:szCs w:val="21"/>
                <w:u w:color="070000"/>
              </w:rPr>
              <w:t>特域、同飞、汉立</w:t>
            </w:r>
          </w:p>
        </w:tc>
      </w:tr>
      <w:tr w14:paraId="1081C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F3AB904">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12</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58131BD">
            <w:pPr>
              <w:spacing w:line="360" w:lineRule="exact"/>
              <w:jc w:val="left"/>
              <w:rPr>
                <w:rFonts w:hint="eastAsia" w:ascii="仿宋" w:hAnsi="仿宋" w:eastAsia="仿宋" w:cs="仿宋"/>
                <w:color w:val="070000"/>
                <w:sz w:val="21"/>
                <w:szCs w:val="21"/>
                <w:u w:color="070000"/>
                <w:lang w:val="zh-TW"/>
              </w:rPr>
            </w:pPr>
            <w:r>
              <w:rPr>
                <w:rFonts w:hint="eastAsia" w:ascii="仿宋" w:hAnsi="仿宋" w:eastAsia="仿宋" w:cs="仿宋"/>
                <w:color w:val="070000"/>
                <w:sz w:val="21"/>
                <w:szCs w:val="21"/>
                <w:u w:color="070000"/>
                <w:lang w:val="zh-TW" w:eastAsia="zh-TW"/>
              </w:rPr>
              <w:t>床身</w:t>
            </w:r>
            <w:r>
              <w:rPr>
                <w:rFonts w:hint="eastAsia" w:ascii="仿宋" w:hAnsi="仿宋" w:eastAsia="仿宋" w:cs="仿宋"/>
                <w:color w:val="070000"/>
                <w:sz w:val="21"/>
                <w:szCs w:val="21"/>
                <w:u w:color="070000"/>
                <w:lang w:val="zh-TW"/>
              </w:rPr>
              <w:t>结构</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C1969D2">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E53968D">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地轨，床身经久耐用、不易变形，退火去应力且经过时效处理</w:t>
            </w:r>
            <w:r>
              <w:rPr>
                <w:rFonts w:hint="eastAsia" w:ascii="仿宋" w:hAnsi="仿宋" w:eastAsia="仿宋" w:cs="仿宋"/>
                <w:color w:val="070000"/>
                <w:sz w:val="21"/>
                <w:szCs w:val="21"/>
                <w:u w:color="070000"/>
                <w:lang w:eastAsia="zh-CN"/>
              </w:rPr>
              <w:t>，</w:t>
            </w:r>
            <w:r>
              <w:rPr>
                <w:rFonts w:hint="eastAsia" w:ascii="仿宋" w:hAnsi="仿宋" w:eastAsia="仿宋" w:cs="仿宋"/>
                <w:color w:val="070000"/>
                <w:sz w:val="21"/>
                <w:szCs w:val="21"/>
                <w:u w:color="070000"/>
                <w:lang w:val="en-US" w:eastAsia="zh-CN"/>
              </w:rPr>
              <w:t>整体重量（不含台面）≥12T</w:t>
            </w:r>
            <w:r>
              <w:rPr>
                <w:rFonts w:hint="eastAsia" w:ascii="仿宋" w:hAnsi="仿宋" w:eastAsia="仿宋" w:cs="仿宋"/>
                <w:color w:val="070000"/>
                <w:sz w:val="21"/>
                <w:szCs w:val="21"/>
                <w:u w:color="070000"/>
              </w:rPr>
              <w:t>。</w:t>
            </w:r>
          </w:p>
        </w:tc>
      </w:tr>
      <w:tr w14:paraId="12D55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4F4E769">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13</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93A35EE">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龙门横梁</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2C5A525">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D86DF65">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钢板焊接或铝型材横梁</w:t>
            </w:r>
          </w:p>
        </w:tc>
      </w:tr>
      <w:tr w14:paraId="72E83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2CD49A5">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14</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2BCA0EF">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切割台面</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C48ABB7">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38497B8">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由投标</w:t>
            </w:r>
            <w:r>
              <w:rPr>
                <w:rFonts w:hint="eastAsia" w:ascii="仿宋" w:hAnsi="仿宋" w:eastAsia="仿宋" w:cs="仿宋"/>
                <w:color w:val="070000"/>
                <w:sz w:val="21"/>
                <w:szCs w:val="21"/>
                <w:u w:color="070000"/>
                <w:lang w:val="zh-TW"/>
              </w:rPr>
              <w:t>方制作</w:t>
            </w:r>
            <w:r>
              <w:rPr>
                <w:rFonts w:hint="eastAsia" w:ascii="仿宋" w:hAnsi="仿宋" w:eastAsia="仿宋" w:cs="仿宋"/>
                <w:color w:val="070000"/>
                <w:sz w:val="21"/>
                <w:szCs w:val="21"/>
                <w:u w:color="070000"/>
              </w:rPr>
              <w:t>并提供图纸</w:t>
            </w:r>
          </w:p>
        </w:tc>
      </w:tr>
      <w:tr w14:paraId="15F56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1110D57">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15</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1C5CAC4">
            <w:pPr>
              <w:spacing w:line="360" w:lineRule="exact"/>
              <w:jc w:val="left"/>
              <w:rPr>
                <w:rFonts w:hint="eastAsia" w:ascii="仿宋" w:hAnsi="仿宋" w:eastAsia="仿宋" w:cs="仿宋"/>
                <w:color w:val="070000"/>
                <w:sz w:val="21"/>
                <w:szCs w:val="21"/>
                <w:u w:color="070000"/>
                <w:lang w:val="zh-TW"/>
              </w:rPr>
            </w:pPr>
            <w:r>
              <w:rPr>
                <w:rFonts w:hint="eastAsia" w:ascii="仿宋" w:hAnsi="仿宋" w:eastAsia="仿宋" w:cs="仿宋"/>
                <w:color w:val="070000"/>
                <w:sz w:val="21"/>
                <w:szCs w:val="21"/>
                <w:u w:color="070000"/>
                <w:lang w:val="zh-TW"/>
              </w:rPr>
              <w:t>除</w:t>
            </w:r>
            <w:r>
              <w:rPr>
                <w:rFonts w:hint="eastAsia" w:ascii="仿宋" w:hAnsi="仿宋" w:eastAsia="仿宋" w:cs="仿宋"/>
                <w:color w:val="070000"/>
                <w:sz w:val="21"/>
                <w:szCs w:val="21"/>
                <w:u w:color="070000"/>
                <w:lang w:val="zh-TW" w:eastAsia="zh-TW"/>
              </w:rPr>
              <w:t>尘系统</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0DE66D1">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246F00D">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分区除尘，满足当地环保要求</w:t>
            </w:r>
          </w:p>
        </w:tc>
      </w:tr>
      <w:tr w14:paraId="1FDA0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B4C6493">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16</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62E35DB">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稳压电源</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0FC6767">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001DA1C">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国内外知名品牌</w:t>
            </w:r>
          </w:p>
        </w:tc>
      </w:tr>
      <w:tr w14:paraId="10FF8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84C3429">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17</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373CF78">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其他配件</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32E7BC1">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7DB9A14">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包含设备所有管路阀门、接头、压力表、减压器、滤清器等。</w:t>
            </w:r>
          </w:p>
        </w:tc>
      </w:tr>
      <w:tr w14:paraId="37C8F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3B900CC">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18</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FD4B6FA">
            <w:pPr>
              <w:spacing w:line="360" w:lineRule="exact"/>
              <w:jc w:val="left"/>
              <w:rPr>
                <w:rFonts w:hint="eastAsia" w:ascii="仿宋" w:hAnsi="仿宋" w:eastAsia="仿宋" w:cs="仿宋"/>
                <w:color w:val="070000"/>
                <w:sz w:val="21"/>
                <w:szCs w:val="21"/>
                <w:u w:color="070000"/>
                <w:lang w:val="zh-TW"/>
              </w:rPr>
            </w:pPr>
            <w:r>
              <w:rPr>
                <w:rFonts w:hint="eastAsia" w:ascii="仿宋" w:hAnsi="仿宋" w:eastAsia="仿宋" w:cs="仿宋"/>
                <w:color w:val="070000"/>
                <w:sz w:val="21"/>
                <w:szCs w:val="21"/>
                <w:u w:color="070000"/>
                <w:lang w:val="zh-TW"/>
              </w:rPr>
              <w:t>包括37KW空压机、储气罐、过滤及冷干系统等</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12C606C">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lang w:val="zh-TW" w:eastAsia="zh-TW"/>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EF88D60">
            <w:pPr>
              <w:spacing w:line="360" w:lineRule="exact"/>
              <w:jc w:val="left"/>
              <w:rPr>
                <w:rFonts w:hint="eastAsia" w:ascii="仿宋" w:hAnsi="仿宋" w:eastAsia="仿宋" w:cs="仿宋"/>
                <w:color w:val="070000"/>
                <w:sz w:val="21"/>
                <w:szCs w:val="21"/>
                <w:u w:color="070000"/>
                <w:lang w:val="zh-TW"/>
              </w:rPr>
            </w:pPr>
            <w:r>
              <w:rPr>
                <w:rFonts w:hint="eastAsia" w:ascii="仿宋" w:hAnsi="仿宋" w:eastAsia="仿宋" w:cs="仿宋"/>
                <w:color w:val="070000"/>
                <w:sz w:val="21"/>
                <w:szCs w:val="21"/>
                <w:u w:color="070000"/>
              </w:rPr>
              <w:t>国内外知名品牌</w:t>
            </w:r>
          </w:p>
        </w:tc>
      </w:tr>
      <w:tr w14:paraId="4AFCE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9DFBC56">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19</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94B38EA">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MES系统支持</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2DB05CE">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524950E">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支持对接第三方的MES管理系统，并提供接入调试服务</w:t>
            </w:r>
          </w:p>
        </w:tc>
      </w:tr>
      <w:tr w14:paraId="3A208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9B7F90E">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21</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96EBB78">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气压智能控制功能</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EA60EA3">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EFB5236">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切割过程中可对气体气压自动补偿，同时支持多路气体的气压智能控制，需提供方案或图片佐证</w:t>
            </w:r>
          </w:p>
        </w:tc>
      </w:tr>
      <w:tr w14:paraId="4BD20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E5868CE">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22</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9B3A684">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智能寻边功能</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6F54B74">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D39731A">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支持自动巡边、圆盘寻边</w:t>
            </w:r>
          </w:p>
        </w:tc>
      </w:tr>
      <w:tr w14:paraId="4E2E9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A6F64D7">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23</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49DD3D7">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系统后续免费升级功能</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B721269">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3D880FB">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系统终身免费升级及维护</w:t>
            </w:r>
          </w:p>
        </w:tc>
      </w:tr>
      <w:tr w14:paraId="33A8F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D7D6BFF">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24</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15528F7">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厚板过热自动补偿功能</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394D1F5">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C249A48">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能够从时间、温度等多个维度，自动计算、补偿切割头焦点的“漂移”，确保中厚板长时间稳定切割，无需人工介入</w:t>
            </w:r>
          </w:p>
        </w:tc>
      </w:tr>
      <w:tr w14:paraId="55A81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C365384">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25</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BEC22B4">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全自动一键加工功能</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159A6F3">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ECE8F6F">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点击开始切割后，不需要再进行其他操作，设备在加工完一个程序后会自动寻边、自动走边框、自动切割，从而达到单机批量加工的目的</w:t>
            </w:r>
          </w:p>
        </w:tc>
      </w:tr>
      <w:tr w14:paraId="5D08C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836573B">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26</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82F233E">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激光头主动避障功能</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CE2ACBA">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3CD6F82">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当检测到障碍时，Z轴能高速响应并避开障碍。有效解决薄板批量切割过程中，因切割件翘起干扰切割和碰撞激光头的问题。(无效包修)</w:t>
            </w:r>
          </w:p>
        </w:tc>
      </w:tr>
      <w:tr w14:paraId="07D98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E43F18C">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27</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57E27A0">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床身防烧材料</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E1843F2">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1D41BED">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设备配有自主研发的防烧材料及防烧功能设计</w:t>
            </w:r>
          </w:p>
        </w:tc>
      </w:tr>
      <w:tr w14:paraId="78322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F57B84F">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28</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981F1E9">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客户自助服务平台</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7503539">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9169472">
            <w:pPr>
              <w:spacing w:line="360" w:lineRule="exact"/>
              <w:jc w:val="left"/>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可通过该系统实现自主新机学习、售后问题解决指导、一线售后监控管理等实用功能</w:t>
            </w:r>
          </w:p>
        </w:tc>
      </w:tr>
      <w:tr w14:paraId="637AD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DCAEC66">
            <w:pPr>
              <w:spacing w:line="360" w:lineRule="exact"/>
              <w:jc w:val="center"/>
              <w:rPr>
                <w:rFonts w:ascii="仿宋" w:hAnsi="仿宋" w:eastAsia="仿宋" w:cs="仿宋"/>
                <w:sz w:val="21"/>
                <w:szCs w:val="21"/>
              </w:rPr>
            </w:pPr>
            <w:r>
              <w:rPr>
                <w:rFonts w:hint="eastAsia" w:ascii="仿宋" w:hAnsi="仿宋" w:eastAsia="仿宋" w:cs="仿宋"/>
                <w:sz w:val="21"/>
                <w:szCs w:val="21"/>
              </w:rPr>
              <w:t>29</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E99B6EE">
            <w:pPr>
              <w:spacing w:line="360" w:lineRule="exact"/>
              <w:jc w:val="center"/>
              <w:rPr>
                <w:rFonts w:ascii="仿宋" w:hAnsi="仿宋" w:eastAsia="仿宋" w:cs="仿宋"/>
                <w:szCs w:val="21"/>
                <w:u w:color="070000"/>
              </w:rPr>
            </w:pPr>
            <w:r>
              <w:rPr>
                <w:rFonts w:hint="eastAsia" w:ascii="仿宋" w:hAnsi="仿宋" w:eastAsia="仿宋" w:cs="仿宋"/>
                <w:sz w:val="21"/>
                <w:szCs w:val="21"/>
                <w:u w:color="070000"/>
              </w:rPr>
              <w:t>空调房</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78F5871">
            <w:pPr>
              <w:spacing w:line="360" w:lineRule="exact"/>
              <w:jc w:val="center"/>
              <w:rPr>
                <w:rFonts w:ascii="仿宋" w:hAnsi="仿宋" w:eastAsia="仿宋" w:cs="仿宋"/>
                <w:color w:val="070000"/>
                <w:szCs w:val="21"/>
                <w:u w:color="070000"/>
              </w:rPr>
            </w:pPr>
            <w:r>
              <w:rPr>
                <w:rFonts w:hint="eastAsia" w:ascii="仿宋" w:hAnsi="仿宋" w:eastAsia="仿宋" w:cs="仿宋"/>
                <w:color w:val="070000"/>
                <w:sz w:val="21"/>
                <w:szCs w:val="21"/>
                <w:u w:color="070000"/>
              </w:rPr>
              <w:t>1套</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9278ADB">
            <w:pPr>
              <w:spacing w:line="360" w:lineRule="exact"/>
              <w:jc w:val="left"/>
              <w:rPr>
                <w:rFonts w:ascii="仿宋" w:hAnsi="仿宋" w:eastAsia="仿宋" w:cs="仿宋"/>
                <w:color w:val="070000"/>
                <w:szCs w:val="21"/>
                <w:u w:color="070000"/>
              </w:rPr>
            </w:pPr>
            <w:r>
              <w:rPr>
                <w:rFonts w:hint="eastAsia" w:ascii="仿宋" w:hAnsi="仿宋" w:eastAsia="仿宋" w:cs="仿宋"/>
                <w:color w:val="070000"/>
                <w:sz w:val="21"/>
                <w:szCs w:val="21"/>
                <w:u w:color="070000"/>
              </w:rPr>
              <w:t>适配不小于1匹一级能效节能空调。</w:t>
            </w:r>
          </w:p>
        </w:tc>
      </w:tr>
      <w:tr w14:paraId="5DA5B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0D14FE8">
            <w:pPr>
              <w:spacing w:line="360" w:lineRule="exact"/>
              <w:jc w:val="center"/>
              <w:rPr>
                <w:rFonts w:ascii="仿宋" w:hAnsi="仿宋" w:eastAsia="仿宋" w:cs="仿宋"/>
                <w:sz w:val="21"/>
                <w:szCs w:val="21"/>
              </w:rPr>
            </w:pPr>
            <w:r>
              <w:rPr>
                <w:rFonts w:hint="eastAsia" w:ascii="仿宋" w:hAnsi="仿宋" w:eastAsia="仿宋" w:cs="仿宋"/>
                <w:sz w:val="21"/>
                <w:szCs w:val="21"/>
              </w:rPr>
              <w:t>30</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D445360">
            <w:pPr>
              <w:spacing w:line="360" w:lineRule="exact"/>
              <w:jc w:val="center"/>
              <w:rPr>
                <w:rFonts w:ascii="仿宋" w:hAnsi="仿宋" w:eastAsia="仿宋" w:cs="仿宋"/>
                <w:szCs w:val="21"/>
                <w:u w:color="070000"/>
              </w:rPr>
            </w:pPr>
            <w:r>
              <w:rPr>
                <w:rFonts w:hint="eastAsia" w:ascii="仿宋" w:hAnsi="仿宋" w:eastAsia="仿宋" w:cs="仿宋"/>
                <w:sz w:val="21"/>
                <w:szCs w:val="21"/>
                <w:u w:color="070000"/>
              </w:rPr>
              <w:t>超洁净过滤装置</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365C1B5">
            <w:pPr>
              <w:spacing w:line="360" w:lineRule="exact"/>
              <w:jc w:val="center"/>
              <w:rPr>
                <w:rFonts w:ascii="仿宋" w:hAnsi="仿宋" w:eastAsia="仿宋" w:cs="仿宋"/>
                <w:color w:val="070000"/>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2D3E4C8">
            <w:pPr>
              <w:spacing w:line="360" w:lineRule="exact"/>
              <w:jc w:val="left"/>
              <w:rPr>
                <w:rFonts w:ascii="仿宋" w:hAnsi="仿宋" w:eastAsia="仿宋" w:cs="仿宋"/>
                <w:color w:val="070000"/>
                <w:szCs w:val="21"/>
                <w:u w:color="070000"/>
              </w:rPr>
            </w:pPr>
            <w:r>
              <w:rPr>
                <w:rFonts w:hint="eastAsia" w:ascii="仿宋" w:hAnsi="仿宋" w:eastAsia="仿宋" w:cs="仿宋"/>
                <w:color w:val="070000"/>
                <w:sz w:val="21"/>
                <w:szCs w:val="21"/>
                <w:u w:color="070000"/>
              </w:rPr>
              <w:t>对进入激光头的气体进行再次过滤净化，消除气路中残留的水、油污、粉尘、因电磁阀频繁开启产生的粉尘等等，保证气体洁净度，提升切割质量，降低镜片的更换频率，延长激光头及准直聚焦镜组使用寿命，降低维护成本。</w:t>
            </w:r>
          </w:p>
        </w:tc>
      </w:tr>
      <w:tr w14:paraId="09506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95D2A0F">
            <w:pPr>
              <w:spacing w:line="360" w:lineRule="exact"/>
              <w:jc w:val="center"/>
              <w:rPr>
                <w:rFonts w:ascii="仿宋" w:hAnsi="仿宋" w:eastAsia="仿宋" w:cs="仿宋"/>
                <w:sz w:val="21"/>
                <w:szCs w:val="21"/>
              </w:rPr>
            </w:pPr>
            <w:r>
              <w:rPr>
                <w:rFonts w:hint="eastAsia" w:ascii="仿宋" w:hAnsi="仿宋" w:eastAsia="仿宋" w:cs="仿宋"/>
                <w:sz w:val="21"/>
                <w:szCs w:val="21"/>
              </w:rPr>
              <w:t>31</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322FDBF">
            <w:pPr>
              <w:spacing w:line="360" w:lineRule="exact"/>
              <w:jc w:val="center"/>
              <w:rPr>
                <w:rFonts w:ascii="仿宋" w:hAnsi="仿宋" w:eastAsia="仿宋" w:cs="仿宋"/>
                <w:szCs w:val="21"/>
                <w:u w:color="070000"/>
              </w:rPr>
            </w:pPr>
            <w:r>
              <w:rPr>
                <w:rFonts w:hint="eastAsia" w:ascii="仿宋" w:hAnsi="仿宋" w:eastAsia="仿宋" w:cs="仿宋"/>
                <w:sz w:val="21"/>
                <w:szCs w:val="21"/>
                <w:u w:color="070000"/>
              </w:rPr>
              <w:t>余料排版功能</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1874862">
            <w:pPr>
              <w:spacing w:line="360" w:lineRule="exact"/>
              <w:jc w:val="center"/>
              <w:rPr>
                <w:rFonts w:ascii="仿宋" w:hAnsi="仿宋" w:eastAsia="仿宋" w:cs="仿宋"/>
                <w:color w:val="070000"/>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4C1C5EE">
            <w:pPr>
              <w:spacing w:line="360" w:lineRule="exact"/>
              <w:jc w:val="left"/>
              <w:rPr>
                <w:rFonts w:ascii="仿宋" w:hAnsi="仿宋" w:eastAsia="仿宋" w:cs="仿宋"/>
                <w:color w:val="070000"/>
                <w:szCs w:val="21"/>
                <w:u w:color="070000"/>
              </w:rPr>
            </w:pPr>
            <w:r>
              <w:rPr>
                <w:rFonts w:hint="eastAsia" w:ascii="仿宋" w:hAnsi="仿宋" w:eastAsia="仿宋" w:cs="仿宋"/>
                <w:color w:val="070000"/>
                <w:sz w:val="21"/>
                <w:szCs w:val="21"/>
                <w:u w:color="070000"/>
              </w:rPr>
              <w:t>通过手机即可将图形输出至操作系统，无需过多测量，通过简单参照即可自动识别自动矫正，处理完成即可实现自动套料，借助基础模式和专业模式可以应对更复杂的生产环境。</w:t>
            </w:r>
          </w:p>
        </w:tc>
      </w:tr>
      <w:tr w14:paraId="045EC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874835F">
            <w:pPr>
              <w:spacing w:line="360" w:lineRule="exact"/>
              <w:jc w:val="center"/>
              <w:rPr>
                <w:rFonts w:ascii="仿宋" w:hAnsi="仿宋" w:eastAsia="仿宋" w:cs="仿宋"/>
                <w:sz w:val="21"/>
                <w:szCs w:val="21"/>
              </w:rPr>
            </w:pPr>
            <w:r>
              <w:rPr>
                <w:rFonts w:hint="eastAsia" w:ascii="仿宋" w:hAnsi="仿宋" w:eastAsia="仿宋" w:cs="仿宋"/>
                <w:sz w:val="21"/>
                <w:szCs w:val="21"/>
              </w:rPr>
              <w:t>32</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C91F4B9">
            <w:pPr>
              <w:spacing w:line="360" w:lineRule="exact"/>
              <w:jc w:val="center"/>
              <w:rPr>
                <w:rFonts w:ascii="仿宋" w:hAnsi="仿宋" w:eastAsia="仿宋" w:cs="仿宋"/>
                <w:szCs w:val="21"/>
                <w:u w:color="070000"/>
              </w:rPr>
            </w:pPr>
            <w:r>
              <w:rPr>
                <w:rFonts w:hint="eastAsia" w:ascii="仿宋" w:hAnsi="仿宋" w:eastAsia="仿宋" w:cs="仿宋"/>
                <w:sz w:val="21"/>
                <w:szCs w:val="21"/>
                <w:u w:color="070000"/>
              </w:rPr>
              <w:t>切割参数智能引导</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2AB464F">
            <w:pPr>
              <w:spacing w:line="360" w:lineRule="exact"/>
              <w:jc w:val="center"/>
              <w:rPr>
                <w:rFonts w:ascii="仿宋" w:hAnsi="仿宋" w:eastAsia="仿宋" w:cs="仿宋"/>
                <w:color w:val="070000"/>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9A9BD9C">
            <w:pPr>
              <w:spacing w:line="360" w:lineRule="exact"/>
              <w:jc w:val="left"/>
              <w:rPr>
                <w:rFonts w:ascii="仿宋" w:hAnsi="仿宋" w:eastAsia="仿宋" w:cs="仿宋"/>
                <w:color w:val="070000"/>
                <w:szCs w:val="21"/>
                <w:u w:color="070000"/>
              </w:rPr>
            </w:pPr>
            <w:r>
              <w:rPr>
                <w:rFonts w:hint="eastAsia" w:ascii="仿宋" w:hAnsi="仿宋" w:eastAsia="仿宋" w:cs="仿宋"/>
                <w:color w:val="070000"/>
                <w:sz w:val="21"/>
                <w:szCs w:val="21"/>
                <w:u w:color="070000"/>
              </w:rPr>
              <w:t>用户仅需要通过对比样件图片与系统提供图片进行对比后进行选，系统自动更改切割工艺参数，从而实现自动调整切割工艺，达到提高切割品质的效果。进而保存切割效果最好的切割参数，以便下次调用。</w:t>
            </w:r>
          </w:p>
        </w:tc>
      </w:tr>
      <w:tr w14:paraId="0A785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3D8E7F4">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33</w:t>
            </w:r>
          </w:p>
        </w:tc>
        <w:tc>
          <w:tcPr>
            <w:tcW w:w="284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9BBD462">
            <w:pPr>
              <w:spacing w:line="360" w:lineRule="exact"/>
              <w:jc w:val="center"/>
              <w:rPr>
                <w:rFonts w:hint="default" w:ascii="仿宋" w:hAnsi="仿宋" w:eastAsia="仿宋" w:cs="仿宋"/>
                <w:sz w:val="21"/>
                <w:szCs w:val="21"/>
                <w:u w:color="070000"/>
                <w:lang w:val="en-US" w:eastAsia="zh-CN"/>
              </w:rPr>
            </w:pPr>
            <w:r>
              <w:rPr>
                <w:rFonts w:hint="eastAsia" w:ascii="仿宋" w:hAnsi="仿宋" w:eastAsia="仿宋" w:cs="仿宋"/>
                <w:sz w:val="21"/>
                <w:szCs w:val="21"/>
                <w:u w:color="070000"/>
                <w:lang w:val="en-US" w:eastAsia="zh-CN"/>
              </w:rPr>
              <w:t>备用激光切割头</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91E18AC">
            <w:pPr>
              <w:spacing w:line="360" w:lineRule="exact"/>
              <w:jc w:val="center"/>
              <w:rPr>
                <w:rFonts w:hint="eastAsia" w:ascii="仿宋" w:hAnsi="仿宋" w:eastAsia="仿宋" w:cs="仿宋"/>
                <w:color w:val="070000"/>
                <w:sz w:val="21"/>
                <w:szCs w:val="21"/>
                <w:u w:color="070000"/>
              </w:rPr>
            </w:pPr>
            <w:r>
              <w:rPr>
                <w:rFonts w:hint="eastAsia" w:ascii="仿宋" w:hAnsi="仿宋" w:eastAsia="仿宋" w:cs="仿宋"/>
                <w:color w:val="070000"/>
                <w:sz w:val="21"/>
                <w:szCs w:val="21"/>
                <w:u w:color="070000"/>
              </w:rPr>
              <w:t>标配</w:t>
            </w:r>
          </w:p>
        </w:tc>
        <w:tc>
          <w:tcPr>
            <w:tcW w:w="45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3E70399">
            <w:pPr>
              <w:spacing w:line="360" w:lineRule="exact"/>
              <w:jc w:val="left"/>
              <w:rPr>
                <w:rFonts w:hint="default" w:ascii="仿宋" w:hAnsi="仿宋" w:eastAsia="仿宋" w:cs="仿宋"/>
                <w:color w:val="070000"/>
                <w:sz w:val="21"/>
                <w:szCs w:val="21"/>
                <w:u w:color="070000"/>
                <w:lang w:val="en-US" w:eastAsia="zh-CN"/>
              </w:rPr>
            </w:pPr>
            <w:r>
              <w:rPr>
                <w:rFonts w:hint="eastAsia" w:ascii="仿宋" w:hAnsi="仿宋" w:eastAsia="仿宋" w:cs="仿宋"/>
                <w:color w:val="070000"/>
                <w:sz w:val="21"/>
                <w:szCs w:val="21"/>
                <w:u w:color="070000"/>
                <w:lang w:val="en-US" w:eastAsia="zh-CN"/>
              </w:rPr>
              <w:t>承诺5年内免费提供备用激光切割头，即激光切割头发生故障后，12小时内提供备用激光切割后恢复生产</w:t>
            </w:r>
          </w:p>
        </w:tc>
      </w:tr>
    </w:tbl>
    <w:p w14:paraId="04D552C0">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4.1.5</w:t>
      </w:r>
      <w:r>
        <w:rPr>
          <w:rFonts w:hint="eastAsia" w:ascii="仿宋" w:hAnsi="仿宋" w:eastAsia="仿宋" w:cs="仿宋"/>
          <w:b/>
          <w:bCs/>
          <w:sz w:val="24"/>
          <w:szCs w:val="24"/>
        </w:rPr>
        <w:t>、主要结构性能与功能要求</w:t>
      </w:r>
    </w:p>
    <w:p w14:paraId="6C868FCB">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1该设备要求采用全飞行光路，大平台床身，切割区域必须具备维修通道。</w:t>
      </w:r>
    </w:p>
    <w:p w14:paraId="776A06B4">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2该设备切割桥应采用高动态高刚性高稳定性的龙门结构，确保高速运动的精度保持性。。</w:t>
      </w:r>
    </w:p>
    <w:p w14:paraId="37A73CE0">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3该设备应具有高动态伺服驱动系统。供方应提供切割各种不锈钢板碳钢板厚的穿孔时间和加工速度。</w:t>
      </w:r>
    </w:p>
    <w:p w14:paraId="3F8DFE88">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4该设备需配备知名品牌光纤或碟片固体类激光器，激光功率20000瓦，如激光发生器与机床不是同一制造商，应单独标明激光器售后服务方式质保期。</w:t>
      </w:r>
    </w:p>
    <w:p w14:paraId="1B12B42D">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5该设备采用知名进口激光切割头，以适合不同板厚的切割。激光切割头具有非接触式高度自动跟踪系统，具备切割头防碰撞保护功能。若发生因主动避障功能失效导致的激光切割头等设备部件碰撞损坏，由供方负责及时免费修复。</w:t>
      </w:r>
    </w:p>
    <w:p w14:paraId="51FC1F05">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6该设备应具备独立的冷却系统。冷却系统应采用性能可靠的国际或国内知名品牌产品，保证激光发生器正常工作，并应配备防冻装置，防止低温环境下发生冻结而损坏设备。</w:t>
      </w:r>
    </w:p>
    <w:p w14:paraId="1FA702F9">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7该设备应有可靠的安全防护装置，如自锁、红外或光幕保护装置，防止设备发生碰撞，造成人员及设备损伤。且具备有效的激光辐射防护装备。整套设备安全防护应符合GB/T 18490.1-2017激光加工设备的安全要求和GB 724</w:t>
      </w:r>
      <w:r>
        <w:rPr>
          <w:rFonts w:hint="eastAsia" w:ascii="仿宋" w:hAnsi="仿宋" w:eastAsia="仿宋" w:cs="仿宋"/>
          <w:sz w:val="24"/>
          <w:szCs w:val="24"/>
          <w:lang w:eastAsia="zh-CN"/>
        </w:rPr>
        <w:t>4.1.5.</w:t>
      </w:r>
      <w:r>
        <w:rPr>
          <w:rFonts w:hint="eastAsia" w:ascii="仿宋" w:hAnsi="仿宋" w:eastAsia="仿宋" w:cs="仿宋"/>
          <w:sz w:val="24"/>
          <w:szCs w:val="24"/>
        </w:rPr>
        <w:t>1-2012激光产品的安全第1部分设备分类、要求。</w:t>
      </w:r>
    </w:p>
    <w:p w14:paraId="0EDB899E">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8该设备应具有自动巡边功能，保障上料无需繁琐手动定位。</w:t>
      </w:r>
    </w:p>
    <w:p w14:paraId="314F4122">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9该设备应具备焦点位置自动调整功能，根据切割不同的板材机床自动调整焦点位置。</w:t>
      </w:r>
    </w:p>
    <w:p w14:paraId="0D682824">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10该设备应具备焦点位置自动调整功能，根据切割不同的板材机床自动调整焦点位置。</w:t>
      </w:r>
    </w:p>
    <w:p w14:paraId="2611BB7B">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11该设备应具备氮气、氧气和压缩空气辅助切割功能，三种切割气体可自动切换调用。</w:t>
      </w:r>
    </w:p>
    <w:p w14:paraId="7CED6F85">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12该设备应具有飞行打孔功能，提高薄板加工效率。</w:t>
      </w:r>
    </w:p>
    <w:p w14:paraId="229B6DE8">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13该设备具有微焊及微连接（纳米微连）功能，保证机床切割件无需辅助编程而且薄、厚板零件均不上翘。</w:t>
      </w:r>
    </w:p>
    <w:p w14:paraId="13E1D92C">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14应具备激光刻印编号功能，在指定位置根据规则要求刻印字母、数字及符号等。</w:t>
      </w:r>
    </w:p>
    <w:p w14:paraId="44819D59">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15该设备应配备完整编程软件并兼容兰特套料软件，编程软件应具有下列功能：</w:t>
      </w:r>
    </w:p>
    <w:p w14:paraId="799AAF3B">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rPr>
        <w:tab/>
      </w:r>
      <w:r>
        <w:rPr>
          <w:rFonts w:hint="eastAsia" w:ascii="仿宋" w:hAnsi="仿宋" w:eastAsia="仿宋" w:cs="仿宋"/>
          <w:sz w:val="24"/>
          <w:szCs w:val="24"/>
        </w:rPr>
        <w:t>实现离线编程，并使用统一软件</w:t>
      </w:r>
    </w:p>
    <w:p w14:paraId="386107B7">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rPr>
        <w:tab/>
      </w:r>
      <w:r>
        <w:rPr>
          <w:rFonts w:hint="eastAsia" w:ascii="仿宋" w:hAnsi="仿宋" w:eastAsia="仿宋" w:cs="仿宋"/>
          <w:sz w:val="24"/>
          <w:szCs w:val="24"/>
        </w:rPr>
        <w:t>自动识别</w:t>
      </w:r>
      <w:r>
        <w:rPr>
          <w:rFonts w:ascii="仿宋" w:hAnsi="仿宋" w:eastAsia="仿宋" w:cs="仿宋"/>
          <w:sz w:val="24"/>
          <w:szCs w:val="24"/>
        </w:rPr>
        <w:t>CAD</w:t>
      </w:r>
      <w:r>
        <w:rPr>
          <w:rFonts w:hint="eastAsia" w:ascii="仿宋" w:hAnsi="仿宋" w:eastAsia="仿宋" w:cs="仿宋"/>
          <w:sz w:val="24"/>
          <w:szCs w:val="24"/>
        </w:rPr>
        <w:t>文件（</w:t>
      </w:r>
      <w:r>
        <w:rPr>
          <w:rFonts w:ascii="仿宋" w:hAnsi="仿宋" w:eastAsia="仿宋" w:cs="仿宋"/>
          <w:sz w:val="24"/>
          <w:szCs w:val="24"/>
        </w:rPr>
        <w:t>DXF,DWG</w:t>
      </w:r>
      <w:r>
        <w:rPr>
          <w:rFonts w:hint="eastAsia" w:ascii="仿宋" w:hAnsi="仿宋" w:eastAsia="仿宋" w:cs="仿宋"/>
          <w:sz w:val="24"/>
          <w:szCs w:val="24"/>
        </w:rPr>
        <w:t>，</w:t>
      </w:r>
      <w:r>
        <w:rPr>
          <w:rFonts w:ascii="仿宋" w:hAnsi="仿宋" w:eastAsia="仿宋" w:cs="仿宋"/>
          <w:sz w:val="24"/>
          <w:szCs w:val="24"/>
        </w:rPr>
        <w:t>G</w:t>
      </w:r>
      <w:r>
        <w:rPr>
          <w:rFonts w:hint="eastAsia" w:ascii="仿宋" w:hAnsi="仿宋" w:eastAsia="仿宋" w:cs="仿宋"/>
          <w:sz w:val="24"/>
          <w:szCs w:val="24"/>
        </w:rPr>
        <w:t>代码，</w:t>
      </w:r>
      <w:r>
        <w:rPr>
          <w:rFonts w:ascii="仿宋" w:hAnsi="仿宋" w:eastAsia="仿宋" w:cs="仿宋"/>
          <w:sz w:val="24"/>
          <w:szCs w:val="24"/>
        </w:rPr>
        <w:t>PLT,TXT</w:t>
      </w:r>
      <w:r>
        <w:rPr>
          <w:rFonts w:hint="eastAsia" w:ascii="仿宋" w:hAnsi="仿宋" w:eastAsia="仿宋" w:cs="仿宋"/>
          <w:sz w:val="24"/>
          <w:szCs w:val="24"/>
        </w:rPr>
        <w:t>等）</w:t>
      </w:r>
    </w:p>
    <w:p w14:paraId="1A401038">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rPr>
        <w:tab/>
      </w:r>
      <w:r>
        <w:rPr>
          <w:rFonts w:hint="eastAsia" w:ascii="仿宋" w:hAnsi="仿宋" w:eastAsia="仿宋" w:cs="仿宋"/>
          <w:sz w:val="24"/>
          <w:szCs w:val="24"/>
        </w:rPr>
        <w:t>快速转换及文件处理</w:t>
      </w:r>
    </w:p>
    <w:p w14:paraId="216BAF2F">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rPr>
        <w:tab/>
      </w:r>
      <w:r>
        <w:rPr>
          <w:rFonts w:hint="eastAsia" w:ascii="仿宋" w:hAnsi="仿宋" w:eastAsia="仿宋" w:cs="仿宋"/>
          <w:sz w:val="24"/>
          <w:szCs w:val="24"/>
        </w:rPr>
        <w:t>模拟切割显示及时间计算</w:t>
      </w:r>
    </w:p>
    <w:p w14:paraId="2CE38E4C">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rPr>
        <w:tab/>
      </w:r>
      <w:r>
        <w:rPr>
          <w:rFonts w:hint="eastAsia" w:ascii="仿宋" w:hAnsi="仿宋" w:eastAsia="仿宋" w:cs="仿宋"/>
          <w:sz w:val="24"/>
          <w:szCs w:val="24"/>
        </w:rPr>
        <w:t>切割实际情况在显示器上动态显示</w:t>
      </w:r>
    </w:p>
    <w:p w14:paraId="319BEDC1">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rPr>
        <w:tab/>
      </w:r>
      <w:r>
        <w:rPr>
          <w:rFonts w:hint="eastAsia" w:ascii="仿宋" w:hAnsi="仿宋" w:eastAsia="仿宋" w:cs="仿宋"/>
          <w:sz w:val="24"/>
          <w:szCs w:val="24"/>
        </w:rPr>
        <w:t>共边切割</w:t>
      </w:r>
    </w:p>
    <w:p w14:paraId="468A45B6">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rPr>
        <w:tab/>
      </w:r>
      <w:r>
        <w:rPr>
          <w:rFonts w:hint="eastAsia" w:ascii="仿宋" w:hAnsi="仿宋" w:eastAsia="仿宋" w:cs="仿宋"/>
          <w:sz w:val="24"/>
          <w:szCs w:val="24"/>
        </w:rPr>
        <w:t>尖角自动处理</w:t>
      </w:r>
    </w:p>
    <w:p w14:paraId="22917BCF">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16整套系统的使用及编程软件的使用均应有卖方的完整授权许可，需提供完整的软件及程序使用权限，不允许含有远程密码锁死功能，不存在知识产权争议。</w:t>
      </w:r>
    </w:p>
    <w:p w14:paraId="54EAE33C">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17该设备应是使用性能优良的产品，在国内外有良好的信誉和声誉，在中国特别是山东境内有成功应用同类设备的范例，并出具该设备的国内及山东用户清单。</w:t>
      </w:r>
    </w:p>
    <w:p w14:paraId="7ABD6AB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4.1.5.</w:t>
      </w:r>
      <w:r>
        <w:rPr>
          <w:rFonts w:hint="eastAsia" w:ascii="仿宋" w:hAnsi="仿宋" w:eastAsia="仿宋" w:cs="仿宋"/>
          <w:sz w:val="24"/>
          <w:szCs w:val="24"/>
        </w:rPr>
        <w:t>18整套设备应配备完整的软件控制系统，能够采集设备的运行状态、运行参数，并管理NC程序及版本控制并上传到上游系统。</w:t>
      </w:r>
    </w:p>
    <w:p w14:paraId="5391387E">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4.1.5.</w:t>
      </w:r>
      <w:r>
        <w:rPr>
          <w:rFonts w:hint="eastAsia" w:ascii="仿宋" w:hAnsi="仿宋" w:eastAsia="仿宋" w:cs="仿宋"/>
          <w:color w:val="auto"/>
          <w:sz w:val="24"/>
          <w:szCs w:val="24"/>
        </w:rPr>
        <w:t>19 设备中的空压机、冷干机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储气罐</w:t>
      </w:r>
      <w:r>
        <w:rPr>
          <w:rFonts w:hint="eastAsia" w:ascii="仿宋" w:hAnsi="仿宋" w:eastAsia="仿宋" w:cs="仿宋"/>
          <w:color w:val="auto"/>
          <w:sz w:val="24"/>
          <w:szCs w:val="24"/>
        </w:rPr>
        <w:t>等供气设施，</w:t>
      </w:r>
      <w:r>
        <w:rPr>
          <w:rFonts w:hint="eastAsia" w:ascii="仿宋" w:hAnsi="仿宋" w:eastAsia="仿宋" w:cs="仿宋"/>
          <w:color w:val="auto"/>
          <w:sz w:val="24"/>
          <w:szCs w:val="24"/>
          <w:lang w:val="en-US" w:eastAsia="zh-CN"/>
        </w:rPr>
        <w:t>需已通过市场管理部门及安全部门注册，并提供首检报告及安全阀等附件检验报告，包含空压机、冷干机质保期内免费维护保养。</w:t>
      </w:r>
    </w:p>
    <w:p w14:paraId="24259D80">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4.1.6</w:t>
      </w:r>
      <w:r>
        <w:rPr>
          <w:rFonts w:hint="eastAsia" w:ascii="仿宋" w:hAnsi="仿宋" w:eastAsia="仿宋" w:cs="仿宋"/>
          <w:b/>
          <w:bCs/>
          <w:sz w:val="24"/>
          <w:szCs w:val="24"/>
        </w:rPr>
        <w:t>电气及控制系统要求</w:t>
      </w:r>
    </w:p>
    <w:p w14:paraId="689EC5B9">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4.1.6.</w:t>
      </w:r>
      <w:r>
        <w:rPr>
          <w:rFonts w:hint="eastAsia" w:ascii="仿宋" w:hAnsi="仿宋" w:eastAsia="仿宋" w:cs="仿宋"/>
          <w:sz w:val="24"/>
          <w:szCs w:val="24"/>
        </w:rPr>
        <w:t>1采用高速稳定的高端世界知名的工业数控系统。</w:t>
      </w:r>
    </w:p>
    <w:p w14:paraId="40BDE429">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4.1.6.</w:t>
      </w:r>
      <w:r>
        <w:rPr>
          <w:rFonts w:hint="eastAsia" w:ascii="仿宋" w:hAnsi="仿宋" w:eastAsia="仿宋" w:cs="仿宋"/>
          <w:sz w:val="24"/>
          <w:szCs w:val="24"/>
        </w:rPr>
        <w:t>2≥21″的彩显液晶显示屏。控制系统应有USB3.0及以上数据接口和RJ45接口。对CNC控制柜安装工业级空气温度调节器。</w:t>
      </w:r>
    </w:p>
    <w:p w14:paraId="14CF564E">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4.1.6.</w:t>
      </w:r>
      <w:r>
        <w:rPr>
          <w:rFonts w:hint="eastAsia" w:ascii="仿宋" w:hAnsi="仿宋" w:eastAsia="仿宋" w:cs="仿宋"/>
          <w:sz w:val="24"/>
          <w:szCs w:val="24"/>
        </w:rPr>
        <w:t>3CNC控制系统应当性能稳定，满足激光切割各动作的要求，抗干扰性强，数控系统配置断电保护。必须具备以下功能且后期使用中各种软件免费升级：</w:t>
      </w:r>
    </w:p>
    <w:p w14:paraId="7467B385">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（1）Windows平台，中文（英文）界面；</w:t>
      </w:r>
    </w:p>
    <w:p w14:paraId="39E97428">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（2）直线插补、圆弧插补和割缝补偿；</w:t>
      </w:r>
    </w:p>
    <w:p w14:paraId="05237B93">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（3）至少应具备从下一工件继续、从下一穿透继续、在中止处继续、在中止前继续、从上一穿透继续、根据工件号继续、继续 n 个穿透点返回、用轮廓搜寻继续等重启功能，保证激光切割机复位切割；</w:t>
      </w:r>
    </w:p>
    <w:p w14:paraId="711CD556">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（4）可自动由DXF,DWG图形文件快速转换成NC程序；</w:t>
      </w:r>
    </w:p>
    <w:p w14:paraId="42481812">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（5）人机对话方便；</w:t>
      </w:r>
    </w:p>
    <w:p w14:paraId="566AA70A">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（6）提供丰富的、开放式激光工艺数据库；</w:t>
      </w:r>
    </w:p>
    <w:p w14:paraId="28422F89">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（7）加工过程中可修正切割参数；</w:t>
      </w:r>
    </w:p>
    <w:p w14:paraId="47FA6D6A">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（8）具有故障自诊断、记录、显示及报警等功能；</w:t>
      </w:r>
    </w:p>
    <w:p w14:paraId="1AABAD3C">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（9）切割速度和激光功率的同步控制（动态激光功率控制），改善尖角和小曲率半径处的切割质量。不需要在尖角处采用路径循环和任何辅助编程；</w:t>
      </w:r>
    </w:p>
    <w:p w14:paraId="4CD8C44F">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（10）机床应具备节能模式，降低运行成本；</w:t>
      </w:r>
    </w:p>
    <w:p w14:paraId="16F8DA81">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（11）该设备应具备精密激光定圆心功能，定位精度在±1mm。</w:t>
      </w:r>
    </w:p>
    <w:p w14:paraId="77F287E1">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4.1.6.</w:t>
      </w:r>
      <w:r>
        <w:rPr>
          <w:rFonts w:hint="eastAsia" w:ascii="仿宋" w:hAnsi="仿宋" w:eastAsia="仿宋" w:cs="仿宋"/>
          <w:sz w:val="24"/>
          <w:szCs w:val="24"/>
        </w:rPr>
        <w:t>4机床各部（如操作、控制机构）应设有短路、断路及漏电保护装置，停电或意外停机时的机床保护装置。具有完善可靠的安全保护和故障报警等功能，以防止意外事故对人员和设备造成的损坏，所有电器装置均应具有安全可靠的接地装置。</w:t>
      </w:r>
    </w:p>
    <w:p w14:paraId="5669AAC3">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4.1.6.</w:t>
      </w:r>
      <w:r>
        <w:rPr>
          <w:rFonts w:hint="eastAsia" w:ascii="仿宋" w:hAnsi="仿宋" w:eastAsia="仿宋" w:cs="仿宋"/>
          <w:sz w:val="24"/>
          <w:szCs w:val="24"/>
        </w:rPr>
        <w:t>5电控柜应采取可靠的防尘密封，并保证有良好的散热效果，所有电器线路应标注线号。优选品牌控制柜。</w:t>
      </w:r>
    </w:p>
    <w:p w14:paraId="42497837">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4.1.6.</w:t>
      </w:r>
      <w:r>
        <w:rPr>
          <w:rFonts w:hint="eastAsia" w:ascii="仿宋" w:hAnsi="仿宋" w:eastAsia="仿宋" w:cs="仿宋"/>
          <w:sz w:val="24"/>
          <w:szCs w:val="24"/>
        </w:rPr>
        <w:t>6系统应具有断电保存功能，在系统恢复供电后，能按照断电前的状态继续工作。</w:t>
      </w:r>
    </w:p>
    <w:p w14:paraId="731FC5C6">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4.1.6.</w:t>
      </w:r>
      <w:r>
        <w:rPr>
          <w:rFonts w:hint="eastAsia" w:ascii="仿宋" w:hAnsi="仿宋" w:eastAsia="仿宋" w:cs="仿宋"/>
          <w:sz w:val="24"/>
          <w:szCs w:val="24"/>
        </w:rPr>
        <w:t>7具有各种异常状态自行诊断功能，且所有异常能自动显示。包括限位，开关，过流，油温过高（低），控制异常，急停等故障的自行诊断、显示和报警，必要时能自动停机。</w:t>
      </w:r>
    </w:p>
    <w:p w14:paraId="68249843">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4.1.6.</w:t>
      </w:r>
      <w:r>
        <w:rPr>
          <w:rFonts w:hint="eastAsia" w:ascii="仿宋" w:hAnsi="仿宋" w:eastAsia="仿宋" w:cs="仿宋"/>
          <w:sz w:val="24"/>
          <w:szCs w:val="24"/>
        </w:rPr>
        <w:t>8所有的部件应有代码标志，联接线有号码标出，并在电器图中标明。</w:t>
      </w:r>
    </w:p>
    <w:p w14:paraId="66DC7ABF">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4.1.6.</w:t>
      </w:r>
      <w:r>
        <w:rPr>
          <w:rFonts w:hint="eastAsia" w:ascii="仿宋" w:hAnsi="仿宋" w:eastAsia="仿宋" w:cs="仿宋"/>
          <w:sz w:val="24"/>
          <w:szCs w:val="24"/>
        </w:rPr>
        <w:t>9系统具有掉电、欠压、互锁等保护功能；电机具有过载保护功能。</w:t>
      </w:r>
    </w:p>
    <w:p w14:paraId="0306E710">
      <w:pPr>
        <w:spacing w:line="500" w:lineRule="exact"/>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4.1.7</w:t>
      </w:r>
      <w:r>
        <w:rPr>
          <w:rFonts w:hint="eastAsia" w:ascii="仿宋" w:hAnsi="仿宋" w:eastAsia="仿宋" w:cs="仿宋"/>
          <w:b/>
          <w:bCs/>
          <w:color w:val="auto"/>
          <w:sz w:val="24"/>
          <w:szCs w:val="24"/>
        </w:rPr>
        <w:t>其他要求</w:t>
      </w:r>
    </w:p>
    <w:p w14:paraId="3427A4E8">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4.1.7.</w:t>
      </w:r>
      <w:r>
        <w:rPr>
          <w:rFonts w:hint="eastAsia" w:ascii="仿宋" w:hAnsi="仿宋" w:eastAsia="仿宋" w:cs="仿宋"/>
          <w:sz w:val="24"/>
          <w:szCs w:val="24"/>
        </w:rPr>
        <w:t>1供方提供设备整体设计需具备防尘、防水、防辐射措施。</w:t>
      </w:r>
    </w:p>
    <w:p w14:paraId="6F16CB3C">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4.1.7.</w:t>
      </w:r>
      <w:r>
        <w:rPr>
          <w:rFonts w:hint="eastAsia" w:ascii="仿宋" w:hAnsi="仿宋" w:eastAsia="仿宋" w:cs="仿宋"/>
          <w:sz w:val="24"/>
          <w:szCs w:val="24"/>
        </w:rPr>
        <w:t>2报价阶段需提供设备基础图。</w:t>
      </w:r>
    </w:p>
    <w:p w14:paraId="3BB1FC32">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4.1.7.</w:t>
      </w:r>
      <w:r>
        <w:rPr>
          <w:rFonts w:hint="eastAsia" w:ascii="仿宋" w:hAnsi="仿宋" w:eastAsia="仿宋" w:cs="仿宋"/>
          <w:sz w:val="24"/>
          <w:szCs w:val="24"/>
        </w:rPr>
        <w:t>3激光切割机为国内外知名品牌。供方需提供同机型的业绩清单，对需方到供方厂家或同机型用户考察调研提供便利条件。</w:t>
      </w:r>
    </w:p>
    <w:p w14:paraId="4AFEFA2A">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4.1.7.</w:t>
      </w:r>
      <w:r>
        <w:rPr>
          <w:rFonts w:hint="eastAsia" w:ascii="仿宋" w:hAnsi="仿宋" w:eastAsia="仿宋" w:cs="仿宋"/>
          <w:sz w:val="24"/>
          <w:szCs w:val="24"/>
        </w:rPr>
        <w:t>4如果设备床身及横梁有其他材质制成，或优于目前制造工艺，需要详细阐明优缺点。</w:t>
      </w:r>
    </w:p>
    <w:p w14:paraId="587F52E7">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4.1.7.</w:t>
      </w:r>
      <w:r>
        <w:rPr>
          <w:rFonts w:hint="eastAsia" w:ascii="仿宋" w:hAnsi="仿宋" w:eastAsia="仿宋" w:cs="仿宋"/>
          <w:sz w:val="24"/>
          <w:szCs w:val="24"/>
        </w:rPr>
        <w:t>5供方需在使用地设置备件库，保证维修零配件的及时供应，并保证设备安装地点50公里内有3人以上的售后服务团队进行售后服务。</w:t>
      </w:r>
    </w:p>
    <w:p w14:paraId="65863090">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4.1.7.</w:t>
      </w:r>
      <w:r>
        <w:rPr>
          <w:rFonts w:hint="eastAsia" w:ascii="仿宋" w:hAnsi="仿宋" w:eastAsia="仿宋" w:cs="仿宋"/>
          <w:sz w:val="24"/>
          <w:szCs w:val="24"/>
        </w:rPr>
        <w:t>6激光切割机应具有多个USB接口和有线/无线两种网络连接接口，便于套料数据传输。</w:t>
      </w:r>
    </w:p>
    <w:p w14:paraId="1B584301">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4.1.7.</w:t>
      </w:r>
      <w:r>
        <w:rPr>
          <w:rFonts w:hint="eastAsia" w:ascii="仿宋" w:hAnsi="仿宋" w:eastAsia="仿宋" w:cs="仿宋"/>
          <w:sz w:val="24"/>
          <w:szCs w:val="24"/>
        </w:rPr>
        <w:t>7供方提供设备基础施工图及基础土建施工图纸。</w:t>
      </w:r>
    </w:p>
    <w:p w14:paraId="6DAB049A">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4.1.7.</w:t>
      </w:r>
      <w:r>
        <w:rPr>
          <w:rFonts w:hint="eastAsia" w:ascii="仿宋" w:hAnsi="仿宋" w:eastAsia="仿宋" w:cs="仿宋"/>
          <w:sz w:val="24"/>
          <w:szCs w:val="24"/>
        </w:rPr>
        <w:t>8在合同签定后7天内，供方向需方提供安装平面布置图（包括设备安装的地基和电、气用量及配置，连接接口等要求）。</w:t>
      </w:r>
    </w:p>
    <w:p w14:paraId="1ABCF02F">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4.1.7.</w:t>
      </w:r>
      <w:r>
        <w:rPr>
          <w:rFonts w:hint="eastAsia" w:ascii="仿宋" w:hAnsi="仿宋" w:eastAsia="仿宋" w:cs="仿宋"/>
          <w:sz w:val="24"/>
          <w:szCs w:val="24"/>
        </w:rPr>
        <w:t>9供方提供设备安装过程记录及照片。</w:t>
      </w:r>
    </w:p>
    <w:p w14:paraId="0ABBEE79">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4.1.7.</w:t>
      </w:r>
      <w:r>
        <w:rPr>
          <w:rFonts w:hint="eastAsia" w:ascii="仿宋" w:hAnsi="仿宋" w:eastAsia="仿宋" w:cs="仿宋"/>
          <w:sz w:val="24"/>
          <w:szCs w:val="24"/>
        </w:rPr>
        <w:t>10供方需对设备安装独立电计量装置。</w:t>
      </w:r>
    </w:p>
    <w:p w14:paraId="4BCB5390">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4.1.7.</w:t>
      </w:r>
      <w:r>
        <w:rPr>
          <w:rFonts w:hint="eastAsia" w:ascii="仿宋" w:hAnsi="仿宋" w:eastAsia="仿宋" w:cs="仿宋"/>
          <w:sz w:val="24"/>
          <w:szCs w:val="24"/>
        </w:rPr>
        <w:t>11明确说明主要部件质保期及设备整机质保期。</w:t>
      </w:r>
    </w:p>
    <w:p w14:paraId="2D419213">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4.1.8</w:t>
      </w:r>
      <w:r>
        <w:rPr>
          <w:rFonts w:hint="eastAsia" w:ascii="仿宋" w:hAnsi="仿宋" w:eastAsia="仿宋" w:cs="仿宋"/>
          <w:b/>
          <w:bCs/>
          <w:sz w:val="24"/>
          <w:szCs w:val="24"/>
        </w:rPr>
        <w:t>应提供的技术资料</w:t>
      </w:r>
    </w:p>
    <w:p w14:paraId="00A3C01A">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4.1.8.</w:t>
      </w:r>
      <w:r>
        <w:rPr>
          <w:rFonts w:hint="eastAsia" w:ascii="仿宋" w:hAnsi="仿宋" w:eastAsia="仿宋" w:cs="仿宋"/>
          <w:sz w:val="24"/>
          <w:szCs w:val="24"/>
        </w:rPr>
        <w:t>1提供设备调试方法及调试步骤的详细说明（机械、电气）。</w:t>
      </w:r>
    </w:p>
    <w:p w14:paraId="12218947">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4.1.8.</w:t>
      </w:r>
      <w:r>
        <w:rPr>
          <w:rFonts w:hint="eastAsia" w:ascii="仿宋" w:hAnsi="仿宋" w:eastAsia="仿宋" w:cs="仿宋"/>
          <w:sz w:val="24"/>
          <w:szCs w:val="24"/>
        </w:rPr>
        <w:t>2提供相关元件、配套设备明细表，标明详细参数、规格型号、品牌。</w:t>
      </w:r>
    </w:p>
    <w:p w14:paraId="65964CE1">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4.1.8.</w:t>
      </w:r>
      <w:r>
        <w:rPr>
          <w:rFonts w:hint="eastAsia" w:ascii="仿宋" w:hAnsi="仿宋" w:eastAsia="仿宋" w:cs="仿宋"/>
          <w:sz w:val="24"/>
          <w:szCs w:val="24"/>
        </w:rPr>
        <w:t>3提供设备使用说明书、保养手册、日常点检及润滑图表。</w:t>
      </w:r>
    </w:p>
    <w:p w14:paraId="06F72FF3">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4.1.8.</w:t>
      </w:r>
      <w:r>
        <w:rPr>
          <w:rFonts w:hint="eastAsia" w:ascii="仿宋" w:hAnsi="仿宋" w:eastAsia="仿宋" w:cs="仿宋"/>
          <w:sz w:val="24"/>
          <w:szCs w:val="24"/>
        </w:rPr>
        <w:t>4提供设备易损部位、易损件明细、易损件详细规格型号、易损件制造厂家等信息。</w:t>
      </w:r>
    </w:p>
    <w:p w14:paraId="1C7DA4EF">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4.1.9</w:t>
      </w:r>
      <w:r>
        <w:rPr>
          <w:rFonts w:hint="eastAsia" w:ascii="仿宋" w:hAnsi="仿宋" w:eastAsia="仿宋" w:cs="仿宋"/>
          <w:b/>
          <w:bCs/>
          <w:sz w:val="24"/>
          <w:szCs w:val="24"/>
        </w:rPr>
        <w:t>备品备件</w:t>
      </w:r>
    </w:p>
    <w:p w14:paraId="62F3B2E5">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4.1.9.</w:t>
      </w:r>
      <w:r>
        <w:rPr>
          <w:rFonts w:hint="eastAsia" w:ascii="仿宋" w:hAnsi="仿宋" w:eastAsia="仿宋" w:cs="仿宋"/>
          <w:sz w:val="24"/>
          <w:szCs w:val="24"/>
        </w:rPr>
        <w:t>1供方须提供正常使用的易损件和备品备件，并提供需方用于设备调试和生产所必备的其它附件。</w:t>
      </w:r>
    </w:p>
    <w:p w14:paraId="050CA2A2">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4.1.9.</w:t>
      </w:r>
      <w:r>
        <w:rPr>
          <w:rFonts w:hint="eastAsia" w:ascii="仿宋" w:hAnsi="仿宋" w:eastAsia="仿宋" w:cs="仿宋"/>
          <w:sz w:val="24"/>
          <w:szCs w:val="24"/>
        </w:rPr>
        <w:t>2投标时响应需方提供的耗材、易损件清单(包括名称、规格、数量、单价、生产厂家等)。参见下表：</w:t>
      </w:r>
    </w:p>
    <w:tbl>
      <w:tblPr>
        <w:tblStyle w:val="1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01"/>
        <w:gridCol w:w="1662"/>
        <w:gridCol w:w="2024"/>
      </w:tblGrid>
      <w:tr w14:paraId="4E19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7" w:type="dxa"/>
            <w:vAlign w:val="center"/>
          </w:tcPr>
          <w:p w14:paraId="676EF4C6">
            <w:pPr>
              <w:spacing w:line="320" w:lineRule="exact"/>
              <w:jc w:val="center"/>
              <w:rPr>
                <w:rFonts w:ascii="仿宋" w:hAnsi="仿宋" w:eastAsia="仿宋" w:cstheme="minorBidi"/>
                <w:b/>
                <w:sz w:val="24"/>
                <w:szCs w:val="24"/>
              </w:rPr>
            </w:pPr>
            <w:r>
              <w:rPr>
                <w:rFonts w:hint="eastAsia" w:ascii="仿宋" w:hAnsi="仿宋" w:eastAsia="仿宋" w:cstheme="minorBidi"/>
                <w:b/>
                <w:sz w:val="24"/>
                <w:szCs w:val="24"/>
              </w:rPr>
              <w:t>序号</w:t>
            </w:r>
          </w:p>
        </w:tc>
        <w:tc>
          <w:tcPr>
            <w:tcW w:w="3401" w:type="dxa"/>
            <w:vAlign w:val="center"/>
          </w:tcPr>
          <w:p w14:paraId="5120B306">
            <w:pPr>
              <w:spacing w:line="320" w:lineRule="exact"/>
              <w:jc w:val="center"/>
              <w:rPr>
                <w:rFonts w:ascii="仿宋" w:hAnsi="仿宋" w:eastAsia="仿宋" w:cstheme="minorBidi"/>
                <w:b/>
                <w:sz w:val="24"/>
                <w:szCs w:val="24"/>
              </w:rPr>
            </w:pPr>
            <w:r>
              <w:rPr>
                <w:rFonts w:hint="eastAsia" w:ascii="仿宋" w:hAnsi="仿宋" w:eastAsia="仿宋" w:cstheme="minorBidi"/>
                <w:b/>
                <w:sz w:val="24"/>
                <w:szCs w:val="24"/>
              </w:rPr>
              <w:t>备件名称</w:t>
            </w:r>
          </w:p>
        </w:tc>
        <w:tc>
          <w:tcPr>
            <w:tcW w:w="1662" w:type="dxa"/>
            <w:vAlign w:val="center"/>
          </w:tcPr>
          <w:p w14:paraId="24B91266">
            <w:pPr>
              <w:spacing w:line="320" w:lineRule="exact"/>
              <w:jc w:val="center"/>
              <w:rPr>
                <w:rFonts w:ascii="仿宋" w:hAnsi="仿宋" w:eastAsia="仿宋" w:cstheme="minorBidi"/>
                <w:b/>
                <w:sz w:val="24"/>
                <w:szCs w:val="24"/>
              </w:rPr>
            </w:pPr>
            <w:r>
              <w:rPr>
                <w:rFonts w:hint="eastAsia" w:ascii="仿宋" w:hAnsi="仿宋" w:eastAsia="仿宋" w:cstheme="minorBidi"/>
                <w:b/>
                <w:sz w:val="24"/>
                <w:szCs w:val="24"/>
              </w:rPr>
              <w:t>数量（个）</w:t>
            </w:r>
          </w:p>
        </w:tc>
        <w:tc>
          <w:tcPr>
            <w:tcW w:w="2024" w:type="dxa"/>
            <w:vAlign w:val="center"/>
          </w:tcPr>
          <w:p w14:paraId="6DCA2478">
            <w:pPr>
              <w:spacing w:line="320" w:lineRule="exact"/>
              <w:jc w:val="center"/>
              <w:rPr>
                <w:rFonts w:ascii="仿宋" w:hAnsi="仿宋" w:eastAsia="仿宋" w:cstheme="minorBidi"/>
                <w:b/>
                <w:sz w:val="24"/>
                <w:szCs w:val="24"/>
              </w:rPr>
            </w:pPr>
            <w:r>
              <w:rPr>
                <w:rFonts w:hint="eastAsia" w:ascii="仿宋" w:hAnsi="仿宋" w:eastAsia="仿宋" w:cstheme="minorBidi"/>
                <w:b/>
                <w:sz w:val="24"/>
                <w:szCs w:val="24"/>
              </w:rPr>
              <w:t>备注</w:t>
            </w:r>
          </w:p>
        </w:tc>
      </w:tr>
      <w:tr w14:paraId="426F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tcPr>
          <w:p w14:paraId="68B17080">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1</w:t>
            </w:r>
          </w:p>
        </w:tc>
        <w:tc>
          <w:tcPr>
            <w:tcW w:w="3401" w:type="dxa"/>
          </w:tcPr>
          <w:p w14:paraId="292897DB">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保护镜片</w:t>
            </w:r>
          </w:p>
        </w:tc>
        <w:tc>
          <w:tcPr>
            <w:tcW w:w="1662" w:type="dxa"/>
          </w:tcPr>
          <w:p w14:paraId="1F671A3C">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100片</w:t>
            </w:r>
          </w:p>
        </w:tc>
        <w:tc>
          <w:tcPr>
            <w:tcW w:w="2024" w:type="dxa"/>
            <w:vMerge w:val="restart"/>
            <w:vAlign w:val="center"/>
          </w:tcPr>
          <w:p w14:paraId="40D1FA86">
            <w:pPr>
              <w:spacing w:line="320" w:lineRule="exact"/>
              <w:jc w:val="center"/>
              <w:rPr>
                <w:rFonts w:asciiTheme="minorHAnsi" w:hAnsiTheme="minorHAnsi" w:cstheme="minorBidi"/>
                <w:sz w:val="24"/>
                <w:szCs w:val="24"/>
              </w:rPr>
            </w:pPr>
            <w:r>
              <w:rPr>
                <w:rFonts w:hint="eastAsia" w:ascii="仿宋" w:hAnsi="仿宋" w:eastAsia="仿宋" w:cstheme="minorBidi"/>
                <w:sz w:val="24"/>
                <w:szCs w:val="24"/>
              </w:rPr>
              <w:t>随机配件</w:t>
            </w:r>
          </w:p>
        </w:tc>
      </w:tr>
      <w:tr w14:paraId="4DCE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9BBAE64">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2</w:t>
            </w:r>
          </w:p>
        </w:tc>
        <w:tc>
          <w:tcPr>
            <w:tcW w:w="3401" w:type="dxa"/>
          </w:tcPr>
          <w:p w14:paraId="52B6E12A">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喷嘴</w:t>
            </w:r>
          </w:p>
        </w:tc>
        <w:tc>
          <w:tcPr>
            <w:tcW w:w="1662" w:type="dxa"/>
          </w:tcPr>
          <w:p w14:paraId="18C1C175">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200个</w:t>
            </w:r>
          </w:p>
        </w:tc>
        <w:tc>
          <w:tcPr>
            <w:tcW w:w="2024" w:type="dxa"/>
            <w:vMerge w:val="continue"/>
          </w:tcPr>
          <w:p w14:paraId="597BDD19">
            <w:pPr>
              <w:spacing w:line="320" w:lineRule="exact"/>
              <w:rPr>
                <w:rFonts w:asciiTheme="minorHAnsi" w:hAnsiTheme="minorHAnsi" w:eastAsiaTheme="minorEastAsia" w:cstheme="minorBidi"/>
                <w:sz w:val="24"/>
                <w:szCs w:val="24"/>
              </w:rPr>
            </w:pPr>
          </w:p>
        </w:tc>
      </w:tr>
      <w:tr w14:paraId="4D0A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4445C75">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3</w:t>
            </w:r>
          </w:p>
        </w:tc>
        <w:tc>
          <w:tcPr>
            <w:tcW w:w="3401" w:type="dxa"/>
          </w:tcPr>
          <w:p w14:paraId="24074D8D">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陶瓷体</w:t>
            </w:r>
          </w:p>
        </w:tc>
        <w:tc>
          <w:tcPr>
            <w:tcW w:w="1662" w:type="dxa"/>
          </w:tcPr>
          <w:p w14:paraId="2F67783B">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20个</w:t>
            </w:r>
          </w:p>
        </w:tc>
        <w:tc>
          <w:tcPr>
            <w:tcW w:w="2024" w:type="dxa"/>
            <w:vMerge w:val="continue"/>
          </w:tcPr>
          <w:p w14:paraId="52BFE35B">
            <w:pPr>
              <w:spacing w:line="320" w:lineRule="exact"/>
              <w:rPr>
                <w:rFonts w:asciiTheme="minorHAnsi" w:hAnsiTheme="minorHAnsi" w:eastAsiaTheme="minorEastAsia" w:cstheme="minorBidi"/>
                <w:sz w:val="24"/>
                <w:szCs w:val="24"/>
              </w:rPr>
            </w:pPr>
          </w:p>
        </w:tc>
      </w:tr>
      <w:tr w14:paraId="3D9E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EAC0627">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4</w:t>
            </w:r>
          </w:p>
        </w:tc>
        <w:tc>
          <w:tcPr>
            <w:tcW w:w="3401" w:type="dxa"/>
            <w:vAlign w:val="center"/>
          </w:tcPr>
          <w:p w14:paraId="1AC18311">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镜片清洗液</w:t>
            </w:r>
          </w:p>
        </w:tc>
        <w:tc>
          <w:tcPr>
            <w:tcW w:w="1662" w:type="dxa"/>
            <w:vAlign w:val="center"/>
          </w:tcPr>
          <w:p w14:paraId="7CC627A6">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1 瓶</w:t>
            </w:r>
          </w:p>
        </w:tc>
        <w:tc>
          <w:tcPr>
            <w:tcW w:w="2024" w:type="dxa"/>
            <w:vMerge w:val="restart"/>
            <w:vAlign w:val="center"/>
          </w:tcPr>
          <w:p w14:paraId="0A93BF0F">
            <w:pPr>
              <w:spacing w:line="320" w:lineRule="exact"/>
              <w:jc w:val="center"/>
              <w:rPr>
                <w:rFonts w:asciiTheme="minorHAnsi" w:hAnsiTheme="minorHAnsi" w:cstheme="minorBidi"/>
                <w:sz w:val="24"/>
                <w:szCs w:val="24"/>
              </w:rPr>
            </w:pPr>
            <w:r>
              <w:rPr>
                <w:rFonts w:hint="eastAsia" w:ascii="仿宋" w:hAnsi="仿宋" w:eastAsia="仿宋" w:cstheme="minorBidi"/>
                <w:sz w:val="24"/>
                <w:szCs w:val="24"/>
              </w:rPr>
              <w:t>随机专用工具</w:t>
            </w:r>
          </w:p>
        </w:tc>
      </w:tr>
      <w:tr w14:paraId="0FA1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B05C851">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5</w:t>
            </w:r>
          </w:p>
        </w:tc>
        <w:tc>
          <w:tcPr>
            <w:tcW w:w="3401" w:type="dxa"/>
            <w:vAlign w:val="center"/>
          </w:tcPr>
          <w:p w14:paraId="04D42C7E">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光纤棉棒</w:t>
            </w:r>
          </w:p>
        </w:tc>
        <w:tc>
          <w:tcPr>
            <w:tcW w:w="1662" w:type="dxa"/>
            <w:vAlign w:val="center"/>
          </w:tcPr>
          <w:p w14:paraId="6E21CF68">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1 盒</w:t>
            </w:r>
          </w:p>
        </w:tc>
        <w:tc>
          <w:tcPr>
            <w:tcW w:w="2024" w:type="dxa"/>
            <w:vMerge w:val="continue"/>
          </w:tcPr>
          <w:p w14:paraId="7E35F431">
            <w:pPr>
              <w:spacing w:line="320" w:lineRule="exact"/>
              <w:rPr>
                <w:rFonts w:asciiTheme="minorHAnsi" w:hAnsiTheme="minorHAnsi" w:eastAsiaTheme="minorEastAsia" w:cstheme="minorBidi"/>
                <w:sz w:val="24"/>
                <w:szCs w:val="24"/>
              </w:rPr>
            </w:pPr>
          </w:p>
        </w:tc>
      </w:tr>
      <w:tr w14:paraId="7935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B1D3425">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6</w:t>
            </w:r>
          </w:p>
        </w:tc>
        <w:tc>
          <w:tcPr>
            <w:tcW w:w="3401" w:type="dxa"/>
            <w:vAlign w:val="center"/>
          </w:tcPr>
          <w:p w14:paraId="26FE34BA">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美纹胶带</w:t>
            </w:r>
          </w:p>
        </w:tc>
        <w:tc>
          <w:tcPr>
            <w:tcW w:w="1662" w:type="dxa"/>
            <w:vAlign w:val="center"/>
          </w:tcPr>
          <w:p w14:paraId="6A9E2F73">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1 卷</w:t>
            </w:r>
          </w:p>
        </w:tc>
        <w:tc>
          <w:tcPr>
            <w:tcW w:w="2024" w:type="dxa"/>
            <w:vMerge w:val="continue"/>
          </w:tcPr>
          <w:p w14:paraId="0E60BCAC">
            <w:pPr>
              <w:spacing w:line="320" w:lineRule="exact"/>
              <w:rPr>
                <w:rFonts w:asciiTheme="minorHAnsi" w:hAnsiTheme="minorHAnsi" w:eastAsiaTheme="minorEastAsia" w:cstheme="minorBidi"/>
                <w:sz w:val="24"/>
                <w:szCs w:val="24"/>
              </w:rPr>
            </w:pPr>
          </w:p>
        </w:tc>
      </w:tr>
      <w:tr w14:paraId="7AF0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8888D15">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7</w:t>
            </w:r>
          </w:p>
        </w:tc>
        <w:tc>
          <w:tcPr>
            <w:tcW w:w="3401" w:type="dxa"/>
            <w:vAlign w:val="center"/>
          </w:tcPr>
          <w:p w14:paraId="4BF96AA7">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内六角扳手</w:t>
            </w:r>
          </w:p>
        </w:tc>
        <w:tc>
          <w:tcPr>
            <w:tcW w:w="1662" w:type="dxa"/>
            <w:vAlign w:val="center"/>
          </w:tcPr>
          <w:p w14:paraId="694DF814">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1 套</w:t>
            </w:r>
          </w:p>
        </w:tc>
        <w:tc>
          <w:tcPr>
            <w:tcW w:w="2024" w:type="dxa"/>
            <w:vMerge w:val="continue"/>
          </w:tcPr>
          <w:p w14:paraId="1D4CD01B">
            <w:pPr>
              <w:spacing w:line="320" w:lineRule="exact"/>
              <w:rPr>
                <w:rFonts w:asciiTheme="minorHAnsi" w:hAnsiTheme="minorHAnsi" w:eastAsiaTheme="minorEastAsia" w:cstheme="minorBidi"/>
                <w:sz w:val="24"/>
                <w:szCs w:val="24"/>
              </w:rPr>
            </w:pPr>
          </w:p>
        </w:tc>
      </w:tr>
      <w:tr w14:paraId="1BD6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88CCFB0">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8</w:t>
            </w:r>
          </w:p>
        </w:tc>
        <w:tc>
          <w:tcPr>
            <w:tcW w:w="3401" w:type="dxa"/>
            <w:vAlign w:val="center"/>
          </w:tcPr>
          <w:p w14:paraId="7D0D7628">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白色隐形胶带</w:t>
            </w:r>
          </w:p>
        </w:tc>
        <w:tc>
          <w:tcPr>
            <w:tcW w:w="1662" w:type="dxa"/>
            <w:vAlign w:val="center"/>
          </w:tcPr>
          <w:p w14:paraId="3AB6E0DB">
            <w:pPr>
              <w:spacing w:line="320" w:lineRule="exact"/>
              <w:jc w:val="center"/>
              <w:rPr>
                <w:rFonts w:ascii="仿宋" w:hAnsi="仿宋" w:eastAsia="仿宋" w:cstheme="minorBidi"/>
                <w:sz w:val="24"/>
                <w:szCs w:val="24"/>
              </w:rPr>
            </w:pPr>
            <w:r>
              <w:rPr>
                <w:rFonts w:hint="eastAsia" w:ascii="仿宋" w:hAnsi="仿宋" w:eastAsia="仿宋" w:cstheme="minorBidi"/>
                <w:sz w:val="24"/>
                <w:szCs w:val="24"/>
              </w:rPr>
              <w:t>1 卷</w:t>
            </w:r>
          </w:p>
        </w:tc>
        <w:tc>
          <w:tcPr>
            <w:tcW w:w="2024" w:type="dxa"/>
            <w:vMerge w:val="continue"/>
          </w:tcPr>
          <w:p w14:paraId="45BA0F9D">
            <w:pPr>
              <w:spacing w:line="320" w:lineRule="exact"/>
              <w:rPr>
                <w:rFonts w:asciiTheme="minorHAnsi" w:hAnsiTheme="minorHAnsi" w:eastAsiaTheme="minorEastAsia" w:cstheme="minorBidi"/>
                <w:sz w:val="24"/>
                <w:szCs w:val="24"/>
              </w:rPr>
            </w:pPr>
          </w:p>
        </w:tc>
      </w:tr>
    </w:tbl>
    <w:p w14:paraId="62D58EFE">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4.1.10</w:t>
      </w:r>
      <w:r>
        <w:rPr>
          <w:rFonts w:hint="eastAsia" w:ascii="仿宋" w:hAnsi="仿宋" w:eastAsia="仿宋" w:cs="仿宋"/>
          <w:b/>
          <w:bCs/>
          <w:sz w:val="24"/>
          <w:szCs w:val="24"/>
        </w:rPr>
        <w:t>设备安装调试、验收</w:t>
      </w:r>
    </w:p>
    <w:p w14:paraId="31A863C8">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4.1.10.</w:t>
      </w:r>
      <w:r>
        <w:rPr>
          <w:rFonts w:hint="eastAsia" w:ascii="仿宋" w:hAnsi="仿宋" w:eastAsia="仿宋" w:cs="仿宋"/>
          <w:sz w:val="24"/>
          <w:szCs w:val="24"/>
        </w:rPr>
        <w:t>1设备安装、培训</w:t>
      </w:r>
    </w:p>
    <w:p w14:paraId="1C32B7AA">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该工程为交钥匙工程，供方负责设备的安装及调试工作，供方应配备全部安装调试人员（具备相应的操作资格证）及在安装与调试过程中需要的安装工具及检测仪器，安装过程应严格按照相关设备的安装、调试规程施工。需方提供现场具备的便利条件。</w:t>
      </w:r>
    </w:p>
    <w:p w14:paraId="628F4BA7">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（2）供方应在设备安装调试完成后对需方进行操作、维护、编程等技术培训、直到需方专业人员熟悉、掌握设备性能及维护、操作方法。相关费用由供方自理。</w:t>
      </w:r>
    </w:p>
    <w:p w14:paraId="0BC438F4">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（3）培训内容包括：设备结构及工作原理、操作使用方法及要求、维护保养方法及要求、编程方法和要求、设备故障的判断和处理等。</w:t>
      </w:r>
    </w:p>
    <w:p w14:paraId="6F64706A">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4.1.10.</w:t>
      </w:r>
      <w:r>
        <w:rPr>
          <w:rFonts w:hint="eastAsia" w:ascii="仿宋" w:hAnsi="仿宋" w:eastAsia="仿宋" w:cs="仿宋"/>
          <w:sz w:val="24"/>
          <w:szCs w:val="24"/>
        </w:rPr>
        <w:t>2设备验收</w:t>
      </w:r>
    </w:p>
    <w:p w14:paraId="3BC07F39">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设备到货后，由供方负责开箱，需方监督，双方共同对所购货物及状态进行确认。</w:t>
      </w:r>
    </w:p>
    <w:p w14:paraId="664A5183">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（1）设备验收内容主要包括设备外观、功能、运动状态、设备的安装精度、机械精度、功能、配件切割质量等进行全面检验，需符合投标方的技术要求。</w:t>
      </w:r>
    </w:p>
    <w:p w14:paraId="2E354E31">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（2）根据需方提供的图纸和材料，进行配件切割，配件切割质量由双方质检确认。</w:t>
      </w:r>
    </w:p>
    <w:p w14:paraId="637FD84C">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（3）在设备安装调试完成后试运行期间供方须派人跟产至少15个工作日。</w:t>
      </w:r>
    </w:p>
    <w:p w14:paraId="7D48ED17">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（4）在设备安装调试完成后稳定工作20天，设备无问题后进行终验收，双方签字确认，作为质保期起始依据。</w:t>
      </w:r>
    </w:p>
    <w:p w14:paraId="353AAA25">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4.1.11</w:t>
      </w:r>
      <w:r>
        <w:rPr>
          <w:rFonts w:hint="eastAsia" w:ascii="仿宋" w:hAnsi="仿宋" w:eastAsia="仿宋" w:cs="仿宋"/>
          <w:b/>
          <w:bCs/>
          <w:sz w:val="24"/>
          <w:szCs w:val="24"/>
        </w:rPr>
        <w:t>售后服务条件</w:t>
      </w:r>
    </w:p>
    <w:p w14:paraId="1B5F3DAE">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4.1.11.</w:t>
      </w:r>
      <w:r>
        <w:rPr>
          <w:rFonts w:hint="eastAsia" w:ascii="仿宋" w:hAnsi="仿宋" w:eastAsia="仿宋" w:cs="仿宋"/>
          <w:sz w:val="24"/>
          <w:szCs w:val="24"/>
        </w:rPr>
        <w:t>1质保期：设备整机质保期为1年</w:t>
      </w:r>
      <w:r>
        <w:rPr>
          <w:rFonts w:hint="eastAsia" w:ascii="仿宋" w:hAnsi="仿宋" w:eastAsia="仿宋" w:cs="仿宋"/>
          <w:sz w:val="24"/>
          <w:szCs w:val="24"/>
          <w:lang w:eastAsia="zh-CN"/>
        </w:rPr>
        <w:t>，</w:t>
      </w:r>
      <w:r>
        <w:rPr>
          <w:rFonts w:hint="eastAsia" w:ascii="仿宋" w:hAnsi="仿宋" w:eastAsia="仿宋" w:cs="仿宋"/>
          <w:sz w:val="24"/>
          <w:szCs w:val="24"/>
        </w:rPr>
        <w:t>最终验收合格之日起计算。</w:t>
      </w:r>
      <w:r>
        <w:rPr>
          <w:rFonts w:hint="eastAsia" w:ascii="仿宋" w:hAnsi="仿宋" w:eastAsia="仿宋" w:cs="仿宋"/>
          <w:sz w:val="24"/>
          <w:szCs w:val="24"/>
          <w:lang w:eastAsia="zh-CN"/>
        </w:rPr>
        <w:t>4.1.11.</w:t>
      </w:r>
      <w:r>
        <w:rPr>
          <w:rFonts w:hint="eastAsia" w:ascii="仿宋" w:hAnsi="仿宋" w:eastAsia="仿宋" w:cs="仿宋"/>
          <w:sz w:val="24"/>
          <w:szCs w:val="24"/>
        </w:rPr>
        <w:t>2质保期内服务：</w:t>
      </w:r>
    </w:p>
    <w:p w14:paraId="065D9DDF">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（1）设备出现故障,供方必须在接到需方请求维修报告后应在1小时内做出响应并通过电话或传真给予指导。通知后24小时内到达现场进行处理。</w:t>
      </w:r>
    </w:p>
    <w:p w14:paraId="768575D2">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（2）在保修期内,若发生设计、制造质量缺陷问题，供方应免费修理、改造、更换和完善，质保期从最后解决问题并确认正常之日起重新计算。</w:t>
      </w:r>
    </w:p>
    <w:p w14:paraId="22A39F6B">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（3）供方应根据需方的要求对设备在质保期内进行全面免费维护保养，并提供控制系统软件免费升级服务。</w:t>
      </w:r>
    </w:p>
    <w:p w14:paraId="44E89431">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（4）设备超过质保期后，供方应承诺为该设备提供终身技术服务和关键备件的供应，价格应优惠，其价格不高于市场价。当备件供给出现困难时，供方应给出合理的改进方案。</w:t>
      </w:r>
    </w:p>
    <w:p w14:paraId="1DC2CEC4">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（5）保修期外的服务:供方在接到需方请求维修报告后应在1小时内做出响应并通过电话或传真给予指导。如需方确认故障仍不能排除，供方工程师应在24小时内到达用户现场进行处理解决。</w:t>
      </w:r>
    </w:p>
    <w:p w14:paraId="456E9A27">
      <w:pPr>
        <w:pStyle w:val="9"/>
        <w:rPr>
          <w:rFonts w:hint="eastAsia" w:ascii="仿宋" w:hAnsi="仿宋" w:eastAsia="仿宋" w:cs="仿宋"/>
          <w:sz w:val="24"/>
          <w:szCs w:val="24"/>
        </w:rPr>
      </w:pPr>
      <w:r>
        <w:rPr>
          <w:rFonts w:hint="eastAsia" w:ascii="仿宋" w:hAnsi="仿宋" w:eastAsia="仿宋" w:cs="仿宋"/>
          <w:sz w:val="24"/>
          <w:szCs w:val="24"/>
          <w:lang w:val="en-US" w:eastAsia="zh-CN"/>
        </w:rPr>
        <w:t>4.1.11.3</w:t>
      </w:r>
      <w:r>
        <w:rPr>
          <w:rFonts w:hint="eastAsia" w:ascii="仿宋" w:hAnsi="仿宋" w:eastAsia="仿宋" w:cs="仿宋"/>
          <w:sz w:val="24"/>
          <w:szCs w:val="24"/>
        </w:rPr>
        <w:t>质保期</w:t>
      </w:r>
      <w:r>
        <w:rPr>
          <w:rFonts w:hint="eastAsia" w:ascii="仿宋" w:hAnsi="仿宋" w:eastAsia="仿宋" w:cs="仿宋"/>
          <w:sz w:val="24"/>
          <w:szCs w:val="24"/>
          <w:lang w:val="en-US" w:eastAsia="zh-CN"/>
        </w:rPr>
        <w:t>外</w:t>
      </w:r>
      <w:r>
        <w:rPr>
          <w:rFonts w:hint="eastAsia" w:ascii="仿宋" w:hAnsi="仿宋" w:eastAsia="仿宋" w:cs="仿宋"/>
          <w:sz w:val="24"/>
          <w:szCs w:val="24"/>
        </w:rPr>
        <w:t>服务：</w:t>
      </w:r>
    </w:p>
    <w:p w14:paraId="7B037400">
      <w:pPr>
        <w:pStyle w:val="9"/>
        <w:rPr>
          <w:rFonts w:hint="eastAsia" w:ascii="仿宋" w:hAnsi="仿宋" w:eastAsia="仿宋" w:cs="仿宋"/>
          <w:sz w:val="24"/>
          <w:szCs w:val="24"/>
        </w:rPr>
      </w:pPr>
      <w:r>
        <w:rPr>
          <w:rFonts w:hint="eastAsia" w:ascii="仿宋" w:hAnsi="仿宋" w:eastAsia="仿宋" w:cs="仿宋"/>
          <w:sz w:val="24"/>
          <w:szCs w:val="24"/>
        </w:rPr>
        <w:t>设备主机床、数控系统、切割头的免费维修期为设备最终验收合格之日起 2年，激光器切割头的免费维修期为设备最终验收合格之日起5年。</w:t>
      </w:r>
    </w:p>
    <w:p w14:paraId="1D019DC0">
      <w:pPr>
        <w:pStyle w:val="16"/>
        <w:spacing w:line="400" w:lineRule="exact"/>
        <w:jc w:val="center"/>
        <w:rPr>
          <w:rFonts w:hAnsi="宋体" w:cs="宋体"/>
          <w:b/>
          <w:bCs/>
          <w:color w:val="000000"/>
          <w:sz w:val="36"/>
          <w:szCs w:val="36"/>
        </w:rPr>
      </w:pPr>
    </w:p>
    <w:p w14:paraId="5BAD0864">
      <w:pPr>
        <w:pStyle w:val="16"/>
        <w:numPr>
          <w:ilvl w:val="0"/>
          <w:numId w:val="0"/>
        </w:numPr>
        <w:spacing w:line="420" w:lineRule="exact"/>
        <w:ind w:firstLine="482" w:firstLineChars="200"/>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000000" w:themeColor="text1"/>
          <w:sz w:val="24"/>
          <w:szCs w:val="24"/>
          <w:lang w:val="en-US" w:eastAsia="zh-CN"/>
          <w14:textFill>
            <w14:solidFill>
              <w14:schemeClr w14:val="tx1"/>
            </w14:solidFill>
          </w14:textFill>
        </w:rPr>
        <w:t>4.1.12配件报价明细表</w:t>
      </w:r>
      <w:r>
        <w:rPr>
          <w:rFonts w:hint="eastAsia" w:ascii="仿宋" w:hAnsi="仿宋" w:eastAsia="仿宋" w:cs="仿宋"/>
          <w:b/>
          <w:bCs/>
          <w:color w:val="FF0000"/>
          <w:sz w:val="24"/>
          <w:szCs w:val="24"/>
          <w:highlight w:val="yellow"/>
          <w:lang w:val="en-US" w:eastAsia="zh-CN"/>
        </w:rPr>
        <w:t>（明细内规格型号仅为参考，应根据各投标方实际使用品牌及型号进行更改）</w:t>
      </w:r>
    </w:p>
    <w:tbl>
      <w:tblPr>
        <w:tblStyle w:val="32"/>
        <w:tblW w:w="9004" w:type="dxa"/>
        <w:jc w:val="center"/>
        <w:shd w:val="clear" w:color="auto" w:fill="auto"/>
        <w:tblLayout w:type="fixed"/>
        <w:tblCellMar>
          <w:top w:w="0" w:type="dxa"/>
          <w:left w:w="0" w:type="dxa"/>
          <w:bottom w:w="0" w:type="dxa"/>
          <w:right w:w="0" w:type="dxa"/>
        </w:tblCellMar>
      </w:tblPr>
      <w:tblGrid>
        <w:gridCol w:w="735"/>
        <w:gridCol w:w="1004"/>
        <w:gridCol w:w="2790"/>
        <w:gridCol w:w="887"/>
        <w:gridCol w:w="1113"/>
        <w:gridCol w:w="1215"/>
        <w:gridCol w:w="1260"/>
      </w:tblGrid>
      <w:tr w14:paraId="20315000">
        <w:tblPrEx>
          <w:tblCellMar>
            <w:top w:w="0" w:type="dxa"/>
            <w:left w:w="0" w:type="dxa"/>
            <w:bottom w:w="0" w:type="dxa"/>
            <w:right w:w="0" w:type="dxa"/>
          </w:tblCellMar>
        </w:tblPrEx>
        <w:trPr>
          <w:trHeight w:val="53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AC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F76B">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代码</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CF2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5C6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8FA8">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未税单价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C196">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w:t>
            </w:r>
            <w:r>
              <w:rPr>
                <w:rFonts w:hint="eastAsia" w:ascii="宋体" w:hAnsi="宋体" w:eastAsia="宋体" w:cs="宋体"/>
                <w:b/>
                <w:i w:val="0"/>
                <w:color w:val="000000"/>
                <w:kern w:val="0"/>
                <w:sz w:val="24"/>
                <w:szCs w:val="24"/>
                <w:u w:val="none"/>
                <w:lang w:val="en-US" w:eastAsia="zh-CN" w:bidi="ar"/>
              </w:rPr>
              <w:t>税单价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0BD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44FF5C7E">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A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6D8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A3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标准单喷3.0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70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F225">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E60B">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46A0">
            <w:pPr>
              <w:jc w:val="center"/>
              <w:rPr>
                <w:rFonts w:hint="eastAsia" w:ascii="宋体" w:hAnsi="宋体" w:eastAsia="宋体" w:cs="宋体"/>
                <w:i w:val="0"/>
                <w:color w:val="000000"/>
                <w:sz w:val="24"/>
                <w:szCs w:val="24"/>
                <w:u w:val="none"/>
              </w:rPr>
            </w:pPr>
          </w:p>
        </w:tc>
      </w:tr>
      <w:tr w14:paraId="7FE02A41">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47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443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377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单层喷嘴3.5 booster cut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BF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D79D">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36C4">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6943">
            <w:pPr>
              <w:jc w:val="center"/>
              <w:rPr>
                <w:rFonts w:hint="eastAsia" w:ascii="宋体" w:hAnsi="宋体" w:eastAsia="宋体" w:cs="宋体"/>
                <w:i w:val="0"/>
                <w:color w:val="000000"/>
                <w:sz w:val="24"/>
                <w:szCs w:val="24"/>
                <w:u w:val="none"/>
              </w:rPr>
            </w:pPr>
          </w:p>
        </w:tc>
      </w:tr>
      <w:tr w14:paraId="067DB823">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59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5873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7B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单层喷嘴5.0booster cut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7D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F6EF">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EA63">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D1ED">
            <w:pPr>
              <w:jc w:val="center"/>
              <w:rPr>
                <w:rFonts w:hint="eastAsia" w:ascii="宋体" w:hAnsi="宋体" w:eastAsia="宋体" w:cs="宋体"/>
                <w:i w:val="0"/>
                <w:color w:val="000000"/>
                <w:sz w:val="24"/>
                <w:szCs w:val="24"/>
                <w:u w:val="none"/>
              </w:rPr>
            </w:pPr>
          </w:p>
        </w:tc>
      </w:tr>
      <w:tr w14:paraId="3F8B0B5A">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2F2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F1FB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63B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单层喷嘴6.0booster cut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97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6D01">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5BC2">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E101">
            <w:pPr>
              <w:jc w:val="center"/>
              <w:rPr>
                <w:rFonts w:hint="eastAsia" w:ascii="宋体" w:hAnsi="宋体" w:eastAsia="宋体" w:cs="宋体"/>
                <w:i w:val="0"/>
                <w:color w:val="000000"/>
                <w:sz w:val="24"/>
                <w:szCs w:val="24"/>
                <w:u w:val="none"/>
              </w:rPr>
            </w:pPr>
          </w:p>
        </w:tc>
      </w:tr>
      <w:tr w14:paraId="1BF1CF3B">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63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4F1D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5C8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快速切割双喷1.2（HS)</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C6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BECB">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A893">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D8FC">
            <w:pPr>
              <w:jc w:val="center"/>
              <w:rPr>
                <w:rFonts w:hint="eastAsia" w:ascii="宋体" w:hAnsi="宋体" w:eastAsia="宋体" w:cs="宋体"/>
                <w:i w:val="0"/>
                <w:color w:val="000000"/>
                <w:sz w:val="24"/>
                <w:szCs w:val="24"/>
                <w:u w:val="none"/>
              </w:rPr>
            </w:pPr>
          </w:p>
        </w:tc>
      </w:tr>
      <w:tr w14:paraId="6FBB6BAB">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ABF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A575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381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快速切割双喷1.4（HS)</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F9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C362">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2A75">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B605">
            <w:pPr>
              <w:jc w:val="center"/>
              <w:rPr>
                <w:rFonts w:hint="eastAsia" w:ascii="宋体" w:hAnsi="宋体" w:eastAsia="宋体" w:cs="宋体"/>
                <w:i w:val="0"/>
                <w:color w:val="000000"/>
                <w:sz w:val="24"/>
                <w:szCs w:val="24"/>
                <w:u w:val="none"/>
              </w:rPr>
            </w:pPr>
          </w:p>
        </w:tc>
      </w:tr>
      <w:tr w14:paraId="67A200B6">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32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DB9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2E7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快速切割双喷1.6（HS)</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80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8F72">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A0DE">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1F5B">
            <w:pPr>
              <w:jc w:val="center"/>
              <w:rPr>
                <w:rFonts w:hint="eastAsia" w:ascii="宋体" w:hAnsi="宋体" w:eastAsia="宋体" w:cs="宋体"/>
                <w:i w:val="0"/>
                <w:color w:val="000000"/>
                <w:sz w:val="24"/>
                <w:szCs w:val="24"/>
                <w:u w:val="none"/>
              </w:rPr>
            </w:pPr>
          </w:p>
        </w:tc>
      </w:tr>
      <w:tr w14:paraId="07824403">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F9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B037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47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快速切割双喷1.8（HS)</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F1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B9FD">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DC5A">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8C50">
            <w:pPr>
              <w:jc w:val="center"/>
              <w:rPr>
                <w:rFonts w:hint="eastAsia" w:ascii="宋体" w:hAnsi="宋体" w:eastAsia="宋体" w:cs="宋体"/>
                <w:i w:val="0"/>
                <w:color w:val="000000"/>
                <w:sz w:val="24"/>
                <w:szCs w:val="24"/>
                <w:u w:val="none"/>
              </w:rPr>
            </w:pPr>
          </w:p>
        </w:tc>
      </w:tr>
      <w:tr w14:paraId="7139F2EA">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F35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EE3B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C8E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快速切割双喷2.0（HS)</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50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4380">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5FD7">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AF13">
            <w:pPr>
              <w:jc w:val="center"/>
              <w:rPr>
                <w:rFonts w:hint="eastAsia" w:ascii="宋体" w:hAnsi="宋体" w:eastAsia="宋体" w:cs="宋体"/>
                <w:i w:val="0"/>
                <w:color w:val="000000"/>
                <w:sz w:val="24"/>
                <w:szCs w:val="24"/>
                <w:u w:val="none"/>
              </w:rPr>
            </w:pPr>
          </w:p>
        </w:tc>
      </w:tr>
      <w:tr w14:paraId="7C2F0F7E">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5E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C4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CC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快速喷嘴单层 SP-F 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C2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DF61">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9287">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4C08">
            <w:pPr>
              <w:jc w:val="center"/>
              <w:rPr>
                <w:rFonts w:hint="eastAsia" w:ascii="宋体" w:hAnsi="宋体" w:eastAsia="宋体" w:cs="宋体"/>
                <w:i w:val="0"/>
                <w:color w:val="000000"/>
                <w:sz w:val="24"/>
                <w:szCs w:val="24"/>
                <w:u w:val="none"/>
              </w:rPr>
            </w:pPr>
          </w:p>
        </w:tc>
      </w:tr>
      <w:tr w14:paraId="3379F37E">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2B6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090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EE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快速喷嘴单层 SP-F 1.6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FF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ACD5">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D104">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7B09">
            <w:pPr>
              <w:jc w:val="center"/>
              <w:rPr>
                <w:rFonts w:hint="eastAsia" w:ascii="宋体" w:hAnsi="宋体" w:eastAsia="宋体" w:cs="宋体"/>
                <w:i w:val="0"/>
                <w:color w:val="000000"/>
                <w:sz w:val="24"/>
                <w:szCs w:val="24"/>
                <w:u w:val="none"/>
              </w:rPr>
            </w:pPr>
          </w:p>
        </w:tc>
      </w:tr>
      <w:tr w14:paraId="207A6F5D">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BC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8CE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3A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快速切割喷嘴单层SP-F 1.8</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BA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8279">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CEA8">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C373">
            <w:pPr>
              <w:jc w:val="center"/>
              <w:rPr>
                <w:rFonts w:hint="eastAsia" w:ascii="宋体" w:hAnsi="宋体" w:eastAsia="宋体" w:cs="宋体"/>
                <w:i w:val="0"/>
                <w:color w:val="000000"/>
                <w:sz w:val="24"/>
                <w:szCs w:val="24"/>
                <w:u w:val="none"/>
              </w:rPr>
            </w:pPr>
          </w:p>
        </w:tc>
      </w:tr>
      <w:tr w14:paraId="25B93632">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F6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F37D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191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新式坡口双层喷嘴 D1.2-BV</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60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7F9C">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CB2D">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DF2D">
            <w:pPr>
              <w:jc w:val="center"/>
              <w:rPr>
                <w:rFonts w:hint="eastAsia" w:ascii="宋体" w:hAnsi="宋体" w:eastAsia="宋体" w:cs="宋体"/>
                <w:i w:val="0"/>
                <w:color w:val="000000"/>
                <w:sz w:val="24"/>
                <w:szCs w:val="24"/>
                <w:u w:val="none"/>
              </w:rPr>
            </w:pPr>
          </w:p>
        </w:tc>
      </w:tr>
      <w:tr w14:paraId="147E7BCA">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771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F85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326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新式坡口双层喷嘴 D1.4-BV</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3C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79FA">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C2E5">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6ADD">
            <w:pPr>
              <w:jc w:val="center"/>
              <w:rPr>
                <w:rFonts w:hint="eastAsia" w:ascii="宋体" w:hAnsi="宋体" w:eastAsia="宋体" w:cs="宋体"/>
                <w:i w:val="0"/>
                <w:color w:val="000000"/>
                <w:sz w:val="24"/>
                <w:szCs w:val="24"/>
                <w:u w:val="none"/>
              </w:rPr>
            </w:pPr>
          </w:p>
        </w:tc>
      </w:tr>
      <w:tr w14:paraId="59C89A23">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6B0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5268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D1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新式坡口双层喷嘴 D1.6-BV</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DB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DF4A">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30B5">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AD84">
            <w:pPr>
              <w:jc w:val="center"/>
              <w:rPr>
                <w:rFonts w:hint="eastAsia" w:ascii="宋体" w:hAnsi="宋体" w:eastAsia="宋体" w:cs="宋体"/>
                <w:i w:val="0"/>
                <w:color w:val="000000"/>
                <w:sz w:val="24"/>
                <w:szCs w:val="24"/>
                <w:u w:val="none"/>
              </w:rPr>
            </w:pPr>
          </w:p>
        </w:tc>
      </w:tr>
      <w:tr w14:paraId="60DA0EF4">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B59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0DD5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28A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新式坡口双层喷嘴 D1.8-BV</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0B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7913">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3E01">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E6F5">
            <w:pPr>
              <w:jc w:val="center"/>
              <w:rPr>
                <w:rFonts w:hint="eastAsia" w:ascii="宋体" w:hAnsi="宋体" w:eastAsia="宋体" w:cs="宋体"/>
                <w:i w:val="0"/>
                <w:color w:val="000000"/>
                <w:sz w:val="24"/>
                <w:szCs w:val="24"/>
                <w:u w:val="none"/>
              </w:rPr>
            </w:pPr>
          </w:p>
        </w:tc>
      </w:tr>
      <w:tr w14:paraId="118812C3">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D45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6F5D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A4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新式坡口单层喷嘴 SP1.4-BV</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28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59B0">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01DA">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059E">
            <w:pPr>
              <w:jc w:val="center"/>
              <w:rPr>
                <w:rFonts w:hint="eastAsia" w:ascii="宋体" w:hAnsi="宋体" w:eastAsia="宋体" w:cs="宋体"/>
                <w:i w:val="0"/>
                <w:color w:val="000000"/>
                <w:sz w:val="24"/>
                <w:szCs w:val="24"/>
                <w:u w:val="none"/>
              </w:rPr>
            </w:pPr>
          </w:p>
        </w:tc>
      </w:tr>
      <w:tr w14:paraId="33D9F64E">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96C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A68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0B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新式坡口单层喷嘴 SP1.5-BV</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E5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0F02">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80C7">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A009">
            <w:pPr>
              <w:jc w:val="center"/>
              <w:rPr>
                <w:rFonts w:hint="eastAsia" w:ascii="宋体" w:hAnsi="宋体" w:eastAsia="宋体" w:cs="宋体"/>
                <w:i w:val="0"/>
                <w:color w:val="000000"/>
                <w:sz w:val="24"/>
                <w:szCs w:val="24"/>
                <w:u w:val="none"/>
              </w:rPr>
            </w:pPr>
          </w:p>
        </w:tc>
      </w:tr>
      <w:tr w14:paraId="019E7C03">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CA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019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486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新式坡口单层喷嘴 SP1.6-BV</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9D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3432">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4F85">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139C">
            <w:pPr>
              <w:jc w:val="center"/>
              <w:rPr>
                <w:rFonts w:hint="eastAsia" w:ascii="宋体" w:hAnsi="宋体" w:eastAsia="宋体" w:cs="宋体"/>
                <w:i w:val="0"/>
                <w:color w:val="000000"/>
                <w:sz w:val="24"/>
                <w:szCs w:val="24"/>
                <w:u w:val="none"/>
              </w:rPr>
            </w:pPr>
          </w:p>
        </w:tc>
      </w:tr>
      <w:tr w14:paraId="47F967EE">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49C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EF0D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0FC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新式坡口单层喷嘴 SP1.8-BV</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7A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FCC6">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2FBF">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65BB">
            <w:pPr>
              <w:jc w:val="center"/>
              <w:rPr>
                <w:rFonts w:hint="eastAsia" w:ascii="宋体" w:hAnsi="宋体" w:eastAsia="宋体" w:cs="宋体"/>
                <w:i w:val="0"/>
                <w:color w:val="000000"/>
                <w:sz w:val="24"/>
                <w:szCs w:val="24"/>
                <w:u w:val="none"/>
              </w:rPr>
            </w:pPr>
          </w:p>
        </w:tc>
      </w:tr>
      <w:tr w14:paraId="36950C96">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8D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18D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84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国产2.0陶瓷体</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05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5001">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30A0">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96BB">
            <w:pPr>
              <w:jc w:val="center"/>
              <w:rPr>
                <w:rFonts w:hint="eastAsia" w:ascii="宋体" w:hAnsi="宋体" w:eastAsia="宋体" w:cs="宋体"/>
                <w:i w:val="0"/>
                <w:color w:val="000000"/>
                <w:sz w:val="24"/>
                <w:szCs w:val="24"/>
                <w:u w:val="none"/>
              </w:rPr>
            </w:pPr>
          </w:p>
        </w:tc>
      </w:tr>
      <w:tr w14:paraId="6A4457D0">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722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023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3AE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国产保护镜片</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B4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5A65">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0960">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B567">
            <w:pPr>
              <w:jc w:val="center"/>
              <w:rPr>
                <w:rFonts w:hint="eastAsia" w:ascii="宋体" w:hAnsi="宋体" w:eastAsia="宋体" w:cs="宋体"/>
                <w:i w:val="0"/>
                <w:color w:val="000000"/>
                <w:sz w:val="24"/>
                <w:szCs w:val="24"/>
                <w:u w:val="none"/>
              </w:rPr>
            </w:pPr>
          </w:p>
        </w:tc>
      </w:tr>
      <w:tr w14:paraId="28D40374">
        <w:tblPrEx>
          <w:tblCellMar>
            <w:top w:w="0" w:type="dxa"/>
            <w:left w:w="0" w:type="dxa"/>
            <w:bottom w:w="0" w:type="dxa"/>
            <w:right w:w="0" w:type="dxa"/>
          </w:tblCellMar>
        </w:tblPrEx>
        <w:trPr>
          <w:trHeight w:val="49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1C7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A94B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D63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进口保护镜片58601 P0595-58601 OGYD37d7</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BA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F90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7D6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A3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w:t>
            </w:r>
          </w:p>
        </w:tc>
      </w:tr>
      <w:tr w14:paraId="4EFC12E1">
        <w:tblPrEx>
          <w:shd w:val="clear" w:color="auto" w:fill="auto"/>
          <w:tblCellMar>
            <w:top w:w="0" w:type="dxa"/>
            <w:left w:w="0" w:type="dxa"/>
            <w:bottom w:w="0" w:type="dxa"/>
            <w:right w:w="0" w:type="dxa"/>
          </w:tblCellMar>
        </w:tblPrEx>
        <w:trPr>
          <w:trHeight w:val="49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00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8399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0E7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Protective glass procutter 2.0-上保护镜片 24.4*2-P0595-90154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34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AB5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1D9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40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w:t>
            </w:r>
          </w:p>
        </w:tc>
      </w:tr>
      <w:tr w14:paraId="26E932FF">
        <w:tblPrEx>
          <w:tblCellMar>
            <w:top w:w="0" w:type="dxa"/>
            <w:left w:w="0" w:type="dxa"/>
            <w:bottom w:w="0" w:type="dxa"/>
            <w:right w:w="0" w:type="dxa"/>
          </w:tblCellMar>
        </w:tblPrEx>
        <w:trPr>
          <w:trHeight w:val="49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C4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3B73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AAB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PW保护镜片-P0595-92804 ZM Procutter 2.0 WK OG COL</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2E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A62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1EB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55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w:t>
            </w:r>
          </w:p>
        </w:tc>
      </w:tr>
      <w:tr w14:paraId="68DB76B6">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46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DA26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A2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Procutter 2.0 24.4*2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B6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8553">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2A11">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8690">
            <w:pPr>
              <w:jc w:val="center"/>
              <w:rPr>
                <w:rFonts w:hint="eastAsia" w:ascii="宋体" w:hAnsi="宋体" w:eastAsia="宋体" w:cs="宋体"/>
                <w:i w:val="0"/>
                <w:color w:val="000000"/>
                <w:sz w:val="24"/>
                <w:szCs w:val="24"/>
                <w:u w:val="none"/>
              </w:rPr>
            </w:pPr>
          </w:p>
        </w:tc>
      </w:tr>
      <w:tr w14:paraId="3814DA48">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C4A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E6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330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切割头密封圈（黄色、进口的）</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32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9CE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FC2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00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w:t>
            </w:r>
          </w:p>
        </w:tc>
      </w:tr>
      <w:tr w14:paraId="18DEFAB5">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210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0D27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DEF8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陶瓷体锁紧环2.0 MU X P0595-92039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7E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BB9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131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3D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w:t>
            </w:r>
          </w:p>
        </w:tc>
      </w:tr>
      <w:tr w14:paraId="452C0AEF">
        <w:tblPrEx>
          <w:tblCellMar>
            <w:top w:w="0" w:type="dxa"/>
            <w:left w:w="0" w:type="dxa"/>
            <w:bottom w:w="0" w:type="dxa"/>
            <w:right w:w="0" w:type="dxa"/>
          </w:tblCellMar>
        </w:tblPrEx>
        <w:trPr>
          <w:trHeight w:val="49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6D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FDF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73E1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聚焦镜 Procutter 2.0 F200 8KW-15KW</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4F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C997">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7AB6">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2E6A">
            <w:pPr>
              <w:jc w:val="center"/>
              <w:rPr>
                <w:rFonts w:hint="eastAsia" w:ascii="宋体" w:hAnsi="宋体" w:eastAsia="宋体" w:cs="宋体"/>
                <w:i w:val="0"/>
                <w:color w:val="000000"/>
                <w:sz w:val="24"/>
                <w:szCs w:val="24"/>
                <w:u w:val="none"/>
              </w:rPr>
            </w:pPr>
          </w:p>
        </w:tc>
      </w:tr>
      <w:tr w14:paraId="0739DB1C">
        <w:tblPrEx>
          <w:tblCellMar>
            <w:top w:w="0" w:type="dxa"/>
            <w:left w:w="0" w:type="dxa"/>
            <w:bottom w:w="0" w:type="dxa"/>
            <w:right w:w="0" w:type="dxa"/>
          </w:tblCellMar>
        </w:tblPrEx>
        <w:trPr>
          <w:trHeight w:val="49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DD8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8B2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F6ED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准直镜 Procutter 2.0 F100 12KW-15KW</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146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D2A8">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408E">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3379">
            <w:pPr>
              <w:jc w:val="center"/>
              <w:rPr>
                <w:rFonts w:hint="eastAsia" w:ascii="宋体" w:hAnsi="宋体" w:eastAsia="宋体" w:cs="宋体"/>
                <w:i w:val="0"/>
                <w:color w:val="000000"/>
                <w:sz w:val="24"/>
                <w:szCs w:val="24"/>
                <w:u w:val="none"/>
              </w:rPr>
            </w:pPr>
          </w:p>
        </w:tc>
      </w:tr>
      <w:tr w14:paraId="3A5C5BA2">
        <w:tblPrEx>
          <w:tblCellMar>
            <w:top w:w="0" w:type="dxa"/>
            <w:left w:w="0" w:type="dxa"/>
            <w:bottom w:w="0" w:type="dxa"/>
            <w:right w:w="0" w:type="dxa"/>
          </w:tblCellMar>
        </w:tblPrEx>
        <w:trPr>
          <w:trHeight w:val="49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F6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075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96C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OL COL ProCutter 2.0 20KW F100 准直镜 P0595-103859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52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386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281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28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w:t>
            </w:r>
          </w:p>
        </w:tc>
      </w:tr>
      <w:tr w14:paraId="4FF5FEF9">
        <w:tblPrEx>
          <w:tblCellMar>
            <w:top w:w="0" w:type="dxa"/>
            <w:left w:w="0" w:type="dxa"/>
            <w:bottom w:w="0" w:type="dxa"/>
            <w:right w:w="0" w:type="dxa"/>
          </w:tblCellMar>
        </w:tblPrEx>
        <w:trPr>
          <w:trHeight w:val="49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E9E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4B47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490E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OL Procutter 2.0 8-20KW F200 聚焦镜 P0595-92492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A5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9FB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288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AE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w:t>
            </w:r>
          </w:p>
        </w:tc>
      </w:tr>
      <w:tr w14:paraId="4FE5BEFF">
        <w:tblPrEx>
          <w:shd w:val="clear" w:color="auto" w:fill="auto"/>
          <w:tblCellMar>
            <w:top w:w="0" w:type="dxa"/>
            <w:left w:w="0" w:type="dxa"/>
            <w:bottom w:w="0" w:type="dxa"/>
            <w:right w:w="0" w:type="dxa"/>
          </w:tblCellMar>
        </w:tblPrEx>
        <w:trPr>
          <w:trHeight w:val="86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650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D94B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733F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伺服电机（MS1H3-29C15CD-A331Z-ZJ-V）</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A5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BE04">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68EA">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3A49">
            <w:pPr>
              <w:rPr>
                <w:rFonts w:hint="eastAsia" w:ascii="宋体" w:hAnsi="宋体" w:eastAsia="宋体" w:cs="宋体"/>
                <w:i w:val="0"/>
                <w:color w:val="000000"/>
                <w:sz w:val="24"/>
                <w:szCs w:val="24"/>
                <w:u w:val="none"/>
              </w:rPr>
            </w:pPr>
          </w:p>
        </w:tc>
      </w:tr>
      <w:tr w14:paraId="23154A16">
        <w:tblPrEx>
          <w:tblCellMar>
            <w:top w:w="0" w:type="dxa"/>
            <w:left w:w="0" w:type="dxa"/>
            <w:bottom w:w="0" w:type="dxa"/>
            <w:right w:w="0" w:type="dxa"/>
          </w:tblCellMar>
        </w:tblPrEx>
        <w:trPr>
          <w:trHeight w:val="5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1CC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82F4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8178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汇川电机0.85kw MS1H3-85B15CD-A331Z-ZJ-V</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38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6E00">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D30B">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3D5C">
            <w:pPr>
              <w:rPr>
                <w:rFonts w:hint="eastAsia" w:ascii="宋体" w:hAnsi="宋体" w:eastAsia="宋体" w:cs="宋体"/>
                <w:i w:val="0"/>
                <w:color w:val="000000"/>
                <w:sz w:val="24"/>
                <w:szCs w:val="24"/>
                <w:u w:val="none"/>
              </w:rPr>
            </w:pPr>
          </w:p>
        </w:tc>
      </w:tr>
      <w:tr w14:paraId="5EC0FAD9">
        <w:tblPrEx>
          <w:shd w:val="clear" w:color="auto" w:fill="auto"/>
          <w:tblCellMar>
            <w:top w:w="0" w:type="dxa"/>
            <w:left w:w="0" w:type="dxa"/>
            <w:bottom w:w="0" w:type="dxa"/>
            <w:right w:w="0" w:type="dxa"/>
          </w:tblCellMar>
        </w:tblPrEx>
        <w:trPr>
          <w:trHeight w:val="5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92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A243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E0A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汇川0.75KW伺服电机（MS1H4-75B30CB-A334Z-S）</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62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03A3">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1E6B">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2DAF">
            <w:pPr>
              <w:rPr>
                <w:rFonts w:hint="eastAsia" w:ascii="宋体" w:hAnsi="宋体" w:eastAsia="宋体" w:cs="宋体"/>
                <w:i w:val="0"/>
                <w:color w:val="000000"/>
                <w:sz w:val="24"/>
                <w:szCs w:val="24"/>
                <w:u w:val="none"/>
              </w:rPr>
            </w:pPr>
          </w:p>
        </w:tc>
      </w:tr>
      <w:tr w14:paraId="5EA2CB90">
        <w:tblPrEx>
          <w:tblCellMar>
            <w:top w:w="0" w:type="dxa"/>
            <w:left w:w="0" w:type="dxa"/>
            <w:bottom w:w="0" w:type="dxa"/>
            <w:right w:w="0" w:type="dxa"/>
          </w:tblCellMar>
        </w:tblPrEx>
        <w:trPr>
          <w:trHeight w:val="86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5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0DFF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F470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减速机 RECKON-MAF-090-007-P1/MS1H3-85B15CD-A331Z</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7A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E50E">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D41C">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F174">
            <w:pPr>
              <w:rPr>
                <w:rFonts w:hint="eastAsia" w:ascii="宋体" w:hAnsi="宋体" w:eastAsia="宋体" w:cs="宋体"/>
                <w:i w:val="0"/>
                <w:color w:val="000000"/>
                <w:sz w:val="24"/>
                <w:szCs w:val="24"/>
                <w:u w:val="none"/>
              </w:rPr>
            </w:pPr>
          </w:p>
        </w:tc>
      </w:tr>
      <w:tr w14:paraId="1D6D8B7E">
        <w:tblPrEx>
          <w:shd w:val="clear" w:color="auto" w:fill="auto"/>
          <w:tblCellMar>
            <w:top w:w="0" w:type="dxa"/>
            <w:left w:w="0" w:type="dxa"/>
            <w:bottom w:w="0" w:type="dxa"/>
            <w:right w:w="0" w:type="dxa"/>
          </w:tblCellMar>
        </w:tblPrEx>
        <w:trPr>
          <w:trHeight w:val="86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5D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E4B8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3AAA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摩多利减速机MAF-090-020-P2/TC-E 80 3B F3 4 0 A6 1 D0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AE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9A3E">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BD4D">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E38E">
            <w:pPr>
              <w:rPr>
                <w:rFonts w:hint="eastAsia" w:ascii="宋体" w:hAnsi="宋体" w:eastAsia="宋体" w:cs="宋体"/>
                <w:i w:val="0"/>
                <w:color w:val="000000"/>
                <w:sz w:val="24"/>
                <w:szCs w:val="24"/>
                <w:u w:val="none"/>
              </w:rPr>
            </w:pPr>
          </w:p>
        </w:tc>
      </w:tr>
      <w:tr w14:paraId="523F2921">
        <w:tblPrEx>
          <w:shd w:val="clear" w:color="auto" w:fill="auto"/>
          <w:tblCellMar>
            <w:top w:w="0" w:type="dxa"/>
            <w:left w:w="0" w:type="dxa"/>
            <w:bottom w:w="0" w:type="dxa"/>
            <w:right w:w="0" w:type="dxa"/>
          </w:tblCellMar>
        </w:tblPrEx>
        <w:trPr>
          <w:trHeight w:val="5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358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33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240E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FKD110-010-P1/MSTH302E4DABN/MS1H3-29C15CD-A331Z-ZJ-V</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E8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21B1">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114D">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89D9">
            <w:pPr>
              <w:rPr>
                <w:rFonts w:hint="eastAsia" w:ascii="宋体" w:hAnsi="宋体" w:eastAsia="宋体" w:cs="宋体"/>
                <w:i w:val="0"/>
                <w:color w:val="000000"/>
                <w:sz w:val="24"/>
                <w:szCs w:val="24"/>
                <w:u w:val="none"/>
              </w:rPr>
            </w:pPr>
          </w:p>
        </w:tc>
      </w:tr>
      <w:tr w14:paraId="4AC6309F">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631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E0C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5C0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20米皮腔</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87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7FB6">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F639">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B06B">
            <w:pPr>
              <w:rPr>
                <w:rFonts w:hint="eastAsia" w:ascii="宋体" w:hAnsi="宋体" w:eastAsia="宋体" w:cs="宋体"/>
                <w:i w:val="0"/>
                <w:color w:val="000000"/>
                <w:sz w:val="24"/>
                <w:szCs w:val="24"/>
                <w:u w:val="none"/>
              </w:rPr>
            </w:pPr>
          </w:p>
        </w:tc>
      </w:tr>
      <w:tr w14:paraId="0C4F06ED">
        <w:tblPrEx>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B4F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4F1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5E9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Y轴皮腔</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80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01EB">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DE8E">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5476">
            <w:pPr>
              <w:rPr>
                <w:rFonts w:hint="eastAsia" w:ascii="宋体" w:hAnsi="宋体" w:eastAsia="宋体" w:cs="宋体"/>
                <w:i w:val="0"/>
                <w:color w:val="000000"/>
                <w:sz w:val="24"/>
                <w:szCs w:val="24"/>
                <w:u w:val="none"/>
              </w:rPr>
            </w:pPr>
          </w:p>
        </w:tc>
      </w:tr>
      <w:tr w14:paraId="02FA7FE2">
        <w:tblPrEx>
          <w:shd w:val="clear" w:color="auto" w:fill="auto"/>
          <w:tblCellMar>
            <w:top w:w="0" w:type="dxa"/>
            <w:left w:w="0" w:type="dxa"/>
            <w:bottom w:w="0" w:type="dxa"/>
            <w:right w:w="0" w:type="dxa"/>
          </w:tblCellMar>
        </w:tblPrEx>
        <w:trPr>
          <w:trHeight w:val="49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37B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69B7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7366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汇川2.9KW伺服驱动器（SV660NT012I）</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80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F78D">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A3D2">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57F5">
            <w:pPr>
              <w:rPr>
                <w:rFonts w:hint="eastAsia" w:ascii="宋体" w:hAnsi="宋体" w:eastAsia="宋体" w:cs="宋体"/>
                <w:i w:val="0"/>
                <w:color w:val="000000"/>
                <w:sz w:val="24"/>
                <w:szCs w:val="24"/>
                <w:u w:val="none"/>
              </w:rPr>
            </w:pPr>
          </w:p>
        </w:tc>
      </w:tr>
      <w:tr w14:paraId="30A79F09">
        <w:tblPrEx>
          <w:shd w:val="clear" w:color="auto" w:fill="auto"/>
          <w:tblCellMar>
            <w:top w:w="0" w:type="dxa"/>
            <w:left w:w="0" w:type="dxa"/>
            <w:bottom w:w="0" w:type="dxa"/>
            <w:right w:w="0" w:type="dxa"/>
          </w:tblCellMar>
        </w:tblPrEx>
        <w:trPr>
          <w:trHeight w:val="49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5F2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3D68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1A7B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汇川1.3KW伺服驱动器（SV660NT5R4I）</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F1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43F9">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2B64">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2229">
            <w:pPr>
              <w:rPr>
                <w:rFonts w:hint="eastAsia" w:ascii="宋体" w:hAnsi="宋体" w:eastAsia="宋体" w:cs="宋体"/>
                <w:i w:val="0"/>
                <w:color w:val="000000"/>
                <w:sz w:val="24"/>
                <w:szCs w:val="24"/>
                <w:u w:val="none"/>
              </w:rPr>
            </w:pPr>
          </w:p>
        </w:tc>
      </w:tr>
      <w:tr w14:paraId="40043900">
        <w:tblPrEx>
          <w:shd w:val="clear" w:color="auto" w:fill="auto"/>
          <w:tblCellMar>
            <w:top w:w="0" w:type="dxa"/>
            <w:left w:w="0" w:type="dxa"/>
            <w:bottom w:w="0" w:type="dxa"/>
            <w:right w:w="0" w:type="dxa"/>
          </w:tblCellMar>
        </w:tblPrEx>
        <w:trPr>
          <w:trHeight w:val="5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B85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1CD5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FA45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汇川1KW伺服驱动器（SV660NS7R6I）</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21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678E">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1B0E">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F46A">
            <w:pPr>
              <w:rPr>
                <w:rFonts w:hint="eastAsia" w:ascii="宋体" w:hAnsi="宋体" w:eastAsia="宋体" w:cs="宋体"/>
                <w:i w:val="0"/>
                <w:color w:val="000000"/>
                <w:sz w:val="24"/>
                <w:szCs w:val="24"/>
                <w:u w:val="none"/>
              </w:rPr>
            </w:pPr>
          </w:p>
        </w:tc>
      </w:tr>
      <w:tr w14:paraId="3B3985FF">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47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07B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401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光纤防冻液（ipg)</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EC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8BEA">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0473">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7F2D">
            <w:pPr>
              <w:rPr>
                <w:rFonts w:hint="eastAsia" w:ascii="宋体" w:hAnsi="宋体" w:eastAsia="宋体" w:cs="宋体"/>
                <w:i w:val="0"/>
                <w:color w:val="000000"/>
                <w:sz w:val="24"/>
                <w:szCs w:val="24"/>
                <w:u w:val="none"/>
              </w:rPr>
            </w:pPr>
          </w:p>
        </w:tc>
      </w:tr>
      <w:tr w14:paraId="5619EFB5">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E2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FDE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AF9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圆形接近开关</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B8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BED8">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6B16">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63AA">
            <w:pPr>
              <w:rPr>
                <w:rFonts w:hint="eastAsia" w:ascii="宋体" w:hAnsi="宋体" w:eastAsia="宋体" w:cs="宋体"/>
                <w:i w:val="0"/>
                <w:color w:val="000000"/>
                <w:sz w:val="24"/>
                <w:szCs w:val="24"/>
                <w:u w:val="none"/>
              </w:rPr>
            </w:pPr>
          </w:p>
        </w:tc>
      </w:tr>
      <w:tr w14:paraId="50DAECC1">
        <w:tblPrEx>
          <w:tblCellMar>
            <w:top w:w="0" w:type="dxa"/>
            <w:left w:w="0" w:type="dxa"/>
            <w:bottom w:w="0" w:type="dxa"/>
            <w:right w:w="0" w:type="dxa"/>
          </w:tblCellMar>
        </w:tblPrEx>
        <w:trPr>
          <w:trHeight w:val="72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4D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B1FE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3CD6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滚动直线导轨 HIWIN-HGH25HA2R4800(1600×3)ZACII+ZZ/SE</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FD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3AA5">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421A">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D3FB">
            <w:pPr>
              <w:rPr>
                <w:rFonts w:hint="eastAsia" w:ascii="宋体" w:hAnsi="宋体" w:eastAsia="宋体" w:cs="宋体"/>
                <w:i w:val="0"/>
                <w:color w:val="000000"/>
                <w:sz w:val="24"/>
                <w:szCs w:val="24"/>
                <w:u w:val="none"/>
              </w:rPr>
            </w:pPr>
          </w:p>
        </w:tc>
      </w:tr>
      <w:tr w14:paraId="3A8083F1">
        <w:tblPrEx>
          <w:shd w:val="clear" w:color="auto" w:fill="auto"/>
          <w:tblCellMar>
            <w:top w:w="0" w:type="dxa"/>
            <w:left w:w="0" w:type="dxa"/>
            <w:bottom w:w="0" w:type="dxa"/>
            <w:right w:w="0" w:type="dxa"/>
          </w:tblCellMar>
        </w:tblPrEx>
        <w:trPr>
          <w:trHeight w:val="4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9D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B268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516D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HGH35CA3R26760(3960×6+3000)ZACⅡ+ZZ/SE</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EF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E64B">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4BC1">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96FF">
            <w:pPr>
              <w:rPr>
                <w:rFonts w:hint="eastAsia" w:ascii="宋体" w:hAnsi="宋体" w:eastAsia="宋体" w:cs="宋体"/>
                <w:i w:val="0"/>
                <w:color w:val="000000"/>
                <w:sz w:val="24"/>
                <w:szCs w:val="24"/>
                <w:u w:val="none"/>
              </w:rPr>
            </w:pPr>
          </w:p>
        </w:tc>
      </w:tr>
      <w:tr w14:paraId="77D3FB69">
        <w:tblPrEx>
          <w:tblCellMar>
            <w:top w:w="0" w:type="dxa"/>
            <w:left w:w="0" w:type="dxa"/>
            <w:bottom w:w="0" w:type="dxa"/>
            <w:right w:w="0" w:type="dxa"/>
          </w:tblCellMar>
        </w:tblPrEx>
        <w:trPr>
          <w:trHeight w:val="5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2DE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1BF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9CB0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滚动直线导轨 HND20B 436 2 A Z0 C 8 8 Ⅱ</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8F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5DB4">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39E5">
            <w:pP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0796">
            <w:pPr>
              <w:rPr>
                <w:rFonts w:hint="eastAsia" w:ascii="宋体" w:hAnsi="宋体" w:eastAsia="宋体" w:cs="宋体"/>
                <w:i w:val="0"/>
                <w:color w:val="000000"/>
                <w:sz w:val="24"/>
                <w:szCs w:val="24"/>
                <w:u w:val="none"/>
              </w:rPr>
            </w:pPr>
          </w:p>
        </w:tc>
      </w:tr>
      <w:tr w14:paraId="4F370EFA">
        <w:tblPrEx>
          <w:shd w:val="clear" w:color="auto" w:fill="auto"/>
          <w:tblCellMar>
            <w:top w:w="0" w:type="dxa"/>
            <w:left w:w="0" w:type="dxa"/>
            <w:bottom w:w="0" w:type="dxa"/>
            <w:right w:w="0"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50F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F8BE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1889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喷嘴延长件</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39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E1EAD">
            <w:pPr>
              <w:jc w:val="left"/>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4353">
            <w:pPr>
              <w:jc w:val="left"/>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1540">
            <w:pPr>
              <w:jc w:val="left"/>
              <w:rPr>
                <w:rFonts w:hint="eastAsia" w:ascii="宋体" w:hAnsi="宋体" w:eastAsia="宋体" w:cs="宋体"/>
                <w:i w:val="0"/>
                <w:color w:val="000000"/>
                <w:sz w:val="22"/>
                <w:szCs w:val="22"/>
                <w:u w:val="none"/>
              </w:rPr>
            </w:pPr>
          </w:p>
        </w:tc>
      </w:tr>
    </w:tbl>
    <w:p w14:paraId="7BB387D7">
      <w:pPr>
        <w:pStyle w:val="16"/>
        <w:numPr>
          <w:ilvl w:val="0"/>
          <w:numId w:val="0"/>
        </w:numPr>
        <w:spacing w:line="420" w:lineRule="exact"/>
        <w:rPr>
          <w:rFonts w:hint="default" w:ascii="仿宋" w:hAnsi="仿宋" w:eastAsia="仿宋" w:cs="仿宋"/>
          <w:b/>
          <w:bCs/>
          <w:color w:val="000000" w:themeColor="text1"/>
          <w:sz w:val="24"/>
          <w:szCs w:val="24"/>
          <w:lang w:val="en-US" w:eastAsia="zh-CN"/>
          <w14:textFill>
            <w14:solidFill>
              <w14:schemeClr w14:val="tx1"/>
            </w14:solidFill>
          </w14:textFill>
        </w:rPr>
      </w:pPr>
    </w:p>
    <w:p w14:paraId="24FCB45E">
      <w:pPr>
        <w:pStyle w:val="16"/>
        <w:rPr>
          <w:rFonts w:hint="eastAsia" w:hAnsi="宋体" w:eastAsia="宋体" w:cs="Times New Roman"/>
          <w:b/>
          <w:color w:val="000000"/>
          <w:sz w:val="24"/>
          <w:szCs w:val="24"/>
          <w:lang w:val="en-US" w:eastAsia="zh-CN"/>
        </w:rPr>
      </w:pPr>
    </w:p>
    <w:p w14:paraId="64C571BD">
      <w:pPr>
        <w:pStyle w:val="77"/>
        <w:rPr>
          <w:b/>
          <w:bCs/>
        </w:rPr>
      </w:pPr>
    </w:p>
    <w:p w14:paraId="03A4D662">
      <w:pPr>
        <w:pStyle w:val="77"/>
        <w:rPr>
          <w:b/>
          <w:bCs/>
        </w:rPr>
      </w:pPr>
    </w:p>
    <w:p w14:paraId="548B73A4">
      <w:pPr>
        <w:pStyle w:val="77"/>
        <w:rPr>
          <w:b/>
          <w:bCs/>
        </w:rPr>
      </w:pPr>
    </w:p>
    <w:p w14:paraId="7D18620C">
      <w:pPr>
        <w:pStyle w:val="77"/>
        <w:rPr>
          <w:b/>
          <w:bCs/>
        </w:rPr>
      </w:pPr>
    </w:p>
    <w:p w14:paraId="5D1D0C8F">
      <w:pPr>
        <w:pStyle w:val="77"/>
        <w:rPr>
          <w:b/>
          <w:bCs/>
        </w:rPr>
      </w:pPr>
    </w:p>
    <w:p w14:paraId="4B1D8B2F">
      <w:pPr>
        <w:pStyle w:val="77"/>
        <w:rPr>
          <w:b/>
          <w:bCs/>
        </w:rPr>
      </w:pPr>
    </w:p>
    <w:p w14:paraId="55E54AC2">
      <w:pPr>
        <w:pStyle w:val="77"/>
      </w:pPr>
    </w:p>
    <w:p w14:paraId="5871DF53">
      <w:pPr>
        <w:pStyle w:val="72"/>
      </w:pPr>
      <w:bookmarkStart w:id="26" w:name="_Toc47976609"/>
      <w:bookmarkStart w:id="27" w:name="_Toc20595"/>
      <w:r>
        <w:rPr>
          <w:rFonts w:hint="eastAsia"/>
        </w:rPr>
        <w:t>第三部分　合同主要条款</w:t>
      </w:r>
      <w:bookmarkEnd w:id="26"/>
      <w:bookmarkEnd w:id="27"/>
    </w:p>
    <w:p w14:paraId="23914DBE">
      <w:pPr>
        <w:pStyle w:val="73"/>
        <w:numPr>
          <w:ilvl w:val="0"/>
          <w:numId w:val="30"/>
        </w:numPr>
        <w:ind w:left="420"/>
      </w:pPr>
      <w:bookmarkStart w:id="28" w:name="_Toc47976610"/>
      <w:r>
        <w:rPr>
          <w:rFonts w:hint="eastAsia"/>
          <w:lang w:val="en-US" w:eastAsia="zh-CN"/>
        </w:rPr>
        <w:t>标的、数量、</w:t>
      </w:r>
      <w:r>
        <w:rPr>
          <w:rFonts w:hint="eastAsia"/>
        </w:rPr>
        <w:t>交货期</w:t>
      </w:r>
      <w:bookmarkEnd w:id="28"/>
    </w:p>
    <w:p w14:paraId="18603CA8">
      <w:pPr>
        <w:pStyle w:val="73"/>
      </w:pPr>
      <w:bookmarkStart w:id="29" w:name="_Toc47976611"/>
      <w:r>
        <w:rPr>
          <w:rFonts w:hint="eastAsia"/>
        </w:rPr>
        <w:t>交货地点</w:t>
      </w:r>
      <w:bookmarkEnd w:id="29"/>
    </w:p>
    <w:p w14:paraId="3F03A936">
      <w:pPr>
        <w:pStyle w:val="73"/>
      </w:pPr>
      <w:bookmarkStart w:id="30" w:name="_Toc47976612"/>
      <w:r>
        <w:rPr>
          <w:rFonts w:hint="eastAsia"/>
          <w:lang w:val="en-US" w:eastAsia="zh-CN"/>
        </w:rPr>
        <w:t>价款及</w:t>
      </w:r>
      <w:r>
        <w:rPr>
          <w:rFonts w:hint="eastAsia"/>
        </w:rPr>
        <w:t>付款方式</w:t>
      </w:r>
      <w:bookmarkEnd w:id="30"/>
    </w:p>
    <w:p w14:paraId="0A7F4E98">
      <w:pPr>
        <w:pStyle w:val="73"/>
      </w:pPr>
      <w:bookmarkStart w:id="31" w:name="_Toc47976613"/>
      <w:r>
        <w:rPr>
          <w:rFonts w:hint="eastAsia"/>
          <w:lang w:val="en-US" w:eastAsia="zh-CN"/>
        </w:rPr>
        <w:t>质量要求、</w:t>
      </w:r>
      <w:r>
        <w:rPr>
          <w:rFonts w:hint="eastAsia"/>
        </w:rPr>
        <w:t>保修期及售后服务</w:t>
      </w:r>
      <w:bookmarkEnd w:id="31"/>
    </w:p>
    <w:p w14:paraId="50F6C5C1">
      <w:pPr>
        <w:pStyle w:val="73"/>
      </w:pPr>
      <w:bookmarkStart w:id="32" w:name="_Toc47976614"/>
      <w:r>
        <w:rPr>
          <w:rFonts w:hint="eastAsia"/>
        </w:rPr>
        <w:t>安装、调试及验收要求</w:t>
      </w:r>
      <w:bookmarkEnd w:id="32"/>
    </w:p>
    <w:p w14:paraId="7FDA440C">
      <w:pPr>
        <w:pStyle w:val="73"/>
      </w:pPr>
      <w:r>
        <w:rPr>
          <w:rFonts w:hint="eastAsia"/>
          <w:lang w:val="en-US" w:eastAsia="zh-CN"/>
        </w:rPr>
        <w:t>违约责任</w:t>
      </w:r>
    </w:p>
    <w:p w14:paraId="7B5AD212">
      <w:pPr>
        <w:pStyle w:val="73"/>
      </w:pPr>
      <w:r>
        <w:rPr>
          <w:rFonts w:hint="eastAsia"/>
          <w:lang w:val="en-US" w:eastAsia="zh-CN"/>
        </w:rPr>
        <w:t>争议解决方式</w:t>
      </w:r>
    </w:p>
    <w:p w14:paraId="4DC7C6C4">
      <w:pPr>
        <w:pStyle w:val="77"/>
      </w:pPr>
    </w:p>
    <w:p w14:paraId="79A7EC9B">
      <w:pPr>
        <w:pStyle w:val="77"/>
      </w:pPr>
    </w:p>
    <w:p w14:paraId="29A923C9">
      <w:pPr>
        <w:pStyle w:val="77"/>
      </w:pPr>
    </w:p>
    <w:p w14:paraId="02C07EE0">
      <w:pPr>
        <w:pStyle w:val="77"/>
      </w:pPr>
    </w:p>
    <w:p w14:paraId="2C8E5872">
      <w:pPr>
        <w:pStyle w:val="77"/>
      </w:pPr>
    </w:p>
    <w:p w14:paraId="58561A34">
      <w:pPr>
        <w:pStyle w:val="77"/>
      </w:pPr>
    </w:p>
    <w:p w14:paraId="648813C0">
      <w:pPr>
        <w:pStyle w:val="77"/>
      </w:pPr>
    </w:p>
    <w:p w14:paraId="4BCD1D68">
      <w:pPr>
        <w:pStyle w:val="77"/>
      </w:pPr>
    </w:p>
    <w:p w14:paraId="1C00DA7D">
      <w:pPr>
        <w:pStyle w:val="77"/>
      </w:pPr>
    </w:p>
    <w:p w14:paraId="2623C422">
      <w:pPr>
        <w:pStyle w:val="77"/>
      </w:pPr>
    </w:p>
    <w:p w14:paraId="368936A5">
      <w:pPr>
        <w:pStyle w:val="77"/>
      </w:pPr>
    </w:p>
    <w:p w14:paraId="0A89DD42">
      <w:pPr>
        <w:pStyle w:val="77"/>
      </w:pPr>
    </w:p>
    <w:p w14:paraId="51102A35">
      <w:pPr>
        <w:pStyle w:val="77"/>
      </w:pPr>
    </w:p>
    <w:p w14:paraId="46224B9E">
      <w:pPr>
        <w:pStyle w:val="77"/>
      </w:pPr>
    </w:p>
    <w:p w14:paraId="7BC3B07C">
      <w:pPr>
        <w:pStyle w:val="77"/>
      </w:pPr>
    </w:p>
    <w:p w14:paraId="240D7736">
      <w:pPr>
        <w:pStyle w:val="77"/>
      </w:pPr>
    </w:p>
    <w:p w14:paraId="39410DA2">
      <w:pPr>
        <w:pStyle w:val="77"/>
      </w:pPr>
    </w:p>
    <w:p w14:paraId="0EB8BBEB">
      <w:pPr>
        <w:pStyle w:val="72"/>
        <w:rPr>
          <w:rFonts w:hint="default" w:eastAsia="黑体"/>
          <w:lang w:val="en-US" w:eastAsia="zh-CN"/>
        </w:rPr>
      </w:pPr>
      <w:bookmarkStart w:id="33" w:name="_Toc47976615"/>
      <w:bookmarkStart w:id="34" w:name="_Toc5925"/>
      <w:r>
        <w:rPr>
          <w:rFonts w:hint="eastAsia"/>
        </w:rPr>
        <w:t>第四部分　</w:t>
      </w:r>
      <w:bookmarkEnd w:id="33"/>
      <w:r>
        <w:rPr>
          <w:rFonts w:hint="eastAsia"/>
          <w:lang w:val="en-US" w:eastAsia="zh-CN"/>
        </w:rPr>
        <w:t>投标文件附件</w:t>
      </w:r>
      <w:bookmarkEnd w:id="34"/>
    </w:p>
    <w:p w14:paraId="600DE1DD">
      <w:pPr>
        <w:pStyle w:val="72"/>
        <w:jc w:val="left"/>
        <w:rPr>
          <w:rFonts w:hint="eastAsia" w:ascii="宋体" w:hAnsi="宋体" w:eastAsia="宋体" w:cs="宋体"/>
          <w:sz w:val="32"/>
          <w:szCs w:val="32"/>
          <w:highlight w:val="yellow"/>
          <w:lang w:eastAsia="zh-CN"/>
        </w:rPr>
      </w:pPr>
      <w:bookmarkStart w:id="35" w:name="_Toc47976616"/>
      <w:bookmarkStart w:id="36" w:name="_Toc4225"/>
      <w:r>
        <w:rPr>
          <w:rFonts w:hint="eastAsia" w:ascii="宋体" w:hAnsi="宋体" w:eastAsia="宋体" w:cs="宋体"/>
          <w:sz w:val="32"/>
          <w:szCs w:val="32"/>
          <w:highlight w:val="yellow"/>
        </w:rPr>
        <w:t>附件</w:t>
      </w:r>
      <w:bookmarkEnd w:id="35"/>
      <w:bookmarkEnd w:id="36"/>
      <w:r>
        <w:rPr>
          <w:rFonts w:hint="eastAsia" w:ascii="宋体" w:hAnsi="宋体" w:eastAsia="宋体" w:cs="宋体"/>
          <w:sz w:val="32"/>
          <w:szCs w:val="32"/>
          <w:highlight w:val="yellow"/>
          <w:lang w:val="en-US" w:eastAsia="zh-CN"/>
        </w:rPr>
        <w:t>1</w:t>
      </w:r>
    </w:p>
    <w:p w14:paraId="3D26BC99">
      <w:pPr>
        <w:keepNext/>
        <w:keepLines/>
        <w:jc w:val="center"/>
        <w:outlineLvl w:val="2"/>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投标函</w:t>
      </w:r>
    </w:p>
    <w:p w14:paraId="0B39DB81">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致：中国重汽集团</w:t>
      </w:r>
      <w:r>
        <w:rPr>
          <w:rFonts w:hint="eastAsia" w:ascii="宋体" w:hAnsi="宋体" w:cs="Times New Roman"/>
          <w:color w:val="000000"/>
          <w:sz w:val="24"/>
          <w:szCs w:val="24"/>
          <w:u w:val="single"/>
          <w:lang w:val="en-US" w:eastAsia="zh-CN"/>
        </w:rPr>
        <w:t xml:space="preserve">            </w:t>
      </w:r>
      <w:r>
        <w:rPr>
          <w:rFonts w:hint="eastAsia" w:ascii="宋体" w:hAnsi="宋体" w:eastAsia="宋体" w:cs="Times New Roman"/>
          <w:color w:val="000000"/>
          <w:sz w:val="24"/>
          <w:szCs w:val="24"/>
        </w:rPr>
        <w:t>有限公司：</w:t>
      </w:r>
    </w:p>
    <w:p w14:paraId="7F916B1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根据贵方</w:t>
      </w:r>
      <w:r>
        <w:rPr>
          <w:rFonts w:hint="eastAsia" w:ascii="宋体" w:hAnsi="宋体" w:cs="Times New Roman"/>
          <w:color w:val="000000"/>
          <w:sz w:val="24"/>
          <w:szCs w:val="24"/>
          <w:u w:val="single"/>
          <w:lang w:val="en-US" w:eastAsia="zh-CN"/>
        </w:rPr>
        <w:t xml:space="preserve">                       </w:t>
      </w:r>
      <w:r>
        <w:rPr>
          <w:rFonts w:hint="eastAsia" w:ascii="宋体" w:hAnsi="宋体" w:eastAsia="宋体" w:cs="Times New Roman"/>
          <w:bCs/>
          <w:snapToGrid w:val="0"/>
          <w:color w:val="000000"/>
          <w:kern w:val="0"/>
          <w:sz w:val="24"/>
          <w:szCs w:val="24"/>
        </w:rPr>
        <w:t>招标公告</w:t>
      </w:r>
      <w:r>
        <w:rPr>
          <w:rFonts w:hint="eastAsia" w:ascii="宋体" w:hAnsi="宋体" w:eastAsia="宋体" w:cs="Times New Roman"/>
          <w:color w:val="000000"/>
          <w:sz w:val="24"/>
          <w:szCs w:val="24"/>
        </w:rPr>
        <w:t>，</w:t>
      </w:r>
      <w:r>
        <w:rPr>
          <w:rFonts w:ascii="宋体" w:hAnsi="宋体" w:eastAsia="宋体" w:cs="Times New Roman"/>
          <w:b/>
          <w:color w:val="000000"/>
          <w:sz w:val="24"/>
          <w:szCs w:val="24"/>
          <w:u w:val="single"/>
        </w:rPr>
        <w:t xml:space="preserve">            </w:t>
      </w:r>
      <w:r>
        <w:rPr>
          <w:rFonts w:hint="eastAsia" w:ascii="宋体" w:hAnsi="宋体" w:eastAsia="宋体" w:cs="Times New Roman"/>
          <w:color w:val="000000"/>
          <w:sz w:val="24"/>
          <w:szCs w:val="24"/>
        </w:rPr>
        <w:t>投标公司，</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法人代表人为</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，正式授权</w:t>
      </w:r>
      <w:r>
        <w:rPr>
          <w:rFonts w:ascii="宋体" w:hAnsi="宋体" w:eastAsia="宋体" w:cs="Times New Roman"/>
          <w:color w:val="000000"/>
          <w:sz w:val="24"/>
          <w:szCs w:val="24"/>
          <w:u w:val="single"/>
        </w:rPr>
        <w:t xml:space="preserve">           </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提交纸质投标文件：资质证明文件、商务文件和技术文件正本</w:t>
      </w:r>
      <w:r>
        <w:rPr>
          <w:rFonts w:hint="eastAsia" w:ascii="宋体" w:hAnsi="宋体" w:cs="Times New Roman"/>
          <w:color w:val="000000"/>
          <w:sz w:val="24"/>
          <w:szCs w:val="24"/>
          <w:u w:val="single"/>
          <w:lang w:val="en-US" w:eastAsia="zh-CN"/>
        </w:rPr>
        <w:t xml:space="preserve">  </w:t>
      </w:r>
      <w:r>
        <w:rPr>
          <w:rFonts w:hint="eastAsia" w:ascii="宋体" w:hAnsi="宋体" w:eastAsia="宋体" w:cs="Times New Roman"/>
          <w:color w:val="000000"/>
          <w:sz w:val="24"/>
          <w:szCs w:val="24"/>
        </w:rPr>
        <w:t>份、副本</w:t>
      </w:r>
      <w:r>
        <w:rPr>
          <w:rFonts w:hint="eastAsia" w:ascii="宋体" w:hAnsi="宋体" w:cs="Times New Roman"/>
          <w:color w:val="000000"/>
          <w:sz w:val="24"/>
          <w:szCs w:val="24"/>
          <w:u w:val="single"/>
          <w:lang w:val="en-US" w:eastAsia="zh-CN"/>
        </w:rPr>
        <w:t xml:space="preserve">  </w:t>
      </w:r>
      <w:r>
        <w:rPr>
          <w:rFonts w:hint="eastAsia" w:ascii="宋体" w:hAnsi="宋体" w:eastAsia="宋体" w:cs="Times New Roman"/>
          <w:color w:val="000000"/>
          <w:sz w:val="24"/>
          <w:szCs w:val="24"/>
        </w:rPr>
        <w:t>份；电子版投标文件一份。</w:t>
      </w:r>
    </w:p>
    <w:p w14:paraId="26D6294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据此函，签字代表宣布同意如下：</w:t>
      </w:r>
    </w:p>
    <w:p w14:paraId="71FBB532">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14:paraId="535DAEDA">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.投标人在投标之前已经与贵方进行了充分的沟通，完全理解并接受招标文件的各项规定和要求，对招标文件的合理性、合法性不再有异议。</w:t>
      </w:r>
    </w:p>
    <w:p w14:paraId="7A6FA392">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.本投标有效期自开标日起</w:t>
      </w:r>
      <w:r>
        <w:rPr>
          <w:rFonts w:ascii="宋体" w:hAnsi="宋体" w:eastAsia="宋体" w:cs="Times New Roman"/>
          <w:bCs/>
          <w:color w:val="000000"/>
          <w:sz w:val="24"/>
          <w:szCs w:val="24"/>
          <w:u w:val="single"/>
        </w:rPr>
        <w:t xml:space="preserve"> </w:t>
      </w:r>
      <w:r>
        <w:rPr>
          <w:rFonts w:hint="eastAsia" w:ascii="宋体" w:hAnsi="宋体" w:cs="Times New Roman"/>
          <w:bCs/>
          <w:color w:val="000000"/>
          <w:sz w:val="24"/>
          <w:szCs w:val="24"/>
          <w:u w:val="single"/>
          <w:lang w:val="en-US" w:eastAsia="zh-CN"/>
        </w:rPr>
        <w:t xml:space="preserve"> </w:t>
      </w:r>
      <w:r>
        <w:rPr>
          <w:rFonts w:hint="eastAsia" w:ascii="宋体" w:hAnsi="宋体" w:eastAsia="宋体" w:cs="Times New Roman"/>
          <w:color w:val="000000"/>
          <w:sz w:val="24"/>
          <w:szCs w:val="24"/>
        </w:rPr>
        <w:t>个日历日。</w:t>
      </w:r>
    </w:p>
    <w:p w14:paraId="459E3F15">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w:t>
      </w:r>
      <w:r>
        <w:rPr>
          <w:rFonts w:hint="eastAsia" w:ascii="宋体" w:hAnsi="宋体" w:eastAsia="宋体" w:cs="Times New Roman"/>
          <w:color w:val="000000"/>
          <w:sz w:val="24"/>
          <w:szCs w:val="24"/>
        </w:rPr>
        <w:t>.如中标，本投标文件至本项目合同履行完毕止均保持有效，本投标人将按“招标文件”及政府采购法律、法规的规定履行合同责任和义务。</w:t>
      </w:r>
    </w:p>
    <w:p w14:paraId="77545813">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w:t>
      </w:r>
      <w:r>
        <w:rPr>
          <w:rFonts w:hint="eastAsia" w:ascii="宋体" w:hAnsi="宋体" w:eastAsia="宋体" w:cs="Times New Roman"/>
          <w:color w:val="000000"/>
          <w:sz w:val="24"/>
          <w:szCs w:val="24"/>
        </w:rPr>
        <w:t>.投标人同意按照贵方要求提供与投标有关的一切数据或资料。</w:t>
      </w:r>
    </w:p>
    <w:p w14:paraId="4F02BADB">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6</w:t>
      </w:r>
      <w:r>
        <w:rPr>
          <w:rFonts w:hint="eastAsia" w:ascii="宋体" w:hAnsi="宋体" w:eastAsia="宋体" w:cs="Times New Roman"/>
          <w:color w:val="000000"/>
          <w:sz w:val="24"/>
          <w:szCs w:val="24"/>
        </w:rPr>
        <w:t>.与本投标有关的一切正式往来信函请寄：</w:t>
      </w:r>
    </w:p>
    <w:p w14:paraId="3404A7CE">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r>
        <w:rPr>
          <w:rFonts w:ascii="宋体" w:hAnsi="宋体" w:eastAsia="宋体" w:cs="Times New Roman"/>
          <w:color w:val="000000"/>
          <w:sz w:val="24"/>
          <w:szCs w:val="24"/>
        </w:rPr>
        <w:t xml:space="preserve">                             </w:t>
      </w:r>
    </w:p>
    <w:p w14:paraId="24E63A1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邮编：</w:t>
      </w:r>
      <w:r>
        <w:rPr>
          <w:rFonts w:ascii="宋体" w:hAnsi="宋体" w:eastAsia="宋体" w:cs="Times New Roman"/>
          <w:color w:val="000000"/>
          <w:sz w:val="24"/>
          <w:szCs w:val="24"/>
        </w:rPr>
        <w:t xml:space="preserve">        </w:t>
      </w:r>
    </w:p>
    <w:p w14:paraId="40F28EC1">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电话：</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传真：</w:t>
      </w:r>
      <w:r>
        <w:rPr>
          <w:rFonts w:ascii="宋体" w:hAnsi="宋体" w:eastAsia="宋体" w:cs="Times New Roman"/>
          <w:color w:val="000000"/>
          <w:sz w:val="24"/>
          <w:szCs w:val="24"/>
        </w:rPr>
        <w:t xml:space="preserve">                   </w:t>
      </w:r>
    </w:p>
    <w:p w14:paraId="1D482AFB">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投标人代表姓名：</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职务：</w:t>
      </w:r>
      <w:r>
        <w:rPr>
          <w:rFonts w:ascii="宋体" w:hAnsi="宋体" w:eastAsia="宋体" w:cs="Times New Roman"/>
          <w:color w:val="000000"/>
          <w:sz w:val="24"/>
          <w:szCs w:val="24"/>
        </w:rPr>
        <w:t xml:space="preserve">          </w:t>
      </w:r>
    </w:p>
    <w:p w14:paraId="43152E4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开户银行：</w:t>
      </w:r>
      <w:r>
        <w:rPr>
          <w:rFonts w:ascii="宋体" w:hAnsi="宋体" w:eastAsia="宋体" w:cs="Times New Roman"/>
          <w:color w:val="000000"/>
          <w:sz w:val="24"/>
          <w:szCs w:val="24"/>
        </w:rPr>
        <w:t xml:space="preserve">                   </w:t>
      </w:r>
    </w:p>
    <w:p w14:paraId="2F8C4A4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银行帐号：</w:t>
      </w:r>
      <w:r>
        <w:rPr>
          <w:rFonts w:ascii="宋体" w:hAnsi="宋体" w:eastAsia="宋体" w:cs="Times New Roman"/>
          <w:color w:val="000000"/>
          <w:sz w:val="24"/>
          <w:szCs w:val="24"/>
        </w:rPr>
        <w:t xml:space="preserve">                   </w:t>
      </w:r>
    </w:p>
    <w:p w14:paraId="0446231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w:t>
      </w:r>
      <w:r>
        <w:rPr>
          <w:rFonts w:hint="eastAsia" w:ascii="宋体" w:hAnsi="宋体" w:eastAsia="宋体" w:cs="Times New Roman"/>
          <w:bCs/>
          <w:color w:val="000000"/>
          <w:sz w:val="24"/>
          <w:szCs w:val="24"/>
        </w:rPr>
        <w:t>盖章）</w:t>
      </w:r>
      <w:r>
        <w:rPr>
          <w:rFonts w:ascii="宋体" w:hAnsi="宋体" w:eastAsia="宋体" w:cs="Times New Roman"/>
          <w:color w:val="000000"/>
          <w:sz w:val="24"/>
          <w:szCs w:val="24"/>
        </w:rPr>
        <w:t xml:space="preserve">: </w:t>
      </w:r>
    </w:p>
    <w:p w14:paraId="7045671E">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授权代表签字</w:t>
      </w:r>
      <w:r>
        <w:rPr>
          <w:rFonts w:hint="eastAsia" w:ascii="宋体" w:hAnsi="宋体" w:eastAsia="宋体" w:cs="Times New Roman"/>
          <w:bCs/>
          <w:color w:val="000000"/>
          <w:sz w:val="24"/>
          <w:szCs w:val="24"/>
        </w:rPr>
        <w:t>：</w:t>
      </w:r>
    </w:p>
    <w:p w14:paraId="284F62AD">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14:paraId="50D9D845">
      <w:pPr>
        <w:rPr>
          <w:rFonts w:ascii="黑体" w:hAnsi="Calibri" w:eastAsia="黑体" w:cs="Times New Roman"/>
          <w:color w:val="000000"/>
          <w:sz w:val="24"/>
          <w:szCs w:val="24"/>
        </w:rPr>
      </w:pPr>
    </w:p>
    <w:p w14:paraId="32681108">
      <w:pPr>
        <w:jc w:val="both"/>
        <w:rPr>
          <w:rFonts w:ascii="宋体"/>
          <w:b/>
          <w:color w:val="000000"/>
          <w:szCs w:val="24"/>
        </w:rPr>
      </w:pPr>
    </w:p>
    <w:p w14:paraId="57006D89">
      <w:pPr>
        <w:pStyle w:val="73"/>
        <w:numPr>
          <w:ilvl w:val="0"/>
          <w:numId w:val="0"/>
        </w:numPr>
        <w:ind w:leftChars="0"/>
        <w:rPr>
          <w:rFonts w:hint="eastAsia" w:ascii="宋体" w:hAnsi="宋体" w:eastAsia="宋体" w:cs="宋体"/>
          <w:sz w:val="32"/>
          <w:szCs w:val="32"/>
          <w:highlight w:val="yellow"/>
          <w:lang w:val="en-US" w:eastAsia="zh-CN"/>
        </w:rPr>
      </w:pPr>
      <w:bookmarkStart w:id="37" w:name="_Toc47976618"/>
      <w:bookmarkStart w:id="38" w:name="_Toc29366869"/>
      <w:bookmarkStart w:id="39" w:name="_Toc29366865"/>
      <w:r>
        <w:rPr>
          <w:rFonts w:hint="eastAsia" w:ascii="宋体" w:hAnsi="宋体" w:eastAsia="宋体" w:cs="宋体"/>
          <w:sz w:val="32"/>
          <w:szCs w:val="32"/>
          <w:highlight w:val="yellow"/>
          <w:lang w:val="en-US" w:eastAsia="zh-CN"/>
        </w:rPr>
        <w:t>附件2</w:t>
      </w:r>
    </w:p>
    <w:bookmarkEnd w:id="37"/>
    <w:p w14:paraId="0179E87D">
      <w:pPr>
        <w:spacing w:line="360" w:lineRule="auto"/>
        <w:jc w:val="center"/>
        <w:rPr>
          <w:rFonts w:hint="eastAsia" w:ascii="宋体" w:hAnsi="宋体" w:eastAsia="宋体" w:cs="宋体"/>
          <w:color w:val="000000"/>
          <w:sz w:val="32"/>
          <w:szCs w:val="32"/>
        </w:rPr>
      </w:pPr>
      <w:r>
        <w:rPr>
          <w:rFonts w:hint="eastAsia" w:ascii="宋体" w:hAnsi="宋体" w:eastAsia="宋体" w:cs="宋体"/>
          <w:b/>
          <w:bCs/>
          <w:color w:val="000000"/>
          <w:sz w:val="32"/>
          <w:szCs w:val="32"/>
        </w:rPr>
        <w:t>法定代表人授权委托书</w:t>
      </w:r>
    </w:p>
    <w:p w14:paraId="19A97CD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本授权委托书声明：我＿＿＿＿＿＿＿（姓名）系＿＿＿＿＿＿＿＿＿＿＿＿＿＿＿＿＿＿＿＿＿＿＿＿（投标人全称）的法定代表人，就</w:t>
      </w:r>
      <w:r>
        <w:rPr>
          <w:rFonts w:ascii="宋体" w:hAnsi="宋体" w:eastAsia="宋体" w:cs="Times New Roman"/>
          <w:b/>
          <w:bCs/>
          <w:color w:val="000000"/>
          <w:sz w:val="24"/>
          <w:szCs w:val="24"/>
          <w:u w:val="single"/>
        </w:rPr>
        <w:t xml:space="preserve"> </w:t>
      </w:r>
      <w:r>
        <w:rPr>
          <w:rFonts w:hint="eastAsia" w:ascii="宋体" w:hAnsi="宋体" w:cs="Times New Roman"/>
          <w:b/>
          <w:bCs/>
          <w:color w:val="000000"/>
          <w:sz w:val="24"/>
          <w:szCs w:val="24"/>
          <w:u w:val="single"/>
          <w:lang w:val="en-US" w:eastAsia="zh-CN"/>
        </w:rPr>
        <w:t xml:space="preserve">                      </w:t>
      </w:r>
      <w:r>
        <w:rPr>
          <w:rFonts w:hint="eastAsia" w:ascii="宋体" w:hAnsi="宋体" w:eastAsia="宋体" w:cs="Times New Roman"/>
          <w:color w:val="000000"/>
          <w:sz w:val="24"/>
          <w:szCs w:val="24"/>
        </w:rPr>
        <w:t>现授权委托＿＿＿＿＿＿＿＿＿＿＿＿＿＿＿＿＿＿＿＿＿＿＿＿＿＿＿＿（单位名称）的＿＿＿＿＿＿＿＿（姓名、职务）为我公司全权代表，全权代表在投标文件、评标过程中的书面承诺、合同等所签署的一切文件和处理与之有关的一切事务，我均予以承认。</w:t>
      </w:r>
    </w:p>
    <w:p w14:paraId="74BF2FA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2"/>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7313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6DC2AEF8">
            <w:pPr>
              <w:adjustRightInd w:val="0"/>
              <w:snapToGrid w:val="0"/>
              <w:spacing w:before="93" w:beforeLines="30" w:line="312" w:lineRule="auto"/>
              <w:jc w:val="center"/>
              <w:rPr>
                <w:rFonts w:ascii="宋体" w:hAnsi="Calibri" w:eastAsia="宋体" w:cs="Times New Roman"/>
                <w:sz w:val="24"/>
                <w:szCs w:val="20"/>
                <w:u w:val="none"/>
              </w:rPr>
            </w:pPr>
            <w:r>
              <w:rPr>
                <w:rFonts w:hint="eastAsia" w:ascii="宋体" w:hAnsi="宋体" w:eastAsia="宋体" w:cs="Times New Roman"/>
                <w:sz w:val="24"/>
                <w:szCs w:val="20"/>
              </w:rPr>
              <w:t>附法人身份证明复印件</w:t>
            </w:r>
            <w:r>
              <w:rPr>
                <w:rFonts w:hint="eastAsia" w:ascii="宋体" w:hAnsi="宋体" w:eastAsia="宋体" w:cs="Times New Roman"/>
                <w:sz w:val="24"/>
                <w:szCs w:val="20"/>
                <w:u w:val="none"/>
                <w:lang w:eastAsia="zh-CN"/>
              </w:rPr>
              <w:t>（</w:t>
            </w:r>
            <w:r>
              <w:rPr>
                <w:rFonts w:hint="eastAsia" w:ascii="宋体" w:hAnsi="宋体" w:eastAsia="宋体" w:cs="Times New Roman"/>
                <w:color w:val="000000" w:themeColor="text1"/>
                <w:sz w:val="24"/>
                <w:szCs w:val="20"/>
                <w:u w:val="none"/>
                <w:lang w:val="en-US" w:eastAsia="zh-CN"/>
                <w14:textFill>
                  <w14:solidFill>
                    <w14:schemeClr w14:val="tx1"/>
                  </w14:solidFill>
                </w14:textFill>
              </w:rPr>
              <w:t>正反面）</w:t>
            </w:r>
          </w:p>
          <w:p w14:paraId="0A0449F6">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正反面</w:t>
            </w:r>
            <w:r>
              <w:rPr>
                <w:rFonts w:hint="eastAsia" w:ascii="宋体" w:hAnsi="宋体" w:eastAsia="宋体" w:cs="Times New Roman"/>
                <w:sz w:val="24"/>
                <w:szCs w:val="20"/>
                <w:lang w:eastAsia="zh-CN"/>
              </w:rPr>
              <w:t>）</w:t>
            </w:r>
          </w:p>
        </w:tc>
      </w:tr>
    </w:tbl>
    <w:p w14:paraId="37BFA8A8">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14:paraId="3B6DD36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14:paraId="0F64A2A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14:paraId="100F211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14:paraId="7B47F76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14:paraId="6B9DBB7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14:paraId="152336F1">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2B3FEAEC">
      <w:pPr>
        <w:spacing w:line="360" w:lineRule="auto"/>
        <w:ind w:firstLine="4800" w:firstLineChars="2000"/>
        <w:rPr>
          <w:rFonts w:ascii="宋体" w:hAnsi="宋体" w:cs="宋体"/>
          <w:sz w:val="24"/>
          <w:szCs w:val="21"/>
        </w:rPr>
      </w:pPr>
    </w:p>
    <w:p w14:paraId="42BBE3A2">
      <w:pPr>
        <w:spacing w:line="360" w:lineRule="auto"/>
        <w:ind w:firstLine="4800" w:firstLineChars="2000"/>
        <w:rPr>
          <w:rFonts w:ascii="宋体" w:hAnsi="宋体" w:cs="宋体"/>
          <w:sz w:val="24"/>
          <w:szCs w:val="21"/>
        </w:rPr>
      </w:pPr>
    </w:p>
    <w:p w14:paraId="3D18A567">
      <w:pPr>
        <w:spacing w:line="360" w:lineRule="auto"/>
        <w:ind w:firstLine="4800" w:firstLineChars="2000"/>
        <w:rPr>
          <w:rFonts w:ascii="宋体" w:hAnsi="宋体" w:cs="宋体"/>
          <w:sz w:val="24"/>
          <w:szCs w:val="21"/>
        </w:rPr>
      </w:pPr>
    </w:p>
    <w:p w14:paraId="758E3B4E">
      <w:pPr>
        <w:spacing w:line="360" w:lineRule="auto"/>
        <w:ind w:firstLine="4800" w:firstLineChars="2000"/>
        <w:rPr>
          <w:rFonts w:ascii="宋体" w:hAnsi="宋体" w:cs="宋体"/>
          <w:sz w:val="24"/>
          <w:szCs w:val="21"/>
        </w:rPr>
      </w:pPr>
    </w:p>
    <w:p w14:paraId="69663AF6">
      <w:pPr>
        <w:pStyle w:val="16"/>
      </w:pPr>
    </w:p>
    <w:p w14:paraId="3A5DEF51">
      <w:pPr>
        <w:spacing w:line="360" w:lineRule="auto"/>
        <w:rPr>
          <w:rFonts w:ascii="宋体" w:hAnsi="宋体" w:cs="宋体"/>
          <w:sz w:val="24"/>
          <w:szCs w:val="21"/>
        </w:rPr>
      </w:pPr>
    </w:p>
    <w:bookmarkEnd w:id="38"/>
    <w:bookmarkEnd w:id="39"/>
    <w:p w14:paraId="53E6B306">
      <w:pPr>
        <w:pStyle w:val="73"/>
        <w:numPr>
          <w:ilvl w:val="0"/>
          <w:numId w:val="0"/>
        </w:numPr>
        <w:ind w:leftChars="0"/>
        <w:rPr>
          <w:rFonts w:hint="eastAsia" w:ascii="宋体" w:hAnsi="宋体" w:eastAsia="宋体" w:cs="宋体"/>
          <w:sz w:val="32"/>
          <w:szCs w:val="32"/>
          <w:highlight w:val="yellow"/>
          <w:lang w:val="en-US" w:eastAsia="zh-CN"/>
        </w:rPr>
      </w:pPr>
      <w:r>
        <w:rPr>
          <w:rFonts w:hint="eastAsia" w:ascii="宋体" w:hAnsi="宋体" w:eastAsia="宋体" w:cs="宋体"/>
          <w:sz w:val="32"/>
          <w:szCs w:val="32"/>
          <w:highlight w:val="yellow"/>
          <w:lang w:val="en-US" w:eastAsia="zh-CN"/>
        </w:rPr>
        <w:t>附件3</w:t>
      </w:r>
    </w:p>
    <w:p w14:paraId="769BF465">
      <w:pPr>
        <w:pStyle w:val="73"/>
        <w:numPr>
          <w:ilvl w:val="0"/>
          <w:numId w:val="0"/>
        </w:numPr>
        <w:ind w:leftChars="0"/>
        <w:jc w:val="center"/>
        <w:rPr>
          <w:rFonts w:hint="eastAsia"/>
          <w:lang w:val="en-US" w:eastAsia="zh-CN"/>
        </w:rPr>
      </w:pPr>
      <w:r>
        <w:rPr>
          <w:rFonts w:hint="eastAsia"/>
          <w:lang w:val="en-US" w:eastAsia="zh-CN"/>
        </w:rPr>
        <w:t>开标一览表</w:t>
      </w:r>
    </w:p>
    <w:p w14:paraId="71C63D3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hint="eastAsia"/>
        </w:rPr>
        <w:t>泰安五岳公司-下料设备更新项目</w:t>
      </w:r>
      <w:r>
        <w:rPr>
          <w:rFonts w:ascii="宋体" w:hAnsi="宋体" w:eastAsia="宋体" w:cs="Times New Roman"/>
          <w:color w:val="000000"/>
          <w:sz w:val="24"/>
          <w:szCs w:val="24"/>
        </w:rPr>
        <w:t xml:space="preserve">                                                       </w:t>
      </w: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8"/>
        <w:gridCol w:w="848"/>
        <w:gridCol w:w="2270"/>
        <w:gridCol w:w="1100"/>
        <w:gridCol w:w="1243"/>
        <w:gridCol w:w="705"/>
        <w:gridCol w:w="699"/>
      </w:tblGrid>
      <w:tr w14:paraId="07BA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77" w:type="dxa"/>
            <w:vAlign w:val="center"/>
          </w:tcPr>
          <w:p w14:paraId="1B2BAAFF">
            <w:pPr>
              <w:jc w:val="center"/>
              <w:rPr>
                <w:rFonts w:ascii="Times New Roman" w:hAnsi="Times New Roman" w:eastAsia="宋体" w:cs="Times New Roman"/>
                <w:b/>
                <w:szCs w:val="20"/>
              </w:rPr>
            </w:pPr>
            <w:r>
              <w:rPr>
                <w:rFonts w:hint="eastAsia" w:ascii="Times New Roman" w:hAnsi="Times New Roman" w:eastAsia="宋体" w:cs="Times New Roman"/>
                <w:b/>
                <w:szCs w:val="20"/>
              </w:rPr>
              <w:t>序号</w:t>
            </w:r>
          </w:p>
        </w:tc>
        <w:tc>
          <w:tcPr>
            <w:tcW w:w="1518" w:type="dxa"/>
            <w:vAlign w:val="center"/>
          </w:tcPr>
          <w:p w14:paraId="0CB9085E">
            <w:pPr>
              <w:jc w:val="center"/>
              <w:rPr>
                <w:rFonts w:ascii="Times New Roman" w:hAnsi="Times New Roman" w:eastAsia="宋体" w:cs="Times New Roman"/>
                <w:b/>
                <w:szCs w:val="20"/>
              </w:rPr>
            </w:pPr>
            <w:r>
              <w:rPr>
                <w:rFonts w:hint="eastAsia" w:ascii="Times New Roman" w:hAnsi="Times New Roman" w:eastAsia="宋体" w:cs="Times New Roman"/>
                <w:b/>
                <w:szCs w:val="20"/>
              </w:rPr>
              <w:t>货物名称</w:t>
            </w:r>
          </w:p>
        </w:tc>
        <w:tc>
          <w:tcPr>
            <w:tcW w:w="848" w:type="dxa"/>
            <w:vAlign w:val="center"/>
          </w:tcPr>
          <w:p w14:paraId="7FD1C6AE">
            <w:pPr>
              <w:jc w:val="center"/>
              <w:rPr>
                <w:rFonts w:ascii="Times New Roman" w:hAnsi="Times New Roman" w:eastAsia="宋体" w:cs="Times New Roman"/>
                <w:b/>
                <w:szCs w:val="20"/>
              </w:rPr>
            </w:pPr>
            <w:r>
              <w:rPr>
                <w:rFonts w:hint="eastAsia" w:ascii="Times New Roman" w:hAnsi="Times New Roman" w:eastAsia="宋体" w:cs="Times New Roman"/>
                <w:b/>
                <w:szCs w:val="20"/>
              </w:rPr>
              <w:t>数量</w:t>
            </w:r>
          </w:p>
        </w:tc>
        <w:tc>
          <w:tcPr>
            <w:tcW w:w="2270" w:type="dxa"/>
            <w:vAlign w:val="center"/>
          </w:tcPr>
          <w:p w14:paraId="7E8CB28F">
            <w:pPr>
              <w:jc w:val="center"/>
              <w:rPr>
                <w:rFonts w:ascii="Times New Roman" w:hAnsi="Times New Roman" w:eastAsia="宋体" w:cs="Times New Roman"/>
                <w:b/>
                <w:szCs w:val="20"/>
              </w:rPr>
            </w:pPr>
            <w:r>
              <w:rPr>
                <w:rFonts w:hint="eastAsia" w:ascii="Times New Roman" w:hAnsi="Times New Roman" w:eastAsia="宋体" w:cs="Times New Roman"/>
                <w:b/>
                <w:szCs w:val="20"/>
              </w:rPr>
              <w:t>投标总价</w:t>
            </w:r>
            <w:r>
              <w:rPr>
                <w:rFonts w:hint="eastAsia" w:ascii="等线" w:hAnsi="等线" w:eastAsia="等线" w:cs="Times New Roman"/>
                <w:b/>
                <w:szCs w:val="20"/>
              </w:rPr>
              <w:t>（元）</w:t>
            </w:r>
          </w:p>
        </w:tc>
        <w:tc>
          <w:tcPr>
            <w:tcW w:w="1100" w:type="dxa"/>
            <w:vAlign w:val="center"/>
          </w:tcPr>
          <w:p w14:paraId="43B51BBB">
            <w:pPr>
              <w:jc w:val="center"/>
              <w:rPr>
                <w:rFonts w:hint="default" w:ascii="Times New Roman" w:hAnsi="Times New Roman" w:eastAsia="宋体" w:cs="Times New Roman"/>
                <w:b/>
                <w:szCs w:val="20"/>
                <w:lang w:val="en-US" w:eastAsia="zh-CN"/>
              </w:rPr>
            </w:pPr>
            <w:r>
              <w:rPr>
                <w:rFonts w:hint="eastAsia" w:cs="Times New Roman"/>
                <w:b/>
                <w:szCs w:val="20"/>
                <w:lang w:val="en-US" w:eastAsia="zh-CN"/>
              </w:rPr>
              <w:t>质保期</w:t>
            </w:r>
          </w:p>
        </w:tc>
        <w:tc>
          <w:tcPr>
            <w:tcW w:w="1243" w:type="dxa"/>
            <w:vAlign w:val="center"/>
          </w:tcPr>
          <w:p w14:paraId="5BE19F44">
            <w:pPr>
              <w:jc w:val="center"/>
              <w:rPr>
                <w:rFonts w:hint="default" w:ascii="Times New Roman" w:hAnsi="Times New Roman" w:eastAsia="宋体" w:cs="Times New Roman"/>
                <w:b/>
                <w:szCs w:val="20"/>
                <w:lang w:val="en-US"/>
              </w:rPr>
            </w:pPr>
            <w:r>
              <w:rPr>
                <w:rFonts w:hint="eastAsia" w:cs="Times New Roman"/>
                <w:b/>
                <w:szCs w:val="20"/>
                <w:lang w:val="en-US" w:eastAsia="zh-CN"/>
              </w:rPr>
              <w:t>交货时间及安装时间</w:t>
            </w:r>
          </w:p>
        </w:tc>
        <w:tc>
          <w:tcPr>
            <w:tcW w:w="705" w:type="dxa"/>
            <w:vAlign w:val="center"/>
          </w:tcPr>
          <w:p w14:paraId="669E8072">
            <w:pPr>
              <w:jc w:val="center"/>
              <w:rPr>
                <w:rFonts w:hint="default" w:ascii="Times New Roman" w:hAnsi="Times New Roman" w:eastAsia="宋体" w:cs="Times New Roman"/>
                <w:b/>
                <w:szCs w:val="20"/>
                <w:lang w:val="en-US"/>
              </w:rPr>
            </w:pPr>
            <w:r>
              <w:rPr>
                <w:rFonts w:hint="eastAsia" w:cs="Times New Roman"/>
                <w:b/>
                <w:szCs w:val="20"/>
                <w:lang w:val="en-US" w:eastAsia="zh-CN"/>
              </w:rPr>
              <w:t>付款方式是否响应</w:t>
            </w:r>
          </w:p>
        </w:tc>
        <w:tc>
          <w:tcPr>
            <w:tcW w:w="699" w:type="dxa"/>
            <w:vAlign w:val="center"/>
          </w:tcPr>
          <w:p w14:paraId="0DA60CF4">
            <w:pPr>
              <w:jc w:val="center"/>
              <w:rPr>
                <w:rFonts w:hint="default" w:ascii="等线" w:hAnsi="等线" w:eastAsia="等线" w:cs="Times New Roman"/>
                <w:b/>
                <w:szCs w:val="20"/>
                <w:lang w:val="en-US"/>
              </w:rPr>
            </w:pPr>
            <w:r>
              <w:rPr>
                <w:rFonts w:hint="eastAsia" w:cs="Times New Roman"/>
                <w:b/>
                <w:szCs w:val="20"/>
                <w:lang w:val="en-US" w:eastAsia="zh-CN"/>
              </w:rPr>
              <w:t>商务条款是否偏离</w:t>
            </w:r>
          </w:p>
        </w:tc>
      </w:tr>
      <w:tr w14:paraId="035C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77" w:type="dxa"/>
            <w:vAlign w:val="center"/>
          </w:tcPr>
          <w:p w14:paraId="6D0E9BE6">
            <w:pPr>
              <w:jc w:val="center"/>
              <w:rPr>
                <w:rFonts w:hint="eastAsia" w:ascii="Times New Roman" w:hAnsi="Times New Roman" w:eastAsia="宋体" w:cs="Times New Roman"/>
                <w:b/>
                <w:szCs w:val="20"/>
                <w:lang w:val="en-US" w:eastAsia="zh-CN"/>
              </w:rPr>
            </w:pPr>
            <w:r>
              <w:rPr>
                <w:rFonts w:hint="eastAsia" w:cs="Times New Roman"/>
                <w:b/>
                <w:szCs w:val="20"/>
                <w:lang w:val="en-US" w:eastAsia="zh-CN"/>
              </w:rPr>
              <w:t>1</w:t>
            </w:r>
          </w:p>
        </w:tc>
        <w:tc>
          <w:tcPr>
            <w:tcW w:w="1518" w:type="dxa"/>
            <w:vAlign w:val="center"/>
          </w:tcPr>
          <w:p w14:paraId="01DDB5C4">
            <w:pPr>
              <w:jc w:val="center"/>
              <w:rPr>
                <w:rFonts w:hint="eastAsia" w:ascii="Times New Roman" w:hAnsi="Times New Roman" w:eastAsia="宋体" w:cs="Times New Roman"/>
                <w:b/>
                <w:szCs w:val="20"/>
                <w:lang w:eastAsia="zh-CN"/>
              </w:rPr>
            </w:pPr>
            <w:r>
              <w:rPr>
                <w:rFonts w:hint="eastAsia"/>
              </w:rPr>
              <w:t>泰安五岳公司-下料设备更新项目</w:t>
            </w:r>
          </w:p>
        </w:tc>
        <w:tc>
          <w:tcPr>
            <w:tcW w:w="848" w:type="dxa"/>
            <w:vAlign w:val="center"/>
          </w:tcPr>
          <w:p w14:paraId="5754ED5A">
            <w:pPr>
              <w:jc w:val="center"/>
              <w:rPr>
                <w:rFonts w:hint="default" w:ascii="Times New Roman" w:hAnsi="Times New Roman" w:eastAsia="宋体" w:cs="Times New Roman"/>
                <w:b/>
                <w:szCs w:val="20"/>
                <w:lang w:val="en-US" w:eastAsia="zh-CN"/>
              </w:rPr>
            </w:pPr>
            <w:r>
              <w:rPr>
                <w:rFonts w:hint="eastAsia" w:cs="Times New Roman"/>
                <w:b/>
                <w:szCs w:val="20"/>
                <w:lang w:val="en-US" w:eastAsia="zh-CN"/>
              </w:rPr>
              <w:t>1</w:t>
            </w:r>
          </w:p>
        </w:tc>
        <w:tc>
          <w:tcPr>
            <w:tcW w:w="2270" w:type="dxa"/>
            <w:vAlign w:val="center"/>
          </w:tcPr>
          <w:p w14:paraId="63A1C48D">
            <w:pPr>
              <w:jc w:val="left"/>
              <w:rPr>
                <w:rFonts w:hint="eastAsia" w:ascii="等线" w:hAnsi="等线" w:eastAsia="等线" w:cs="Times New Roman"/>
                <w:b/>
                <w:szCs w:val="20"/>
                <w:lang w:val="en-US" w:eastAsia="zh-CN"/>
              </w:rPr>
            </w:pPr>
            <w:r>
              <w:rPr>
                <w:rFonts w:hint="eastAsia" w:ascii="等线" w:hAnsi="等线" w:eastAsia="等线" w:cs="Times New Roman"/>
                <w:b/>
                <w:szCs w:val="20"/>
              </w:rPr>
              <w:t>不含税价</w:t>
            </w:r>
            <w:r>
              <w:rPr>
                <w:rFonts w:hint="eastAsia" w:ascii="等线" w:hAnsi="等线" w:eastAsia="等线" w:cs="Times New Roman"/>
                <w:b/>
                <w:szCs w:val="20"/>
                <w:lang w:eastAsia="zh-CN"/>
              </w:rPr>
              <w:t>：</w:t>
            </w:r>
          </w:p>
          <w:p w14:paraId="6C6D0F49">
            <w:pPr>
              <w:jc w:val="left"/>
              <w:rPr>
                <w:rFonts w:hint="default" w:ascii="等线" w:hAnsi="等线" w:eastAsia="等线" w:cs="Times New Roman"/>
                <w:b/>
                <w:szCs w:val="20"/>
                <w:lang w:val="en-US" w:eastAsia="zh-CN"/>
              </w:rPr>
            </w:pPr>
            <w:r>
              <w:rPr>
                <w:rFonts w:hint="eastAsia" w:ascii="等线" w:hAnsi="等线" w:eastAsia="等线" w:cs="Times New Roman"/>
                <w:b/>
                <w:szCs w:val="20"/>
              </w:rPr>
              <w:t>含税价格：</w:t>
            </w:r>
            <w:r>
              <w:rPr>
                <w:rFonts w:hint="eastAsia" w:ascii="等线" w:hAnsi="等线" w:eastAsia="等线" w:cs="Times New Roman"/>
                <w:b/>
                <w:szCs w:val="20"/>
                <w:u w:val="single"/>
                <w:lang w:val="en-US" w:eastAsia="zh-CN"/>
              </w:rPr>
              <w:t xml:space="preserve">    （大写：    ）</w:t>
            </w:r>
          </w:p>
          <w:p w14:paraId="34B462C2">
            <w:pPr>
              <w:jc w:val="left"/>
              <w:rPr>
                <w:rFonts w:ascii="Times New Roman" w:hAnsi="Times New Roman" w:eastAsia="宋体" w:cs="Times New Roman"/>
                <w:b/>
                <w:szCs w:val="20"/>
              </w:rPr>
            </w:pPr>
            <w:r>
              <w:rPr>
                <w:rFonts w:hint="eastAsia" w:ascii="等线" w:hAnsi="等线" w:eastAsia="等线" w:cs="Times New Roman"/>
                <w:b/>
                <w:szCs w:val="20"/>
              </w:rPr>
              <w:t>税率：</w:t>
            </w:r>
          </w:p>
        </w:tc>
        <w:tc>
          <w:tcPr>
            <w:tcW w:w="1100" w:type="dxa"/>
            <w:vAlign w:val="center"/>
          </w:tcPr>
          <w:p w14:paraId="1E0AF0C2">
            <w:pPr>
              <w:jc w:val="center"/>
              <w:rPr>
                <w:rFonts w:ascii="Times New Roman" w:hAnsi="Times New Roman" w:eastAsia="宋体" w:cs="Times New Roman"/>
                <w:b/>
                <w:szCs w:val="20"/>
              </w:rPr>
            </w:pPr>
          </w:p>
        </w:tc>
        <w:tc>
          <w:tcPr>
            <w:tcW w:w="1243" w:type="dxa"/>
            <w:vAlign w:val="center"/>
          </w:tcPr>
          <w:p w14:paraId="2E7E4711">
            <w:pPr>
              <w:jc w:val="center"/>
              <w:rPr>
                <w:rFonts w:ascii="Times New Roman" w:hAnsi="Times New Roman" w:eastAsia="宋体" w:cs="Times New Roman"/>
                <w:b/>
                <w:szCs w:val="20"/>
              </w:rPr>
            </w:pPr>
          </w:p>
        </w:tc>
        <w:tc>
          <w:tcPr>
            <w:tcW w:w="705" w:type="dxa"/>
            <w:vAlign w:val="center"/>
          </w:tcPr>
          <w:p w14:paraId="2516E961">
            <w:pPr>
              <w:jc w:val="center"/>
              <w:rPr>
                <w:rFonts w:ascii="Times New Roman" w:hAnsi="Times New Roman" w:eastAsia="宋体" w:cs="Times New Roman"/>
                <w:b/>
                <w:szCs w:val="20"/>
              </w:rPr>
            </w:pPr>
          </w:p>
        </w:tc>
        <w:tc>
          <w:tcPr>
            <w:tcW w:w="699" w:type="dxa"/>
            <w:vAlign w:val="center"/>
          </w:tcPr>
          <w:p w14:paraId="14D620AB">
            <w:pPr>
              <w:jc w:val="center"/>
              <w:rPr>
                <w:rFonts w:ascii="Times New Roman" w:hAnsi="Times New Roman" w:eastAsia="宋体" w:cs="Times New Roman"/>
                <w:b/>
                <w:szCs w:val="20"/>
              </w:rPr>
            </w:pPr>
          </w:p>
        </w:tc>
      </w:tr>
    </w:tbl>
    <w:p w14:paraId="2AC98F24">
      <w:pPr>
        <w:rPr>
          <w:rFonts w:ascii="宋体" w:hAnsi="Arial" w:eastAsia="宋体" w:cs="Times New Roman"/>
          <w:sz w:val="24"/>
          <w:szCs w:val="24"/>
        </w:rPr>
      </w:pPr>
    </w:p>
    <w:p w14:paraId="0B093042">
      <w:pPr>
        <w:spacing w:line="400" w:lineRule="exact"/>
        <w:rPr>
          <w:rFonts w:ascii="宋体" w:hAnsi="Calibri" w:eastAsia="宋体" w:cs="Times New Roman"/>
          <w:szCs w:val="21"/>
        </w:rPr>
      </w:pPr>
      <w:r>
        <w:rPr>
          <w:rFonts w:hint="eastAsia" w:ascii="宋体" w:hAnsi="宋体" w:eastAsia="宋体" w:cs="Times New Roman"/>
          <w:b/>
          <w:bCs/>
          <w:szCs w:val="21"/>
        </w:rPr>
        <w:t>注：</w:t>
      </w:r>
    </w:p>
    <w:p w14:paraId="440943D3">
      <w:pPr>
        <w:spacing w:line="520" w:lineRule="exact"/>
        <w:rPr>
          <w:rFonts w:ascii="宋体" w:hAnsi="Calibri" w:eastAsia="宋体" w:cs="Times New Roman"/>
          <w:b/>
          <w:bCs/>
          <w:szCs w:val="21"/>
        </w:rPr>
      </w:pPr>
      <w:r>
        <w:rPr>
          <w:rFonts w:ascii="宋体" w:hAnsi="宋体" w:eastAsia="宋体" w:cs="Times New Roman"/>
          <w:b/>
          <w:bCs/>
          <w:szCs w:val="21"/>
        </w:rPr>
        <w:t>1</w:t>
      </w:r>
      <w:r>
        <w:rPr>
          <w:rFonts w:hint="eastAsia" w:ascii="宋体" w:hAnsi="宋体" w:eastAsia="宋体" w:cs="Times New Roman"/>
          <w:b/>
          <w:bCs/>
          <w:szCs w:val="21"/>
        </w:rPr>
        <w:t>.此表中的报价必须与相应的报价明细表中的报价一致。</w:t>
      </w:r>
    </w:p>
    <w:p w14:paraId="4A5EE63D">
      <w:pPr>
        <w:spacing w:line="300" w:lineRule="auto"/>
        <w:rPr>
          <w:rFonts w:ascii="宋体" w:hAnsi="宋体" w:eastAsia="宋体" w:cs="宋体"/>
          <w:b/>
          <w:szCs w:val="20"/>
        </w:rPr>
      </w:pPr>
      <w:r>
        <w:rPr>
          <w:rFonts w:hint="eastAsia" w:ascii="宋体" w:hAnsi="宋体" w:cs="宋体"/>
          <w:b/>
          <w:szCs w:val="20"/>
          <w:lang w:val="en-US" w:eastAsia="zh-CN"/>
        </w:rPr>
        <w:t>2</w:t>
      </w:r>
      <w:r>
        <w:rPr>
          <w:rFonts w:hint="eastAsia" w:ascii="宋体" w:hAnsi="宋体" w:eastAsia="宋体" w:cs="宋体"/>
          <w:b/>
          <w:szCs w:val="20"/>
        </w:rPr>
        <w:t>.需写明含税价、不含税价格、税率。</w:t>
      </w:r>
    </w:p>
    <w:p w14:paraId="716860CE">
      <w:pPr>
        <w:pStyle w:val="16"/>
        <w:rPr>
          <w:rFonts w:hint="eastAsia" w:hAnsi="宋体" w:eastAsia="宋体" w:cs="Times New Roman"/>
          <w:b/>
          <w:bCs/>
          <w:szCs w:val="21"/>
          <w:highlight w:val="none"/>
        </w:rPr>
      </w:pPr>
      <w:r>
        <w:rPr>
          <w:rFonts w:hint="eastAsia" w:hAnsi="宋体" w:cs="宋体"/>
          <w:b/>
          <w:szCs w:val="20"/>
          <w:highlight w:val="none"/>
          <w:lang w:val="en-US" w:eastAsia="zh-CN"/>
        </w:rPr>
        <w:t>3</w:t>
      </w:r>
      <w:r>
        <w:rPr>
          <w:rFonts w:hint="eastAsia" w:hAnsi="宋体" w:eastAsia="宋体" w:cs="宋体"/>
          <w:b/>
          <w:szCs w:val="20"/>
          <w:highlight w:val="none"/>
        </w:rPr>
        <w:t>.</w:t>
      </w:r>
      <w:r>
        <w:rPr>
          <w:rFonts w:hint="eastAsia" w:hAnsi="宋体" w:eastAsia="宋体" w:cs="Times New Roman"/>
          <w:b/>
          <w:bCs/>
          <w:szCs w:val="21"/>
          <w:highlight w:val="none"/>
        </w:rPr>
        <w:t>投标总价包括</w:t>
      </w:r>
      <w:r>
        <w:rPr>
          <w:rFonts w:hint="eastAsia" w:hAnsi="宋体" w:cs="Times New Roman"/>
          <w:b/>
          <w:bCs/>
          <w:szCs w:val="21"/>
          <w:highlight w:val="none"/>
          <w:u w:val="single"/>
          <w:lang w:val="en-US" w:eastAsia="zh-CN"/>
        </w:rPr>
        <w:t xml:space="preserve">                                             </w:t>
      </w:r>
      <w:r>
        <w:rPr>
          <w:rFonts w:hint="eastAsia" w:hAnsi="宋体" w:cs="Times New Roman"/>
          <w:b/>
          <w:bCs/>
          <w:szCs w:val="21"/>
          <w:highlight w:val="none"/>
          <w:u w:val="none"/>
          <w:lang w:val="en-US" w:eastAsia="zh-CN"/>
        </w:rPr>
        <w:t>全部费用</w:t>
      </w:r>
      <w:r>
        <w:rPr>
          <w:rFonts w:hint="eastAsia" w:hAnsi="宋体" w:eastAsia="宋体" w:cs="Times New Roman"/>
          <w:b/>
          <w:bCs/>
          <w:szCs w:val="21"/>
          <w:highlight w:val="none"/>
        </w:rPr>
        <w:t>。</w:t>
      </w:r>
    </w:p>
    <w:p w14:paraId="7CA9A866">
      <w:pPr>
        <w:pStyle w:val="16"/>
        <w:rPr>
          <w:rFonts w:hint="eastAsia" w:hAnsi="宋体" w:eastAsia="宋体" w:cs="Times New Roman"/>
          <w:b/>
          <w:bCs/>
          <w:szCs w:val="21"/>
          <w:highlight w:val="yellow"/>
        </w:rPr>
      </w:pPr>
    </w:p>
    <w:p w14:paraId="31061A95">
      <w:pPr>
        <w:pStyle w:val="16"/>
        <w:rPr>
          <w:rFonts w:hint="eastAsia" w:hAnsi="宋体" w:eastAsia="宋体" w:cs="Times New Roman"/>
          <w:b/>
          <w:bCs/>
          <w:szCs w:val="21"/>
          <w:highlight w:val="yellow"/>
        </w:rPr>
      </w:pPr>
    </w:p>
    <w:p w14:paraId="5A2F2EC2">
      <w:pPr>
        <w:spacing w:line="660" w:lineRule="exact"/>
        <w:jc w:val="center"/>
        <w:rPr>
          <w:rFonts w:ascii="宋体" w:hAnsi="Calibri" w:eastAsia="宋体" w:cs="Times New Roman"/>
          <w:sz w:val="24"/>
          <w:szCs w:val="20"/>
        </w:rPr>
      </w:pPr>
      <w:r>
        <w:rPr>
          <w:rFonts w:hint="eastAsia" w:ascii="宋体" w:hAnsi="宋体" w:cs="Times New Roman"/>
          <w:sz w:val="24"/>
          <w:szCs w:val="20"/>
          <w:lang w:val="en-US" w:eastAsia="zh-CN"/>
        </w:rPr>
        <w:t xml:space="preserve">                        </w:t>
      </w:r>
      <w:r>
        <w:rPr>
          <w:rFonts w:hint="eastAsia" w:ascii="宋体" w:hAnsi="宋体" w:eastAsia="宋体" w:cs="Times New Roman"/>
          <w:sz w:val="24"/>
          <w:szCs w:val="20"/>
        </w:rPr>
        <w:t>投标人：（盖章）</w:t>
      </w:r>
    </w:p>
    <w:p w14:paraId="3B316BD5">
      <w:pPr>
        <w:spacing w:line="660" w:lineRule="exact"/>
        <w:jc w:val="righ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14:paraId="5E5A5D5F">
      <w:pPr>
        <w:spacing w:line="660" w:lineRule="exact"/>
        <w:jc w:val="center"/>
        <w:rPr>
          <w:rFonts w:ascii="宋体" w:hAnsi="Calibri" w:eastAsia="宋体" w:cs="Times New Roman"/>
          <w:sz w:val="24"/>
          <w:szCs w:val="20"/>
        </w:rPr>
      </w:pPr>
      <w:r>
        <w:rPr>
          <w:rFonts w:hint="eastAsia" w:ascii="宋体" w:hAnsi="宋体" w:cs="Times New Roman"/>
          <w:sz w:val="24"/>
          <w:szCs w:val="20"/>
          <w:lang w:val="en-US" w:eastAsia="zh-CN"/>
        </w:rPr>
        <w:t xml:space="preserve">                                     </w:t>
      </w: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40B2C361">
      <w:pPr>
        <w:pStyle w:val="73"/>
        <w:numPr>
          <w:ilvl w:val="0"/>
          <w:numId w:val="0"/>
        </w:numPr>
        <w:ind w:leftChars="0"/>
      </w:pPr>
      <w:r>
        <w:t xml:space="preserve"> </w:t>
      </w:r>
    </w:p>
    <w:p w14:paraId="36B9F02A">
      <w:pPr>
        <w:pStyle w:val="73"/>
        <w:numPr>
          <w:ilvl w:val="0"/>
          <w:numId w:val="0"/>
        </w:numPr>
        <w:ind w:leftChars="0"/>
      </w:pPr>
    </w:p>
    <w:p w14:paraId="6E7F97B7">
      <w:pPr>
        <w:pStyle w:val="73"/>
        <w:numPr>
          <w:ilvl w:val="0"/>
          <w:numId w:val="0"/>
        </w:numPr>
        <w:ind w:leftChars="0"/>
      </w:pPr>
    </w:p>
    <w:p w14:paraId="3F830A7C">
      <w:pPr>
        <w:pStyle w:val="73"/>
        <w:numPr>
          <w:ilvl w:val="0"/>
          <w:numId w:val="0"/>
        </w:numPr>
        <w:ind w:leftChars="0"/>
      </w:pPr>
    </w:p>
    <w:p w14:paraId="391DF144">
      <w:pPr>
        <w:pStyle w:val="73"/>
        <w:numPr>
          <w:ilvl w:val="0"/>
          <w:numId w:val="0"/>
        </w:numPr>
        <w:ind w:leftChars="0"/>
      </w:pPr>
    </w:p>
    <w:p w14:paraId="4E421771">
      <w:pPr>
        <w:pStyle w:val="73"/>
        <w:numPr>
          <w:ilvl w:val="0"/>
          <w:numId w:val="0"/>
        </w:numPr>
        <w:ind w:leftChars="0"/>
      </w:pPr>
    </w:p>
    <w:p w14:paraId="0172BB9F">
      <w:pPr>
        <w:pStyle w:val="73"/>
        <w:numPr>
          <w:ilvl w:val="0"/>
          <w:numId w:val="0"/>
        </w:numPr>
        <w:ind w:leftChars="0"/>
      </w:pPr>
    </w:p>
    <w:p w14:paraId="1D8A3199">
      <w:pPr>
        <w:pStyle w:val="77"/>
        <w:ind w:firstLine="630" w:firstLineChars="300"/>
        <w:rPr>
          <w:rFonts w:hint="eastAsia"/>
        </w:rPr>
      </w:pPr>
    </w:p>
    <w:p w14:paraId="23E75332">
      <w:pPr>
        <w:pStyle w:val="77"/>
        <w:rPr>
          <w:rFonts w:hint="default" w:hAnsi="宋体"/>
          <w:sz w:val="24"/>
          <w:lang w:val="en-US"/>
        </w:rPr>
      </w:pPr>
    </w:p>
    <w:sectPr>
      <w:headerReference r:id="rId7" w:type="first"/>
      <w:footerReference r:id="rId8"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20"/>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20"/>
      <w:framePr w:wrap="around" w:vAnchor="text" w:hAnchor="margin" w:xAlign="center" w:y="1"/>
      <w:rPr>
        <w:rStyle w:val="36"/>
      </w:rPr>
    </w:pPr>
    <w:r>
      <w:fldChar w:fldCharType="begin"/>
    </w:r>
    <w:r>
      <w:rPr>
        <w:rStyle w:val="36"/>
      </w:rPr>
      <w:instrText xml:space="preserve">PAGE  </w:instrText>
    </w:r>
    <w:r>
      <w:fldChar w:fldCharType="end"/>
    </w:r>
  </w:p>
  <w:p w14:paraId="7AD47F75">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20"/>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20"/>
      <w:jc w:val="center"/>
    </w:pPr>
  </w:p>
  <w:p w14:paraId="1DFF0D79"/>
  <w:p w14:paraId="5CB49AF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21"/>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0076E"/>
    <w:multiLevelType w:val="singleLevel"/>
    <w:tmpl w:val="8370076E"/>
    <w:lvl w:ilvl="0" w:tentative="0">
      <w:start w:val="1"/>
      <w:numFmt w:val="chineseCounting"/>
      <w:suff w:val="nothing"/>
      <w:lvlText w:val="（%1）"/>
      <w:lvlJc w:val="left"/>
      <w:pPr>
        <w:ind w:left="0" w:firstLine="420"/>
      </w:pPr>
      <w:rPr>
        <w:rFonts w:hint="eastAsia"/>
      </w:rPr>
    </w:lvl>
  </w:abstractNum>
  <w:abstractNum w:abstractNumId="1">
    <w:nsid w:val="863E6579"/>
    <w:multiLevelType w:val="singleLevel"/>
    <w:tmpl w:val="863E6579"/>
    <w:lvl w:ilvl="0" w:tentative="0">
      <w:start w:val="1"/>
      <w:numFmt w:val="decimal"/>
      <w:lvlText w:val="(%1)"/>
      <w:lvlJc w:val="left"/>
      <w:pPr>
        <w:ind w:left="425" w:hanging="425"/>
      </w:pPr>
      <w:rPr>
        <w:rFonts w:hint="default"/>
        <w:b w:val="0"/>
        <w:bCs w:val="0"/>
        <w:color w:val="auto"/>
      </w:rPr>
    </w:lvl>
  </w:abstractNum>
  <w:abstractNum w:abstractNumId="2">
    <w:nsid w:val="93852671"/>
    <w:multiLevelType w:val="singleLevel"/>
    <w:tmpl w:val="93852671"/>
    <w:lvl w:ilvl="0" w:tentative="0">
      <w:start w:val="1"/>
      <w:numFmt w:val="decimal"/>
      <w:lvlText w:val="%1."/>
      <w:lvlJc w:val="left"/>
      <w:pPr>
        <w:ind w:left="425" w:hanging="425"/>
      </w:pPr>
      <w:rPr>
        <w:rFonts w:hint="default"/>
      </w:rPr>
    </w:lvl>
  </w:abstractNum>
  <w:abstractNum w:abstractNumId="3">
    <w:nsid w:val="9E1BA4F3"/>
    <w:multiLevelType w:val="singleLevel"/>
    <w:tmpl w:val="9E1BA4F3"/>
    <w:lvl w:ilvl="0" w:tentative="0">
      <w:start w:val="1"/>
      <w:numFmt w:val="decimal"/>
      <w:lvlText w:val="%1."/>
      <w:lvlJc w:val="left"/>
      <w:pPr>
        <w:tabs>
          <w:tab w:val="left" w:pos="312"/>
        </w:tabs>
      </w:pPr>
      <w:rPr>
        <w:rFonts w:hint="default" w:ascii="宋体" w:hAnsi="宋体" w:eastAsia="宋体" w:cs="宋体"/>
        <w:sz w:val="21"/>
        <w:szCs w:val="21"/>
      </w:rPr>
    </w:lvl>
  </w:abstractNum>
  <w:abstractNum w:abstractNumId="4">
    <w:nsid w:val="A30BB37F"/>
    <w:multiLevelType w:val="singleLevel"/>
    <w:tmpl w:val="A30BB37F"/>
    <w:lvl w:ilvl="0" w:tentative="0">
      <w:start w:val="2"/>
      <w:numFmt w:val="chineseCounting"/>
      <w:suff w:val="nothing"/>
      <w:lvlText w:val="第%1部分　"/>
      <w:lvlJc w:val="left"/>
      <w:rPr>
        <w:rFonts w:hint="eastAsia"/>
      </w:rPr>
    </w:lvl>
  </w:abstractNum>
  <w:abstractNum w:abstractNumId="5">
    <w:nsid w:val="B12C4597"/>
    <w:multiLevelType w:val="singleLevel"/>
    <w:tmpl w:val="B12C4597"/>
    <w:lvl w:ilvl="0" w:tentative="0">
      <w:start w:val="1"/>
      <w:numFmt w:val="decimal"/>
      <w:lvlText w:val="%1."/>
      <w:lvlJc w:val="left"/>
      <w:pPr>
        <w:ind w:left="425" w:hanging="425"/>
      </w:pPr>
      <w:rPr>
        <w:rFonts w:hint="default"/>
      </w:rPr>
    </w:lvl>
  </w:abstractNum>
  <w:abstractNum w:abstractNumId="6">
    <w:nsid w:val="B301A340"/>
    <w:multiLevelType w:val="singleLevel"/>
    <w:tmpl w:val="B301A340"/>
    <w:lvl w:ilvl="0" w:tentative="0">
      <w:start w:val="1"/>
      <w:numFmt w:val="chineseCounting"/>
      <w:suff w:val="nothing"/>
      <w:lvlText w:val="（%1）"/>
      <w:lvlJc w:val="left"/>
      <w:pPr>
        <w:ind w:left="0" w:firstLine="420"/>
      </w:pPr>
      <w:rPr>
        <w:rFonts w:hint="eastAsia"/>
      </w:rPr>
    </w:lvl>
  </w:abstractNum>
  <w:abstractNum w:abstractNumId="7">
    <w:nsid w:val="BD4C6742"/>
    <w:multiLevelType w:val="singleLevel"/>
    <w:tmpl w:val="BD4C6742"/>
    <w:lvl w:ilvl="0" w:tentative="0">
      <w:start w:val="1"/>
      <w:numFmt w:val="decimal"/>
      <w:lvlText w:val="%1."/>
      <w:lvlJc w:val="left"/>
      <w:pPr>
        <w:ind w:left="425" w:hanging="425"/>
      </w:pPr>
      <w:rPr>
        <w:rFonts w:hint="default"/>
      </w:rPr>
    </w:lvl>
  </w:abstractNum>
  <w:abstractNum w:abstractNumId="8">
    <w:nsid w:val="CA70C5AE"/>
    <w:multiLevelType w:val="singleLevel"/>
    <w:tmpl w:val="CA70C5AE"/>
    <w:lvl w:ilvl="0" w:tentative="0">
      <w:start w:val="1"/>
      <w:numFmt w:val="decimal"/>
      <w:lvlText w:val="%1."/>
      <w:lvlJc w:val="left"/>
      <w:pPr>
        <w:ind w:left="425" w:hanging="425"/>
      </w:pPr>
      <w:rPr>
        <w:rFonts w:hint="default"/>
      </w:rPr>
    </w:lvl>
  </w:abstractNum>
  <w:abstractNum w:abstractNumId="9">
    <w:nsid w:val="D9A4530E"/>
    <w:multiLevelType w:val="singleLevel"/>
    <w:tmpl w:val="D9A4530E"/>
    <w:lvl w:ilvl="0" w:tentative="0">
      <w:start w:val="1"/>
      <w:numFmt w:val="decimal"/>
      <w:lvlText w:val="(%1)"/>
      <w:lvlJc w:val="left"/>
      <w:pPr>
        <w:ind w:left="425" w:hanging="425"/>
      </w:pPr>
      <w:rPr>
        <w:rFonts w:hint="default"/>
      </w:rPr>
    </w:lvl>
  </w:abstractNum>
  <w:abstractNum w:abstractNumId="10">
    <w:nsid w:val="DC3F8C8B"/>
    <w:multiLevelType w:val="singleLevel"/>
    <w:tmpl w:val="DC3F8C8B"/>
    <w:lvl w:ilvl="0" w:tentative="0">
      <w:start w:val="1"/>
      <w:numFmt w:val="decimal"/>
      <w:lvlText w:val="%1."/>
      <w:lvlJc w:val="left"/>
      <w:pPr>
        <w:ind w:left="425" w:hanging="425"/>
      </w:pPr>
      <w:rPr>
        <w:rFonts w:hint="default"/>
      </w:rPr>
    </w:lvl>
  </w:abstractNum>
  <w:abstractNum w:abstractNumId="11">
    <w:nsid w:val="FE574647"/>
    <w:multiLevelType w:val="multilevel"/>
    <w:tmpl w:val="FE574647"/>
    <w:lvl w:ilvl="0" w:tentative="0">
      <w:start w:val="1"/>
      <w:numFmt w:val="bullet"/>
      <w:lvlText w:val=""/>
      <w:lvlJc w:val="left"/>
      <w:pPr>
        <w:tabs>
          <w:tab w:val="left" w:pos="-840"/>
        </w:tabs>
        <w:ind w:left="430" w:hanging="420"/>
      </w:pPr>
      <w:rPr>
        <w:rFonts w:hint="default" w:ascii="Wingdings" w:hAnsi="Wingdings"/>
      </w:rPr>
    </w:lvl>
    <w:lvl w:ilvl="1" w:tentative="0">
      <w:start w:val="1"/>
      <w:numFmt w:val="bullet"/>
      <w:lvlText w:val=""/>
      <w:lvlJc w:val="left"/>
      <w:pPr>
        <w:tabs>
          <w:tab w:val="left" w:pos="-840"/>
        </w:tabs>
        <w:ind w:left="850" w:hanging="420"/>
      </w:pPr>
      <w:rPr>
        <w:rFonts w:hint="default" w:ascii="Wingdings" w:hAnsi="Wingdings"/>
      </w:rPr>
    </w:lvl>
    <w:lvl w:ilvl="2" w:tentative="0">
      <w:start w:val="1"/>
      <w:numFmt w:val="bullet"/>
      <w:lvlText w:val=""/>
      <w:lvlJc w:val="left"/>
      <w:pPr>
        <w:tabs>
          <w:tab w:val="left" w:pos="-840"/>
        </w:tabs>
        <w:ind w:left="1270" w:hanging="420"/>
      </w:pPr>
      <w:rPr>
        <w:rFonts w:hint="default" w:ascii="Wingdings" w:hAnsi="Wingdings"/>
      </w:rPr>
    </w:lvl>
    <w:lvl w:ilvl="3" w:tentative="0">
      <w:start w:val="1"/>
      <w:numFmt w:val="bullet"/>
      <w:lvlText w:val=""/>
      <w:lvlJc w:val="left"/>
      <w:pPr>
        <w:tabs>
          <w:tab w:val="left" w:pos="-840"/>
        </w:tabs>
        <w:ind w:left="1690" w:hanging="420"/>
      </w:pPr>
      <w:rPr>
        <w:rFonts w:hint="default" w:ascii="Wingdings" w:hAnsi="Wingdings"/>
      </w:rPr>
    </w:lvl>
    <w:lvl w:ilvl="4" w:tentative="0">
      <w:start w:val="1"/>
      <w:numFmt w:val="bullet"/>
      <w:lvlText w:val=""/>
      <w:lvlJc w:val="left"/>
      <w:pPr>
        <w:tabs>
          <w:tab w:val="left" w:pos="-840"/>
        </w:tabs>
        <w:ind w:left="2110" w:hanging="420"/>
      </w:pPr>
      <w:rPr>
        <w:rFonts w:hint="default" w:ascii="Wingdings" w:hAnsi="Wingdings"/>
      </w:rPr>
    </w:lvl>
    <w:lvl w:ilvl="5" w:tentative="0">
      <w:start w:val="1"/>
      <w:numFmt w:val="bullet"/>
      <w:lvlText w:val=""/>
      <w:lvlJc w:val="left"/>
      <w:pPr>
        <w:tabs>
          <w:tab w:val="left" w:pos="-840"/>
        </w:tabs>
        <w:ind w:left="2530" w:hanging="420"/>
      </w:pPr>
      <w:rPr>
        <w:rFonts w:hint="default" w:ascii="Wingdings" w:hAnsi="Wingdings"/>
      </w:rPr>
    </w:lvl>
    <w:lvl w:ilvl="6" w:tentative="0">
      <w:start w:val="1"/>
      <w:numFmt w:val="bullet"/>
      <w:lvlText w:val=""/>
      <w:lvlJc w:val="left"/>
      <w:pPr>
        <w:tabs>
          <w:tab w:val="left" w:pos="-840"/>
        </w:tabs>
        <w:ind w:left="2950" w:hanging="420"/>
      </w:pPr>
      <w:rPr>
        <w:rFonts w:hint="default" w:ascii="Wingdings" w:hAnsi="Wingdings"/>
      </w:rPr>
    </w:lvl>
    <w:lvl w:ilvl="7" w:tentative="0">
      <w:start w:val="1"/>
      <w:numFmt w:val="bullet"/>
      <w:lvlText w:val=""/>
      <w:lvlJc w:val="left"/>
      <w:pPr>
        <w:tabs>
          <w:tab w:val="left" w:pos="-840"/>
        </w:tabs>
        <w:ind w:left="3370" w:hanging="420"/>
      </w:pPr>
      <w:rPr>
        <w:rFonts w:hint="default" w:ascii="Wingdings" w:hAnsi="Wingdings"/>
      </w:rPr>
    </w:lvl>
    <w:lvl w:ilvl="8" w:tentative="0">
      <w:start w:val="1"/>
      <w:numFmt w:val="bullet"/>
      <w:lvlText w:val=""/>
      <w:lvlJc w:val="left"/>
      <w:pPr>
        <w:tabs>
          <w:tab w:val="left" w:pos="-840"/>
        </w:tabs>
        <w:ind w:left="3790" w:hanging="420"/>
      </w:pPr>
      <w:rPr>
        <w:rFonts w:hint="default" w:ascii="Wingdings" w:hAnsi="Wingdings"/>
      </w:rPr>
    </w:lvl>
  </w:abstractNum>
  <w:abstractNum w:abstractNumId="12">
    <w:nsid w:val="06882CE3"/>
    <w:multiLevelType w:val="multilevel"/>
    <w:tmpl w:val="06882CE3"/>
    <w:lvl w:ilvl="0" w:tentative="0">
      <w:start w:val="1"/>
      <w:numFmt w:val="decimal"/>
      <w:pStyle w:val="76"/>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13">
    <w:nsid w:val="178D3D0E"/>
    <w:multiLevelType w:val="multilevel"/>
    <w:tmpl w:val="178D3D0E"/>
    <w:lvl w:ilvl="0" w:tentative="0">
      <w:start w:val="1"/>
      <w:numFmt w:val="bullet"/>
      <w:pStyle w:val="92"/>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14">
    <w:nsid w:val="1E7B065C"/>
    <w:multiLevelType w:val="multilevel"/>
    <w:tmpl w:val="1E7B065C"/>
    <w:lvl w:ilvl="0" w:tentative="0">
      <w:start w:val="1"/>
      <w:numFmt w:val="decimal"/>
      <w:pStyle w:val="97"/>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15">
    <w:nsid w:val="1EFA108E"/>
    <w:multiLevelType w:val="singleLevel"/>
    <w:tmpl w:val="1EFA108E"/>
    <w:lvl w:ilvl="0" w:tentative="0">
      <w:start w:val="1"/>
      <w:numFmt w:val="bullet"/>
      <w:lvlText w:val=""/>
      <w:lvlJc w:val="left"/>
      <w:pPr>
        <w:ind w:left="420" w:hanging="420"/>
      </w:pPr>
      <w:rPr>
        <w:rFonts w:hint="default" w:ascii="Wingdings" w:hAnsi="Wingdings"/>
      </w:rPr>
    </w:lvl>
  </w:abstractNum>
  <w:abstractNum w:abstractNumId="16">
    <w:nsid w:val="3265E1EC"/>
    <w:multiLevelType w:val="singleLevel"/>
    <w:tmpl w:val="3265E1EC"/>
    <w:lvl w:ilvl="0" w:tentative="0">
      <w:start w:val="1"/>
      <w:numFmt w:val="decimal"/>
      <w:lvlText w:val="(%1)"/>
      <w:lvlJc w:val="left"/>
      <w:pPr>
        <w:ind w:left="425" w:hanging="425"/>
      </w:pPr>
      <w:rPr>
        <w:rFonts w:hint="default"/>
      </w:rPr>
    </w:lvl>
  </w:abstractNum>
  <w:abstractNum w:abstractNumId="17">
    <w:nsid w:val="3CF6EF77"/>
    <w:multiLevelType w:val="singleLevel"/>
    <w:tmpl w:val="3CF6EF77"/>
    <w:lvl w:ilvl="0" w:tentative="0">
      <w:start w:val="1"/>
      <w:numFmt w:val="decimal"/>
      <w:lvlText w:val="%1."/>
      <w:lvlJc w:val="left"/>
      <w:pPr>
        <w:ind w:left="425" w:hanging="425"/>
      </w:pPr>
      <w:rPr>
        <w:rFonts w:hint="default"/>
      </w:rPr>
    </w:lvl>
  </w:abstractNum>
  <w:abstractNum w:abstractNumId="18">
    <w:nsid w:val="3D2537F8"/>
    <w:multiLevelType w:val="singleLevel"/>
    <w:tmpl w:val="3D2537F8"/>
    <w:lvl w:ilvl="0" w:tentative="0">
      <w:start w:val="1"/>
      <w:numFmt w:val="decimal"/>
      <w:lvlText w:val="%1."/>
      <w:lvlJc w:val="left"/>
      <w:pPr>
        <w:ind w:left="425" w:hanging="425"/>
      </w:pPr>
      <w:rPr>
        <w:rFonts w:hint="default"/>
        <w:strike w:val="0"/>
        <w:dstrike w:val="0"/>
        <w:color w:val="auto"/>
      </w:rPr>
    </w:lvl>
  </w:abstractNum>
  <w:abstractNum w:abstractNumId="19">
    <w:nsid w:val="4A8DA4C5"/>
    <w:multiLevelType w:val="singleLevel"/>
    <w:tmpl w:val="4A8DA4C5"/>
    <w:lvl w:ilvl="0" w:tentative="0">
      <w:start w:val="1"/>
      <w:numFmt w:val="bullet"/>
      <w:lvlText w:val=""/>
      <w:lvlJc w:val="left"/>
      <w:pPr>
        <w:ind w:left="0" w:leftChars="0" w:firstLine="0" w:firstLineChars="0"/>
      </w:pPr>
      <w:rPr>
        <w:rFonts w:hint="default" w:ascii="Wingdings" w:hAnsi="Wingdings"/>
      </w:rPr>
    </w:lvl>
  </w:abstractNum>
  <w:abstractNum w:abstractNumId="20">
    <w:nsid w:val="4CB32FC8"/>
    <w:multiLevelType w:val="multilevel"/>
    <w:tmpl w:val="4CB32FC8"/>
    <w:lvl w:ilvl="0" w:tentative="0">
      <w:start w:val="1"/>
      <w:numFmt w:val="upperLetter"/>
      <w:pStyle w:val="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20018B0"/>
    <w:multiLevelType w:val="multilevel"/>
    <w:tmpl w:val="520018B0"/>
    <w:lvl w:ilvl="0" w:tentative="0">
      <w:start w:val="1"/>
      <w:numFmt w:val="decimal"/>
      <w:pStyle w:val="75"/>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560F40FB"/>
    <w:multiLevelType w:val="multilevel"/>
    <w:tmpl w:val="560F40FB"/>
    <w:lvl w:ilvl="0" w:tentative="0">
      <w:start w:val="1"/>
      <w:numFmt w:val="lowerLetter"/>
      <w:pStyle w:val="102"/>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56D20133"/>
    <w:multiLevelType w:val="multilevel"/>
    <w:tmpl w:val="56D20133"/>
    <w:lvl w:ilvl="0" w:tentative="0">
      <w:start w:val="1"/>
      <w:numFmt w:val="chineseCountingThousand"/>
      <w:pStyle w:val="74"/>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4">
    <w:nsid w:val="5983D379"/>
    <w:multiLevelType w:val="singleLevel"/>
    <w:tmpl w:val="5983D379"/>
    <w:lvl w:ilvl="0" w:tentative="0">
      <w:start w:val="1"/>
      <w:numFmt w:val="decimal"/>
      <w:lvlText w:val="(%1)"/>
      <w:lvlJc w:val="left"/>
      <w:pPr>
        <w:ind w:left="425" w:hanging="425"/>
      </w:pPr>
      <w:rPr>
        <w:rFonts w:hint="default"/>
      </w:rPr>
    </w:lvl>
  </w:abstractNum>
  <w:abstractNum w:abstractNumId="25">
    <w:nsid w:val="656A6EAE"/>
    <w:multiLevelType w:val="multilevel"/>
    <w:tmpl w:val="656A6EAE"/>
    <w:lvl w:ilvl="0" w:tentative="0">
      <w:start w:val="1"/>
      <w:numFmt w:val="chineseCountingThousand"/>
      <w:pStyle w:val="73"/>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7AE44757"/>
    <w:multiLevelType w:val="multilevel"/>
    <w:tmpl w:val="7AE44757"/>
    <w:lvl w:ilvl="0" w:tentative="0">
      <w:start w:val="1"/>
      <w:numFmt w:val="bullet"/>
      <w:lvlText w:val=""/>
      <w:lvlJc w:val="left"/>
      <w:pPr>
        <w:tabs>
          <w:tab w:val="left" w:pos="-840"/>
        </w:tabs>
        <w:ind w:left="430" w:hanging="420"/>
      </w:pPr>
      <w:rPr>
        <w:rFonts w:hint="default" w:ascii="Wingdings" w:hAnsi="Wingdings"/>
      </w:rPr>
    </w:lvl>
    <w:lvl w:ilvl="1" w:tentative="0">
      <w:start w:val="1"/>
      <w:numFmt w:val="bullet"/>
      <w:lvlText w:val=""/>
      <w:lvlJc w:val="left"/>
      <w:pPr>
        <w:tabs>
          <w:tab w:val="left" w:pos="-840"/>
        </w:tabs>
        <w:ind w:left="850" w:hanging="420"/>
      </w:pPr>
      <w:rPr>
        <w:rFonts w:hint="default" w:ascii="Wingdings" w:hAnsi="Wingdings"/>
      </w:rPr>
    </w:lvl>
    <w:lvl w:ilvl="2" w:tentative="0">
      <w:start w:val="1"/>
      <w:numFmt w:val="bullet"/>
      <w:lvlText w:val=""/>
      <w:lvlJc w:val="left"/>
      <w:pPr>
        <w:tabs>
          <w:tab w:val="left" w:pos="-840"/>
        </w:tabs>
        <w:ind w:left="1270" w:hanging="420"/>
      </w:pPr>
      <w:rPr>
        <w:rFonts w:hint="default" w:ascii="Wingdings" w:hAnsi="Wingdings"/>
      </w:rPr>
    </w:lvl>
    <w:lvl w:ilvl="3" w:tentative="0">
      <w:start w:val="1"/>
      <w:numFmt w:val="bullet"/>
      <w:lvlText w:val=""/>
      <w:lvlJc w:val="left"/>
      <w:pPr>
        <w:tabs>
          <w:tab w:val="left" w:pos="-840"/>
        </w:tabs>
        <w:ind w:left="1690" w:hanging="420"/>
      </w:pPr>
      <w:rPr>
        <w:rFonts w:hint="default" w:ascii="Wingdings" w:hAnsi="Wingdings"/>
      </w:rPr>
    </w:lvl>
    <w:lvl w:ilvl="4" w:tentative="0">
      <w:start w:val="1"/>
      <w:numFmt w:val="bullet"/>
      <w:lvlText w:val=""/>
      <w:lvlJc w:val="left"/>
      <w:pPr>
        <w:tabs>
          <w:tab w:val="left" w:pos="-840"/>
        </w:tabs>
        <w:ind w:left="2110" w:hanging="420"/>
      </w:pPr>
      <w:rPr>
        <w:rFonts w:hint="default" w:ascii="Wingdings" w:hAnsi="Wingdings"/>
      </w:rPr>
    </w:lvl>
    <w:lvl w:ilvl="5" w:tentative="0">
      <w:start w:val="1"/>
      <w:numFmt w:val="bullet"/>
      <w:lvlText w:val=""/>
      <w:lvlJc w:val="left"/>
      <w:pPr>
        <w:tabs>
          <w:tab w:val="left" w:pos="-840"/>
        </w:tabs>
        <w:ind w:left="2530" w:hanging="420"/>
      </w:pPr>
      <w:rPr>
        <w:rFonts w:hint="default" w:ascii="Wingdings" w:hAnsi="Wingdings"/>
      </w:rPr>
    </w:lvl>
    <w:lvl w:ilvl="6" w:tentative="0">
      <w:start w:val="1"/>
      <w:numFmt w:val="bullet"/>
      <w:lvlText w:val=""/>
      <w:lvlJc w:val="left"/>
      <w:pPr>
        <w:tabs>
          <w:tab w:val="left" w:pos="-840"/>
        </w:tabs>
        <w:ind w:left="2950" w:hanging="420"/>
      </w:pPr>
      <w:rPr>
        <w:rFonts w:hint="default" w:ascii="Wingdings" w:hAnsi="Wingdings"/>
      </w:rPr>
    </w:lvl>
    <w:lvl w:ilvl="7" w:tentative="0">
      <w:start w:val="1"/>
      <w:numFmt w:val="bullet"/>
      <w:lvlText w:val=""/>
      <w:lvlJc w:val="left"/>
      <w:pPr>
        <w:tabs>
          <w:tab w:val="left" w:pos="-840"/>
        </w:tabs>
        <w:ind w:left="3370" w:hanging="420"/>
      </w:pPr>
      <w:rPr>
        <w:rFonts w:hint="default" w:ascii="Wingdings" w:hAnsi="Wingdings"/>
      </w:rPr>
    </w:lvl>
    <w:lvl w:ilvl="8" w:tentative="0">
      <w:start w:val="1"/>
      <w:numFmt w:val="bullet"/>
      <w:lvlText w:val=""/>
      <w:lvlJc w:val="left"/>
      <w:pPr>
        <w:tabs>
          <w:tab w:val="left" w:pos="-840"/>
        </w:tabs>
        <w:ind w:left="3790" w:hanging="420"/>
      </w:pPr>
      <w:rPr>
        <w:rFonts w:hint="default" w:ascii="Wingdings" w:hAnsi="Wingdings"/>
      </w:rPr>
    </w:lvl>
  </w:abstractNum>
  <w:num w:numId="1">
    <w:abstractNumId w:val="20"/>
  </w:num>
  <w:num w:numId="2">
    <w:abstractNumId w:val="25"/>
  </w:num>
  <w:num w:numId="3">
    <w:abstractNumId w:val="23"/>
  </w:num>
  <w:num w:numId="4">
    <w:abstractNumId w:val="21"/>
  </w:num>
  <w:num w:numId="5">
    <w:abstractNumId w:val="12"/>
  </w:num>
  <w:num w:numId="6">
    <w:abstractNumId w:val="13"/>
  </w:num>
  <w:num w:numId="7">
    <w:abstractNumId w:val="14"/>
  </w:num>
  <w:num w:numId="8">
    <w:abstractNumId w:val="2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8"/>
  </w:num>
  <w:num w:numId="13">
    <w:abstractNumId w:val="5"/>
  </w:num>
  <w:num w:numId="14">
    <w:abstractNumId w:val="0"/>
  </w:num>
  <w:num w:numId="15">
    <w:abstractNumId w:val="2"/>
  </w:num>
  <w:num w:numId="16">
    <w:abstractNumId w:val="24"/>
  </w:num>
  <w:num w:numId="17">
    <w:abstractNumId w:val="26"/>
  </w:num>
  <w:num w:numId="18">
    <w:abstractNumId w:val="16"/>
  </w:num>
  <w:num w:numId="19">
    <w:abstractNumId w:val="9"/>
  </w:num>
  <w:num w:numId="20">
    <w:abstractNumId w:val="8"/>
  </w:num>
  <w:num w:numId="21">
    <w:abstractNumId w:val="3"/>
  </w:num>
  <w:num w:numId="22">
    <w:abstractNumId w:val="1"/>
  </w:num>
  <w:num w:numId="23">
    <w:abstractNumId w:val="6"/>
  </w:num>
  <w:num w:numId="24">
    <w:abstractNumId w:val="11"/>
  </w:num>
  <w:num w:numId="25">
    <w:abstractNumId w:val="10"/>
  </w:num>
  <w:num w:numId="26">
    <w:abstractNumId w:val="19"/>
  </w:num>
  <w:num w:numId="27">
    <w:abstractNumId w:val="15"/>
  </w:num>
  <w:num w:numId="28">
    <w:abstractNumId w:val="17"/>
  </w:num>
  <w:num w:numId="29">
    <w:abstractNumId w:val="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CC3DCA"/>
    <w:rsid w:val="02FE76EF"/>
    <w:rsid w:val="03F033B0"/>
    <w:rsid w:val="057C1D39"/>
    <w:rsid w:val="05891259"/>
    <w:rsid w:val="08633479"/>
    <w:rsid w:val="0CB51572"/>
    <w:rsid w:val="0E4D31E3"/>
    <w:rsid w:val="10DC2AA3"/>
    <w:rsid w:val="10FA7C8C"/>
    <w:rsid w:val="12E94CCE"/>
    <w:rsid w:val="130B198F"/>
    <w:rsid w:val="16A918E4"/>
    <w:rsid w:val="17D966D6"/>
    <w:rsid w:val="1BC71D3B"/>
    <w:rsid w:val="1C59115B"/>
    <w:rsid w:val="1FB23E60"/>
    <w:rsid w:val="22C5630B"/>
    <w:rsid w:val="23EC0BA6"/>
    <w:rsid w:val="24701A48"/>
    <w:rsid w:val="268B0052"/>
    <w:rsid w:val="27743C90"/>
    <w:rsid w:val="29CA2459"/>
    <w:rsid w:val="2B271A58"/>
    <w:rsid w:val="2B6304A7"/>
    <w:rsid w:val="2CF6734C"/>
    <w:rsid w:val="2D663463"/>
    <w:rsid w:val="2EF96EE4"/>
    <w:rsid w:val="36254FE4"/>
    <w:rsid w:val="372F61E0"/>
    <w:rsid w:val="39322FCA"/>
    <w:rsid w:val="3AB90991"/>
    <w:rsid w:val="3B706131"/>
    <w:rsid w:val="3D762DF6"/>
    <w:rsid w:val="3E6F041E"/>
    <w:rsid w:val="4275481E"/>
    <w:rsid w:val="428B617A"/>
    <w:rsid w:val="433D7BDC"/>
    <w:rsid w:val="437E1813"/>
    <w:rsid w:val="45BD47FC"/>
    <w:rsid w:val="45CC5FB2"/>
    <w:rsid w:val="46B75BA8"/>
    <w:rsid w:val="48C97955"/>
    <w:rsid w:val="49880C8F"/>
    <w:rsid w:val="4A8835F7"/>
    <w:rsid w:val="4B592E71"/>
    <w:rsid w:val="52B9239A"/>
    <w:rsid w:val="54BD78FD"/>
    <w:rsid w:val="58A86DDE"/>
    <w:rsid w:val="59154AD7"/>
    <w:rsid w:val="5ADF548D"/>
    <w:rsid w:val="5D5C60B4"/>
    <w:rsid w:val="63F04A69"/>
    <w:rsid w:val="66A50B1E"/>
    <w:rsid w:val="67B2063C"/>
    <w:rsid w:val="67C97AC3"/>
    <w:rsid w:val="67E30EC1"/>
    <w:rsid w:val="68D423C0"/>
    <w:rsid w:val="6A4E3B2B"/>
    <w:rsid w:val="6B481C3B"/>
    <w:rsid w:val="6C1331A3"/>
    <w:rsid w:val="6CA84BC1"/>
    <w:rsid w:val="6D3E4756"/>
    <w:rsid w:val="6FC523EB"/>
    <w:rsid w:val="72895F2E"/>
    <w:rsid w:val="72C02EBE"/>
    <w:rsid w:val="72C507AD"/>
    <w:rsid w:val="72D028D8"/>
    <w:rsid w:val="745D47C3"/>
    <w:rsid w:val="76AC3757"/>
    <w:rsid w:val="7CB93F8E"/>
    <w:rsid w:val="7CF66B46"/>
    <w:rsid w:val="7DBD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qFormat="1" w:unhideWhenUsed="0" w:uiPriority="99" w:semiHidden="0"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98"/>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8"/>
    <w:semiHidden/>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0"/>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5"/>
    <w:semiHidden/>
    <w:qFormat/>
    <w:uiPriority w:val="0"/>
    <w:pPr>
      <w:keepNext/>
      <w:keepLines/>
      <w:spacing w:line="416" w:lineRule="auto"/>
      <w:outlineLvl w:val="2"/>
    </w:pPr>
    <w:rPr>
      <w:b/>
      <w:bCs/>
      <w:sz w:val="32"/>
      <w:szCs w:val="32"/>
    </w:rPr>
  </w:style>
  <w:style w:type="paragraph" w:styleId="6">
    <w:name w:val="heading 4"/>
    <w:basedOn w:val="1"/>
    <w:next w:val="1"/>
    <w:link w:val="78"/>
    <w:semiHidden/>
    <w:qFormat/>
    <w:uiPriority w:val="0"/>
    <w:pPr>
      <w:keepNext/>
      <w:keepLines/>
      <w:spacing w:line="360" w:lineRule="auto"/>
      <w:outlineLvl w:val="3"/>
    </w:pPr>
    <w:rPr>
      <w:rFonts w:ascii="Arial" w:hAnsi="Arial"/>
      <w:b/>
      <w:bCs/>
      <w:szCs w:val="28"/>
    </w:rPr>
  </w:style>
  <w:style w:type="paragraph" w:styleId="7">
    <w:name w:val="heading 5"/>
    <w:basedOn w:val="1"/>
    <w:next w:val="1"/>
    <w:link w:val="79"/>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8">
    <w:name w:val="E-mail Signature"/>
    <w:basedOn w:val="1"/>
    <w:link w:val="105"/>
    <w:semiHidden/>
    <w:qFormat/>
    <w:uiPriority w:val="99"/>
    <w:pPr>
      <w:spacing w:after="200" w:line="276" w:lineRule="auto"/>
      <w:jc w:val="left"/>
    </w:pPr>
    <w:rPr>
      <w:rFonts w:ascii="Calibri" w:hAnsi="Calibri"/>
      <w:kern w:val="0"/>
      <w:szCs w:val="21"/>
    </w:rPr>
  </w:style>
  <w:style w:type="paragraph" w:styleId="9">
    <w:name w:val="Normal Indent"/>
    <w:basedOn w:val="1"/>
    <w:next w:val="1"/>
    <w:qFormat/>
    <w:uiPriority w:val="99"/>
    <w:pPr>
      <w:ind w:firstLine="420" w:firstLineChars="200"/>
    </w:pPr>
    <w:rPr>
      <w:kern w:val="0"/>
    </w:rPr>
  </w:style>
  <w:style w:type="paragraph" w:styleId="10">
    <w:name w:val="caption"/>
    <w:basedOn w:val="1"/>
    <w:next w:val="1"/>
    <w:semiHidden/>
    <w:qFormat/>
    <w:uiPriority w:val="98"/>
    <w:pPr>
      <w:spacing w:before="152" w:after="160"/>
    </w:pPr>
    <w:rPr>
      <w:rFonts w:ascii="Arial" w:hAnsi="Arial" w:eastAsia="黑体" w:cs="Arial"/>
      <w:sz w:val="20"/>
    </w:rPr>
  </w:style>
  <w:style w:type="paragraph" w:styleId="11">
    <w:name w:val="Document Map"/>
    <w:basedOn w:val="1"/>
    <w:link w:val="94"/>
    <w:semiHidden/>
    <w:qFormat/>
    <w:uiPriority w:val="0"/>
    <w:pPr>
      <w:adjustRightInd w:val="0"/>
      <w:spacing w:line="312" w:lineRule="atLeast"/>
      <w:textAlignment w:val="baseline"/>
    </w:pPr>
    <w:rPr>
      <w:rFonts w:ascii="宋体"/>
      <w:kern w:val="0"/>
      <w:sz w:val="18"/>
      <w:szCs w:val="18"/>
    </w:rPr>
  </w:style>
  <w:style w:type="paragraph" w:styleId="12">
    <w:name w:val="annotation text"/>
    <w:basedOn w:val="1"/>
    <w:link w:val="47"/>
    <w:qFormat/>
    <w:uiPriority w:val="99"/>
    <w:pPr>
      <w:jc w:val="left"/>
    </w:pPr>
  </w:style>
  <w:style w:type="paragraph" w:styleId="13">
    <w:name w:val="Body Text"/>
    <w:basedOn w:val="1"/>
    <w:link w:val="43"/>
    <w:semiHidden/>
    <w:qFormat/>
    <w:uiPriority w:val="98"/>
    <w:rPr>
      <w:rFonts w:ascii="仿宋_GB2312" w:eastAsia="仿宋_GB2312"/>
      <w:sz w:val="32"/>
    </w:rPr>
  </w:style>
  <w:style w:type="paragraph" w:styleId="14">
    <w:name w:val="Body Text Indent"/>
    <w:basedOn w:val="1"/>
    <w:next w:val="1"/>
    <w:link w:val="50"/>
    <w:semiHidden/>
    <w:qFormat/>
    <w:uiPriority w:val="0"/>
    <w:pPr>
      <w:spacing w:after="120"/>
      <w:ind w:left="420" w:leftChars="200"/>
    </w:pPr>
    <w:rPr>
      <w:rFonts w:ascii="Calibri" w:hAnsi="Calibri"/>
      <w:szCs w:val="22"/>
    </w:rPr>
  </w:style>
  <w:style w:type="paragraph" w:styleId="15">
    <w:name w:val="toc 3"/>
    <w:basedOn w:val="1"/>
    <w:next w:val="1"/>
    <w:semiHidden/>
    <w:qFormat/>
    <w:uiPriority w:val="39"/>
    <w:pPr>
      <w:adjustRightInd w:val="0"/>
      <w:spacing w:line="312" w:lineRule="atLeast"/>
      <w:ind w:left="840" w:leftChars="400"/>
      <w:textAlignment w:val="baseline"/>
    </w:pPr>
    <w:rPr>
      <w:kern w:val="0"/>
      <w:sz w:val="24"/>
    </w:rPr>
  </w:style>
  <w:style w:type="paragraph" w:styleId="16">
    <w:name w:val="Plain Text"/>
    <w:basedOn w:val="1"/>
    <w:link w:val="52"/>
    <w:qFormat/>
    <w:uiPriority w:val="0"/>
    <w:rPr>
      <w:rFonts w:ascii="宋体" w:hAnsi="Courier New"/>
    </w:rPr>
  </w:style>
  <w:style w:type="paragraph" w:styleId="17">
    <w:name w:val="Date"/>
    <w:basedOn w:val="1"/>
    <w:next w:val="1"/>
    <w:link w:val="88"/>
    <w:semiHidden/>
    <w:qFormat/>
    <w:uiPriority w:val="0"/>
    <w:pPr>
      <w:adjustRightInd w:val="0"/>
      <w:spacing w:line="312" w:lineRule="atLeast"/>
      <w:ind w:left="100" w:leftChars="2500"/>
      <w:textAlignment w:val="baseline"/>
    </w:pPr>
    <w:rPr>
      <w:kern w:val="0"/>
      <w:sz w:val="24"/>
    </w:rPr>
  </w:style>
  <w:style w:type="paragraph" w:styleId="18">
    <w:name w:val="Body Text Indent 2"/>
    <w:basedOn w:val="1"/>
    <w:link w:val="87"/>
    <w:semiHidden/>
    <w:qFormat/>
    <w:uiPriority w:val="0"/>
    <w:pPr>
      <w:adjustRightInd w:val="0"/>
      <w:spacing w:after="120" w:line="480" w:lineRule="auto"/>
      <w:ind w:left="420" w:leftChars="200"/>
      <w:textAlignment w:val="baseline"/>
    </w:pPr>
    <w:rPr>
      <w:kern w:val="0"/>
      <w:sz w:val="24"/>
    </w:rPr>
  </w:style>
  <w:style w:type="paragraph" w:styleId="19">
    <w:name w:val="Balloon Text"/>
    <w:basedOn w:val="1"/>
    <w:link w:val="49"/>
    <w:semiHidden/>
    <w:qFormat/>
    <w:uiPriority w:val="0"/>
    <w:rPr>
      <w:sz w:val="18"/>
      <w:szCs w:val="18"/>
    </w:rPr>
  </w:style>
  <w:style w:type="paragraph" w:styleId="20">
    <w:name w:val="footer"/>
    <w:basedOn w:val="1"/>
    <w:link w:val="44"/>
    <w:semiHidden/>
    <w:qFormat/>
    <w:uiPriority w:val="0"/>
    <w:pPr>
      <w:tabs>
        <w:tab w:val="center" w:pos="4153"/>
        <w:tab w:val="right" w:pos="8306"/>
      </w:tabs>
      <w:snapToGrid w:val="0"/>
      <w:jc w:val="left"/>
    </w:pPr>
    <w:rPr>
      <w:sz w:val="18"/>
      <w:szCs w:val="18"/>
    </w:rPr>
  </w:style>
  <w:style w:type="paragraph" w:styleId="21">
    <w:name w:val="header"/>
    <w:basedOn w:val="1"/>
    <w:link w:val="54"/>
    <w:semiHidden/>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3">
    <w:name w:val="List"/>
    <w:basedOn w:val="1"/>
    <w:qFormat/>
    <w:uiPriority w:val="0"/>
    <w:pPr>
      <w:ind w:left="200" w:hanging="200" w:hangingChars="200"/>
    </w:pPr>
    <w:rPr>
      <w:szCs w:val="21"/>
    </w:rPr>
  </w:style>
  <w:style w:type="paragraph" w:styleId="24">
    <w:name w:val="Body Text Indent 3"/>
    <w:basedOn w:val="1"/>
    <w:link w:val="84"/>
    <w:semiHidden/>
    <w:qFormat/>
    <w:uiPriority w:val="0"/>
    <w:pPr>
      <w:spacing w:line="360" w:lineRule="auto"/>
      <w:ind w:left="1347" w:leftChars="413" w:hanging="480" w:hangingChars="200"/>
    </w:pPr>
    <w:rPr>
      <w:rFonts w:ascii="宋体" w:hAnsi="宋体"/>
      <w:color w:val="FF0000"/>
      <w:sz w:val="24"/>
      <w:szCs w:val="24"/>
    </w:rPr>
  </w:style>
  <w:style w:type="paragraph" w:styleId="25">
    <w:name w:val="index 9"/>
    <w:basedOn w:val="1"/>
    <w:next w:val="1"/>
    <w:autoRedefine/>
    <w:semiHidden/>
    <w:qFormat/>
    <w:uiPriority w:val="98"/>
    <w:pPr>
      <w:ind w:left="1600" w:leftChars="1600"/>
    </w:pPr>
  </w:style>
  <w:style w:type="paragraph" w:styleId="26">
    <w:name w:val="toc 2"/>
    <w:basedOn w:val="1"/>
    <w:next w:val="1"/>
    <w:qFormat/>
    <w:uiPriority w:val="39"/>
    <w:pPr>
      <w:ind w:left="420" w:leftChars="200"/>
    </w:pPr>
  </w:style>
  <w:style w:type="paragraph" w:styleId="27">
    <w:name w:val="Message Header"/>
    <w:basedOn w:val="1"/>
    <w:link w:val="109"/>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8">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9">
    <w:name w:val="Title"/>
    <w:basedOn w:val="1"/>
    <w:next w:val="1"/>
    <w:link w:val="71"/>
    <w:semiHidden/>
    <w:qFormat/>
    <w:uiPriority w:val="0"/>
    <w:pPr>
      <w:spacing w:before="240" w:after="60"/>
      <w:jc w:val="center"/>
      <w:outlineLvl w:val="0"/>
    </w:pPr>
    <w:rPr>
      <w:rFonts w:eastAsia="黑体" w:asciiTheme="majorHAnsi" w:hAnsiTheme="majorHAnsi" w:cstheme="majorBidi"/>
      <w:b/>
      <w:bCs/>
      <w:sz w:val="36"/>
      <w:szCs w:val="32"/>
    </w:rPr>
  </w:style>
  <w:style w:type="paragraph" w:styleId="30">
    <w:name w:val="annotation subject"/>
    <w:basedOn w:val="12"/>
    <w:next w:val="12"/>
    <w:link w:val="55"/>
    <w:semiHidden/>
    <w:qFormat/>
    <w:uiPriority w:val="98"/>
    <w:rPr>
      <w:b/>
      <w:bCs/>
    </w:rPr>
  </w:style>
  <w:style w:type="paragraph" w:styleId="31">
    <w:name w:val="Body Text First Indent 2"/>
    <w:basedOn w:val="14"/>
    <w:next w:val="26"/>
    <w:qFormat/>
    <w:uiPriority w:val="0"/>
    <w:pPr>
      <w:spacing w:line="276" w:lineRule="auto"/>
      <w:ind w:left="200" w:firstLine="200" w:firstLineChars="200"/>
      <w:jc w:val="left"/>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semiHidden/>
    <w:qFormat/>
    <w:uiPriority w:val="98"/>
    <w:rPr>
      <w:b/>
    </w:rPr>
  </w:style>
  <w:style w:type="character" w:styleId="36">
    <w:name w:val="page number"/>
    <w:basedOn w:val="34"/>
    <w:semiHidden/>
    <w:qFormat/>
    <w:uiPriority w:val="0"/>
  </w:style>
  <w:style w:type="character" w:styleId="37">
    <w:name w:val="FollowedHyperlink"/>
    <w:semiHidden/>
    <w:qFormat/>
    <w:uiPriority w:val="98"/>
    <w:rPr>
      <w:color w:val="800080"/>
      <w:u w:val="single"/>
    </w:rPr>
  </w:style>
  <w:style w:type="character" w:styleId="38">
    <w:name w:val="Emphasis"/>
    <w:semiHidden/>
    <w:qFormat/>
    <w:uiPriority w:val="98"/>
    <w:rPr>
      <w:i/>
      <w:iCs/>
    </w:rPr>
  </w:style>
  <w:style w:type="character" w:styleId="39">
    <w:name w:val="Hyperlink"/>
    <w:qFormat/>
    <w:uiPriority w:val="99"/>
    <w:rPr>
      <w:rFonts w:cs="Times New Roman"/>
      <w:color w:val="1F4F88"/>
      <w:u w:val="none"/>
    </w:rPr>
  </w:style>
  <w:style w:type="character" w:styleId="40">
    <w:name w:val="annotation reference"/>
    <w:semiHidden/>
    <w:qFormat/>
    <w:uiPriority w:val="98"/>
    <w:rPr>
      <w:sz w:val="21"/>
      <w:szCs w:val="21"/>
    </w:rPr>
  </w:style>
  <w:style w:type="character" w:customStyle="1" w:styleId="41">
    <w:name w:val="Char Char3"/>
    <w:semiHidden/>
    <w:qFormat/>
    <w:uiPriority w:val="98"/>
    <w:rPr>
      <w:rFonts w:ascii="宋体" w:hAnsi="Courier New" w:eastAsia="宋体"/>
      <w:kern w:val="2"/>
      <w:sz w:val="21"/>
      <w:lang w:val="en-US" w:eastAsia="zh-CN" w:bidi="ar-SA"/>
    </w:rPr>
  </w:style>
  <w:style w:type="character" w:customStyle="1" w:styleId="42">
    <w:name w:val="纯文本 Char"/>
    <w:semiHidden/>
    <w:qFormat/>
    <w:uiPriority w:val="98"/>
    <w:rPr>
      <w:rFonts w:ascii="宋体" w:hAnsi="Courier New" w:eastAsia="宋体"/>
      <w:kern w:val="2"/>
      <w:sz w:val="21"/>
      <w:lang w:val="en-US" w:eastAsia="zh-CN" w:bidi="ar-SA"/>
    </w:rPr>
  </w:style>
  <w:style w:type="character" w:customStyle="1" w:styleId="43">
    <w:name w:val="正文文本 字符"/>
    <w:link w:val="13"/>
    <w:semiHidden/>
    <w:qFormat/>
    <w:uiPriority w:val="98"/>
    <w:rPr>
      <w:rFonts w:ascii="仿宋_GB2312" w:eastAsia="仿宋_GB2312"/>
      <w:kern w:val="2"/>
      <w:sz w:val="32"/>
    </w:rPr>
  </w:style>
  <w:style w:type="character" w:customStyle="1" w:styleId="44">
    <w:name w:val="页脚 字符"/>
    <w:link w:val="20"/>
    <w:semiHidden/>
    <w:qFormat/>
    <w:uiPriority w:val="0"/>
    <w:rPr>
      <w:kern w:val="2"/>
      <w:sz w:val="18"/>
      <w:szCs w:val="18"/>
    </w:rPr>
  </w:style>
  <w:style w:type="character" w:customStyle="1" w:styleId="45">
    <w:name w:val="标题 3 字符"/>
    <w:link w:val="5"/>
    <w:semiHidden/>
    <w:qFormat/>
    <w:uiPriority w:val="0"/>
    <w:rPr>
      <w:b/>
      <w:bCs/>
      <w:kern w:val="2"/>
      <w:sz w:val="32"/>
      <w:szCs w:val="32"/>
    </w:rPr>
  </w:style>
  <w:style w:type="character" w:customStyle="1" w:styleId="46">
    <w:name w:val="正文文本 Char"/>
    <w:semiHidden/>
    <w:qFormat/>
    <w:uiPriority w:val="98"/>
    <w:rPr>
      <w:rFonts w:ascii="仿宋_GB2312" w:eastAsia="仿宋_GB2312"/>
      <w:kern w:val="2"/>
      <w:sz w:val="32"/>
    </w:rPr>
  </w:style>
  <w:style w:type="character" w:customStyle="1" w:styleId="47">
    <w:name w:val="批注文字 字符"/>
    <w:link w:val="12"/>
    <w:qFormat/>
    <w:uiPriority w:val="99"/>
    <w:rPr>
      <w:kern w:val="2"/>
      <w:sz w:val="21"/>
    </w:rPr>
  </w:style>
  <w:style w:type="character" w:customStyle="1" w:styleId="48">
    <w:name w:val="apple-converted-space"/>
    <w:basedOn w:val="34"/>
    <w:semiHidden/>
    <w:qFormat/>
    <w:uiPriority w:val="98"/>
  </w:style>
  <w:style w:type="character" w:customStyle="1" w:styleId="49">
    <w:name w:val="批注框文本 字符"/>
    <w:link w:val="19"/>
    <w:semiHidden/>
    <w:qFormat/>
    <w:uiPriority w:val="98"/>
    <w:rPr>
      <w:kern w:val="2"/>
      <w:sz w:val="18"/>
      <w:szCs w:val="18"/>
    </w:rPr>
  </w:style>
  <w:style w:type="character" w:customStyle="1" w:styleId="50">
    <w:name w:val="正文文本缩进 字符"/>
    <w:link w:val="14"/>
    <w:semiHidden/>
    <w:qFormat/>
    <w:uiPriority w:val="0"/>
    <w:rPr>
      <w:rFonts w:ascii="Calibri" w:hAnsi="Calibri"/>
      <w:kern w:val="2"/>
      <w:sz w:val="21"/>
      <w:szCs w:val="22"/>
    </w:rPr>
  </w:style>
  <w:style w:type="character" w:customStyle="1" w:styleId="51">
    <w:name w:val="Char Char5"/>
    <w:semiHidden/>
    <w:qFormat/>
    <w:uiPriority w:val="98"/>
    <w:rPr>
      <w:rFonts w:ascii="宋体" w:hAnsi="Courier New" w:eastAsia="宋体"/>
      <w:kern w:val="2"/>
      <w:sz w:val="21"/>
      <w:lang w:val="en-US" w:eastAsia="zh-CN" w:bidi="ar-SA"/>
    </w:rPr>
  </w:style>
  <w:style w:type="character" w:customStyle="1" w:styleId="52">
    <w:name w:val="纯文本 字符1"/>
    <w:link w:val="16"/>
    <w:semiHidden/>
    <w:qFormat/>
    <w:uiPriority w:val="0"/>
    <w:rPr>
      <w:rFonts w:ascii="宋体" w:hAnsi="Courier New"/>
      <w:kern w:val="2"/>
      <w:sz w:val="21"/>
    </w:rPr>
  </w:style>
  <w:style w:type="character" w:customStyle="1" w:styleId="53">
    <w:name w:val="纯文本 字符"/>
    <w:semiHidden/>
    <w:qFormat/>
    <w:uiPriority w:val="98"/>
    <w:rPr>
      <w:rFonts w:ascii="宋体" w:hAnsi="Courier New" w:eastAsia="宋体"/>
    </w:rPr>
  </w:style>
  <w:style w:type="character" w:customStyle="1" w:styleId="54">
    <w:name w:val="页眉 字符"/>
    <w:link w:val="21"/>
    <w:semiHidden/>
    <w:qFormat/>
    <w:uiPriority w:val="0"/>
    <w:rPr>
      <w:kern w:val="2"/>
      <w:sz w:val="18"/>
      <w:szCs w:val="18"/>
    </w:rPr>
  </w:style>
  <w:style w:type="character" w:customStyle="1" w:styleId="55">
    <w:name w:val="批注主题 字符"/>
    <w:link w:val="30"/>
    <w:semiHidden/>
    <w:qFormat/>
    <w:uiPriority w:val="98"/>
    <w:rPr>
      <w:b/>
      <w:bCs/>
      <w:kern w:val="2"/>
      <w:sz w:val="21"/>
    </w:rPr>
  </w:style>
  <w:style w:type="character" w:customStyle="1" w:styleId="56">
    <w:name w:val="Char Char2"/>
    <w:semiHidden/>
    <w:qFormat/>
    <w:uiPriority w:val="98"/>
    <w:rPr>
      <w:rFonts w:ascii="宋体" w:hAnsi="Courier New" w:cs="宋体"/>
      <w:kern w:val="2"/>
      <w:sz w:val="21"/>
      <w:szCs w:val="21"/>
    </w:rPr>
  </w:style>
  <w:style w:type="character" w:customStyle="1" w:styleId="57">
    <w:name w:val="HTML Markup"/>
    <w:semiHidden/>
    <w:qFormat/>
    <w:uiPriority w:val="98"/>
    <w:rPr>
      <w:vanish/>
      <w:color w:val="FF0000"/>
    </w:rPr>
  </w:style>
  <w:style w:type="character" w:customStyle="1" w:styleId="58">
    <w:name w:val="纯文本 Char3"/>
    <w:semiHidden/>
    <w:qFormat/>
    <w:uiPriority w:val="98"/>
    <w:rPr>
      <w:rFonts w:ascii="宋体" w:hAnsi="Courier New" w:eastAsia="宋体"/>
      <w:kern w:val="2"/>
      <w:sz w:val="21"/>
      <w:lang w:val="en-US" w:eastAsia="zh-CN" w:bidi="ar-SA"/>
    </w:rPr>
  </w:style>
  <w:style w:type="character" w:customStyle="1" w:styleId="59">
    <w:name w:val="正文文本缩进 Char"/>
    <w:link w:val="60"/>
    <w:semiHidden/>
    <w:qFormat/>
    <w:uiPriority w:val="98"/>
    <w:rPr>
      <w:kern w:val="2"/>
      <w:sz w:val="21"/>
    </w:rPr>
  </w:style>
  <w:style w:type="paragraph" w:customStyle="1" w:styleId="60">
    <w:name w:val="正文文本缩进1"/>
    <w:basedOn w:val="1"/>
    <w:link w:val="59"/>
    <w:semiHidden/>
    <w:qFormat/>
    <w:uiPriority w:val="98"/>
    <w:pPr>
      <w:spacing w:after="120"/>
      <w:ind w:left="420" w:leftChars="200"/>
    </w:pPr>
  </w:style>
  <w:style w:type="paragraph" w:customStyle="1" w:styleId="61">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2">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3">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4">
    <w:name w:val="List Paragraph"/>
    <w:basedOn w:val="1"/>
    <w:semiHidden/>
    <w:qFormat/>
    <w:uiPriority w:val="98"/>
    <w:pPr>
      <w:ind w:firstLine="420" w:firstLineChars="200"/>
    </w:pPr>
    <w:rPr>
      <w:rFonts w:ascii="Calibri" w:hAnsi="Calibri"/>
      <w:szCs w:val="22"/>
    </w:rPr>
  </w:style>
  <w:style w:type="paragraph" w:customStyle="1" w:styleId="65">
    <w:name w:val="列出段落1"/>
    <w:basedOn w:val="1"/>
    <w:semiHidden/>
    <w:qFormat/>
    <w:uiPriority w:val="98"/>
    <w:pPr>
      <w:ind w:firstLine="420" w:firstLineChars="200"/>
    </w:pPr>
    <w:rPr>
      <w:rFonts w:ascii="Calibri" w:hAnsi="Calibri"/>
      <w:szCs w:val="22"/>
    </w:rPr>
  </w:style>
  <w:style w:type="paragraph" w:customStyle="1" w:styleId="66">
    <w:name w:val="二级列表 Char"/>
    <w:basedOn w:val="1"/>
    <w:semiHidden/>
    <w:qFormat/>
    <w:uiPriority w:val="98"/>
    <w:rPr>
      <w:rFonts w:ascii="Calibri" w:hAnsi="Calibri"/>
    </w:rPr>
  </w:style>
  <w:style w:type="character" w:customStyle="1" w:styleId="67">
    <w:name w:val="style61"/>
    <w:semiHidden/>
    <w:qFormat/>
    <w:uiPriority w:val="98"/>
  </w:style>
  <w:style w:type="character" w:customStyle="1" w:styleId="68">
    <w:name w:val="标题 1 字符"/>
    <w:basedOn w:val="34"/>
    <w:link w:val="3"/>
    <w:semiHidden/>
    <w:qFormat/>
    <w:uiPriority w:val="0"/>
    <w:rPr>
      <w:b/>
      <w:bCs/>
      <w:kern w:val="44"/>
      <w:sz w:val="44"/>
      <w:szCs w:val="44"/>
    </w:rPr>
  </w:style>
  <w:style w:type="paragraph" w:customStyle="1" w:styleId="69">
    <w:name w:val="TOC 标题1"/>
    <w:basedOn w:val="3"/>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70">
    <w:name w:val="标题 2 字符"/>
    <w:basedOn w:val="34"/>
    <w:link w:val="4"/>
    <w:semiHidden/>
    <w:qFormat/>
    <w:uiPriority w:val="0"/>
    <w:rPr>
      <w:rFonts w:asciiTheme="majorHAnsi" w:hAnsiTheme="majorHAnsi" w:eastAsiaTheme="majorEastAsia" w:cstheme="majorBidi"/>
      <w:b/>
      <w:bCs/>
      <w:kern w:val="2"/>
      <w:sz w:val="32"/>
      <w:szCs w:val="32"/>
    </w:rPr>
  </w:style>
  <w:style w:type="character" w:customStyle="1" w:styleId="71">
    <w:name w:val="标题 字符"/>
    <w:basedOn w:val="34"/>
    <w:link w:val="29"/>
    <w:semiHidden/>
    <w:qFormat/>
    <w:uiPriority w:val="0"/>
    <w:rPr>
      <w:rFonts w:eastAsia="黑体" w:asciiTheme="majorHAnsi" w:hAnsiTheme="majorHAnsi" w:cstheme="majorBidi"/>
      <w:b/>
      <w:bCs/>
      <w:kern w:val="2"/>
      <w:sz w:val="36"/>
      <w:szCs w:val="32"/>
    </w:rPr>
  </w:style>
  <w:style w:type="paragraph" w:customStyle="1" w:styleId="72">
    <w:name w:val="章节"/>
    <w:basedOn w:val="16"/>
    <w:qFormat/>
    <w:uiPriority w:val="0"/>
    <w:pPr>
      <w:spacing w:line="360" w:lineRule="auto"/>
      <w:jc w:val="center"/>
      <w:outlineLvl w:val="0"/>
    </w:pPr>
    <w:rPr>
      <w:rFonts w:ascii="黑体" w:eastAsia="黑体"/>
      <w:b/>
      <w:bCs/>
      <w:sz w:val="36"/>
      <w:szCs w:val="36"/>
    </w:rPr>
  </w:style>
  <w:style w:type="paragraph" w:customStyle="1" w:styleId="73">
    <w:name w:val="一级标题"/>
    <w:basedOn w:val="16"/>
    <w:qFormat/>
    <w:uiPriority w:val="1"/>
    <w:pPr>
      <w:numPr>
        <w:ilvl w:val="0"/>
        <w:numId w:val="2"/>
      </w:numPr>
      <w:spacing w:line="360" w:lineRule="auto"/>
      <w:ind w:left="420"/>
      <w:outlineLvl w:val="1"/>
    </w:pPr>
    <w:rPr>
      <w:rFonts w:ascii="黑体" w:eastAsia="黑体"/>
      <w:b/>
      <w:bCs/>
      <w:sz w:val="28"/>
    </w:rPr>
  </w:style>
  <w:style w:type="paragraph" w:customStyle="1" w:styleId="74">
    <w:name w:val="（二）级标题"/>
    <w:basedOn w:val="16"/>
    <w:qFormat/>
    <w:uiPriority w:val="2"/>
    <w:pPr>
      <w:numPr>
        <w:ilvl w:val="0"/>
        <w:numId w:val="3"/>
      </w:numPr>
      <w:spacing w:line="360" w:lineRule="auto"/>
      <w:outlineLvl w:val="2"/>
    </w:pPr>
    <w:rPr>
      <w:b/>
    </w:rPr>
  </w:style>
  <w:style w:type="paragraph" w:customStyle="1" w:styleId="75">
    <w:name w:val="3级标题"/>
    <w:basedOn w:val="16"/>
    <w:link w:val="103"/>
    <w:qFormat/>
    <w:uiPriority w:val="3"/>
    <w:pPr>
      <w:numPr>
        <w:ilvl w:val="0"/>
        <w:numId w:val="4"/>
      </w:numPr>
      <w:spacing w:line="360" w:lineRule="auto"/>
      <w:outlineLvl w:val="3"/>
    </w:pPr>
    <w:rPr>
      <w:b/>
    </w:rPr>
  </w:style>
  <w:style w:type="paragraph" w:customStyle="1" w:styleId="76">
    <w:name w:val="（4）级标题"/>
    <w:basedOn w:val="16"/>
    <w:qFormat/>
    <w:uiPriority w:val="8"/>
    <w:pPr>
      <w:numPr>
        <w:ilvl w:val="0"/>
        <w:numId w:val="5"/>
      </w:numPr>
      <w:spacing w:line="360" w:lineRule="auto"/>
      <w:outlineLvl w:val="4"/>
    </w:pPr>
  </w:style>
  <w:style w:type="paragraph" w:customStyle="1" w:styleId="77">
    <w:name w:val="标书正文"/>
    <w:basedOn w:val="16"/>
    <w:link w:val="98"/>
    <w:qFormat/>
    <w:uiPriority w:val="9"/>
    <w:pPr>
      <w:spacing w:line="360" w:lineRule="auto"/>
      <w:jc w:val="left"/>
    </w:pPr>
  </w:style>
  <w:style w:type="character" w:customStyle="1" w:styleId="78">
    <w:name w:val="标题 4 字符"/>
    <w:basedOn w:val="34"/>
    <w:link w:val="6"/>
    <w:semiHidden/>
    <w:qFormat/>
    <w:uiPriority w:val="0"/>
    <w:rPr>
      <w:rFonts w:ascii="Arial" w:hAnsi="Arial"/>
      <w:b/>
      <w:bCs/>
      <w:kern w:val="2"/>
      <w:sz w:val="21"/>
      <w:szCs w:val="28"/>
    </w:rPr>
  </w:style>
  <w:style w:type="character" w:customStyle="1" w:styleId="79">
    <w:name w:val="标题 5 字符"/>
    <w:basedOn w:val="34"/>
    <w:link w:val="7"/>
    <w:semiHidden/>
    <w:qFormat/>
    <w:uiPriority w:val="0"/>
    <w:rPr>
      <w:rFonts w:ascii="宋体" w:hAnsi="宋体"/>
      <w:bCs/>
      <w:iCs/>
      <w:color w:val="000000"/>
      <w:sz w:val="28"/>
      <w:szCs w:val="28"/>
    </w:rPr>
  </w:style>
  <w:style w:type="paragraph" w:customStyle="1" w:styleId="80">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case31"/>
    <w:qFormat/>
    <w:uiPriority w:val="0"/>
    <w:rPr>
      <w:rFonts w:hint="default" w:ascii="ˎ̥" w:hAnsi="ˎ̥"/>
      <w:sz w:val="21"/>
      <w:szCs w:val="21"/>
    </w:rPr>
  </w:style>
  <w:style w:type="character" w:customStyle="1" w:styleId="82">
    <w:name w:val="标题 2 Char"/>
    <w:qFormat/>
    <w:uiPriority w:val="0"/>
    <w:rPr>
      <w:rFonts w:ascii="宋体" w:hAnsi="宋体"/>
      <w:bCs/>
      <w:sz w:val="24"/>
      <w:szCs w:val="32"/>
    </w:rPr>
  </w:style>
  <w:style w:type="character" w:customStyle="1" w:styleId="83">
    <w:name w:val="标题 Char"/>
    <w:qFormat/>
    <w:uiPriority w:val="0"/>
    <w:rPr>
      <w:rFonts w:ascii="宋体" w:hAnsi="宋体" w:cs="Times New Roman"/>
      <w:b/>
      <w:bCs/>
      <w:sz w:val="24"/>
      <w:szCs w:val="32"/>
    </w:rPr>
  </w:style>
  <w:style w:type="character" w:customStyle="1" w:styleId="84">
    <w:name w:val="正文文本缩进 3 字符"/>
    <w:basedOn w:val="34"/>
    <w:link w:val="24"/>
    <w:semiHidden/>
    <w:qFormat/>
    <w:uiPriority w:val="0"/>
    <w:rPr>
      <w:rFonts w:ascii="宋体" w:hAnsi="宋体"/>
      <w:color w:val="FF0000"/>
      <w:kern w:val="2"/>
      <w:sz w:val="24"/>
      <w:szCs w:val="24"/>
    </w:rPr>
  </w:style>
  <w:style w:type="paragraph" w:customStyle="1" w:styleId="85">
    <w:name w:val="_Style 4"/>
    <w:basedOn w:val="3"/>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6">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7">
    <w:name w:val="正文文本缩进 2 字符"/>
    <w:basedOn w:val="34"/>
    <w:link w:val="18"/>
    <w:semiHidden/>
    <w:qFormat/>
    <w:uiPriority w:val="0"/>
    <w:rPr>
      <w:sz w:val="24"/>
    </w:rPr>
  </w:style>
  <w:style w:type="character" w:customStyle="1" w:styleId="88">
    <w:name w:val="日期 字符"/>
    <w:basedOn w:val="34"/>
    <w:link w:val="17"/>
    <w:semiHidden/>
    <w:qFormat/>
    <w:uiPriority w:val="0"/>
    <w:rPr>
      <w:sz w:val="24"/>
    </w:rPr>
  </w:style>
  <w:style w:type="paragraph" w:customStyle="1" w:styleId="89">
    <w:name w:val="Char1 Char Char Char Char Char Char"/>
    <w:basedOn w:val="1"/>
    <w:qFormat/>
    <w:uiPriority w:val="0"/>
    <w:rPr>
      <w:rFonts w:ascii="Tahoma" w:hAnsi="Tahoma"/>
      <w:sz w:val="24"/>
    </w:rPr>
  </w:style>
  <w:style w:type="paragraph" w:customStyle="1" w:styleId="90">
    <w:name w:val="样式1"/>
    <w:basedOn w:val="1"/>
    <w:qFormat/>
    <w:uiPriority w:val="0"/>
    <w:pPr>
      <w:adjustRightInd w:val="0"/>
      <w:spacing w:line="420" w:lineRule="auto"/>
      <w:jc w:val="center"/>
      <w:textAlignment w:val="baseline"/>
    </w:pPr>
    <w:rPr>
      <w:rFonts w:ascii="宋体"/>
      <w:kern w:val="0"/>
      <w:sz w:val="24"/>
    </w:rPr>
  </w:style>
  <w:style w:type="paragraph" w:customStyle="1" w:styleId="91">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2">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3">
    <w:name w:val="文档结构图 字符"/>
    <w:basedOn w:val="34"/>
    <w:semiHidden/>
    <w:qFormat/>
    <w:uiPriority w:val="98"/>
    <w:rPr>
      <w:rFonts w:ascii="Microsoft YaHei UI" w:eastAsia="Microsoft YaHei UI"/>
      <w:kern w:val="2"/>
      <w:sz w:val="18"/>
      <w:szCs w:val="18"/>
    </w:rPr>
  </w:style>
  <w:style w:type="character" w:customStyle="1" w:styleId="94">
    <w:name w:val="文档结构图 字符1"/>
    <w:basedOn w:val="34"/>
    <w:link w:val="11"/>
    <w:semiHidden/>
    <w:qFormat/>
    <w:uiPriority w:val="0"/>
    <w:rPr>
      <w:rFonts w:ascii="宋体"/>
      <w:sz w:val="18"/>
      <w:szCs w:val="18"/>
    </w:rPr>
  </w:style>
  <w:style w:type="paragraph" w:customStyle="1" w:styleId="95">
    <w:name w:val="表格"/>
    <w:basedOn w:val="1"/>
    <w:link w:val="96"/>
    <w:qFormat/>
    <w:uiPriority w:val="10"/>
    <w:rPr>
      <w:rFonts w:ascii="宋体" w:hAnsi="宋体"/>
      <w:szCs w:val="30"/>
    </w:rPr>
  </w:style>
  <w:style w:type="character" w:customStyle="1" w:styleId="96">
    <w:name w:val="表格 字符"/>
    <w:basedOn w:val="34"/>
    <w:link w:val="95"/>
    <w:qFormat/>
    <w:uiPriority w:val="10"/>
    <w:rPr>
      <w:rFonts w:ascii="宋体" w:hAnsi="宋体"/>
      <w:kern w:val="2"/>
      <w:sz w:val="21"/>
      <w:szCs w:val="30"/>
    </w:rPr>
  </w:style>
  <w:style w:type="paragraph" w:customStyle="1" w:styleId="97">
    <w:name w:val="5）级标题"/>
    <w:basedOn w:val="77"/>
    <w:link w:val="99"/>
    <w:qFormat/>
    <w:uiPriority w:val="11"/>
    <w:pPr>
      <w:numPr>
        <w:ilvl w:val="0"/>
        <w:numId w:val="7"/>
      </w:numPr>
      <w:ind w:firstLine="0"/>
    </w:pPr>
  </w:style>
  <w:style w:type="character" w:customStyle="1" w:styleId="98">
    <w:name w:val="标书正文 字符"/>
    <w:basedOn w:val="52"/>
    <w:link w:val="77"/>
    <w:qFormat/>
    <w:uiPriority w:val="9"/>
    <w:rPr>
      <w:rFonts w:ascii="宋体" w:hAnsi="Courier New"/>
      <w:kern w:val="2"/>
      <w:sz w:val="21"/>
    </w:rPr>
  </w:style>
  <w:style w:type="character" w:customStyle="1" w:styleId="99">
    <w:name w:val="5）级标题 字符"/>
    <w:basedOn w:val="98"/>
    <w:link w:val="97"/>
    <w:qFormat/>
    <w:uiPriority w:val="11"/>
    <w:rPr>
      <w:rFonts w:ascii="宋体" w:hAnsi="Courier New"/>
      <w:kern w:val="2"/>
      <w:sz w:val="21"/>
    </w:rPr>
  </w:style>
  <w:style w:type="paragraph" w:customStyle="1" w:styleId="100">
    <w:name w:val="样式 标题 4 + 段前: 5 磅 段后: 5 磅 行距: 单倍行距"/>
    <w:next w:val="25"/>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1">
    <w:name w:val="Subtle Emphasis"/>
    <w:basedOn w:val="34"/>
    <w:qFormat/>
    <w:uiPriority w:val="19"/>
    <w:rPr>
      <w:rFonts w:eastAsia="宋体"/>
      <w:i/>
      <w:iCs/>
      <w:color w:val="auto"/>
      <w:sz w:val="21"/>
    </w:rPr>
  </w:style>
  <w:style w:type="paragraph" w:customStyle="1" w:styleId="102">
    <w:name w:val="⑥级标题"/>
    <w:basedOn w:val="75"/>
    <w:link w:val="104"/>
    <w:qFormat/>
    <w:uiPriority w:val="12"/>
    <w:pPr>
      <w:numPr>
        <w:numId w:val="8"/>
      </w:numPr>
    </w:pPr>
  </w:style>
  <w:style w:type="character" w:customStyle="1" w:styleId="103">
    <w:name w:val="3级标题 字符"/>
    <w:basedOn w:val="52"/>
    <w:link w:val="75"/>
    <w:qFormat/>
    <w:uiPriority w:val="3"/>
    <w:rPr>
      <w:rFonts w:ascii="宋体" w:hAnsi="Courier New"/>
      <w:b/>
      <w:kern w:val="2"/>
      <w:sz w:val="21"/>
    </w:rPr>
  </w:style>
  <w:style w:type="character" w:customStyle="1" w:styleId="104">
    <w:name w:val="⑥级标题 字符"/>
    <w:basedOn w:val="103"/>
    <w:link w:val="102"/>
    <w:qFormat/>
    <w:uiPriority w:val="12"/>
    <w:rPr>
      <w:rFonts w:ascii="宋体" w:hAnsi="Courier New"/>
      <w:kern w:val="2"/>
      <w:sz w:val="21"/>
    </w:rPr>
  </w:style>
  <w:style w:type="character" w:customStyle="1" w:styleId="105">
    <w:name w:val="电子邮件签名 字符"/>
    <w:link w:val="8"/>
    <w:semiHidden/>
    <w:qFormat/>
    <w:locked/>
    <w:uiPriority w:val="99"/>
    <w:rPr>
      <w:sz w:val="21"/>
      <w:szCs w:val="21"/>
    </w:rPr>
  </w:style>
  <w:style w:type="character" w:customStyle="1" w:styleId="106">
    <w:name w:val="电子邮件签名 字符1"/>
    <w:basedOn w:val="34"/>
    <w:semiHidden/>
    <w:qFormat/>
    <w:uiPriority w:val="98"/>
    <w:rPr>
      <w:rFonts w:ascii="Times New Roman" w:hAnsi="Times New Roman"/>
      <w:kern w:val="2"/>
      <w:sz w:val="21"/>
    </w:rPr>
  </w:style>
  <w:style w:type="character" w:customStyle="1" w:styleId="107">
    <w:name w:val="HR正文 Char"/>
    <w:link w:val="108"/>
    <w:qFormat/>
    <w:uiPriority w:val="0"/>
    <w:rPr>
      <w:kern w:val="2"/>
      <w:sz w:val="24"/>
      <w:szCs w:val="24"/>
    </w:rPr>
  </w:style>
  <w:style w:type="paragraph" w:customStyle="1" w:styleId="108">
    <w:name w:val="HR正文"/>
    <w:basedOn w:val="1"/>
    <w:link w:val="107"/>
    <w:qFormat/>
    <w:uiPriority w:val="0"/>
    <w:pPr>
      <w:spacing w:line="300" w:lineRule="auto"/>
      <w:ind w:firstLine="200" w:firstLineChars="200"/>
    </w:pPr>
    <w:rPr>
      <w:rFonts w:ascii="Calibri" w:hAnsi="Calibri"/>
      <w:sz w:val="24"/>
      <w:szCs w:val="24"/>
    </w:rPr>
  </w:style>
  <w:style w:type="character" w:customStyle="1" w:styleId="109">
    <w:name w:val="信息标题 字符"/>
    <w:link w:val="27"/>
    <w:semiHidden/>
    <w:qFormat/>
    <w:locked/>
    <w:uiPriority w:val="99"/>
    <w:rPr>
      <w:rFonts w:ascii="Cambria" w:hAnsi="Cambria" w:cs="Cambria"/>
      <w:sz w:val="24"/>
      <w:szCs w:val="24"/>
      <w:shd w:val="pct20" w:color="auto" w:fill="auto"/>
    </w:rPr>
  </w:style>
  <w:style w:type="character" w:customStyle="1" w:styleId="110">
    <w:name w:val="信息标题 字符1"/>
    <w:basedOn w:val="34"/>
    <w:semiHidden/>
    <w:qFormat/>
    <w:uiPriority w:val="98"/>
    <w:rPr>
      <w:rFonts w:asciiTheme="majorHAnsi" w:hAnsiTheme="majorHAnsi" w:eastAsiaTheme="majorEastAsia" w:cstheme="majorBidi"/>
      <w:kern w:val="2"/>
      <w:sz w:val="24"/>
      <w:szCs w:val="24"/>
      <w:shd w:val="pct20" w:color="auto" w:fill="auto"/>
    </w:rPr>
  </w:style>
  <w:style w:type="character" w:customStyle="1" w:styleId="111">
    <w:name w:val="页眉 Char1"/>
    <w:semiHidden/>
    <w:qFormat/>
    <w:locked/>
    <w:uiPriority w:val="0"/>
    <w:rPr>
      <w:rFonts w:ascii="Calibri" w:hAnsi="Calibri"/>
      <w:sz w:val="18"/>
      <w:szCs w:val="18"/>
    </w:rPr>
  </w:style>
  <w:style w:type="table" w:customStyle="1" w:styleId="112">
    <w:name w:val="Table Normal"/>
    <w:semiHidden/>
    <w:unhideWhenUsed/>
    <w:qFormat/>
    <w:uiPriority w:val="0"/>
    <w:tblPr>
      <w:tblCellMar>
        <w:top w:w="0" w:type="dxa"/>
        <w:left w:w="0" w:type="dxa"/>
        <w:bottom w:w="0" w:type="dxa"/>
        <w:right w:w="0" w:type="dxa"/>
      </w:tblCellMar>
    </w:tblPr>
  </w:style>
  <w:style w:type="table" w:customStyle="1" w:styleId="113">
    <w:name w:val="网格型1"/>
    <w:basedOn w:val="32"/>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29</Pages>
  <Words>14767</Words>
  <Characters>16559</Characters>
  <Lines>127</Lines>
  <Paragraphs>35</Paragraphs>
  <TotalTime>18</TotalTime>
  <ScaleCrop>false</ScaleCrop>
  <LinksUpToDate>false</LinksUpToDate>
  <CharactersWithSpaces>17456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0174L</cp:lastModifiedBy>
  <cp:lastPrinted>2020-06-28T02:28:00Z</cp:lastPrinted>
  <dcterms:modified xsi:type="dcterms:W3CDTF">2025-10-13T01:54:41Z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0D7B52159EED43CD8C24ABFA8C5B654F_13</vt:lpwstr>
  </property>
  <property fmtid="{D5CDD505-2E9C-101B-9397-08002B2CF9AE}" pid="4" name="KSOTemplateDocerSaveRecord">
    <vt:lpwstr>eyJoZGlkIjoiZDZiY2E3MTk3OWVkMDZmNDgwYmUwNDViMmIxMTA0OGYiLCJ1c2VySWQiOiIxMTQwNDY2NTAwIn0=</vt:lpwstr>
  </property>
</Properties>
</file>