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4769A">
      <w:pPr>
        <w:pageBreakBefore w:val="0"/>
        <w:kinsoku/>
        <w:wordWrap/>
        <w:overflowPunct/>
        <w:topLinePunct w:val="0"/>
        <w:bidi w:val="0"/>
        <w:spacing w:line="400" w:lineRule="auto"/>
        <w:ind w:left="0" w:leftChars="0" w:right="0"/>
        <w:jc w:val="center"/>
        <w:rPr>
          <w:rFonts w:ascii="仿宋" w:hAnsi="仿宋" w:eastAsia="仿宋"/>
          <w:b/>
          <w:sz w:val="48"/>
          <w:szCs w:val="48"/>
        </w:rPr>
      </w:pPr>
    </w:p>
    <w:p w14:paraId="79C5DCED">
      <w:pPr>
        <w:spacing w:line="400" w:lineRule="auto"/>
        <w:jc w:val="center"/>
        <w:rPr>
          <w:rFonts w:hint="eastAsia" w:ascii="仿宋" w:hAnsi="仿宋" w:eastAsia="仿宋"/>
          <w:b/>
          <w:sz w:val="48"/>
          <w:szCs w:val="48"/>
        </w:rPr>
      </w:pPr>
      <w:r>
        <w:rPr>
          <w:rFonts w:hint="eastAsia" w:ascii="仿宋" w:hAnsi="仿宋" w:eastAsia="仿宋"/>
          <w:b/>
          <w:sz w:val="48"/>
          <w:szCs w:val="48"/>
          <w:lang w:val="en-US" w:eastAsia="zh-CN"/>
        </w:rPr>
        <w:t>2025年卡车公司消防维保及值班</w:t>
      </w:r>
      <w:r>
        <w:rPr>
          <w:rFonts w:ascii="仿宋" w:hAnsi="仿宋" w:eastAsia="仿宋"/>
          <w:b/>
          <w:sz w:val="48"/>
          <w:szCs w:val="48"/>
        </w:rPr>
        <w:t>项目</w:t>
      </w:r>
    </w:p>
    <w:p w14:paraId="6BA6ABBC">
      <w:pPr>
        <w:pageBreakBefore w:val="0"/>
        <w:kinsoku/>
        <w:wordWrap/>
        <w:overflowPunct/>
        <w:topLinePunct w:val="0"/>
        <w:bidi w:val="0"/>
        <w:spacing w:line="400" w:lineRule="auto"/>
        <w:ind w:left="0" w:leftChars="0" w:right="0"/>
        <w:jc w:val="center"/>
        <w:rPr>
          <w:rFonts w:ascii="仿宋" w:hAnsi="仿宋" w:eastAsia="仿宋"/>
          <w:b/>
          <w:sz w:val="48"/>
          <w:szCs w:val="48"/>
        </w:rPr>
      </w:pPr>
    </w:p>
    <w:p w14:paraId="48A82189">
      <w:pPr>
        <w:pageBreakBefore w:val="0"/>
        <w:kinsoku/>
        <w:wordWrap/>
        <w:overflowPunct/>
        <w:topLinePunct w:val="0"/>
        <w:bidi w:val="0"/>
        <w:spacing w:line="400" w:lineRule="auto"/>
        <w:ind w:left="0" w:leftChars="0" w:right="0"/>
        <w:jc w:val="center"/>
        <w:rPr>
          <w:rFonts w:ascii="仿宋" w:hAnsi="仿宋" w:eastAsia="仿宋"/>
          <w:b/>
          <w:sz w:val="44"/>
          <w:szCs w:val="44"/>
        </w:rPr>
      </w:pPr>
    </w:p>
    <w:p w14:paraId="56E83F57">
      <w:pPr>
        <w:pageBreakBefore w:val="0"/>
        <w:kinsoku/>
        <w:wordWrap/>
        <w:overflowPunct/>
        <w:topLinePunct w:val="0"/>
        <w:bidi w:val="0"/>
        <w:spacing w:line="400" w:lineRule="auto"/>
        <w:ind w:left="0" w:leftChars="0" w:right="0"/>
        <w:jc w:val="center"/>
        <w:rPr>
          <w:rFonts w:ascii="仿宋" w:hAnsi="仿宋" w:eastAsia="仿宋"/>
          <w:b/>
          <w:sz w:val="48"/>
          <w:szCs w:val="48"/>
        </w:rPr>
      </w:pPr>
    </w:p>
    <w:p w14:paraId="05169641">
      <w:pPr>
        <w:pageBreakBefore w:val="0"/>
        <w:kinsoku/>
        <w:wordWrap/>
        <w:overflowPunct/>
        <w:topLinePunct w:val="0"/>
        <w:bidi w:val="0"/>
        <w:spacing w:line="400" w:lineRule="auto"/>
        <w:ind w:left="0" w:leftChars="0" w:right="0"/>
        <w:jc w:val="center"/>
        <w:rPr>
          <w:rFonts w:ascii="仿宋" w:hAnsi="仿宋" w:eastAsia="仿宋"/>
          <w:b/>
          <w:sz w:val="48"/>
          <w:szCs w:val="48"/>
        </w:rPr>
      </w:pPr>
    </w:p>
    <w:p w14:paraId="725B5627">
      <w:pPr>
        <w:pageBreakBefore w:val="0"/>
        <w:kinsoku/>
        <w:wordWrap/>
        <w:overflowPunct/>
        <w:topLinePunct w:val="0"/>
        <w:bidi w:val="0"/>
        <w:spacing w:line="400" w:lineRule="auto"/>
        <w:ind w:left="0" w:leftChars="0" w:right="0"/>
        <w:jc w:val="center"/>
        <w:rPr>
          <w:rFonts w:ascii="仿宋" w:hAnsi="仿宋" w:eastAsia="仿宋"/>
          <w:b/>
          <w:sz w:val="48"/>
          <w:szCs w:val="48"/>
        </w:rPr>
      </w:pPr>
    </w:p>
    <w:p w14:paraId="7C86C7FE">
      <w:pPr>
        <w:pageBreakBefore w:val="0"/>
        <w:kinsoku/>
        <w:wordWrap/>
        <w:overflowPunct/>
        <w:topLinePunct w:val="0"/>
        <w:bidi w:val="0"/>
        <w:spacing w:line="400" w:lineRule="auto"/>
        <w:ind w:left="0" w:leftChars="0" w:right="0"/>
        <w:jc w:val="center"/>
        <w:rPr>
          <w:rFonts w:ascii="仿宋" w:hAnsi="仿宋" w:eastAsia="仿宋"/>
          <w:b/>
          <w:sz w:val="48"/>
          <w:szCs w:val="48"/>
        </w:rPr>
      </w:pPr>
      <w:r>
        <w:rPr>
          <w:rFonts w:ascii="仿宋" w:hAnsi="仿宋" w:eastAsia="仿宋"/>
          <w:b/>
          <w:sz w:val="48"/>
          <w:szCs w:val="48"/>
        </w:rPr>
        <w:t>招</w:t>
      </w:r>
    </w:p>
    <w:p w14:paraId="36210950">
      <w:pPr>
        <w:pageBreakBefore w:val="0"/>
        <w:kinsoku/>
        <w:wordWrap/>
        <w:overflowPunct/>
        <w:topLinePunct w:val="0"/>
        <w:bidi w:val="0"/>
        <w:spacing w:line="400" w:lineRule="auto"/>
        <w:ind w:left="0" w:leftChars="0" w:right="0"/>
        <w:jc w:val="center"/>
        <w:rPr>
          <w:rFonts w:ascii="仿宋" w:hAnsi="仿宋" w:eastAsia="仿宋"/>
          <w:b/>
          <w:sz w:val="48"/>
          <w:szCs w:val="48"/>
        </w:rPr>
      </w:pPr>
    </w:p>
    <w:p w14:paraId="160A33D0">
      <w:pPr>
        <w:pageBreakBefore w:val="0"/>
        <w:kinsoku/>
        <w:wordWrap/>
        <w:overflowPunct/>
        <w:topLinePunct w:val="0"/>
        <w:bidi w:val="0"/>
        <w:spacing w:line="400" w:lineRule="auto"/>
        <w:ind w:left="0" w:leftChars="0" w:right="0"/>
        <w:jc w:val="center"/>
        <w:rPr>
          <w:rFonts w:ascii="仿宋" w:hAnsi="仿宋" w:eastAsia="仿宋"/>
          <w:b/>
          <w:sz w:val="48"/>
          <w:szCs w:val="48"/>
        </w:rPr>
      </w:pPr>
      <w:r>
        <w:rPr>
          <w:rFonts w:ascii="仿宋" w:hAnsi="仿宋" w:eastAsia="仿宋"/>
          <w:b/>
          <w:sz w:val="48"/>
          <w:szCs w:val="48"/>
        </w:rPr>
        <w:t>标</w:t>
      </w:r>
    </w:p>
    <w:p w14:paraId="1A591DDB">
      <w:pPr>
        <w:pageBreakBefore w:val="0"/>
        <w:kinsoku/>
        <w:wordWrap/>
        <w:overflowPunct/>
        <w:topLinePunct w:val="0"/>
        <w:bidi w:val="0"/>
        <w:spacing w:line="400" w:lineRule="auto"/>
        <w:ind w:left="0" w:leftChars="0" w:right="0"/>
        <w:jc w:val="center"/>
        <w:rPr>
          <w:rFonts w:ascii="仿宋" w:hAnsi="仿宋" w:eastAsia="仿宋"/>
          <w:b/>
          <w:sz w:val="48"/>
          <w:szCs w:val="48"/>
        </w:rPr>
      </w:pPr>
    </w:p>
    <w:p w14:paraId="1E6DAABA">
      <w:pPr>
        <w:pageBreakBefore w:val="0"/>
        <w:kinsoku/>
        <w:wordWrap/>
        <w:overflowPunct/>
        <w:topLinePunct w:val="0"/>
        <w:bidi w:val="0"/>
        <w:spacing w:line="400" w:lineRule="auto"/>
        <w:ind w:left="0" w:leftChars="0" w:right="0"/>
        <w:jc w:val="center"/>
        <w:rPr>
          <w:rFonts w:ascii="仿宋" w:hAnsi="仿宋" w:eastAsia="仿宋"/>
          <w:b/>
          <w:sz w:val="48"/>
          <w:szCs w:val="48"/>
        </w:rPr>
      </w:pPr>
      <w:r>
        <w:rPr>
          <w:rFonts w:hint="eastAsia" w:ascii="仿宋" w:hAnsi="仿宋" w:eastAsia="仿宋"/>
          <w:b/>
          <w:sz w:val="48"/>
          <w:szCs w:val="48"/>
        </w:rPr>
        <w:t>文</w:t>
      </w:r>
    </w:p>
    <w:p w14:paraId="6610302F">
      <w:pPr>
        <w:pageBreakBefore w:val="0"/>
        <w:kinsoku/>
        <w:wordWrap/>
        <w:overflowPunct/>
        <w:topLinePunct w:val="0"/>
        <w:bidi w:val="0"/>
        <w:spacing w:line="400" w:lineRule="auto"/>
        <w:ind w:left="0" w:leftChars="0" w:right="0"/>
        <w:jc w:val="center"/>
        <w:rPr>
          <w:rFonts w:ascii="仿宋" w:hAnsi="仿宋" w:eastAsia="仿宋"/>
          <w:b/>
          <w:sz w:val="48"/>
          <w:szCs w:val="48"/>
        </w:rPr>
      </w:pPr>
    </w:p>
    <w:p w14:paraId="017B1A6F">
      <w:pPr>
        <w:pageBreakBefore w:val="0"/>
        <w:kinsoku/>
        <w:wordWrap/>
        <w:overflowPunct/>
        <w:topLinePunct w:val="0"/>
        <w:bidi w:val="0"/>
        <w:spacing w:line="400" w:lineRule="auto"/>
        <w:ind w:left="0" w:leftChars="0" w:right="0"/>
        <w:jc w:val="center"/>
        <w:rPr>
          <w:rFonts w:ascii="仿宋" w:hAnsi="仿宋" w:eastAsia="仿宋"/>
          <w:b/>
          <w:sz w:val="48"/>
          <w:szCs w:val="48"/>
        </w:rPr>
      </w:pPr>
      <w:r>
        <w:rPr>
          <w:rFonts w:hint="eastAsia" w:ascii="仿宋" w:hAnsi="仿宋" w:eastAsia="仿宋"/>
          <w:b/>
          <w:sz w:val="48"/>
          <w:szCs w:val="48"/>
        </w:rPr>
        <w:t>件</w:t>
      </w:r>
    </w:p>
    <w:p w14:paraId="641765B5">
      <w:pPr>
        <w:pageBreakBefore w:val="0"/>
        <w:kinsoku/>
        <w:wordWrap/>
        <w:overflowPunct/>
        <w:topLinePunct w:val="0"/>
        <w:bidi w:val="0"/>
        <w:spacing w:line="400" w:lineRule="auto"/>
        <w:ind w:left="0" w:leftChars="0" w:right="0"/>
        <w:jc w:val="center"/>
        <w:rPr>
          <w:rFonts w:eastAsia="黑体"/>
          <w:b/>
          <w:sz w:val="36"/>
        </w:rPr>
      </w:pPr>
    </w:p>
    <w:p w14:paraId="43D99911">
      <w:pPr>
        <w:pageBreakBefore w:val="0"/>
        <w:kinsoku/>
        <w:wordWrap/>
        <w:overflowPunct/>
        <w:topLinePunct w:val="0"/>
        <w:bidi w:val="0"/>
        <w:spacing w:line="400" w:lineRule="auto"/>
        <w:ind w:left="0" w:leftChars="0" w:right="0"/>
        <w:jc w:val="center"/>
        <w:rPr>
          <w:rFonts w:eastAsia="黑体"/>
          <w:b/>
          <w:sz w:val="36"/>
        </w:rPr>
      </w:pPr>
    </w:p>
    <w:p w14:paraId="4D955783">
      <w:pPr>
        <w:pageBreakBefore w:val="0"/>
        <w:kinsoku/>
        <w:wordWrap/>
        <w:overflowPunct/>
        <w:topLinePunct w:val="0"/>
        <w:bidi w:val="0"/>
        <w:spacing w:line="400" w:lineRule="auto"/>
        <w:ind w:left="0" w:leftChars="0" w:right="0"/>
        <w:jc w:val="both"/>
        <w:rPr>
          <w:rFonts w:eastAsia="黑体"/>
          <w:b/>
          <w:sz w:val="36"/>
        </w:rPr>
      </w:pPr>
    </w:p>
    <w:p w14:paraId="33EDAEF6">
      <w:pPr>
        <w:pageBreakBefore w:val="0"/>
        <w:kinsoku/>
        <w:wordWrap/>
        <w:overflowPunct/>
        <w:topLinePunct w:val="0"/>
        <w:bidi w:val="0"/>
        <w:spacing w:line="400" w:lineRule="auto"/>
        <w:ind w:left="0" w:leftChars="0" w:right="0"/>
        <w:jc w:val="center"/>
        <w:rPr>
          <w:rFonts w:eastAsia="黑体"/>
          <w:b/>
          <w:sz w:val="36"/>
        </w:rPr>
      </w:pPr>
    </w:p>
    <w:p w14:paraId="4A91B7F1">
      <w:pPr>
        <w:pageBreakBefore w:val="0"/>
        <w:kinsoku/>
        <w:wordWrap/>
        <w:overflowPunct/>
        <w:topLinePunct w:val="0"/>
        <w:bidi w:val="0"/>
        <w:spacing w:line="400" w:lineRule="auto"/>
        <w:ind w:left="0" w:leftChars="0" w:right="0"/>
        <w:jc w:val="center"/>
        <w:rPr>
          <w:rFonts w:eastAsia="黑体"/>
          <w:b/>
          <w:sz w:val="36"/>
        </w:rPr>
      </w:pPr>
    </w:p>
    <w:p w14:paraId="4149ACF2">
      <w:pPr>
        <w:pageBreakBefore w:val="0"/>
        <w:kinsoku/>
        <w:wordWrap/>
        <w:overflowPunct/>
        <w:topLinePunct w:val="0"/>
        <w:bidi w:val="0"/>
        <w:spacing w:line="400" w:lineRule="auto"/>
        <w:ind w:left="0" w:leftChars="0" w:right="0"/>
        <w:jc w:val="center"/>
        <w:rPr>
          <w:rFonts w:ascii="仿宋" w:hAnsi="仿宋" w:eastAsia="仿宋"/>
          <w:b/>
          <w:color w:val="000000"/>
          <w:sz w:val="36"/>
        </w:rPr>
      </w:pPr>
      <w:r>
        <w:rPr>
          <w:rFonts w:hint="eastAsia" w:ascii="仿宋" w:hAnsi="仿宋" w:eastAsia="仿宋"/>
          <w:b/>
          <w:color w:val="000000"/>
          <w:sz w:val="36"/>
        </w:rPr>
        <w:t>中国重汽集团济南</w:t>
      </w:r>
      <w:r>
        <w:rPr>
          <w:rFonts w:hint="eastAsia" w:ascii="仿宋" w:hAnsi="仿宋" w:eastAsia="仿宋"/>
          <w:b/>
          <w:color w:val="000000"/>
          <w:sz w:val="36"/>
          <w:lang w:val="en-US" w:eastAsia="zh-CN"/>
        </w:rPr>
        <w:t>卡车股份</w:t>
      </w:r>
      <w:r>
        <w:rPr>
          <w:rFonts w:hint="eastAsia" w:ascii="仿宋" w:hAnsi="仿宋" w:eastAsia="仿宋"/>
          <w:b/>
          <w:color w:val="000000"/>
          <w:sz w:val="36"/>
        </w:rPr>
        <w:t>有限公司</w:t>
      </w:r>
    </w:p>
    <w:p w14:paraId="40C41E3D">
      <w:pPr>
        <w:pageBreakBefore w:val="0"/>
        <w:kinsoku/>
        <w:wordWrap/>
        <w:overflowPunct/>
        <w:topLinePunct w:val="0"/>
        <w:bidi w:val="0"/>
        <w:spacing w:line="400" w:lineRule="auto"/>
        <w:ind w:left="0" w:leftChars="0" w:right="0"/>
        <w:jc w:val="center"/>
        <w:rPr>
          <w:rFonts w:ascii="仿宋" w:hAnsi="仿宋" w:eastAsia="仿宋"/>
        </w:rPr>
      </w:pPr>
      <w:r>
        <w:rPr>
          <w:rFonts w:hint="eastAsia" w:ascii="仿宋" w:hAnsi="仿宋" w:eastAsia="仿宋"/>
          <w:b/>
          <w:color w:val="000000"/>
          <w:sz w:val="36"/>
        </w:rPr>
        <w:t>202</w:t>
      </w:r>
      <w:r>
        <w:rPr>
          <w:rFonts w:hint="eastAsia" w:ascii="仿宋" w:hAnsi="仿宋" w:eastAsia="仿宋"/>
          <w:b/>
          <w:color w:val="000000"/>
          <w:sz w:val="36"/>
          <w:lang w:val="en-US" w:eastAsia="zh-CN"/>
        </w:rPr>
        <w:t>5</w:t>
      </w:r>
      <w:r>
        <w:rPr>
          <w:rFonts w:hint="eastAsia" w:ascii="仿宋" w:hAnsi="仿宋" w:eastAsia="仿宋"/>
          <w:b/>
          <w:color w:val="000000"/>
          <w:sz w:val="36"/>
        </w:rPr>
        <w:t>年</w:t>
      </w:r>
      <w:r>
        <w:rPr>
          <w:rFonts w:hint="eastAsia" w:ascii="仿宋" w:hAnsi="仿宋" w:eastAsia="仿宋"/>
          <w:b/>
          <w:color w:val="000000"/>
          <w:sz w:val="36"/>
          <w:lang w:val="en-US" w:eastAsia="zh-CN"/>
        </w:rPr>
        <w:t>8</w:t>
      </w:r>
      <w:r>
        <w:rPr>
          <w:rFonts w:hint="eastAsia" w:ascii="仿宋" w:hAnsi="仿宋" w:eastAsia="仿宋"/>
          <w:b/>
          <w:color w:val="000000"/>
          <w:sz w:val="36"/>
        </w:rPr>
        <w:t>月</w:t>
      </w:r>
    </w:p>
    <w:p w14:paraId="27E4F73C">
      <w:pPr>
        <w:pStyle w:val="3"/>
        <w:pageBreakBefore w:val="0"/>
        <w:kinsoku/>
        <w:wordWrap/>
        <w:overflowPunct/>
        <w:topLinePunct w:val="0"/>
        <w:bidi w:val="0"/>
        <w:adjustRightInd w:val="0"/>
        <w:snapToGrid w:val="0"/>
        <w:spacing w:before="0" w:after="0" w:line="240" w:lineRule="auto"/>
        <w:ind w:left="0" w:leftChars="0" w:right="0" w:firstLine="883" w:firstLineChars="200"/>
        <w:jc w:val="center"/>
        <w:rPr>
          <w:rFonts w:hint="eastAsia" w:eastAsia="仿宋_GB2312"/>
          <w:lang w:eastAsia="zh-CN"/>
        </w:rPr>
      </w:pPr>
      <w:bookmarkStart w:id="0" w:name="_Toc3766"/>
      <w:r>
        <w:rPr>
          <w:rFonts w:hint="eastAsia" w:ascii="仿宋_GB2312" w:hAnsi="华文仿宋" w:eastAsia="仿宋_GB2312"/>
        </w:rPr>
        <w:t>第一章、招标</w:t>
      </w:r>
      <w:r>
        <w:rPr>
          <w:rFonts w:hint="eastAsia" w:ascii="仿宋_GB2312" w:hAnsi="华文仿宋" w:eastAsia="仿宋_GB2312"/>
          <w:lang w:val="en-US" w:eastAsia="zh-CN"/>
        </w:rPr>
        <w:t>公告</w:t>
      </w:r>
      <w:bookmarkEnd w:id="0"/>
    </w:p>
    <w:p w14:paraId="05729958">
      <w:pPr>
        <w:pageBreakBefore w:val="0"/>
        <w:kinsoku/>
        <w:wordWrap/>
        <w:overflowPunct/>
        <w:topLinePunct w:val="0"/>
        <w:bidi w:val="0"/>
        <w:adjustRightInd w:val="0"/>
        <w:snapToGrid w:val="0"/>
        <w:spacing w:line="540" w:lineRule="exact"/>
        <w:ind w:left="0" w:leftChars="0" w:right="0" w:firstLine="560" w:firstLineChars="200"/>
        <w:jc w:val="left"/>
        <w:rPr>
          <w:rFonts w:ascii="仿宋" w:hAnsi="仿宋" w:eastAsia="仿宋"/>
          <w:sz w:val="28"/>
        </w:rPr>
      </w:pPr>
    </w:p>
    <w:p w14:paraId="3FFFE9D4">
      <w:pPr>
        <w:pStyle w:val="10"/>
        <w:adjustRightInd w:val="0"/>
        <w:snapToGrid w:val="0"/>
        <w:spacing w:line="540" w:lineRule="exact"/>
        <w:ind w:firstLine="560" w:firstLineChars="200"/>
        <w:rPr>
          <w:rFonts w:hint="eastAsia" w:ascii="仿宋" w:hAnsi="仿宋" w:eastAsia="仿宋"/>
          <w:color w:val="000000"/>
          <w:sz w:val="28"/>
          <w:szCs w:val="24"/>
          <w:lang w:val="en-US" w:eastAsia="zh-CN"/>
        </w:rPr>
      </w:pPr>
      <w:bookmarkStart w:id="1" w:name="_Toc449097049"/>
      <w:r>
        <w:rPr>
          <w:rFonts w:hint="eastAsia" w:ascii="仿宋" w:hAnsi="仿宋" w:eastAsia="仿宋"/>
          <w:sz w:val="28"/>
          <w:szCs w:val="24"/>
          <w:lang w:val="en-US" w:eastAsia="zh-CN"/>
        </w:rPr>
        <w:t>现</w:t>
      </w:r>
      <w:r>
        <w:rPr>
          <w:rFonts w:hint="eastAsia" w:ascii="仿宋" w:hAnsi="仿宋" w:eastAsia="仿宋"/>
          <w:color w:val="000000"/>
          <w:sz w:val="28"/>
          <w:szCs w:val="24"/>
          <w:lang w:val="en-US" w:eastAsia="zh-CN"/>
        </w:rPr>
        <w:t>对济南卡车制造公司消防维保及值班项目公开招标，现邀请合格的投标单位前来投标。</w:t>
      </w:r>
    </w:p>
    <w:p w14:paraId="22610401">
      <w:pPr>
        <w:pStyle w:val="10"/>
        <w:adjustRightInd w:val="0"/>
        <w:snapToGrid w:val="0"/>
        <w:spacing w:line="540" w:lineRule="exact"/>
        <w:ind w:firstLine="562" w:firstLineChars="200"/>
        <w:outlineLvl w:val="1"/>
        <w:rPr>
          <w:rStyle w:val="49"/>
          <w:rFonts w:ascii="仿宋_GB2312" w:hAnsi="华文仿宋" w:eastAsia="仿宋_GB2312"/>
          <w:color w:val="000000"/>
          <w:sz w:val="28"/>
          <w:szCs w:val="28"/>
        </w:rPr>
      </w:pPr>
      <w:bookmarkStart w:id="2" w:name="_Toc449097047"/>
      <w:r>
        <w:rPr>
          <w:rStyle w:val="49"/>
          <w:rFonts w:hint="eastAsia" w:ascii="仿宋_GB2312" w:hAnsi="华文仿宋" w:eastAsia="仿宋_GB2312"/>
          <w:color w:val="000000"/>
          <w:sz w:val="28"/>
          <w:szCs w:val="28"/>
        </w:rPr>
        <w:t>一、招标项目名称</w:t>
      </w:r>
      <w:bookmarkEnd w:id="2"/>
    </w:p>
    <w:p w14:paraId="574E936E">
      <w:pPr>
        <w:pStyle w:val="10"/>
        <w:adjustRightInd w:val="0"/>
        <w:snapToGrid w:val="0"/>
        <w:spacing w:line="540" w:lineRule="exact"/>
        <w:ind w:firstLine="560" w:firstLineChars="200"/>
        <w:outlineLvl w:val="1"/>
        <w:rPr>
          <w:rFonts w:hint="eastAsia" w:ascii="仿宋" w:hAnsi="仿宋" w:eastAsia="仿宋"/>
          <w:color w:val="000000"/>
          <w:sz w:val="28"/>
          <w:szCs w:val="24"/>
        </w:rPr>
      </w:pPr>
      <w:r>
        <w:rPr>
          <w:rFonts w:hint="eastAsia" w:ascii="仿宋" w:hAnsi="仿宋" w:eastAsia="仿宋"/>
          <w:color w:val="000000"/>
          <w:sz w:val="28"/>
          <w:szCs w:val="24"/>
          <w:lang w:val="en-US" w:eastAsia="zh-CN"/>
        </w:rPr>
        <w:t>2025年卡车公司</w:t>
      </w:r>
      <w:r>
        <w:rPr>
          <w:rFonts w:hint="eastAsia" w:ascii="仿宋" w:hAnsi="仿宋" w:eastAsia="仿宋"/>
          <w:color w:val="000000"/>
          <w:sz w:val="28"/>
          <w:szCs w:val="24"/>
        </w:rPr>
        <w:t>消防维保</w:t>
      </w:r>
      <w:r>
        <w:rPr>
          <w:rFonts w:hint="eastAsia" w:ascii="仿宋" w:hAnsi="仿宋" w:eastAsia="仿宋"/>
          <w:color w:val="000000"/>
          <w:sz w:val="28"/>
          <w:szCs w:val="24"/>
          <w:lang w:val="en-US" w:eastAsia="zh-CN"/>
        </w:rPr>
        <w:t>及值班</w:t>
      </w:r>
      <w:r>
        <w:rPr>
          <w:rFonts w:hint="eastAsia" w:ascii="仿宋" w:hAnsi="仿宋" w:eastAsia="仿宋"/>
          <w:color w:val="000000"/>
          <w:sz w:val="28"/>
          <w:szCs w:val="24"/>
        </w:rPr>
        <w:t>项目</w:t>
      </w:r>
    </w:p>
    <w:p w14:paraId="24D1E270">
      <w:pPr>
        <w:pStyle w:val="10"/>
        <w:adjustRightInd w:val="0"/>
        <w:snapToGrid w:val="0"/>
        <w:spacing w:line="540" w:lineRule="exact"/>
        <w:ind w:firstLine="562" w:firstLineChars="200"/>
        <w:outlineLvl w:val="1"/>
        <w:rPr>
          <w:rStyle w:val="49"/>
          <w:rFonts w:hint="eastAsia" w:ascii="仿宋_GB2312" w:hAnsi="华文仿宋" w:eastAsia="仿宋_GB2312"/>
          <w:color w:val="000000"/>
          <w:sz w:val="28"/>
          <w:szCs w:val="28"/>
          <w:lang w:val="en-US" w:eastAsia="zh-CN"/>
        </w:rPr>
      </w:pPr>
      <w:r>
        <w:rPr>
          <w:rStyle w:val="49"/>
          <w:rFonts w:hint="eastAsia" w:ascii="仿宋_GB2312" w:hAnsi="华文仿宋" w:eastAsia="仿宋_GB2312"/>
          <w:color w:val="000000"/>
          <w:sz w:val="28"/>
          <w:szCs w:val="28"/>
          <w:lang w:val="en-US" w:eastAsia="zh-CN"/>
        </w:rPr>
        <w:t>二、招标形式</w:t>
      </w:r>
    </w:p>
    <w:p w14:paraId="02E08932">
      <w:pPr>
        <w:pStyle w:val="10"/>
        <w:adjustRightInd w:val="0"/>
        <w:snapToGrid w:val="0"/>
        <w:spacing w:line="540" w:lineRule="exact"/>
        <w:ind w:firstLine="560" w:firstLineChars="200"/>
        <w:rPr>
          <w:rFonts w:ascii="仿宋" w:hAnsi="仿宋" w:eastAsia="仿宋"/>
          <w:color w:val="000000"/>
          <w:sz w:val="28"/>
          <w:szCs w:val="24"/>
        </w:rPr>
      </w:pPr>
      <w:r>
        <w:rPr>
          <w:rFonts w:hint="eastAsia" w:ascii="仿宋" w:hAnsi="仿宋" w:eastAsia="仿宋"/>
          <w:color w:val="000000"/>
          <w:sz w:val="28"/>
          <w:szCs w:val="24"/>
          <w:lang w:val="en-US" w:eastAsia="zh-CN"/>
        </w:rPr>
        <w:t>招标形式：公开招标。</w:t>
      </w:r>
    </w:p>
    <w:p w14:paraId="2290F8F4">
      <w:pPr>
        <w:pStyle w:val="10"/>
        <w:adjustRightInd w:val="0"/>
        <w:snapToGrid w:val="0"/>
        <w:spacing w:line="540" w:lineRule="exact"/>
        <w:ind w:firstLine="562" w:firstLineChars="200"/>
        <w:outlineLvl w:val="1"/>
        <w:rPr>
          <w:rStyle w:val="49"/>
          <w:rFonts w:hint="eastAsia" w:ascii="仿宋_GB2312" w:hAnsi="华文仿宋" w:eastAsia="仿宋_GB2312"/>
          <w:color w:val="000000"/>
          <w:sz w:val="28"/>
          <w:szCs w:val="28"/>
        </w:rPr>
      </w:pPr>
      <w:bookmarkStart w:id="3" w:name="_Toc449097048"/>
      <w:r>
        <w:rPr>
          <w:rStyle w:val="49"/>
          <w:rFonts w:hint="eastAsia" w:ascii="仿宋_GB2312" w:hAnsi="华文仿宋" w:eastAsia="仿宋_GB2312"/>
          <w:color w:val="000000"/>
          <w:sz w:val="28"/>
          <w:szCs w:val="28"/>
          <w:lang w:val="en-US" w:eastAsia="zh-CN"/>
        </w:rPr>
        <w:t>三</w:t>
      </w:r>
      <w:r>
        <w:rPr>
          <w:rStyle w:val="49"/>
          <w:rFonts w:hint="eastAsia" w:ascii="仿宋_GB2312" w:hAnsi="华文仿宋" w:eastAsia="仿宋_GB2312"/>
          <w:color w:val="000000"/>
          <w:sz w:val="28"/>
          <w:szCs w:val="28"/>
        </w:rPr>
        <w:t>、项目内容及需求</w:t>
      </w:r>
      <w:bookmarkEnd w:id="3"/>
    </w:p>
    <w:p w14:paraId="3CFB4E50">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color w:val="000000"/>
          <w:sz w:val="28"/>
          <w:szCs w:val="24"/>
          <w:lang w:val="en-US" w:eastAsia="zh-CN"/>
        </w:rPr>
      </w:pPr>
      <w:r>
        <w:rPr>
          <w:rFonts w:hint="eastAsia" w:ascii="仿宋" w:hAnsi="仿宋" w:eastAsia="仿宋"/>
          <w:color w:val="000000"/>
          <w:sz w:val="28"/>
          <w:szCs w:val="24"/>
          <w:lang w:val="en-US" w:eastAsia="zh-CN"/>
        </w:rPr>
        <w:t>1、消防设施维保：莱芜园区及党家园区的年度消防设施维保，按照《山东省建筑消防设施维护保养技术规程》（DB37/T4328-2021）《建筑消防设施检测技术规范》 （GB/T44481-2024）要求，对消防设施进行月度、季度、半年、年度维护保养及联动测试，并按照政府规定报告模板，出具月度合格消防维保报告，报消防大队备案。</w:t>
      </w:r>
    </w:p>
    <w:p w14:paraId="0B602786">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color w:val="000000"/>
          <w:sz w:val="28"/>
          <w:szCs w:val="24"/>
          <w:highlight w:val="none"/>
        </w:rPr>
      </w:pPr>
      <w:r>
        <w:rPr>
          <w:rFonts w:hint="eastAsia" w:ascii="仿宋" w:hAnsi="仿宋" w:eastAsia="仿宋"/>
          <w:color w:val="000000"/>
          <w:sz w:val="28"/>
          <w:szCs w:val="24"/>
          <w:lang w:val="en-US" w:eastAsia="zh-CN"/>
        </w:rPr>
        <w:t>2、电气防火检测：按照《建筑电气防</w:t>
      </w:r>
      <w:r>
        <w:rPr>
          <w:rFonts w:hint="eastAsia" w:ascii="仿宋" w:hAnsi="仿宋" w:eastAsia="仿宋"/>
          <w:color w:val="000000"/>
          <w:sz w:val="28"/>
          <w:szCs w:val="24"/>
          <w:highlight w:val="none"/>
          <w:lang w:val="en-US" w:eastAsia="zh-CN"/>
        </w:rPr>
        <w:t>火检测技术规范》《建筑电气防火技术检测评定规程》DB37/655-2011，对</w:t>
      </w:r>
      <w:r>
        <w:rPr>
          <w:rFonts w:hint="eastAsia" w:ascii="仿宋" w:hAnsi="仿宋" w:eastAsia="仿宋"/>
          <w:color w:val="000000"/>
          <w:sz w:val="28"/>
          <w:szCs w:val="24"/>
          <w:lang w:val="en-US" w:eastAsia="zh-CN"/>
        </w:rPr>
        <w:t>建筑物内的电气系统（变配电设备、低压配电柜、配电线路、用电设备、照明装置、插座与开关、等电位联接）进行年度系统性检查与测试，通过专业手段检查电气设备和线路的绝缘、接地、温度等关键指</w:t>
      </w:r>
      <w:r>
        <w:rPr>
          <w:rFonts w:hint="eastAsia" w:ascii="仿宋" w:hAnsi="仿宋" w:eastAsia="仿宋"/>
          <w:color w:val="000000"/>
          <w:sz w:val="28"/>
          <w:szCs w:val="24"/>
          <w:highlight w:val="none"/>
          <w:lang w:val="en-US" w:eastAsia="zh-CN"/>
        </w:rPr>
        <w:t>标，并出具合格报告</w:t>
      </w:r>
      <w:r>
        <w:rPr>
          <w:rFonts w:hint="eastAsia" w:ascii="仿宋" w:hAnsi="仿宋" w:eastAsia="仿宋"/>
          <w:color w:val="000000"/>
          <w:sz w:val="28"/>
          <w:szCs w:val="24"/>
          <w:highlight w:val="none"/>
        </w:rPr>
        <w:t>。</w:t>
      </w:r>
    </w:p>
    <w:p w14:paraId="0547CA53">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color w:val="000000"/>
          <w:sz w:val="28"/>
          <w:szCs w:val="24"/>
          <w:lang w:val="en-US" w:eastAsia="zh-CN"/>
        </w:rPr>
      </w:pPr>
      <w:r>
        <w:rPr>
          <w:rFonts w:hint="eastAsia" w:ascii="仿宋" w:hAnsi="仿宋" w:eastAsia="仿宋"/>
          <w:color w:val="000000"/>
          <w:sz w:val="28"/>
          <w:szCs w:val="24"/>
          <w:highlight w:val="none"/>
          <w:lang w:val="en-US" w:eastAsia="zh-CN"/>
        </w:rPr>
        <w:t>3、建筑消防设施检测：按照《建筑消防设施检测技术规程》《</w:t>
      </w:r>
      <w:r>
        <w:rPr>
          <w:rFonts w:hint="default" w:ascii="仿宋" w:hAnsi="仿宋" w:eastAsia="仿宋"/>
          <w:color w:val="000000"/>
          <w:sz w:val="28"/>
          <w:szCs w:val="24"/>
          <w:highlight w:val="none"/>
          <w:lang w:val="en-US" w:eastAsia="zh-CN"/>
        </w:rPr>
        <w:t>山东建筑消防设施检测技术规程 DB37/T242-2021</w:t>
      </w:r>
      <w:r>
        <w:rPr>
          <w:rFonts w:hint="eastAsia" w:ascii="仿宋" w:hAnsi="仿宋" w:eastAsia="仿宋"/>
          <w:color w:val="000000"/>
          <w:sz w:val="28"/>
          <w:szCs w:val="24"/>
          <w:highlight w:val="none"/>
          <w:lang w:val="en-US" w:eastAsia="zh-CN"/>
        </w:rPr>
        <w:t>》，对建筑消防设施（消防供配电设施、火灾自动报警系统水源、气体灭火系</w:t>
      </w:r>
      <w:r>
        <w:rPr>
          <w:rFonts w:hint="eastAsia" w:ascii="仿宋" w:hAnsi="仿宋" w:eastAsia="仿宋"/>
          <w:color w:val="000000"/>
          <w:sz w:val="28"/>
          <w:szCs w:val="24"/>
          <w:lang w:val="en-US" w:eastAsia="zh-CN"/>
        </w:rPr>
        <w:t>统、电源监控系统等）进行年度系统性检查与测试，并出具合格报告。</w:t>
      </w:r>
    </w:p>
    <w:p w14:paraId="550946C6">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color w:val="000000"/>
          <w:sz w:val="28"/>
          <w:szCs w:val="24"/>
          <w:lang w:val="en-US" w:eastAsia="zh-CN"/>
        </w:rPr>
      </w:pPr>
      <w:r>
        <w:rPr>
          <w:rFonts w:hint="eastAsia" w:ascii="仿宋" w:hAnsi="仿宋" w:eastAsia="仿宋"/>
          <w:color w:val="000000"/>
          <w:sz w:val="28"/>
          <w:szCs w:val="24"/>
          <w:lang w:val="en-US" w:eastAsia="zh-CN"/>
        </w:rPr>
        <w:t>4、消防中控室值班：根据《消防控制室通用技术要求》（GB25506-2010），对两个厂区的消防中控室，执行24小时双人持证值班，实时监控消防主机设备运行状态，准确区分火警信号、故障信号，第一时间处置消防主机（消防联动报警主机、可燃气体报警主机、电气火灾监控主机）报警信息，结合重点部位视频监控系统，辅助判断火警信号的真实性和具体位置，并现场落实，同时按区域联动（消火栓泵及消防喷淋泵、消防广播、防排烟风机控制柜、应急照明集中控制主机等）消防设施，并真实、准确、完整、清晰地填写消防控制室值班记录表，避免因记录缺失导致行政处罚及法律风险。</w:t>
      </w:r>
    </w:p>
    <w:p w14:paraId="2466AD19">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color w:val="000000"/>
          <w:sz w:val="28"/>
          <w:szCs w:val="24"/>
          <w:lang w:val="en-US" w:eastAsia="zh-CN"/>
        </w:rPr>
      </w:pPr>
      <w:r>
        <w:rPr>
          <w:rFonts w:hint="eastAsia" w:ascii="仿宋" w:hAnsi="仿宋" w:eastAsia="仿宋"/>
          <w:color w:val="000000"/>
          <w:sz w:val="28"/>
          <w:szCs w:val="24"/>
          <w:lang w:val="en-US" w:eastAsia="zh-CN"/>
        </w:rPr>
        <w:t>5、人员驻场服务：</w:t>
      </w:r>
    </w:p>
    <w:p w14:paraId="2106E5F2">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default" w:ascii="仿宋" w:hAnsi="仿宋" w:eastAsia="仿宋"/>
          <w:color w:val="000000"/>
          <w:sz w:val="28"/>
          <w:szCs w:val="24"/>
          <w:lang w:val="en-US" w:eastAsia="zh-CN"/>
        </w:rPr>
      </w:pPr>
      <w:r>
        <w:rPr>
          <w:rFonts w:hint="eastAsia" w:ascii="仿宋" w:hAnsi="仿宋" w:eastAsia="仿宋"/>
          <w:color w:val="000000"/>
          <w:sz w:val="28"/>
          <w:szCs w:val="24"/>
          <w:lang w:val="en-US" w:eastAsia="zh-CN"/>
        </w:rPr>
        <w:t>驻场人员对现场消防设备设施进行日常巡检、维护，发现设备异常，能够快速到达现场处理设备故障，故障无法修复需要更换设施组件的，由甲方采购，驻场人员负责进行设施组件更换、调试，保障设施完好有效；配合甲方开展重点防火部位日常检查、专项检查、厂房消防验收，提供技术支持并提出整改建议；配合甲方开展消防演练及消防设施使用原理基础培训等；协助甲方配合政府执法检查迎检；配合甲方集团公司去其公司进行消防检查、消防评估。</w:t>
      </w:r>
    </w:p>
    <w:p w14:paraId="09FDFF9C">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color w:val="000000"/>
          <w:sz w:val="28"/>
          <w:szCs w:val="24"/>
          <w:lang w:val="en-US" w:eastAsia="zh-CN"/>
        </w:rPr>
      </w:pPr>
      <w:r>
        <w:rPr>
          <w:rFonts w:hint="eastAsia" w:ascii="仿宋" w:hAnsi="仿宋" w:eastAsia="仿宋"/>
          <w:color w:val="000000"/>
          <w:sz w:val="28"/>
          <w:szCs w:val="24"/>
          <w:lang w:val="en-US" w:eastAsia="zh-CN"/>
        </w:rPr>
        <w:t>6、莱芜园区消防安全评估：</w:t>
      </w:r>
    </w:p>
    <w:p w14:paraId="2A471BAE">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default" w:ascii="仿宋" w:hAnsi="仿宋" w:eastAsia="仿宋"/>
          <w:color w:val="000000"/>
          <w:sz w:val="28"/>
          <w:szCs w:val="24"/>
          <w:lang w:val="en-US" w:eastAsia="zh-CN"/>
        </w:rPr>
      </w:pPr>
      <w:r>
        <w:rPr>
          <w:rFonts w:hint="eastAsia" w:ascii="仿宋" w:hAnsi="仿宋" w:eastAsia="仿宋"/>
          <w:color w:val="000000"/>
          <w:sz w:val="28"/>
          <w:szCs w:val="24"/>
          <w:lang w:val="en-US" w:eastAsia="zh-CN"/>
        </w:rPr>
        <w:t>对建筑物、区域或单位的整体消防安全状况进行综合分析与评价，并提出整改措施，出具年度消防评估报告，内容如下：综合检查建筑防火性能：建筑结构与防火性能、总平面布局与防火间距、消防设计审核及验收情况；评估消防设施配置与有效性：消防报警联动系统、自动灭火系统、防排烟系统、消防广播系统、消防供配电设施等；消防管理情况（消防应急预案及演练、消防培训记录、微型消防站建设、重点防火部位管理）</w:t>
      </w:r>
    </w:p>
    <w:p w14:paraId="3BEC934E">
      <w:pPr>
        <w:rPr>
          <w:rFonts w:hint="default" w:ascii="仿宋" w:hAnsi="仿宋" w:eastAsia="仿宋"/>
          <w:color w:val="000000"/>
          <w:sz w:val="28"/>
          <w:szCs w:val="24"/>
          <w:lang w:val="en-US" w:eastAsia="zh-CN"/>
        </w:rPr>
      </w:pPr>
      <w:r>
        <w:rPr>
          <w:rFonts w:hint="default" w:ascii="仿宋" w:hAnsi="仿宋" w:eastAsia="仿宋"/>
          <w:color w:val="000000"/>
          <w:sz w:val="28"/>
          <w:szCs w:val="24"/>
          <w:lang w:val="en-US" w:eastAsia="zh-CN"/>
        </w:rPr>
        <w:br w:type="page"/>
      </w:r>
    </w:p>
    <w:p w14:paraId="5B6DD1A6">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default" w:ascii="仿宋" w:hAnsi="仿宋" w:eastAsia="仿宋"/>
          <w:color w:val="000000"/>
          <w:sz w:val="28"/>
          <w:szCs w:val="24"/>
          <w:lang w:val="en-US" w:eastAsia="zh-CN"/>
        </w:rPr>
      </w:pPr>
    </w:p>
    <w:p w14:paraId="1443D53C">
      <w:pPr>
        <w:pStyle w:val="3"/>
        <w:pageBreakBefore w:val="0"/>
        <w:kinsoku/>
        <w:wordWrap/>
        <w:overflowPunct/>
        <w:topLinePunct w:val="0"/>
        <w:bidi w:val="0"/>
        <w:adjustRightInd w:val="0"/>
        <w:snapToGrid w:val="0"/>
        <w:spacing w:before="0" w:after="0" w:line="240" w:lineRule="auto"/>
        <w:ind w:left="0" w:leftChars="0" w:right="0" w:firstLine="883" w:firstLineChars="200"/>
        <w:jc w:val="center"/>
        <w:rPr>
          <w:rFonts w:hint="eastAsia" w:ascii="仿宋" w:hAnsi="仿宋" w:eastAsia="仿宋"/>
          <w:color w:val="000000"/>
          <w:sz w:val="28"/>
          <w:szCs w:val="24"/>
        </w:rPr>
      </w:pPr>
      <w:bookmarkStart w:id="4" w:name="_Toc1995"/>
      <w:r>
        <w:rPr>
          <w:rFonts w:hint="eastAsia" w:ascii="仿宋_GB2312" w:hAnsi="华文仿宋" w:eastAsia="仿宋_GB2312"/>
          <w:lang w:val="en-US" w:eastAsia="zh-CN"/>
        </w:rPr>
        <w:t>第二章、投标人须知</w:t>
      </w:r>
      <w:bookmarkEnd w:id="4"/>
    </w:p>
    <w:p w14:paraId="5FC0F175">
      <w:pPr>
        <w:pStyle w:val="10"/>
        <w:pageBreakBefore w:val="0"/>
        <w:kinsoku/>
        <w:wordWrap/>
        <w:overflowPunct/>
        <w:topLinePunct w:val="0"/>
        <w:bidi w:val="0"/>
        <w:adjustRightInd w:val="0"/>
        <w:snapToGrid w:val="0"/>
        <w:spacing w:line="540" w:lineRule="exact"/>
        <w:ind w:right="0"/>
        <w:outlineLvl w:val="1"/>
        <w:rPr>
          <w:rStyle w:val="23"/>
          <w:rFonts w:ascii="仿宋_GB2312" w:hAnsi="华文仿宋" w:eastAsia="仿宋_GB2312"/>
          <w:sz w:val="28"/>
          <w:szCs w:val="28"/>
        </w:rPr>
      </w:pPr>
      <w:r>
        <w:rPr>
          <w:rStyle w:val="23"/>
          <w:rFonts w:hint="eastAsia" w:ascii="仿宋_GB2312" w:hAnsi="华文仿宋" w:eastAsia="仿宋_GB2312"/>
          <w:sz w:val="28"/>
          <w:szCs w:val="28"/>
          <w:lang w:val="en-US" w:eastAsia="zh-CN"/>
        </w:rPr>
        <w:t>一</w:t>
      </w:r>
      <w:r>
        <w:rPr>
          <w:rStyle w:val="23"/>
          <w:rFonts w:hint="eastAsia" w:ascii="仿宋_GB2312" w:hAnsi="华文仿宋" w:eastAsia="仿宋_GB2312"/>
          <w:sz w:val="28"/>
          <w:szCs w:val="28"/>
        </w:rPr>
        <w:t>、投标单位资格要求</w:t>
      </w:r>
      <w:bookmarkEnd w:id="1"/>
    </w:p>
    <w:p w14:paraId="185A3193">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color w:val="auto"/>
          <w:sz w:val="28"/>
          <w:szCs w:val="24"/>
          <w:highlight w:val="none"/>
        </w:rPr>
      </w:pPr>
      <w:r>
        <w:rPr>
          <w:rFonts w:hint="eastAsia" w:ascii="仿宋" w:hAnsi="仿宋" w:eastAsia="仿宋"/>
          <w:color w:val="auto"/>
          <w:sz w:val="28"/>
          <w:szCs w:val="24"/>
          <w:highlight w:val="none"/>
        </w:rPr>
        <w:t>1、参加投标的单位，必须是在中华人民共和国合法注册，具有独立法人资格的公司，且成立</w:t>
      </w:r>
      <w:r>
        <w:rPr>
          <w:rFonts w:hint="eastAsia" w:ascii="仿宋" w:hAnsi="仿宋" w:eastAsia="仿宋"/>
          <w:color w:val="auto"/>
          <w:sz w:val="28"/>
          <w:szCs w:val="24"/>
          <w:highlight w:val="none"/>
          <w:lang w:val="en-US" w:eastAsia="zh-CN"/>
        </w:rPr>
        <w:t>五</w:t>
      </w:r>
      <w:r>
        <w:rPr>
          <w:rFonts w:hint="eastAsia" w:ascii="仿宋" w:hAnsi="仿宋" w:eastAsia="仿宋"/>
          <w:color w:val="auto"/>
          <w:sz w:val="28"/>
          <w:szCs w:val="24"/>
          <w:highlight w:val="none"/>
        </w:rPr>
        <w:t>年以上（含</w:t>
      </w:r>
      <w:r>
        <w:rPr>
          <w:rFonts w:hint="eastAsia" w:ascii="仿宋" w:hAnsi="仿宋" w:eastAsia="仿宋"/>
          <w:color w:val="auto"/>
          <w:sz w:val="28"/>
          <w:szCs w:val="24"/>
          <w:highlight w:val="none"/>
          <w:lang w:val="en-US" w:eastAsia="zh-CN"/>
        </w:rPr>
        <w:t>五</w:t>
      </w:r>
      <w:r>
        <w:rPr>
          <w:rFonts w:hint="eastAsia" w:ascii="仿宋" w:hAnsi="仿宋" w:eastAsia="仿宋"/>
          <w:color w:val="auto"/>
          <w:sz w:val="28"/>
          <w:szCs w:val="24"/>
          <w:highlight w:val="none"/>
        </w:rPr>
        <w:t>年，以注册日期开始计算，至开标之日不少于</w:t>
      </w:r>
      <w:r>
        <w:rPr>
          <w:rFonts w:hint="eastAsia" w:ascii="仿宋" w:hAnsi="仿宋" w:eastAsia="仿宋"/>
          <w:color w:val="auto"/>
          <w:sz w:val="28"/>
          <w:szCs w:val="24"/>
          <w:highlight w:val="none"/>
          <w:lang w:val="en-US" w:eastAsia="zh-CN"/>
        </w:rPr>
        <w:t>五</w:t>
      </w:r>
      <w:r>
        <w:rPr>
          <w:rFonts w:hint="eastAsia" w:ascii="仿宋" w:hAnsi="仿宋" w:eastAsia="仿宋"/>
          <w:color w:val="auto"/>
          <w:sz w:val="28"/>
          <w:szCs w:val="24"/>
          <w:highlight w:val="none"/>
        </w:rPr>
        <w:t>年），具有有效的营业执照</w:t>
      </w:r>
      <w:r>
        <w:rPr>
          <w:rFonts w:hint="eastAsia" w:ascii="仿宋" w:hAnsi="仿宋" w:eastAsia="仿宋"/>
          <w:color w:val="auto"/>
          <w:sz w:val="28"/>
          <w:szCs w:val="24"/>
          <w:highlight w:val="none"/>
          <w:lang w:eastAsia="zh-CN"/>
        </w:rPr>
        <w:t>，</w:t>
      </w:r>
      <w:r>
        <w:rPr>
          <w:rFonts w:hint="eastAsia" w:ascii="仿宋" w:hAnsi="仿宋" w:eastAsia="仿宋"/>
          <w:color w:val="auto"/>
          <w:sz w:val="28"/>
          <w:szCs w:val="24"/>
          <w:highlight w:val="none"/>
        </w:rPr>
        <w:t>且注册资金5000万元及以上必须符合消防维保从业条件；</w:t>
      </w:r>
    </w:p>
    <w:p w14:paraId="07E5EB7E">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b w:val="0"/>
          <w:bCs w:val="0"/>
          <w:color w:val="000000" w:themeColor="text1"/>
          <w:sz w:val="28"/>
          <w:szCs w:val="24"/>
          <w:highlight w:val="none"/>
          <w:lang w:eastAsia="zh-CN"/>
          <w14:textFill>
            <w14:solidFill>
              <w14:schemeClr w14:val="tx1"/>
            </w14:solidFill>
          </w14:textFill>
        </w:rPr>
      </w:pPr>
      <w:r>
        <w:rPr>
          <w:rFonts w:hint="eastAsia" w:ascii="仿宋" w:hAnsi="仿宋" w:eastAsia="仿宋"/>
          <w:b w:val="0"/>
          <w:bCs w:val="0"/>
          <w:color w:val="000000" w:themeColor="text1"/>
          <w:sz w:val="28"/>
          <w:szCs w:val="24"/>
          <w:highlight w:val="none"/>
          <w:lang w:val="en-US" w:eastAsia="zh-CN"/>
          <w14:textFill>
            <w14:solidFill>
              <w14:schemeClr w14:val="tx1"/>
            </w14:solidFill>
          </w14:textFill>
        </w:rPr>
        <w:t>2</w:t>
      </w:r>
      <w:r>
        <w:rPr>
          <w:rFonts w:hint="eastAsia" w:ascii="仿宋" w:hAnsi="仿宋" w:eastAsia="仿宋"/>
          <w:b w:val="0"/>
          <w:bCs w:val="0"/>
          <w:color w:val="000000" w:themeColor="text1"/>
          <w:sz w:val="28"/>
          <w:szCs w:val="24"/>
          <w:highlight w:val="none"/>
          <w:lang w:eastAsia="zh-CN"/>
          <w14:textFill>
            <w14:solidFill>
              <w14:schemeClr w14:val="tx1"/>
            </w14:solidFill>
          </w14:textFill>
        </w:rPr>
        <w:t>、</w:t>
      </w:r>
      <w:r>
        <w:rPr>
          <w:rFonts w:hint="eastAsia" w:ascii="仿宋" w:hAnsi="仿宋" w:eastAsia="仿宋"/>
          <w:b w:val="0"/>
          <w:bCs w:val="0"/>
          <w:color w:val="000000" w:themeColor="text1"/>
          <w:sz w:val="28"/>
          <w:szCs w:val="24"/>
          <w:highlight w:val="none"/>
          <w14:textFill>
            <w14:solidFill>
              <w14:schemeClr w14:val="tx1"/>
            </w14:solidFill>
          </w14:textFill>
        </w:rPr>
        <w:t>具有消防设施工程专业承包一级资质</w:t>
      </w:r>
      <w:r>
        <w:rPr>
          <w:rFonts w:hint="eastAsia" w:ascii="仿宋" w:hAnsi="仿宋" w:eastAsia="仿宋"/>
          <w:b w:val="0"/>
          <w:bCs w:val="0"/>
          <w:color w:val="000000" w:themeColor="text1"/>
          <w:sz w:val="28"/>
          <w:szCs w:val="24"/>
          <w:highlight w:val="none"/>
          <w:lang w:eastAsia="zh-CN"/>
          <w14:textFill>
            <w14:solidFill>
              <w14:schemeClr w14:val="tx1"/>
            </w14:solidFill>
          </w14:textFill>
        </w:rPr>
        <w:t>；</w:t>
      </w:r>
    </w:p>
    <w:p w14:paraId="330D272E">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b w:val="0"/>
          <w:bCs w:val="0"/>
          <w:color w:val="000000" w:themeColor="text1"/>
          <w:sz w:val="28"/>
          <w:szCs w:val="24"/>
          <w:highlight w:val="none"/>
          <w:lang w:eastAsia="zh-CN"/>
          <w14:textFill>
            <w14:solidFill>
              <w14:schemeClr w14:val="tx1"/>
            </w14:solidFill>
          </w14:textFill>
        </w:rPr>
      </w:pPr>
      <w:r>
        <w:rPr>
          <w:rFonts w:hint="eastAsia" w:ascii="仿宋" w:hAnsi="仿宋" w:eastAsia="仿宋"/>
          <w:b w:val="0"/>
          <w:bCs w:val="0"/>
          <w:color w:val="000000" w:themeColor="text1"/>
          <w:sz w:val="28"/>
          <w:szCs w:val="24"/>
          <w:highlight w:val="none"/>
          <w:lang w:val="en-US" w:eastAsia="zh-CN"/>
          <w14:textFill>
            <w14:solidFill>
              <w14:schemeClr w14:val="tx1"/>
            </w14:solidFill>
          </w14:textFill>
        </w:rPr>
        <w:t>3</w:t>
      </w:r>
      <w:r>
        <w:rPr>
          <w:rFonts w:hint="eastAsia" w:ascii="仿宋" w:hAnsi="仿宋" w:eastAsia="仿宋"/>
          <w:b w:val="0"/>
          <w:bCs w:val="0"/>
          <w:color w:val="000000" w:themeColor="text1"/>
          <w:sz w:val="28"/>
          <w:szCs w:val="24"/>
          <w:highlight w:val="none"/>
          <w:lang w:eastAsia="zh-CN"/>
          <w14:textFill>
            <w14:solidFill>
              <w14:schemeClr w14:val="tx1"/>
            </w14:solidFill>
          </w14:textFill>
        </w:rPr>
        <w:t>、</w:t>
      </w:r>
      <w:r>
        <w:rPr>
          <w:rFonts w:hint="eastAsia" w:ascii="仿宋" w:hAnsi="仿宋" w:eastAsia="仿宋"/>
          <w:b w:val="0"/>
          <w:bCs w:val="0"/>
          <w:color w:val="000000" w:themeColor="text1"/>
          <w:sz w:val="28"/>
          <w:szCs w:val="24"/>
          <w:highlight w:val="none"/>
          <w14:textFill>
            <w14:solidFill>
              <w14:schemeClr w14:val="tx1"/>
            </w14:solidFill>
          </w14:textFill>
        </w:rPr>
        <w:t>具有电子与智能化工程专业承包一级资质</w:t>
      </w:r>
      <w:r>
        <w:rPr>
          <w:rFonts w:hint="eastAsia" w:ascii="仿宋" w:hAnsi="仿宋" w:eastAsia="仿宋"/>
          <w:b w:val="0"/>
          <w:bCs w:val="0"/>
          <w:color w:val="000000" w:themeColor="text1"/>
          <w:sz w:val="28"/>
          <w:szCs w:val="24"/>
          <w:highlight w:val="none"/>
          <w:lang w:eastAsia="zh-CN"/>
          <w14:textFill>
            <w14:solidFill>
              <w14:schemeClr w14:val="tx1"/>
            </w14:solidFill>
          </w14:textFill>
        </w:rPr>
        <w:t>；</w:t>
      </w:r>
    </w:p>
    <w:p w14:paraId="66164A25">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color w:val="auto"/>
          <w:sz w:val="28"/>
          <w:szCs w:val="24"/>
          <w:highlight w:val="none"/>
        </w:rPr>
      </w:pPr>
      <w:r>
        <w:rPr>
          <w:rFonts w:hint="eastAsia" w:ascii="仿宋" w:hAnsi="仿宋" w:eastAsia="仿宋"/>
          <w:b w:val="0"/>
          <w:bCs w:val="0"/>
          <w:color w:val="000000" w:themeColor="text1"/>
          <w:sz w:val="28"/>
          <w:szCs w:val="24"/>
          <w:highlight w:val="none"/>
          <w:lang w:val="en-US" w:eastAsia="zh-CN"/>
          <w14:textFill>
            <w14:solidFill>
              <w14:schemeClr w14:val="tx1"/>
            </w14:solidFill>
          </w14:textFill>
        </w:rPr>
        <w:t>4</w:t>
      </w:r>
      <w:r>
        <w:rPr>
          <w:rFonts w:hint="eastAsia" w:ascii="仿宋" w:hAnsi="仿宋" w:eastAsia="仿宋"/>
          <w:b w:val="0"/>
          <w:bCs w:val="0"/>
          <w:color w:val="000000" w:themeColor="text1"/>
          <w:sz w:val="28"/>
          <w:szCs w:val="24"/>
          <w:highlight w:val="none"/>
          <w:lang w:eastAsia="zh-CN"/>
          <w14:textFill>
            <w14:solidFill>
              <w14:schemeClr w14:val="tx1"/>
            </w14:solidFill>
          </w14:textFill>
        </w:rPr>
        <w:t>、</w:t>
      </w:r>
      <w:r>
        <w:rPr>
          <w:rFonts w:hint="eastAsia" w:ascii="仿宋" w:hAnsi="仿宋" w:eastAsia="仿宋"/>
          <w:b w:val="0"/>
          <w:bCs w:val="0"/>
          <w:color w:val="000000" w:themeColor="text1"/>
          <w:sz w:val="28"/>
          <w:szCs w:val="24"/>
          <w:highlight w:val="none"/>
          <w14:textFill>
            <w14:solidFill>
              <w14:schemeClr w14:val="tx1"/>
            </w14:solidFill>
          </w14:textFill>
        </w:rPr>
        <w:t>通过“</w:t>
      </w:r>
      <w:r>
        <w:rPr>
          <w:rFonts w:hint="eastAsia" w:ascii="仿宋" w:hAnsi="仿宋" w:eastAsia="仿宋"/>
          <w:color w:val="000000" w:themeColor="text1"/>
          <w:sz w:val="28"/>
          <w:szCs w:val="24"/>
          <w:highlight w:val="none"/>
          <w14:textFill>
            <w14:solidFill>
              <w14:schemeClr w14:val="tx1"/>
            </w14:solidFill>
          </w14:textFill>
        </w:rPr>
        <w:t>社会消</w:t>
      </w:r>
      <w:r>
        <w:rPr>
          <w:rFonts w:hint="eastAsia" w:ascii="仿宋" w:hAnsi="仿宋" w:eastAsia="仿宋"/>
          <w:sz w:val="28"/>
          <w:szCs w:val="24"/>
          <w:highlight w:val="none"/>
        </w:rPr>
        <w:t>防技术服务信息系统”备案的维保服务单位，服务类型需含有“消防设施维护保养检测、消防安全评估”（提供网站备案截图)。</w:t>
      </w:r>
    </w:p>
    <w:p w14:paraId="71C67E09">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color w:val="auto"/>
          <w:sz w:val="28"/>
          <w:szCs w:val="24"/>
          <w:highlight w:val="none"/>
          <w:lang w:eastAsia="zh-CN"/>
        </w:rPr>
      </w:pPr>
      <w:r>
        <w:rPr>
          <w:rFonts w:hint="eastAsia" w:ascii="仿宋" w:hAnsi="仿宋" w:eastAsia="仿宋"/>
          <w:color w:val="auto"/>
          <w:sz w:val="28"/>
          <w:szCs w:val="24"/>
          <w:highlight w:val="none"/>
          <w:lang w:val="en-US" w:eastAsia="zh-CN"/>
        </w:rPr>
        <w:t>5</w:t>
      </w:r>
      <w:r>
        <w:rPr>
          <w:rFonts w:hint="eastAsia" w:ascii="仿宋" w:hAnsi="仿宋" w:eastAsia="仿宋"/>
          <w:color w:val="auto"/>
          <w:sz w:val="28"/>
          <w:szCs w:val="24"/>
          <w:highlight w:val="none"/>
        </w:rPr>
        <w:t>、</w:t>
      </w:r>
      <w:r>
        <w:rPr>
          <w:rFonts w:hint="eastAsia" w:ascii="仿宋" w:hAnsi="仿宋" w:eastAsia="仿宋"/>
          <w:sz w:val="28"/>
          <w:szCs w:val="24"/>
          <w:highlight w:val="none"/>
        </w:rPr>
        <w:t>具有健全的财务会计制度，财务状况和市场行为良好。没有处于被有权机关吊销营业执照、吊销资质、停业整顿、取消投标资格以及财产被接管、冻结或进入破产程序等</w:t>
      </w:r>
      <w:r>
        <w:rPr>
          <w:rFonts w:hint="eastAsia" w:ascii="仿宋" w:hAnsi="仿宋" w:eastAsia="仿宋"/>
          <w:sz w:val="28"/>
          <w:szCs w:val="24"/>
          <w:highlight w:val="none"/>
          <w:lang w:eastAsia="zh-CN"/>
        </w:rPr>
        <w:t>。</w:t>
      </w:r>
    </w:p>
    <w:p w14:paraId="33281C53">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color w:val="auto"/>
          <w:sz w:val="28"/>
          <w:szCs w:val="24"/>
          <w:highlight w:val="none"/>
        </w:rPr>
      </w:pPr>
      <w:r>
        <w:rPr>
          <w:rFonts w:hint="eastAsia" w:ascii="仿宋" w:hAnsi="仿宋" w:eastAsia="仿宋"/>
          <w:color w:val="auto"/>
          <w:sz w:val="28"/>
          <w:szCs w:val="24"/>
          <w:highlight w:val="none"/>
          <w:lang w:val="en-US" w:eastAsia="zh-CN"/>
        </w:rPr>
        <w:t>6</w:t>
      </w:r>
      <w:r>
        <w:rPr>
          <w:rFonts w:hint="eastAsia" w:ascii="仿宋" w:hAnsi="仿宋" w:eastAsia="仿宋"/>
          <w:color w:val="auto"/>
          <w:sz w:val="28"/>
          <w:szCs w:val="24"/>
          <w:highlight w:val="none"/>
        </w:rPr>
        <w:t>、</w:t>
      </w:r>
      <w:r>
        <w:rPr>
          <w:rFonts w:hint="eastAsia" w:ascii="仿宋" w:hAnsi="仿宋" w:eastAsia="仿宋"/>
          <w:sz w:val="28"/>
          <w:szCs w:val="24"/>
          <w:highlight w:val="none"/>
        </w:rPr>
        <w:t>投标人须具有履行合同所必需的设备、财务、技术、服务等方面的资质和能力</w:t>
      </w:r>
      <w:r>
        <w:rPr>
          <w:rFonts w:hint="eastAsia" w:ascii="仿宋" w:hAnsi="仿宋" w:eastAsia="仿宋"/>
          <w:color w:val="auto"/>
          <w:sz w:val="28"/>
          <w:szCs w:val="24"/>
          <w:highlight w:val="none"/>
        </w:rPr>
        <w:t>；</w:t>
      </w:r>
    </w:p>
    <w:p w14:paraId="719A8A3C">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color w:val="auto"/>
          <w:sz w:val="28"/>
          <w:szCs w:val="24"/>
          <w:highlight w:val="none"/>
        </w:rPr>
      </w:pPr>
      <w:r>
        <w:rPr>
          <w:rFonts w:hint="eastAsia" w:ascii="仿宋" w:hAnsi="仿宋" w:eastAsia="仿宋"/>
          <w:color w:val="auto"/>
          <w:sz w:val="28"/>
          <w:szCs w:val="24"/>
          <w:highlight w:val="none"/>
          <w:lang w:val="en-US" w:eastAsia="zh-CN"/>
        </w:rPr>
        <w:t>7</w:t>
      </w:r>
      <w:r>
        <w:rPr>
          <w:rFonts w:hint="eastAsia" w:ascii="仿宋" w:hAnsi="仿宋" w:eastAsia="仿宋"/>
          <w:color w:val="auto"/>
          <w:sz w:val="28"/>
          <w:szCs w:val="24"/>
          <w:highlight w:val="none"/>
        </w:rPr>
        <w:t>、有依法缴纳税收和社会保障金的良好纪录；</w:t>
      </w:r>
    </w:p>
    <w:p w14:paraId="4C41F60F">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sz w:val="28"/>
          <w:szCs w:val="24"/>
          <w:highlight w:val="none"/>
          <w:lang w:eastAsia="zh-CN"/>
        </w:rPr>
      </w:pPr>
      <w:r>
        <w:rPr>
          <w:rFonts w:hint="eastAsia" w:ascii="仿宋" w:hAnsi="仿宋" w:eastAsia="仿宋"/>
          <w:color w:val="auto"/>
          <w:sz w:val="28"/>
          <w:szCs w:val="24"/>
          <w:highlight w:val="none"/>
          <w:lang w:val="en-US" w:eastAsia="zh-CN"/>
        </w:rPr>
        <w:t>8</w:t>
      </w:r>
      <w:r>
        <w:rPr>
          <w:rFonts w:hint="eastAsia" w:ascii="仿宋" w:hAnsi="仿宋" w:eastAsia="仿宋"/>
          <w:color w:val="auto"/>
          <w:sz w:val="28"/>
          <w:szCs w:val="24"/>
          <w:highlight w:val="none"/>
        </w:rPr>
        <w:t>、</w:t>
      </w:r>
      <w:r>
        <w:rPr>
          <w:rFonts w:hint="eastAsia" w:ascii="仿宋" w:hAnsi="仿宋" w:eastAsia="仿宋"/>
          <w:sz w:val="28"/>
          <w:szCs w:val="24"/>
          <w:highlight w:val="none"/>
        </w:rPr>
        <w:t>投标人须提供近三年的公司财务报表（资产负债表、损益表、现金流量表）</w:t>
      </w:r>
      <w:r>
        <w:rPr>
          <w:rFonts w:hint="eastAsia" w:ascii="仿宋" w:hAnsi="仿宋" w:eastAsia="仿宋"/>
          <w:sz w:val="28"/>
          <w:szCs w:val="24"/>
          <w:highlight w:val="none"/>
          <w:lang w:eastAsia="zh-CN"/>
        </w:rPr>
        <w:t>；</w:t>
      </w:r>
    </w:p>
    <w:p w14:paraId="1415E247">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color w:val="auto"/>
          <w:sz w:val="28"/>
          <w:szCs w:val="24"/>
          <w:highlight w:val="none"/>
        </w:rPr>
      </w:pPr>
      <w:r>
        <w:rPr>
          <w:rFonts w:hint="eastAsia" w:ascii="仿宋" w:hAnsi="仿宋" w:eastAsia="仿宋"/>
          <w:color w:val="auto"/>
          <w:sz w:val="28"/>
          <w:szCs w:val="24"/>
          <w:highlight w:val="none"/>
          <w:lang w:val="en-US" w:eastAsia="zh-CN"/>
        </w:rPr>
        <w:t>9、</w:t>
      </w:r>
      <w:r>
        <w:rPr>
          <w:rFonts w:hint="eastAsia" w:ascii="仿宋" w:hAnsi="仿宋" w:eastAsia="仿宋"/>
          <w:color w:val="auto"/>
          <w:sz w:val="28"/>
          <w:szCs w:val="24"/>
          <w:highlight w:val="none"/>
        </w:rPr>
        <w:t>投标单位应具备并提供近三年企业（厂房）类项目规模维保业绩；</w:t>
      </w:r>
    </w:p>
    <w:p w14:paraId="66CB1E83">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color w:val="auto"/>
          <w:sz w:val="28"/>
          <w:szCs w:val="24"/>
          <w:highlight w:val="none"/>
        </w:rPr>
      </w:pPr>
      <w:r>
        <w:rPr>
          <w:rFonts w:hint="eastAsia" w:ascii="仿宋" w:hAnsi="仿宋" w:eastAsia="仿宋"/>
          <w:sz w:val="28"/>
          <w:szCs w:val="24"/>
          <w:highlight w:val="none"/>
          <w:lang w:val="en-US" w:eastAsia="zh-CN"/>
        </w:rPr>
        <w:t>10、</w:t>
      </w:r>
      <w:r>
        <w:rPr>
          <w:rFonts w:hint="eastAsia" w:ascii="仿宋" w:hAnsi="仿宋" w:eastAsia="仿宋"/>
          <w:sz w:val="28"/>
          <w:szCs w:val="24"/>
          <w:highlight w:val="none"/>
        </w:rPr>
        <w:t>投标人须提供具有统一社会信用代码的新版营业执照副本复印件（加盖公章）；参与投标时需携带营业执照副本原件以及投标单位授权人身份证原件以供查验。</w:t>
      </w:r>
    </w:p>
    <w:p w14:paraId="53CE1272">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sz w:val="28"/>
          <w:szCs w:val="24"/>
          <w:highlight w:val="none"/>
        </w:rPr>
      </w:pPr>
      <w:r>
        <w:rPr>
          <w:rFonts w:hint="eastAsia" w:ascii="仿宋" w:hAnsi="仿宋" w:eastAsia="仿宋"/>
          <w:sz w:val="28"/>
          <w:szCs w:val="24"/>
          <w:highlight w:val="none"/>
          <w:lang w:val="en-US" w:eastAsia="zh-CN"/>
        </w:rPr>
        <w:t>11</w:t>
      </w:r>
      <w:r>
        <w:rPr>
          <w:rFonts w:hint="eastAsia" w:ascii="仿宋" w:hAnsi="仿宋" w:eastAsia="仿宋"/>
          <w:sz w:val="28"/>
          <w:szCs w:val="24"/>
          <w:highlight w:val="none"/>
        </w:rPr>
        <w:t>、投标单位三年内无违法及重大违规记录；</w:t>
      </w:r>
    </w:p>
    <w:p w14:paraId="1416E6AD">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sz w:val="28"/>
          <w:szCs w:val="24"/>
          <w:highlight w:val="none"/>
        </w:rPr>
      </w:pPr>
      <w:r>
        <w:rPr>
          <w:rFonts w:hint="eastAsia" w:ascii="仿宋" w:hAnsi="仿宋" w:eastAsia="仿宋"/>
          <w:sz w:val="28"/>
          <w:szCs w:val="24"/>
          <w:highlight w:val="none"/>
          <w:lang w:val="en-US" w:eastAsia="zh-CN"/>
        </w:rPr>
        <w:t>12</w:t>
      </w:r>
      <w:r>
        <w:rPr>
          <w:rFonts w:hint="eastAsia" w:ascii="仿宋" w:hAnsi="仿宋" w:eastAsia="仿宋"/>
          <w:sz w:val="28"/>
          <w:szCs w:val="24"/>
          <w:highlight w:val="none"/>
        </w:rPr>
        <w:t>、具有良好的企业信誉，投标单位在“国家企业信用信息公示系统”无行政处罚，“中国执行信息公开网”“信用中国”无失信记录信息；无招标违规、谎报年度报告信息、提供虚假资质资料等行为；</w:t>
      </w:r>
    </w:p>
    <w:p w14:paraId="5D2F02B2">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sz w:val="28"/>
          <w:szCs w:val="24"/>
          <w:highlight w:val="none"/>
        </w:rPr>
      </w:pPr>
      <w:r>
        <w:rPr>
          <w:rFonts w:hint="eastAsia" w:ascii="仿宋" w:hAnsi="仿宋" w:eastAsia="仿宋"/>
          <w:sz w:val="28"/>
          <w:szCs w:val="24"/>
          <w:highlight w:val="none"/>
          <w:lang w:val="en-US" w:eastAsia="zh-CN"/>
        </w:rPr>
        <w:t>13</w:t>
      </w:r>
      <w:r>
        <w:rPr>
          <w:rFonts w:hint="eastAsia" w:ascii="仿宋" w:hAnsi="仿宋" w:eastAsia="仿宋"/>
          <w:sz w:val="28"/>
          <w:szCs w:val="24"/>
          <w:highlight w:val="none"/>
        </w:rPr>
        <w:t>投标人必须是最终投标、签订合同的单位，不得以任何理由将已中标项目以任何形式转包给其他单位；</w:t>
      </w:r>
    </w:p>
    <w:p w14:paraId="2853E1A0">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sz w:val="28"/>
          <w:szCs w:val="24"/>
          <w:highlight w:val="none"/>
        </w:rPr>
      </w:pPr>
      <w:r>
        <w:rPr>
          <w:rFonts w:hint="eastAsia" w:ascii="仿宋" w:hAnsi="仿宋" w:eastAsia="仿宋"/>
          <w:sz w:val="28"/>
          <w:szCs w:val="24"/>
          <w:highlight w:val="none"/>
          <w:lang w:val="en-US" w:eastAsia="zh-CN"/>
        </w:rPr>
        <w:t>14</w:t>
      </w:r>
      <w:r>
        <w:rPr>
          <w:rFonts w:hint="eastAsia" w:ascii="仿宋" w:hAnsi="仿宋" w:eastAsia="仿宋"/>
          <w:sz w:val="28"/>
          <w:szCs w:val="24"/>
          <w:highlight w:val="none"/>
        </w:rPr>
        <w:t>、在中国重型汽车集团有限公司服务期间无不良记录或无因服务质量不到位提前终止合同的情况；</w:t>
      </w:r>
    </w:p>
    <w:p w14:paraId="54B376F0">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sz w:val="28"/>
          <w:szCs w:val="24"/>
          <w:highlight w:val="none"/>
        </w:rPr>
      </w:pPr>
      <w:r>
        <w:rPr>
          <w:rFonts w:hint="eastAsia" w:ascii="仿宋" w:hAnsi="仿宋" w:eastAsia="仿宋"/>
          <w:sz w:val="28"/>
          <w:szCs w:val="24"/>
          <w:highlight w:val="none"/>
          <w:lang w:val="en-US" w:eastAsia="zh-CN"/>
        </w:rPr>
        <w:t>15</w:t>
      </w:r>
      <w:r>
        <w:rPr>
          <w:rFonts w:hint="eastAsia" w:ascii="仿宋" w:hAnsi="仿宋" w:eastAsia="仿宋"/>
          <w:sz w:val="28"/>
          <w:szCs w:val="24"/>
          <w:highlight w:val="none"/>
        </w:rPr>
        <w:t>、未被中国重型汽车集团有限公司列入《黑名单》（《黑名单》指投标人与招标人在以往或正在进行的合作中，存在招标人认为的违反合同约定或违反法律法规等的失信行为）；</w:t>
      </w:r>
    </w:p>
    <w:p w14:paraId="61B173E6">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sz w:val="28"/>
          <w:szCs w:val="24"/>
          <w:highlight w:val="none"/>
        </w:rPr>
      </w:pPr>
      <w:r>
        <w:rPr>
          <w:rFonts w:hint="eastAsia" w:ascii="仿宋" w:hAnsi="仿宋" w:eastAsia="仿宋"/>
          <w:sz w:val="28"/>
          <w:szCs w:val="24"/>
          <w:highlight w:val="none"/>
        </w:rPr>
        <w:t>1</w:t>
      </w:r>
      <w:r>
        <w:rPr>
          <w:rFonts w:hint="eastAsia" w:ascii="仿宋" w:hAnsi="仿宋" w:eastAsia="仿宋"/>
          <w:sz w:val="28"/>
          <w:szCs w:val="24"/>
          <w:highlight w:val="none"/>
          <w:lang w:val="en-US" w:eastAsia="zh-CN"/>
        </w:rPr>
        <w:t>6</w:t>
      </w:r>
      <w:r>
        <w:rPr>
          <w:rFonts w:hint="eastAsia" w:ascii="仿宋" w:hAnsi="仿宋" w:eastAsia="仿宋"/>
          <w:sz w:val="28"/>
          <w:szCs w:val="24"/>
          <w:highlight w:val="none"/>
        </w:rPr>
        <w:t>、供方的直接或间接股东、法定代表人、董事、监事、高管非重汽员工及其亲属；</w:t>
      </w:r>
    </w:p>
    <w:p w14:paraId="3D05F3C3">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sz w:val="28"/>
          <w:szCs w:val="24"/>
          <w:highlight w:val="none"/>
        </w:rPr>
      </w:pPr>
      <w:r>
        <w:rPr>
          <w:rFonts w:hint="eastAsia" w:ascii="仿宋" w:hAnsi="仿宋" w:eastAsia="仿宋"/>
          <w:sz w:val="28"/>
          <w:szCs w:val="24"/>
          <w:highlight w:val="none"/>
          <w:lang w:val="en-US" w:eastAsia="zh-CN"/>
        </w:rPr>
        <w:t>17</w:t>
      </w:r>
      <w:r>
        <w:rPr>
          <w:rFonts w:hint="eastAsia" w:ascii="仿宋" w:hAnsi="仿宋" w:eastAsia="仿宋"/>
          <w:sz w:val="28"/>
          <w:szCs w:val="24"/>
          <w:highlight w:val="none"/>
        </w:rPr>
        <w:t>、如有投标单位资料造假，一经发现，5年内不得参与集团内所有消防器材、应急物资及维保类项目投标资格；</w:t>
      </w:r>
    </w:p>
    <w:p w14:paraId="74DD00DB">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sz w:val="28"/>
          <w:szCs w:val="24"/>
          <w:highlight w:val="none"/>
        </w:rPr>
      </w:pPr>
      <w:r>
        <w:rPr>
          <w:rFonts w:hint="eastAsia" w:ascii="仿宋" w:hAnsi="仿宋" w:eastAsia="仿宋"/>
          <w:sz w:val="28"/>
          <w:szCs w:val="24"/>
          <w:highlight w:val="none"/>
          <w:lang w:val="en-US" w:eastAsia="zh-CN"/>
        </w:rPr>
        <w:t>18、</w:t>
      </w:r>
      <w:r>
        <w:rPr>
          <w:rFonts w:hint="eastAsia" w:ascii="仿宋" w:hAnsi="仿宋" w:eastAsia="仿宋"/>
          <w:sz w:val="28"/>
          <w:szCs w:val="24"/>
          <w:highlight w:val="none"/>
        </w:rPr>
        <w:t>本次招标项目不接受联合体投标。</w:t>
      </w:r>
    </w:p>
    <w:p w14:paraId="2AF6E89C">
      <w:pPr>
        <w:pStyle w:val="24"/>
        <w:pageBreakBefore w:val="0"/>
        <w:kinsoku/>
        <w:wordWrap/>
        <w:overflowPunct/>
        <w:topLinePunct w:val="0"/>
        <w:bidi w:val="0"/>
        <w:adjustRightInd w:val="0"/>
        <w:snapToGrid w:val="0"/>
        <w:spacing w:line="540" w:lineRule="exact"/>
        <w:ind w:left="0" w:leftChars="0" w:right="0" w:firstLine="560"/>
        <w:rPr>
          <w:rFonts w:hint="eastAsia" w:ascii="仿宋" w:hAnsi="仿宋" w:eastAsia="仿宋"/>
          <w:b w:val="0"/>
          <w:bCs w:val="0"/>
          <w:sz w:val="28"/>
          <w:szCs w:val="24"/>
          <w:highlight w:val="none"/>
          <w:lang w:eastAsia="zh-CN"/>
        </w:rPr>
      </w:pPr>
      <w:r>
        <w:rPr>
          <w:rFonts w:hint="eastAsia" w:ascii="仿宋" w:hAnsi="仿宋" w:eastAsia="仿宋"/>
          <w:b w:val="0"/>
          <w:bCs w:val="0"/>
          <w:sz w:val="28"/>
          <w:szCs w:val="24"/>
          <w:highlight w:val="none"/>
          <w:lang w:val="en-US" w:eastAsia="zh-CN"/>
        </w:rPr>
        <w:t>19</w:t>
      </w:r>
      <w:r>
        <w:rPr>
          <w:rFonts w:hint="eastAsia" w:ascii="仿宋" w:hAnsi="仿宋" w:eastAsia="仿宋"/>
          <w:b w:val="0"/>
          <w:bCs w:val="0"/>
          <w:sz w:val="28"/>
          <w:szCs w:val="24"/>
          <w:highlight w:val="none"/>
        </w:rPr>
        <w:t>、相关法律法规对合格投标单位的其他要求</w:t>
      </w:r>
      <w:r>
        <w:rPr>
          <w:rFonts w:hint="eastAsia" w:ascii="仿宋" w:hAnsi="仿宋" w:eastAsia="仿宋"/>
          <w:b w:val="0"/>
          <w:bCs w:val="0"/>
          <w:sz w:val="28"/>
          <w:szCs w:val="24"/>
          <w:highlight w:val="none"/>
          <w:lang w:eastAsia="zh-CN"/>
        </w:rPr>
        <w:t>；</w:t>
      </w:r>
    </w:p>
    <w:p w14:paraId="0EA91B9A">
      <w:pPr>
        <w:pStyle w:val="10"/>
        <w:pageBreakBefore w:val="0"/>
        <w:kinsoku/>
        <w:wordWrap/>
        <w:overflowPunct/>
        <w:topLinePunct w:val="0"/>
        <w:bidi w:val="0"/>
        <w:adjustRightInd w:val="0"/>
        <w:snapToGrid w:val="0"/>
        <w:spacing w:line="540" w:lineRule="exact"/>
        <w:ind w:left="0" w:leftChars="0" w:right="0" w:firstLine="562" w:firstLineChars="200"/>
        <w:outlineLvl w:val="1"/>
        <w:rPr>
          <w:rFonts w:hAnsi="宋体" w:eastAsia="仿宋_GB2312"/>
          <w:b/>
          <w:bCs/>
          <w:sz w:val="28"/>
          <w:szCs w:val="28"/>
        </w:rPr>
      </w:pPr>
      <w:bookmarkStart w:id="5" w:name="_Toc449097050"/>
      <w:r>
        <w:rPr>
          <w:rFonts w:hint="eastAsia" w:hAnsi="宋体" w:eastAsia="仿宋_GB2312"/>
          <w:b/>
          <w:bCs/>
          <w:sz w:val="28"/>
          <w:szCs w:val="28"/>
          <w:lang w:val="en-US" w:eastAsia="zh-CN"/>
        </w:rPr>
        <w:t>二</w:t>
      </w:r>
      <w:r>
        <w:rPr>
          <w:rFonts w:hint="eastAsia" w:hAnsi="宋体" w:eastAsia="仿宋_GB2312"/>
          <w:b/>
          <w:bCs/>
          <w:sz w:val="28"/>
          <w:szCs w:val="28"/>
        </w:rPr>
        <w:t>、议程安排</w:t>
      </w:r>
      <w:bookmarkEnd w:id="5"/>
    </w:p>
    <w:p w14:paraId="387ABD40">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highlight w:val="none"/>
        </w:rPr>
      </w:pPr>
      <w:r>
        <w:rPr>
          <w:rFonts w:hint="eastAsia" w:ascii="仿宋" w:hAnsi="仿宋" w:eastAsia="仿宋"/>
          <w:sz w:val="28"/>
          <w:szCs w:val="24"/>
          <w:highlight w:val="none"/>
        </w:rPr>
        <w:t>1、发标时间：</w:t>
      </w:r>
      <w:r>
        <w:rPr>
          <w:rFonts w:hint="eastAsia" w:ascii="仿宋" w:hAnsi="仿宋" w:eastAsia="仿宋"/>
          <w:color w:val="000000"/>
          <w:sz w:val="28"/>
          <w:szCs w:val="24"/>
          <w:highlight w:val="none"/>
        </w:rPr>
        <w:t>202</w:t>
      </w:r>
      <w:r>
        <w:rPr>
          <w:rFonts w:hint="eastAsia" w:ascii="仿宋" w:hAnsi="仿宋" w:eastAsia="仿宋"/>
          <w:color w:val="000000"/>
          <w:sz w:val="28"/>
          <w:szCs w:val="24"/>
          <w:highlight w:val="none"/>
          <w:lang w:val="en-US" w:eastAsia="zh-CN"/>
        </w:rPr>
        <w:t>5</w:t>
      </w:r>
      <w:r>
        <w:rPr>
          <w:rFonts w:hint="eastAsia" w:ascii="仿宋" w:hAnsi="仿宋" w:eastAsia="仿宋"/>
          <w:color w:val="000000"/>
          <w:sz w:val="28"/>
          <w:szCs w:val="24"/>
          <w:highlight w:val="none"/>
        </w:rPr>
        <w:t>年</w:t>
      </w:r>
      <w:r>
        <w:rPr>
          <w:rFonts w:hint="eastAsia" w:ascii="仿宋" w:hAnsi="仿宋" w:eastAsia="仿宋"/>
          <w:color w:val="000000"/>
          <w:sz w:val="28"/>
          <w:szCs w:val="24"/>
          <w:highlight w:val="none"/>
          <w:lang w:val="en-US" w:eastAsia="zh-CN"/>
        </w:rPr>
        <w:t>8</w:t>
      </w:r>
      <w:r>
        <w:rPr>
          <w:rFonts w:hint="eastAsia" w:ascii="仿宋" w:hAnsi="仿宋" w:eastAsia="仿宋"/>
          <w:color w:val="000000"/>
          <w:sz w:val="28"/>
          <w:szCs w:val="24"/>
          <w:highlight w:val="none"/>
        </w:rPr>
        <w:t>月</w:t>
      </w:r>
      <w:r>
        <w:rPr>
          <w:rFonts w:hint="eastAsia" w:ascii="仿宋" w:hAnsi="仿宋" w:eastAsia="仿宋"/>
          <w:color w:val="000000"/>
          <w:sz w:val="28"/>
          <w:szCs w:val="24"/>
          <w:highlight w:val="none"/>
          <w:lang w:val="en-US" w:eastAsia="zh-CN"/>
        </w:rPr>
        <w:t>15</w:t>
      </w:r>
      <w:bookmarkStart w:id="49" w:name="_GoBack"/>
      <w:bookmarkEnd w:id="49"/>
      <w:r>
        <w:rPr>
          <w:rFonts w:hint="eastAsia" w:ascii="仿宋" w:hAnsi="仿宋" w:eastAsia="仿宋"/>
          <w:color w:val="000000"/>
          <w:sz w:val="28"/>
          <w:szCs w:val="24"/>
          <w:highlight w:val="none"/>
        </w:rPr>
        <w:t>日</w:t>
      </w:r>
    </w:p>
    <w:p w14:paraId="70A40B67">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发标方式：</w:t>
      </w:r>
    </w:p>
    <w:p w14:paraId="18CC9211">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（1）重汽官方网站：</w:t>
      </w:r>
    </w:p>
    <w:p w14:paraId="52FC905B">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http://www.cnhtc.com.cn/View/NewsLists.aspx?key=29</w:t>
      </w:r>
    </w:p>
    <w:p w14:paraId="324CC46E">
      <w:pPr>
        <w:pStyle w:val="10"/>
        <w:pageBreakBefore w:val="0"/>
        <w:numPr>
          <w:ilvl w:val="0"/>
          <w:numId w:val="3"/>
        </w:numPr>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阳光采购服务平台网站:</w:t>
      </w:r>
    </w:p>
    <w:p w14:paraId="038A91CB">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ascii="仿宋" w:hAnsi="仿宋" w:eastAsia="仿宋"/>
          <w:sz w:val="28"/>
          <w:szCs w:val="24"/>
        </w:rPr>
        <w:t>http://www.ygcgfw.com/ygcgframe/customframe4bid/login_TP</w:t>
      </w:r>
    </w:p>
    <w:p w14:paraId="5D267BBF">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联系人：</w:t>
      </w:r>
      <w:r>
        <w:rPr>
          <w:rFonts w:hint="eastAsia" w:ascii="仿宋" w:hAnsi="仿宋" w:eastAsia="仿宋"/>
          <w:sz w:val="28"/>
          <w:szCs w:val="24"/>
          <w:lang w:val="en-US" w:eastAsia="zh-CN"/>
        </w:rPr>
        <w:t>刘阳</w:t>
      </w:r>
      <w:r>
        <w:rPr>
          <w:rFonts w:hint="eastAsia" w:ascii="仿宋" w:hAnsi="仿宋" w:eastAsia="仿宋"/>
          <w:sz w:val="28"/>
          <w:szCs w:val="24"/>
        </w:rPr>
        <w:tab/>
      </w:r>
      <w:r>
        <w:rPr>
          <w:rFonts w:hint="eastAsia" w:ascii="仿宋" w:hAnsi="仿宋" w:eastAsia="仿宋"/>
          <w:sz w:val="28"/>
          <w:szCs w:val="24"/>
        </w:rPr>
        <w:tab/>
      </w:r>
    </w:p>
    <w:p w14:paraId="5FA0039B">
      <w:pPr>
        <w:pStyle w:val="10"/>
        <w:pageBreakBefore w:val="0"/>
        <w:kinsoku/>
        <w:wordWrap/>
        <w:overflowPunct/>
        <w:topLinePunct w:val="0"/>
        <w:bidi w:val="0"/>
        <w:adjustRightInd w:val="0"/>
        <w:snapToGrid w:val="0"/>
        <w:spacing w:line="540" w:lineRule="exact"/>
        <w:ind w:left="0" w:leftChars="0" w:right="0" w:firstLine="560" w:firstLineChars="200"/>
        <w:rPr>
          <w:rFonts w:hint="default" w:ascii="仿宋" w:hAnsi="仿宋" w:eastAsia="仿宋"/>
          <w:sz w:val="28"/>
          <w:szCs w:val="24"/>
          <w:lang w:val="en-US" w:eastAsia="zh-CN"/>
        </w:rPr>
      </w:pPr>
      <w:r>
        <w:rPr>
          <w:rFonts w:hint="eastAsia" w:ascii="仿宋" w:hAnsi="仿宋" w:eastAsia="仿宋"/>
          <w:sz w:val="28"/>
          <w:szCs w:val="24"/>
        </w:rPr>
        <w:t>联系电话：</w:t>
      </w:r>
      <w:r>
        <w:rPr>
          <w:rFonts w:hint="eastAsia" w:ascii="仿宋" w:hAnsi="仿宋" w:eastAsia="仿宋"/>
          <w:sz w:val="28"/>
          <w:szCs w:val="24"/>
          <w:lang w:val="en-US" w:eastAsia="zh-CN"/>
        </w:rPr>
        <w:t>13791113580</w:t>
      </w:r>
    </w:p>
    <w:p w14:paraId="383BF039">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color w:val="000000"/>
          <w:sz w:val="28"/>
          <w:szCs w:val="24"/>
          <w:highlight w:val="yellow"/>
        </w:rPr>
      </w:pPr>
      <w:r>
        <w:rPr>
          <w:rFonts w:hint="eastAsia" w:ascii="仿宋" w:hAnsi="仿宋" w:eastAsia="仿宋"/>
          <w:sz w:val="28"/>
          <w:szCs w:val="24"/>
          <w:highlight w:val="none"/>
        </w:rPr>
        <w:t>2、维保现场勘查时间：202</w:t>
      </w:r>
      <w:r>
        <w:rPr>
          <w:rFonts w:hint="eastAsia" w:ascii="仿宋" w:hAnsi="仿宋" w:eastAsia="仿宋"/>
          <w:sz w:val="28"/>
          <w:szCs w:val="24"/>
          <w:highlight w:val="none"/>
          <w:lang w:val="en-US" w:eastAsia="zh-CN"/>
        </w:rPr>
        <w:t>5</w:t>
      </w:r>
      <w:r>
        <w:rPr>
          <w:rFonts w:hint="eastAsia" w:ascii="仿宋" w:hAnsi="仿宋" w:eastAsia="仿宋"/>
          <w:sz w:val="28"/>
          <w:szCs w:val="24"/>
          <w:highlight w:val="none"/>
        </w:rPr>
        <w:t>年</w:t>
      </w:r>
      <w:r>
        <w:rPr>
          <w:rFonts w:hint="eastAsia" w:ascii="仿宋" w:hAnsi="仿宋" w:eastAsia="仿宋"/>
          <w:sz w:val="28"/>
          <w:szCs w:val="24"/>
          <w:highlight w:val="none"/>
          <w:lang w:val="en-US" w:eastAsia="zh-CN"/>
        </w:rPr>
        <w:t>8</w:t>
      </w:r>
      <w:r>
        <w:rPr>
          <w:rFonts w:hint="eastAsia" w:ascii="仿宋" w:hAnsi="仿宋" w:eastAsia="仿宋"/>
          <w:sz w:val="28"/>
          <w:szCs w:val="24"/>
          <w:highlight w:val="none"/>
        </w:rPr>
        <w:t>月</w:t>
      </w:r>
      <w:r>
        <w:rPr>
          <w:rFonts w:hint="eastAsia" w:ascii="仿宋" w:hAnsi="仿宋" w:eastAsia="仿宋"/>
          <w:sz w:val="28"/>
          <w:szCs w:val="24"/>
          <w:highlight w:val="none"/>
          <w:lang w:val="en-US" w:eastAsia="zh-CN"/>
        </w:rPr>
        <w:t>23</w:t>
      </w:r>
      <w:r>
        <w:rPr>
          <w:rFonts w:hint="eastAsia" w:ascii="仿宋" w:hAnsi="仿宋" w:eastAsia="仿宋"/>
          <w:sz w:val="28"/>
          <w:szCs w:val="24"/>
          <w:highlight w:val="none"/>
        </w:rPr>
        <w:t>日</w:t>
      </w:r>
    </w:p>
    <w:p w14:paraId="206B4277">
      <w:pPr>
        <w:pStyle w:val="10"/>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hint="eastAsia" w:ascii="仿宋" w:hAnsi="仿宋" w:eastAsia="仿宋"/>
          <w:sz w:val="28"/>
          <w:szCs w:val="24"/>
        </w:rPr>
      </w:pPr>
      <w:r>
        <w:rPr>
          <w:rFonts w:hint="eastAsia" w:ascii="仿宋" w:hAnsi="仿宋" w:eastAsia="仿宋"/>
          <w:sz w:val="28"/>
          <w:szCs w:val="24"/>
        </w:rPr>
        <w:t>（</w:t>
      </w:r>
      <w:r>
        <w:rPr>
          <w:rFonts w:hint="eastAsia" w:ascii="仿宋" w:hAnsi="仿宋" w:eastAsia="仿宋"/>
          <w:sz w:val="28"/>
          <w:szCs w:val="24"/>
          <w:lang w:val="en-US" w:eastAsia="zh-CN"/>
        </w:rPr>
        <w:t>1</w:t>
      </w:r>
      <w:r>
        <w:rPr>
          <w:rFonts w:hint="eastAsia" w:ascii="仿宋" w:hAnsi="仿宋" w:eastAsia="仿宋"/>
          <w:sz w:val="28"/>
          <w:szCs w:val="24"/>
        </w:rPr>
        <w:t>）济南卡车制造公司党家庄园区</w:t>
      </w:r>
    </w:p>
    <w:p w14:paraId="5F70AC89">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联系人：</w:t>
      </w:r>
      <w:r>
        <w:rPr>
          <w:rFonts w:hint="eastAsia" w:ascii="仿宋" w:hAnsi="仿宋" w:eastAsia="仿宋"/>
          <w:sz w:val="28"/>
          <w:szCs w:val="24"/>
          <w:lang w:val="en-US" w:eastAsia="zh-CN"/>
        </w:rPr>
        <w:t>刘阳</w:t>
      </w:r>
      <w:r>
        <w:rPr>
          <w:rFonts w:hint="eastAsia" w:ascii="仿宋" w:hAnsi="仿宋" w:eastAsia="仿宋"/>
          <w:sz w:val="28"/>
          <w:szCs w:val="24"/>
        </w:rPr>
        <w:tab/>
      </w:r>
      <w:r>
        <w:rPr>
          <w:rFonts w:hint="eastAsia" w:ascii="仿宋" w:hAnsi="仿宋" w:eastAsia="仿宋"/>
          <w:sz w:val="28"/>
          <w:szCs w:val="24"/>
        </w:rPr>
        <w:tab/>
      </w:r>
    </w:p>
    <w:p w14:paraId="2FC3E1BF">
      <w:pPr>
        <w:pStyle w:val="10"/>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hint="eastAsia" w:ascii="仿宋" w:hAnsi="仿宋" w:eastAsia="仿宋"/>
          <w:sz w:val="28"/>
          <w:szCs w:val="24"/>
          <w:lang w:val="en-US" w:eastAsia="zh-CN"/>
        </w:rPr>
      </w:pPr>
      <w:r>
        <w:rPr>
          <w:rFonts w:hint="eastAsia" w:ascii="仿宋" w:hAnsi="仿宋" w:eastAsia="仿宋"/>
          <w:sz w:val="28"/>
          <w:szCs w:val="24"/>
        </w:rPr>
        <w:t>联系电话：</w:t>
      </w:r>
      <w:r>
        <w:rPr>
          <w:rFonts w:hint="eastAsia" w:ascii="仿宋" w:hAnsi="仿宋" w:eastAsia="仿宋"/>
          <w:sz w:val="28"/>
          <w:szCs w:val="24"/>
          <w:lang w:val="en-US" w:eastAsia="zh-CN"/>
        </w:rPr>
        <w:t>13791113580</w:t>
      </w:r>
    </w:p>
    <w:p w14:paraId="592C3DC8">
      <w:pPr>
        <w:pStyle w:val="10"/>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hint="eastAsia" w:ascii="仿宋" w:hAnsi="仿宋" w:eastAsia="仿宋"/>
          <w:sz w:val="28"/>
          <w:szCs w:val="24"/>
        </w:rPr>
      </w:pPr>
      <w:r>
        <w:rPr>
          <w:rFonts w:hint="eastAsia" w:ascii="仿宋" w:hAnsi="仿宋" w:eastAsia="仿宋"/>
          <w:sz w:val="28"/>
          <w:szCs w:val="24"/>
        </w:rPr>
        <w:t>（</w:t>
      </w:r>
      <w:r>
        <w:rPr>
          <w:rFonts w:hint="eastAsia" w:ascii="仿宋" w:hAnsi="仿宋" w:eastAsia="仿宋"/>
          <w:sz w:val="28"/>
          <w:szCs w:val="24"/>
          <w:lang w:val="en-US" w:eastAsia="zh-CN"/>
        </w:rPr>
        <w:t>2</w:t>
      </w:r>
      <w:r>
        <w:rPr>
          <w:rFonts w:hint="eastAsia" w:ascii="仿宋" w:hAnsi="仿宋" w:eastAsia="仿宋"/>
          <w:sz w:val="28"/>
          <w:szCs w:val="24"/>
        </w:rPr>
        <w:t>）济南卡车制造公司莱芜园区</w:t>
      </w:r>
    </w:p>
    <w:p w14:paraId="2149A023">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联系人：</w:t>
      </w:r>
      <w:r>
        <w:rPr>
          <w:rFonts w:hint="eastAsia" w:ascii="仿宋" w:hAnsi="仿宋" w:eastAsia="仿宋"/>
          <w:sz w:val="28"/>
          <w:szCs w:val="24"/>
          <w:lang w:val="en-US" w:eastAsia="zh-CN"/>
        </w:rPr>
        <w:t>刘阳</w:t>
      </w:r>
      <w:r>
        <w:rPr>
          <w:rFonts w:hint="eastAsia" w:ascii="仿宋" w:hAnsi="仿宋" w:eastAsia="仿宋"/>
          <w:sz w:val="28"/>
          <w:szCs w:val="24"/>
        </w:rPr>
        <w:tab/>
      </w:r>
      <w:r>
        <w:rPr>
          <w:rFonts w:hint="eastAsia" w:ascii="仿宋" w:hAnsi="仿宋" w:eastAsia="仿宋"/>
          <w:sz w:val="28"/>
          <w:szCs w:val="24"/>
        </w:rPr>
        <w:tab/>
      </w:r>
    </w:p>
    <w:p w14:paraId="1D438961">
      <w:pPr>
        <w:pStyle w:val="10"/>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hint="eastAsia" w:ascii="仿宋" w:hAnsi="仿宋" w:eastAsia="仿宋"/>
          <w:sz w:val="28"/>
          <w:szCs w:val="24"/>
          <w:lang w:val="en-US" w:eastAsia="zh-CN"/>
        </w:rPr>
      </w:pPr>
      <w:r>
        <w:rPr>
          <w:rFonts w:hint="eastAsia" w:ascii="仿宋" w:hAnsi="仿宋" w:eastAsia="仿宋"/>
          <w:sz w:val="28"/>
          <w:szCs w:val="24"/>
        </w:rPr>
        <w:t>联系电话：</w:t>
      </w:r>
      <w:r>
        <w:rPr>
          <w:rFonts w:hint="eastAsia" w:ascii="仿宋" w:hAnsi="仿宋" w:eastAsia="仿宋"/>
          <w:sz w:val="28"/>
          <w:szCs w:val="24"/>
          <w:lang w:val="en-US" w:eastAsia="zh-CN"/>
        </w:rPr>
        <w:t>13791113580</w:t>
      </w:r>
    </w:p>
    <w:p w14:paraId="6FC02CF0">
      <w:pPr>
        <w:pStyle w:val="10"/>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hint="eastAsia" w:ascii="仿宋" w:hAnsi="仿宋" w:eastAsia="仿宋"/>
          <w:color w:val="000000"/>
          <w:sz w:val="28"/>
          <w:szCs w:val="24"/>
          <w:highlight w:val="none"/>
          <w:lang w:val="en-US" w:eastAsia="zh-CN"/>
        </w:rPr>
      </w:pPr>
      <w:r>
        <w:rPr>
          <w:rFonts w:ascii="仿宋" w:hAnsi="仿宋" w:eastAsia="仿宋"/>
          <w:color w:val="000000"/>
          <w:sz w:val="28"/>
          <w:szCs w:val="24"/>
          <w:highlight w:val="none"/>
        </w:rPr>
        <w:t>3</w:t>
      </w:r>
      <w:r>
        <w:rPr>
          <w:rFonts w:hint="eastAsia" w:ascii="仿宋" w:hAnsi="仿宋" w:eastAsia="仿宋"/>
          <w:color w:val="000000"/>
          <w:sz w:val="28"/>
          <w:szCs w:val="24"/>
          <w:highlight w:val="none"/>
        </w:rPr>
        <w:t>、答疑时间：202</w:t>
      </w:r>
      <w:r>
        <w:rPr>
          <w:rFonts w:hint="eastAsia" w:ascii="仿宋" w:hAnsi="仿宋" w:eastAsia="仿宋"/>
          <w:color w:val="000000"/>
          <w:sz w:val="28"/>
          <w:szCs w:val="24"/>
          <w:highlight w:val="none"/>
          <w:lang w:val="en-US" w:eastAsia="zh-CN"/>
        </w:rPr>
        <w:t>5</w:t>
      </w:r>
      <w:r>
        <w:rPr>
          <w:rFonts w:hint="eastAsia" w:ascii="仿宋" w:hAnsi="仿宋" w:eastAsia="仿宋"/>
          <w:color w:val="000000"/>
          <w:sz w:val="28"/>
          <w:szCs w:val="24"/>
          <w:highlight w:val="none"/>
        </w:rPr>
        <w:t>年</w:t>
      </w:r>
      <w:r>
        <w:rPr>
          <w:rFonts w:hint="eastAsia" w:ascii="仿宋" w:hAnsi="仿宋" w:eastAsia="仿宋"/>
          <w:color w:val="000000"/>
          <w:sz w:val="28"/>
          <w:szCs w:val="24"/>
          <w:highlight w:val="none"/>
          <w:lang w:val="en-US" w:eastAsia="zh-CN"/>
        </w:rPr>
        <w:t>8</w:t>
      </w:r>
      <w:r>
        <w:rPr>
          <w:rFonts w:hint="eastAsia" w:ascii="仿宋" w:hAnsi="仿宋" w:eastAsia="仿宋"/>
          <w:color w:val="000000"/>
          <w:sz w:val="28"/>
          <w:szCs w:val="24"/>
          <w:highlight w:val="none"/>
        </w:rPr>
        <w:t>月</w:t>
      </w:r>
      <w:r>
        <w:rPr>
          <w:rFonts w:hint="eastAsia" w:ascii="仿宋" w:hAnsi="仿宋" w:eastAsia="仿宋"/>
          <w:color w:val="000000"/>
          <w:sz w:val="28"/>
          <w:szCs w:val="24"/>
          <w:highlight w:val="none"/>
          <w:lang w:val="en-US" w:eastAsia="zh-CN"/>
        </w:rPr>
        <w:t>22</w:t>
      </w:r>
      <w:r>
        <w:rPr>
          <w:rFonts w:hint="eastAsia" w:ascii="仿宋" w:hAnsi="仿宋" w:eastAsia="仿宋"/>
          <w:color w:val="000000"/>
          <w:sz w:val="28"/>
          <w:szCs w:val="24"/>
          <w:highlight w:val="none"/>
        </w:rPr>
        <w:t>日</w:t>
      </w:r>
      <w:r>
        <w:rPr>
          <w:rFonts w:hint="eastAsia" w:ascii="仿宋" w:hAnsi="仿宋" w:eastAsia="仿宋"/>
          <w:color w:val="000000"/>
          <w:sz w:val="28"/>
          <w:szCs w:val="24"/>
          <w:highlight w:val="none"/>
          <w:lang w:val="en-US" w:eastAsia="zh-CN"/>
        </w:rPr>
        <w:t>前</w:t>
      </w:r>
    </w:p>
    <w:p w14:paraId="02C27EB4">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答疑方式：书面及邮件（电话不受理）</w:t>
      </w:r>
    </w:p>
    <w:p w14:paraId="3A6B6108">
      <w:pPr>
        <w:pStyle w:val="10"/>
        <w:pageBreakBefore w:val="0"/>
        <w:kinsoku/>
        <w:wordWrap/>
        <w:overflowPunct/>
        <w:topLinePunct w:val="0"/>
        <w:bidi w:val="0"/>
        <w:adjustRightInd w:val="0"/>
        <w:snapToGrid w:val="0"/>
        <w:spacing w:line="540" w:lineRule="exact"/>
        <w:ind w:left="0" w:leftChars="0" w:right="0" w:firstLine="560" w:firstLineChars="200"/>
        <w:rPr>
          <w:rFonts w:hint="eastAsia" w:ascii="仿宋" w:hAnsi="仿宋" w:eastAsia="仿宋"/>
          <w:sz w:val="28"/>
          <w:szCs w:val="24"/>
          <w:lang w:val="en-US" w:eastAsia="zh-CN"/>
        </w:rPr>
      </w:pPr>
      <w:r>
        <w:rPr>
          <w:rFonts w:hint="eastAsia" w:ascii="仿宋" w:hAnsi="仿宋" w:eastAsia="仿宋"/>
          <w:sz w:val="28"/>
          <w:szCs w:val="24"/>
        </w:rPr>
        <w:t>联系人：</w:t>
      </w:r>
      <w:r>
        <w:rPr>
          <w:rFonts w:hint="eastAsia" w:ascii="仿宋" w:hAnsi="仿宋" w:eastAsia="仿宋"/>
          <w:sz w:val="28"/>
          <w:szCs w:val="24"/>
          <w:lang w:val="en-US" w:eastAsia="zh-CN"/>
        </w:rPr>
        <w:t>刘阳</w:t>
      </w:r>
    </w:p>
    <w:p w14:paraId="55F471D4">
      <w:pPr>
        <w:pStyle w:val="10"/>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邮箱：</w:t>
      </w:r>
      <w:r>
        <w:rPr>
          <w:rFonts w:hint="eastAsia" w:ascii="仿宋" w:hAnsi="仿宋" w:eastAsia="仿宋"/>
          <w:sz w:val="28"/>
          <w:szCs w:val="24"/>
          <w:lang w:val="en-US" w:eastAsia="zh-CN"/>
        </w:rPr>
        <w:t>liuyangkc</w:t>
      </w:r>
      <w:r>
        <w:rPr>
          <w:rFonts w:hint="eastAsia" w:ascii="仿宋" w:hAnsi="仿宋" w:eastAsia="仿宋"/>
          <w:sz w:val="28"/>
          <w:szCs w:val="24"/>
        </w:rPr>
        <w:t>@sinotruk.com</w:t>
      </w:r>
    </w:p>
    <w:p w14:paraId="7637B666">
      <w:pPr>
        <w:pageBreakBefore w:val="0"/>
        <w:numPr>
          <w:ilvl w:val="0"/>
          <w:numId w:val="4"/>
        </w:numPr>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注册重汽e采通账号进行项目应标，注册账号网址为：http://ecaitong.sinotruk.com:8012/#/login（已注册过重汽e采通账号的，可以通过原注册账号进行登陆应标）。</w:t>
      </w:r>
    </w:p>
    <w:p w14:paraId="026BEBB8">
      <w:pPr>
        <w:pStyle w:val="16"/>
        <w:pageBreakBefore w:val="0"/>
        <w:numPr>
          <w:ilvl w:val="0"/>
          <w:numId w:val="4"/>
        </w:numPr>
        <w:kinsoku/>
        <w:wordWrap/>
        <w:overflowPunct/>
        <w:topLinePunct w:val="0"/>
        <w:bidi w:val="0"/>
        <w:ind w:left="0" w:leftChars="0" w:right="0" w:firstLine="562"/>
        <w:rPr>
          <w:rFonts w:ascii="仿宋" w:hAnsi="仿宋" w:eastAsia="仿宋"/>
          <w:sz w:val="28"/>
          <w:lang w:eastAsia="zh-CN"/>
        </w:rPr>
      </w:pPr>
      <w:r>
        <w:rPr>
          <w:rFonts w:hint="eastAsia" w:ascii="仿宋" w:hAnsi="仿宋" w:eastAsia="仿宋"/>
          <w:b/>
          <w:bCs/>
          <w:kern w:val="2"/>
          <w:sz w:val="28"/>
          <w:lang w:eastAsia="zh-CN"/>
        </w:rPr>
        <w:t>“应标”</w:t>
      </w:r>
      <w:r>
        <w:rPr>
          <w:rFonts w:hint="eastAsia" w:ascii="仿宋" w:hAnsi="仿宋" w:eastAsia="仿宋"/>
          <w:kern w:val="2"/>
          <w:sz w:val="28"/>
          <w:lang w:eastAsia="zh-CN"/>
        </w:rPr>
        <w:t>截止时间</w:t>
      </w:r>
      <w:r>
        <w:rPr>
          <w:rFonts w:hint="eastAsia" w:ascii="仿宋" w:hAnsi="仿宋" w:eastAsia="仿宋"/>
          <w:kern w:val="2"/>
          <w:sz w:val="28"/>
          <w:highlight w:val="none"/>
          <w:lang w:eastAsia="zh-CN"/>
        </w:rPr>
        <w:t>：</w:t>
      </w:r>
      <w:r>
        <w:rPr>
          <w:rFonts w:hint="eastAsia" w:ascii="仿宋" w:hAnsi="仿宋" w:eastAsia="仿宋"/>
          <w:b/>
          <w:bCs/>
          <w:color w:val="000000"/>
          <w:sz w:val="28"/>
          <w:highlight w:val="none"/>
          <w:lang w:eastAsia="zh-CN"/>
        </w:rPr>
        <w:t>202</w:t>
      </w:r>
      <w:r>
        <w:rPr>
          <w:rFonts w:hint="eastAsia" w:ascii="仿宋" w:hAnsi="仿宋" w:eastAsia="仿宋"/>
          <w:b/>
          <w:bCs/>
          <w:color w:val="000000"/>
          <w:sz w:val="28"/>
          <w:highlight w:val="none"/>
          <w:lang w:val="en-US" w:eastAsia="zh-CN"/>
        </w:rPr>
        <w:t>5</w:t>
      </w:r>
      <w:r>
        <w:rPr>
          <w:rFonts w:hint="eastAsia" w:ascii="仿宋" w:hAnsi="仿宋" w:eastAsia="仿宋"/>
          <w:b/>
          <w:bCs/>
          <w:color w:val="000000"/>
          <w:sz w:val="28"/>
          <w:highlight w:val="none"/>
          <w:lang w:eastAsia="zh-CN"/>
        </w:rPr>
        <w:t>年</w:t>
      </w:r>
      <w:r>
        <w:rPr>
          <w:rFonts w:hint="eastAsia" w:ascii="仿宋" w:hAnsi="仿宋" w:eastAsia="仿宋"/>
          <w:b/>
          <w:bCs/>
          <w:color w:val="000000"/>
          <w:sz w:val="28"/>
          <w:highlight w:val="none"/>
          <w:lang w:val="en-US" w:eastAsia="zh-CN"/>
        </w:rPr>
        <w:t>8</w:t>
      </w:r>
      <w:r>
        <w:rPr>
          <w:rFonts w:hint="eastAsia" w:ascii="仿宋" w:hAnsi="仿宋" w:eastAsia="仿宋"/>
          <w:b/>
          <w:bCs/>
          <w:color w:val="000000"/>
          <w:sz w:val="28"/>
          <w:highlight w:val="none"/>
          <w:lang w:eastAsia="zh-CN"/>
        </w:rPr>
        <w:t>月</w:t>
      </w:r>
      <w:r>
        <w:rPr>
          <w:rFonts w:hint="eastAsia" w:ascii="仿宋" w:hAnsi="仿宋" w:eastAsia="仿宋"/>
          <w:b/>
          <w:bCs/>
          <w:color w:val="000000"/>
          <w:sz w:val="28"/>
          <w:highlight w:val="none"/>
          <w:lang w:val="en-US" w:eastAsia="zh-CN"/>
        </w:rPr>
        <w:t>22</w:t>
      </w:r>
      <w:r>
        <w:rPr>
          <w:rFonts w:hint="eastAsia" w:ascii="仿宋" w:hAnsi="仿宋" w:eastAsia="仿宋"/>
          <w:b/>
          <w:bCs/>
          <w:color w:val="000000"/>
          <w:sz w:val="28"/>
          <w:highlight w:val="none"/>
          <w:lang w:eastAsia="zh-CN"/>
        </w:rPr>
        <w:t>日</w:t>
      </w:r>
      <w:r>
        <w:rPr>
          <w:rFonts w:hint="eastAsia" w:ascii="仿宋" w:hAnsi="仿宋" w:eastAsia="仿宋"/>
          <w:b/>
          <w:bCs/>
          <w:color w:val="000000"/>
          <w:sz w:val="28"/>
          <w:highlight w:val="none"/>
          <w:lang w:val="en-US" w:eastAsia="zh-CN"/>
        </w:rPr>
        <w:t>16</w:t>
      </w:r>
      <w:r>
        <w:rPr>
          <w:rFonts w:hint="eastAsia" w:ascii="仿宋" w:hAnsi="仿宋" w:eastAsia="仿宋"/>
          <w:b/>
          <w:bCs/>
          <w:color w:val="000000"/>
          <w:sz w:val="28"/>
          <w:lang w:eastAsia="zh-CN"/>
        </w:rPr>
        <w:t>时</w:t>
      </w:r>
      <w:r>
        <w:rPr>
          <w:rFonts w:hint="eastAsia" w:ascii="仿宋" w:hAnsi="仿宋" w:eastAsia="仿宋"/>
          <w:sz w:val="28"/>
          <w:lang w:val="en-US" w:eastAsia="zh-CN"/>
        </w:rPr>
        <w:t>以前</w:t>
      </w:r>
      <w:r>
        <w:rPr>
          <w:rFonts w:hint="eastAsia" w:ascii="仿宋" w:hAnsi="仿宋" w:eastAsia="仿宋"/>
          <w:sz w:val="28"/>
          <w:lang w:eastAsia="zh-CN"/>
        </w:rPr>
        <w:t>，在重汽e采通网站内，找到本项目进行</w:t>
      </w:r>
      <w:r>
        <w:rPr>
          <w:rFonts w:hint="eastAsia" w:ascii="仿宋" w:hAnsi="仿宋" w:eastAsia="仿宋"/>
          <w:b/>
          <w:bCs/>
          <w:sz w:val="28"/>
          <w:lang w:eastAsia="zh-CN"/>
        </w:rPr>
        <w:t>“应标”</w:t>
      </w:r>
      <w:r>
        <w:rPr>
          <w:rFonts w:hint="eastAsia" w:ascii="仿宋" w:hAnsi="仿宋" w:eastAsia="仿宋"/>
          <w:sz w:val="28"/>
          <w:lang w:eastAsia="zh-CN"/>
        </w:rPr>
        <w:t>操作，规定时间未进行</w:t>
      </w:r>
      <w:r>
        <w:rPr>
          <w:rFonts w:hint="eastAsia" w:ascii="仿宋" w:hAnsi="仿宋" w:eastAsia="仿宋"/>
          <w:b/>
          <w:bCs/>
          <w:sz w:val="28"/>
          <w:lang w:eastAsia="zh-CN"/>
        </w:rPr>
        <w:t>“应标”</w:t>
      </w:r>
      <w:r>
        <w:rPr>
          <w:rFonts w:hint="eastAsia" w:ascii="仿宋" w:hAnsi="仿宋" w:eastAsia="仿宋"/>
          <w:sz w:val="28"/>
          <w:lang w:eastAsia="zh-CN"/>
        </w:rPr>
        <w:t>操作将无法参标。</w:t>
      </w:r>
    </w:p>
    <w:p w14:paraId="3D700B4D">
      <w:pPr>
        <w:pStyle w:val="16"/>
        <w:pageBreakBefore w:val="0"/>
        <w:kinsoku/>
        <w:wordWrap/>
        <w:overflowPunct/>
        <w:topLinePunct w:val="0"/>
        <w:bidi w:val="0"/>
        <w:ind w:left="0" w:leftChars="0" w:right="0" w:firstLine="0" w:firstLineChars="0"/>
        <w:rPr>
          <w:rFonts w:ascii="仿宋" w:hAnsi="仿宋" w:eastAsia="仿宋"/>
          <w:sz w:val="28"/>
          <w:lang w:eastAsia="zh-CN"/>
        </w:rPr>
      </w:pPr>
      <w:r>
        <w:rPr>
          <w:rFonts w:hint="eastAsia" w:ascii="仿宋" w:hAnsi="仿宋" w:eastAsia="仿宋"/>
          <w:b/>
          <w:bCs/>
          <w:sz w:val="28"/>
          <w:lang w:eastAsia="zh-CN"/>
        </w:rPr>
        <w:t>“应标”</w:t>
      </w:r>
      <w:r>
        <w:rPr>
          <w:rFonts w:hint="eastAsia" w:ascii="仿宋" w:hAnsi="仿宋" w:eastAsia="仿宋"/>
          <w:sz w:val="28"/>
          <w:lang w:eastAsia="zh-CN"/>
        </w:rPr>
        <w:t>所上传资料：</w:t>
      </w:r>
    </w:p>
    <w:p w14:paraId="27AB6398">
      <w:pPr>
        <w:pStyle w:val="16"/>
        <w:pageBreakBefore w:val="0"/>
        <w:numPr>
          <w:ilvl w:val="0"/>
          <w:numId w:val="5"/>
        </w:numPr>
        <w:kinsoku/>
        <w:wordWrap/>
        <w:overflowPunct/>
        <w:topLinePunct w:val="0"/>
        <w:bidi w:val="0"/>
        <w:ind w:left="0" w:leftChars="0" w:right="0" w:firstLine="560"/>
        <w:rPr>
          <w:rFonts w:ascii="仿宋" w:hAnsi="仿宋" w:eastAsia="仿宋"/>
          <w:sz w:val="28"/>
          <w:lang w:eastAsia="zh-CN"/>
        </w:rPr>
      </w:pPr>
      <w:r>
        <w:rPr>
          <w:rFonts w:hint="eastAsia" w:ascii="仿宋" w:hAnsi="仿宋" w:eastAsia="仿宋"/>
          <w:sz w:val="28"/>
          <w:lang w:eastAsia="zh-CN"/>
        </w:rPr>
        <w:t>企业资质：营业执照、维保资质等；</w:t>
      </w:r>
    </w:p>
    <w:p w14:paraId="2631F994">
      <w:pPr>
        <w:pStyle w:val="16"/>
        <w:pageBreakBefore w:val="0"/>
        <w:numPr>
          <w:ilvl w:val="0"/>
          <w:numId w:val="5"/>
        </w:numPr>
        <w:kinsoku/>
        <w:wordWrap/>
        <w:overflowPunct/>
        <w:topLinePunct w:val="0"/>
        <w:bidi w:val="0"/>
        <w:ind w:left="0" w:leftChars="0" w:right="0" w:firstLine="560"/>
        <w:rPr>
          <w:rFonts w:ascii="仿宋" w:hAnsi="仿宋" w:eastAsia="仿宋"/>
          <w:sz w:val="28"/>
          <w:lang w:eastAsia="zh-CN"/>
        </w:rPr>
      </w:pPr>
      <w:r>
        <w:rPr>
          <w:rFonts w:hint="eastAsia" w:ascii="仿宋" w:hAnsi="仿宋" w:eastAsia="仿宋"/>
          <w:sz w:val="28"/>
          <w:lang w:eastAsia="zh-CN"/>
        </w:rPr>
        <w:t>企业简介：PDF版企业简介；</w:t>
      </w:r>
    </w:p>
    <w:p w14:paraId="1F13EEA2">
      <w:pPr>
        <w:pStyle w:val="16"/>
        <w:pageBreakBefore w:val="0"/>
        <w:numPr>
          <w:ilvl w:val="0"/>
          <w:numId w:val="5"/>
        </w:numPr>
        <w:kinsoku/>
        <w:wordWrap/>
        <w:overflowPunct/>
        <w:topLinePunct w:val="0"/>
        <w:bidi w:val="0"/>
        <w:ind w:left="0" w:leftChars="0" w:right="0" w:firstLine="560"/>
        <w:rPr>
          <w:rFonts w:ascii="仿宋" w:hAnsi="仿宋" w:eastAsia="仿宋"/>
          <w:sz w:val="28"/>
          <w:lang w:eastAsia="zh-CN"/>
        </w:rPr>
      </w:pPr>
      <w:r>
        <w:rPr>
          <w:rFonts w:hint="eastAsia" w:ascii="仿宋" w:hAnsi="仿宋" w:eastAsia="仿宋"/>
          <w:sz w:val="28"/>
          <w:lang w:eastAsia="zh-CN"/>
        </w:rPr>
        <w:t>企业业绩：扫描版相关业绩合同；</w:t>
      </w:r>
    </w:p>
    <w:p w14:paraId="2B74EAD8">
      <w:pPr>
        <w:pStyle w:val="16"/>
        <w:pageBreakBefore w:val="0"/>
        <w:numPr>
          <w:ilvl w:val="0"/>
          <w:numId w:val="5"/>
        </w:numPr>
        <w:kinsoku/>
        <w:wordWrap/>
        <w:overflowPunct/>
        <w:topLinePunct w:val="0"/>
        <w:bidi w:val="0"/>
        <w:ind w:left="0" w:leftChars="0" w:right="0" w:firstLine="560"/>
        <w:rPr>
          <w:rFonts w:ascii="仿宋" w:hAnsi="仿宋" w:eastAsia="仿宋"/>
          <w:sz w:val="28"/>
          <w:lang w:eastAsia="zh-CN"/>
        </w:rPr>
      </w:pPr>
      <w:r>
        <w:rPr>
          <w:rFonts w:hint="eastAsia" w:ascii="仿宋" w:hAnsi="仿宋" w:eastAsia="仿宋"/>
          <w:sz w:val="28"/>
          <w:lang w:eastAsia="zh-CN"/>
        </w:rPr>
        <w:t>其他：</w:t>
      </w:r>
      <w:r>
        <w:rPr>
          <w:rFonts w:hint="eastAsia" w:ascii="仿宋" w:hAnsi="仿宋" w:eastAsia="仿宋"/>
          <w:b/>
          <w:bCs/>
          <w:color w:val="FF0000"/>
          <w:sz w:val="28"/>
          <w:lang w:eastAsia="zh-CN"/>
        </w:rPr>
        <w:t>投标报名表（</w:t>
      </w:r>
      <w:r>
        <w:rPr>
          <w:rStyle w:val="23"/>
          <w:rFonts w:hint="eastAsia" w:ascii="宋体" w:hAnsi="宋体" w:eastAsia="宋体" w:cs="宋体"/>
          <w:color w:val="FF0000"/>
          <w:sz w:val="24"/>
          <w:szCs w:val="28"/>
          <w:lang w:eastAsia="zh-CN"/>
        </w:rPr>
        <w:t>附件四</w:t>
      </w:r>
      <w:r>
        <w:rPr>
          <w:rFonts w:hint="eastAsia" w:eastAsia="黑体"/>
          <w:b/>
          <w:bCs/>
          <w:color w:val="FF0000"/>
          <w:sz w:val="28"/>
          <w:lang w:eastAsia="zh-CN"/>
        </w:rPr>
        <w:t>）</w:t>
      </w:r>
    </w:p>
    <w:p w14:paraId="18B888F8">
      <w:pPr>
        <w:pStyle w:val="16"/>
        <w:pageBreakBefore w:val="0"/>
        <w:kinsoku/>
        <w:wordWrap/>
        <w:overflowPunct/>
        <w:topLinePunct w:val="0"/>
        <w:bidi w:val="0"/>
        <w:ind w:left="0" w:leftChars="0" w:right="0" w:firstLine="562"/>
        <w:rPr>
          <w:rFonts w:ascii="仿宋" w:hAnsi="仿宋" w:eastAsia="仿宋"/>
          <w:b/>
          <w:bCs/>
          <w:color w:val="FF0000"/>
          <w:sz w:val="28"/>
          <w:lang w:eastAsia="zh-CN"/>
        </w:rPr>
      </w:pPr>
      <w:r>
        <w:rPr>
          <w:rFonts w:hint="eastAsia" w:ascii="仿宋" w:hAnsi="仿宋" w:eastAsia="仿宋"/>
          <w:b/>
          <w:bCs/>
          <w:color w:val="FF0000"/>
          <w:sz w:val="28"/>
          <w:lang w:eastAsia="zh-CN"/>
        </w:rPr>
        <w:t>备注：提供上述资料均须加盖单位公章，以PDF的形式在规定时间内上传至重汽e采通内。</w:t>
      </w:r>
    </w:p>
    <w:p w14:paraId="69AE661C">
      <w:pPr>
        <w:pStyle w:val="16"/>
        <w:pageBreakBefore w:val="0"/>
        <w:numPr>
          <w:ilvl w:val="0"/>
          <w:numId w:val="4"/>
        </w:numPr>
        <w:kinsoku/>
        <w:wordWrap/>
        <w:overflowPunct/>
        <w:topLinePunct w:val="0"/>
        <w:bidi w:val="0"/>
        <w:ind w:left="0" w:leftChars="0" w:right="0" w:firstLine="562"/>
        <w:rPr>
          <w:rFonts w:ascii="仿宋" w:hAnsi="仿宋" w:eastAsia="仿宋"/>
          <w:sz w:val="28"/>
          <w:lang w:eastAsia="zh-CN"/>
        </w:rPr>
      </w:pPr>
      <w:r>
        <w:rPr>
          <w:rFonts w:hint="eastAsia" w:ascii="仿宋" w:hAnsi="仿宋" w:eastAsia="仿宋"/>
          <w:b/>
          <w:bCs/>
          <w:sz w:val="28"/>
          <w:lang w:eastAsia="zh-CN"/>
        </w:rPr>
        <w:t>“应标”</w:t>
      </w:r>
      <w:r>
        <w:rPr>
          <w:rFonts w:hint="eastAsia" w:ascii="仿宋" w:hAnsi="仿宋" w:eastAsia="仿宋"/>
          <w:sz w:val="28"/>
          <w:lang w:eastAsia="zh-CN"/>
        </w:rPr>
        <w:t>后，招标方进行资料审核，如</w:t>
      </w:r>
      <w:r>
        <w:rPr>
          <w:rFonts w:hint="eastAsia" w:ascii="仿宋" w:hAnsi="仿宋" w:eastAsia="仿宋"/>
          <w:b/>
          <w:bCs/>
          <w:sz w:val="28"/>
          <w:lang w:eastAsia="zh-CN"/>
        </w:rPr>
        <w:t>“应标”</w:t>
      </w:r>
      <w:r>
        <w:rPr>
          <w:rFonts w:hint="eastAsia" w:ascii="仿宋" w:hAnsi="仿宋" w:eastAsia="仿宋"/>
          <w:sz w:val="28"/>
          <w:lang w:eastAsia="zh-CN"/>
        </w:rPr>
        <w:t>资质不符合要求，</w:t>
      </w:r>
      <w:r>
        <w:rPr>
          <w:rFonts w:hint="eastAsia" w:ascii="仿宋" w:hAnsi="仿宋" w:eastAsia="仿宋"/>
          <w:b/>
          <w:bCs/>
          <w:sz w:val="28"/>
          <w:lang w:eastAsia="zh-CN"/>
        </w:rPr>
        <w:t>“淘汰”</w:t>
      </w:r>
      <w:r>
        <w:rPr>
          <w:rFonts w:hint="eastAsia" w:ascii="仿宋" w:hAnsi="仿宋" w:eastAsia="仿宋"/>
          <w:sz w:val="28"/>
          <w:lang w:eastAsia="zh-CN"/>
        </w:rPr>
        <w:t>；如</w:t>
      </w:r>
      <w:r>
        <w:rPr>
          <w:rFonts w:hint="eastAsia" w:ascii="仿宋" w:hAnsi="仿宋" w:eastAsia="仿宋"/>
          <w:b/>
          <w:bCs/>
          <w:sz w:val="28"/>
          <w:lang w:eastAsia="zh-CN"/>
        </w:rPr>
        <w:t>“应标”</w:t>
      </w:r>
      <w:r>
        <w:rPr>
          <w:rFonts w:hint="eastAsia" w:ascii="仿宋" w:hAnsi="仿宋" w:eastAsia="仿宋"/>
          <w:sz w:val="28"/>
          <w:lang w:eastAsia="zh-CN"/>
        </w:rPr>
        <w:t>资料不完整，</w:t>
      </w:r>
      <w:r>
        <w:rPr>
          <w:rFonts w:hint="eastAsia" w:ascii="仿宋" w:hAnsi="仿宋" w:eastAsia="仿宋"/>
          <w:b/>
          <w:bCs/>
          <w:sz w:val="28"/>
          <w:lang w:eastAsia="zh-CN"/>
        </w:rPr>
        <w:t>“驳回”</w:t>
      </w:r>
      <w:r>
        <w:rPr>
          <w:rFonts w:hint="eastAsia" w:ascii="仿宋" w:hAnsi="仿宋" w:eastAsia="仿宋"/>
          <w:sz w:val="28"/>
          <w:lang w:eastAsia="zh-CN"/>
        </w:rPr>
        <w:t>，补充资料，被</w:t>
      </w:r>
      <w:r>
        <w:rPr>
          <w:rFonts w:hint="eastAsia" w:ascii="仿宋" w:hAnsi="仿宋" w:eastAsia="仿宋"/>
          <w:b/>
          <w:bCs/>
          <w:sz w:val="28"/>
          <w:lang w:eastAsia="zh-CN"/>
        </w:rPr>
        <w:t>“驳回”</w:t>
      </w:r>
      <w:r>
        <w:rPr>
          <w:rFonts w:hint="eastAsia" w:ascii="仿宋" w:hAnsi="仿宋" w:eastAsia="仿宋"/>
          <w:sz w:val="28"/>
          <w:lang w:eastAsia="zh-CN"/>
        </w:rPr>
        <w:t>的单位，应在</w:t>
      </w:r>
      <w:r>
        <w:rPr>
          <w:rFonts w:hint="eastAsia" w:ascii="仿宋" w:hAnsi="仿宋" w:eastAsia="仿宋"/>
          <w:b/>
          <w:bCs/>
          <w:sz w:val="28"/>
          <w:lang w:eastAsia="zh-CN"/>
        </w:rPr>
        <w:t>“应标”</w:t>
      </w:r>
      <w:r>
        <w:rPr>
          <w:rFonts w:hint="eastAsia" w:ascii="仿宋" w:hAnsi="仿宋" w:eastAsia="仿宋"/>
          <w:sz w:val="28"/>
          <w:lang w:eastAsia="zh-CN"/>
        </w:rPr>
        <w:t>时间截止前补充完资料上传，否则视为</w:t>
      </w:r>
      <w:r>
        <w:rPr>
          <w:rFonts w:hint="eastAsia" w:ascii="仿宋" w:hAnsi="仿宋" w:eastAsia="仿宋"/>
          <w:b/>
          <w:bCs/>
          <w:sz w:val="28"/>
          <w:lang w:eastAsia="zh-CN"/>
        </w:rPr>
        <w:t>“淘汰”</w:t>
      </w:r>
      <w:r>
        <w:rPr>
          <w:rFonts w:hint="eastAsia" w:ascii="仿宋" w:hAnsi="仿宋" w:eastAsia="仿宋"/>
          <w:sz w:val="28"/>
          <w:lang w:eastAsia="zh-CN"/>
        </w:rPr>
        <w:t>；如资料无问题，视为</w:t>
      </w:r>
      <w:r>
        <w:rPr>
          <w:rFonts w:hint="eastAsia" w:ascii="仿宋" w:hAnsi="仿宋" w:eastAsia="仿宋"/>
          <w:b/>
          <w:bCs/>
          <w:sz w:val="28"/>
          <w:lang w:eastAsia="zh-CN"/>
        </w:rPr>
        <w:t>“应标”</w:t>
      </w:r>
      <w:r>
        <w:rPr>
          <w:rFonts w:hint="eastAsia" w:ascii="仿宋" w:hAnsi="仿宋" w:eastAsia="仿宋"/>
          <w:sz w:val="28"/>
          <w:lang w:eastAsia="zh-CN"/>
        </w:rPr>
        <w:t>成功，开放</w:t>
      </w:r>
      <w:r>
        <w:rPr>
          <w:rFonts w:hint="eastAsia" w:ascii="仿宋" w:hAnsi="仿宋" w:eastAsia="仿宋"/>
          <w:b/>
          <w:bCs/>
          <w:sz w:val="28"/>
          <w:lang w:eastAsia="zh-CN"/>
        </w:rPr>
        <w:t>“投标”</w:t>
      </w:r>
      <w:r>
        <w:rPr>
          <w:rFonts w:hint="eastAsia" w:ascii="仿宋" w:hAnsi="仿宋" w:eastAsia="仿宋"/>
          <w:sz w:val="28"/>
          <w:lang w:eastAsia="zh-CN"/>
        </w:rPr>
        <w:t>环节。</w:t>
      </w:r>
    </w:p>
    <w:p w14:paraId="664EA83F">
      <w:pPr>
        <w:pStyle w:val="16"/>
        <w:pageBreakBefore w:val="0"/>
        <w:kinsoku/>
        <w:wordWrap/>
        <w:overflowPunct/>
        <w:topLinePunct w:val="0"/>
        <w:bidi w:val="0"/>
        <w:ind w:left="0" w:leftChars="0" w:right="0" w:firstLine="0" w:firstLineChars="0"/>
        <w:rPr>
          <w:rFonts w:ascii="仿宋" w:hAnsi="仿宋" w:eastAsia="仿宋"/>
          <w:color w:val="FF0000"/>
          <w:sz w:val="28"/>
          <w:lang w:eastAsia="zh-CN"/>
        </w:rPr>
      </w:pPr>
      <w:r>
        <w:rPr>
          <w:rFonts w:hint="eastAsia" w:ascii="仿宋" w:hAnsi="仿宋" w:eastAsia="仿宋"/>
          <w:b/>
          <w:bCs/>
          <w:color w:val="FF0000"/>
          <w:sz w:val="28"/>
          <w:lang w:eastAsia="zh-CN"/>
        </w:rPr>
        <w:t>备注：“淘汰”、“驳回”不予做任何解释。</w:t>
      </w:r>
    </w:p>
    <w:p w14:paraId="2255B897">
      <w:pPr>
        <w:pStyle w:val="16"/>
        <w:pageBreakBefore w:val="0"/>
        <w:numPr>
          <w:ilvl w:val="0"/>
          <w:numId w:val="4"/>
        </w:numPr>
        <w:kinsoku/>
        <w:wordWrap/>
        <w:overflowPunct/>
        <w:topLinePunct w:val="0"/>
        <w:bidi w:val="0"/>
        <w:ind w:left="0" w:leftChars="0" w:right="0" w:firstLine="562"/>
        <w:rPr>
          <w:rFonts w:ascii="仿宋" w:hAnsi="仿宋" w:eastAsia="仿宋"/>
          <w:sz w:val="28"/>
          <w:lang w:eastAsia="zh-CN"/>
        </w:rPr>
      </w:pPr>
      <w:r>
        <w:rPr>
          <w:rFonts w:hint="eastAsia" w:ascii="仿宋" w:hAnsi="仿宋" w:eastAsia="仿宋"/>
          <w:b/>
          <w:bCs/>
          <w:sz w:val="28"/>
          <w:lang w:eastAsia="zh-CN"/>
        </w:rPr>
        <w:t>“投标”</w:t>
      </w:r>
      <w:r>
        <w:rPr>
          <w:rFonts w:hint="eastAsia" w:ascii="仿宋" w:hAnsi="仿宋" w:eastAsia="仿宋"/>
          <w:sz w:val="28"/>
          <w:lang w:eastAsia="zh-CN"/>
        </w:rPr>
        <w:t>截止时间</w:t>
      </w:r>
      <w:r>
        <w:rPr>
          <w:rFonts w:hint="eastAsia" w:ascii="仿宋" w:hAnsi="仿宋" w:eastAsia="仿宋"/>
          <w:sz w:val="28"/>
          <w:highlight w:val="none"/>
          <w:lang w:eastAsia="zh-CN"/>
        </w:rPr>
        <w:t>：</w:t>
      </w:r>
      <w:r>
        <w:rPr>
          <w:rFonts w:hint="eastAsia" w:ascii="仿宋" w:hAnsi="仿宋" w:eastAsia="仿宋"/>
          <w:b/>
          <w:bCs/>
          <w:sz w:val="28"/>
          <w:highlight w:val="none"/>
          <w:lang w:eastAsia="zh-CN"/>
        </w:rPr>
        <w:t>202</w:t>
      </w:r>
      <w:r>
        <w:rPr>
          <w:rFonts w:hint="eastAsia" w:ascii="仿宋" w:hAnsi="仿宋" w:eastAsia="仿宋"/>
          <w:b/>
          <w:bCs/>
          <w:sz w:val="28"/>
          <w:highlight w:val="none"/>
          <w:lang w:val="en-US" w:eastAsia="zh-CN"/>
        </w:rPr>
        <w:t>5</w:t>
      </w:r>
      <w:r>
        <w:rPr>
          <w:rFonts w:hint="eastAsia" w:ascii="仿宋" w:hAnsi="仿宋" w:eastAsia="仿宋"/>
          <w:b/>
          <w:bCs/>
          <w:sz w:val="28"/>
          <w:highlight w:val="none"/>
          <w:lang w:eastAsia="zh-CN"/>
        </w:rPr>
        <w:t>年</w:t>
      </w:r>
      <w:r>
        <w:rPr>
          <w:rFonts w:hint="eastAsia" w:ascii="仿宋" w:hAnsi="仿宋" w:eastAsia="仿宋"/>
          <w:b/>
          <w:bCs/>
          <w:sz w:val="28"/>
          <w:highlight w:val="none"/>
          <w:lang w:val="en-US" w:eastAsia="zh-CN"/>
        </w:rPr>
        <w:t>8</w:t>
      </w:r>
      <w:r>
        <w:rPr>
          <w:rFonts w:hint="eastAsia" w:ascii="仿宋" w:hAnsi="仿宋" w:eastAsia="仿宋"/>
          <w:b/>
          <w:bCs/>
          <w:sz w:val="28"/>
          <w:highlight w:val="none"/>
          <w:lang w:eastAsia="zh-CN"/>
        </w:rPr>
        <w:t>月</w:t>
      </w:r>
      <w:r>
        <w:rPr>
          <w:rFonts w:hint="eastAsia" w:ascii="仿宋" w:hAnsi="仿宋" w:eastAsia="仿宋"/>
          <w:b/>
          <w:bCs/>
          <w:sz w:val="28"/>
          <w:highlight w:val="none"/>
          <w:lang w:val="en-US" w:eastAsia="zh-CN"/>
        </w:rPr>
        <w:t>28</w:t>
      </w:r>
      <w:r>
        <w:rPr>
          <w:rFonts w:hint="eastAsia" w:ascii="仿宋" w:hAnsi="仿宋" w:eastAsia="仿宋"/>
          <w:b/>
          <w:bCs/>
          <w:sz w:val="28"/>
          <w:highlight w:val="none"/>
          <w:lang w:eastAsia="zh-CN"/>
        </w:rPr>
        <w:t>日</w:t>
      </w:r>
      <w:r>
        <w:rPr>
          <w:rFonts w:hint="eastAsia" w:ascii="仿宋" w:hAnsi="仿宋" w:eastAsia="仿宋"/>
          <w:b/>
          <w:bCs/>
          <w:sz w:val="28"/>
          <w:highlight w:val="none"/>
          <w:lang w:val="en-US" w:eastAsia="zh-CN"/>
        </w:rPr>
        <w:t>16</w:t>
      </w:r>
      <w:r>
        <w:rPr>
          <w:rFonts w:hint="eastAsia" w:ascii="仿宋" w:hAnsi="仿宋" w:eastAsia="仿宋"/>
          <w:b/>
          <w:bCs/>
          <w:sz w:val="28"/>
          <w:highlight w:val="none"/>
          <w:lang w:eastAsia="zh-CN"/>
        </w:rPr>
        <w:t>时</w:t>
      </w:r>
      <w:r>
        <w:rPr>
          <w:rFonts w:hint="eastAsia" w:ascii="仿宋" w:hAnsi="仿宋" w:eastAsia="仿宋"/>
          <w:sz w:val="28"/>
          <w:lang w:eastAsia="zh-CN"/>
        </w:rPr>
        <w:t>前以，在重汽e采通网站内，招标单位对投标单位进行资质初审，合格单位开放</w:t>
      </w:r>
      <w:r>
        <w:rPr>
          <w:rFonts w:hint="eastAsia" w:ascii="仿宋" w:hAnsi="仿宋" w:eastAsia="仿宋"/>
          <w:b/>
          <w:bCs/>
          <w:sz w:val="28"/>
          <w:lang w:eastAsia="zh-CN"/>
        </w:rPr>
        <w:t>“投标”</w:t>
      </w:r>
      <w:r>
        <w:rPr>
          <w:rFonts w:hint="eastAsia" w:ascii="仿宋" w:hAnsi="仿宋" w:eastAsia="仿宋"/>
          <w:sz w:val="28"/>
          <w:lang w:eastAsia="zh-CN"/>
        </w:rPr>
        <w:t>，不合格单位资料退回（</w:t>
      </w:r>
      <w:r>
        <w:rPr>
          <w:rFonts w:hint="eastAsia" w:ascii="仿宋" w:hAnsi="仿宋" w:eastAsia="仿宋"/>
          <w:b/>
          <w:bCs/>
          <w:color w:val="FF0000"/>
          <w:sz w:val="28"/>
          <w:lang w:eastAsia="zh-CN"/>
        </w:rPr>
        <w:t>不予做任何解释</w:t>
      </w:r>
      <w:r>
        <w:rPr>
          <w:rFonts w:hint="eastAsia" w:ascii="仿宋" w:hAnsi="仿宋" w:eastAsia="仿宋"/>
          <w:sz w:val="28"/>
          <w:lang w:eastAsia="zh-CN"/>
        </w:rPr>
        <w:t>），投标单位进行</w:t>
      </w:r>
      <w:r>
        <w:rPr>
          <w:rFonts w:hint="eastAsia" w:ascii="仿宋" w:hAnsi="仿宋" w:eastAsia="仿宋"/>
          <w:b/>
          <w:bCs/>
          <w:sz w:val="28"/>
          <w:lang w:eastAsia="zh-CN"/>
        </w:rPr>
        <w:t>“投标”</w:t>
      </w:r>
      <w:r>
        <w:rPr>
          <w:rFonts w:hint="eastAsia" w:ascii="仿宋" w:hAnsi="仿宋" w:eastAsia="仿宋"/>
          <w:sz w:val="28"/>
          <w:lang w:eastAsia="zh-CN"/>
        </w:rPr>
        <w:t>操作，规定时间未进行</w:t>
      </w:r>
      <w:r>
        <w:rPr>
          <w:rFonts w:hint="eastAsia" w:ascii="仿宋" w:hAnsi="仿宋" w:eastAsia="仿宋"/>
          <w:b/>
          <w:bCs/>
          <w:sz w:val="28"/>
          <w:lang w:eastAsia="zh-CN"/>
        </w:rPr>
        <w:t>“投标”</w:t>
      </w:r>
      <w:r>
        <w:rPr>
          <w:rFonts w:hint="eastAsia" w:ascii="仿宋" w:hAnsi="仿宋" w:eastAsia="仿宋"/>
          <w:sz w:val="28"/>
          <w:lang w:eastAsia="zh-CN"/>
        </w:rPr>
        <w:t>操作将无法参标。</w:t>
      </w:r>
    </w:p>
    <w:p w14:paraId="30D061EF">
      <w:pPr>
        <w:pStyle w:val="16"/>
        <w:pageBreakBefore w:val="0"/>
        <w:numPr>
          <w:ilvl w:val="0"/>
          <w:numId w:val="4"/>
        </w:numPr>
        <w:kinsoku/>
        <w:wordWrap/>
        <w:overflowPunct/>
        <w:topLinePunct w:val="0"/>
        <w:bidi w:val="0"/>
        <w:ind w:left="0" w:leftChars="0" w:right="0" w:firstLine="562"/>
        <w:rPr>
          <w:rFonts w:ascii="仿宋" w:hAnsi="仿宋" w:eastAsia="仿宋"/>
          <w:sz w:val="28"/>
          <w:lang w:eastAsia="zh-CN"/>
        </w:rPr>
      </w:pPr>
      <w:r>
        <w:rPr>
          <w:rFonts w:hint="eastAsia" w:ascii="仿宋" w:hAnsi="仿宋" w:eastAsia="仿宋"/>
          <w:b/>
          <w:bCs/>
          <w:sz w:val="28"/>
          <w:lang w:eastAsia="zh-CN"/>
        </w:rPr>
        <w:t>“投标”</w:t>
      </w:r>
      <w:r>
        <w:rPr>
          <w:rFonts w:hint="eastAsia" w:ascii="仿宋" w:hAnsi="仿宋" w:eastAsia="仿宋"/>
          <w:sz w:val="28"/>
          <w:lang w:eastAsia="zh-CN"/>
        </w:rPr>
        <w:t>时，请将技术标部分（1）和商务标部分（2）以PDF的形式上传，并加盖公章。</w:t>
      </w:r>
    </w:p>
    <w:p w14:paraId="3246659D">
      <w:pPr>
        <w:pStyle w:val="16"/>
        <w:pageBreakBefore w:val="0"/>
        <w:numPr>
          <w:ilvl w:val="0"/>
          <w:numId w:val="0"/>
        </w:numPr>
        <w:kinsoku/>
        <w:wordWrap/>
        <w:overflowPunct/>
        <w:topLinePunct w:val="0"/>
        <w:bidi w:val="0"/>
        <w:ind w:right="0" w:rightChars="0" w:firstLine="560" w:firstLineChars="200"/>
        <w:rPr>
          <w:rFonts w:ascii="仿宋" w:hAnsi="仿宋" w:eastAsia="仿宋"/>
          <w:sz w:val="28"/>
          <w:lang w:eastAsia="zh-CN"/>
        </w:rPr>
      </w:pPr>
      <w:r>
        <w:rPr>
          <w:rFonts w:hint="eastAsia" w:ascii="仿宋" w:hAnsi="仿宋" w:eastAsia="仿宋"/>
          <w:sz w:val="28"/>
          <w:lang w:eastAsia="zh-CN"/>
        </w:rPr>
        <w:t>（</w:t>
      </w:r>
      <w:r>
        <w:rPr>
          <w:rFonts w:hint="eastAsia" w:ascii="仿宋" w:hAnsi="仿宋" w:eastAsia="仿宋"/>
          <w:sz w:val="28"/>
          <w:lang w:val="en-US" w:eastAsia="zh-CN"/>
        </w:rPr>
        <w:t>1）</w:t>
      </w:r>
      <w:r>
        <w:rPr>
          <w:rFonts w:hint="eastAsia" w:ascii="仿宋" w:hAnsi="仿宋" w:eastAsia="仿宋"/>
          <w:sz w:val="28"/>
          <w:szCs w:val="24"/>
          <w:lang w:val="en-US" w:eastAsia="zh-CN"/>
        </w:rPr>
        <w:t>技术标部分上传内容：</w:t>
      </w:r>
      <w:r>
        <w:rPr>
          <w:rFonts w:hint="eastAsia" w:ascii="仿宋" w:hAnsi="仿宋" w:eastAsia="仿宋"/>
          <w:b/>
          <w:bCs/>
          <w:sz w:val="28"/>
          <w:szCs w:val="24"/>
        </w:rPr>
        <w:t>公司简介；营业执照副本复印件；</w:t>
      </w:r>
      <w:r>
        <w:rPr>
          <w:rFonts w:hint="eastAsia" w:ascii="仿宋" w:hAnsi="仿宋" w:eastAsia="仿宋"/>
          <w:sz w:val="28"/>
          <w:szCs w:val="24"/>
        </w:rPr>
        <w:t>投标函；</w:t>
      </w:r>
      <w:r>
        <w:rPr>
          <w:rFonts w:hint="eastAsia" w:ascii="仿宋" w:hAnsi="仿宋" w:eastAsia="仿宋"/>
          <w:b/>
          <w:bCs/>
          <w:sz w:val="28"/>
          <w:szCs w:val="24"/>
        </w:rPr>
        <w:t>法人代表授权书原件</w:t>
      </w:r>
      <w:r>
        <w:rPr>
          <w:rFonts w:hint="eastAsia" w:ascii="仿宋" w:hAnsi="仿宋" w:eastAsia="仿宋"/>
          <w:sz w:val="28"/>
          <w:szCs w:val="24"/>
        </w:rPr>
        <w:t>；投标认为需提供的其他资质证明；投标单位实施方案介绍；投标单位资质介绍；投标单位类似</w:t>
      </w:r>
      <w:r>
        <w:rPr>
          <w:rFonts w:hint="eastAsia" w:ascii="仿宋" w:hAnsi="仿宋" w:eastAsia="仿宋"/>
          <w:sz w:val="28"/>
          <w:szCs w:val="24"/>
          <w:lang w:val="en-US" w:eastAsia="zh-CN"/>
        </w:rPr>
        <w:t>项目</w:t>
      </w:r>
      <w:r>
        <w:rPr>
          <w:rFonts w:hint="eastAsia" w:ascii="仿宋" w:hAnsi="仿宋" w:eastAsia="仿宋"/>
          <w:sz w:val="28"/>
          <w:szCs w:val="24"/>
        </w:rPr>
        <w:t>案例介绍；</w:t>
      </w:r>
      <w:r>
        <w:rPr>
          <w:rFonts w:hint="eastAsia" w:ascii="仿宋" w:hAnsi="仿宋" w:eastAsia="仿宋"/>
          <w:b/>
          <w:bCs/>
          <w:sz w:val="28"/>
          <w:szCs w:val="24"/>
        </w:rPr>
        <w:t>投标单位需提供近三年审计报告；投标单位三年内无违法及重大违</w:t>
      </w:r>
      <w:r>
        <w:rPr>
          <w:rFonts w:hint="eastAsia" w:ascii="仿宋" w:hAnsi="仿宋" w:eastAsia="仿宋"/>
          <w:b/>
          <w:bCs/>
          <w:sz w:val="28"/>
          <w:szCs w:val="24"/>
          <w:highlight w:val="none"/>
        </w:rPr>
        <w:t>规记录证明；</w:t>
      </w:r>
    </w:p>
    <w:p w14:paraId="5172258B">
      <w:pPr>
        <w:pStyle w:val="1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b/>
          <w:bCs/>
          <w:sz w:val="28"/>
          <w:szCs w:val="24"/>
          <w:highlight w:val="none"/>
          <w:lang w:eastAsia="zh-CN"/>
        </w:rPr>
      </w:pPr>
      <w:r>
        <w:rPr>
          <w:rFonts w:hint="eastAsia" w:ascii="仿宋" w:hAnsi="仿宋" w:eastAsia="仿宋"/>
          <w:sz w:val="28"/>
          <w:szCs w:val="24"/>
          <w:highlight w:val="none"/>
          <w:lang w:val="en-US" w:eastAsia="zh-CN"/>
        </w:rPr>
        <w:t>（2）商务标部分内容：</w:t>
      </w:r>
      <w:r>
        <w:rPr>
          <w:rFonts w:hint="eastAsia" w:ascii="仿宋" w:hAnsi="仿宋" w:eastAsia="仿宋"/>
          <w:b/>
          <w:bCs/>
          <w:sz w:val="28"/>
          <w:szCs w:val="24"/>
          <w:highlight w:val="none"/>
        </w:rPr>
        <w:t>报价单（附件三）</w:t>
      </w:r>
      <w:r>
        <w:rPr>
          <w:rFonts w:hint="eastAsia" w:ascii="仿宋" w:hAnsi="仿宋" w:eastAsia="仿宋"/>
          <w:b/>
          <w:bCs/>
          <w:sz w:val="28"/>
          <w:szCs w:val="24"/>
          <w:highlight w:val="none"/>
          <w:lang w:eastAsia="zh-CN"/>
        </w:rPr>
        <w:t>；</w:t>
      </w:r>
    </w:p>
    <w:p w14:paraId="4861940B">
      <w:pPr>
        <w:pStyle w:val="1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b/>
          <w:bCs/>
          <w:sz w:val="28"/>
          <w:szCs w:val="24"/>
          <w:highlight w:val="none"/>
          <w:lang w:val="en-US" w:eastAsia="zh-CN"/>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3）其他内容：</w:t>
      </w:r>
      <w:r>
        <w:rPr>
          <w:rFonts w:hint="eastAsia" w:ascii="仿宋" w:hAnsi="仿宋" w:eastAsia="仿宋"/>
          <w:b/>
          <w:bCs/>
          <w:sz w:val="28"/>
          <w:szCs w:val="24"/>
          <w:highlight w:val="none"/>
          <w:lang w:val="en-US" w:eastAsia="zh-CN"/>
        </w:rPr>
        <w:t>投标保证金银行回执单；</w:t>
      </w:r>
    </w:p>
    <w:p w14:paraId="7CD3D255">
      <w:pPr>
        <w:pStyle w:val="1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 xml:space="preserve">（4）企业最近半年完税证明、信用证明材料（征信报告）； </w:t>
      </w:r>
    </w:p>
    <w:p w14:paraId="53D69B84">
      <w:pPr>
        <w:pStyle w:val="1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（5）年度纳税信用评价信息（可从电子税务局查询截图）；</w:t>
      </w:r>
    </w:p>
    <w:p w14:paraId="66D9BEA0">
      <w:pPr>
        <w:pStyle w:val="1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（6）企业对外担保说明（写明贵单位对外有无对外担保和质押业务）。</w:t>
      </w:r>
    </w:p>
    <w:p w14:paraId="4E31CDAE">
      <w:pPr>
        <w:pStyle w:val="16"/>
        <w:pageBreakBefore w:val="0"/>
        <w:kinsoku/>
        <w:wordWrap/>
        <w:overflowPunct/>
        <w:topLinePunct w:val="0"/>
        <w:bidi w:val="0"/>
        <w:ind w:left="0" w:leftChars="0" w:right="0" w:firstLine="562"/>
        <w:rPr>
          <w:rFonts w:ascii="仿宋" w:hAnsi="仿宋" w:eastAsia="仿宋"/>
          <w:b/>
          <w:bCs/>
          <w:color w:val="FF0000"/>
          <w:sz w:val="28"/>
          <w:lang w:eastAsia="zh-CN"/>
        </w:rPr>
      </w:pPr>
      <w:r>
        <w:rPr>
          <w:rFonts w:hint="eastAsia" w:ascii="仿宋" w:hAnsi="仿宋" w:eastAsia="仿宋"/>
          <w:b/>
          <w:bCs/>
          <w:color w:val="FF0000"/>
          <w:sz w:val="28"/>
          <w:lang w:eastAsia="zh-CN"/>
        </w:rPr>
        <w:t>备注：提供上述资料均须加盖单位公章，以PDF的形式在规定时间内上传至重汽e采通内。</w:t>
      </w:r>
    </w:p>
    <w:p w14:paraId="59118786">
      <w:pPr>
        <w:pageBreakBefore w:val="0"/>
        <w:numPr>
          <w:ilvl w:val="0"/>
          <w:numId w:val="6"/>
        </w:numPr>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开标时间：</w:t>
      </w:r>
    </w:p>
    <w:p w14:paraId="4CF1B6BA">
      <w:pPr>
        <w:pStyle w:val="16"/>
        <w:pageBreakBefore w:val="0"/>
        <w:kinsoku/>
        <w:wordWrap/>
        <w:overflowPunct/>
        <w:topLinePunct w:val="0"/>
        <w:bidi w:val="0"/>
        <w:ind w:left="0" w:leftChars="0" w:right="0" w:firstLine="560"/>
        <w:rPr>
          <w:rFonts w:ascii="仿宋" w:hAnsi="仿宋" w:eastAsia="仿宋"/>
          <w:sz w:val="28"/>
          <w:lang w:eastAsia="zh-CN"/>
        </w:rPr>
      </w:pPr>
      <w:r>
        <w:rPr>
          <w:rFonts w:hint="eastAsia" w:ascii="仿宋" w:hAnsi="仿宋" w:eastAsia="仿宋"/>
          <w:sz w:val="28"/>
          <w:lang w:eastAsia="zh-CN"/>
        </w:rPr>
        <w:t>（1）技术标开标时间：</w:t>
      </w:r>
      <w:r>
        <w:rPr>
          <w:rFonts w:hint="eastAsia" w:ascii="仿宋" w:hAnsi="仿宋" w:eastAsia="仿宋"/>
          <w:color w:val="000000"/>
          <w:sz w:val="28"/>
          <w:highlight w:val="none"/>
          <w:lang w:eastAsia="zh-CN"/>
        </w:rPr>
        <w:t>202</w:t>
      </w:r>
      <w:r>
        <w:rPr>
          <w:rFonts w:hint="eastAsia" w:ascii="仿宋" w:hAnsi="仿宋" w:eastAsia="仿宋"/>
          <w:color w:val="000000"/>
          <w:sz w:val="28"/>
          <w:highlight w:val="none"/>
          <w:lang w:val="en-US" w:eastAsia="zh-CN"/>
        </w:rPr>
        <w:t>5</w:t>
      </w:r>
      <w:r>
        <w:rPr>
          <w:rFonts w:hint="eastAsia" w:ascii="仿宋" w:hAnsi="仿宋" w:eastAsia="仿宋"/>
          <w:color w:val="000000"/>
          <w:sz w:val="28"/>
          <w:highlight w:val="none"/>
          <w:lang w:eastAsia="zh-CN"/>
        </w:rPr>
        <w:t>年</w:t>
      </w:r>
      <w:r>
        <w:rPr>
          <w:rFonts w:hint="eastAsia" w:ascii="仿宋" w:hAnsi="仿宋" w:eastAsia="仿宋"/>
          <w:color w:val="000000"/>
          <w:sz w:val="28"/>
          <w:highlight w:val="none"/>
          <w:lang w:val="en-US" w:eastAsia="zh-CN"/>
        </w:rPr>
        <w:t>8</w:t>
      </w:r>
      <w:r>
        <w:rPr>
          <w:rFonts w:hint="eastAsia" w:ascii="仿宋" w:hAnsi="仿宋" w:eastAsia="仿宋"/>
          <w:color w:val="000000"/>
          <w:sz w:val="28"/>
          <w:highlight w:val="none"/>
          <w:lang w:eastAsia="zh-CN"/>
        </w:rPr>
        <w:t>月</w:t>
      </w:r>
      <w:r>
        <w:rPr>
          <w:rFonts w:hint="eastAsia" w:ascii="仿宋" w:hAnsi="仿宋" w:eastAsia="仿宋"/>
          <w:color w:val="000000"/>
          <w:sz w:val="28"/>
          <w:highlight w:val="none"/>
          <w:lang w:val="en-US" w:eastAsia="zh-CN"/>
        </w:rPr>
        <w:t>30</w:t>
      </w:r>
      <w:r>
        <w:rPr>
          <w:rFonts w:hint="eastAsia" w:ascii="仿宋" w:hAnsi="仿宋" w:eastAsia="仿宋"/>
          <w:color w:val="000000"/>
          <w:sz w:val="28"/>
          <w:highlight w:val="none"/>
          <w:lang w:eastAsia="zh-CN"/>
        </w:rPr>
        <w:t>日</w:t>
      </w:r>
      <w:r>
        <w:rPr>
          <w:rFonts w:hint="eastAsia" w:ascii="仿宋" w:hAnsi="仿宋" w:eastAsia="仿宋"/>
          <w:color w:val="000000"/>
          <w:sz w:val="28"/>
          <w:lang w:eastAsia="zh-CN"/>
        </w:rPr>
        <w:t>(</w:t>
      </w:r>
      <w:r>
        <w:rPr>
          <w:rFonts w:hint="eastAsia" w:ascii="仿宋" w:hAnsi="仿宋" w:eastAsia="仿宋"/>
          <w:sz w:val="28"/>
          <w:lang w:eastAsia="zh-CN"/>
        </w:rPr>
        <w:t>具体开标以实际电话通知为准，</w:t>
      </w:r>
      <w:r>
        <w:rPr>
          <w:rFonts w:hint="eastAsia" w:ascii="仿宋" w:hAnsi="仿宋" w:eastAsia="仿宋"/>
          <w:b/>
          <w:bCs/>
          <w:sz w:val="28"/>
          <w:lang w:eastAsia="zh-CN"/>
        </w:rPr>
        <w:t>请留好联系方式</w:t>
      </w:r>
      <w:r>
        <w:rPr>
          <w:rFonts w:hint="eastAsia" w:ascii="仿宋" w:hAnsi="仿宋" w:eastAsia="仿宋"/>
          <w:sz w:val="28"/>
          <w:lang w:eastAsia="zh-CN"/>
        </w:rPr>
        <w:t>)</w:t>
      </w:r>
    </w:p>
    <w:p w14:paraId="3B94C35C">
      <w:pPr>
        <w:pStyle w:val="16"/>
        <w:pageBreakBefore w:val="0"/>
        <w:kinsoku/>
        <w:wordWrap/>
        <w:overflowPunct/>
        <w:topLinePunct w:val="0"/>
        <w:bidi w:val="0"/>
        <w:ind w:left="0" w:leftChars="0" w:right="0" w:firstLine="560"/>
        <w:rPr>
          <w:rFonts w:hint="default" w:ascii="仿宋" w:hAnsi="仿宋" w:eastAsia="仿宋"/>
          <w:sz w:val="28"/>
          <w:lang w:val="en-US" w:eastAsia="zh-CN"/>
        </w:rPr>
      </w:pPr>
      <w:r>
        <w:rPr>
          <w:rFonts w:hint="eastAsia" w:ascii="仿宋" w:hAnsi="仿宋" w:eastAsia="仿宋"/>
          <w:sz w:val="28"/>
          <w:lang w:eastAsia="zh-CN"/>
        </w:rPr>
        <w:t>开标地点：</w:t>
      </w:r>
      <w:r>
        <w:rPr>
          <w:rFonts w:hint="eastAsia" w:ascii="仿宋" w:hAnsi="仿宋" w:eastAsia="仿宋"/>
          <w:sz w:val="28"/>
          <w:lang w:val="en-US" w:eastAsia="zh-CN"/>
        </w:rPr>
        <w:t>莱芜工厂综合楼202会议室</w:t>
      </w:r>
    </w:p>
    <w:p w14:paraId="6730E545">
      <w:pPr>
        <w:pStyle w:val="16"/>
        <w:pageBreakBefore w:val="0"/>
        <w:kinsoku/>
        <w:wordWrap/>
        <w:overflowPunct/>
        <w:topLinePunct w:val="0"/>
        <w:bidi w:val="0"/>
        <w:ind w:left="0" w:leftChars="0" w:right="0" w:firstLine="560"/>
        <w:rPr>
          <w:rFonts w:ascii="仿宋" w:hAnsi="仿宋" w:eastAsia="仿宋"/>
          <w:sz w:val="28"/>
          <w:lang w:eastAsia="zh-CN"/>
        </w:rPr>
      </w:pPr>
      <w:r>
        <w:rPr>
          <w:rFonts w:hint="eastAsia" w:ascii="仿宋" w:hAnsi="仿宋" w:eastAsia="仿宋"/>
          <w:sz w:val="28"/>
          <w:lang w:eastAsia="zh-CN"/>
        </w:rPr>
        <w:t>（2）商务标开标时间：以电话通知为准（暂定）</w:t>
      </w:r>
    </w:p>
    <w:p w14:paraId="638CA1D9">
      <w:pPr>
        <w:pStyle w:val="16"/>
        <w:pageBreakBefore w:val="0"/>
        <w:kinsoku/>
        <w:wordWrap/>
        <w:overflowPunct/>
        <w:topLinePunct w:val="0"/>
        <w:bidi w:val="0"/>
        <w:ind w:left="0" w:leftChars="0" w:right="0" w:firstLine="562"/>
        <w:rPr>
          <w:rFonts w:ascii="仿宋" w:hAnsi="仿宋" w:eastAsia="仿宋"/>
          <w:b/>
          <w:bCs/>
          <w:sz w:val="28"/>
          <w:lang w:eastAsia="zh-CN"/>
        </w:rPr>
      </w:pPr>
      <w:r>
        <w:rPr>
          <w:rFonts w:hint="eastAsia" w:ascii="仿宋" w:hAnsi="仿宋" w:eastAsia="仿宋"/>
          <w:b/>
          <w:bCs/>
          <w:sz w:val="28"/>
          <w:lang w:eastAsia="zh-CN"/>
        </w:rPr>
        <w:t>注：开标时，参标人员及单位自带能够上网的笔记本电脑，请提前尝试好笔记本电脑完好运行，商务标报价采取网上标价的形式，在有效时间内未进行报价，视为弃权。</w:t>
      </w:r>
    </w:p>
    <w:p w14:paraId="242C05A9">
      <w:pPr>
        <w:pStyle w:val="10"/>
        <w:pageBreakBefore w:val="0"/>
        <w:kinsoku/>
        <w:wordWrap/>
        <w:overflowPunct/>
        <w:topLinePunct w:val="0"/>
        <w:bidi w:val="0"/>
        <w:adjustRightInd w:val="0"/>
        <w:snapToGrid w:val="0"/>
        <w:spacing w:line="540" w:lineRule="exact"/>
        <w:ind w:left="0" w:leftChars="0" w:right="0" w:firstLine="562" w:firstLineChars="200"/>
        <w:outlineLvl w:val="1"/>
        <w:rPr>
          <w:rFonts w:ascii="仿宋" w:hAnsi="仿宋" w:eastAsia="仿宋"/>
          <w:b/>
          <w:sz w:val="28"/>
          <w:szCs w:val="24"/>
        </w:rPr>
      </w:pPr>
      <w:r>
        <w:rPr>
          <w:rFonts w:hint="eastAsia" w:ascii="仿宋" w:hAnsi="仿宋" w:eastAsia="仿宋"/>
          <w:b/>
          <w:sz w:val="28"/>
          <w:szCs w:val="24"/>
          <w:lang w:val="en-US" w:eastAsia="zh-CN"/>
        </w:rPr>
        <w:t>三</w:t>
      </w:r>
      <w:r>
        <w:rPr>
          <w:rFonts w:hint="eastAsia" w:ascii="仿宋" w:hAnsi="仿宋" w:eastAsia="仿宋"/>
          <w:b/>
          <w:sz w:val="28"/>
          <w:szCs w:val="24"/>
        </w:rPr>
        <w:t>、投标保证金</w:t>
      </w:r>
    </w:p>
    <w:p w14:paraId="591D56A6">
      <w:pPr>
        <w:pStyle w:val="10"/>
        <w:pageBreakBefore w:val="0"/>
        <w:kinsoku/>
        <w:wordWrap/>
        <w:overflowPunct/>
        <w:topLinePunct w:val="0"/>
        <w:bidi w:val="0"/>
        <w:spacing w:line="360" w:lineRule="auto"/>
        <w:ind w:left="0" w:leftChars="0" w:right="0" w:firstLine="560" w:firstLineChars="200"/>
        <w:rPr>
          <w:rFonts w:ascii="仿宋" w:hAnsi="仿宋" w:eastAsia="仿宋"/>
          <w:sz w:val="28"/>
          <w:szCs w:val="24"/>
        </w:rPr>
      </w:pPr>
      <w:r>
        <w:rPr>
          <w:rFonts w:hint="eastAsia" w:ascii="仿宋" w:hAnsi="仿宋" w:eastAsia="仿宋"/>
          <w:sz w:val="28"/>
          <w:szCs w:val="24"/>
        </w:rPr>
        <w:t>1、投标人向招标人财务部门缴</w:t>
      </w:r>
      <w:r>
        <w:rPr>
          <w:rFonts w:hint="eastAsia" w:ascii="仿宋" w:hAnsi="仿宋" w:eastAsia="仿宋"/>
          <w:color w:val="auto"/>
          <w:sz w:val="28"/>
          <w:szCs w:val="24"/>
        </w:rPr>
        <w:t>纳</w:t>
      </w:r>
      <w:r>
        <w:rPr>
          <w:rFonts w:hint="eastAsia" w:ascii="仿宋" w:hAnsi="仿宋" w:eastAsia="仿宋"/>
          <w:color w:val="auto"/>
          <w:sz w:val="28"/>
          <w:szCs w:val="24"/>
          <w:lang w:val="en-US" w:eastAsia="zh-CN"/>
        </w:rPr>
        <w:t>2</w:t>
      </w:r>
      <w:r>
        <w:rPr>
          <w:rFonts w:hint="eastAsia" w:ascii="仿宋" w:hAnsi="仿宋" w:eastAsia="仿宋"/>
          <w:color w:val="auto"/>
          <w:sz w:val="28"/>
          <w:szCs w:val="24"/>
          <w:highlight w:val="none"/>
        </w:rPr>
        <w:t>0</w:t>
      </w:r>
      <w:r>
        <w:rPr>
          <w:rFonts w:ascii="仿宋" w:hAnsi="仿宋" w:eastAsia="仿宋"/>
          <w:color w:val="auto"/>
          <w:sz w:val="28"/>
          <w:szCs w:val="24"/>
          <w:highlight w:val="none"/>
        </w:rPr>
        <w:t>000</w:t>
      </w:r>
      <w:r>
        <w:rPr>
          <w:rFonts w:hint="eastAsia" w:ascii="仿宋" w:hAnsi="仿宋" w:eastAsia="仿宋"/>
          <w:color w:val="auto"/>
          <w:sz w:val="28"/>
          <w:szCs w:val="24"/>
        </w:rPr>
        <w:t>元（人民币）</w:t>
      </w:r>
      <w:r>
        <w:rPr>
          <w:rFonts w:hint="eastAsia" w:ascii="仿宋" w:hAnsi="仿宋" w:eastAsia="仿宋"/>
          <w:sz w:val="28"/>
          <w:szCs w:val="24"/>
        </w:rPr>
        <w:t>，作为投标人本次投标的保证金，需从投标人基本账户转出</w:t>
      </w:r>
      <w:r>
        <w:rPr>
          <w:rFonts w:hint="eastAsia" w:ascii="仿宋" w:hAnsi="仿宋" w:eastAsia="仿宋"/>
          <w:sz w:val="28"/>
          <w:szCs w:val="24"/>
          <w:lang w:eastAsia="zh-CN"/>
        </w:rPr>
        <w:t>（</w:t>
      </w:r>
      <w:r>
        <w:rPr>
          <w:rFonts w:hint="eastAsia" w:ascii="仿宋" w:hAnsi="仿宋" w:eastAsia="仿宋"/>
          <w:sz w:val="28"/>
          <w:szCs w:val="24"/>
          <w:lang w:val="en-US" w:eastAsia="zh-CN"/>
        </w:rPr>
        <w:t>电汇</w:t>
      </w:r>
      <w:r>
        <w:rPr>
          <w:rFonts w:hint="eastAsia" w:ascii="仿宋" w:hAnsi="仿宋" w:eastAsia="仿宋"/>
          <w:sz w:val="28"/>
          <w:szCs w:val="24"/>
          <w:lang w:eastAsia="zh-CN"/>
        </w:rPr>
        <w:t>）</w:t>
      </w:r>
      <w:r>
        <w:rPr>
          <w:rFonts w:hint="eastAsia" w:ascii="仿宋" w:hAnsi="仿宋" w:eastAsia="仿宋"/>
          <w:sz w:val="28"/>
          <w:szCs w:val="24"/>
        </w:rPr>
        <w:t>。</w:t>
      </w:r>
    </w:p>
    <w:p w14:paraId="11DBD1F9">
      <w:pPr>
        <w:pStyle w:val="10"/>
        <w:pageBreakBefore w:val="0"/>
        <w:kinsoku/>
        <w:wordWrap/>
        <w:overflowPunct/>
        <w:topLinePunct w:val="0"/>
        <w:bidi w:val="0"/>
        <w:spacing w:line="360" w:lineRule="auto"/>
        <w:ind w:left="0" w:leftChars="0" w:right="0" w:firstLine="560" w:firstLineChars="200"/>
        <w:rPr>
          <w:rFonts w:ascii="仿宋" w:hAnsi="仿宋" w:eastAsia="仿宋"/>
          <w:sz w:val="28"/>
          <w:szCs w:val="24"/>
        </w:rPr>
      </w:pPr>
      <w:r>
        <w:rPr>
          <w:rFonts w:hint="eastAsia" w:ascii="仿宋" w:hAnsi="仿宋" w:eastAsia="仿宋"/>
          <w:sz w:val="28"/>
          <w:szCs w:val="24"/>
        </w:rPr>
        <w:t>2、接收单位：中国重汽集团济南</w:t>
      </w:r>
      <w:r>
        <w:rPr>
          <w:rFonts w:hint="eastAsia" w:ascii="仿宋" w:hAnsi="仿宋" w:eastAsia="仿宋"/>
          <w:sz w:val="28"/>
          <w:szCs w:val="24"/>
          <w:lang w:val="en-US" w:eastAsia="zh-CN"/>
        </w:rPr>
        <w:t>卡车股份</w:t>
      </w:r>
      <w:r>
        <w:rPr>
          <w:rFonts w:hint="eastAsia" w:ascii="仿宋" w:hAnsi="仿宋" w:eastAsia="仿宋"/>
          <w:sz w:val="28"/>
          <w:szCs w:val="24"/>
        </w:rPr>
        <w:t>有限公司。</w:t>
      </w:r>
    </w:p>
    <w:p w14:paraId="5ECA0F01">
      <w:pPr>
        <w:pStyle w:val="10"/>
        <w:pageBreakBefore w:val="0"/>
        <w:kinsoku/>
        <w:wordWrap/>
        <w:overflowPunct/>
        <w:topLinePunct w:val="0"/>
        <w:bidi w:val="0"/>
        <w:spacing w:line="360" w:lineRule="auto"/>
        <w:ind w:left="0" w:leftChars="0" w:right="0" w:firstLine="560" w:firstLineChars="200"/>
        <w:rPr>
          <w:rFonts w:ascii="仿宋" w:hAnsi="仿宋" w:eastAsia="仿宋"/>
          <w:sz w:val="28"/>
          <w:szCs w:val="24"/>
        </w:rPr>
      </w:pPr>
      <w:r>
        <w:rPr>
          <w:rFonts w:hint="eastAsia" w:ascii="仿宋" w:hAnsi="仿宋" w:eastAsia="仿宋"/>
          <w:sz w:val="28"/>
          <w:szCs w:val="24"/>
        </w:rPr>
        <w:t>3、转账信息：</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070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9C6325A">
            <w:pPr>
              <w:pStyle w:val="10"/>
              <w:pageBreakBefore w:val="0"/>
              <w:kinsoku/>
              <w:wordWrap/>
              <w:overflowPunct/>
              <w:topLinePunct w:val="0"/>
              <w:bidi w:val="0"/>
              <w:spacing w:line="360" w:lineRule="auto"/>
              <w:ind w:left="0" w:leftChars="0" w:right="0" w:firstLine="560" w:firstLineChars="200"/>
              <w:rPr>
                <w:rFonts w:ascii="仿宋" w:hAnsi="仿宋" w:eastAsia="仿宋"/>
                <w:sz w:val="28"/>
                <w:szCs w:val="24"/>
              </w:rPr>
            </w:pPr>
            <w:r>
              <w:rPr>
                <w:rFonts w:hint="eastAsia" w:ascii="仿宋" w:hAnsi="仿宋" w:eastAsia="仿宋"/>
                <w:sz w:val="28"/>
                <w:szCs w:val="24"/>
              </w:rPr>
              <w:t>开户银行：</w:t>
            </w:r>
            <w:r>
              <w:rPr>
                <w:rFonts w:hint="eastAsia" w:ascii="仿宋" w:hAnsi="仿宋" w:eastAsia="仿宋" w:cs="Times New Roman"/>
                <w:color w:val="auto"/>
                <w:sz w:val="28"/>
                <w:szCs w:val="24"/>
                <w:lang w:val="en-US" w:eastAsia="zh-CN"/>
              </w:rPr>
              <w:t>招商银行股份有限公司济南分行营业部</w:t>
            </w:r>
          </w:p>
        </w:tc>
      </w:tr>
      <w:tr w14:paraId="1A15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BFF14EE">
            <w:pPr>
              <w:pStyle w:val="10"/>
              <w:pageBreakBefore w:val="0"/>
              <w:kinsoku/>
              <w:wordWrap/>
              <w:overflowPunct/>
              <w:topLinePunct w:val="0"/>
              <w:bidi w:val="0"/>
              <w:spacing w:line="360" w:lineRule="auto"/>
              <w:ind w:left="0" w:leftChars="0" w:right="0" w:firstLine="560" w:firstLineChars="200"/>
              <w:rPr>
                <w:rFonts w:ascii="仿宋" w:hAnsi="仿宋" w:eastAsia="仿宋"/>
                <w:sz w:val="28"/>
                <w:szCs w:val="24"/>
              </w:rPr>
            </w:pPr>
            <w:r>
              <w:rPr>
                <w:rFonts w:hint="eastAsia" w:ascii="仿宋" w:hAnsi="仿宋" w:eastAsia="仿宋"/>
                <w:sz w:val="28"/>
                <w:szCs w:val="24"/>
              </w:rPr>
              <w:t>户名：</w:t>
            </w:r>
            <w:r>
              <w:rPr>
                <w:rFonts w:hint="eastAsia" w:ascii="仿宋" w:hAnsi="仿宋" w:eastAsia="仿宋" w:cs="Times New Roman"/>
                <w:color w:val="auto"/>
                <w:sz w:val="28"/>
                <w:szCs w:val="24"/>
              </w:rPr>
              <w:t>中国重汽集团济南卡车股份有限公司</w:t>
            </w:r>
          </w:p>
        </w:tc>
      </w:tr>
      <w:tr w14:paraId="5A9A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7D400C6">
            <w:pPr>
              <w:pStyle w:val="10"/>
              <w:pageBreakBefore w:val="0"/>
              <w:kinsoku/>
              <w:wordWrap/>
              <w:overflowPunct/>
              <w:topLinePunct w:val="0"/>
              <w:bidi w:val="0"/>
              <w:spacing w:line="360" w:lineRule="auto"/>
              <w:ind w:left="0" w:leftChars="0" w:right="0" w:firstLine="560" w:firstLineChars="200"/>
              <w:rPr>
                <w:rFonts w:ascii="仿宋" w:hAnsi="仿宋" w:eastAsia="仿宋"/>
                <w:sz w:val="28"/>
                <w:szCs w:val="24"/>
              </w:rPr>
            </w:pPr>
            <w:r>
              <w:rPr>
                <w:rFonts w:hint="eastAsia" w:ascii="仿宋" w:hAnsi="仿宋" w:eastAsia="仿宋"/>
                <w:sz w:val="28"/>
                <w:szCs w:val="24"/>
              </w:rPr>
              <w:t>账号：</w:t>
            </w:r>
            <w:r>
              <w:rPr>
                <w:rFonts w:hint="eastAsia" w:ascii="仿宋" w:hAnsi="仿宋" w:eastAsia="仿宋" w:cs="Times New Roman"/>
                <w:color w:val="auto"/>
                <w:sz w:val="28"/>
                <w:szCs w:val="24"/>
                <w:lang w:val="en-US" w:eastAsia="zh-CN"/>
              </w:rPr>
              <w:t>531900051810601</w:t>
            </w:r>
          </w:p>
        </w:tc>
      </w:tr>
      <w:tr w14:paraId="1A69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B656408">
            <w:pPr>
              <w:pStyle w:val="10"/>
              <w:pageBreakBefore w:val="0"/>
              <w:kinsoku/>
              <w:wordWrap/>
              <w:overflowPunct/>
              <w:topLinePunct w:val="0"/>
              <w:bidi w:val="0"/>
              <w:spacing w:line="360" w:lineRule="auto"/>
              <w:ind w:left="0" w:leftChars="0" w:right="0" w:firstLine="560" w:firstLineChars="200"/>
              <w:rPr>
                <w:rFonts w:ascii="仿宋" w:hAnsi="仿宋" w:eastAsia="仿宋"/>
                <w:sz w:val="28"/>
                <w:szCs w:val="24"/>
              </w:rPr>
            </w:pPr>
            <w:r>
              <w:rPr>
                <w:rFonts w:hint="eastAsia" w:ascii="仿宋" w:hAnsi="仿宋" w:eastAsia="仿宋"/>
                <w:color w:val="auto"/>
                <w:sz w:val="28"/>
                <w:szCs w:val="24"/>
                <w:lang w:val="en-US" w:eastAsia="zh-CN"/>
              </w:rPr>
              <w:t>转账须备注项目名称</w:t>
            </w:r>
          </w:p>
        </w:tc>
      </w:tr>
    </w:tbl>
    <w:p w14:paraId="29EB2AB4">
      <w:pPr>
        <w:pStyle w:val="10"/>
        <w:spacing w:line="360" w:lineRule="auto"/>
        <w:ind w:firstLine="560" w:firstLineChars="200"/>
        <w:rPr>
          <w:rFonts w:hint="eastAsia" w:ascii="仿宋" w:hAnsi="仿宋" w:eastAsia="仿宋"/>
          <w:color w:val="auto"/>
          <w:sz w:val="28"/>
          <w:szCs w:val="24"/>
          <w:highlight w:val="none"/>
        </w:rPr>
      </w:pPr>
      <w:r>
        <w:rPr>
          <w:rFonts w:hint="eastAsia" w:ascii="仿宋" w:hAnsi="仿宋" w:eastAsia="仿宋"/>
          <w:sz w:val="28"/>
          <w:szCs w:val="24"/>
        </w:rPr>
        <w:t>4</w:t>
      </w:r>
      <w:r>
        <w:rPr>
          <w:rFonts w:hint="eastAsia" w:ascii="仿宋" w:hAnsi="仿宋" w:eastAsia="仿宋"/>
          <w:color w:val="auto"/>
          <w:sz w:val="28"/>
          <w:szCs w:val="24"/>
          <w:highlight w:val="none"/>
        </w:rPr>
        <w:t>、</w:t>
      </w:r>
      <w:r>
        <w:rPr>
          <w:rFonts w:hint="eastAsia" w:ascii="仿宋" w:hAnsi="仿宋" w:eastAsia="仿宋"/>
          <w:color w:val="auto"/>
          <w:sz w:val="28"/>
          <w:szCs w:val="24"/>
          <w:highlight w:val="none"/>
          <w:lang w:val="en-US" w:eastAsia="zh-CN"/>
        </w:rPr>
        <w:t>没收投标保证金</w:t>
      </w:r>
      <w:r>
        <w:rPr>
          <w:rFonts w:hint="eastAsia" w:ascii="仿宋" w:hAnsi="仿宋" w:eastAsia="仿宋"/>
          <w:color w:val="auto"/>
          <w:sz w:val="28"/>
          <w:szCs w:val="24"/>
          <w:highlight w:val="none"/>
        </w:rPr>
        <w:t>说明：</w:t>
      </w:r>
    </w:p>
    <w:p w14:paraId="4436D567">
      <w:pPr>
        <w:ind w:firstLine="560" w:firstLineChars="200"/>
        <w:rPr>
          <w:rFonts w:hint="eastAsia" w:ascii="仿宋" w:hAnsi="仿宋" w:eastAsia="仿宋"/>
          <w:color w:val="auto"/>
          <w:sz w:val="28"/>
        </w:rPr>
      </w:pPr>
      <w:r>
        <w:rPr>
          <w:rFonts w:hint="eastAsia" w:ascii="仿宋" w:hAnsi="仿宋" w:eastAsia="仿宋"/>
          <w:color w:val="auto"/>
          <w:sz w:val="28"/>
        </w:rPr>
        <w:t>发生以下情况时，招标人有权向银行声明索赔或直接没收投标保证金。</w:t>
      </w:r>
    </w:p>
    <w:p w14:paraId="4C413BFD">
      <w:pPr>
        <w:ind w:firstLine="560" w:firstLineChars="200"/>
        <w:rPr>
          <w:rFonts w:hint="eastAsia" w:ascii="仿宋" w:hAnsi="仿宋" w:eastAsia="仿宋"/>
          <w:color w:val="auto"/>
          <w:sz w:val="28"/>
        </w:rPr>
      </w:pPr>
      <w:r>
        <w:rPr>
          <w:rFonts w:hint="eastAsia" w:ascii="仿宋" w:hAnsi="仿宋" w:eastAsia="仿宋"/>
          <w:color w:val="auto"/>
          <w:sz w:val="28"/>
        </w:rPr>
        <w:t>(1)供应商在提交响应文件截止时间后撤回响应文件的；</w:t>
      </w:r>
    </w:p>
    <w:p w14:paraId="6006BFE0">
      <w:pPr>
        <w:ind w:firstLine="560" w:firstLineChars="200"/>
        <w:rPr>
          <w:rFonts w:hint="eastAsia" w:ascii="仿宋" w:hAnsi="仿宋" w:eastAsia="仿宋"/>
          <w:color w:val="auto"/>
          <w:sz w:val="28"/>
        </w:rPr>
      </w:pPr>
      <w:r>
        <w:rPr>
          <w:rFonts w:hint="eastAsia" w:ascii="仿宋" w:hAnsi="仿宋" w:eastAsia="仿宋"/>
          <w:color w:val="auto"/>
          <w:sz w:val="28"/>
        </w:rPr>
        <w:t>(2)供应商在响应文件中提供虚假材料的；</w:t>
      </w:r>
    </w:p>
    <w:p w14:paraId="74C753AB">
      <w:pPr>
        <w:ind w:firstLine="560" w:firstLineChars="200"/>
        <w:rPr>
          <w:rFonts w:hint="eastAsia" w:ascii="仿宋" w:hAnsi="仿宋" w:eastAsia="仿宋"/>
          <w:color w:val="auto"/>
          <w:sz w:val="28"/>
        </w:rPr>
      </w:pPr>
      <w:r>
        <w:rPr>
          <w:rFonts w:hint="eastAsia" w:ascii="仿宋" w:hAnsi="仿宋" w:eastAsia="仿宋"/>
          <w:color w:val="auto"/>
          <w:sz w:val="28"/>
        </w:rPr>
        <w:t>(3)除因不可抗力或谈判文件、询价通知书认可的情形以外，成交供应商不与采购人签订合同的；</w:t>
      </w:r>
    </w:p>
    <w:p w14:paraId="19F6C821">
      <w:pPr>
        <w:ind w:firstLine="560" w:firstLineChars="200"/>
        <w:rPr>
          <w:rFonts w:hint="eastAsia" w:ascii="仿宋" w:hAnsi="仿宋" w:eastAsia="仿宋"/>
          <w:color w:val="auto"/>
          <w:sz w:val="28"/>
        </w:rPr>
      </w:pPr>
      <w:r>
        <w:rPr>
          <w:rFonts w:hint="eastAsia" w:ascii="仿宋" w:hAnsi="仿宋" w:eastAsia="仿宋"/>
          <w:color w:val="auto"/>
          <w:sz w:val="28"/>
        </w:rPr>
        <w:t>(4)供应商与采购人、其他供应商或者采购代理机构恶意串通、围标、陪标的；</w:t>
      </w:r>
    </w:p>
    <w:p w14:paraId="0023E969">
      <w:pPr>
        <w:ind w:firstLine="560" w:firstLineChars="200"/>
        <w:rPr>
          <w:rFonts w:hint="eastAsia" w:ascii="仿宋" w:hAnsi="仿宋" w:eastAsia="仿宋"/>
          <w:color w:val="auto"/>
          <w:sz w:val="28"/>
        </w:rPr>
      </w:pPr>
      <w:r>
        <w:rPr>
          <w:rFonts w:hint="eastAsia" w:ascii="仿宋" w:hAnsi="仿宋" w:eastAsia="仿宋"/>
          <w:color w:val="auto"/>
          <w:sz w:val="28"/>
        </w:rPr>
        <w:t>(5)供应商有违约违规行为或被投诉、举报的，在调查处理期间，保证金暂不退还，待调查处理结束后按有关规定处理。</w:t>
      </w:r>
    </w:p>
    <w:p w14:paraId="65FFA29C">
      <w:pPr>
        <w:ind w:firstLine="560" w:firstLineChars="200"/>
        <w:rPr>
          <w:rFonts w:hint="eastAsia" w:ascii="仿宋" w:hAnsi="仿宋" w:eastAsia="仿宋"/>
          <w:color w:val="auto"/>
          <w:sz w:val="28"/>
        </w:rPr>
      </w:pPr>
      <w:r>
        <w:rPr>
          <w:rFonts w:hint="eastAsia" w:ascii="仿宋" w:hAnsi="仿宋" w:eastAsia="仿宋"/>
          <w:color w:val="auto"/>
          <w:sz w:val="28"/>
        </w:rPr>
        <w:t>(6)截至开标前3天，投标人无正当理由、未以书面形式向招标人递交说明而在投标截止日不来投标的。</w:t>
      </w:r>
    </w:p>
    <w:p w14:paraId="5294C89E">
      <w:pPr>
        <w:ind w:firstLine="560" w:firstLineChars="200"/>
        <w:rPr>
          <w:rFonts w:hint="eastAsia" w:ascii="仿宋" w:hAnsi="仿宋" w:eastAsia="仿宋"/>
          <w:color w:val="auto"/>
          <w:sz w:val="28"/>
        </w:rPr>
      </w:pPr>
      <w:r>
        <w:rPr>
          <w:rFonts w:hint="eastAsia" w:ascii="仿宋" w:hAnsi="仿宋" w:eastAsia="仿宋"/>
          <w:color w:val="auto"/>
          <w:sz w:val="28"/>
        </w:rPr>
        <w:t>(7)自中标通知书发出之日起30日内，中标人无正当理由投标人无正当签订合同的；</w:t>
      </w:r>
    </w:p>
    <w:p w14:paraId="5835E1FE">
      <w:pPr>
        <w:pageBreakBefore w:val="0"/>
        <w:kinsoku/>
        <w:wordWrap/>
        <w:overflowPunct/>
        <w:topLinePunct w:val="0"/>
        <w:bidi w:val="0"/>
        <w:ind w:left="0" w:leftChars="0" w:right="0" w:firstLine="560" w:firstLineChars="200"/>
        <w:rPr>
          <w:rFonts w:hint="eastAsia" w:ascii="仿宋" w:hAnsi="仿宋" w:eastAsia="仿宋"/>
          <w:color w:val="auto"/>
          <w:sz w:val="28"/>
        </w:rPr>
      </w:pPr>
      <w:r>
        <w:rPr>
          <w:rFonts w:hint="eastAsia" w:ascii="仿宋" w:hAnsi="仿宋" w:eastAsia="仿宋"/>
          <w:color w:val="auto"/>
          <w:sz w:val="28"/>
        </w:rPr>
        <w:t>(8)采购文件规定的其他情形。</w:t>
      </w:r>
    </w:p>
    <w:p w14:paraId="69F8158F">
      <w:pPr>
        <w:ind w:firstLine="560" w:firstLineChars="200"/>
        <w:rPr>
          <w:rFonts w:hint="eastAsia"/>
        </w:rPr>
      </w:pPr>
      <w:r>
        <w:rPr>
          <w:rFonts w:hint="eastAsia" w:ascii="仿宋" w:hAnsi="仿宋" w:eastAsia="仿宋"/>
          <w:color w:val="auto"/>
          <w:sz w:val="28"/>
          <w:lang w:val="en-US" w:eastAsia="zh-CN"/>
        </w:rPr>
        <w:t>5、</w:t>
      </w:r>
      <w:r>
        <w:rPr>
          <w:rFonts w:hint="eastAsia" w:ascii="仿宋" w:hAnsi="仿宋" w:eastAsia="仿宋" w:cs="Times New Roman"/>
          <w:color w:val="auto"/>
          <w:sz w:val="28"/>
        </w:rPr>
        <w:t>中标人瑕疵滞后发现的处理原则</w:t>
      </w:r>
      <w:r>
        <w:rPr>
          <w:rFonts w:hint="eastAsia" w:ascii="仿宋" w:hAnsi="仿宋" w:eastAsia="仿宋" w:cs="Times New Roman"/>
          <w:color w:val="auto"/>
          <w:sz w:val="28"/>
          <w:lang w:eastAsia="zh-CN"/>
        </w:rPr>
        <w:t>：</w:t>
      </w:r>
      <w:r>
        <w:rPr>
          <w:rFonts w:hint="eastAsia" w:ascii="仿宋" w:hAnsi="仿宋" w:eastAsia="仿宋" w:cs="Times New Roman"/>
          <w:color w:val="auto"/>
          <w:sz w:val="28"/>
        </w:rPr>
        <w:t>无论基于何种原因，符合“废标及终止招标”情形，即便未被及时发现或中标人隐瞒真实情况，而使该中标人通过了资格审核、初评、现场复审、终评或其他所有相关程序，包括已签订合同的情形，一旦中标人被拒绝或该中标人此前的评议结果被取消，相关的</w:t>
      </w:r>
      <w:r>
        <w:rPr>
          <w:rFonts w:hint="eastAsia" w:ascii="仿宋" w:hAnsi="仿宋" w:eastAsia="仿宋" w:cs="Times New Roman"/>
          <w:sz w:val="28"/>
        </w:rPr>
        <w:t>一切损失均由该中标人承担。</w:t>
      </w:r>
    </w:p>
    <w:p w14:paraId="5C026C3B">
      <w:pPr>
        <w:pStyle w:val="10"/>
        <w:pageBreakBefore w:val="0"/>
        <w:kinsoku/>
        <w:wordWrap/>
        <w:overflowPunct/>
        <w:topLinePunct w:val="0"/>
        <w:bidi w:val="0"/>
        <w:adjustRightInd w:val="0"/>
        <w:snapToGrid w:val="0"/>
        <w:spacing w:line="540" w:lineRule="exact"/>
        <w:ind w:left="0" w:leftChars="0" w:right="0" w:firstLine="562" w:firstLineChars="200"/>
        <w:outlineLvl w:val="1"/>
        <w:rPr>
          <w:rFonts w:ascii="仿宋" w:hAnsi="仿宋" w:eastAsia="仿宋"/>
          <w:b/>
          <w:sz w:val="28"/>
          <w:szCs w:val="24"/>
        </w:rPr>
      </w:pPr>
      <w:bookmarkStart w:id="6" w:name="_Toc449097053"/>
      <w:bookmarkStart w:id="7" w:name="_Toc447799400"/>
      <w:r>
        <w:rPr>
          <w:rFonts w:hint="eastAsia" w:ascii="仿宋" w:hAnsi="仿宋" w:eastAsia="仿宋"/>
          <w:b/>
          <w:sz w:val="28"/>
          <w:szCs w:val="24"/>
          <w:lang w:val="en-US" w:eastAsia="zh-CN"/>
        </w:rPr>
        <w:t>四</w:t>
      </w:r>
      <w:r>
        <w:rPr>
          <w:rFonts w:hint="eastAsia" w:ascii="仿宋" w:hAnsi="仿宋" w:eastAsia="仿宋"/>
          <w:b/>
          <w:sz w:val="28"/>
          <w:szCs w:val="24"/>
        </w:rPr>
        <w:t>、评标原则</w:t>
      </w:r>
      <w:bookmarkEnd w:id="6"/>
      <w:bookmarkEnd w:id="7"/>
      <w:r>
        <w:rPr>
          <w:rFonts w:hint="eastAsia" w:ascii="仿宋" w:hAnsi="仿宋" w:eastAsia="仿宋"/>
          <w:b/>
          <w:sz w:val="28"/>
          <w:szCs w:val="24"/>
        </w:rPr>
        <w:t>及</w:t>
      </w:r>
      <w:r>
        <w:rPr>
          <w:rFonts w:ascii="仿宋" w:hAnsi="仿宋" w:eastAsia="仿宋"/>
          <w:b/>
          <w:sz w:val="28"/>
          <w:szCs w:val="24"/>
        </w:rPr>
        <w:t>评标标准</w:t>
      </w:r>
    </w:p>
    <w:p w14:paraId="4D57048A">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1、评标</w:t>
      </w:r>
    </w:p>
    <w:p w14:paraId="28D75A77">
      <w:pPr>
        <w:pageBreakBefore w:val="0"/>
        <w:kinsoku/>
        <w:wordWrap/>
        <w:overflowPunct/>
        <w:topLinePunct w:val="0"/>
        <w:bidi w:val="0"/>
        <w:ind w:left="0" w:leftChars="0" w:right="0" w:firstLine="560" w:firstLineChars="200"/>
        <w:rPr>
          <w:rFonts w:hint="eastAsia"/>
        </w:rPr>
      </w:pPr>
      <w:r>
        <w:rPr>
          <w:rFonts w:hint="eastAsia" w:ascii="仿宋_GB2312" w:hAnsi="宋体" w:eastAsia="仿宋_GB2312" w:cs="宋体"/>
          <w:color w:val="000000"/>
          <w:kern w:val="0"/>
          <w:sz w:val="28"/>
          <w:szCs w:val="28"/>
        </w:rPr>
        <w:t>为保证项目顺利实施，由招标人组织、按国家法律法规及公司相关规章制度要求，设立评标工作小组，同时依据以下评分标准，本着公平、公正、公开的原则，</w:t>
      </w:r>
      <w:r>
        <w:rPr>
          <w:rFonts w:hint="eastAsia" w:ascii="仿宋_GB2312" w:hAnsi="宋体" w:eastAsia="仿宋_GB2312" w:cs="宋体"/>
          <w:color w:val="000000"/>
          <w:kern w:val="0"/>
          <w:sz w:val="28"/>
          <w:szCs w:val="28"/>
          <w:lang w:val="en-US" w:eastAsia="zh-CN"/>
        </w:rPr>
        <w:t>在</w:t>
      </w:r>
      <w:r>
        <w:rPr>
          <w:rFonts w:hint="eastAsia" w:ascii="仿宋_GB2312" w:hAnsi="宋体" w:eastAsia="仿宋_GB2312" w:cs="宋体"/>
          <w:color w:val="000000"/>
          <w:kern w:val="0"/>
          <w:sz w:val="28"/>
          <w:szCs w:val="28"/>
          <w:highlight w:val="none"/>
          <w:lang w:val="en-US" w:eastAsia="zh-CN"/>
        </w:rPr>
        <w:t>符合技术标的前提下，按照评标合理最低价选择推荐中标人。</w:t>
      </w:r>
    </w:p>
    <w:p w14:paraId="0FF654DF">
      <w:pPr>
        <w:ind w:firstLine="560" w:firstLineChars="200"/>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2、定标准则：</w:t>
      </w:r>
    </w:p>
    <w:p w14:paraId="2A5F1150">
      <w:pPr>
        <w:ind w:firstLine="560" w:firstLineChars="200"/>
        <w:rPr>
          <w:rFonts w:hint="eastAsia" w:ascii="仿宋_GB2312" w:hAnsi="宋体" w:eastAsia="仿宋_GB2312" w:cs="宋体"/>
          <w:b/>
          <w:bCs/>
          <w:color w:val="000000"/>
          <w:kern w:val="0"/>
          <w:sz w:val="28"/>
          <w:szCs w:val="28"/>
          <w:lang w:eastAsia="zh-CN"/>
        </w:rPr>
      </w:pPr>
      <w:r>
        <w:rPr>
          <w:rFonts w:hint="eastAsia" w:ascii="仿宋_GB2312" w:hAnsi="宋体" w:eastAsia="仿宋_GB2312" w:cs="宋体"/>
          <w:color w:val="000000"/>
          <w:kern w:val="0"/>
          <w:sz w:val="28"/>
          <w:szCs w:val="28"/>
          <w:lang w:eastAsia="zh-CN"/>
        </w:rPr>
        <w:t>①合同将授予其投标符合招标文件要求，并能圆满地履行合同的、对招标方最为有利的投标方。（企业业绩及项目经理业绩、注册资本金及近三年营收情况、施工组织设计方案。）</w:t>
      </w:r>
      <w:r>
        <w:rPr>
          <w:rFonts w:hint="eastAsia" w:ascii="仿宋_GB2312" w:hAnsi="宋体" w:eastAsia="仿宋_GB2312" w:cs="宋体"/>
          <w:b/>
          <w:bCs/>
          <w:color w:val="000000"/>
          <w:kern w:val="0"/>
          <w:sz w:val="28"/>
          <w:szCs w:val="28"/>
          <w:lang w:eastAsia="zh-CN"/>
        </w:rPr>
        <w:t>招标方式为：技术标入围、商务标合理最低价中标，技术标评分总分为100分，低于80分不得入围，详见评分标准。</w:t>
      </w:r>
    </w:p>
    <w:p w14:paraId="65834DC8">
      <w:pPr>
        <w:ind w:firstLine="560" w:firstLineChars="20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②最低报价不是被授予合同的保证，招标方有接受和拒绝所有投标方的权利，并对所有采取的行为不做任何解释。</w:t>
      </w:r>
    </w:p>
    <w:p w14:paraId="67CE69F9">
      <w:pPr>
        <w:ind w:firstLine="560" w:firstLineChars="20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③招标方授予合同时有变更数量的权利。</w:t>
      </w:r>
    </w:p>
    <w:p w14:paraId="3C6842E5">
      <w:pPr>
        <w:ind w:firstLine="560" w:firstLineChars="20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lang w:eastAsia="zh-CN"/>
        </w:rPr>
        <w:t>④招标文件、中标方的投标文件及澄清文件等，均作为签订合同的依据</w:t>
      </w:r>
      <w:r>
        <w:rPr>
          <w:rFonts w:hint="eastAsia" w:ascii="仿宋_GB2312" w:hAnsi="宋体" w:eastAsia="仿宋_GB2312" w:cs="宋体"/>
          <w:color w:val="000000"/>
          <w:kern w:val="0"/>
          <w:sz w:val="28"/>
          <w:szCs w:val="28"/>
          <w:highlight w:val="none"/>
          <w:lang w:eastAsia="zh-CN"/>
        </w:rPr>
        <w:t>。</w:t>
      </w:r>
    </w:p>
    <w:p w14:paraId="051A8AA4">
      <w:pPr>
        <w:ind w:firstLine="560" w:firstLineChars="20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lang w:val="en-US" w:eastAsia="zh-CN"/>
        </w:rPr>
        <w:t>3</w:t>
      </w:r>
      <w:r>
        <w:rPr>
          <w:rFonts w:hint="eastAsia" w:ascii="仿宋_GB2312" w:hAnsi="宋体" w:eastAsia="仿宋_GB2312" w:cs="宋体"/>
          <w:color w:val="000000"/>
          <w:kern w:val="0"/>
          <w:sz w:val="28"/>
          <w:szCs w:val="28"/>
          <w:highlight w:val="none"/>
        </w:rPr>
        <w:t>、开标程序</w:t>
      </w:r>
    </w:p>
    <w:p w14:paraId="6EEA1D6B">
      <w:pPr>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highlight w:val="none"/>
          <w:lang w:eastAsia="zh-CN"/>
        </w:rPr>
        <w:t>（</w:t>
      </w:r>
      <w:r>
        <w:rPr>
          <w:rFonts w:hint="eastAsia" w:ascii="仿宋_GB2312" w:hAnsi="宋体" w:eastAsia="仿宋_GB2312" w:cs="宋体"/>
          <w:color w:val="000000"/>
          <w:kern w:val="0"/>
          <w:sz w:val="28"/>
          <w:szCs w:val="28"/>
          <w:highlight w:val="none"/>
          <w:lang w:val="en-US" w:eastAsia="zh-CN"/>
        </w:rPr>
        <w:t>1</w:t>
      </w:r>
      <w:r>
        <w:rPr>
          <w:rFonts w:hint="eastAsia" w:ascii="仿宋_GB2312" w:hAnsi="宋体" w:eastAsia="仿宋_GB2312" w:cs="宋体"/>
          <w:color w:val="000000"/>
          <w:kern w:val="0"/>
          <w:sz w:val="28"/>
          <w:szCs w:val="28"/>
          <w:highlight w:val="none"/>
          <w:lang w:eastAsia="zh-CN"/>
        </w:rPr>
        <w:t>）</w:t>
      </w:r>
      <w:r>
        <w:rPr>
          <w:rFonts w:hint="eastAsia" w:ascii="仿宋_GB2312" w:hAnsi="宋体" w:eastAsia="仿宋_GB2312" w:cs="宋体"/>
          <w:color w:val="000000"/>
          <w:kern w:val="0"/>
          <w:sz w:val="28"/>
          <w:szCs w:val="28"/>
          <w:highlight w:val="none"/>
        </w:rPr>
        <w:t>开标前项目实</w:t>
      </w:r>
      <w:r>
        <w:rPr>
          <w:rFonts w:hint="eastAsia" w:ascii="仿宋_GB2312" w:hAnsi="宋体" w:eastAsia="仿宋_GB2312" w:cs="宋体"/>
          <w:color w:val="000000"/>
          <w:kern w:val="0"/>
          <w:sz w:val="28"/>
          <w:szCs w:val="28"/>
        </w:rPr>
        <w:t>施单位核验投标</w:t>
      </w:r>
      <w:r>
        <w:rPr>
          <w:rFonts w:hint="eastAsia" w:ascii="仿宋_GB2312" w:hAnsi="宋体" w:eastAsia="仿宋_GB2312" w:cs="宋体"/>
          <w:color w:val="000000"/>
          <w:kern w:val="0"/>
          <w:sz w:val="28"/>
          <w:szCs w:val="28"/>
          <w:lang w:val="en-US" w:eastAsia="zh-CN"/>
        </w:rPr>
        <w:t>单位及</w:t>
      </w:r>
      <w:r>
        <w:rPr>
          <w:rFonts w:hint="eastAsia" w:ascii="仿宋_GB2312" w:hAnsi="宋体" w:eastAsia="仿宋_GB2312" w:cs="宋体"/>
          <w:color w:val="000000"/>
          <w:kern w:val="0"/>
          <w:sz w:val="28"/>
          <w:szCs w:val="28"/>
        </w:rPr>
        <w:t>人</w:t>
      </w:r>
      <w:r>
        <w:rPr>
          <w:rFonts w:hint="eastAsia" w:ascii="仿宋_GB2312" w:hAnsi="宋体" w:eastAsia="仿宋_GB2312" w:cs="宋体"/>
          <w:color w:val="000000"/>
          <w:kern w:val="0"/>
          <w:sz w:val="28"/>
          <w:szCs w:val="28"/>
          <w:lang w:val="en-US" w:eastAsia="zh-CN"/>
        </w:rPr>
        <w:t>员资质、</w:t>
      </w:r>
      <w:r>
        <w:rPr>
          <w:rFonts w:hint="eastAsia" w:ascii="仿宋_GB2312" w:hAnsi="宋体" w:eastAsia="仿宋_GB2312" w:cs="宋体"/>
          <w:color w:val="000000"/>
          <w:kern w:val="0"/>
          <w:sz w:val="28"/>
          <w:szCs w:val="28"/>
        </w:rPr>
        <w:t>证件。</w:t>
      </w:r>
    </w:p>
    <w:p w14:paraId="23C2E2CB">
      <w:pPr>
        <w:ind w:firstLine="560" w:firstLineChars="200"/>
        <w:rPr>
          <w:rFonts w:hint="eastAsia" w:ascii="仿宋_GB2312" w:hAnsi="仿宋_GB2312" w:eastAsia="仿宋_GB2312" w:cs="仿宋_GB2312"/>
          <w:color w:val="000000"/>
          <w:sz w:val="21"/>
          <w:szCs w:val="21"/>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所有项目经资质审查通过后，先进行开唱标工作，并须统一报价要求：按照项目预算审批明细清单及技术配置要求细化总报价以及分解报价。</w:t>
      </w:r>
    </w:p>
    <w:p w14:paraId="30FB1F97">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先开技术标，由专家</w:t>
      </w:r>
      <w:r>
        <w:rPr>
          <w:rFonts w:hint="eastAsia" w:ascii="仿宋_GB2312" w:hAnsi="宋体" w:eastAsia="仿宋_GB2312" w:cs="宋体"/>
          <w:color w:val="000000"/>
          <w:kern w:val="0"/>
          <w:sz w:val="28"/>
          <w:szCs w:val="28"/>
          <w:lang w:val="en-US" w:eastAsia="zh-CN"/>
        </w:rPr>
        <w:t>组从重汽e采通内</w:t>
      </w:r>
      <w:r>
        <w:rPr>
          <w:rFonts w:hint="eastAsia" w:ascii="仿宋_GB2312" w:hAnsi="宋体" w:eastAsia="仿宋_GB2312" w:cs="宋体"/>
          <w:color w:val="000000"/>
          <w:kern w:val="0"/>
          <w:sz w:val="28"/>
          <w:szCs w:val="28"/>
        </w:rPr>
        <w:t>查看相关技术资质文件。由评标专家组对所有投标方进行综合评定和打分，确定进入商务标评阶段的投标方。</w:t>
      </w:r>
    </w:p>
    <w:p w14:paraId="3956D072">
      <w:pPr>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(3)商务标</w:t>
      </w:r>
      <w:r>
        <w:rPr>
          <w:rFonts w:hint="eastAsia" w:ascii="仿宋_GB2312" w:hAnsi="宋体" w:eastAsia="仿宋_GB2312" w:cs="宋体"/>
          <w:color w:val="000000"/>
          <w:kern w:val="0"/>
          <w:sz w:val="28"/>
          <w:szCs w:val="28"/>
          <w:lang w:val="en-US" w:eastAsia="zh-CN"/>
        </w:rPr>
        <w:t>根据时间安排进行开标，原则上开标后，</w:t>
      </w:r>
      <w:r>
        <w:rPr>
          <w:rFonts w:hint="eastAsia" w:ascii="仿宋_GB2312" w:hAnsi="宋体" w:eastAsia="仿宋_GB2312" w:cs="宋体"/>
          <w:b/>
          <w:bCs/>
          <w:color w:val="000000"/>
          <w:kern w:val="0"/>
          <w:sz w:val="28"/>
          <w:szCs w:val="28"/>
          <w:lang w:val="en-US" w:eastAsia="zh-CN"/>
        </w:rPr>
        <w:t>不少于三次报价</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专家</w:t>
      </w:r>
      <w:r>
        <w:rPr>
          <w:rFonts w:hint="eastAsia" w:ascii="仿宋_GB2312" w:hAnsi="宋体" w:eastAsia="仿宋_GB2312" w:cs="宋体"/>
          <w:color w:val="000000"/>
          <w:kern w:val="0"/>
          <w:sz w:val="28"/>
          <w:szCs w:val="28"/>
          <w:lang w:val="en-US" w:eastAsia="zh-CN"/>
        </w:rPr>
        <w:t>组形成</w:t>
      </w:r>
      <w:r>
        <w:rPr>
          <w:rFonts w:hint="eastAsia" w:ascii="仿宋_GB2312" w:hAnsi="宋体" w:eastAsia="仿宋_GB2312" w:cs="宋体"/>
          <w:color w:val="000000"/>
          <w:kern w:val="0"/>
          <w:sz w:val="28"/>
          <w:szCs w:val="28"/>
        </w:rPr>
        <w:t>意见汇总，按照评标合理最低价最终确定中标</w:t>
      </w:r>
      <w:r>
        <w:rPr>
          <w:rFonts w:hint="eastAsia" w:ascii="仿宋_GB2312" w:hAnsi="宋体" w:eastAsia="仿宋_GB2312" w:cs="宋体"/>
          <w:color w:val="000000"/>
          <w:kern w:val="0"/>
          <w:sz w:val="28"/>
          <w:szCs w:val="28"/>
          <w:lang w:val="en-US" w:eastAsia="zh-CN"/>
        </w:rPr>
        <w:t>单位</w:t>
      </w:r>
      <w:r>
        <w:rPr>
          <w:rFonts w:hint="eastAsia" w:ascii="仿宋_GB2312" w:hAnsi="宋体" w:eastAsia="仿宋_GB2312" w:cs="宋体"/>
          <w:color w:val="000000"/>
          <w:kern w:val="0"/>
          <w:sz w:val="28"/>
          <w:szCs w:val="28"/>
        </w:rPr>
        <w:t>，对未中标单位不做任何解释。技术标评分不带入商务标</w:t>
      </w:r>
      <w:r>
        <w:rPr>
          <w:rFonts w:hint="eastAsia" w:ascii="仿宋_GB2312" w:hAnsi="宋体" w:eastAsia="仿宋_GB2312" w:cs="宋体"/>
          <w:color w:val="000000"/>
          <w:kern w:val="0"/>
          <w:sz w:val="28"/>
          <w:szCs w:val="28"/>
          <w:lang w:eastAsia="zh-CN"/>
        </w:rPr>
        <w:t>。</w:t>
      </w:r>
    </w:p>
    <w:p w14:paraId="0C3D2384">
      <w:pPr>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投标前请各投标方按照招标文件要求对项目方案进行充分准备，投标单位已默认认可上述开标、评标过程，无异议。招标人无义务对未入围投标方及未中标方做任何解释。</w:t>
      </w:r>
    </w:p>
    <w:p w14:paraId="636054AC">
      <w:pPr>
        <w:pStyle w:val="16"/>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备注：开标时，参标人员及单位自带能够上网的笔记本电脑，请提前</w:t>
      </w:r>
      <w:r>
        <w:rPr>
          <w:rFonts w:hint="eastAsia" w:ascii="仿宋_GB2312" w:hAnsi="仿宋_GB2312" w:eastAsia="仿宋_GB2312" w:cs="仿宋_GB2312"/>
          <w:b/>
          <w:bCs/>
          <w:color w:val="auto"/>
          <w:sz w:val="28"/>
          <w:szCs w:val="28"/>
          <w:lang w:val="en-US" w:eastAsia="zh-CN"/>
        </w:rPr>
        <w:t>调试</w:t>
      </w:r>
      <w:r>
        <w:rPr>
          <w:rFonts w:hint="eastAsia" w:ascii="仿宋_GB2312" w:hAnsi="仿宋_GB2312" w:eastAsia="仿宋_GB2312" w:cs="仿宋_GB2312"/>
          <w:b/>
          <w:bCs/>
          <w:sz w:val="28"/>
          <w:szCs w:val="28"/>
          <w:lang w:val="en-US" w:eastAsia="zh-CN"/>
        </w:rPr>
        <w:t>好笔记本电脑，商务标报价采取网上标价的形式，在有效时间内未进行报价，视为弃权。</w:t>
      </w:r>
    </w:p>
    <w:p w14:paraId="0DE5AA95">
      <w:pPr>
        <w:pageBreakBefore w:val="0"/>
        <w:kinsoku/>
        <w:wordWrap/>
        <w:overflowPunct/>
        <w:topLinePunct w:val="0"/>
        <w:bidi w:val="0"/>
        <w:ind w:left="0" w:leftChars="0" w:right="0" w:firstLine="560" w:firstLineChars="200"/>
        <w:rPr>
          <w:rFonts w:ascii="仿宋_GB2312" w:hAnsi="宋体" w:eastAsia="仿宋_GB2312" w:cs="宋体"/>
          <w:color w:val="000000"/>
          <w:kern w:val="0"/>
          <w:sz w:val="28"/>
          <w:szCs w:val="28"/>
        </w:rPr>
      </w:pPr>
    </w:p>
    <w:p w14:paraId="3084D9EF">
      <w:pPr>
        <w:pageBreakBefore w:val="0"/>
        <w:numPr>
          <w:ilvl w:val="0"/>
          <w:numId w:val="7"/>
        </w:numPr>
        <w:kinsoku/>
        <w:wordWrap/>
        <w:overflowPunct/>
        <w:topLinePunct w:val="0"/>
        <w:bidi w:val="0"/>
        <w:ind w:left="0" w:leftChars="0" w:right="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评分标准</w:t>
      </w:r>
    </w:p>
    <w:tbl>
      <w:tblPr>
        <w:tblStyle w:val="17"/>
        <w:tblW w:w="8429" w:type="dxa"/>
        <w:tblInd w:w="93" w:type="dxa"/>
        <w:tblLayout w:type="autofit"/>
        <w:tblCellMar>
          <w:top w:w="0" w:type="dxa"/>
          <w:left w:w="108" w:type="dxa"/>
          <w:bottom w:w="0" w:type="dxa"/>
          <w:right w:w="108" w:type="dxa"/>
        </w:tblCellMar>
      </w:tblPr>
      <w:tblGrid>
        <w:gridCol w:w="778"/>
        <w:gridCol w:w="1212"/>
        <w:gridCol w:w="809"/>
        <w:gridCol w:w="1304"/>
        <w:gridCol w:w="1043"/>
        <w:gridCol w:w="3283"/>
      </w:tblGrid>
      <w:tr w14:paraId="5327BFB5">
        <w:tblPrEx>
          <w:tblCellMar>
            <w:top w:w="0" w:type="dxa"/>
            <w:left w:w="108" w:type="dxa"/>
            <w:bottom w:w="0" w:type="dxa"/>
            <w:right w:w="108" w:type="dxa"/>
          </w:tblCellMar>
        </w:tblPrEx>
        <w:trPr>
          <w:trHeight w:val="467"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14:paraId="5ED54969">
            <w:pPr>
              <w:pageBreakBefore w:val="0"/>
              <w:widowControl/>
              <w:kinsoku/>
              <w:wordWrap/>
              <w:overflowPunct/>
              <w:topLinePunct w:val="0"/>
              <w:bidi w:val="0"/>
              <w:ind w:left="0" w:leftChars="0" w:right="0"/>
              <w:jc w:val="left"/>
              <w:textAlignment w:val="center"/>
              <w:rPr>
                <w:rFonts w:ascii="宋体" w:hAnsi="宋体" w:cs="宋体"/>
                <w:color w:val="000000"/>
                <w:sz w:val="24"/>
              </w:rPr>
            </w:pPr>
            <w:r>
              <w:rPr>
                <w:rFonts w:hint="eastAsia" w:ascii="宋体" w:hAnsi="宋体" w:cs="宋体"/>
                <w:color w:val="000000"/>
                <w:kern w:val="0"/>
                <w:sz w:val="24"/>
              </w:rPr>
              <w:t>序号</w:t>
            </w:r>
          </w:p>
        </w:tc>
        <w:tc>
          <w:tcPr>
            <w:tcW w:w="1212" w:type="dxa"/>
            <w:tcBorders>
              <w:top w:val="single" w:color="000000" w:sz="4" w:space="0"/>
              <w:left w:val="single" w:color="000000" w:sz="4" w:space="0"/>
              <w:bottom w:val="single" w:color="000000" w:sz="4" w:space="0"/>
              <w:right w:val="single" w:color="000000" w:sz="4" w:space="0"/>
            </w:tcBorders>
            <w:vAlign w:val="center"/>
          </w:tcPr>
          <w:p w14:paraId="6531B7D1">
            <w:pPr>
              <w:pageBreakBefore w:val="0"/>
              <w:widowControl/>
              <w:kinsoku/>
              <w:wordWrap/>
              <w:overflowPunct/>
              <w:topLinePunct w:val="0"/>
              <w:bidi w:val="0"/>
              <w:ind w:left="0" w:leftChars="0" w:right="0"/>
              <w:jc w:val="center"/>
              <w:textAlignment w:val="center"/>
              <w:rPr>
                <w:rFonts w:ascii="宋体" w:hAnsi="宋体" w:cs="宋体"/>
                <w:color w:val="000000"/>
                <w:sz w:val="22"/>
                <w:szCs w:val="22"/>
              </w:rPr>
            </w:pPr>
            <w:r>
              <w:rPr>
                <w:rFonts w:hint="eastAsia" w:ascii="宋体" w:hAnsi="宋体" w:cs="宋体"/>
                <w:color w:val="000000"/>
                <w:kern w:val="0"/>
                <w:sz w:val="22"/>
                <w:szCs w:val="22"/>
              </w:rPr>
              <w:t>评价因素</w:t>
            </w:r>
          </w:p>
        </w:tc>
        <w:tc>
          <w:tcPr>
            <w:tcW w:w="809" w:type="dxa"/>
            <w:tcBorders>
              <w:top w:val="single" w:color="000000" w:sz="4" w:space="0"/>
              <w:left w:val="single" w:color="000000" w:sz="4" w:space="0"/>
              <w:bottom w:val="single" w:color="000000" w:sz="4" w:space="0"/>
              <w:right w:val="single" w:color="000000" w:sz="4" w:space="0"/>
            </w:tcBorders>
            <w:vAlign w:val="center"/>
          </w:tcPr>
          <w:p w14:paraId="131E1D9B">
            <w:pPr>
              <w:pageBreakBefore w:val="0"/>
              <w:widowControl/>
              <w:kinsoku/>
              <w:wordWrap/>
              <w:overflowPunct/>
              <w:topLinePunct w:val="0"/>
              <w:bidi w:val="0"/>
              <w:ind w:left="0" w:leftChars="0" w:right="0"/>
              <w:jc w:val="center"/>
              <w:textAlignment w:val="center"/>
              <w:rPr>
                <w:rFonts w:ascii="宋体" w:hAnsi="宋体" w:cs="宋体"/>
                <w:color w:val="000000"/>
                <w:sz w:val="22"/>
                <w:szCs w:val="22"/>
              </w:rPr>
            </w:pPr>
            <w:r>
              <w:rPr>
                <w:rFonts w:hint="eastAsia" w:ascii="宋体" w:hAnsi="宋体" w:cs="宋体"/>
                <w:color w:val="000000"/>
                <w:kern w:val="0"/>
                <w:sz w:val="22"/>
                <w:szCs w:val="22"/>
              </w:rPr>
              <w:t>总分</w:t>
            </w:r>
          </w:p>
        </w:tc>
        <w:tc>
          <w:tcPr>
            <w:tcW w:w="1304" w:type="dxa"/>
            <w:tcBorders>
              <w:top w:val="single" w:color="000000" w:sz="4" w:space="0"/>
              <w:left w:val="single" w:color="000000" w:sz="4" w:space="0"/>
              <w:bottom w:val="single" w:color="000000" w:sz="4" w:space="0"/>
              <w:right w:val="single" w:color="000000" w:sz="4" w:space="0"/>
            </w:tcBorders>
            <w:vAlign w:val="center"/>
          </w:tcPr>
          <w:p w14:paraId="61474965">
            <w:pPr>
              <w:pageBreakBefore w:val="0"/>
              <w:widowControl/>
              <w:kinsoku/>
              <w:wordWrap/>
              <w:overflowPunct/>
              <w:topLinePunct w:val="0"/>
              <w:bidi w:val="0"/>
              <w:ind w:left="0" w:leftChars="0" w:right="0"/>
              <w:jc w:val="center"/>
              <w:textAlignment w:val="center"/>
              <w:rPr>
                <w:rFonts w:ascii="宋体" w:hAnsi="宋体" w:cs="宋体"/>
                <w:color w:val="000000"/>
                <w:szCs w:val="21"/>
              </w:rPr>
            </w:pPr>
            <w:r>
              <w:rPr>
                <w:rFonts w:hint="eastAsia" w:ascii="宋体" w:hAnsi="宋体" w:cs="宋体"/>
                <w:color w:val="000000"/>
                <w:kern w:val="0"/>
                <w:szCs w:val="21"/>
              </w:rPr>
              <w:t>评分项目</w:t>
            </w:r>
          </w:p>
        </w:tc>
        <w:tc>
          <w:tcPr>
            <w:tcW w:w="1043" w:type="dxa"/>
            <w:tcBorders>
              <w:top w:val="single" w:color="000000" w:sz="4" w:space="0"/>
              <w:left w:val="single" w:color="000000" w:sz="4" w:space="0"/>
              <w:bottom w:val="single" w:color="000000" w:sz="4" w:space="0"/>
              <w:right w:val="single" w:color="000000" w:sz="4" w:space="0"/>
            </w:tcBorders>
            <w:vAlign w:val="center"/>
          </w:tcPr>
          <w:p w14:paraId="52F90325">
            <w:pPr>
              <w:pageBreakBefore w:val="0"/>
              <w:widowControl/>
              <w:kinsoku/>
              <w:wordWrap/>
              <w:overflowPunct/>
              <w:topLinePunct w:val="0"/>
              <w:bidi w:val="0"/>
              <w:ind w:left="0" w:leftChars="0" w:right="0"/>
              <w:jc w:val="center"/>
              <w:textAlignment w:val="center"/>
              <w:rPr>
                <w:rFonts w:ascii="宋体" w:hAnsi="宋体" w:cs="宋体"/>
                <w:color w:val="000000"/>
                <w:szCs w:val="21"/>
              </w:rPr>
            </w:pPr>
            <w:r>
              <w:rPr>
                <w:rFonts w:hint="eastAsia" w:ascii="宋体" w:hAnsi="宋体" w:cs="宋体"/>
                <w:color w:val="000000"/>
                <w:kern w:val="0"/>
                <w:szCs w:val="21"/>
              </w:rPr>
              <w:t>得分</w:t>
            </w:r>
          </w:p>
        </w:tc>
        <w:tc>
          <w:tcPr>
            <w:tcW w:w="3283" w:type="dxa"/>
            <w:tcBorders>
              <w:top w:val="single" w:color="000000" w:sz="4" w:space="0"/>
              <w:left w:val="single" w:color="000000" w:sz="4" w:space="0"/>
              <w:bottom w:val="single" w:color="000000" w:sz="4" w:space="0"/>
              <w:right w:val="single" w:color="000000" w:sz="4" w:space="0"/>
            </w:tcBorders>
            <w:vAlign w:val="center"/>
          </w:tcPr>
          <w:p w14:paraId="15FEE543">
            <w:pPr>
              <w:pageBreakBefore w:val="0"/>
              <w:widowControl/>
              <w:kinsoku/>
              <w:wordWrap/>
              <w:overflowPunct/>
              <w:topLinePunct w:val="0"/>
              <w:bidi w:val="0"/>
              <w:ind w:left="0" w:leftChars="0" w:right="0"/>
              <w:jc w:val="center"/>
              <w:textAlignment w:val="center"/>
              <w:rPr>
                <w:rFonts w:ascii="宋体" w:hAnsi="宋体" w:cs="宋体"/>
                <w:color w:val="000000"/>
                <w:szCs w:val="21"/>
              </w:rPr>
            </w:pPr>
            <w:r>
              <w:rPr>
                <w:rFonts w:hint="eastAsia" w:ascii="宋体" w:hAnsi="宋体" w:cs="宋体"/>
                <w:color w:val="000000"/>
                <w:kern w:val="0"/>
                <w:szCs w:val="21"/>
              </w:rPr>
              <w:t>评分标准</w:t>
            </w:r>
          </w:p>
        </w:tc>
      </w:tr>
      <w:tr w14:paraId="5ECD0378">
        <w:tblPrEx>
          <w:tblCellMar>
            <w:top w:w="0" w:type="dxa"/>
            <w:left w:w="108" w:type="dxa"/>
            <w:bottom w:w="0" w:type="dxa"/>
            <w:right w:w="108" w:type="dxa"/>
          </w:tblCellMar>
        </w:tblPrEx>
        <w:trPr>
          <w:trHeight w:val="420" w:hRule="atLeast"/>
        </w:trPr>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14:paraId="3CCBDBA5">
            <w:pPr>
              <w:pageBreakBefore w:val="0"/>
              <w:widowControl/>
              <w:kinsoku/>
              <w:wordWrap/>
              <w:overflowPunct/>
              <w:topLinePunct w:val="0"/>
              <w:bidi w:val="0"/>
              <w:ind w:left="0" w:leftChars="0" w:right="0"/>
              <w:jc w:val="center"/>
              <w:textAlignment w:val="center"/>
              <w:rPr>
                <w:rFonts w:ascii="宋体" w:hAnsi="宋体" w:cs="宋体"/>
                <w:color w:val="000000"/>
                <w:sz w:val="24"/>
              </w:rPr>
            </w:pPr>
            <w:r>
              <w:rPr>
                <w:rFonts w:hint="eastAsia" w:ascii="宋体" w:hAnsi="宋体" w:cs="宋体"/>
                <w:color w:val="000000"/>
                <w:kern w:val="0"/>
                <w:sz w:val="24"/>
              </w:rPr>
              <w:t>1</w:t>
            </w:r>
          </w:p>
        </w:tc>
        <w:tc>
          <w:tcPr>
            <w:tcW w:w="1212" w:type="dxa"/>
            <w:vMerge w:val="restart"/>
            <w:tcBorders>
              <w:top w:val="single" w:color="000000" w:sz="4" w:space="0"/>
              <w:left w:val="single" w:color="000000" w:sz="4" w:space="0"/>
              <w:bottom w:val="single" w:color="000000" w:sz="4" w:space="0"/>
              <w:right w:val="single" w:color="000000" w:sz="4" w:space="0"/>
            </w:tcBorders>
            <w:vAlign w:val="center"/>
          </w:tcPr>
          <w:p w14:paraId="6EA8C37C">
            <w:pPr>
              <w:pageBreakBefore w:val="0"/>
              <w:widowControl/>
              <w:kinsoku/>
              <w:wordWrap/>
              <w:overflowPunct/>
              <w:topLinePunct w:val="0"/>
              <w:bidi w:val="0"/>
              <w:ind w:left="0" w:leftChars="0" w:right="0"/>
              <w:jc w:val="center"/>
              <w:textAlignment w:val="center"/>
              <w:rPr>
                <w:rFonts w:ascii="宋体" w:hAnsi="宋体" w:cs="宋体"/>
                <w:color w:val="000000"/>
                <w:sz w:val="22"/>
                <w:szCs w:val="22"/>
              </w:rPr>
            </w:pPr>
            <w:r>
              <w:rPr>
                <w:rFonts w:hint="eastAsia" w:ascii="宋体" w:hAnsi="宋体" w:cs="宋体"/>
                <w:color w:val="000000"/>
                <w:kern w:val="0"/>
                <w:sz w:val="22"/>
                <w:szCs w:val="22"/>
              </w:rPr>
              <w:t>技术标</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64BAB8CE">
            <w:pPr>
              <w:pageBreakBefore w:val="0"/>
              <w:widowControl/>
              <w:kinsoku/>
              <w:wordWrap/>
              <w:overflowPunct/>
              <w:topLinePunct w:val="0"/>
              <w:bidi w:val="0"/>
              <w:ind w:left="0" w:leftChars="0" w:right="0"/>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1304" w:type="dxa"/>
            <w:vMerge w:val="restart"/>
            <w:tcBorders>
              <w:top w:val="single" w:color="000000" w:sz="4" w:space="0"/>
              <w:left w:val="single" w:color="000000" w:sz="4" w:space="0"/>
              <w:bottom w:val="single" w:color="000000" w:sz="4" w:space="0"/>
              <w:right w:val="single" w:color="000000" w:sz="4" w:space="0"/>
            </w:tcBorders>
            <w:vAlign w:val="center"/>
          </w:tcPr>
          <w:p w14:paraId="6FE4EB2E">
            <w:pPr>
              <w:pageBreakBefore w:val="0"/>
              <w:widowControl/>
              <w:kinsoku/>
              <w:wordWrap/>
              <w:overflowPunct/>
              <w:topLinePunct w:val="0"/>
              <w:bidi w:val="0"/>
              <w:ind w:left="0" w:leftChars="0" w:right="0"/>
              <w:jc w:val="center"/>
              <w:textAlignment w:val="center"/>
              <w:rPr>
                <w:rFonts w:ascii="宋体" w:hAnsi="宋体" w:cs="宋体"/>
                <w:color w:val="000000"/>
                <w:szCs w:val="21"/>
              </w:rPr>
            </w:pPr>
            <w:r>
              <w:rPr>
                <w:rFonts w:hint="eastAsia" w:ascii="宋体" w:hAnsi="宋体" w:cs="宋体"/>
                <w:color w:val="000000"/>
                <w:kern w:val="0"/>
                <w:szCs w:val="21"/>
              </w:rPr>
              <w:t>相关资质及维保能力</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57CE574">
            <w:pPr>
              <w:pageBreakBefore w:val="0"/>
              <w:widowControl/>
              <w:kinsoku/>
              <w:wordWrap/>
              <w:overflowPunct/>
              <w:topLinePunct w:val="0"/>
              <w:bidi w:val="0"/>
              <w:ind w:left="0" w:leftChars="0" w:right="0"/>
              <w:jc w:val="center"/>
              <w:textAlignment w:val="center"/>
              <w:rPr>
                <w:rFonts w:ascii="宋体" w:hAnsi="宋体" w:cs="宋体"/>
                <w:color w:val="000000"/>
                <w:szCs w:val="21"/>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0</w:t>
            </w:r>
          </w:p>
        </w:tc>
        <w:tc>
          <w:tcPr>
            <w:tcW w:w="3283" w:type="dxa"/>
            <w:tcBorders>
              <w:top w:val="single" w:color="000000" w:sz="4" w:space="0"/>
              <w:left w:val="single" w:color="000000" w:sz="4" w:space="0"/>
              <w:bottom w:val="single" w:color="000000" w:sz="4" w:space="0"/>
              <w:right w:val="single" w:color="000000" w:sz="4" w:space="0"/>
            </w:tcBorders>
            <w:vAlign w:val="center"/>
          </w:tcPr>
          <w:p w14:paraId="2BEBAE6B">
            <w:pPr>
              <w:pageBreakBefore w:val="0"/>
              <w:widowControl/>
              <w:kinsoku/>
              <w:wordWrap/>
              <w:overflowPunct/>
              <w:topLinePunct w:val="0"/>
              <w:bidi w:val="0"/>
              <w:ind w:left="0" w:leftChars="0" w:right="0"/>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（1）符合消防维保从业条件，得</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分。</w:t>
            </w:r>
          </w:p>
        </w:tc>
      </w:tr>
      <w:tr w14:paraId="628BDA39">
        <w:tblPrEx>
          <w:tblCellMar>
            <w:top w:w="0" w:type="dxa"/>
            <w:left w:w="108" w:type="dxa"/>
            <w:bottom w:w="0" w:type="dxa"/>
            <w:right w:w="108" w:type="dxa"/>
          </w:tblCellMar>
        </w:tblPrEx>
        <w:trPr>
          <w:trHeight w:val="640"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01376930">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1D6BA3DC">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36E9EF0E">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52887877">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901FFC">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1C7856A1">
            <w:pPr>
              <w:pageBreakBefore w:val="0"/>
              <w:widowControl/>
              <w:kinsoku/>
              <w:wordWrap/>
              <w:overflowPunct/>
              <w:topLinePunct w:val="0"/>
              <w:bidi w:val="0"/>
              <w:ind w:left="0" w:leftChars="0" w:right="0"/>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（2）具有消防设施工程专业承包施工资质</w:t>
            </w:r>
            <w:r>
              <w:rPr>
                <w:rFonts w:hint="eastAsia" w:ascii="宋体" w:hAnsi="宋体" w:cs="宋体"/>
                <w:color w:val="000000" w:themeColor="text1"/>
                <w:kern w:val="0"/>
                <w:szCs w:val="21"/>
                <w:highlight w:val="none"/>
                <w:lang w:val="en-US" w:eastAsia="zh-CN"/>
                <w14:textFill>
                  <w14:solidFill>
                    <w14:schemeClr w14:val="tx1"/>
                  </w14:solidFill>
                </w14:textFill>
              </w:rPr>
              <w:t>壹级</w:t>
            </w:r>
            <w:r>
              <w:rPr>
                <w:rFonts w:hint="eastAsia" w:ascii="宋体" w:hAnsi="宋体" w:cs="宋体"/>
                <w:color w:val="000000" w:themeColor="text1"/>
                <w:kern w:val="0"/>
                <w:szCs w:val="21"/>
                <w:highlight w:val="none"/>
                <w14:textFill>
                  <w14:solidFill>
                    <w14:schemeClr w14:val="tx1"/>
                  </w14:solidFill>
                </w14:textFill>
              </w:rPr>
              <w:t>，得</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分。</w:t>
            </w:r>
          </w:p>
        </w:tc>
      </w:tr>
      <w:tr w14:paraId="757AF2C4">
        <w:tblPrEx>
          <w:tblCellMar>
            <w:top w:w="0" w:type="dxa"/>
            <w:left w:w="108" w:type="dxa"/>
            <w:bottom w:w="0" w:type="dxa"/>
            <w:right w:w="108" w:type="dxa"/>
          </w:tblCellMar>
        </w:tblPrEx>
        <w:trPr>
          <w:trHeight w:val="580"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4D00656A">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11B57548">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438E4436">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337B4CED">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4A476EB">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3EF314A9">
            <w:pPr>
              <w:pageBreakBefore w:val="0"/>
              <w:widowControl/>
              <w:kinsoku/>
              <w:wordWrap/>
              <w:overflowPunct/>
              <w:topLinePunct w:val="0"/>
              <w:bidi w:val="0"/>
              <w:ind w:left="0" w:leftChars="0" w:right="0"/>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满足</w:t>
            </w:r>
            <w:r>
              <w:rPr>
                <w:rFonts w:hint="eastAsia" w:ascii="宋体" w:hAnsi="宋体" w:cs="宋体"/>
                <w:color w:val="000000" w:themeColor="text1"/>
                <w:kern w:val="0"/>
                <w:szCs w:val="21"/>
                <w:highlight w:val="none"/>
                <w14:textFill>
                  <w14:solidFill>
                    <w14:schemeClr w14:val="tx1"/>
                  </w14:solidFill>
                </w14:textFill>
              </w:rPr>
              <w:t>消防检测资质和消防安全评估</w:t>
            </w:r>
            <w:r>
              <w:rPr>
                <w:rFonts w:hint="eastAsia" w:ascii="宋体" w:hAnsi="宋体" w:cs="宋体"/>
                <w:color w:val="000000" w:themeColor="text1"/>
                <w:kern w:val="0"/>
                <w:szCs w:val="21"/>
                <w:highlight w:val="none"/>
                <w:lang w:val="en-US" w:eastAsia="zh-CN"/>
                <w14:textFill>
                  <w14:solidFill>
                    <w14:schemeClr w14:val="tx1"/>
                  </w14:solidFill>
                </w14:textFill>
              </w:rPr>
              <w:t>资格条件要求</w:t>
            </w:r>
            <w:r>
              <w:rPr>
                <w:rFonts w:hint="eastAsia" w:ascii="宋体" w:hAnsi="宋体" w:cs="宋体"/>
                <w:color w:val="000000" w:themeColor="text1"/>
                <w:kern w:val="0"/>
                <w:szCs w:val="21"/>
                <w:highlight w:val="none"/>
                <w14:textFill>
                  <w14:solidFill>
                    <w14:schemeClr w14:val="tx1"/>
                  </w14:solidFill>
                </w14:textFill>
              </w:rPr>
              <w:t>，得</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分</w:t>
            </w:r>
          </w:p>
        </w:tc>
      </w:tr>
      <w:tr w14:paraId="1F6B7211">
        <w:tblPrEx>
          <w:tblCellMar>
            <w:top w:w="0" w:type="dxa"/>
            <w:left w:w="108" w:type="dxa"/>
            <w:bottom w:w="0" w:type="dxa"/>
            <w:right w:w="108" w:type="dxa"/>
          </w:tblCellMar>
        </w:tblPrEx>
        <w:trPr>
          <w:trHeight w:val="600"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5B32FB37">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49047C72">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84F14BE">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0C2046FF">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2AA45EE">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3F4D9845">
            <w:pPr>
              <w:pageBreakBefore w:val="0"/>
              <w:widowControl/>
              <w:kinsoku/>
              <w:wordWrap/>
              <w:overflowPunct/>
              <w:topLinePunct w:val="0"/>
              <w:bidi w:val="0"/>
              <w:ind w:left="0" w:leftChars="0" w:right="0"/>
              <w:jc w:val="left"/>
              <w:textAlignment w:val="center"/>
              <w:rPr>
                <w:rFonts w:ascii="宋体" w:hAnsi="宋体" w:cs="宋体"/>
                <w:color w:val="auto"/>
                <w:szCs w:val="21"/>
              </w:rPr>
            </w:pPr>
            <w:r>
              <w:rPr>
                <w:rFonts w:hint="eastAsia" w:ascii="宋体" w:hAnsi="宋体" w:cs="宋体"/>
                <w:color w:val="auto"/>
                <w:kern w:val="0"/>
                <w:szCs w:val="21"/>
              </w:rPr>
              <w:t>（4）具有机电工程施工总承包贰级及以上资质，得</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p>
        </w:tc>
      </w:tr>
      <w:tr w14:paraId="7DCA148F">
        <w:tblPrEx>
          <w:tblCellMar>
            <w:top w:w="0" w:type="dxa"/>
            <w:left w:w="108" w:type="dxa"/>
            <w:bottom w:w="0" w:type="dxa"/>
            <w:right w:w="108" w:type="dxa"/>
          </w:tblCellMar>
        </w:tblPrEx>
        <w:trPr>
          <w:trHeight w:val="480"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5C7852B2">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43A8636B">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D336A80">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4DDA6281">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DCC77EC">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00C94104">
            <w:pPr>
              <w:pageBreakBefore w:val="0"/>
              <w:widowControl/>
              <w:kinsoku/>
              <w:wordWrap/>
              <w:overflowPunct/>
              <w:topLinePunct w:val="0"/>
              <w:bidi w:val="0"/>
              <w:ind w:left="0" w:leftChars="0" w:right="0"/>
              <w:jc w:val="left"/>
              <w:textAlignment w:val="center"/>
              <w:rPr>
                <w:rFonts w:hint="default"/>
                <w:color w:val="auto"/>
                <w:lang w:val="en-US" w:eastAsia="zh-CN"/>
              </w:rPr>
            </w:pPr>
            <w:r>
              <w:rPr>
                <w:rFonts w:hint="eastAsia" w:ascii="宋体" w:hAnsi="宋体" w:cs="宋体"/>
                <w:color w:val="auto"/>
                <w:kern w:val="0"/>
                <w:szCs w:val="21"/>
              </w:rPr>
              <w:t>（5）</w:t>
            </w:r>
            <w:r>
              <w:rPr>
                <w:rFonts w:hint="eastAsia" w:ascii="宋体" w:hAnsi="宋体" w:cs="宋体"/>
                <w:color w:val="auto"/>
                <w:kern w:val="0"/>
                <w:szCs w:val="21"/>
                <w:lang w:val="en-US" w:eastAsia="zh-CN"/>
              </w:rPr>
              <w:t>具有消防设施工程设计资质乙级及以上，得6分</w:t>
            </w:r>
          </w:p>
        </w:tc>
      </w:tr>
      <w:tr w14:paraId="4F5C4FD7">
        <w:tblPrEx>
          <w:tblCellMar>
            <w:top w:w="0" w:type="dxa"/>
            <w:left w:w="108" w:type="dxa"/>
            <w:bottom w:w="0" w:type="dxa"/>
            <w:right w:w="108" w:type="dxa"/>
          </w:tblCellMar>
        </w:tblPrEx>
        <w:trPr>
          <w:trHeight w:val="765"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678DEEFF">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6C345B84">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608796D">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5D13BF7A">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0776B0CA">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67648D02">
            <w:pPr>
              <w:pageBreakBefore w:val="0"/>
              <w:widowControl/>
              <w:kinsoku/>
              <w:wordWrap/>
              <w:overflowPunct/>
              <w:topLinePunct w:val="0"/>
              <w:bidi w:val="0"/>
              <w:ind w:left="0" w:leftChars="0" w:right="0"/>
              <w:jc w:val="left"/>
              <w:textAlignment w:val="center"/>
              <w:rPr>
                <w:rFonts w:hint="eastAsia" w:ascii="宋体" w:hAnsi="宋体" w:cs="宋体"/>
                <w:color w:val="auto"/>
                <w:kern w:val="0"/>
                <w:szCs w:val="21"/>
              </w:rPr>
            </w:pPr>
            <w:r>
              <w:rPr>
                <w:rFonts w:hint="eastAsia" w:ascii="宋体" w:hAnsi="宋体" w:cs="宋体"/>
                <w:color w:val="auto"/>
                <w:kern w:val="0"/>
                <w:szCs w:val="21"/>
              </w:rPr>
              <w:t>（6）具有高新技术企业认证体系认证得</w:t>
            </w:r>
            <w:r>
              <w:rPr>
                <w:rFonts w:hint="eastAsia" w:ascii="宋体" w:hAnsi="宋体" w:cs="宋体"/>
                <w:color w:val="auto"/>
                <w:kern w:val="0"/>
                <w:szCs w:val="21"/>
                <w:lang w:val="en-US" w:eastAsia="zh-CN"/>
              </w:rPr>
              <w:t>9</w:t>
            </w:r>
            <w:r>
              <w:rPr>
                <w:rFonts w:hint="eastAsia" w:ascii="宋体" w:hAnsi="宋体" w:cs="宋体"/>
                <w:color w:val="auto"/>
                <w:kern w:val="0"/>
                <w:szCs w:val="21"/>
              </w:rPr>
              <w:t>分。</w:t>
            </w:r>
          </w:p>
        </w:tc>
      </w:tr>
      <w:tr w14:paraId="008FF1FE">
        <w:tblPrEx>
          <w:tblCellMar>
            <w:top w:w="0" w:type="dxa"/>
            <w:left w:w="108" w:type="dxa"/>
            <w:bottom w:w="0" w:type="dxa"/>
            <w:right w:w="108" w:type="dxa"/>
          </w:tblCellMar>
        </w:tblPrEx>
        <w:trPr>
          <w:trHeight w:val="860"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7A78943E">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76B9AE1F">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68C19128">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61472A92">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8A0E3A1">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6F27178F">
            <w:pPr>
              <w:pageBreakBefore w:val="0"/>
              <w:widowControl/>
              <w:kinsoku/>
              <w:wordWrap/>
              <w:overflowPunct/>
              <w:topLinePunct w:val="0"/>
              <w:bidi w:val="0"/>
              <w:ind w:left="0" w:leftChars="0" w:right="0"/>
              <w:jc w:val="left"/>
              <w:textAlignment w:val="center"/>
              <w:rPr>
                <w:rFonts w:hint="eastAsia" w:ascii="宋体" w:hAnsi="宋体" w:cs="宋体"/>
                <w:color w:val="auto"/>
                <w:kern w:val="0"/>
                <w:szCs w:val="21"/>
              </w:rPr>
            </w:pPr>
            <w:r>
              <w:rPr>
                <w:rFonts w:hint="eastAsia" w:ascii="宋体" w:hAnsi="宋体" w:cs="宋体"/>
                <w:color w:val="auto"/>
                <w:kern w:val="0"/>
                <w:szCs w:val="21"/>
              </w:rPr>
              <w:t>（7）维保技术人员具有机电工程注册建造师资质证书，一级得2分，每名工程师得2分，最高得</w:t>
            </w:r>
            <w:r>
              <w:rPr>
                <w:rFonts w:hint="eastAsia" w:ascii="宋体" w:hAnsi="宋体" w:cs="宋体"/>
                <w:color w:val="auto"/>
                <w:kern w:val="0"/>
                <w:szCs w:val="21"/>
                <w:lang w:val="en-US" w:eastAsia="zh-CN"/>
              </w:rPr>
              <w:t>8</w:t>
            </w:r>
            <w:r>
              <w:rPr>
                <w:rFonts w:hint="eastAsia" w:ascii="宋体" w:hAnsi="宋体" w:cs="宋体"/>
                <w:color w:val="auto"/>
                <w:kern w:val="0"/>
                <w:szCs w:val="21"/>
              </w:rPr>
              <w:t>分。</w:t>
            </w:r>
          </w:p>
        </w:tc>
      </w:tr>
      <w:tr w14:paraId="72CFD9C9">
        <w:tblPrEx>
          <w:tblCellMar>
            <w:top w:w="0" w:type="dxa"/>
            <w:left w:w="108" w:type="dxa"/>
            <w:bottom w:w="0" w:type="dxa"/>
            <w:right w:w="108" w:type="dxa"/>
          </w:tblCellMar>
        </w:tblPrEx>
        <w:trPr>
          <w:trHeight w:val="1061"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11408BEA">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42A1FA02">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4A498811">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3E529AAE">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99A2ECB">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133080EB">
            <w:pPr>
              <w:pageBreakBefore w:val="0"/>
              <w:widowControl/>
              <w:kinsoku/>
              <w:wordWrap/>
              <w:overflowPunct/>
              <w:topLinePunct w:val="0"/>
              <w:bidi w:val="0"/>
              <w:ind w:left="0" w:leftChars="0" w:right="0"/>
              <w:jc w:val="left"/>
              <w:textAlignment w:val="center"/>
              <w:rPr>
                <w:rFonts w:ascii="宋体" w:hAnsi="宋体" w:cs="宋体"/>
                <w:color w:val="auto"/>
                <w:szCs w:val="21"/>
              </w:rPr>
            </w:pPr>
            <w:r>
              <w:rPr>
                <w:rFonts w:hint="eastAsia" w:ascii="宋体" w:hAnsi="宋体" w:cs="宋体"/>
                <w:color w:val="auto"/>
                <w:kern w:val="0"/>
                <w:szCs w:val="21"/>
              </w:rPr>
              <w:t>（8）维保项目负责人应具有消防工程师证书；</w:t>
            </w:r>
            <w:r>
              <w:rPr>
                <w:rFonts w:hint="eastAsia" w:ascii="宋体" w:hAnsi="宋体" w:cs="宋体"/>
                <w:color w:val="auto"/>
                <w:kern w:val="0"/>
                <w:szCs w:val="21"/>
                <w:lang w:val="en-US" w:eastAsia="zh-CN"/>
              </w:rPr>
              <w:t>维保技术人员每有1名持有</w:t>
            </w:r>
            <w:r>
              <w:rPr>
                <w:rFonts w:hint="eastAsia" w:ascii="宋体" w:hAnsi="宋体" w:cs="宋体"/>
                <w:color w:val="auto"/>
                <w:kern w:val="0"/>
                <w:szCs w:val="21"/>
              </w:rPr>
              <w:t>一级</w:t>
            </w:r>
            <w:r>
              <w:rPr>
                <w:rFonts w:hint="eastAsia" w:ascii="宋体" w:hAnsi="宋体" w:cs="宋体"/>
                <w:color w:val="auto"/>
                <w:kern w:val="0"/>
                <w:szCs w:val="21"/>
                <w:lang w:val="en-US" w:eastAsia="zh-CN"/>
              </w:rPr>
              <w:t>证书</w:t>
            </w:r>
            <w:r>
              <w:rPr>
                <w:rFonts w:hint="eastAsia" w:ascii="宋体" w:hAnsi="宋体" w:cs="宋体"/>
                <w:color w:val="auto"/>
                <w:kern w:val="0"/>
                <w:szCs w:val="21"/>
              </w:rPr>
              <w:t>得3分，最高得</w:t>
            </w:r>
            <w:r>
              <w:rPr>
                <w:rFonts w:hint="eastAsia" w:ascii="宋体" w:hAnsi="宋体" w:cs="宋体"/>
                <w:color w:val="auto"/>
                <w:kern w:val="0"/>
                <w:szCs w:val="21"/>
                <w:lang w:val="en-US" w:eastAsia="zh-CN"/>
              </w:rPr>
              <w:t>12</w:t>
            </w:r>
            <w:r>
              <w:rPr>
                <w:rFonts w:hint="eastAsia" w:ascii="宋体" w:hAnsi="宋体" w:cs="宋体"/>
                <w:color w:val="auto"/>
                <w:kern w:val="0"/>
                <w:szCs w:val="21"/>
              </w:rPr>
              <w:t>分。</w:t>
            </w:r>
          </w:p>
        </w:tc>
      </w:tr>
      <w:tr w14:paraId="52780A72">
        <w:tblPrEx>
          <w:tblCellMar>
            <w:top w:w="0" w:type="dxa"/>
            <w:left w:w="108" w:type="dxa"/>
            <w:bottom w:w="0" w:type="dxa"/>
            <w:right w:w="108" w:type="dxa"/>
          </w:tblCellMar>
        </w:tblPrEx>
        <w:trPr>
          <w:trHeight w:val="1016"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4AF9F2D0">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6736FDAA">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DA13A03">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1BAFB8DC">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0589CB5">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5BCD94B2">
            <w:pPr>
              <w:pageBreakBefore w:val="0"/>
              <w:widowControl/>
              <w:kinsoku/>
              <w:wordWrap/>
              <w:overflowPunct/>
              <w:topLinePunct w:val="0"/>
              <w:bidi w:val="0"/>
              <w:ind w:left="0" w:leftChars="0" w:right="0"/>
              <w:jc w:val="left"/>
              <w:textAlignment w:val="center"/>
              <w:rPr>
                <w:rFonts w:ascii="宋体" w:hAnsi="宋体" w:cs="宋体"/>
                <w:color w:val="auto"/>
                <w:szCs w:val="21"/>
              </w:rPr>
            </w:pPr>
            <w:r>
              <w:rPr>
                <w:rFonts w:hint="eastAsia" w:ascii="宋体" w:hAnsi="宋体" w:cs="宋体"/>
                <w:color w:val="auto"/>
                <w:kern w:val="0"/>
                <w:szCs w:val="21"/>
              </w:rPr>
              <w:t>（9）维保技术人员应具有建筑构消防员资质证书，每名工程师得2分，最高得</w:t>
            </w:r>
            <w:r>
              <w:rPr>
                <w:rFonts w:hint="eastAsia" w:ascii="宋体" w:hAnsi="宋体" w:cs="宋体"/>
                <w:color w:val="auto"/>
                <w:kern w:val="0"/>
                <w:szCs w:val="21"/>
                <w:lang w:val="en-US" w:eastAsia="zh-CN"/>
              </w:rPr>
              <w:t>8</w:t>
            </w:r>
            <w:r>
              <w:rPr>
                <w:rFonts w:hint="eastAsia" w:ascii="宋体" w:hAnsi="宋体" w:cs="宋体"/>
                <w:color w:val="auto"/>
                <w:kern w:val="0"/>
                <w:szCs w:val="21"/>
              </w:rPr>
              <w:t>分。</w:t>
            </w:r>
          </w:p>
        </w:tc>
      </w:tr>
      <w:tr w14:paraId="3D08D29F">
        <w:tblPrEx>
          <w:tblCellMar>
            <w:top w:w="0" w:type="dxa"/>
            <w:left w:w="108" w:type="dxa"/>
            <w:bottom w:w="0" w:type="dxa"/>
            <w:right w:w="108" w:type="dxa"/>
          </w:tblCellMar>
        </w:tblPrEx>
        <w:trPr>
          <w:trHeight w:val="1373"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76076408">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516B1F04">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17EADC07">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39137043">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A6F0282">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38A1C40A">
            <w:pPr>
              <w:pageBreakBefore w:val="0"/>
              <w:widowControl/>
              <w:kinsoku/>
              <w:wordWrap/>
              <w:overflowPunct/>
              <w:topLinePunct w:val="0"/>
              <w:bidi w:val="0"/>
              <w:ind w:left="0" w:leftChars="0" w:right="0"/>
              <w:jc w:val="left"/>
              <w:textAlignment w:val="center"/>
              <w:rPr>
                <w:rFonts w:ascii="宋体" w:hAnsi="宋体" w:cs="宋体"/>
                <w:color w:val="auto"/>
                <w:szCs w:val="21"/>
              </w:rPr>
            </w:pPr>
            <w:r>
              <w:rPr>
                <w:rFonts w:hint="eastAsia" w:ascii="宋体" w:hAnsi="宋体" w:cs="宋体"/>
                <w:color w:val="auto"/>
                <w:kern w:val="0"/>
                <w:szCs w:val="21"/>
              </w:rPr>
              <w:t>（10）维保技术人员具有山东省住房城乡建设厅建筑施工企业安全生产颁发的电工相关证书</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或应急管理局颁发的电工相关证书</w:t>
            </w:r>
            <w:r>
              <w:rPr>
                <w:rFonts w:hint="eastAsia" w:ascii="宋体" w:hAnsi="宋体" w:cs="宋体"/>
                <w:color w:val="auto"/>
                <w:kern w:val="0"/>
                <w:szCs w:val="21"/>
              </w:rPr>
              <w:t>，每名的2分，最高得</w:t>
            </w:r>
            <w:r>
              <w:rPr>
                <w:rFonts w:hint="eastAsia" w:ascii="宋体" w:hAnsi="宋体" w:cs="宋体"/>
                <w:color w:val="auto"/>
                <w:kern w:val="0"/>
                <w:szCs w:val="21"/>
                <w:lang w:val="en-US" w:eastAsia="zh-CN"/>
              </w:rPr>
              <w:t>8</w:t>
            </w:r>
            <w:r>
              <w:rPr>
                <w:rFonts w:hint="eastAsia" w:ascii="宋体" w:hAnsi="宋体" w:cs="宋体"/>
                <w:color w:val="auto"/>
                <w:kern w:val="0"/>
                <w:szCs w:val="21"/>
              </w:rPr>
              <w:t>分。</w:t>
            </w:r>
          </w:p>
        </w:tc>
      </w:tr>
      <w:tr w14:paraId="6447BDAA">
        <w:tblPrEx>
          <w:tblCellMar>
            <w:top w:w="0" w:type="dxa"/>
            <w:left w:w="108" w:type="dxa"/>
            <w:bottom w:w="0" w:type="dxa"/>
            <w:right w:w="108" w:type="dxa"/>
          </w:tblCellMar>
        </w:tblPrEx>
        <w:trPr>
          <w:trHeight w:val="1046"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0DC1799F">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704F8D66">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25EDBD69">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vMerge w:val="continue"/>
            <w:tcBorders>
              <w:top w:val="single" w:color="000000" w:sz="4" w:space="0"/>
              <w:left w:val="single" w:color="000000" w:sz="4" w:space="0"/>
              <w:bottom w:val="single" w:color="000000" w:sz="4" w:space="0"/>
              <w:right w:val="single" w:color="000000" w:sz="4" w:space="0"/>
            </w:tcBorders>
            <w:vAlign w:val="center"/>
          </w:tcPr>
          <w:p w14:paraId="3F38E7FB">
            <w:pPr>
              <w:pageBreakBefore w:val="0"/>
              <w:kinsoku/>
              <w:wordWrap/>
              <w:overflowPunct/>
              <w:topLinePunct w:val="0"/>
              <w:bidi w:val="0"/>
              <w:ind w:left="0" w:leftChars="0" w:right="0"/>
              <w:jc w:val="center"/>
              <w:rPr>
                <w:rFonts w:ascii="宋体" w:hAnsi="宋体" w:cs="宋体"/>
                <w:color w:val="00000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559551A">
            <w:pPr>
              <w:pageBreakBefore w:val="0"/>
              <w:kinsoku/>
              <w:wordWrap/>
              <w:overflowPunct/>
              <w:topLinePunct w:val="0"/>
              <w:bidi w:val="0"/>
              <w:ind w:left="0" w:leftChars="0" w:right="0"/>
              <w:jc w:val="center"/>
              <w:rPr>
                <w:rFonts w:ascii="宋体" w:hAnsi="宋体" w:cs="宋体"/>
                <w:color w:val="00000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55CB86D6">
            <w:pPr>
              <w:pageBreakBefore w:val="0"/>
              <w:widowControl/>
              <w:kinsoku/>
              <w:wordWrap/>
              <w:overflowPunct/>
              <w:topLinePunct w:val="0"/>
              <w:bidi w:val="0"/>
              <w:ind w:left="0" w:leftChars="0" w:right="0"/>
              <w:jc w:val="left"/>
              <w:textAlignment w:val="center"/>
              <w:rPr>
                <w:rFonts w:ascii="宋体" w:hAnsi="宋体" w:cs="宋体"/>
                <w:color w:val="auto"/>
                <w:szCs w:val="21"/>
              </w:rPr>
            </w:pPr>
            <w:r>
              <w:rPr>
                <w:rFonts w:hint="eastAsia" w:ascii="宋体" w:hAnsi="宋体" w:cs="宋体"/>
                <w:color w:val="auto"/>
                <w:kern w:val="0"/>
                <w:szCs w:val="21"/>
              </w:rPr>
              <w:t>（11）中控室值班人员具备中级职业操作证书，每名得</w:t>
            </w:r>
            <w:r>
              <w:rPr>
                <w:rFonts w:hint="eastAsia" w:ascii="宋体" w:hAnsi="宋体" w:cs="宋体"/>
                <w:color w:val="auto"/>
                <w:kern w:val="0"/>
                <w:szCs w:val="21"/>
                <w:lang w:val="en-US" w:eastAsia="zh-CN"/>
              </w:rPr>
              <w:t>1</w:t>
            </w:r>
            <w:r>
              <w:rPr>
                <w:rFonts w:hint="eastAsia" w:ascii="宋体" w:hAnsi="宋体" w:cs="宋体"/>
                <w:color w:val="auto"/>
                <w:kern w:val="0"/>
                <w:szCs w:val="21"/>
              </w:rPr>
              <w:t>分，最高</w:t>
            </w:r>
            <w:r>
              <w:rPr>
                <w:rFonts w:hint="eastAsia" w:ascii="宋体" w:hAnsi="宋体" w:cs="宋体"/>
                <w:color w:val="auto"/>
                <w:kern w:val="0"/>
                <w:szCs w:val="21"/>
                <w:lang w:val="en-US" w:eastAsia="zh-CN"/>
              </w:rPr>
              <w:t>8</w:t>
            </w:r>
            <w:r>
              <w:rPr>
                <w:rFonts w:hint="eastAsia" w:ascii="宋体" w:hAnsi="宋体" w:cs="宋体"/>
                <w:color w:val="auto"/>
                <w:kern w:val="0"/>
                <w:szCs w:val="21"/>
              </w:rPr>
              <w:t>分。</w:t>
            </w:r>
          </w:p>
        </w:tc>
      </w:tr>
      <w:tr w14:paraId="05F9C05E">
        <w:tblPrEx>
          <w:tblCellMar>
            <w:top w:w="0" w:type="dxa"/>
            <w:left w:w="108" w:type="dxa"/>
            <w:bottom w:w="0" w:type="dxa"/>
            <w:right w:w="108" w:type="dxa"/>
          </w:tblCellMar>
        </w:tblPrEx>
        <w:trPr>
          <w:trHeight w:val="862"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14:paraId="7C007568">
            <w:pPr>
              <w:pageBreakBefore w:val="0"/>
              <w:kinsoku/>
              <w:wordWrap/>
              <w:overflowPunct/>
              <w:topLinePunct w:val="0"/>
              <w:bidi w:val="0"/>
              <w:ind w:left="0" w:leftChars="0" w:right="0"/>
              <w:jc w:val="center"/>
              <w:rPr>
                <w:rFonts w:ascii="宋体" w:hAnsi="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14:paraId="164F216F">
            <w:pPr>
              <w:pageBreakBefore w:val="0"/>
              <w:kinsoku/>
              <w:wordWrap/>
              <w:overflowPunct/>
              <w:topLinePunct w:val="0"/>
              <w:bidi w:val="0"/>
              <w:ind w:left="0" w:leftChars="0" w:right="0"/>
              <w:jc w:val="center"/>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55C3A499">
            <w:pPr>
              <w:pageBreakBefore w:val="0"/>
              <w:kinsoku/>
              <w:wordWrap/>
              <w:overflowPunct/>
              <w:topLinePunct w:val="0"/>
              <w:bidi w:val="0"/>
              <w:ind w:left="0" w:leftChars="0" w:right="0"/>
              <w:jc w:val="cente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vAlign w:val="center"/>
          </w:tcPr>
          <w:p w14:paraId="49D12107">
            <w:pPr>
              <w:pageBreakBefore w:val="0"/>
              <w:widowControl/>
              <w:kinsoku/>
              <w:wordWrap/>
              <w:overflowPunct/>
              <w:topLinePunct w:val="0"/>
              <w:bidi w:val="0"/>
              <w:ind w:left="0" w:leftChars="0" w:right="0"/>
              <w:jc w:val="center"/>
              <w:textAlignment w:val="center"/>
              <w:rPr>
                <w:rFonts w:hint="eastAsia" w:ascii="宋体" w:hAnsi="宋体" w:cs="宋体"/>
                <w:color w:val="000000"/>
                <w:kern w:val="0"/>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7E31135D">
            <w:pPr>
              <w:pageBreakBefore w:val="0"/>
              <w:widowControl/>
              <w:kinsoku/>
              <w:wordWrap/>
              <w:overflowPunct/>
              <w:topLinePunct w:val="0"/>
              <w:bidi w:val="0"/>
              <w:ind w:left="0" w:leftChars="0" w:right="0"/>
              <w:jc w:val="center"/>
              <w:textAlignment w:val="center"/>
              <w:rPr>
                <w:rFonts w:hint="eastAsia" w:ascii="宋体" w:hAnsi="宋体" w:cs="宋体"/>
                <w:color w:val="000000"/>
                <w:kern w:val="0"/>
                <w:szCs w:val="21"/>
              </w:rPr>
            </w:pPr>
          </w:p>
        </w:tc>
        <w:tc>
          <w:tcPr>
            <w:tcW w:w="3283" w:type="dxa"/>
            <w:tcBorders>
              <w:top w:val="single" w:color="000000" w:sz="4" w:space="0"/>
              <w:left w:val="single" w:color="000000" w:sz="4" w:space="0"/>
              <w:bottom w:val="single" w:color="000000" w:sz="4" w:space="0"/>
              <w:right w:val="single" w:color="000000" w:sz="4" w:space="0"/>
            </w:tcBorders>
            <w:vAlign w:val="center"/>
          </w:tcPr>
          <w:p w14:paraId="1E39A1BE">
            <w:pPr>
              <w:pageBreakBefore w:val="0"/>
              <w:widowControl/>
              <w:kinsoku/>
              <w:wordWrap/>
              <w:overflowPunct/>
              <w:topLinePunct w:val="0"/>
              <w:bidi w:val="0"/>
              <w:ind w:left="0" w:leftChars="0" w:right="0"/>
              <w:jc w:val="left"/>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）消防设施维护、保养、检测</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中控室值班</w:t>
            </w:r>
            <w:r>
              <w:rPr>
                <w:rFonts w:hint="eastAsia" w:ascii="宋体" w:hAnsi="宋体" w:cs="宋体"/>
                <w:color w:val="auto"/>
                <w:kern w:val="0"/>
                <w:szCs w:val="21"/>
              </w:rPr>
              <w:t>或消防设施维修</w:t>
            </w:r>
            <w:r>
              <w:rPr>
                <w:rFonts w:hint="eastAsia" w:ascii="宋体" w:hAnsi="宋体" w:cs="宋体"/>
                <w:color w:val="auto"/>
                <w:kern w:val="0"/>
                <w:szCs w:val="21"/>
                <w:lang w:eastAsia="zh-CN"/>
              </w:rPr>
              <w:t>，</w:t>
            </w:r>
            <w:r>
              <w:rPr>
                <w:rFonts w:hint="eastAsia" w:ascii="宋体" w:hAnsi="宋体" w:cs="宋体"/>
                <w:color w:val="auto"/>
                <w:kern w:val="0"/>
                <w:szCs w:val="21"/>
              </w:rPr>
              <w:t>有效业绩累计金额不足</w:t>
            </w:r>
            <w:r>
              <w:rPr>
                <w:rFonts w:hint="eastAsia" w:ascii="宋体" w:hAnsi="宋体" w:cs="宋体"/>
                <w:color w:val="auto"/>
                <w:kern w:val="0"/>
                <w:szCs w:val="21"/>
                <w:lang w:val="en-US" w:eastAsia="zh-CN"/>
              </w:rPr>
              <w:t>100</w:t>
            </w:r>
            <w:r>
              <w:rPr>
                <w:rFonts w:hint="eastAsia" w:ascii="宋体" w:hAnsi="宋体" w:cs="宋体"/>
                <w:color w:val="auto"/>
                <w:kern w:val="0"/>
                <w:szCs w:val="21"/>
              </w:rPr>
              <w:t>万元不得分</w:t>
            </w:r>
            <w:r>
              <w:rPr>
                <w:rFonts w:hint="eastAsia" w:ascii="宋体" w:hAnsi="宋体" w:cs="宋体"/>
                <w:color w:val="auto"/>
                <w:kern w:val="0"/>
                <w:szCs w:val="21"/>
                <w:lang w:eastAsia="zh-CN"/>
              </w:rPr>
              <w:t>，</w:t>
            </w:r>
            <w:r>
              <w:rPr>
                <w:rFonts w:hint="eastAsia" w:ascii="宋体" w:hAnsi="宋体" w:cs="宋体"/>
                <w:color w:val="auto"/>
                <w:kern w:val="0"/>
                <w:szCs w:val="21"/>
              </w:rPr>
              <w:t>达到</w:t>
            </w:r>
            <w:r>
              <w:rPr>
                <w:rFonts w:hint="eastAsia" w:ascii="宋体" w:hAnsi="宋体" w:cs="宋体"/>
                <w:color w:val="auto"/>
                <w:kern w:val="0"/>
                <w:szCs w:val="21"/>
                <w:lang w:val="en-US" w:eastAsia="zh-CN"/>
              </w:rPr>
              <w:t>100</w:t>
            </w:r>
            <w:r>
              <w:rPr>
                <w:rFonts w:hint="eastAsia" w:ascii="宋体" w:hAnsi="宋体" w:cs="宋体"/>
                <w:color w:val="auto"/>
                <w:kern w:val="0"/>
                <w:szCs w:val="21"/>
              </w:rPr>
              <w:t>万元得</w:t>
            </w:r>
            <w:r>
              <w:rPr>
                <w:rFonts w:hint="eastAsia" w:ascii="宋体" w:hAnsi="宋体" w:cs="宋体"/>
                <w:color w:val="auto"/>
                <w:kern w:val="0"/>
                <w:szCs w:val="21"/>
                <w:lang w:val="en-US" w:eastAsia="zh-CN"/>
              </w:rPr>
              <w:t>4</w:t>
            </w:r>
            <w:r>
              <w:rPr>
                <w:rFonts w:hint="eastAsia" w:ascii="宋体" w:hAnsi="宋体" w:cs="宋体"/>
                <w:color w:val="auto"/>
                <w:kern w:val="0"/>
                <w:szCs w:val="21"/>
              </w:rPr>
              <w:t>分，在此基础上每增加</w:t>
            </w:r>
            <w:r>
              <w:rPr>
                <w:rFonts w:hint="eastAsia" w:ascii="宋体" w:hAnsi="宋体" w:cs="宋体"/>
                <w:color w:val="auto"/>
                <w:kern w:val="0"/>
                <w:szCs w:val="21"/>
                <w:lang w:val="en-US" w:eastAsia="zh-CN"/>
              </w:rPr>
              <w:t>50</w:t>
            </w:r>
            <w:r>
              <w:rPr>
                <w:rFonts w:hint="eastAsia" w:ascii="宋体" w:hAnsi="宋体" w:cs="宋体"/>
                <w:color w:val="auto"/>
                <w:kern w:val="0"/>
                <w:szCs w:val="21"/>
              </w:rPr>
              <w:t>万元得</w:t>
            </w:r>
            <w:r>
              <w:rPr>
                <w:rFonts w:hint="eastAsia" w:ascii="宋体" w:hAnsi="宋体" w:cs="宋体"/>
                <w:color w:val="auto"/>
                <w:kern w:val="0"/>
                <w:szCs w:val="21"/>
                <w:lang w:val="en-US" w:eastAsia="zh-CN"/>
              </w:rPr>
              <w:t>2</w:t>
            </w:r>
            <w:r>
              <w:rPr>
                <w:rFonts w:hint="eastAsia" w:ascii="宋体" w:hAnsi="宋体" w:cs="宋体"/>
                <w:color w:val="auto"/>
                <w:kern w:val="0"/>
                <w:szCs w:val="21"/>
              </w:rPr>
              <w:t>分，最多得</w:t>
            </w:r>
            <w:r>
              <w:rPr>
                <w:rFonts w:hint="eastAsia" w:ascii="宋体" w:hAnsi="宋体" w:cs="宋体"/>
                <w:color w:val="auto"/>
                <w:kern w:val="0"/>
                <w:szCs w:val="21"/>
                <w:lang w:val="en-US" w:eastAsia="zh-CN"/>
              </w:rPr>
              <w:t>8</w:t>
            </w:r>
            <w:r>
              <w:rPr>
                <w:rFonts w:hint="eastAsia" w:ascii="宋体" w:hAnsi="宋体" w:cs="宋体"/>
                <w:color w:val="auto"/>
                <w:kern w:val="0"/>
                <w:szCs w:val="21"/>
              </w:rPr>
              <w:t>分。</w:t>
            </w:r>
          </w:p>
        </w:tc>
      </w:tr>
      <w:tr w14:paraId="6AE90280">
        <w:tblPrEx>
          <w:tblCellMar>
            <w:top w:w="0" w:type="dxa"/>
            <w:left w:w="108" w:type="dxa"/>
            <w:bottom w:w="0" w:type="dxa"/>
            <w:right w:w="108" w:type="dxa"/>
          </w:tblCellMar>
        </w:tblPrEx>
        <w:trPr>
          <w:trHeight w:val="990" w:hRule="atLeast"/>
        </w:trPr>
        <w:tc>
          <w:tcPr>
            <w:tcW w:w="8429" w:type="dxa"/>
            <w:gridSpan w:val="6"/>
            <w:tcBorders>
              <w:top w:val="single" w:color="000000" w:sz="4" w:space="0"/>
              <w:left w:val="single" w:color="000000" w:sz="4" w:space="0"/>
              <w:bottom w:val="single" w:color="000000" w:sz="4" w:space="0"/>
              <w:right w:val="single" w:color="000000" w:sz="4" w:space="0"/>
            </w:tcBorders>
            <w:noWrap/>
            <w:vAlign w:val="center"/>
          </w:tcPr>
          <w:p w14:paraId="36B2C447">
            <w:pPr>
              <w:pageBreakBefore w:val="0"/>
              <w:widowControl/>
              <w:kinsoku/>
              <w:wordWrap/>
              <w:overflowPunct/>
              <w:topLinePunct w:val="0"/>
              <w:bidi w:val="0"/>
              <w:ind w:left="0" w:leftChars="0" w:right="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注：技术标低于80分不得入围商务标。</w:t>
            </w:r>
          </w:p>
        </w:tc>
      </w:tr>
      <w:tr w14:paraId="72E9119E">
        <w:tblPrEx>
          <w:tblCellMar>
            <w:top w:w="0" w:type="dxa"/>
            <w:left w:w="108" w:type="dxa"/>
            <w:bottom w:w="0" w:type="dxa"/>
            <w:right w:w="108" w:type="dxa"/>
          </w:tblCellMar>
        </w:tblPrEx>
        <w:trPr>
          <w:trHeight w:val="99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14:paraId="6F0ADB48">
            <w:pPr>
              <w:pageBreakBefore w:val="0"/>
              <w:widowControl/>
              <w:kinsoku/>
              <w:wordWrap/>
              <w:overflowPunct/>
              <w:topLinePunct w:val="0"/>
              <w:bidi w:val="0"/>
              <w:ind w:left="0" w:leftChars="0" w:right="0"/>
              <w:jc w:val="center"/>
              <w:textAlignment w:val="center"/>
              <w:rPr>
                <w:rFonts w:ascii="宋体" w:hAnsi="宋体" w:cs="宋体"/>
                <w:color w:val="000000"/>
                <w:sz w:val="24"/>
              </w:rPr>
            </w:pPr>
            <w:r>
              <w:rPr>
                <w:rFonts w:hint="eastAsia" w:ascii="宋体" w:hAnsi="宋体" w:cs="宋体"/>
                <w:color w:val="000000"/>
                <w:kern w:val="0"/>
                <w:sz w:val="24"/>
              </w:rPr>
              <w:t>2</w:t>
            </w:r>
          </w:p>
        </w:tc>
        <w:tc>
          <w:tcPr>
            <w:tcW w:w="1212" w:type="dxa"/>
            <w:tcBorders>
              <w:top w:val="single" w:color="000000" w:sz="4" w:space="0"/>
              <w:left w:val="single" w:color="000000" w:sz="4" w:space="0"/>
              <w:bottom w:val="single" w:color="000000" w:sz="4" w:space="0"/>
              <w:right w:val="single" w:color="000000" w:sz="4" w:space="0"/>
            </w:tcBorders>
            <w:vAlign w:val="center"/>
          </w:tcPr>
          <w:p w14:paraId="7EB12978">
            <w:pPr>
              <w:pageBreakBefore w:val="0"/>
              <w:widowControl/>
              <w:kinsoku/>
              <w:wordWrap/>
              <w:overflowPunct/>
              <w:topLinePunct w:val="0"/>
              <w:bidi w:val="0"/>
              <w:ind w:left="0" w:leftChars="0" w:right="0"/>
              <w:jc w:val="center"/>
              <w:textAlignment w:val="center"/>
              <w:rPr>
                <w:rFonts w:ascii="宋体" w:hAnsi="宋体" w:cs="宋体"/>
                <w:color w:val="000000"/>
                <w:sz w:val="22"/>
                <w:szCs w:val="22"/>
              </w:rPr>
            </w:pPr>
            <w:r>
              <w:rPr>
                <w:rFonts w:hint="eastAsia" w:ascii="宋体" w:hAnsi="宋体" w:cs="宋体"/>
                <w:color w:val="000000"/>
                <w:kern w:val="0"/>
                <w:sz w:val="22"/>
                <w:szCs w:val="22"/>
              </w:rPr>
              <w:t>商务标</w:t>
            </w:r>
          </w:p>
        </w:tc>
        <w:tc>
          <w:tcPr>
            <w:tcW w:w="6439" w:type="dxa"/>
            <w:gridSpan w:val="4"/>
            <w:tcBorders>
              <w:top w:val="single" w:color="000000" w:sz="4" w:space="0"/>
              <w:left w:val="single" w:color="000000" w:sz="4" w:space="0"/>
              <w:bottom w:val="single" w:color="000000" w:sz="4" w:space="0"/>
              <w:right w:val="single" w:color="000000" w:sz="4" w:space="0"/>
            </w:tcBorders>
            <w:vAlign w:val="center"/>
          </w:tcPr>
          <w:p w14:paraId="192BDA18">
            <w:pPr>
              <w:pageBreakBefore w:val="0"/>
              <w:widowControl/>
              <w:kinsoku/>
              <w:wordWrap/>
              <w:overflowPunct/>
              <w:topLinePunct w:val="0"/>
              <w:bidi w:val="0"/>
              <w:ind w:left="0" w:leftChars="0" w:right="0"/>
              <w:jc w:val="left"/>
              <w:textAlignment w:val="center"/>
              <w:rPr>
                <w:rFonts w:ascii="宋体" w:hAnsi="宋体" w:cs="宋体"/>
                <w:color w:val="000000"/>
                <w:szCs w:val="21"/>
              </w:rPr>
            </w:pPr>
            <w:r>
              <w:rPr>
                <w:rFonts w:hint="eastAsia" w:ascii="宋体" w:hAnsi="宋体" w:cs="宋体"/>
                <w:i w:val="0"/>
                <w:iCs w:val="0"/>
                <w:color w:val="000000"/>
                <w:kern w:val="0"/>
                <w:sz w:val="21"/>
                <w:szCs w:val="21"/>
                <w:u w:val="none"/>
                <w:lang w:val="en-US" w:eastAsia="zh-CN" w:bidi="ar"/>
              </w:rPr>
              <w:t>本次为一家中标单位，</w:t>
            </w:r>
            <w:r>
              <w:rPr>
                <w:rFonts w:hint="eastAsia" w:ascii="宋体" w:hAnsi="宋体" w:eastAsia="宋体" w:cs="宋体"/>
                <w:i w:val="0"/>
                <w:iCs w:val="0"/>
                <w:color w:val="000000"/>
                <w:kern w:val="0"/>
                <w:sz w:val="21"/>
                <w:szCs w:val="21"/>
                <w:u w:val="none"/>
                <w:lang w:val="en-US" w:eastAsia="zh-CN" w:bidi="ar"/>
              </w:rPr>
              <w:t>按照评标合理最低价最终确定中标</w:t>
            </w:r>
            <w:r>
              <w:rPr>
                <w:rFonts w:hint="eastAsia" w:ascii="宋体" w:hAnsi="宋体" w:cs="宋体"/>
                <w:i w:val="0"/>
                <w:iCs w:val="0"/>
                <w:color w:val="000000"/>
                <w:kern w:val="0"/>
                <w:sz w:val="21"/>
                <w:szCs w:val="21"/>
                <w:u w:val="none"/>
                <w:lang w:val="en-US" w:eastAsia="zh-CN" w:bidi="ar"/>
              </w:rPr>
              <w:t>单位。</w:t>
            </w:r>
          </w:p>
        </w:tc>
      </w:tr>
      <w:tr w14:paraId="3D2A392E">
        <w:tblPrEx>
          <w:tblCellMar>
            <w:top w:w="0" w:type="dxa"/>
            <w:left w:w="108" w:type="dxa"/>
            <w:bottom w:w="0" w:type="dxa"/>
            <w:right w:w="108" w:type="dxa"/>
          </w:tblCellMar>
        </w:tblPrEx>
        <w:trPr>
          <w:trHeight w:val="794" w:hRule="atLeast"/>
        </w:trPr>
        <w:tc>
          <w:tcPr>
            <w:tcW w:w="8429" w:type="dxa"/>
            <w:gridSpan w:val="6"/>
            <w:tcBorders>
              <w:top w:val="single" w:color="000000" w:sz="4" w:space="0"/>
              <w:left w:val="single" w:color="000000" w:sz="4" w:space="0"/>
              <w:bottom w:val="single" w:color="000000" w:sz="4" w:space="0"/>
              <w:right w:val="single" w:color="000000" w:sz="4" w:space="0"/>
            </w:tcBorders>
            <w:vAlign w:val="center"/>
          </w:tcPr>
          <w:p w14:paraId="004F691E">
            <w:pPr>
              <w:pageBreakBefore w:val="0"/>
              <w:widowControl/>
              <w:kinsoku/>
              <w:wordWrap/>
              <w:overflowPunct/>
              <w:topLinePunct w:val="0"/>
              <w:bidi w:val="0"/>
              <w:ind w:left="0" w:leftChars="0" w:right="0"/>
              <w:jc w:val="left"/>
              <w:textAlignment w:val="center"/>
              <w:rPr>
                <w:rFonts w:ascii="宋体" w:hAnsi="宋体" w:cs="宋体"/>
                <w:color w:val="000000"/>
                <w:szCs w:val="21"/>
              </w:rPr>
            </w:pPr>
            <w:r>
              <w:rPr>
                <w:rFonts w:hint="eastAsia" w:ascii="宋体" w:hAnsi="宋体" w:cs="宋体"/>
                <w:color w:val="000000"/>
                <w:kern w:val="0"/>
                <w:szCs w:val="21"/>
              </w:rPr>
              <w:t>1、工程师技术能力中所要求各专业人员，均需提供专业人员的资质证书否则不作得分依据。</w:t>
            </w:r>
          </w:p>
        </w:tc>
      </w:tr>
      <w:tr w14:paraId="3BFA3D5A">
        <w:tblPrEx>
          <w:tblCellMar>
            <w:top w:w="0" w:type="dxa"/>
            <w:left w:w="108" w:type="dxa"/>
            <w:bottom w:w="0" w:type="dxa"/>
            <w:right w:w="108" w:type="dxa"/>
          </w:tblCellMar>
        </w:tblPrEx>
        <w:trPr>
          <w:trHeight w:val="607" w:hRule="atLeast"/>
        </w:trPr>
        <w:tc>
          <w:tcPr>
            <w:tcW w:w="8429" w:type="dxa"/>
            <w:gridSpan w:val="6"/>
            <w:tcBorders>
              <w:top w:val="single" w:color="000000" w:sz="4" w:space="0"/>
              <w:left w:val="single" w:color="000000" w:sz="4" w:space="0"/>
              <w:bottom w:val="single" w:color="000000" w:sz="4" w:space="0"/>
              <w:right w:val="single" w:color="000000" w:sz="4" w:space="0"/>
            </w:tcBorders>
            <w:vAlign w:val="center"/>
          </w:tcPr>
          <w:p w14:paraId="4EFD2B55">
            <w:pPr>
              <w:pageBreakBefore w:val="0"/>
              <w:widowControl/>
              <w:kinsoku/>
              <w:wordWrap/>
              <w:overflowPunct/>
              <w:topLinePunct w:val="0"/>
              <w:bidi w:val="0"/>
              <w:ind w:left="0" w:leftChars="0" w:right="0"/>
              <w:jc w:val="left"/>
              <w:textAlignment w:val="center"/>
              <w:rPr>
                <w:rFonts w:ascii="宋体" w:hAnsi="宋体" w:cs="宋体"/>
                <w:color w:val="000000"/>
                <w:szCs w:val="21"/>
              </w:rPr>
            </w:pPr>
            <w:r>
              <w:rPr>
                <w:rFonts w:hint="eastAsia" w:ascii="宋体" w:hAnsi="宋体" w:cs="宋体"/>
                <w:color w:val="000000"/>
                <w:kern w:val="0"/>
                <w:szCs w:val="21"/>
              </w:rPr>
              <w:t>2、需提供驻场人员不少于1年社保缴纳记录。</w:t>
            </w:r>
          </w:p>
        </w:tc>
      </w:tr>
      <w:tr w14:paraId="3A148B89">
        <w:tblPrEx>
          <w:tblCellMar>
            <w:top w:w="0" w:type="dxa"/>
            <w:left w:w="108" w:type="dxa"/>
            <w:bottom w:w="0" w:type="dxa"/>
            <w:right w:w="108" w:type="dxa"/>
          </w:tblCellMar>
        </w:tblPrEx>
        <w:trPr>
          <w:trHeight w:val="647"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6E2AE1AE">
            <w:pPr>
              <w:pageBreakBefore w:val="0"/>
              <w:widowControl/>
              <w:kinsoku/>
              <w:wordWrap/>
              <w:overflowPunct/>
              <w:topLinePunct w:val="0"/>
              <w:bidi w:val="0"/>
              <w:ind w:left="0" w:leftChars="0" w:right="0"/>
              <w:jc w:val="left"/>
              <w:textAlignment w:val="center"/>
              <w:rPr>
                <w:rFonts w:ascii="宋体" w:hAnsi="宋体" w:cs="宋体"/>
                <w:color w:val="000000"/>
                <w:sz w:val="24"/>
              </w:rPr>
            </w:pPr>
            <w:r>
              <w:rPr>
                <w:rFonts w:hint="eastAsia" w:ascii="宋体" w:hAnsi="宋体" w:cs="宋体"/>
                <w:color w:val="000000"/>
                <w:kern w:val="0"/>
                <w:szCs w:val="21"/>
              </w:rPr>
              <w:t>3、所提供的注册消防工程师、注册一级建造师证件必须注册于所报公司内。</w:t>
            </w:r>
          </w:p>
        </w:tc>
      </w:tr>
    </w:tbl>
    <w:p w14:paraId="290BC0E0">
      <w:pPr>
        <w:pStyle w:val="10"/>
        <w:pageBreakBefore w:val="0"/>
        <w:kinsoku/>
        <w:wordWrap/>
        <w:overflowPunct/>
        <w:topLinePunct w:val="0"/>
        <w:bidi w:val="0"/>
        <w:spacing w:line="360" w:lineRule="auto"/>
        <w:ind w:left="0" w:leftChars="0" w:right="0" w:firstLine="562" w:firstLineChars="200"/>
        <w:rPr>
          <w:rFonts w:hint="eastAsia" w:ascii="仿宋" w:hAnsi="仿宋" w:eastAsia="仿宋"/>
          <w:b/>
          <w:sz w:val="28"/>
          <w:szCs w:val="24"/>
        </w:rPr>
      </w:pPr>
    </w:p>
    <w:p w14:paraId="33D8B18E">
      <w:pPr>
        <w:pStyle w:val="10"/>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仿宋" w:hAnsi="仿宋" w:eastAsia="仿宋"/>
          <w:b/>
          <w:sz w:val="28"/>
          <w:szCs w:val="24"/>
        </w:rPr>
      </w:pPr>
      <w:bookmarkStart w:id="8" w:name="_Toc449097051"/>
      <w:bookmarkStart w:id="9" w:name="_Toc449097060"/>
      <w:bookmarkStart w:id="10" w:name="_Toc447799407"/>
      <w:r>
        <w:rPr>
          <w:rFonts w:hint="eastAsia" w:ascii="仿宋" w:hAnsi="仿宋" w:eastAsia="仿宋"/>
          <w:b/>
          <w:sz w:val="28"/>
          <w:szCs w:val="24"/>
          <w:lang w:val="en-US" w:eastAsia="zh-CN"/>
        </w:rPr>
        <w:t>五</w:t>
      </w:r>
      <w:r>
        <w:rPr>
          <w:rFonts w:hint="eastAsia" w:ascii="仿宋" w:hAnsi="仿宋" w:eastAsia="仿宋"/>
          <w:b/>
          <w:sz w:val="28"/>
          <w:szCs w:val="24"/>
        </w:rPr>
        <w:t>、报价及有效期</w:t>
      </w:r>
    </w:p>
    <w:p w14:paraId="3B012C74">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color w:val="000000"/>
          <w:sz w:val="28"/>
          <w:szCs w:val="24"/>
        </w:rPr>
      </w:pPr>
      <w:r>
        <w:rPr>
          <w:rFonts w:hint="eastAsia" w:ascii="仿宋" w:hAnsi="仿宋" w:eastAsia="仿宋"/>
          <w:sz w:val="28"/>
          <w:szCs w:val="24"/>
        </w:rPr>
        <w:t>1、本</w:t>
      </w:r>
      <w:r>
        <w:rPr>
          <w:rFonts w:ascii="仿宋" w:hAnsi="仿宋" w:eastAsia="仿宋"/>
          <w:sz w:val="28"/>
          <w:szCs w:val="24"/>
        </w:rPr>
        <w:t>项目报价</w:t>
      </w:r>
      <w:r>
        <w:rPr>
          <w:rFonts w:hint="eastAsia" w:ascii="仿宋" w:hAnsi="仿宋" w:eastAsia="仿宋"/>
          <w:sz w:val="28"/>
          <w:szCs w:val="24"/>
        </w:rPr>
        <w:t>币种</w:t>
      </w:r>
      <w:r>
        <w:rPr>
          <w:rFonts w:ascii="仿宋" w:hAnsi="仿宋" w:eastAsia="仿宋"/>
          <w:sz w:val="28"/>
          <w:szCs w:val="24"/>
        </w:rPr>
        <w:t>为人民</w:t>
      </w:r>
      <w:r>
        <w:rPr>
          <w:rFonts w:hint="eastAsia" w:ascii="仿宋" w:hAnsi="仿宋" w:eastAsia="仿宋"/>
          <w:color w:val="000000"/>
          <w:sz w:val="28"/>
          <w:szCs w:val="24"/>
        </w:rPr>
        <w:t>币，且为不含税金额、税率及价税合计金额。</w:t>
      </w:r>
    </w:p>
    <w:p w14:paraId="641B7F12">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ascii="仿宋" w:hAnsi="仿宋" w:eastAsia="仿宋"/>
          <w:sz w:val="28"/>
          <w:szCs w:val="24"/>
        </w:rPr>
      </w:pPr>
      <w:r>
        <w:rPr>
          <w:rFonts w:hint="eastAsia" w:ascii="仿宋" w:hAnsi="仿宋" w:eastAsia="仿宋"/>
          <w:color w:val="000000"/>
          <w:sz w:val="28"/>
          <w:szCs w:val="24"/>
          <w:lang w:val="en-US" w:eastAsia="zh-CN"/>
        </w:rPr>
        <w:t>2、本项目报价最高</w:t>
      </w:r>
      <w:r>
        <w:rPr>
          <w:rFonts w:hint="eastAsia" w:ascii="仿宋" w:hAnsi="仿宋" w:eastAsia="仿宋"/>
          <w:color w:val="000000"/>
          <w:sz w:val="28"/>
          <w:szCs w:val="24"/>
          <w:highlight w:val="none"/>
          <w:lang w:val="en-US" w:eastAsia="zh-CN"/>
        </w:rPr>
        <w:t>上限282.45万元</w:t>
      </w:r>
      <w:r>
        <w:rPr>
          <w:rFonts w:hint="eastAsia" w:ascii="仿宋" w:hAnsi="仿宋" w:eastAsia="仿宋"/>
          <w:color w:val="000000"/>
          <w:sz w:val="28"/>
          <w:szCs w:val="24"/>
          <w:lang w:val="en-US" w:eastAsia="zh-CN"/>
        </w:rPr>
        <w:t>（含税）</w:t>
      </w:r>
    </w:p>
    <w:p w14:paraId="5F665706">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w:t>
      </w:r>
      <w:r>
        <w:rPr>
          <w:rFonts w:ascii="仿宋" w:hAnsi="仿宋" w:eastAsia="仿宋"/>
          <w:sz w:val="28"/>
          <w:szCs w:val="24"/>
        </w:rPr>
        <w:t>本项目报价是指完成</w:t>
      </w:r>
      <w:r>
        <w:rPr>
          <w:rFonts w:hint="eastAsia" w:ascii="仿宋" w:hAnsi="仿宋" w:eastAsia="仿宋"/>
          <w:sz w:val="28"/>
          <w:szCs w:val="24"/>
        </w:rPr>
        <w:t>全部工作</w:t>
      </w:r>
      <w:r>
        <w:rPr>
          <w:rFonts w:ascii="仿宋" w:hAnsi="仿宋" w:eastAsia="仿宋"/>
          <w:sz w:val="28"/>
          <w:szCs w:val="24"/>
        </w:rPr>
        <w:t>所需的费用。</w:t>
      </w:r>
    </w:p>
    <w:p w14:paraId="5082857D">
      <w:pPr>
        <w:pStyle w:val="10"/>
        <w:pageBreakBefore w:val="0"/>
        <w:kinsoku/>
        <w:wordWrap/>
        <w:overflowPunct/>
        <w:topLinePunct w:val="0"/>
        <w:bidi w:val="0"/>
        <w:adjustRightInd w:val="0"/>
        <w:snapToGrid w:val="0"/>
        <w:spacing w:line="540" w:lineRule="exact"/>
        <w:ind w:left="0" w:leftChars="0" w:right="0" w:firstLine="560" w:firstLineChars="200"/>
        <w:outlineLvl w:val="1"/>
        <w:rPr>
          <w:rFonts w:ascii="仿宋" w:hAnsi="仿宋" w:eastAsia="仿宋"/>
          <w:color w:val="000000"/>
          <w:sz w:val="28"/>
          <w:szCs w:val="24"/>
        </w:rPr>
      </w:pPr>
      <w:r>
        <w:rPr>
          <w:rFonts w:hint="eastAsia" w:ascii="仿宋" w:hAnsi="仿宋" w:eastAsia="仿宋"/>
          <w:color w:val="000000"/>
          <w:sz w:val="28"/>
          <w:szCs w:val="24"/>
        </w:rPr>
        <w:t>3、本项目采取不低于三次报价</w:t>
      </w:r>
      <w:r>
        <w:rPr>
          <w:rFonts w:hint="eastAsia" w:ascii="仿宋" w:hAnsi="仿宋" w:eastAsia="仿宋"/>
          <w:sz w:val="28"/>
          <w:szCs w:val="24"/>
        </w:rPr>
        <w:t>，按照评标合理最低价最终确定</w:t>
      </w:r>
      <w:r>
        <w:rPr>
          <w:rFonts w:hint="eastAsia" w:ascii="仿宋" w:hAnsi="仿宋" w:eastAsia="仿宋"/>
          <w:color w:val="000000"/>
          <w:sz w:val="28"/>
          <w:szCs w:val="24"/>
        </w:rPr>
        <w:t>推荐</w:t>
      </w:r>
      <w:r>
        <w:rPr>
          <w:rFonts w:hint="eastAsia" w:ascii="仿宋" w:hAnsi="仿宋" w:eastAsia="仿宋"/>
          <w:sz w:val="28"/>
          <w:szCs w:val="24"/>
        </w:rPr>
        <w:t>中标</w:t>
      </w:r>
      <w:r>
        <w:rPr>
          <w:rFonts w:hint="eastAsia" w:ascii="仿宋" w:hAnsi="仿宋" w:eastAsia="仿宋"/>
          <w:sz w:val="28"/>
          <w:szCs w:val="24"/>
          <w:lang w:val="en-US" w:eastAsia="zh-CN"/>
        </w:rPr>
        <w:t>人</w:t>
      </w:r>
      <w:r>
        <w:rPr>
          <w:rFonts w:hint="eastAsia" w:ascii="仿宋" w:hAnsi="仿宋" w:eastAsia="仿宋"/>
          <w:color w:val="000000"/>
          <w:sz w:val="28"/>
          <w:szCs w:val="24"/>
        </w:rPr>
        <w:t>。投标报价应包括完成本项目全部工作内容及相关后续工作内容的含税投标报价，并对主要报价构成列报价清单。</w:t>
      </w:r>
    </w:p>
    <w:p w14:paraId="75C4C959">
      <w:pPr>
        <w:pageBreakBefore w:val="0"/>
        <w:tabs>
          <w:tab w:val="left" w:pos="861"/>
          <w:tab w:val="left" w:pos="966"/>
          <w:tab w:val="left" w:pos="1113"/>
          <w:tab w:val="left" w:pos="1176"/>
          <w:tab w:val="left" w:pos="1336"/>
        </w:tabs>
        <w:kinsoku/>
        <w:wordWrap/>
        <w:overflowPunct/>
        <w:topLinePunct w:val="0"/>
        <w:bidi w:val="0"/>
        <w:adjustRightInd w:val="0"/>
        <w:snapToGrid w:val="0"/>
        <w:spacing w:line="540" w:lineRule="exact"/>
        <w:ind w:left="0" w:leftChars="0" w:right="0" w:firstLine="560" w:firstLineChars="200"/>
        <w:rPr>
          <w:rFonts w:ascii="仿宋" w:hAnsi="仿宋" w:eastAsia="仿宋"/>
          <w:sz w:val="28"/>
          <w:highlight w:val="none"/>
        </w:rPr>
      </w:pPr>
      <w:r>
        <w:rPr>
          <w:rFonts w:ascii="仿宋" w:hAnsi="仿宋" w:eastAsia="仿宋"/>
          <w:sz w:val="28"/>
        </w:rPr>
        <w:t>4</w:t>
      </w:r>
      <w:r>
        <w:rPr>
          <w:rFonts w:hint="eastAsia" w:ascii="仿宋" w:hAnsi="仿宋" w:eastAsia="仿宋"/>
          <w:sz w:val="28"/>
        </w:rPr>
        <w:t>、</w:t>
      </w:r>
      <w:r>
        <w:rPr>
          <w:rFonts w:hint="eastAsia" w:ascii="仿宋" w:hAnsi="仿宋" w:eastAsia="仿宋"/>
          <w:sz w:val="28"/>
          <w:highlight w:val="none"/>
        </w:rPr>
        <w:t>本项目报价有效期为规定的递交报价截止日期后的30个工作日，如报价有效期不足规定的30个工作日，其报价将被视为无效报价。</w:t>
      </w:r>
    </w:p>
    <w:p w14:paraId="7D98E76C">
      <w:pPr>
        <w:pageBreakBefore w:val="0"/>
        <w:tabs>
          <w:tab w:val="left" w:pos="861"/>
          <w:tab w:val="left" w:pos="966"/>
          <w:tab w:val="left" w:pos="1113"/>
          <w:tab w:val="left" w:pos="1176"/>
          <w:tab w:val="left" w:pos="1336"/>
        </w:tabs>
        <w:kinsoku/>
        <w:wordWrap/>
        <w:overflowPunct/>
        <w:topLinePunct w:val="0"/>
        <w:bidi w:val="0"/>
        <w:adjustRightInd w:val="0"/>
        <w:snapToGrid w:val="0"/>
        <w:spacing w:line="540" w:lineRule="exact"/>
        <w:ind w:left="0" w:leftChars="0" w:right="0" w:firstLine="560" w:firstLineChars="200"/>
        <w:rPr>
          <w:rFonts w:ascii="仿宋" w:hAnsi="仿宋" w:eastAsia="仿宋"/>
          <w:sz w:val="28"/>
          <w:highlight w:val="none"/>
        </w:rPr>
      </w:pPr>
      <w:r>
        <w:rPr>
          <w:rFonts w:ascii="仿宋" w:hAnsi="仿宋" w:eastAsia="仿宋"/>
          <w:sz w:val="28"/>
          <w:highlight w:val="none"/>
        </w:rPr>
        <w:t>5</w:t>
      </w:r>
      <w:r>
        <w:rPr>
          <w:rFonts w:hint="eastAsia" w:ascii="仿宋" w:hAnsi="仿宋" w:eastAsia="仿宋"/>
          <w:sz w:val="28"/>
          <w:highlight w:val="none"/>
        </w:rPr>
        <w:t>、在原定报价有效期满之前，如果出现特殊情况，经相关机构核准，招标单位可以书面形式向投标单位提出延长报价有效期的要求。投标单位须以书面形式予以答复。同意延长报价有效期的投标单位不允许修改其报价文件。</w:t>
      </w:r>
    </w:p>
    <w:p w14:paraId="0D0342EA">
      <w:pPr>
        <w:pStyle w:val="10"/>
        <w:pageBreakBefore w:val="0"/>
        <w:kinsoku/>
        <w:wordWrap/>
        <w:overflowPunct/>
        <w:topLinePunct w:val="0"/>
        <w:bidi w:val="0"/>
        <w:adjustRightInd w:val="0"/>
        <w:snapToGrid w:val="0"/>
        <w:spacing w:line="540" w:lineRule="exact"/>
        <w:ind w:right="0"/>
        <w:outlineLvl w:val="1"/>
        <w:rPr>
          <w:rFonts w:ascii="仿宋" w:hAnsi="仿宋" w:eastAsia="仿宋"/>
          <w:b/>
          <w:sz w:val="28"/>
          <w:szCs w:val="24"/>
        </w:rPr>
      </w:pPr>
      <w:bookmarkStart w:id="11" w:name="_Toc449097055"/>
      <w:bookmarkStart w:id="12" w:name="_Toc447799402"/>
      <w:r>
        <w:rPr>
          <w:rFonts w:hint="eastAsia" w:ascii="仿宋" w:hAnsi="仿宋" w:eastAsia="仿宋"/>
          <w:b/>
          <w:sz w:val="28"/>
          <w:szCs w:val="24"/>
          <w:lang w:val="en-US" w:eastAsia="zh-CN"/>
        </w:rPr>
        <w:t>六</w:t>
      </w:r>
      <w:r>
        <w:rPr>
          <w:rFonts w:hint="eastAsia" w:ascii="仿宋" w:hAnsi="仿宋" w:eastAsia="仿宋"/>
          <w:b/>
          <w:sz w:val="28"/>
          <w:szCs w:val="24"/>
        </w:rPr>
        <w:t>、</w:t>
      </w:r>
      <w:bookmarkEnd w:id="11"/>
      <w:bookmarkEnd w:id="12"/>
      <w:r>
        <w:rPr>
          <w:rFonts w:hint="eastAsia" w:ascii="仿宋" w:hAnsi="仿宋" w:eastAsia="仿宋"/>
          <w:b/>
          <w:sz w:val="28"/>
          <w:szCs w:val="24"/>
        </w:rPr>
        <w:t>法律</w:t>
      </w:r>
      <w:r>
        <w:rPr>
          <w:rFonts w:ascii="仿宋" w:hAnsi="仿宋" w:eastAsia="仿宋"/>
          <w:b/>
          <w:sz w:val="28"/>
          <w:szCs w:val="24"/>
        </w:rPr>
        <w:t>责任</w:t>
      </w:r>
    </w:p>
    <w:p w14:paraId="3E4277FC">
      <w:pPr>
        <w:pStyle w:val="25"/>
        <w:pageBreakBefore w:val="0"/>
        <w:kinsoku/>
        <w:wordWrap/>
        <w:overflowPunct/>
        <w:topLinePunct w:val="0"/>
        <w:bidi w:val="0"/>
        <w:adjustRightInd w:val="0"/>
        <w:snapToGrid w:val="0"/>
        <w:spacing w:line="540" w:lineRule="exact"/>
        <w:ind w:left="0" w:leftChars="0" w:right="0" w:firstLine="560"/>
        <w:rPr>
          <w:rFonts w:ascii="仿宋" w:hAnsi="仿宋" w:eastAsia="仿宋"/>
          <w:sz w:val="28"/>
          <w:szCs w:val="24"/>
        </w:rPr>
      </w:pPr>
      <w:r>
        <w:rPr>
          <w:rFonts w:hint="eastAsia" w:ascii="仿宋" w:hAnsi="仿宋" w:eastAsia="仿宋"/>
          <w:sz w:val="28"/>
          <w:szCs w:val="24"/>
        </w:rPr>
        <w:t>出现下列情形时，视为中标方不遵守</w:t>
      </w:r>
      <w:r>
        <w:rPr>
          <w:rFonts w:ascii="仿宋" w:hAnsi="仿宋" w:eastAsia="仿宋"/>
          <w:sz w:val="28"/>
          <w:szCs w:val="24"/>
        </w:rPr>
        <w:t>甲方关于招标的要求</w:t>
      </w:r>
      <w:r>
        <w:rPr>
          <w:rFonts w:hint="eastAsia" w:ascii="仿宋" w:hAnsi="仿宋" w:eastAsia="仿宋"/>
          <w:sz w:val="28"/>
          <w:szCs w:val="24"/>
        </w:rPr>
        <w:t>，造成经济损失的，需予以赔偿。</w:t>
      </w:r>
    </w:p>
    <w:p w14:paraId="47A9AB30">
      <w:pPr>
        <w:pStyle w:val="16"/>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Times New Roman"/>
          <w:kern w:val="2"/>
          <w:sz w:val="28"/>
          <w:szCs w:val="24"/>
          <w:lang w:val="en-US" w:eastAsia="zh-CN" w:bidi="ar-SA"/>
        </w:rPr>
      </w:pPr>
      <w:bookmarkStart w:id="13" w:name="_Toc447799403"/>
      <w:bookmarkStart w:id="14" w:name="_Toc449097056"/>
      <w:r>
        <w:rPr>
          <w:rFonts w:hint="default" w:ascii="仿宋" w:hAnsi="仿宋" w:eastAsia="仿宋" w:cs="Times New Roman"/>
          <w:kern w:val="2"/>
          <w:sz w:val="28"/>
          <w:szCs w:val="24"/>
          <w:lang w:val="en-US" w:eastAsia="zh-CN" w:bidi="ar-SA"/>
        </w:rPr>
        <w:t>1</w:t>
      </w:r>
      <w:r>
        <w:rPr>
          <w:rFonts w:hint="eastAsia" w:ascii="仿宋" w:hAnsi="仿宋" w:eastAsia="仿宋" w:cs="Times New Roman"/>
          <w:kern w:val="2"/>
          <w:sz w:val="28"/>
          <w:szCs w:val="24"/>
          <w:lang w:val="en-US" w:eastAsia="zh-CN" w:bidi="ar-SA"/>
        </w:rPr>
        <w:t>.</w:t>
      </w:r>
      <w:r>
        <w:rPr>
          <w:rFonts w:hint="default" w:ascii="仿宋" w:hAnsi="仿宋" w:eastAsia="仿宋" w:cs="Times New Roman"/>
          <w:kern w:val="2"/>
          <w:sz w:val="28"/>
          <w:szCs w:val="24"/>
          <w:lang w:val="en-US" w:eastAsia="zh-CN" w:bidi="ar-SA"/>
        </w:rPr>
        <w:t>投标单位收到中标通知后，拒绝签署合同及执行。</w:t>
      </w:r>
    </w:p>
    <w:p w14:paraId="2ADDB8E8">
      <w:pPr>
        <w:pStyle w:val="16"/>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 w:hAnsi="仿宋" w:eastAsia="仿宋" w:cs="Times New Roman"/>
          <w:kern w:val="2"/>
          <w:sz w:val="28"/>
          <w:szCs w:val="24"/>
          <w:lang w:val="en-US" w:eastAsia="zh-CN" w:bidi="ar-SA"/>
        </w:rPr>
      </w:pPr>
      <w:r>
        <w:rPr>
          <w:rFonts w:hint="eastAsia" w:ascii="仿宋" w:hAnsi="仿宋" w:eastAsia="仿宋" w:cs="Times New Roman"/>
          <w:kern w:val="2"/>
          <w:sz w:val="28"/>
          <w:szCs w:val="24"/>
          <w:lang w:val="en-US" w:eastAsia="zh-CN" w:bidi="ar-SA"/>
        </w:rPr>
        <w:t>2.投标单位提供产品不符合质量要求，给甲方名誉、安全造成损失的，依据相应情况予以赔偿。</w:t>
      </w:r>
    </w:p>
    <w:p w14:paraId="5530CA0E">
      <w:pPr>
        <w:pageBreakBefore w:val="0"/>
        <w:kinsoku/>
        <w:wordWrap/>
        <w:overflowPunct/>
        <w:topLinePunct w:val="0"/>
        <w:bidi w:val="0"/>
        <w:adjustRightInd w:val="0"/>
        <w:snapToGrid w:val="0"/>
        <w:spacing w:line="540" w:lineRule="exact"/>
        <w:ind w:right="0"/>
        <w:rPr>
          <w:rFonts w:ascii="仿宋" w:hAnsi="仿宋" w:eastAsia="仿宋"/>
          <w:sz w:val="28"/>
        </w:rPr>
      </w:pPr>
      <w:r>
        <w:rPr>
          <w:rFonts w:hint="eastAsia" w:ascii="仿宋" w:hAnsi="仿宋" w:eastAsia="仿宋"/>
          <w:b/>
          <w:bCs/>
          <w:sz w:val="28"/>
          <w:lang w:val="en-US" w:eastAsia="zh-CN"/>
        </w:rPr>
        <w:t>七</w:t>
      </w:r>
      <w:r>
        <w:rPr>
          <w:rFonts w:hint="eastAsia" w:ascii="仿宋" w:hAnsi="仿宋" w:eastAsia="仿宋"/>
          <w:b/>
          <w:bCs/>
          <w:sz w:val="28"/>
        </w:rPr>
        <w:t>、</w:t>
      </w:r>
      <w:bookmarkEnd w:id="13"/>
      <w:bookmarkEnd w:id="14"/>
      <w:r>
        <w:rPr>
          <w:rFonts w:hint="eastAsia" w:ascii="仿宋" w:hAnsi="仿宋" w:eastAsia="仿宋"/>
          <w:b/>
          <w:bCs/>
          <w:sz w:val="28"/>
        </w:rPr>
        <w:t>招标文件的澄清</w:t>
      </w:r>
    </w:p>
    <w:p w14:paraId="57007B72">
      <w:pPr>
        <w:pageBreakBefore w:val="0"/>
        <w:kinsoku/>
        <w:wordWrap/>
        <w:overflowPunct/>
        <w:topLinePunct w:val="0"/>
        <w:bidi w:val="0"/>
        <w:adjustRightInd w:val="0"/>
        <w:snapToGrid w:val="0"/>
        <w:spacing w:line="540" w:lineRule="exact"/>
        <w:ind w:left="0" w:leftChars="0" w:right="0" w:firstLine="560" w:firstLineChars="200"/>
        <w:rPr>
          <w:rFonts w:hint="eastAsia" w:ascii="仿宋" w:hAnsi="仿宋" w:eastAsia="仿宋"/>
          <w:sz w:val="28"/>
        </w:rPr>
      </w:pPr>
      <w:r>
        <w:rPr>
          <w:rFonts w:hint="eastAsia" w:ascii="仿宋" w:hAnsi="仿宋" w:eastAsia="仿宋"/>
          <w:sz w:val="28"/>
        </w:rPr>
        <w:t>投标单位要求对招标资料进行澄清时，均应以书面形式通知招标单位。招标单位对其招标资料的澄清要求将视情况确定采用适当方式予以澄清，或以书面形式予以答复；必要时，可将答复内容包括原提出的问题（但不标明问题查询的来源），分发给所有取得同一招标资料的投标单位。</w:t>
      </w:r>
    </w:p>
    <w:p w14:paraId="379A9A79">
      <w:pPr>
        <w:pStyle w:val="10"/>
        <w:adjustRightInd w:val="0"/>
        <w:snapToGrid w:val="0"/>
        <w:spacing w:line="540" w:lineRule="exact"/>
        <w:outlineLvl w:val="1"/>
        <w:rPr>
          <w:rFonts w:hint="eastAsia" w:ascii="仿宋" w:hAnsi="仿宋" w:eastAsia="仿宋" w:cs="Times New Roman"/>
          <w:b/>
          <w:bCs/>
          <w:kern w:val="2"/>
          <w:sz w:val="28"/>
          <w:szCs w:val="24"/>
          <w:highlight w:val="none"/>
          <w:lang w:val="en-US" w:eastAsia="zh-CN" w:bidi="ar-SA"/>
        </w:rPr>
      </w:pPr>
      <w:r>
        <w:rPr>
          <w:rFonts w:hint="eastAsia" w:ascii="仿宋" w:hAnsi="仿宋" w:eastAsia="仿宋" w:cs="Times New Roman"/>
          <w:b/>
          <w:bCs/>
          <w:kern w:val="2"/>
          <w:sz w:val="28"/>
          <w:szCs w:val="24"/>
          <w:lang w:val="en-US" w:eastAsia="zh-CN" w:bidi="ar-SA"/>
        </w:rPr>
        <w:t>八、</w:t>
      </w:r>
      <w:r>
        <w:rPr>
          <w:rFonts w:hint="eastAsia" w:ascii="仿宋" w:hAnsi="仿宋" w:eastAsia="仿宋" w:cs="Times New Roman"/>
          <w:b/>
          <w:bCs/>
          <w:kern w:val="2"/>
          <w:sz w:val="28"/>
          <w:szCs w:val="24"/>
          <w:highlight w:val="none"/>
          <w:lang w:val="en-US" w:eastAsia="zh-CN" w:bidi="ar-SA"/>
        </w:rPr>
        <w:t>投标文件的构成</w:t>
      </w:r>
      <w:bookmarkEnd w:id="8"/>
    </w:p>
    <w:p w14:paraId="65401B17">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投标文件由以下部分组成（请按照下述组织投标书各章节内容）</w:t>
      </w:r>
    </w:p>
    <w:p w14:paraId="1E4F97FD">
      <w:pPr>
        <w:pStyle w:val="10"/>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1、资质文件</w:t>
      </w:r>
    </w:p>
    <w:p w14:paraId="45EDBB4B">
      <w:pPr>
        <w:pStyle w:val="10"/>
        <w:adjustRightInd w:val="0"/>
        <w:snapToGrid w:val="0"/>
        <w:spacing w:line="540" w:lineRule="exact"/>
        <w:ind w:firstLine="560" w:firstLineChars="200"/>
        <w:rPr>
          <w:rFonts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1</w:t>
      </w:r>
      <w:r>
        <w:rPr>
          <w:rFonts w:hint="eastAsia" w:ascii="仿宋" w:hAnsi="仿宋" w:eastAsia="仿宋"/>
          <w:sz w:val="28"/>
          <w:szCs w:val="24"/>
          <w:highlight w:val="none"/>
          <w:lang w:eastAsia="zh-CN"/>
        </w:rPr>
        <w:t>）</w:t>
      </w:r>
      <w:r>
        <w:rPr>
          <w:rFonts w:hint="eastAsia" w:ascii="仿宋" w:hAnsi="仿宋" w:eastAsia="仿宋"/>
          <w:sz w:val="28"/>
          <w:szCs w:val="24"/>
          <w:highlight w:val="none"/>
        </w:rPr>
        <w:t>公司简介；</w:t>
      </w:r>
    </w:p>
    <w:p w14:paraId="4E274636">
      <w:pPr>
        <w:pStyle w:val="10"/>
        <w:adjustRightInd w:val="0"/>
        <w:snapToGrid w:val="0"/>
        <w:spacing w:line="540" w:lineRule="exact"/>
        <w:ind w:firstLine="560" w:firstLineChars="200"/>
        <w:rPr>
          <w:rFonts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2</w:t>
      </w:r>
      <w:r>
        <w:rPr>
          <w:rFonts w:hint="eastAsia" w:ascii="仿宋" w:hAnsi="仿宋" w:eastAsia="仿宋"/>
          <w:sz w:val="28"/>
          <w:szCs w:val="24"/>
          <w:highlight w:val="none"/>
          <w:lang w:eastAsia="zh-CN"/>
        </w:rPr>
        <w:t>）</w:t>
      </w:r>
      <w:r>
        <w:rPr>
          <w:rFonts w:hint="eastAsia" w:ascii="仿宋" w:hAnsi="仿宋" w:eastAsia="仿宋"/>
          <w:sz w:val="28"/>
          <w:szCs w:val="24"/>
          <w:highlight w:val="none"/>
        </w:rPr>
        <w:t>营业执照副本复印件；</w:t>
      </w:r>
    </w:p>
    <w:p w14:paraId="56F69BB1">
      <w:pPr>
        <w:pStyle w:val="10"/>
        <w:adjustRightInd w:val="0"/>
        <w:snapToGrid w:val="0"/>
        <w:spacing w:line="540" w:lineRule="exact"/>
        <w:ind w:firstLine="560" w:firstLineChars="200"/>
        <w:rPr>
          <w:rFonts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3</w:t>
      </w:r>
      <w:r>
        <w:rPr>
          <w:rFonts w:hint="eastAsia" w:ascii="仿宋" w:hAnsi="仿宋" w:eastAsia="仿宋"/>
          <w:sz w:val="28"/>
          <w:szCs w:val="24"/>
          <w:highlight w:val="none"/>
          <w:lang w:eastAsia="zh-CN"/>
        </w:rPr>
        <w:t>）</w:t>
      </w:r>
      <w:r>
        <w:rPr>
          <w:rFonts w:hint="eastAsia" w:ascii="仿宋" w:hAnsi="仿宋" w:eastAsia="仿宋"/>
          <w:sz w:val="28"/>
          <w:szCs w:val="24"/>
          <w:highlight w:val="none"/>
        </w:rPr>
        <w:t>法人代表授权书原件（附件二）；</w:t>
      </w:r>
    </w:p>
    <w:p w14:paraId="0870EDD1">
      <w:pPr>
        <w:pStyle w:val="10"/>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4</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投标单位需提供近三年审计报告；</w:t>
      </w:r>
    </w:p>
    <w:p w14:paraId="4BED0FCB">
      <w:pPr>
        <w:pStyle w:val="10"/>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5</w:t>
      </w: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法人代表或授权代表有效身份证；（盖有法人单位公章的复印件，包括正反两面）</w:t>
      </w:r>
    </w:p>
    <w:p w14:paraId="3600C210">
      <w:pPr>
        <w:pStyle w:val="10"/>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6</w:t>
      </w: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投标单位类似项目介绍</w:t>
      </w:r>
      <w:r>
        <w:rPr>
          <w:rFonts w:hint="eastAsia" w:ascii="仿宋" w:hAnsi="仿宋" w:eastAsia="仿宋"/>
          <w:sz w:val="28"/>
          <w:szCs w:val="24"/>
          <w:highlight w:val="none"/>
        </w:rPr>
        <w:t>；</w:t>
      </w:r>
    </w:p>
    <w:p w14:paraId="71AC719A">
      <w:pPr>
        <w:pStyle w:val="10"/>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7</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投标单位三年内无违法及重大违规记录证明；</w:t>
      </w:r>
    </w:p>
    <w:p w14:paraId="6E39538F">
      <w:pPr>
        <w:pStyle w:val="10"/>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8</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投标认为需提供的其他资质证明；</w:t>
      </w:r>
    </w:p>
    <w:p w14:paraId="0E5D36C4">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9</w:t>
      </w: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保证金缴纳证明；</w:t>
      </w:r>
    </w:p>
    <w:p w14:paraId="4B0969A9">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（10）企业最近半年完税证明、信用证明材料（征信报告）；</w:t>
      </w:r>
    </w:p>
    <w:p w14:paraId="3F69753F">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（11）年度纳税信用评价信息（可从电子税务局查询截图，需加盖公章）；</w:t>
      </w:r>
    </w:p>
    <w:p w14:paraId="7120E054">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（12）企业对外担保说明（写明贵单位对外有无对外担保和质押业务，需加盖公章）。</w:t>
      </w:r>
    </w:p>
    <w:p w14:paraId="613BB3E9">
      <w:pPr>
        <w:pStyle w:val="10"/>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2、技术标</w:t>
      </w:r>
    </w:p>
    <w:p w14:paraId="11B2799A">
      <w:pPr>
        <w:pStyle w:val="10"/>
        <w:adjustRightInd w:val="0"/>
        <w:snapToGrid w:val="0"/>
        <w:spacing w:line="540" w:lineRule="exact"/>
        <w:ind w:firstLine="560" w:firstLineChars="200"/>
        <w:rPr>
          <w:rFonts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1</w:t>
      </w: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主要技术状态说明</w:t>
      </w:r>
      <w:r>
        <w:rPr>
          <w:rFonts w:hint="eastAsia" w:ascii="仿宋" w:hAnsi="仿宋" w:eastAsia="仿宋"/>
          <w:sz w:val="28"/>
          <w:szCs w:val="24"/>
          <w:highlight w:val="none"/>
        </w:rPr>
        <w:t>；</w:t>
      </w:r>
    </w:p>
    <w:p w14:paraId="0E11D14F">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2</w:t>
      </w: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项目报名表（附件四）；</w:t>
      </w:r>
    </w:p>
    <w:p w14:paraId="001120BB">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（3）技术规格、相关条款偏离表（附件六）；</w:t>
      </w:r>
    </w:p>
    <w:p w14:paraId="448266DF">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（4）综合说明；</w:t>
      </w:r>
    </w:p>
    <w:p w14:paraId="1C1849FA">
      <w:pPr>
        <w:pStyle w:val="10"/>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（5）服务承诺；</w:t>
      </w:r>
    </w:p>
    <w:p w14:paraId="2170A16D">
      <w:pPr>
        <w:pStyle w:val="10"/>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6</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投标单位认为其他需要提供的材料。</w:t>
      </w:r>
    </w:p>
    <w:p w14:paraId="1A2AC2E5">
      <w:pPr>
        <w:pStyle w:val="10"/>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7</w:t>
      </w: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整体项目工作计划，包括消防维保计划、中控室人员值班计划、消电检工作计划、消防评估计划，要求详细描述。</w:t>
      </w:r>
    </w:p>
    <w:p w14:paraId="43B7BC0B">
      <w:pPr>
        <w:pStyle w:val="10"/>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3、商务标</w:t>
      </w:r>
    </w:p>
    <w:p w14:paraId="36A4894A">
      <w:pPr>
        <w:pStyle w:val="10"/>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1</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投标函(附件一)；</w:t>
      </w:r>
    </w:p>
    <w:p w14:paraId="787266BF">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2</w:t>
      </w: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开标一览表（附件七）；</w:t>
      </w:r>
    </w:p>
    <w:p w14:paraId="6C591C68">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（3）投标报价明细表（附件三）；</w:t>
      </w:r>
    </w:p>
    <w:p w14:paraId="1F5DCCE1">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（4）服务承诺及优惠条件；</w:t>
      </w:r>
    </w:p>
    <w:p w14:paraId="75FC17C2">
      <w:pPr>
        <w:pStyle w:val="10"/>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（5）相关条款偏离表（附件六）；</w:t>
      </w:r>
    </w:p>
    <w:p w14:paraId="0C8B4C01">
      <w:pPr>
        <w:pStyle w:val="10"/>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（6）其他需要说明的事项。</w:t>
      </w:r>
    </w:p>
    <w:p w14:paraId="2BC0C982">
      <w:pPr>
        <w:pStyle w:val="10"/>
        <w:adjustRightInd w:val="0"/>
        <w:snapToGrid w:val="0"/>
        <w:spacing w:line="540" w:lineRule="exact"/>
        <w:ind w:firstLine="560" w:firstLineChars="200"/>
      </w:pPr>
      <w:r>
        <w:rPr>
          <w:rFonts w:hint="eastAsia" w:ascii="仿宋" w:hAnsi="仿宋" w:eastAsia="仿宋"/>
          <w:sz w:val="28"/>
          <w:szCs w:val="24"/>
        </w:rPr>
        <w:t>备注：提供上述资料均须加盖单位公章，统一使用A4纸装订成册。</w:t>
      </w:r>
    </w:p>
    <w:p w14:paraId="2606F482">
      <w:pPr>
        <w:pStyle w:val="10"/>
        <w:pageBreakBefore w:val="0"/>
        <w:kinsoku/>
        <w:wordWrap/>
        <w:overflowPunct/>
        <w:topLinePunct w:val="0"/>
        <w:bidi w:val="0"/>
        <w:adjustRightInd w:val="0"/>
        <w:snapToGrid w:val="0"/>
        <w:spacing w:line="540" w:lineRule="exact"/>
        <w:ind w:right="0"/>
        <w:outlineLvl w:val="1"/>
        <w:rPr>
          <w:rFonts w:ascii="仿宋" w:hAnsi="仿宋" w:eastAsia="仿宋"/>
          <w:b/>
          <w:bCs/>
          <w:sz w:val="28"/>
          <w:szCs w:val="24"/>
        </w:rPr>
      </w:pPr>
      <w:bookmarkStart w:id="15" w:name="_Toc449097059"/>
      <w:bookmarkStart w:id="16" w:name="_Toc447799406"/>
      <w:r>
        <w:rPr>
          <w:rFonts w:hint="eastAsia" w:ascii="仿宋" w:hAnsi="仿宋" w:eastAsia="仿宋"/>
          <w:b/>
          <w:bCs/>
          <w:sz w:val="28"/>
          <w:szCs w:val="24"/>
          <w:lang w:val="en-US" w:eastAsia="zh-CN"/>
        </w:rPr>
        <w:t>九</w:t>
      </w:r>
      <w:r>
        <w:rPr>
          <w:rFonts w:hint="eastAsia" w:ascii="仿宋" w:hAnsi="仿宋" w:eastAsia="仿宋"/>
          <w:b/>
          <w:bCs/>
          <w:sz w:val="28"/>
          <w:szCs w:val="24"/>
        </w:rPr>
        <w:t>、投标资料的签署及规定</w:t>
      </w:r>
      <w:bookmarkEnd w:id="15"/>
      <w:bookmarkEnd w:id="16"/>
    </w:p>
    <w:p w14:paraId="20F4B4AE">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1、投标单位应填写全称，同时加盖公司印章。</w:t>
      </w:r>
    </w:p>
    <w:p w14:paraId="02882519">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2、投标资料必须由法人代表或授权代表签署。</w:t>
      </w:r>
    </w:p>
    <w:p w14:paraId="1EFEDDB6">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3、投标资料不得涂改和增删，如有修改错漏处，必须由同一签署人签字或盖章。</w:t>
      </w:r>
    </w:p>
    <w:p w14:paraId="59C77262">
      <w:pPr>
        <w:pageBreakBefore w:val="0"/>
        <w:kinsoku/>
        <w:wordWrap/>
        <w:overflowPunct/>
        <w:topLinePunct w:val="0"/>
        <w:bidi w:val="0"/>
        <w:adjustRightInd w:val="0"/>
        <w:snapToGrid w:val="0"/>
        <w:spacing w:line="540" w:lineRule="exact"/>
        <w:ind w:left="0" w:leftChars="0" w:right="0" w:firstLine="560" w:firstLineChars="200"/>
        <w:rPr>
          <w:rFonts w:hint="eastAsia" w:ascii="仿宋" w:hAnsi="仿宋" w:eastAsia="仿宋"/>
          <w:sz w:val="28"/>
        </w:rPr>
      </w:pPr>
      <w:r>
        <w:rPr>
          <w:rFonts w:hint="eastAsia" w:ascii="仿宋" w:hAnsi="仿宋" w:eastAsia="仿宋"/>
          <w:sz w:val="28"/>
        </w:rPr>
        <w:t>4、投标资料因字迹潦草或表达不清所引起的后果由投标单位负责。</w:t>
      </w:r>
    </w:p>
    <w:p w14:paraId="5C43F814">
      <w:pPr>
        <w:adjustRightInd w:val="0"/>
        <w:snapToGrid w:val="0"/>
        <w:spacing w:line="540" w:lineRule="exact"/>
        <w:ind w:firstLine="562" w:firstLineChars="200"/>
        <w:rPr>
          <w:rFonts w:ascii="仿宋" w:hAnsi="仿宋" w:eastAsia="仿宋"/>
          <w:b/>
          <w:sz w:val="28"/>
        </w:rPr>
      </w:pPr>
      <w:r>
        <w:rPr>
          <w:rFonts w:hint="eastAsia" w:ascii="仿宋" w:hAnsi="仿宋" w:eastAsia="仿宋"/>
          <w:b/>
          <w:bCs/>
          <w:sz w:val="28"/>
          <w:szCs w:val="24"/>
          <w:lang w:val="en-US" w:eastAsia="zh-CN"/>
        </w:rPr>
        <w:t>十</w:t>
      </w:r>
      <w:r>
        <w:rPr>
          <w:rFonts w:hint="eastAsia" w:ascii="仿宋" w:hAnsi="仿宋" w:eastAsia="仿宋"/>
          <w:b/>
          <w:bCs/>
          <w:sz w:val="28"/>
          <w:szCs w:val="24"/>
        </w:rPr>
        <w:t>、</w:t>
      </w:r>
      <w:bookmarkEnd w:id="9"/>
      <w:bookmarkEnd w:id="10"/>
      <w:bookmarkStart w:id="17" w:name="_Toc447799408"/>
      <w:bookmarkStart w:id="18" w:name="_Toc449097061"/>
      <w:r>
        <w:rPr>
          <w:rFonts w:hint="eastAsia" w:ascii="仿宋" w:hAnsi="仿宋" w:eastAsia="仿宋"/>
          <w:b/>
          <w:bCs/>
          <w:sz w:val="28"/>
        </w:rPr>
        <w:t>投标时限及投标截止时间</w:t>
      </w:r>
      <w:bookmarkEnd w:id="17"/>
      <w:bookmarkEnd w:id="18"/>
    </w:p>
    <w:p w14:paraId="4D295085">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1、投标单位按招标文件规定的时间向招标网站（重汽e采通）上传投标资料。</w:t>
      </w:r>
    </w:p>
    <w:p w14:paraId="0DF62492">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2、投标资料必须在投标截止时间前上传至规定网址。</w:t>
      </w:r>
    </w:p>
    <w:p w14:paraId="13DC20B4">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3、招标单位推迟投标截止时间时，应以书面的形式通知所有投标单位，在这种情况下，招标单位及投标单位的权利和义务将受到新的截止期约束。</w:t>
      </w:r>
    </w:p>
    <w:p w14:paraId="76E9AB33">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4、在投标截止时间以后规定网址投标关闭，招标单位拒绝接受其他形式的投标。</w:t>
      </w:r>
    </w:p>
    <w:p w14:paraId="3237952E">
      <w:pPr>
        <w:pStyle w:val="10"/>
        <w:pageBreakBefore w:val="0"/>
        <w:kinsoku/>
        <w:wordWrap/>
        <w:overflowPunct/>
        <w:topLinePunct w:val="0"/>
        <w:bidi w:val="0"/>
        <w:adjustRightInd w:val="0"/>
        <w:snapToGrid w:val="0"/>
        <w:spacing w:line="540" w:lineRule="exact"/>
        <w:ind w:right="0" w:firstLine="562" w:firstLineChars="200"/>
        <w:outlineLvl w:val="1"/>
        <w:rPr>
          <w:rFonts w:ascii="仿宋" w:hAnsi="仿宋" w:eastAsia="仿宋"/>
          <w:b/>
          <w:bCs/>
          <w:sz w:val="28"/>
          <w:szCs w:val="24"/>
        </w:rPr>
      </w:pPr>
      <w:bookmarkStart w:id="19" w:name="_Toc449097065"/>
      <w:bookmarkStart w:id="20" w:name="_Toc447799412"/>
      <w:r>
        <w:rPr>
          <w:rFonts w:hint="eastAsia" w:ascii="仿宋" w:hAnsi="仿宋" w:eastAsia="仿宋"/>
          <w:b/>
          <w:bCs/>
          <w:sz w:val="28"/>
          <w:szCs w:val="24"/>
        </w:rPr>
        <w:t>十</w:t>
      </w:r>
      <w:r>
        <w:rPr>
          <w:rFonts w:hint="eastAsia" w:ascii="仿宋" w:hAnsi="仿宋" w:eastAsia="仿宋"/>
          <w:b/>
          <w:bCs/>
          <w:sz w:val="28"/>
          <w:szCs w:val="24"/>
          <w:lang w:val="en-US" w:eastAsia="zh-CN"/>
        </w:rPr>
        <w:t>一</w:t>
      </w:r>
      <w:r>
        <w:rPr>
          <w:rFonts w:hint="eastAsia" w:ascii="仿宋" w:hAnsi="仿宋" w:eastAsia="仿宋"/>
          <w:b/>
          <w:bCs/>
          <w:sz w:val="28"/>
          <w:szCs w:val="24"/>
        </w:rPr>
        <w:t>、投标资料的修改和撤回</w:t>
      </w:r>
    </w:p>
    <w:p w14:paraId="54482C8D">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1、上传投标资料以后，未到投标截止时间，投标单位可以自动编辑修改、撤回，到达截止时间后，将无法进行修改、撤回。</w:t>
      </w:r>
    </w:p>
    <w:p w14:paraId="79AB3465">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2、开标后，无论中标与否，投标资料将在规定网站留档，不予修改、撤回，请投标单位自留底稿。</w:t>
      </w:r>
    </w:p>
    <w:p w14:paraId="5D8FCC95">
      <w:pPr>
        <w:pStyle w:val="10"/>
        <w:adjustRightInd w:val="0"/>
        <w:snapToGrid w:val="0"/>
        <w:spacing w:line="540" w:lineRule="exact"/>
        <w:ind w:firstLine="562" w:firstLineChars="200"/>
        <w:outlineLvl w:val="1"/>
        <w:rPr>
          <w:rFonts w:hint="default" w:ascii="仿宋" w:hAnsi="仿宋" w:eastAsia="仿宋"/>
          <w:b/>
          <w:bCs/>
          <w:sz w:val="28"/>
          <w:szCs w:val="24"/>
          <w:highlight w:val="none"/>
          <w:lang w:val="en-US" w:eastAsia="zh-CN"/>
        </w:rPr>
      </w:pPr>
      <w:bookmarkStart w:id="21" w:name="_Toc447799410"/>
      <w:bookmarkStart w:id="22" w:name="_Toc449097063"/>
      <w:r>
        <w:rPr>
          <w:rFonts w:hint="eastAsia" w:ascii="仿宋" w:hAnsi="仿宋" w:eastAsia="仿宋"/>
          <w:b/>
          <w:bCs/>
          <w:sz w:val="28"/>
          <w:szCs w:val="24"/>
        </w:rPr>
        <w:t>十</w:t>
      </w:r>
      <w:r>
        <w:rPr>
          <w:rFonts w:hint="eastAsia" w:ascii="仿宋" w:hAnsi="仿宋" w:eastAsia="仿宋"/>
          <w:b/>
          <w:bCs/>
          <w:sz w:val="28"/>
          <w:szCs w:val="24"/>
          <w:lang w:val="en-US" w:eastAsia="zh-CN"/>
        </w:rPr>
        <w:t>二</w:t>
      </w:r>
      <w:r>
        <w:rPr>
          <w:rFonts w:hint="eastAsia" w:ascii="仿宋" w:hAnsi="仿宋" w:eastAsia="仿宋"/>
          <w:b/>
          <w:bCs/>
          <w:sz w:val="28"/>
          <w:szCs w:val="24"/>
        </w:rPr>
        <w:t>、</w:t>
      </w:r>
      <w:r>
        <w:rPr>
          <w:rFonts w:hint="eastAsia" w:ascii="仿宋" w:hAnsi="仿宋" w:eastAsia="仿宋"/>
          <w:b/>
          <w:bCs/>
          <w:sz w:val="28"/>
          <w:szCs w:val="24"/>
          <w:highlight w:val="none"/>
        </w:rPr>
        <w:t>废标</w:t>
      </w:r>
      <w:r>
        <w:rPr>
          <w:rFonts w:hint="eastAsia" w:ascii="仿宋" w:hAnsi="仿宋" w:eastAsia="仿宋"/>
          <w:b/>
          <w:bCs/>
          <w:sz w:val="28"/>
          <w:szCs w:val="24"/>
          <w:highlight w:val="none"/>
          <w:lang w:val="en-US" w:eastAsia="zh-CN"/>
        </w:rPr>
        <w:t>及终止招标</w:t>
      </w:r>
    </w:p>
    <w:bookmarkEnd w:id="21"/>
    <w:bookmarkEnd w:id="22"/>
    <w:p w14:paraId="54860D5E">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投标单位有下列情形之一，其投标将被视为废标，招标单位将严格按照《中华人民共和国招标投标法》及相关法律、法规及规章制度的规定行使权利。投标单位给招标单位造成损失的，招标单位有索赔的权利，投标单位应予以赔偿。</w:t>
      </w:r>
    </w:p>
    <w:p w14:paraId="55D9FD7D">
      <w:pPr>
        <w:pageBreakBefore w:val="0"/>
        <w:numPr>
          <w:ilvl w:val="0"/>
          <w:numId w:val="8"/>
        </w:numPr>
        <w:kinsoku/>
        <w:wordWrap/>
        <w:overflowPunct/>
        <w:topLinePunct w:val="0"/>
        <w:bidi w:val="0"/>
        <w:spacing w:line="540" w:lineRule="exact"/>
        <w:ind w:left="0" w:leftChars="0" w:right="0" w:firstLine="560" w:firstLineChars="200"/>
        <w:rPr>
          <w:rFonts w:hint="eastAsia" w:ascii="仿宋" w:hAnsi="仿宋" w:eastAsia="仿宋"/>
          <w:sz w:val="28"/>
          <w:lang w:eastAsia="zh-CN"/>
        </w:rPr>
      </w:pPr>
      <w:bookmarkStart w:id="23" w:name="_Toc447799411"/>
      <w:r>
        <w:rPr>
          <w:rFonts w:hint="eastAsia" w:ascii="仿宋" w:hAnsi="仿宋" w:eastAsia="仿宋"/>
          <w:sz w:val="28"/>
        </w:rPr>
        <w:t>符合条件、或对招标文件做实质响应的供应商不足 3 家</w:t>
      </w:r>
      <w:r>
        <w:rPr>
          <w:rFonts w:hint="eastAsia" w:ascii="仿宋" w:hAnsi="仿宋" w:eastAsia="仿宋"/>
          <w:sz w:val="28"/>
          <w:lang w:eastAsia="zh-CN"/>
        </w:rPr>
        <w:t>；</w:t>
      </w:r>
    </w:p>
    <w:p w14:paraId="46BE11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textAlignment w:val="auto"/>
        <w:rPr>
          <w:rFonts w:hint="eastAsia" w:ascii="仿宋" w:hAnsi="仿宋" w:eastAsia="仿宋"/>
          <w:sz w:val="28"/>
          <w:lang w:eastAsia="zh-CN"/>
        </w:rPr>
      </w:pPr>
      <w:r>
        <w:rPr>
          <w:rFonts w:hint="eastAsia" w:ascii="仿宋" w:hAnsi="仿宋" w:eastAsia="仿宋"/>
          <w:sz w:val="28"/>
        </w:rPr>
        <w:t>2、</w:t>
      </w:r>
      <w:r>
        <w:rPr>
          <w:rFonts w:hint="eastAsia" w:ascii="仿宋" w:hAnsi="仿宋" w:eastAsia="仿宋"/>
          <w:sz w:val="28"/>
          <w:lang w:val="en-US" w:eastAsia="zh-CN"/>
        </w:rPr>
        <w:t>入围商务标的供应商不足3家</w:t>
      </w:r>
      <w:r>
        <w:rPr>
          <w:rFonts w:hint="eastAsia" w:ascii="仿宋" w:hAnsi="仿宋" w:eastAsia="仿宋"/>
          <w:sz w:val="28"/>
          <w:lang w:eastAsia="zh-CN"/>
        </w:rPr>
        <w:t>；</w:t>
      </w:r>
    </w:p>
    <w:p w14:paraId="2AFB4E8C">
      <w:pPr>
        <w:pageBreakBefore w:val="0"/>
        <w:kinsoku/>
        <w:wordWrap/>
        <w:overflowPunct/>
        <w:topLinePunct w:val="0"/>
        <w:bidi w:val="0"/>
        <w:spacing w:line="540" w:lineRule="exact"/>
        <w:ind w:left="0" w:leftChars="0" w:right="0" w:firstLine="560" w:firstLineChars="200"/>
        <w:rPr>
          <w:rFonts w:hint="eastAsia" w:ascii="仿宋" w:hAnsi="仿宋" w:eastAsia="仿宋"/>
          <w:sz w:val="28"/>
          <w:lang w:eastAsia="zh-CN"/>
        </w:rPr>
      </w:pPr>
      <w:r>
        <w:rPr>
          <w:rFonts w:hint="eastAsia" w:ascii="仿宋" w:hAnsi="仿宋" w:eastAsia="仿宋"/>
          <w:sz w:val="28"/>
          <w:lang w:val="en-US" w:eastAsia="zh-CN"/>
        </w:rPr>
        <w:t>3</w:t>
      </w:r>
      <w:r>
        <w:rPr>
          <w:rFonts w:hint="eastAsia" w:ascii="仿宋" w:hAnsi="仿宋" w:eastAsia="仿宋"/>
          <w:sz w:val="28"/>
        </w:rPr>
        <w:t>、出现影响采购公正的违法违规行为</w:t>
      </w:r>
      <w:r>
        <w:rPr>
          <w:rFonts w:hint="eastAsia" w:ascii="仿宋" w:hAnsi="仿宋" w:eastAsia="仿宋"/>
          <w:sz w:val="28"/>
          <w:lang w:eastAsia="zh-CN"/>
        </w:rPr>
        <w:t>；</w:t>
      </w:r>
    </w:p>
    <w:p w14:paraId="5B834879">
      <w:pPr>
        <w:pageBreakBefore w:val="0"/>
        <w:kinsoku/>
        <w:wordWrap/>
        <w:overflowPunct/>
        <w:topLinePunct w:val="0"/>
        <w:bidi w:val="0"/>
        <w:spacing w:line="540" w:lineRule="exact"/>
        <w:ind w:left="0" w:leftChars="0" w:right="0" w:firstLine="560" w:firstLineChars="200"/>
        <w:rPr>
          <w:rFonts w:hint="eastAsia" w:ascii="仿宋" w:hAnsi="仿宋" w:eastAsia="仿宋"/>
          <w:sz w:val="28"/>
          <w:lang w:eastAsia="zh-CN"/>
        </w:rPr>
      </w:pPr>
      <w:r>
        <w:rPr>
          <w:rFonts w:hint="eastAsia" w:ascii="仿宋" w:hAnsi="仿宋" w:eastAsia="仿宋"/>
          <w:sz w:val="28"/>
          <w:lang w:val="en-US" w:eastAsia="zh-CN"/>
        </w:rPr>
        <w:t>4</w:t>
      </w:r>
      <w:r>
        <w:rPr>
          <w:rFonts w:hint="eastAsia" w:ascii="仿宋" w:hAnsi="仿宋" w:eastAsia="仿宋"/>
          <w:sz w:val="28"/>
        </w:rPr>
        <w:t>、不同投标人的投标文件异常一致或者投标报价呈规律性差异</w:t>
      </w:r>
      <w:r>
        <w:rPr>
          <w:rFonts w:hint="eastAsia" w:ascii="仿宋" w:hAnsi="仿宋" w:eastAsia="仿宋"/>
          <w:sz w:val="28"/>
          <w:lang w:eastAsia="zh-CN"/>
        </w:rPr>
        <w:t>；</w:t>
      </w:r>
    </w:p>
    <w:p w14:paraId="335D2B78">
      <w:pPr>
        <w:pageBreakBefore w:val="0"/>
        <w:kinsoku/>
        <w:wordWrap/>
        <w:overflowPunct/>
        <w:topLinePunct w:val="0"/>
        <w:bidi w:val="0"/>
        <w:spacing w:line="540" w:lineRule="exact"/>
        <w:ind w:left="0" w:leftChars="0" w:right="0" w:firstLine="560" w:firstLineChars="200"/>
        <w:rPr>
          <w:rFonts w:hint="eastAsia" w:ascii="仿宋" w:hAnsi="仿宋" w:eastAsia="仿宋"/>
          <w:sz w:val="28"/>
          <w:lang w:eastAsia="zh-CN"/>
        </w:rPr>
      </w:pPr>
      <w:r>
        <w:rPr>
          <w:rFonts w:hint="eastAsia" w:ascii="仿宋" w:hAnsi="仿宋" w:eastAsia="仿宋"/>
          <w:sz w:val="28"/>
          <w:lang w:val="en-US" w:eastAsia="zh-CN"/>
        </w:rPr>
        <w:t>5</w:t>
      </w:r>
      <w:r>
        <w:rPr>
          <w:rFonts w:hint="eastAsia" w:ascii="仿宋" w:hAnsi="仿宋" w:eastAsia="仿宋"/>
          <w:sz w:val="28"/>
        </w:rPr>
        <w:t>、投标人报价均超过采购</w:t>
      </w:r>
      <w:r>
        <w:rPr>
          <w:rFonts w:hint="eastAsia" w:ascii="仿宋" w:hAnsi="仿宋" w:eastAsia="仿宋"/>
          <w:sz w:val="28"/>
          <w:lang w:val="en-US" w:eastAsia="zh-CN"/>
        </w:rPr>
        <w:t>投标上限</w:t>
      </w:r>
      <w:r>
        <w:rPr>
          <w:rFonts w:hint="eastAsia" w:ascii="仿宋" w:hAnsi="仿宋" w:eastAsia="仿宋"/>
          <w:sz w:val="28"/>
          <w:lang w:eastAsia="zh-CN"/>
        </w:rPr>
        <w:t>；</w:t>
      </w:r>
    </w:p>
    <w:p w14:paraId="69EAD2D0">
      <w:pPr>
        <w:pageBreakBefore w:val="0"/>
        <w:kinsoku/>
        <w:wordWrap/>
        <w:overflowPunct/>
        <w:topLinePunct w:val="0"/>
        <w:bidi w:val="0"/>
        <w:spacing w:line="540" w:lineRule="exact"/>
        <w:ind w:left="0" w:leftChars="0" w:right="0" w:firstLine="560" w:firstLineChars="200"/>
        <w:rPr>
          <w:rFonts w:hint="eastAsia" w:ascii="仿宋" w:hAnsi="仿宋" w:eastAsia="仿宋"/>
          <w:sz w:val="28"/>
          <w:lang w:eastAsia="zh-CN"/>
        </w:rPr>
      </w:pPr>
      <w:r>
        <w:rPr>
          <w:rFonts w:hint="eastAsia" w:ascii="仿宋" w:hAnsi="仿宋" w:eastAsia="仿宋"/>
          <w:sz w:val="28"/>
          <w:lang w:val="en-US" w:eastAsia="zh-CN"/>
        </w:rPr>
        <w:t>6</w:t>
      </w:r>
      <w:r>
        <w:rPr>
          <w:rFonts w:hint="eastAsia" w:ascii="仿宋" w:hAnsi="仿宋" w:eastAsia="仿宋"/>
          <w:sz w:val="28"/>
        </w:rPr>
        <w:t>、因重大变故、采购任务取消</w:t>
      </w:r>
      <w:r>
        <w:rPr>
          <w:rFonts w:hint="eastAsia" w:ascii="仿宋" w:hAnsi="仿宋" w:eastAsia="仿宋"/>
          <w:sz w:val="28"/>
          <w:lang w:eastAsia="zh-CN"/>
        </w:rPr>
        <w:t>；</w:t>
      </w:r>
    </w:p>
    <w:p w14:paraId="764336DA">
      <w:pPr>
        <w:pageBreakBefore w:val="0"/>
        <w:kinsoku/>
        <w:wordWrap/>
        <w:overflowPunct/>
        <w:topLinePunct w:val="0"/>
        <w:bidi w:val="0"/>
        <w:spacing w:line="540" w:lineRule="exact"/>
        <w:ind w:left="0" w:leftChars="0" w:right="0" w:firstLine="560" w:firstLineChars="200"/>
        <w:rPr>
          <w:rFonts w:hint="eastAsia" w:ascii="仿宋" w:hAnsi="仿宋" w:eastAsia="仿宋"/>
          <w:sz w:val="28"/>
          <w:lang w:eastAsia="zh-CN"/>
        </w:rPr>
      </w:pPr>
      <w:r>
        <w:rPr>
          <w:rFonts w:hint="eastAsia" w:ascii="仿宋" w:hAnsi="仿宋" w:eastAsia="仿宋"/>
          <w:sz w:val="28"/>
          <w:lang w:val="en-US" w:eastAsia="zh-CN"/>
        </w:rPr>
        <w:t>7</w:t>
      </w:r>
      <w:r>
        <w:rPr>
          <w:rFonts w:hint="eastAsia" w:ascii="仿宋" w:hAnsi="仿宋" w:eastAsia="仿宋"/>
          <w:sz w:val="28"/>
        </w:rPr>
        <w:t>、投标单位负责人为同一人或存在管理关系的</w:t>
      </w:r>
      <w:r>
        <w:rPr>
          <w:rFonts w:hint="eastAsia" w:ascii="仿宋" w:hAnsi="仿宋" w:eastAsia="仿宋"/>
          <w:sz w:val="28"/>
          <w:lang w:eastAsia="zh-CN"/>
        </w:rPr>
        <w:t>；</w:t>
      </w:r>
    </w:p>
    <w:p w14:paraId="70041E1C">
      <w:pPr>
        <w:pageBreakBefore w:val="0"/>
        <w:kinsoku/>
        <w:wordWrap/>
        <w:overflowPunct/>
        <w:topLinePunct w:val="0"/>
        <w:bidi w:val="0"/>
        <w:spacing w:line="540" w:lineRule="exact"/>
        <w:ind w:left="0" w:leftChars="0" w:right="0" w:firstLine="560" w:firstLineChars="200"/>
        <w:rPr>
          <w:rFonts w:hint="eastAsia" w:ascii="仿宋" w:hAnsi="仿宋" w:eastAsia="仿宋"/>
          <w:sz w:val="28"/>
          <w:lang w:eastAsia="zh-CN"/>
        </w:rPr>
      </w:pPr>
      <w:r>
        <w:rPr>
          <w:rFonts w:hint="eastAsia" w:ascii="仿宋" w:hAnsi="仿宋" w:eastAsia="仿宋"/>
          <w:sz w:val="28"/>
          <w:lang w:val="en-US" w:eastAsia="zh-CN"/>
        </w:rPr>
        <w:t>8</w:t>
      </w:r>
      <w:r>
        <w:rPr>
          <w:rFonts w:hint="eastAsia" w:ascii="仿宋" w:hAnsi="仿宋" w:eastAsia="仿宋"/>
          <w:sz w:val="28"/>
        </w:rPr>
        <w:t>、投标人及单位被举报、检举，并经招标方查实无误的</w:t>
      </w:r>
      <w:r>
        <w:rPr>
          <w:rFonts w:hint="eastAsia" w:ascii="仿宋" w:hAnsi="仿宋" w:eastAsia="仿宋"/>
          <w:sz w:val="28"/>
          <w:lang w:eastAsia="zh-CN"/>
        </w:rPr>
        <w:t>；</w:t>
      </w:r>
    </w:p>
    <w:bookmarkEnd w:id="23"/>
    <w:p w14:paraId="56CB6324">
      <w:pPr>
        <w:pageBreakBefore w:val="0"/>
        <w:kinsoku/>
        <w:wordWrap/>
        <w:overflowPunct/>
        <w:topLinePunct w:val="0"/>
        <w:bidi w:val="0"/>
        <w:spacing w:line="540" w:lineRule="exact"/>
        <w:ind w:left="0" w:leftChars="0" w:right="0" w:firstLine="560" w:firstLineChars="200"/>
        <w:rPr>
          <w:rFonts w:hint="eastAsia" w:ascii="仿宋" w:hAnsi="仿宋" w:eastAsia="仿宋"/>
          <w:sz w:val="28"/>
        </w:rPr>
      </w:pPr>
      <w:r>
        <w:rPr>
          <w:rFonts w:hint="eastAsia" w:ascii="仿宋" w:hAnsi="仿宋" w:eastAsia="仿宋"/>
          <w:sz w:val="28"/>
          <w:lang w:val="en-US" w:eastAsia="zh-CN"/>
        </w:rPr>
        <w:t>9</w:t>
      </w:r>
      <w:r>
        <w:rPr>
          <w:rFonts w:hint="eastAsia" w:ascii="仿宋" w:hAnsi="仿宋" w:eastAsia="仿宋"/>
          <w:sz w:val="28"/>
        </w:rPr>
        <w:t>、法律、法规规定的其他情况。</w:t>
      </w:r>
    </w:p>
    <w:p w14:paraId="0DB30CB2">
      <w:pPr>
        <w:pStyle w:val="10"/>
        <w:adjustRightInd w:val="0"/>
        <w:snapToGrid w:val="0"/>
        <w:spacing w:line="540" w:lineRule="exact"/>
        <w:ind w:firstLine="562" w:firstLineChars="200"/>
        <w:outlineLvl w:val="1"/>
        <w:rPr>
          <w:rFonts w:ascii="仿宋" w:hAnsi="仿宋" w:eastAsia="仿宋"/>
          <w:b/>
          <w:bCs/>
          <w:sz w:val="28"/>
          <w:szCs w:val="24"/>
          <w:highlight w:val="yellow"/>
        </w:rPr>
      </w:pPr>
      <w:bookmarkStart w:id="24" w:name="_Toc449097064"/>
      <w:r>
        <w:rPr>
          <w:rFonts w:hint="eastAsia" w:ascii="仿宋" w:hAnsi="仿宋" w:eastAsia="仿宋"/>
          <w:b/>
          <w:bCs/>
          <w:sz w:val="28"/>
          <w:szCs w:val="24"/>
        </w:rPr>
        <w:t>十</w:t>
      </w:r>
      <w:r>
        <w:rPr>
          <w:rFonts w:hint="eastAsia" w:ascii="仿宋" w:hAnsi="仿宋" w:eastAsia="仿宋"/>
          <w:b/>
          <w:bCs/>
          <w:sz w:val="28"/>
          <w:szCs w:val="24"/>
          <w:lang w:val="en-US" w:eastAsia="zh-CN"/>
        </w:rPr>
        <w:t>三</w:t>
      </w:r>
      <w:r>
        <w:rPr>
          <w:rFonts w:hint="eastAsia" w:ascii="仿宋" w:hAnsi="仿宋" w:eastAsia="仿宋"/>
          <w:b/>
          <w:bCs/>
          <w:sz w:val="28"/>
          <w:szCs w:val="24"/>
        </w:rPr>
        <w:t>、</w:t>
      </w:r>
      <w:r>
        <w:rPr>
          <w:rFonts w:hint="eastAsia" w:ascii="仿宋" w:hAnsi="仿宋" w:eastAsia="仿宋"/>
          <w:b/>
          <w:bCs/>
          <w:sz w:val="28"/>
          <w:szCs w:val="24"/>
          <w:highlight w:val="none"/>
        </w:rPr>
        <w:t>定标</w:t>
      </w:r>
      <w:bookmarkEnd w:id="24"/>
    </w:p>
    <w:p w14:paraId="301C059B">
      <w:pPr>
        <w:adjustRightInd w:val="0"/>
        <w:snapToGrid w:val="0"/>
        <w:spacing w:line="540" w:lineRule="exact"/>
        <w:ind w:firstLine="560" w:firstLineChars="200"/>
        <w:rPr>
          <w:rFonts w:ascii="仿宋" w:hAnsi="仿宋" w:eastAsia="仿宋"/>
          <w:color w:val="FF0000"/>
          <w:sz w:val="28"/>
        </w:rPr>
      </w:pPr>
      <w:r>
        <w:rPr>
          <w:rFonts w:hint="eastAsia" w:ascii="仿宋" w:hAnsi="仿宋" w:eastAsia="仿宋" w:cs="Times New Roman"/>
          <w:color w:val="auto"/>
          <w:kern w:val="2"/>
          <w:sz w:val="28"/>
          <w:szCs w:val="24"/>
          <w:lang w:val="en-US" w:eastAsia="zh-CN" w:bidi="ar-SA"/>
        </w:rPr>
        <w:t>按照国家招投标有关规定，本着公平、公正、公开、有序的原则，在最大限度地满足招标文件实质性要求的前提下，按照合理最低价的原则选择中标厂家，合同以双方最终签署的版本为准。</w:t>
      </w:r>
    </w:p>
    <w:p w14:paraId="522C8D88">
      <w:pPr>
        <w:pStyle w:val="2"/>
        <w:rPr>
          <w:rFonts w:hint="eastAsia"/>
        </w:rPr>
      </w:pPr>
    </w:p>
    <w:p w14:paraId="4EC79A5D">
      <w:pPr>
        <w:pStyle w:val="10"/>
        <w:pageBreakBefore w:val="0"/>
        <w:kinsoku/>
        <w:wordWrap/>
        <w:overflowPunct/>
        <w:topLinePunct w:val="0"/>
        <w:bidi w:val="0"/>
        <w:adjustRightInd w:val="0"/>
        <w:snapToGrid w:val="0"/>
        <w:spacing w:line="540" w:lineRule="exact"/>
        <w:ind w:right="0" w:firstLine="562" w:firstLineChars="200"/>
        <w:outlineLvl w:val="1"/>
        <w:rPr>
          <w:rFonts w:hint="eastAsia" w:ascii="仿宋" w:hAnsi="仿宋" w:eastAsia="仿宋"/>
          <w:b/>
          <w:bCs/>
          <w:color w:val="000000"/>
          <w:sz w:val="28"/>
          <w:szCs w:val="24"/>
          <w:highlight w:val="none"/>
          <w:lang w:val="en-US" w:eastAsia="zh-CN"/>
        </w:rPr>
      </w:pPr>
      <w:r>
        <w:rPr>
          <w:rFonts w:hint="eastAsia" w:ascii="仿宋" w:hAnsi="仿宋" w:eastAsia="仿宋"/>
          <w:b/>
          <w:bCs/>
          <w:color w:val="000000"/>
          <w:sz w:val="28"/>
          <w:szCs w:val="24"/>
          <w:highlight w:val="none"/>
          <w:lang w:val="en-US" w:eastAsia="zh-CN"/>
        </w:rPr>
        <w:t>十四、瑕疵处理原则</w:t>
      </w:r>
    </w:p>
    <w:p w14:paraId="3F1F985F">
      <w:pPr>
        <w:pageBreakBefore w:val="0"/>
        <w:kinsoku/>
        <w:wordWrap/>
        <w:overflowPunct/>
        <w:topLinePunct w:val="0"/>
        <w:bidi w:val="0"/>
        <w:spacing w:line="540" w:lineRule="exact"/>
        <w:ind w:left="0" w:leftChars="0" w:right="0" w:firstLine="560" w:firstLineChars="200"/>
        <w:rPr>
          <w:rFonts w:hint="default" w:ascii="仿宋" w:hAnsi="仿宋" w:eastAsia="仿宋"/>
          <w:sz w:val="28"/>
          <w:lang w:val="en-US" w:eastAsia="zh-CN"/>
        </w:rPr>
      </w:pPr>
      <w:r>
        <w:rPr>
          <w:rFonts w:hint="eastAsia" w:ascii="仿宋" w:hAnsi="仿宋" w:eastAsia="仿宋"/>
          <w:sz w:val="28"/>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2983C354">
      <w:pPr>
        <w:pStyle w:val="10"/>
        <w:pageBreakBefore w:val="0"/>
        <w:kinsoku/>
        <w:wordWrap/>
        <w:overflowPunct/>
        <w:topLinePunct w:val="0"/>
        <w:bidi w:val="0"/>
        <w:adjustRightInd w:val="0"/>
        <w:snapToGrid w:val="0"/>
        <w:spacing w:line="540" w:lineRule="exact"/>
        <w:ind w:left="0" w:leftChars="0" w:right="0" w:firstLine="562" w:firstLineChars="200"/>
        <w:outlineLvl w:val="1"/>
        <w:rPr>
          <w:rFonts w:ascii="仿宋" w:hAnsi="仿宋" w:eastAsia="仿宋"/>
          <w:b/>
          <w:bCs/>
          <w:color w:val="000000"/>
          <w:sz w:val="28"/>
          <w:szCs w:val="24"/>
        </w:rPr>
      </w:pPr>
      <w:r>
        <w:rPr>
          <w:rFonts w:hint="eastAsia" w:ascii="仿宋" w:hAnsi="仿宋" w:eastAsia="仿宋"/>
          <w:b/>
          <w:bCs/>
          <w:color w:val="000000"/>
          <w:sz w:val="28"/>
          <w:szCs w:val="24"/>
        </w:rPr>
        <w:t>十</w:t>
      </w:r>
      <w:r>
        <w:rPr>
          <w:rFonts w:hint="eastAsia" w:ascii="仿宋" w:hAnsi="仿宋" w:eastAsia="仿宋"/>
          <w:b/>
          <w:bCs/>
          <w:color w:val="000000"/>
          <w:sz w:val="28"/>
          <w:szCs w:val="24"/>
          <w:lang w:val="en-US" w:eastAsia="zh-CN"/>
        </w:rPr>
        <w:t>五</w:t>
      </w:r>
      <w:r>
        <w:rPr>
          <w:rFonts w:hint="eastAsia" w:ascii="仿宋" w:hAnsi="仿宋" w:eastAsia="仿宋"/>
          <w:b/>
          <w:bCs/>
          <w:color w:val="000000"/>
          <w:sz w:val="28"/>
          <w:szCs w:val="24"/>
        </w:rPr>
        <w:t>、中标通知</w:t>
      </w:r>
      <w:bookmarkEnd w:id="19"/>
      <w:bookmarkEnd w:id="20"/>
    </w:p>
    <w:p w14:paraId="06863E69">
      <w:pPr>
        <w:pStyle w:val="10"/>
        <w:keepNext w:val="0"/>
        <w:keepLines w:val="0"/>
        <w:pageBreakBefore w:val="0"/>
        <w:widowControl w:val="0"/>
        <w:kinsoku/>
        <w:wordWrap/>
        <w:overflowPunct/>
        <w:topLinePunct w:val="0"/>
        <w:autoSpaceDE/>
        <w:autoSpaceDN/>
        <w:bidi w:val="0"/>
        <w:adjustRightInd w:val="0"/>
        <w:snapToGrid w:val="0"/>
        <w:spacing w:line="540" w:lineRule="exact"/>
        <w:ind w:right="0" w:firstLine="560" w:firstLineChars="200"/>
        <w:textAlignment w:val="auto"/>
        <w:outlineLvl w:val="1"/>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1、在满足技术标要求的前提下，根据商务标合理最低价中标原则确定推荐中标人。</w:t>
      </w:r>
    </w:p>
    <w:p w14:paraId="022E38BD">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、在投标有效期内，招标单位以重汽e采通网站通知所选定的中标单位。通知也可以是邮件、传真的形式，但需要随后以书面确认。</w:t>
      </w:r>
    </w:p>
    <w:p w14:paraId="41F6E745">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lang w:val="en-US" w:eastAsia="zh-CN"/>
        </w:rPr>
        <w:t>3</w:t>
      </w:r>
      <w:r>
        <w:rPr>
          <w:rFonts w:hint="eastAsia" w:ascii="仿宋" w:hAnsi="仿宋" w:eastAsia="仿宋"/>
          <w:sz w:val="28"/>
        </w:rPr>
        <w:t>、中标单位按规定与招标方签订合同。招标方对未中标的投标单位，不作未中标的原因解释。</w:t>
      </w:r>
    </w:p>
    <w:p w14:paraId="059F08B7">
      <w:pPr>
        <w:pStyle w:val="10"/>
        <w:pageBreakBefore w:val="0"/>
        <w:kinsoku/>
        <w:wordWrap/>
        <w:overflowPunct/>
        <w:topLinePunct w:val="0"/>
        <w:bidi w:val="0"/>
        <w:adjustRightInd w:val="0"/>
        <w:snapToGrid w:val="0"/>
        <w:spacing w:line="540" w:lineRule="exact"/>
        <w:ind w:left="0" w:leftChars="0" w:right="0" w:firstLine="562" w:firstLineChars="200"/>
        <w:outlineLvl w:val="1"/>
        <w:rPr>
          <w:rFonts w:ascii="仿宋" w:hAnsi="仿宋" w:eastAsia="仿宋"/>
          <w:b/>
          <w:bCs/>
          <w:sz w:val="28"/>
          <w:szCs w:val="24"/>
        </w:rPr>
      </w:pPr>
      <w:bookmarkStart w:id="25" w:name="_Toc447799413"/>
      <w:bookmarkStart w:id="26" w:name="_Toc449097066"/>
      <w:r>
        <w:rPr>
          <w:rFonts w:hint="eastAsia" w:ascii="仿宋" w:hAnsi="仿宋" w:eastAsia="仿宋"/>
          <w:b/>
          <w:bCs/>
          <w:sz w:val="28"/>
          <w:szCs w:val="24"/>
        </w:rPr>
        <w:t>十</w:t>
      </w:r>
      <w:r>
        <w:rPr>
          <w:rFonts w:hint="eastAsia" w:ascii="仿宋" w:hAnsi="仿宋" w:eastAsia="仿宋"/>
          <w:b/>
          <w:bCs/>
          <w:sz w:val="28"/>
          <w:szCs w:val="24"/>
          <w:lang w:val="en-US" w:eastAsia="zh-CN"/>
        </w:rPr>
        <w:t>六、</w:t>
      </w:r>
      <w:r>
        <w:rPr>
          <w:rFonts w:hint="eastAsia" w:ascii="仿宋" w:hAnsi="仿宋" w:eastAsia="仿宋"/>
          <w:b/>
          <w:bCs/>
          <w:sz w:val="28"/>
          <w:szCs w:val="24"/>
        </w:rPr>
        <w:t>签订合同</w:t>
      </w:r>
      <w:bookmarkEnd w:id="25"/>
      <w:bookmarkEnd w:id="26"/>
      <w:r>
        <w:rPr>
          <w:rFonts w:hint="eastAsia" w:ascii="仿宋" w:hAnsi="仿宋" w:eastAsia="仿宋"/>
          <w:b/>
          <w:bCs/>
          <w:sz w:val="28"/>
          <w:szCs w:val="24"/>
        </w:rPr>
        <w:t>及</w:t>
      </w:r>
      <w:r>
        <w:rPr>
          <w:rFonts w:ascii="仿宋" w:hAnsi="仿宋" w:eastAsia="仿宋"/>
          <w:b/>
          <w:bCs/>
          <w:sz w:val="28"/>
          <w:szCs w:val="24"/>
        </w:rPr>
        <w:t>付款</w:t>
      </w:r>
    </w:p>
    <w:p w14:paraId="3E22205A">
      <w:pPr>
        <w:pStyle w:val="16"/>
        <w:pageBreakBefore w:val="0"/>
        <w:kinsoku/>
        <w:wordWrap/>
        <w:overflowPunct/>
        <w:topLinePunct w:val="0"/>
        <w:bidi w:val="0"/>
        <w:ind w:left="0" w:leftChars="0" w:right="0" w:firstLine="560"/>
        <w:rPr>
          <w:rFonts w:hint="eastAsia" w:ascii="仿宋" w:hAnsi="仿宋" w:eastAsia="仿宋"/>
          <w:sz w:val="28"/>
        </w:rPr>
      </w:pPr>
      <w:r>
        <w:rPr>
          <w:rFonts w:hint="eastAsia" w:ascii="仿宋" w:hAnsi="仿宋" w:eastAsia="仿宋"/>
          <w:sz w:val="28"/>
        </w:rPr>
        <w:t>1、中标单位应按中标通知书中规定的时间、地点与招标方签定合同，否则按开标后撤回投标处理。</w:t>
      </w:r>
    </w:p>
    <w:p w14:paraId="1585BFEB">
      <w:pPr>
        <w:pStyle w:val="16"/>
        <w:pageBreakBefore w:val="0"/>
        <w:kinsoku/>
        <w:wordWrap/>
        <w:overflowPunct/>
        <w:topLinePunct w:val="0"/>
        <w:bidi w:val="0"/>
        <w:ind w:left="0" w:leftChars="0" w:right="0" w:firstLine="560"/>
        <w:rPr>
          <w:rFonts w:hint="eastAsia" w:ascii="仿宋" w:hAnsi="仿宋" w:eastAsia="仿宋" w:cs="Times New Roman"/>
          <w:kern w:val="2"/>
          <w:sz w:val="28"/>
          <w:szCs w:val="24"/>
          <w:lang w:val="en-US" w:eastAsia="zh-CN" w:bidi="ar-SA"/>
        </w:rPr>
      </w:pPr>
      <w:r>
        <w:rPr>
          <w:rFonts w:hint="eastAsia" w:ascii="仿宋" w:hAnsi="仿宋" w:eastAsia="仿宋" w:cs="Times New Roman"/>
          <w:kern w:val="2"/>
          <w:sz w:val="28"/>
          <w:szCs w:val="24"/>
          <w:lang w:val="en-US" w:eastAsia="zh-CN" w:bidi="ar-SA"/>
        </w:rPr>
        <w:t>2.中标人应当按照合同约定的履约责任，向招标人缴纳履约保证金3万元（人民币），如中标人未按合同及其附件约定履行应承担的责任，招标人有权扣除其履约保证金。</w:t>
      </w:r>
    </w:p>
    <w:p w14:paraId="43FB8CDA">
      <w:pPr>
        <w:pStyle w:val="16"/>
        <w:pageBreakBefore w:val="0"/>
        <w:kinsoku/>
        <w:wordWrap/>
        <w:overflowPunct/>
        <w:topLinePunct w:val="0"/>
        <w:bidi w:val="0"/>
        <w:ind w:left="0" w:leftChars="0" w:right="0" w:firstLine="560"/>
        <w:rPr>
          <w:rFonts w:hint="eastAsia" w:ascii="仿宋" w:hAnsi="仿宋" w:eastAsia="仿宋" w:cs="Times New Roman"/>
          <w:kern w:val="2"/>
          <w:sz w:val="28"/>
          <w:szCs w:val="24"/>
          <w:lang w:val="en-US" w:eastAsia="zh-CN" w:bidi="ar-SA"/>
        </w:rPr>
      </w:pPr>
      <w:r>
        <w:rPr>
          <w:rFonts w:hint="eastAsia" w:ascii="仿宋" w:hAnsi="仿宋" w:eastAsia="仿宋" w:cs="Times New Roman"/>
          <w:kern w:val="2"/>
          <w:sz w:val="28"/>
          <w:szCs w:val="24"/>
          <w:lang w:val="en-US" w:eastAsia="zh-CN" w:bidi="ar-SA"/>
        </w:rPr>
        <w:t>3.中标人应在保证质量的前提下完成中标项目，不得将中标项目转包或分包给他人，否则视为违约，招标人或相关单位有权解除合同。</w:t>
      </w:r>
    </w:p>
    <w:p w14:paraId="223F002A">
      <w:pPr>
        <w:pStyle w:val="16"/>
        <w:pageBreakBefore w:val="0"/>
        <w:kinsoku/>
        <w:wordWrap/>
        <w:overflowPunct/>
        <w:topLinePunct w:val="0"/>
        <w:bidi w:val="0"/>
        <w:ind w:left="0" w:leftChars="0" w:right="0" w:firstLine="560"/>
        <w:rPr>
          <w:rFonts w:hint="eastAsia" w:ascii="仿宋" w:hAnsi="仿宋" w:eastAsia="仿宋" w:cs="Times New Roman"/>
          <w:kern w:val="2"/>
          <w:sz w:val="28"/>
          <w:szCs w:val="24"/>
          <w:lang w:val="en-US" w:eastAsia="zh-CN" w:bidi="ar-SA"/>
        </w:rPr>
      </w:pPr>
      <w:r>
        <w:rPr>
          <w:rFonts w:hint="eastAsia" w:ascii="仿宋" w:hAnsi="仿宋" w:eastAsia="仿宋" w:cs="Times New Roman"/>
          <w:kern w:val="2"/>
          <w:sz w:val="28"/>
          <w:szCs w:val="24"/>
          <w:lang w:val="en-US" w:eastAsia="zh-CN" w:bidi="ar-SA"/>
        </w:rPr>
        <w:t>4.在履行合同过程中，中标人由于履行义务的能力或信用有严重缺陷，招标人有权解除合同并取消其中标资格，招标人将从剩余投标人中依序重新确定中标人，或重新组织招标。</w:t>
      </w:r>
    </w:p>
    <w:p w14:paraId="7C601604">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cs="Times New Roman"/>
          <w:kern w:val="2"/>
          <w:sz w:val="28"/>
          <w:szCs w:val="24"/>
          <w:lang w:val="en-US" w:eastAsia="zh-CN" w:bidi="ar-SA"/>
        </w:rPr>
        <w:t>5.中标人须认可招标人由于招标人上级集团公司政策变化引起的随时终止合同的要求。</w:t>
      </w:r>
    </w:p>
    <w:p w14:paraId="200421F0">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lang w:val="en-US" w:eastAsia="zh-CN"/>
        </w:rPr>
        <w:t>6</w:t>
      </w:r>
      <w:r>
        <w:rPr>
          <w:rFonts w:hint="eastAsia" w:ascii="仿宋" w:hAnsi="仿宋" w:eastAsia="仿宋"/>
          <w:sz w:val="28"/>
        </w:rPr>
        <w:t>、</w:t>
      </w:r>
      <w:r>
        <w:rPr>
          <w:rFonts w:ascii="仿宋" w:hAnsi="仿宋" w:eastAsia="仿宋"/>
          <w:sz w:val="28"/>
        </w:rPr>
        <w:t>付款</w:t>
      </w:r>
      <w:r>
        <w:rPr>
          <w:rFonts w:hint="eastAsia" w:ascii="仿宋" w:hAnsi="仿宋" w:eastAsia="仿宋"/>
          <w:sz w:val="28"/>
        </w:rPr>
        <w:t>方式：</w:t>
      </w:r>
    </w:p>
    <w:p w14:paraId="0ACD78B3">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消防维保值班</w:t>
      </w:r>
      <w:r>
        <w:rPr>
          <w:rFonts w:ascii="仿宋" w:hAnsi="仿宋" w:eastAsia="仿宋"/>
          <w:sz w:val="28"/>
        </w:rPr>
        <w:t>为按月</w:t>
      </w:r>
      <w:r>
        <w:rPr>
          <w:rFonts w:hint="eastAsia" w:ascii="仿宋" w:hAnsi="仿宋" w:eastAsia="仿宋"/>
          <w:sz w:val="28"/>
        </w:rPr>
        <w:t>以半年期承兑汇票（包括银行承兑汇票和商业承兑汇票）方式</w:t>
      </w:r>
      <w:r>
        <w:rPr>
          <w:rFonts w:ascii="仿宋" w:hAnsi="仿宋" w:eastAsia="仿宋"/>
          <w:sz w:val="28"/>
        </w:rPr>
        <w:t>支付，合同签订后按照</w:t>
      </w:r>
      <w:r>
        <w:rPr>
          <w:rFonts w:hint="eastAsia" w:ascii="仿宋" w:hAnsi="仿宋" w:eastAsia="仿宋"/>
          <w:sz w:val="28"/>
        </w:rPr>
        <w:t>签订</w:t>
      </w:r>
      <w:r>
        <w:rPr>
          <w:rFonts w:ascii="仿宋" w:hAnsi="仿宋" w:eastAsia="仿宋"/>
          <w:sz w:val="28"/>
        </w:rPr>
        <w:t>时间</w:t>
      </w:r>
      <w:r>
        <w:rPr>
          <w:rFonts w:hint="eastAsia" w:ascii="仿宋" w:hAnsi="仿宋" w:eastAsia="仿宋"/>
          <w:sz w:val="28"/>
        </w:rPr>
        <w:t>及</w:t>
      </w:r>
      <w:r>
        <w:rPr>
          <w:rFonts w:ascii="仿宋" w:hAnsi="仿宋" w:eastAsia="仿宋"/>
          <w:sz w:val="28"/>
        </w:rPr>
        <w:t>价格按月</w:t>
      </w:r>
      <w:r>
        <w:rPr>
          <w:rFonts w:hint="eastAsia" w:ascii="仿宋" w:hAnsi="仿宋" w:eastAsia="仿宋"/>
          <w:sz w:val="28"/>
        </w:rPr>
        <w:t>平均</w:t>
      </w:r>
      <w:r>
        <w:rPr>
          <w:rFonts w:ascii="仿宋" w:hAnsi="仿宋" w:eastAsia="仿宋"/>
          <w:sz w:val="28"/>
        </w:rPr>
        <w:t>支付。</w:t>
      </w:r>
    </w:p>
    <w:p w14:paraId="3EF8AAF6">
      <w:pPr>
        <w:pStyle w:val="16"/>
        <w:pageBreakBefore w:val="0"/>
        <w:kinsoku/>
        <w:wordWrap/>
        <w:overflowPunct/>
        <w:topLinePunct w:val="0"/>
        <w:bidi w:val="0"/>
        <w:ind w:left="0" w:leftChars="0" w:right="0" w:firstLine="560"/>
        <w:rPr>
          <w:rFonts w:ascii="仿宋" w:hAnsi="仿宋" w:eastAsia="仿宋"/>
          <w:sz w:val="28"/>
          <w:lang w:eastAsia="zh-CN"/>
        </w:rPr>
      </w:pPr>
      <w:r>
        <w:rPr>
          <w:rFonts w:hint="eastAsia" w:ascii="仿宋" w:hAnsi="仿宋" w:eastAsia="仿宋"/>
          <w:sz w:val="28"/>
          <w:lang w:val="en-US" w:eastAsia="zh-CN"/>
        </w:rPr>
        <w:t>7</w:t>
      </w:r>
      <w:r>
        <w:rPr>
          <w:rFonts w:hint="eastAsia" w:ascii="仿宋" w:hAnsi="仿宋" w:eastAsia="仿宋"/>
          <w:sz w:val="28"/>
          <w:lang w:eastAsia="zh-CN"/>
        </w:rPr>
        <w:t>、合同以双方最终签署的版本为准。</w:t>
      </w:r>
    </w:p>
    <w:p w14:paraId="1B0EC2A3">
      <w:pPr>
        <w:pStyle w:val="10"/>
        <w:pageBreakBefore w:val="0"/>
        <w:kinsoku/>
        <w:wordWrap/>
        <w:overflowPunct/>
        <w:topLinePunct w:val="0"/>
        <w:bidi w:val="0"/>
        <w:adjustRightInd w:val="0"/>
        <w:snapToGrid w:val="0"/>
        <w:spacing w:line="540" w:lineRule="exact"/>
        <w:ind w:left="0" w:leftChars="0" w:right="0" w:firstLine="562" w:firstLineChars="200"/>
        <w:outlineLvl w:val="1"/>
        <w:rPr>
          <w:rFonts w:ascii="仿宋" w:hAnsi="仿宋" w:eastAsia="仿宋"/>
          <w:b/>
          <w:bCs/>
          <w:sz w:val="28"/>
          <w:szCs w:val="24"/>
        </w:rPr>
      </w:pPr>
      <w:bookmarkStart w:id="27" w:name="_Toc449097067"/>
      <w:bookmarkStart w:id="28" w:name="_Toc447799414"/>
      <w:r>
        <w:rPr>
          <w:rFonts w:hint="eastAsia" w:ascii="仿宋" w:hAnsi="仿宋" w:eastAsia="仿宋"/>
          <w:b/>
          <w:bCs/>
          <w:sz w:val="28"/>
          <w:szCs w:val="24"/>
        </w:rPr>
        <w:t>十八、解释权</w:t>
      </w:r>
      <w:bookmarkEnd w:id="27"/>
      <w:bookmarkEnd w:id="28"/>
    </w:p>
    <w:p w14:paraId="7C7110B0">
      <w:pPr>
        <w:pStyle w:val="8"/>
        <w:pageBreakBefore w:val="0"/>
        <w:tabs>
          <w:tab w:val="left" w:pos="1528"/>
        </w:tabs>
        <w:kinsoku/>
        <w:wordWrap/>
        <w:overflowPunct/>
        <w:topLinePunct w:val="0"/>
        <w:bidi w:val="0"/>
        <w:adjustRightInd w:val="0"/>
        <w:snapToGrid w:val="0"/>
        <w:spacing w:after="0" w:line="540" w:lineRule="exact"/>
        <w:ind w:left="0" w:leftChars="0" w:right="0" w:firstLine="560" w:firstLineChars="200"/>
        <w:rPr>
          <w:rFonts w:ascii="仿宋" w:hAnsi="仿宋" w:eastAsia="仿宋"/>
          <w:sz w:val="28"/>
        </w:rPr>
      </w:pPr>
      <w:r>
        <w:rPr>
          <w:rFonts w:hint="eastAsia" w:ascii="仿宋" w:hAnsi="仿宋" w:eastAsia="仿宋"/>
          <w:sz w:val="28"/>
        </w:rPr>
        <w:t>本招标文件的最终解释权归招标方，当对一个问题有多种解释时以采购人的书面解释为准。采购文件未做须知明示，而又有相关法律、法规规定的，招标方对此所做解释以相关的法律、法规规定为依据。</w:t>
      </w:r>
    </w:p>
    <w:p w14:paraId="55094BF9">
      <w:pPr>
        <w:pStyle w:val="16"/>
        <w:pageBreakBefore w:val="0"/>
        <w:kinsoku/>
        <w:wordWrap/>
        <w:overflowPunct/>
        <w:topLinePunct w:val="0"/>
        <w:bidi w:val="0"/>
        <w:ind w:left="0" w:leftChars="0" w:right="0" w:firstLine="0" w:firstLineChars="0"/>
        <w:rPr>
          <w:rFonts w:ascii="仿宋" w:hAnsi="仿宋" w:eastAsia="仿宋"/>
          <w:lang w:eastAsia="zh-CN"/>
        </w:rPr>
      </w:pPr>
    </w:p>
    <w:p w14:paraId="245F7DDC">
      <w:pPr>
        <w:pStyle w:val="16"/>
        <w:pageBreakBefore w:val="0"/>
        <w:kinsoku/>
        <w:wordWrap/>
        <w:overflowPunct/>
        <w:topLinePunct w:val="0"/>
        <w:bidi w:val="0"/>
        <w:ind w:left="0" w:leftChars="0" w:right="0" w:firstLine="0" w:firstLineChars="0"/>
        <w:rPr>
          <w:rFonts w:ascii="仿宋" w:hAnsi="仿宋" w:eastAsia="仿宋"/>
          <w:lang w:eastAsia="zh-CN"/>
        </w:rPr>
      </w:pPr>
    </w:p>
    <w:p w14:paraId="6DD0B8D9">
      <w:pPr>
        <w:rPr>
          <w:rFonts w:ascii="仿宋" w:hAnsi="仿宋" w:eastAsia="仿宋"/>
          <w:lang w:eastAsia="zh-CN"/>
        </w:rPr>
      </w:pPr>
      <w:r>
        <w:rPr>
          <w:rFonts w:ascii="仿宋" w:hAnsi="仿宋" w:eastAsia="仿宋"/>
          <w:lang w:eastAsia="zh-CN"/>
        </w:rPr>
        <w:br w:type="page"/>
      </w:r>
    </w:p>
    <w:p w14:paraId="5924A64F">
      <w:pPr>
        <w:pStyle w:val="10"/>
        <w:pageBreakBefore w:val="0"/>
        <w:kinsoku/>
        <w:wordWrap/>
        <w:overflowPunct/>
        <w:topLinePunct w:val="0"/>
        <w:bidi w:val="0"/>
        <w:adjustRightInd w:val="0"/>
        <w:snapToGrid w:val="0"/>
        <w:spacing w:line="540" w:lineRule="exact"/>
        <w:ind w:left="0" w:leftChars="0" w:right="0"/>
        <w:outlineLvl w:val="1"/>
        <w:rPr>
          <w:rStyle w:val="23"/>
          <w:rFonts w:ascii="仿宋_GB2312" w:hAnsi="华文仿宋" w:eastAsia="仿宋_GB2312"/>
          <w:sz w:val="24"/>
          <w:szCs w:val="28"/>
        </w:rPr>
      </w:pPr>
      <w:bookmarkStart w:id="29" w:name="_Toc449097068"/>
      <w:r>
        <w:rPr>
          <w:rStyle w:val="23"/>
          <w:rFonts w:hint="eastAsia" w:ascii="仿宋_GB2312" w:hAnsi="华文仿宋" w:eastAsia="仿宋_GB2312"/>
          <w:sz w:val="24"/>
          <w:szCs w:val="28"/>
        </w:rPr>
        <w:t>附件</w:t>
      </w:r>
      <w:r>
        <w:rPr>
          <w:rStyle w:val="23"/>
          <w:rFonts w:ascii="仿宋_GB2312" w:hAnsi="华文仿宋" w:eastAsia="仿宋_GB2312"/>
          <w:sz w:val="24"/>
          <w:szCs w:val="28"/>
        </w:rPr>
        <w:t>一</w:t>
      </w:r>
      <w:bookmarkEnd w:id="29"/>
    </w:p>
    <w:p w14:paraId="19D6875B">
      <w:pPr>
        <w:pageBreakBefore w:val="0"/>
        <w:kinsoku/>
        <w:wordWrap/>
        <w:overflowPunct/>
        <w:topLinePunct w:val="0"/>
        <w:bidi w:val="0"/>
        <w:adjustRightInd w:val="0"/>
        <w:snapToGrid w:val="0"/>
        <w:spacing w:line="540" w:lineRule="exact"/>
        <w:ind w:left="0" w:leftChars="0" w:right="0" w:firstLine="803" w:firstLineChars="200"/>
        <w:jc w:val="center"/>
        <w:rPr>
          <w:rFonts w:ascii="方正小标宋简体" w:eastAsia="方正小标宋简体"/>
          <w:b/>
          <w:sz w:val="40"/>
          <w:szCs w:val="44"/>
        </w:rPr>
      </w:pPr>
      <w:r>
        <w:rPr>
          <w:rFonts w:hint="eastAsia" w:ascii="方正小标宋简体" w:eastAsia="方正小标宋简体"/>
          <w:b/>
          <w:sz w:val="40"/>
          <w:szCs w:val="44"/>
        </w:rPr>
        <w:t>投标函</w:t>
      </w:r>
    </w:p>
    <w:p w14:paraId="79F7D02B">
      <w:pPr>
        <w:pageBreakBefore w:val="0"/>
        <w:kinsoku/>
        <w:wordWrap/>
        <w:overflowPunct/>
        <w:topLinePunct w:val="0"/>
        <w:bidi w:val="0"/>
        <w:adjustRightInd w:val="0"/>
        <w:snapToGrid w:val="0"/>
        <w:spacing w:line="540" w:lineRule="exact"/>
        <w:ind w:left="0" w:leftChars="0" w:right="0"/>
        <w:rPr>
          <w:rFonts w:ascii="仿宋" w:hAnsi="仿宋" w:eastAsia="仿宋"/>
          <w:sz w:val="24"/>
          <w:szCs w:val="28"/>
          <w:u w:val="single"/>
        </w:rPr>
      </w:pPr>
      <w:r>
        <w:rPr>
          <w:rFonts w:hint="eastAsia" w:ascii="仿宋" w:hAnsi="仿宋" w:eastAsia="仿宋"/>
          <w:sz w:val="24"/>
          <w:szCs w:val="28"/>
          <w:u w:val="single"/>
        </w:rPr>
        <w:t>中国重汽集团济南</w:t>
      </w:r>
      <w:r>
        <w:rPr>
          <w:rFonts w:hint="eastAsia" w:ascii="仿宋" w:hAnsi="仿宋" w:eastAsia="仿宋"/>
          <w:sz w:val="24"/>
          <w:szCs w:val="28"/>
          <w:u w:val="single"/>
          <w:lang w:val="en-US" w:eastAsia="zh-CN"/>
        </w:rPr>
        <w:t>卡车股份</w:t>
      </w:r>
      <w:r>
        <w:rPr>
          <w:rFonts w:hint="eastAsia" w:ascii="仿宋" w:hAnsi="仿宋" w:eastAsia="仿宋"/>
          <w:sz w:val="24"/>
          <w:szCs w:val="28"/>
          <w:u w:val="single"/>
        </w:rPr>
        <w:t>有限公司：</w:t>
      </w:r>
    </w:p>
    <w:p w14:paraId="4FBDD6D7">
      <w:pPr>
        <w:pageBreakBefore w:val="0"/>
        <w:kinsoku/>
        <w:wordWrap/>
        <w:overflowPunct/>
        <w:topLinePunct w:val="0"/>
        <w:bidi w:val="0"/>
        <w:adjustRightInd w:val="0"/>
        <w:snapToGrid w:val="0"/>
        <w:spacing w:line="540" w:lineRule="exact"/>
        <w:ind w:left="0" w:leftChars="0" w:right="0" w:firstLine="480" w:firstLineChars="200"/>
        <w:rPr>
          <w:rFonts w:ascii="仿宋" w:hAnsi="仿宋" w:eastAsia="仿宋"/>
          <w:sz w:val="24"/>
          <w:szCs w:val="28"/>
        </w:rPr>
      </w:pPr>
      <w:r>
        <w:rPr>
          <w:rFonts w:ascii="仿宋" w:hAnsi="仿宋" w:eastAsia="仿宋"/>
          <w:sz w:val="24"/>
          <w:szCs w:val="28"/>
        </w:rPr>
        <w:t>1．我</w:t>
      </w:r>
      <w:r>
        <w:rPr>
          <w:rFonts w:hint="eastAsia" w:ascii="仿宋" w:hAnsi="仿宋" w:eastAsia="仿宋"/>
          <w:sz w:val="24"/>
          <w:szCs w:val="28"/>
        </w:rPr>
        <w:t>单位</w:t>
      </w:r>
      <w:r>
        <w:rPr>
          <w:rFonts w:ascii="仿宋" w:hAnsi="仿宋" w:eastAsia="仿宋"/>
          <w:sz w:val="24"/>
          <w:szCs w:val="28"/>
        </w:rPr>
        <w:t>已仔细研究了</w:t>
      </w:r>
      <w:r>
        <w:rPr>
          <w:rFonts w:hint="eastAsia" w:ascii="仿宋" w:hAnsi="仿宋" w:eastAsia="仿宋"/>
          <w:sz w:val="24"/>
          <w:szCs w:val="28"/>
          <w:u w:val="single"/>
          <w:lang w:val="en-US" w:eastAsia="zh-CN"/>
        </w:rPr>
        <w:t>2025年卡车公司</w:t>
      </w:r>
      <w:r>
        <w:rPr>
          <w:rFonts w:hint="eastAsia" w:ascii="仿宋" w:hAnsi="仿宋" w:eastAsia="仿宋"/>
          <w:sz w:val="24"/>
          <w:szCs w:val="28"/>
          <w:u w:val="single"/>
        </w:rPr>
        <w:t>消防维保</w:t>
      </w:r>
      <w:r>
        <w:rPr>
          <w:rFonts w:hint="eastAsia" w:ascii="仿宋" w:hAnsi="仿宋" w:eastAsia="仿宋"/>
          <w:sz w:val="24"/>
          <w:szCs w:val="28"/>
          <w:u w:val="single"/>
          <w:lang w:val="en-US" w:eastAsia="zh-CN"/>
        </w:rPr>
        <w:t>及</w:t>
      </w:r>
      <w:r>
        <w:rPr>
          <w:rFonts w:hint="eastAsia" w:ascii="仿宋" w:hAnsi="仿宋" w:eastAsia="仿宋"/>
          <w:sz w:val="24"/>
          <w:szCs w:val="28"/>
          <w:u w:val="single"/>
        </w:rPr>
        <w:t>值班</w:t>
      </w:r>
      <w:r>
        <w:rPr>
          <w:rFonts w:hint="eastAsia" w:ascii="仿宋" w:hAnsi="仿宋" w:eastAsia="仿宋"/>
          <w:sz w:val="24"/>
          <w:szCs w:val="28"/>
          <w:u w:val="single"/>
          <w:lang w:val="en-US" w:eastAsia="zh-CN"/>
        </w:rPr>
        <w:t>项目</w:t>
      </w:r>
      <w:r>
        <w:rPr>
          <w:rFonts w:ascii="仿宋" w:hAnsi="仿宋" w:eastAsia="仿宋"/>
          <w:sz w:val="24"/>
          <w:szCs w:val="28"/>
        </w:rPr>
        <w:t>招标文件的全部内容，愿意</w:t>
      </w:r>
      <w:r>
        <w:rPr>
          <w:rFonts w:hint="eastAsia" w:ascii="仿宋" w:hAnsi="仿宋" w:eastAsia="仿宋"/>
          <w:sz w:val="24"/>
          <w:szCs w:val="28"/>
        </w:rPr>
        <w:t>参加本次投标活动</w:t>
      </w:r>
      <w:r>
        <w:rPr>
          <w:rFonts w:ascii="仿宋" w:hAnsi="仿宋" w:eastAsia="仿宋"/>
          <w:sz w:val="24"/>
          <w:szCs w:val="28"/>
        </w:rPr>
        <w:t>，</w:t>
      </w:r>
      <w:r>
        <w:rPr>
          <w:rFonts w:hint="eastAsia" w:ascii="仿宋" w:hAnsi="仿宋" w:eastAsia="仿宋"/>
          <w:sz w:val="24"/>
          <w:szCs w:val="28"/>
        </w:rPr>
        <w:t>工期日历天，响应招标文件所有内容要求，并</w:t>
      </w:r>
      <w:r>
        <w:rPr>
          <w:rFonts w:ascii="仿宋" w:hAnsi="仿宋" w:eastAsia="仿宋"/>
          <w:sz w:val="24"/>
          <w:szCs w:val="28"/>
        </w:rPr>
        <w:t>按合同约定实施和完成承包工程，修补工程中的任何缺陷，工程质量达到。</w:t>
      </w:r>
    </w:p>
    <w:p w14:paraId="346780CE">
      <w:pPr>
        <w:pageBreakBefore w:val="0"/>
        <w:kinsoku/>
        <w:wordWrap/>
        <w:overflowPunct/>
        <w:topLinePunct w:val="0"/>
        <w:bidi w:val="0"/>
        <w:adjustRightInd w:val="0"/>
        <w:snapToGrid w:val="0"/>
        <w:spacing w:line="540" w:lineRule="exact"/>
        <w:ind w:left="0" w:leftChars="0" w:right="0" w:firstLine="480" w:firstLineChars="200"/>
        <w:rPr>
          <w:rFonts w:ascii="仿宋" w:hAnsi="仿宋" w:eastAsia="仿宋"/>
          <w:sz w:val="24"/>
          <w:szCs w:val="28"/>
        </w:rPr>
      </w:pPr>
      <w:r>
        <w:rPr>
          <w:rFonts w:ascii="仿宋" w:hAnsi="仿宋" w:eastAsia="仿宋"/>
          <w:sz w:val="24"/>
          <w:szCs w:val="28"/>
        </w:rPr>
        <w:t>2．我单位方承诺在投标有效期内不修改、撤销投标文件。</w:t>
      </w:r>
    </w:p>
    <w:p w14:paraId="6D0CF1A9">
      <w:pPr>
        <w:pageBreakBefore w:val="0"/>
        <w:kinsoku/>
        <w:wordWrap/>
        <w:overflowPunct/>
        <w:topLinePunct w:val="0"/>
        <w:bidi w:val="0"/>
        <w:adjustRightInd w:val="0"/>
        <w:snapToGrid w:val="0"/>
        <w:spacing w:line="540" w:lineRule="exact"/>
        <w:ind w:left="0" w:leftChars="0" w:right="0" w:firstLine="480" w:firstLineChars="200"/>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．如我</w:t>
      </w:r>
      <w:r>
        <w:rPr>
          <w:rFonts w:hint="eastAsia" w:ascii="仿宋" w:hAnsi="仿宋" w:eastAsia="仿宋"/>
          <w:sz w:val="24"/>
          <w:szCs w:val="28"/>
        </w:rPr>
        <w:t>单位</w:t>
      </w:r>
      <w:r>
        <w:rPr>
          <w:rFonts w:ascii="仿宋" w:hAnsi="仿宋" w:eastAsia="仿宋"/>
          <w:sz w:val="24"/>
          <w:szCs w:val="28"/>
        </w:rPr>
        <w:t>中标：</w:t>
      </w:r>
    </w:p>
    <w:p w14:paraId="77135FAA">
      <w:pPr>
        <w:pageBreakBefore w:val="0"/>
        <w:kinsoku/>
        <w:wordWrap/>
        <w:overflowPunct/>
        <w:topLinePunct w:val="0"/>
        <w:bidi w:val="0"/>
        <w:adjustRightInd w:val="0"/>
        <w:snapToGrid w:val="0"/>
        <w:spacing w:line="540" w:lineRule="exact"/>
        <w:ind w:left="0" w:leftChars="0" w:right="0" w:firstLine="480" w:firstLineChars="200"/>
        <w:rPr>
          <w:rFonts w:ascii="仿宋" w:hAnsi="仿宋" w:eastAsia="仿宋"/>
          <w:sz w:val="24"/>
          <w:szCs w:val="28"/>
        </w:rPr>
      </w:pPr>
      <w:r>
        <w:rPr>
          <w:rFonts w:ascii="仿宋" w:hAnsi="仿宋" w:eastAsia="仿宋"/>
          <w:sz w:val="24"/>
          <w:szCs w:val="28"/>
        </w:rPr>
        <w:t>（1）我</w:t>
      </w:r>
      <w:r>
        <w:rPr>
          <w:rFonts w:hint="eastAsia" w:ascii="仿宋" w:hAnsi="仿宋" w:eastAsia="仿宋"/>
          <w:sz w:val="24"/>
          <w:szCs w:val="28"/>
        </w:rPr>
        <w:t>单位</w:t>
      </w:r>
      <w:r>
        <w:rPr>
          <w:rFonts w:ascii="仿宋" w:hAnsi="仿宋" w:eastAsia="仿宋"/>
          <w:sz w:val="24"/>
          <w:szCs w:val="28"/>
        </w:rPr>
        <w:t>承诺在收到中标通知书后，在中标通知书规定的期限内与</w:t>
      </w:r>
      <w:r>
        <w:rPr>
          <w:rFonts w:hint="eastAsia" w:ascii="仿宋" w:hAnsi="仿宋" w:eastAsia="仿宋"/>
          <w:sz w:val="24"/>
          <w:szCs w:val="28"/>
        </w:rPr>
        <w:t>贵单位</w:t>
      </w:r>
      <w:r>
        <w:rPr>
          <w:rFonts w:ascii="仿宋" w:hAnsi="仿宋" w:eastAsia="仿宋"/>
          <w:sz w:val="24"/>
          <w:szCs w:val="28"/>
        </w:rPr>
        <w:t>签订合同。</w:t>
      </w:r>
    </w:p>
    <w:p w14:paraId="38639EF5">
      <w:pPr>
        <w:pageBreakBefore w:val="0"/>
        <w:kinsoku/>
        <w:wordWrap/>
        <w:overflowPunct/>
        <w:topLinePunct w:val="0"/>
        <w:bidi w:val="0"/>
        <w:adjustRightInd w:val="0"/>
        <w:snapToGrid w:val="0"/>
        <w:spacing w:line="540" w:lineRule="exact"/>
        <w:ind w:left="0" w:leftChars="0" w:right="0" w:firstLine="480" w:firstLineChars="200"/>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rPr>
        <w:t>2</w:t>
      </w:r>
      <w:r>
        <w:rPr>
          <w:rFonts w:ascii="仿宋" w:hAnsi="仿宋" w:eastAsia="仿宋"/>
          <w:sz w:val="24"/>
          <w:szCs w:val="28"/>
        </w:rPr>
        <w:t>）我</w:t>
      </w:r>
      <w:r>
        <w:rPr>
          <w:rFonts w:hint="eastAsia" w:ascii="仿宋" w:hAnsi="仿宋" w:eastAsia="仿宋"/>
          <w:sz w:val="24"/>
          <w:szCs w:val="28"/>
        </w:rPr>
        <w:t>单位</w:t>
      </w:r>
      <w:r>
        <w:rPr>
          <w:rFonts w:ascii="仿宋" w:hAnsi="仿宋" w:eastAsia="仿宋"/>
          <w:sz w:val="24"/>
          <w:szCs w:val="28"/>
        </w:rPr>
        <w:t>承诺按照招标文件规定向你方递交履约担保。</w:t>
      </w:r>
    </w:p>
    <w:p w14:paraId="3A9E0E59">
      <w:pPr>
        <w:pageBreakBefore w:val="0"/>
        <w:kinsoku/>
        <w:wordWrap/>
        <w:overflowPunct/>
        <w:topLinePunct w:val="0"/>
        <w:bidi w:val="0"/>
        <w:adjustRightInd w:val="0"/>
        <w:snapToGrid w:val="0"/>
        <w:spacing w:line="540" w:lineRule="exact"/>
        <w:ind w:left="0" w:leftChars="0" w:right="0" w:firstLine="480" w:firstLineChars="200"/>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rPr>
        <w:t>3</w:t>
      </w:r>
      <w:r>
        <w:rPr>
          <w:rFonts w:ascii="仿宋" w:hAnsi="仿宋" w:eastAsia="仿宋"/>
          <w:sz w:val="24"/>
          <w:szCs w:val="28"/>
        </w:rPr>
        <w:t>）我</w:t>
      </w:r>
      <w:r>
        <w:rPr>
          <w:rFonts w:hint="eastAsia" w:ascii="仿宋" w:hAnsi="仿宋" w:eastAsia="仿宋"/>
          <w:sz w:val="24"/>
          <w:szCs w:val="28"/>
        </w:rPr>
        <w:t>单位</w:t>
      </w:r>
      <w:r>
        <w:rPr>
          <w:rFonts w:ascii="仿宋" w:hAnsi="仿宋" w:eastAsia="仿宋"/>
          <w:sz w:val="24"/>
          <w:szCs w:val="28"/>
        </w:rPr>
        <w:t>承诺在合同约定的期限内按照法律法规要求</w:t>
      </w:r>
      <w:r>
        <w:rPr>
          <w:rFonts w:hint="eastAsia" w:ascii="仿宋" w:hAnsi="仿宋" w:eastAsia="仿宋"/>
          <w:sz w:val="24"/>
          <w:szCs w:val="28"/>
        </w:rPr>
        <w:t>、</w:t>
      </w:r>
      <w:r>
        <w:rPr>
          <w:rFonts w:ascii="仿宋" w:hAnsi="仿宋" w:eastAsia="仿宋"/>
          <w:sz w:val="24"/>
          <w:szCs w:val="28"/>
        </w:rPr>
        <w:t>保质保量完成维保任务。</w:t>
      </w:r>
    </w:p>
    <w:p w14:paraId="1596BE47">
      <w:pPr>
        <w:pageBreakBefore w:val="0"/>
        <w:kinsoku/>
        <w:wordWrap/>
        <w:overflowPunct/>
        <w:topLinePunct w:val="0"/>
        <w:bidi w:val="0"/>
        <w:adjustRightInd w:val="0"/>
        <w:snapToGrid w:val="0"/>
        <w:spacing w:line="540" w:lineRule="exact"/>
        <w:ind w:left="0" w:leftChars="0" w:right="0" w:firstLine="480" w:firstLineChars="200"/>
        <w:rPr>
          <w:rFonts w:ascii="仿宋" w:hAnsi="仿宋" w:eastAsia="仿宋"/>
          <w:sz w:val="24"/>
          <w:szCs w:val="28"/>
        </w:rPr>
      </w:pPr>
      <w:r>
        <w:rPr>
          <w:rFonts w:hint="eastAsia" w:ascii="仿宋" w:hAnsi="仿宋" w:eastAsia="仿宋"/>
          <w:sz w:val="24"/>
          <w:szCs w:val="28"/>
        </w:rPr>
        <w:t>4</w:t>
      </w:r>
      <w:r>
        <w:rPr>
          <w:rFonts w:ascii="仿宋" w:hAnsi="仿宋" w:eastAsia="仿宋"/>
          <w:sz w:val="24"/>
          <w:szCs w:val="28"/>
        </w:rPr>
        <w:t>．</w:t>
      </w:r>
      <w:r>
        <w:rPr>
          <w:rFonts w:hint="eastAsia" w:ascii="仿宋" w:hAnsi="仿宋" w:eastAsia="仿宋"/>
          <w:sz w:val="24"/>
          <w:szCs w:val="28"/>
        </w:rPr>
        <w:t>我单位在此声明，所递交的投标文件及有关资料内容完整、真实和准确。</w:t>
      </w:r>
    </w:p>
    <w:p w14:paraId="1CFA4BE5">
      <w:pPr>
        <w:pageBreakBefore w:val="0"/>
        <w:kinsoku/>
        <w:wordWrap/>
        <w:overflowPunct/>
        <w:topLinePunct w:val="0"/>
        <w:bidi w:val="0"/>
        <w:adjustRightInd w:val="0"/>
        <w:snapToGrid w:val="0"/>
        <w:spacing w:line="540" w:lineRule="exact"/>
        <w:ind w:left="0" w:leftChars="0" w:right="0" w:firstLine="480" w:firstLineChars="200"/>
        <w:rPr>
          <w:rFonts w:ascii="仿宋" w:hAnsi="仿宋" w:eastAsia="仿宋"/>
          <w:sz w:val="24"/>
          <w:szCs w:val="28"/>
        </w:rPr>
      </w:pPr>
      <w:r>
        <w:rPr>
          <w:rFonts w:hint="eastAsia" w:ascii="仿宋" w:hAnsi="仿宋" w:eastAsia="仿宋"/>
          <w:sz w:val="24"/>
          <w:szCs w:val="28"/>
        </w:rPr>
        <w:t>5．</w:t>
      </w:r>
      <w:r>
        <w:rPr>
          <w:rFonts w:ascii="仿宋" w:hAnsi="仿宋" w:eastAsia="仿宋"/>
          <w:sz w:val="24"/>
          <w:szCs w:val="28"/>
        </w:rPr>
        <w:t>（</w:t>
      </w:r>
      <w:r>
        <w:rPr>
          <w:rFonts w:hint="eastAsia" w:ascii="仿宋" w:hAnsi="仿宋" w:eastAsia="仿宋"/>
          <w:sz w:val="24"/>
          <w:szCs w:val="28"/>
        </w:rPr>
        <w:t>其他</w:t>
      </w:r>
      <w:r>
        <w:rPr>
          <w:rFonts w:ascii="仿宋" w:hAnsi="仿宋" w:eastAsia="仿宋"/>
          <w:sz w:val="24"/>
          <w:szCs w:val="28"/>
        </w:rPr>
        <w:t>补充说明）。</w:t>
      </w:r>
    </w:p>
    <w:p w14:paraId="08E4BF89">
      <w:pPr>
        <w:pageBreakBefore w:val="0"/>
        <w:kinsoku/>
        <w:wordWrap/>
        <w:overflowPunct/>
        <w:topLinePunct w:val="0"/>
        <w:bidi w:val="0"/>
        <w:adjustRightInd w:val="0"/>
        <w:snapToGrid w:val="0"/>
        <w:spacing w:line="540" w:lineRule="exact"/>
        <w:ind w:left="0" w:leftChars="0" w:right="0" w:firstLine="480" w:firstLineChars="200"/>
        <w:jc w:val="left"/>
        <w:rPr>
          <w:rFonts w:ascii="仿宋" w:hAnsi="仿宋" w:eastAsia="仿宋"/>
          <w:sz w:val="24"/>
          <w:szCs w:val="28"/>
        </w:rPr>
      </w:pPr>
      <w:r>
        <w:rPr>
          <w:rFonts w:ascii="仿宋" w:hAnsi="仿宋" w:eastAsia="仿宋"/>
          <w:sz w:val="24"/>
          <w:szCs w:val="28"/>
        </w:rPr>
        <w:t>投标人：（盖单位章）</w:t>
      </w:r>
    </w:p>
    <w:p w14:paraId="6A0DD292">
      <w:pPr>
        <w:pageBreakBefore w:val="0"/>
        <w:kinsoku/>
        <w:wordWrap/>
        <w:overflowPunct/>
        <w:topLinePunct w:val="0"/>
        <w:bidi w:val="0"/>
        <w:adjustRightInd w:val="0"/>
        <w:snapToGrid w:val="0"/>
        <w:spacing w:line="540" w:lineRule="exact"/>
        <w:ind w:left="0" w:leftChars="0" w:right="0" w:firstLine="480" w:firstLineChars="200"/>
        <w:jc w:val="left"/>
        <w:rPr>
          <w:rFonts w:ascii="仿宋" w:hAnsi="仿宋" w:eastAsia="仿宋"/>
          <w:sz w:val="24"/>
          <w:szCs w:val="28"/>
        </w:rPr>
      </w:pPr>
      <w:r>
        <w:rPr>
          <w:rFonts w:ascii="仿宋" w:hAnsi="仿宋" w:eastAsia="仿宋"/>
          <w:sz w:val="24"/>
          <w:szCs w:val="28"/>
        </w:rPr>
        <w:t>法定代表人或其委托代理人：（签字）</w:t>
      </w:r>
    </w:p>
    <w:p w14:paraId="31D4456D">
      <w:pPr>
        <w:pageBreakBefore w:val="0"/>
        <w:kinsoku/>
        <w:wordWrap/>
        <w:overflowPunct/>
        <w:topLinePunct w:val="0"/>
        <w:bidi w:val="0"/>
        <w:adjustRightInd w:val="0"/>
        <w:snapToGrid w:val="0"/>
        <w:spacing w:line="540" w:lineRule="exact"/>
        <w:ind w:left="0" w:leftChars="0" w:right="0" w:firstLine="480" w:firstLineChars="200"/>
        <w:jc w:val="left"/>
        <w:rPr>
          <w:rFonts w:hint="eastAsia" w:ascii="仿宋" w:hAnsi="仿宋" w:eastAsia="仿宋"/>
          <w:sz w:val="24"/>
          <w:szCs w:val="28"/>
          <w:lang w:eastAsia="zh-CN"/>
        </w:rPr>
      </w:pPr>
      <w:r>
        <w:rPr>
          <w:rFonts w:ascii="仿宋" w:hAnsi="仿宋" w:eastAsia="仿宋"/>
          <w:sz w:val="24"/>
          <w:szCs w:val="28"/>
        </w:rPr>
        <w:t>地址：</w:t>
      </w:r>
    </w:p>
    <w:p w14:paraId="3AE65555">
      <w:pPr>
        <w:pageBreakBefore w:val="0"/>
        <w:kinsoku/>
        <w:wordWrap/>
        <w:overflowPunct/>
        <w:topLinePunct w:val="0"/>
        <w:bidi w:val="0"/>
        <w:adjustRightInd w:val="0"/>
        <w:snapToGrid w:val="0"/>
        <w:spacing w:line="540" w:lineRule="exact"/>
        <w:ind w:left="0" w:leftChars="0" w:right="0" w:firstLine="480" w:firstLineChars="200"/>
        <w:jc w:val="left"/>
        <w:rPr>
          <w:rFonts w:hint="eastAsia" w:ascii="仿宋" w:hAnsi="仿宋" w:eastAsia="仿宋"/>
          <w:sz w:val="24"/>
          <w:szCs w:val="28"/>
          <w:lang w:eastAsia="zh-CN"/>
        </w:rPr>
      </w:pPr>
      <w:r>
        <w:rPr>
          <w:rFonts w:ascii="仿宋" w:hAnsi="仿宋" w:eastAsia="仿宋"/>
          <w:sz w:val="24"/>
          <w:szCs w:val="28"/>
        </w:rPr>
        <w:t>电话：</w:t>
      </w:r>
    </w:p>
    <w:p w14:paraId="4AC14A06">
      <w:pPr>
        <w:pageBreakBefore w:val="0"/>
        <w:kinsoku/>
        <w:wordWrap/>
        <w:overflowPunct/>
        <w:topLinePunct w:val="0"/>
        <w:bidi w:val="0"/>
        <w:adjustRightInd w:val="0"/>
        <w:snapToGrid w:val="0"/>
        <w:spacing w:line="540" w:lineRule="exact"/>
        <w:ind w:left="0" w:leftChars="0" w:right="0" w:firstLine="480" w:firstLineChars="200"/>
        <w:jc w:val="left"/>
        <w:rPr>
          <w:rFonts w:hint="eastAsia" w:ascii="仿宋" w:hAnsi="仿宋" w:eastAsia="仿宋"/>
          <w:sz w:val="24"/>
          <w:szCs w:val="28"/>
          <w:lang w:eastAsia="zh-CN"/>
        </w:rPr>
      </w:pPr>
      <w:r>
        <w:rPr>
          <w:rFonts w:ascii="仿宋" w:hAnsi="仿宋" w:eastAsia="仿宋"/>
          <w:sz w:val="24"/>
          <w:szCs w:val="28"/>
        </w:rPr>
        <w:t>传真：</w:t>
      </w:r>
    </w:p>
    <w:p w14:paraId="6508ADE3">
      <w:pPr>
        <w:pageBreakBefore w:val="0"/>
        <w:kinsoku/>
        <w:wordWrap/>
        <w:overflowPunct/>
        <w:topLinePunct w:val="0"/>
        <w:bidi w:val="0"/>
        <w:adjustRightInd w:val="0"/>
        <w:snapToGrid w:val="0"/>
        <w:spacing w:line="540" w:lineRule="exact"/>
        <w:ind w:left="0" w:leftChars="0" w:right="0" w:firstLine="480" w:firstLineChars="200"/>
        <w:jc w:val="right"/>
        <w:rPr>
          <w:rFonts w:ascii="仿宋" w:hAnsi="仿宋" w:eastAsia="仿宋"/>
          <w:sz w:val="24"/>
          <w:szCs w:val="28"/>
          <w:u w:val="single"/>
        </w:rPr>
      </w:pPr>
    </w:p>
    <w:p w14:paraId="65CCD7E6">
      <w:pPr>
        <w:pageBreakBefore w:val="0"/>
        <w:kinsoku/>
        <w:wordWrap/>
        <w:overflowPunct/>
        <w:topLinePunct w:val="0"/>
        <w:bidi w:val="0"/>
        <w:adjustRightInd w:val="0"/>
        <w:snapToGrid w:val="0"/>
        <w:spacing w:line="540" w:lineRule="exact"/>
        <w:ind w:left="0" w:leftChars="0" w:right="0" w:firstLine="480" w:firstLineChars="200"/>
        <w:jc w:val="right"/>
        <w:rPr>
          <w:rFonts w:ascii="仿宋" w:hAnsi="仿宋" w:eastAsia="仿宋"/>
          <w:sz w:val="24"/>
          <w:szCs w:val="28"/>
        </w:rPr>
      </w:pPr>
      <w:r>
        <w:rPr>
          <w:rFonts w:ascii="仿宋" w:hAnsi="仿宋" w:eastAsia="仿宋"/>
          <w:sz w:val="24"/>
          <w:szCs w:val="28"/>
        </w:rPr>
        <w:t>年</w:t>
      </w:r>
      <w:r>
        <w:rPr>
          <w:rFonts w:hint="eastAsia" w:ascii="仿宋" w:hAnsi="仿宋" w:eastAsia="仿宋"/>
          <w:sz w:val="24"/>
          <w:szCs w:val="28"/>
          <w:lang w:val="en-US" w:eastAsia="zh-CN"/>
        </w:rPr>
        <w:t xml:space="preserve">  </w:t>
      </w:r>
      <w:r>
        <w:rPr>
          <w:rFonts w:ascii="仿宋" w:hAnsi="仿宋" w:eastAsia="仿宋"/>
          <w:sz w:val="24"/>
          <w:szCs w:val="28"/>
        </w:rPr>
        <w:t>月</w:t>
      </w:r>
      <w:r>
        <w:rPr>
          <w:rFonts w:hint="eastAsia" w:ascii="仿宋" w:hAnsi="仿宋" w:eastAsia="仿宋"/>
          <w:sz w:val="24"/>
          <w:szCs w:val="28"/>
          <w:lang w:val="en-US" w:eastAsia="zh-CN"/>
        </w:rPr>
        <w:t xml:space="preserve">  </w:t>
      </w:r>
      <w:r>
        <w:rPr>
          <w:rFonts w:ascii="仿宋" w:hAnsi="仿宋" w:eastAsia="仿宋"/>
          <w:sz w:val="24"/>
          <w:szCs w:val="28"/>
        </w:rPr>
        <w:t>日</w:t>
      </w:r>
    </w:p>
    <w:p w14:paraId="11BB8396">
      <w:pPr>
        <w:pStyle w:val="10"/>
        <w:pageBreakBefore w:val="0"/>
        <w:kinsoku/>
        <w:wordWrap/>
        <w:overflowPunct/>
        <w:topLinePunct w:val="0"/>
        <w:bidi w:val="0"/>
        <w:adjustRightInd w:val="0"/>
        <w:snapToGrid w:val="0"/>
        <w:spacing w:line="540" w:lineRule="exact"/>
        <w:ind w:left="0" w:leftChars="0" w:right="0"/>
        <w:outlineLvl w:val="1"/>
        <w:rPr>
          <w:rStyle w:val="23"/>
          <w:rFonts w:ascii="仿宋" w:hAnsi="仿宋" w:eastAsia="仿宋"/>
          <w:sz w:val="24"/>
          <w:szCs w:val="28"/>
        </w:rPr>
      </w:pPr>
      <w:r>
        <w:rPr>
          <w:rFonts w:ascii="仿宋" w:hAnsi="仿宋" w:eastAsia="仿宋"/>
          <w:b/>
          <w:sz w:val="24"/>
          <w:szCs w:val="28"/>
        </w:rPr>
        <w:br w:type="page"/>
      </w:r>
      <w:bookmarkStart w:id="30" w:name="_Toc449097069"/>
      <w:r>
        <w:rPr>
          <w:rStyle w:val="23"/>
          <w:rFonts w:hint="eastAsia" w:ascii="仿宋_GB2312" w:hAnsi="华文仿宋" w:eastAsia="仿宋_GB2312"/>
          <w:sz w:val="24"/>
          <w:szCs w:val="28"/>
        </w:rPr>
        <w:t>附件二</w:t>
      </w:r>
      <w:bookmarkEnd w:id="30"/>
    </w:p>
    <w:p w14:paraId="68D222E6">
      <w:pPr>
        <w:pageBreakBefore w:val="0"/>
        <w:kinsoku/>
        <w:wordWrap/>
        <w:overflowPunct/>
        <w:topLinePunct w:val="0"/>
        <w:bidi w:val="0"/>
        <w:spacing w:line="540" w:lineRule="exact"/>
        <w:ind w:left="0" w:leftChars="0" w:right="0" w:firstLine="480" w:firstLineChars="200"/>
        <w:jc w:val="center"/>
        <w:rPr>
          <w:rFonts w:ascii="仿宋" w:hAnsi="仿宋" w:eastAsia="仿宋"/>
          <w:bCs/>
          <w:sz w:val="24"/>
        </w:rPr>
      </w:pPr>
      <w:r>
        <w:rPr>
          <w:rFonts w:hint="eastAsia" w:ascii="仿宋" w:hAnsi="仿宋" w:eastAsia="仿宋"/>
          <w:bCs/>
          <w:sz w:val="24"/>
        </w:rPr>
        <w:t>法人代表授权书</w:t>
      </w:r>
    </w:p>
    <w:p w14:paraId="32F40A6C">
      <w:pPr>
        <w:pStyle w:val="6"/>
        <w:pageBreakBefore w:val="0"/>
        <w:kinsoku/>
        <w:wordWrap/>
        <w:overflowPunct/>
        <w:topLinePunct w:val="0"/>
        <w:bidi w:val="0"/>
        <w:spacing w:before="0" w:line="540" w:lineRule="exact"/>
        <w:ind w:left="0" w:leftChars="0" w:right="0"/>
        <w:rPr>
          <w:rFonts w:ascii="仿宋" w:hAnsi="仿宋" w:eastAsia="仿宋"/>
          <w:szCs w:val="24"/>
        </w:rPr>
      </w:pPr>
    </w:p>
    <w:p w14:paraId="39D46773">
      <w:pPr>
        <w:pStyle w:val="6"/>
        <w:spacing w:before="0" w:line="540" w:lineRule="exact"/>
        <w:ind w:firstLine="480" w:firstLineChars="200"/>
        <w:rPr>
          <w:rFonts w:ascii="仿宋" w:hAnsi="仿宋" w:eastAsia="仿宋"/>
          <w:b/>
          <w:szCs w:val="24"/>
        </w:rPr>
      </w:pPr>
      <w:r>
        <w:rPr>
          <w:rFonts w:hint="eastAsia" w:ascii="仿宋" w:hAnsi="仿宋" w:eastAsia="仿宋"/>
          <w:u w:val="single"/>
        </w:rPr>
        <w:t xml:space="preserve">                   :</w:t>
      </w:r>
    </w:p>
    <w:p w14:paraId="6C1B0DE5">
      <w:pPr>
        <w:pageBreakBefore w:val="0"/>
        <w:tabs>
          <w:tab w:val="left" w:pos="6663"/>
        </w:tabs>
        <w:kinsoku/>
        <w:wordWrap/>
        <w:overflowPunct/>
        <w:topLinePunct w:val="0"/>
        <w:bidi w:val="0"/>
        <w:spacing w:line="540" w:lineRule="exact"/>
        <w:ind w:left="0" w:leftChars="0" w:right="0" w:firstLine="480" w:firstLineChars="200"/>
        <w:rPr>
          <w:rFonts w:ascii="仿宋" w:hAnsi="仿宋" w:eastAsia="仿宋"/>
          <w:sz w:val="24"/>
        </w:rPr>
      </w:pPr>
      <w:r>
        <w:rPr>
          <w:rFonts w:hint="eastAsia" w:ascii="仿宋" w:hAnsi="仿宋" w:eastAsia="仿宋"/>
          <w:sz w:val="24"/>
        </w:rPr>
        <w:t>本授权委托书声明：我系的法定代表人，现授权</w:t>
      </w:r>
      <w:r>
        <w:rPr>
          <w:rFonts w:hint="eastAsia" w:ascii="仿宋" w:hAnsi="仿宋" w:eastAsia="仿宋"/>
          <w:sz w:val="24"/>
          <w:u w:val="single"/>
        </w:rPr>
        <w:t>（单位名称）</w:t>
      </w:r>
      <w:r>
        <w:rPr>
          <w:rFonts w:hint="eastAsia" w:ascii="仿宋" w:hAnsi="仿宋" w:eastAsia="仿宋"/>
          <w:sz w:val="24"/>
        </w:rPr>
        <w:t>的</w:t>
      </w:r>
      <w:r>
        <w:rPr>
          <w:rFonts w:hint="eastAsia" w:ascii="仿宋" w:hAnsi="仿宋" w:eastAsia="仿宋"/>
          <w:sz w:val="24"/>
          <w:u w:val="single"/>
        </w:rPr>
        <w:t>（姓名、职务）</w:t>
      </w:r>
      <w:r>
        <w:rPr>
          <w:rFonts w:hint="eastAsia" w:ascii="仿宋" w:hAnsi="仿宋" w:eastAsia="仿宋"/>
          <w:sz w:val="24"/>
        </w:rPr>
        <w:t>为我单位授权代表，以本单位的名义参加贵方组织的项目招标的投标活动。授权代理人在投标、开标、评标、合同谈判过程中所签署的一切文件和处理与之有关的一切事宜，我均予以承认。</w:t>
      </w:r>
    </w:p>
    <w:p w14:paraId="70499A4F">
      <w:pPr>
        <w:pageBreakBefore w:val="0"/>
        <w:kinsoku/>
        <w:wordWrap/>
        <w:overflowPunct/>
        <w:topLinePunct w:val="0"/>
        <w:bidi w:val="0"/>
        <w:spacing w:line="540" w:lineRule="exact"/>
        <w:ind w:left="0" w:leftChars="0" w:right="0" w:firstLine="480" w:firstLineChars="200"/>
        <w:rPr>
          <w:rFonts w:ascii="仿宋" w:hAnsi="仿宋" w:eastAsia="仿宋"/>
          <w:sz w:val="24"/>
        </w:rPr>
      </w:pPr>
      <w:r>
        <w:rPr>
          <w:rFonts w:hint="eastAsia" w:ascii="仿宋" w:hAnsi="仿宋" w:eastAsia="仿宋"/>
          <w:sz w:val="24"/>
        </w:rPr>
        <w:t>授权代理人无转委托权。特此委托。</w:t>
      </w:r>
    </w:p>
    <w:tbl>
      <w:tblPr>
        <w:tblStyle w:val="17"/>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7"/>
      </w:tblGrid>
      <w:tr w14:paraId="66E2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6027" w:type="dxa"/>
          </w:tcPr>
          <w:p w14:paraId="73906BE2">
            <w:pPr>
              <w:pageBreakBefore w:val="0"/>
              <w:kinsoku/>
              <w:wordWrap/>
              <w:overflowPunct/>
              <w:topLinePunct w:val="0"/>
              <w:bidi w:val="0"/>
              <w:spacing w:line="540" w:lineRule="exact"/>
              <w:ind w:left="0" w:leftChars="0" w:right="0"/>
              <w:rPr>
                <w:rFonts w:ascii="仿宋" w:hAnsi="仿宋" w:eastAsia="仿宋"/>
                <w:sz w:val="24"/>
              </w:rPr>
            </w:pPr>
          </w:p>
          <w:p w14:paraId="2B3A8D43">
            <w:pPr>
              <w:pageBreakBefore w:val="0"/>
              <w:kinsoku/>
              <w:wordWrap/>
              <w:overflowPunct/>
              <w:topLinePunct w:val="0"/>
              <w:bidi w:val="0"/>
              <w:spacing w:line="540" w:lineRule="exact"/>
              <w:ind w:left="0" w:leftChars="0" w:right="0"/>
              <w:rPr>
                <w:rFonts w:ascii="仿宋" w:hAnsi="仿宋" w:eastAsia="仿宋"/>
                <w:sz w:val="24"/>
              </w:rPr>
            </w:pPr>
          </w:p>
          <w:p w14:paraId="4F1180E3">
            <w:pPr>
              <w:pageBreakBefore w:val="0"/>
              <w:tabs>
                <w:tab w:val="left" w:pos="4581"/>
              </w:tabs>
              <w:kinsoku/>
              <w:wordWrap/>
              <w:overflowPunct/>
              <w:topLinePunct w:val="0"/>
              <w:bidi w:val="0"/>
              <w:spacing w:line="540" w:lineRule="exact"/>
              <w:ind w:left="0" w:leftChars="0" w:right="0" w:firstLine="480" w:firstLineChars="200"/>
              <w:jc w:val="center"/>
              <w:rPr>
                <w:rFonts w:ascii="仿宋" w:hAnsi="仿宋" w:eastAsia="仿宋"/>
                <w:sz w:val="24"/>
              </w:rPr>
            </w:pPr>
            <w:r>
              <w:rPr>
                <w:rFonts w:hint="eastAsia" w:ascii="仿宋" w:hAnsi="仿宋" w:eastAsia="仿宋"/>
                <w:sz w:val="24"/>
              </w:rPr>
              <w:t>（附授权代理人身份证明复印件）</w:t>
            </w:r>
          </w:p>
          <w:p w14:paraId="714B0E3E">
            <w:pPr>
              <w:pageBreakBefore w:val="0"/>
              <w:kinsoku/>
              <w:wordWrap/>
              <w:overflowPunct/>
              <w:topLinePunct w:val="0"/>
              <w:bidi w:val="0"/>
              <w:spacing w:line="540" w:lineRule="exact"/>
              <w:ind w:left="0" w:leftChars="0" w:right="0"/>
              <w:rPr>
                <w:rFonts w:ascii="仿宋" w:hAnsi="仿宋" w:eastAsia="仿宋"/>
                <w:sz w:val="24"/>
              </w:rPr>
            </w:pPr>
          </w:p>
          <w:p w14:paraId="3B3C557E">
            <w:pPr>
              <w:pageBreakBefore w:val="0"/>
              <w:kinsoku/>
              <w:wordWrap/>
              <w:overflowPunct/>
              <w:topLinePunct w:val="0"/>
              <w:bidi w:val="0"/>
              <w:spacing w:line="540" w:lineRule="exact"/>
              <w:ind w:left="0" w:leftChars="0" w:right="0"/>
              <w:rPr>
                <w:rFonts w:ascii="仿宋" w:hAnsi="仿宋" w:eastAsia="仿宋"/>
                <w:sz w:val="24"/>
              </w:rPr>
            </w:pPr>
          </w:p>
        </w:tc>
      </w:tr>
    </w:tbl>
    <w:p w14:paraId="4A7D3B4D">
      <w:pPr>
        <w:pageBreakBefore w:val="0"/>
        <w:kinsoku/>
        <w:wordWrap/>
        <w:overflowPunct/>
        <w:topLinePunct w:val="0"/>
        <w:bidi w:val="0"/>
        <w:spacing w:line="540" w:lineRule="exact"/>
        <w:ind w:left="0" w:leftChars="0" w:right="0"/>
        <w:rPr>
          <w:rFonts w:ascii="仿宋" w:hAnsi="仿宋" w:eastAsia="仿宋"/>
          <w:sz w:val="24"/>
        </w:rPr>
      </w:pPr>
    </w:p>
    <w:p w14:paraId="3D2B01A9">
      <w:pPr>
        <w:pageBreakBefore w:val="0"/>
        <w:kinsoku/>
        <w:wordWrap/>
        <w:overflowPunct/>
        <w:topLinePunct w:val="0"/>
        <w:bidi w:val="0"/>
        <w:spacing w:line="540" w:lineRule="exact"/>
        <w:ind w:left="0" w:leftChars="0" w:right="0" w:firstLine="480" w:firstLineChars="200"/>
        <w:rPr>
          <w:rFonts w:hint="eastAsia" w:ascii="仿宋" w:hAnsi="仿宋" w:eastAsia="仿宋"/>
          <w:sz w:val="24"/>
          <w:lang w:eastAsia="zh-CN"/>
        </w:rPr>
      </w:pPr>
      <w:r>
        <w:rPr>
          <w:rFonts w:hint="eastAsia" w:ascii="仿宋" w:hAnsi="仿宋" w:eastAsia="仿宋"/>
          <w:sz w:val="24"/>
        </w:rPr>
        <w:t>投标人名称（盖章）：</w:t>
      </w:r>
    </w:p>
    <w:p w14:paraId="229AFD91">
      <w:pPr>
        <w:pageBreakBefore w:val="0"/>
        <w:kinsoku/>
        <w:wordWrap/>
        <w:overflowPunct/>
        <w:topLinePunct w:val="0"/>
        <w:bidi w:val="0"/>
        <w:spacing w:line="540" w:lineRule="exact"/>
        <w:ind w:left="0" w:leftChars="0" w:right="0" w:firstLine="480" w:firstLineChars="200"/>
        <w:rPr>
          <w:rFonts w:ascii="仿宋" w:hAnsi="仿宋" w:eastAsia="仿宋"/>
          <w:sz w:val="24"/>
        </w:rPr>
      </w:pPr>
      <w:r>
        <w:rPr>
          <w:rFonts w:hint="eastAsia" w:ascii="仿宋" w:hAnsi="仿宋" w:eastAsia="仿宋"/>
          <w:sz w:val="24"/>
        </w:rPr>
        <w:t>法定代表人：（签字、盖章）</w:t>
      </w:r>
    </w:p>
    <w:p w14:paraId="78A1BF5B">
      <w:pPr>
        <w:pageBreakBefore w:val="0"/>
        <w:kinsoku/>
        <w:wordWrap/>
        <w:overflowPunct/>
        <w:topLinePunct w:val="0"/>
        <w:bidi w:val="0"/>
        <w:spacing w:line="540" w:lineRule="exact"/>
        <w:ind w:left="0" w:leftChars="0" w:right="0" w:firstLine="480" w:firstLineChars="200"/>
        <w:rPr>
          <w:rFonts w:ascii="仿宋" w:hAnsi="仿宋" w:eastAsia="仿宋"/>
          <w:sz w:val="24"/>
        </w:rPr>
      </w:pPr>
      <w:r>
        <w:rPr>
          <w:rFonts w:hint="eastAsia" w:ascii="仿宋" w:hAnsi="仿宋" w:eastAsia="仿宋"/>
          <w:sz w:val="24"/>
        </w:rPr>
        <w:t>授权代理人：（签字）</w:t>
      </w:r>
    </w:p>
    <w:p w14:paraId="64DDDD9F">
      <w:pPr>
        <w:pageBreakBefore w:val="0"/>
        <w:kinsoku/>
        <w:wordWrap/>
        <w:overflowPunct/>
        <w:topLinePunct w:val="0"/>
        <w:bidi w:val="0"/>
        <w:spacing w:line="540" w:lineRule="exact"/>
        <w:ind w:left="0" w:leftChars="0" w:right="0" w:firstLine="480" w:firstLineChars="200"/>
        <w:rPr>
          <w:rFonts w:ascii="仿宋" w:hAnsi="仿宋" w:eastAsia="仿宋"/>
          <w:sz w:val="24"/>
        </w:rPr>
      </w:pPr>
      <w:r>
        <w:rPr>
          <w:rFonts w:hint="eastAsia" w:ascii="仿宋" w:hAnsi="仿宋" w:eastAsia="仿宋"/>
          <w:sz w:val="24"/>
        </w:rPr>
        <w:t>日期：年月日</w:t>
      </w:r>
    </w:p>
    <w:p w14:paraId="5BB38AA8">
      <w:pPr>
        <w:pStyle w:val="10"/>
        <w:pageBreakBefore w:val="0"/>
        <w:kinsoku/>
        <w:wordWrap/>
        <w:overflowPunct/>
        <w:topLinePunct w:val="0"/>
        <w:bidi w:val="0"/>
        <w:adjustRightInd w:val="0"/>
        <w:snapToGrid w:val="0"/>
        <w:spacing w:line="540" w:lineRule="exact"/>
        <w:ind w:left="0" w:leftChars="0" w:right="0"/>
        <w:outlineLvl w:val="1"/>
        <w:rPr>
          <w:rStyle w:val="23"/>
          <w:rFonts w:ascii="仿宋" w:hAnsi="仿宋" w:eastAsia="仿宋" w:cs="仿宋"/>
          <w:sz w:val="28"/>
          <w:szCs w:val="28"/>
        </w:rPr>
      </w:pPr>
      <w:r>
        <w:rPr>
          <w:rFonts w:ascii="仿宋_GB2312" w:eastAsia="仿宋_GB2312"/>
          <w:sz w:val="24"/>
        </w:rPr>
        <w:br w:type="page"/>
      </w:r>
      <w:bookmarkStart w:id="31" w:name="_Toc449097070"/>
      <w:r>
        <w:rPr>
          <w:rStyle w:val="23"/>
          <w:rFonts w:hint="eastAsia" w:ascii="仿宋" w:hAnsi="仿宋" w:eastAsia="仿宋" w:cs="仿宋"/>
          <w:sz w:val="28"/>
          <w:szCs w:val="28"/>
        </w:rPr>
        <w:t>附件三</w:t>
      </w:r>
      <w:bookmarkEnd w:id="31"/>
      <w:r>
        <w:rPr>
          <w:rStyle w:val="23"/>
          <w:rFonts w:hint="eastAsia" w:ascii="仿宋" w:hAnsi="仿宋" w:eastAsia="仿宋" w:cs="仿宋"/>
          <w:sz w:val="28"/>
          <w:szCs w:val="28"/>
        </w:rPr>
        <w:t>：</w:t>
      </w:r>
    </w:p>
    <w:tbl>
      <w:tblPr>
        <w:tblStyle w:val="17"/>
        <w:tblW w:w="9797" w:type="dxa"/>
        <w:tblInd w:w="-743" w:type="dxa"/>
        <w:tblLayout w:type="fixed"/>
        <w:tblCellMar>
          <w:top w:w="0" w:type="dxa"/>
          <w:left w:w="108" w:type="dxa"/>
          <w:bottom w:w="0" w:type="dxa"/>
          <w:right w:w="108" w:type="dxa"/>
        </w:tblCellMar>
      </w:tblPr>
      <w:tblGrid>
        <w:gridCol w:w="851"/>
        <w:gridCol w:w="2977"/>
        <w:gridCol w:w="709"/>
        <w:gridCol w:w="1030"/>
        <w:gridCol w:w="1395"/>
        <w:gridCol w:w="1410"/>
        <w:gridCol w:w="1425"/>
      </w:tblGrid>
      <w:tr w14:paraId="3CA4199D">
        <w:tblPrEx>
          <w:tblCellMar>
            <w:top w:w="0" w:type="dxa"/>
            <w:left w:w="108" w:type="dxa"/>
            <w:bottom w:w="0" w:type="dxa"/>
            <w:right w:w="108" w:type="dxa"/>
          </w:tblCellMar>
        </w:tblPrEx>
        <w:trPr>
          <w:trHeight w:val="660" w:hRule="atLeast"/>
        </w:trPr>
        <w:tc>
          <w:tcPr>
            <w:tcW w:w="9797" w:type="dxa"/>
            <w:gridSpan w:val="7"/>
            <w:tcBorders>
              <w:top w:val="single" w:color="000000" w:sz="4" w:space="0"/>
              <w:left w:val="single" w:color="000000" w:sz="4" w:space="0"/>
              <w:bottom w:val="single" w:color="000000" w:sz="4" w:space="0"/>
              <w:right w:val="single" w:color="000000" w:sz="4" w:space="0"/>
            </w:tcBorders>
            <w:vAlign w:val="center"/>
          </w:tcPr>
          <w:p w14:paraId="000CDE2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r>
              <w:rPr>
                <w:rFonts w:hint="eastAsia" w:ascii="仿宋" w:hAnsi="仿宋" w:eastAsia="仿宋"/>
                <w:sz w:val="24"/>
                <w:szCs w:val="28"/>
                <w:u w:val="single"/>
                <w:lang w:val="en-US" w:eastAsia="zh-CN"/>
              </w:rPr>
              <w:t>2025年卡车公司</w:t>
            </w:r>
            <w:r>
              <w:rPr>
                <w:rFonts w:hint="eastAsia" w:ascii="仿宋" w:hAnsi="仿宋" w:eastAsia="仿宋"/>
                <w:sz w:val="24"/>
                <w:szCs w:val="28"/>
                <w:u w:val="single"/>
              </w:rPr>
              <w:t>消防维保</w:t>
            </w:r>
            <w:r>
              <w:rPr>
                <w:rFonts w:hint="eastAsia" w:ascii="仿宋" w:hAnsi="仿宋" w:eastAsia="仿宋"/>
                <w:sz w:val="24"/>
                <w:szCs w:val="28"/>
                <w:u w:val="single"/>
                <w:lang w:val="en-US" w:eastAsia="zh-CN"/>
              </w:rPr>
              <w:t>及</w:t>
            </w:r>
            <w:r>
              <w:rPr>
                <w:rFonts w:hint="eastAsia" w:ascii="仿宋" w:hAnsi="仿宋" w:eastAsia="仿宋"/>
                <w:sz w:val="24"/>
                <w:szCs w:val="28"/>
                <w:u w:val="single"/>
              </w:rPr>
              <w:t>值班</w:t>
            </w:r>
            <w:r>
              <w:rPr>
                <w:rFonts w:hint="eastAsia" w:ascii="仿宋" w:hAnsi="仿宋" w:eastAsia="仿宋"/>
                <w:sz w:val="24"/>
                <w:szCs w:val="28"/>
                <w:u w:val="single"/>
                <w:lang w:val="en-US" w:eastAsia="zh-CN"/>
              </w:rPr>
              <w:t>项目（党家园区）</w:t>
            </w:r>
          </w:p>
        </w:tc>
      </w:tr>
      <w:tr w14:paraId="024507CF">
        <w:tblPrEx>
          <w:tblCellMar>
            <w:top w:w="0" w:type="dxa"/>
            <w:left w:w="108" w:type="dxa"/>
            <w:bottom w:w="0" w:type="dxa"/>
            <w:right w:w="108" w:type="dxa"/>
          </w:tblCellMar>
        </w:tblPrEx>
        <w:trPr>
          <w:trHeight w:val="360" w:hRule="atLeast"/>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190DE01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2977" w:type="dxa"/>
            <w:vMerge w:val="restart"/>
            <w:tcBorders>
              <w:top w:val="single" w:color="000000" w:sz="4" w:space="0"/>
              <w:left w:val="single" w:color="000000" w:sz="4" w:space="0"/>
              <w:bottom w:val="single" w:color="000000" w:sz="4" w:space="0"/>
              <w:right w:val="single" w:color="000000" w:sz="4" w:space="0"/>
            </w:tcBorders>
            <w:vAlign w:val="center"/>
          </w:tcPr>
          <w:p w14:paraId="3161B2C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60328E5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14:paraId="2076593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数量</w:t>
            </w:r>
          </w:p>
        </w:tc>
        <w:tc>
          <w:tcPr>
            <w:tcW w:w="1395" w:type="dxa"/>
            <w:tcBorders>
              <w:top w:val="single" w:color="000000" w:sz="4" w:space="0"/>
              <w:left w:val="single" w:color="000000" w:sz="4" w:space="0"/>
              <w:bottom w:val="single" w:color="000000" w:sz="4" w:space="0"/>
              <w:right w:val="single" w:color="000000" w:sz="4" w:space="0"/>
            </w:tcBorders>
            <w:vAlign w:val="center"/>
          </w:tcPr>
          <w:p w14:paraId="7A97798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单价</w:t>
            </w:r>
          </w:p>
        </w:tc>
        <w:tc>
          <w:tcPr>
            <w:tcW w:w="1410" w:type="dxa"/>
            <w:tcBorders>
              <w:top w:val="single" w:color="000000" w:sz="4" w:space="0"/>
              <w:left w:val="single" w:color="000000" w:sz="4" w:space="0"/>
              <w:bottom w:val="single" w:color="000000" w:sz="4" w:space="0"/>
              <w:right w:val="single" w:color="000000" w:sz="4" w:space="0"/>
            </w:tcBorders>
            <w:vAlign w:val="center"/>
          </w:tcPr>
          <w:p w14:paraId="652AE99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总价</w:t>
            </w:r>
          </w:p>
        </w:tc>
        <w:tc>
          <w:tcPr>
            <w:tcW w:w="1425" w:type="dxa"/>
            <w:tcBorders>
              <w:top w:val="single" w:color="000000" w:sz="4" w:space="0"/>
              <w:left w:val="single" w:color="000000" w:sz="4" w:space="0"/>
              <w:bottom w:val="single" w:color="000000" w:sz="4" w:space="0"/>
              <w:right w:val="single" w:color="000000" w:sz="4" w:space="0"/>
            </w:tcBorders>
            <w:vAlign w:val="center"/>
          </w:tcPr>
          <w:p w14:paraId="5954329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总价</w:t>
            </w:r>
          </w:p>
        </w:tc>
      </w:tr>
      <w:tr w14:paraId="0AC4545C">
        <w:tblPrEx>
          <w:tblCellMar>
            <w:top w:w="0" w:type="dxa"/>
            <w:left w:w="108" w:type="dxa"/>
            <w:bottom w:w="0" w:type="dxa"/>
            <w:right w:w="108" w:type="dxa"/>
          </w:tblCellMar>
        </w:tblPrEx>
        <w:trPr>
          <w:trHeight w:val="485"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497B4C5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14:paraId="7002251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756F28E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7064D60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14:paraId="56F43FF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（不含税）</w:t>
            </w:r>
          </w:p>
        </w:tc>
        <w:tc>
          <w:tcPr>
            <w:tcW w:w="1410" w:type="dxa"/>
            <w:tcBorders>
              <w:top w:val="single" w:color="000000" w:sz="4" w:space="0"/>
              <w:left w:val="single" w:color="000000" w:sz="4" w:space="0"/>
              <w:bottom w:val="single" w:color="000000" w:sz="4" w:space="0"/>
              <w:right w:val="single" w:color="000000" w:sz="4" w:space="0"/>
            </w:tcBorders>
            <w:vAlign w:val="center"/>
          </w:tcPr>
          <w:p w14:paraId="31799FE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（不含税）</w:t>
            </w:r>
          </w:p>
        </w:tc>
        <w:tc>
          <w:tcPr>
            <w:tcW w:w="1425" w:type="dxa"/>
            <w:tcBorders>
              <w:top w:val="single" w:color="000000" w:sz="4" w:space="0"/>
              <w:left w:val="single" w:color="000000" w:sz="4" w:space="0"/>
              <w:bottom w:val="single" w:color="000000" w:sz="4" w:space="0"/>
              <w:right w:val="single" w:color="000000" w:sz="4" w:space="0"/>
            </w:tcBorders>
            <w:vAlign w:val="center"/>
          </w:tcPr>
          <w:p w14:paraId="79DBB670">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（含税6%）</w:t>
            </w:r>
          </w:p>
        </w:tc>
      </w:tr>
      <w:tr w14:paraId="2253BCED">
        <w:tblPrEx>
          <w:tblCellMar>
            <w:top w:w="0" w:type="dxa"/>
            <w:left w:w="108" w:type="dxa"/>
            <w:bottom w:w="0" w:type="dxa"/>
            <w:right w:w="108" w:type="dxa"/>
          </w:tblCellMar>
        </w:tblPrEx>
        <w:trPr>
          <w:trHeight w:val="755"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0D5614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p>
        </w:tc>
        <w:tc>
          <w:tcPr>
            <w:tcW w:w="2977" w:type="dxa"/>
            <w:tcBorders>
              <w:top w:val="single" w:color="000000" w:sz="4" w:space="0"/>
              <w:left w:val="single" w:color="000000" w:sz="4" w:space="0"/>
              <w:bottom w:val="single" w:color="000000" w:sz="4" w:space="0"/>
              <w:right w:val="single" w:color="000000" w:sz="4" w:space="0"/>
            </w:tcBorders>
            <w:vAlign w:val="center"/>
          </w:tcPr>
          <w:p w14:paraId="54BAA79E">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火灾自动报警系统</w:t>
            </w:r>
          </w:p>
        </w:tc>
        <w:tc>
          <w:tcPr>
            <w:tcW w:w="709" w:type="dxa"/>
            <w:tcBorders>
              <w:top w:val="single" w:color="000000" w:sz="4" w:space="0"/>
              <w:left w:val="single" w:color="000000" w:sz="4" w:space="0"/>
              <w:bottom w:val="single" w:color="000000" w:sz="4" w:space="0"/>
              <w:right w:val="single" w:color="000000" w:sz="4" w:space="0"/>
            </w:tcBorders>
            <w:vAlign w:val="center"/>
          </w:tcPr>
          <w:p w14:paraId="4BC8B93D">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1030" w:type="dxa"/>
            <w:tcBorders>
              <w:top w:val="single" w:color="000000" w:sz="4" w:space="0"/>
              <w:left w:val="single" w:color="000000" w:sz="4" w:space="0"/>
              <w:bottom w:val="single" w:color="000000" w:sz="4" w:space="0"/>
              <w:right w:val="single" w:color="000000" w:sz="4" w:space="0"/>
            </w:tcBorders>
            <w:vAlign w:val="center"/>
          </w:tcPr>
          <w:p w14:paraId="4A3F8E32">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3331</w:t>
            </w:r>
          </w:p>
        </w:tc>
        <w:tc>
          <w:tcPr>
            <w:tcW w:w="1395" w:type="dxa"/>
            <w:tcBorders>
              <w:top w:val="single" w:color="000000" w:sz="4" w:space="0"/>
              <w:left w:val="single" w:color="000000" w:sz="4" w:space="0"/>
              <w:bottom w:val="single" w:color="000000" w:sz="4" w:space="0"/>
              <w:right w:val="single" w:color="000000" w:sz="4" w:space="0"/>
            </w:tcBorders>
            <w:vAlign w:val="center"/>
          </w:tcPr>
          <w:p w14:paraId="6AF61CB0">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036D6AE0">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379601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6C3936F3">
        <w:tblPrEx>
          <w:tblCellMar>
            <w:top w:w="0" w:type="dxa"/>
            <w:left w:w="108" w:type="dxa"/>
            <w:bottom w:w="0" w:type="dxa"/>
            <w:right w:w="108" w:type="dxa"/>
          </w:tblCellMar>
        </w:tblPrEx>
        <w:trPr>
          <w:trHeight w:val="52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D20BC6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p>
        </w:tc>
        <w:tc>
          <w:tcPr>
            <w:tcW w:w="2977" w:type="dxa"/>
            <w:tcBorders>
              <w:top w:val="single" w:color="000000" w:sz="4" w:space="0"/>
              <w:left w:val="single" w:color="000000" w:sz="4" w:space="0"/>
              <w:bottom w:val="single" w:color="000000" w:sz="4" w:space="0"/>
              <w:right w:val="single" w:color="000000" w:sz="4" w:space="0"/>
            </w:tcBorders>
            <w:vAlign w:val="center"/>
          </w:tcPr>
          <w:p w14:paraId="195C35AB">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自动喷水灭火系统</w:t>
            </w:r>
          </w:p>
        </w:tc>
        <w:tc>
          <w:tcPr>
            <w:tcW w:w="709" w:type="dxa"/>
            <w:tcBorders>
              <w:top w:val="single" w:color="000000" w:sz="4" w:space="0"/>
              <w:left w:val="single" w:color="000000" w:sz="4" w:space="0"/>
              <w:bottom w:val="single" w:color="000000" w:sz="4" w:space="0"/>
              <w:right w:val="single" w:color="000000" w:sz="4" w:space="0"/>
            </w:tcBorders>
            <w:vAlign w:val="center"/>
          </w:tcPr>
          <w:p w14:paraId="5EC5C808">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30" w:type="dxa"/>
            <w:tcBorders>
              <w:top w:val="single" w:color="000000" w:sz="4" w:space="0"/>
              <w:left w:val="single" w:color="000000" w:sz="4" w:space="0"/>
              <w:bottom w:val="single" w:color="000000" w:sz="4" w:space="0"/>
              <w:right w:val="single" w:color="000000" w:sz="4" w:space="0"/>
            </w:tcBorders>
            <w:vAlign w:val="center"/>
          </w:tcPr>
          <w:p w14:paraId="3DB4CA4D">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1FEDBD41">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34445A6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BCC86D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5FE63054">
        <w:tblPrEx>
          <w:tblCellMar>
            <w:top w:w="0" w:type="dxa"/>
            <w:left w:w="108" w:type="dxa"/>
            <w:bottom w:w="0" w:type="dxa"/>
            <w:right w:w="108" w:type="dxa"/>
          </w:tblCellMar>
        </w:tblPrEx>
        <w:trPr>
          <w:trHeight w:val="57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24591E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p>
        </w:tc>
        <w:tc>
          <w:tcPr>
            <w:tcW w:w="2977" w:type="dxa"/>
            <w:tcBorders>
              <w:top w:val="single" w:color="000000" w:sz="4" w:space="0"/>
              <w:left w:val="single" w:color="000000" w:sz="4" w:space="0"/>
              <w:bottom w:val="single" w:color="000000" w:sz="4" w:space="0"/>
              <w:right w:val="single" w:color="000000" w:sz="4" w:space="0"/>
            </w:tcBorders>
            <w:vAlign w:val="center"/>
          </w:tcPr>
          <w:p w14:paraId="69D55759">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防排烟及加压送风系统</w:t>
            </w:r>
          </w:p>
        </w:tc>
        <w:tc>
          <w:tcPr>
            <w:tcW w:w="709" w:type="dxa"/>
            <w:tcBorders>
              <w:top w:val="single" w:color="000000" w:sz="4" w:space="0"/>
              <w:left w:val="single" w:color="000000" w:sz="4" w:space="0"/>
              <w:bottom w:val="single" w:color="000000" w:sz="4" w:space="0"/>
              <w:right w:val="single" w:color="000000" w:sz="4" w:space="0"/>
            </w:tcBorders>
            <w:vAlign w:val="center"/>
          </w:tcPr>
          <w:p w14:paraId="5C909DC4">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30" w:type="dxa"/>
            <w:tcBorders>
              <w:top w:val="single" w:color="000000" w:sz="4" w:space="0"/>
              <w:left w:val="single" w:color="000000" w:sz="4" w:space="0"/>
              <w:bottom w:val="single" w:color="000000" w:sz="4" w:space="0"/>
              <w:right w:val="single" w:color="000000" w:sz="4" w:space="0"/>
            </w:tcBorders>
            <w:vAlign w:val="center"/>
          </w:tcPr>
          <w:p w14:paraId="02AA0CC1">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684906EB">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EC429B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710DAE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02B7CB3B">
        <w:tblPrEx>
          <w:tblCellMar>
            <w:top w:w="0" w:type="dxa"/>
            <w:left w:w="108" w:type="dxa"/>
            <w:bottom w:w="0" w:type="dxa"/>
            <w:right w:w="108" w:type="dxa"/>
          </w:tblCellMar>
        </w:tblPrEx>
        <w:trPr>
          <w:trHeight w:val="665"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AFDE0FB">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w:t>
            </w:r>
          </w:p>
        </w:tc>
        <w:tc>
          <w:tcPr>
            <w:tcW w:w="2977" w:type="dxa"/>
            <w:tcBorders>
              <w:top w:val="single" w:color="000000" w:sz="4" w:space="0"/>
              <w:left w:val="single" w:color="000000" w:sz="4" w:space="0"/>
              <w:bottom w:val="single" w:color="000000" w:sz="4" w:space="0"/>
              <w:right w:val="single" w:color="000000" w:sz="4" w:space="0"/>
            </w:tcBorders>
            <w:vAlign w:val="center"/>
          </w:tcPr>
          <w:p w14:paraId="6C343EC3">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消防给水系统</w:t>
            </w:r>
          </w:p>
        </w:tc>
        <w:tc>
          <w:tcPr>
            <w:tcW w:w="709" w:type="dxa"/>
            <w:tcBorders>
              <w:top w:val="single" w:color="000000" w:sz="4" w:space="0"/>
              <w:left w:val="single" w:color="000000" w:sz="4" w:space="0"/>
              <w:bottom w:val="single" w:color="000000" w:sz="4" w:space="0"/>
              <w:right w:val="single" w:color="000000" w:sz="4" w:space="0"/>
            </w:tcBorders>
            <w:vAlign w:val="center"/>
          </w:tcPr>
          <w:p w14:paraId="3E4EA462">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30" w:type="dxa"/>
            <w:tcBorders>
              <w:top w:val="single" w:color="000000" w:sz="4" w:space="0"/>
              <w:left w:val="single" w:color="000000" w:sz="4" w:space="0"/>
              <w:bottom w:val="single" w:color="000000" w:sz="4" w:space="0"/>
              <w:right w:val="single" w:color="000000" w:sz="4" w:space="0"/>
            </w:tcBorders>
            <w:vAlign w:val="center"/>
          </w:tcPr>
          <w:p w14:paraId="496646B8">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2DD0CDCF">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64763E4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C67D4E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3ADFB539">
        <w:tblPrEx>
          <w:tblCellMar>
            <w:top w:w="0" w:type="dxa"/>
            <w:left w:w="108" w:type="dxa"/>
            <w:bottom w:w="0" w:type="dxa"/>
            <w:right w:w="108" w:type="dxa"/>
          </w:tblCellMar>
        </w:tblPrEx>
        <w:trPr>
          <w:trHeight w:val="57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6247CD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5</w:t>
            </w:r>
          </w:p>
        </w:tc>
        <w:tc>
          <w:tcPr>
            <w:tcW w:w="2977" w:type="dxa"/>
            <w:tcBorders>
              <w:top w:val="single" w:color="000000" w:sz="4" w:space="0"/>
              <w:left w:val="single" w:color="000000" w:sz="4" w:space="0"/>
              <w:bottom w:val="single" w:color="000000" w:sz="4" w:space="0"/>
              <w:right w:val="single" w:color="000000" w:sz="4" w:space="0"/>
            </w:tcBorders>
            <w:vAlign w:val="center"/>
          </w:tcPr>
          <w:p w14:paraId="3F868E70">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防火分隔设施</w:t>
            </w:r>
          </w:p>
        </w:tc>
        <w:tc>
          <w:tcPr>
            <w:tcW w:w="709" w:type="dxa"/>
            <w:tcBorders>
              <w:top w:val="single" w:color="000000" w:sz="4" w:space="0"/>
              <w:left w:val="single" w:color="000000" w:sz="4" w:space="0"/>
              <w:bottom w:val="single" w:color="000000" w:sz="4" w:space="0"/>
              <w:right w:val="single" w:color="000000" w:sz="4" w:space="0"/>
            </w:tcBorders>
            <w:vAlign w:val="center"/>
          </w:tcPr>
          <w:p w14:paraId="191736DC">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1030" w:type="dxa"/>
            <w:tcBorders>
              <w:top w:val="single" w:color="000000" w:sz="4" w:space="0"/>
              <w:left w:val="single" w:color="000000" w:sz="4" w:space="0"/>
              <w:bottom w:val="single" w:color="000000" w:sz="4" w:space="0"/>
              <w:right w:val="single" w:color="000000" w:sz="4" w:space="0"/>
            </w:tcBorders>
            <w:vAlign w:val="center"/>
          </w:tcPr>
          <w:p w14:paraId="50701691">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75</w:t>
            </w:r>
          </w:p>
        </w:tc>
        <w:tc>
          <w:tcPr>
            <w:tcW w:w="1395" w:type="dxa"/>
            <w:tcBorders>
              <w:top w:val="single" w:color="000000" w:sz="4" w:space="0"/>
              <w:left w:val="single" w:color="000000" w:sz="4" w:space="0"/>
              <w:bottom w:val="single" w:color="000000" w:sz="4" w:space="0"/>
              <w:right w:val="single" w:color="000000" w:sz="4" w:space="0"/>
            </w:tcBorders>
            <w:vAlign w:val="center"/>
          </w:tcPr>
          <w:p w14:paraId="5DDD8E2E">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4EA4249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6B9E6BA">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524DFFF0">
        <w:tblPrEx>
          <w:tblCellMar>
            <w:top w:w="0" w:type="dxa"/>
            <w:left w:w="108" w:type="dxa"/>
            <w:bottom w:w="0" w:type="dxa"/>
            <w:right w:w="108" w:type="dxa"/>
          </w:tblCellMar>
        </w:tblPrEx>
        <w:trPr>
          <w:trHeight w:val="60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5F49768">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6</w:t>
            </w:r>
          </w:p>
        </w:tc>
        <w:tc>
          <w:tcPr>
            <w:tcW w:w="2977" w:type="dxa"/>
            <w:tcBorders>
              <w:top w:val="single" w:color="000000" w:sz="4" w:space="0"/>
              <w:left w:val="single" w:color="000000" w:sz="4" w:space="0"/>
              <w:bottom w:val="single" w:color="000000" w:sz="4" w:space="0"/>
              <w:right w:val="single" w:color="000000" w:sz="4" w:space="0"/>
            </w:tcBorders>
            <w:vAlign w:val="center"/>
          </w:tcPr>
          <w:p w14:paraId="31F0217B">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应急照明系统、广播及疏散指示标志系统</w:t>
            </w:r>
          </w:p>
        </w:tc>
        <w:tc>
          <w:tcPr>
            <w:tcW w:w="709" w:type="dxa"/>
            <w:tcBorders>
              <w:top w:val="single" w:color="000000" w:sz="4" w:space="0"/>
              <w:left w:val="single" w:color="000000" w:sz="4" w:space="0"/>
              <w:bottom w:val="single" w:color="000000" w:sz="4" w:space="0"/>
              <w:right w:val="single" w:color="000000" w:sz="4" w:space="0"/>
            </w:tcBorders>
            <w:vAlign w:val="center"/>
          </w:tcPr>
          <w:p w14:paraId="0C9E6C36">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30" w:type="dxa"/>
            <w:tcBorders>
              <w:top w:val="single" w:color="000000" w:sz="4" w:space="0"/>
              <w:left w:val="single" w:color="000000" w:sz="4" w:space="0"/>
              <w:bottom w:val="single" w:color="000000" w:sz="4" w:space="0"/>
              <w:right w:val="single" w:color="000000" w:sz="4" w:space="0"/>
            </w:tcBorders>
            <w:vAlign w:val="center"/>
          </w:tcPr>
          <w:p w14:paraId="7E9B1005">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02834053">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E86E98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EBBE4C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4F9107CF">
        <w:tblPrEx>
          <w:tblCellMar>
            <w:top w:w="0" w:type="dxa"/>
            <w:left w:w="108" w:type="dxa"/>
            <w:bottom w:w="0" w:type="dxa"/>
            <w:right w:w="108" w:type="dxa"/>
          </w:tblCellMar>
        </w:tblPrEx>
        <w:trPr>
          <w:trHeight w:val="575"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55F0F8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7</w:t>
            </w:r>
          </w:p>
        </w:tc>
        <w:tc>
          <w:tcPr>
            <w:tcW w:w="2977" w:type="dxa"/>
            <w:tcBorders>
              <w:top w:val="single" w:color="000000" w:sz="4" w:space="0"/>
              <w:left w:val="single" w:color="000000" w:sz="4" w:space="0"/>
              <w:bottom w:val="single" w:color="000000" w:sz="4" w:space="0"/>
              <w:right w:val="single" w:color="000000" w:sz="4" w:space="0"/>
            </w:tcBorders>
            <w:vAlign w:val="center"/>
          </w:tcPr>
          <w:p w14:paraId="35727F9C">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自动气体灭火系统</w:t>
            </w:r>
          </w:p>
        </w:tc>
        <w:tc>
          <w:tcPr>
            <w:tcW w:w="709" w:type="dxa"/>
            <w:tcBorders>
              <w:top w:val="single" w:color="000000" w:sz="4" w:space="0"/>
              <w:left w:val="single" w:color="000000" w:sz="4" w:space="0"/>
              <w:bottom w:val="single" w:color="000000" w:sz="4" w:space="0"/>
              <w:right w:val="single" w:color="000000" w:sz="4" w:space="0"/>
            </w:tcBorders>
            <w:vAlign w:val="center"/>
          </w:tcPr>
          <w:p w14:paraId="742525F5">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ascii="仿宋_GB2312" w:hAnsi="仿宋_GB2312" w:eastAsia="仿宋_GB2312" w:cs="仿宋_GB2312"/>
                <w:kern w:val="0"/>
                <w:sz w:val="24"/>
              </w:rPr>
              <w:t>m³</w:t>
            </w:r>
          </w:p>
        </w:tc>
        <w:tc>
          <w:tcPr>
            <w:tcW w:w="1030" w:type="dxa"/>
            <w:tcBorders>
              <w:top w:val="single" w:color="000000" w:sz="4" w:space="0"/>
              <w:left w:val="single" w:color="000000" w:sz="4" w:space="0"/>
              <w:bottom w:val="single" w:color="000000" w:sz="4" w:space="0"/>
              <w:right w:val="single" w:color="000000" w:sz="4" w:space="0"/>
            </w:tcBorders>
            <w:vAlign w:val="center"/>
          </w:tcPr>
          <w:p w14:paraId="5EE5F4DC">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3520</w:t>
            </w:r>
          </w:p>
        </w:tc>
        <w:tc>
          <w:tcPr>
            <w:tcW w:w="1395" w:type="dxa"/>
            <w:tcBorders>
              <w:top w:val="single" w:color="000000" w:sz="4" w:space="0"/>
              <w:left w:val="single" w:color="000000" w:sz="4" w:space="0"/>
              <w:bottom w:val="single" w:color="000000" w:sz="4" w:space="0"/>
              <w:right w:val="single" w:color="000000" w:sz="4" w:space="0"/>
            </w:tcBorders>
            <w:vAlign w:val="center"/>
          </w:tcPr>
          <w:p w14:paraId="36651FE7">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842F7BB">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0C4CE5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3D8CEE31">
        <w:tblPrEx>
          <w:tblCellMar>
            <w:top w:w="0" w:type="dxa"/>
            <w:left w:w="108" w:type="dxa"/>
            <w:bottom w:w="0" w:type="dxa"/>
            <w:right w:w="108" w:type="dxa"/>
          </w:tblCellMar>
        </w:tblPrEx>
        <w:trPr>
          <w:trHeight w:val="535"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755371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8</w:t>
            </w:r>
          </w:p>
        </w:tc>
        <w:tc>
          <w:tcPr>
            <w:tcW w:w="2977" w:type="dxa"/>
            <w:tcBorders>
              <w:top w:val="single" w:color="000000" w:sz="4" w:space="0"/>
              <w:left w:val="single" w:color="000000" w:sz="4" w:space="0"/>
              <w:bottom w:val="single" w:color="000000" w:sz="4" w:space="0"/>
              <w:right w:val="single" w:color="000000" w:sz="4" w:space="0"/>
            </w:tcBorders>
            <w:vAlign w:val="center"/>
          </w:tcPr>
          <w:p w14:paraId="0DDE3B16">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消防中控柜机组、机房专业清洁</w:t>
            </w:r>
          </w:p>
        </w:tc>
        <w:tc>
          <w:tcPr>
            <w:tcW w:w="709" w:type="dxa"/>
            <w:tcBorders>
              <w:top w:val="single" w:color="000000" w:sz="4" w:space="0"/>
              <w:left w:val="single" w:color="000000" w:sz="4" w:space="0"/>
              <w:bottom w:val="single" w:color="000000" w:sz="4" w:space="0"/>
              <w:right w:val="single" w:color="000000" w:sz="4" w:space="0"/>
            </w:tcBorders>
            <w:vAlign w:val="center"/>
          </w:tcPr>
          <w:p w14:paraId="6E0A605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次</w:t>
            </w:r>
          </w:p>
        </w:tc>
        <w:tc>
          <w:tcPr>
            <w:tcW w:w="1030" w:type="dxa"/>
            <w:tcBorders>
              <w:top w:val="single" w:color="000000" w:sz="4" w:space="0"/>
              <w:left w:val="single" w:color="000000" w:sz="4" w:space="0"/>
              <w:bottom w:val="single" w:color="000000" w:sz="4" w:space="0"/>
              <w:right w:val="single" w:color="000000" w:sz="4" w:space="0"/>
            </w:tcBorders>
            <w:vAlign w:val="center"/>
          </w:tcPr>
          <w:p w14:paraId="4C78647A">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411DB58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6CE22FC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E7E5E1B">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3BC0F4AF">
        <w:tblPrEx>
          <w:tblCellMar>
            <w:top w:w="0" w:type="dxa"/>
            <w:left w:w="108" w:type="dxa"/>
            <w:bottom w:w="0" w:type="dxa"/>
            <w:right w:w="108" w:type="dxa"/>
          </w:tblCellMar>
        </w:tblPrEx>
        <w:trPr>
          <w:trHeight w:val="615"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95BB06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9</w:t>
            </w:r>
          </w:p>
        </w:tc>
        <w:tc>
          <w:tcPr>
            <w:tcW w:w="2977" w:type="dxa"/>
            <w:tcBorders>
              <w:top w:val="single" w:color="000000" w:sz="4" w:space="0"/>
              <w:left w:val="single" w:color="000000" w:sz="4" w:space="0"/>
              <w:bottom w:val="single" w:color="000000" w:sz="4" w:space="0"/>
              <w:right w:val="single" w:color="000000" w:sz="4" w:space="0"/>
            </w:tcBorders>
            <w:vAlign w:val="center"/>
          </w:tcPr>
          <w:p w14:paraId="7AD053B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消防设备、设施清洁</w:t>
            </w:r>
          </w:p>
        </w:tc>
        <w:tc>
          <w:tcPr>
            <w:tcW w:w="709" w:type="dxa"/>
            <w:tcBorders>
              <w:top w:val="single" w:color="000000" w:sz="4" w:space="0"/>
              <w:left w:val="single" w:color="000000" w:sz="4" w:space="0"/>
              <w:bottom w:val="single" w:color="000000" w:sz="4" w:space="0"/>
              <w:right w:val="single" w:color="000000" w:sz="4" w:space="0"/>
            </w:tcBorders>
            <w:vAlign w:val="center"/>
          </w:tcPr>
          <w:p w14:paraId="1CC93228">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tc>
        <w:tc>
          <w:tcPr>
            <w:tcW w:w="1030" w:type="dxa"/>
            <w:tcBorders>
              <w:top w:val="single" w:color="000000" w:sz="4" w:space="0"/>
              <w:left w:val="single" w:color="000000" w:sz="4" w:space="0"/>
              <w:bottom w:val="single" w:color="000000" w:sz="4" w:space="0"/>
              <w:right w:val="single" w:color="000000" w:sz="4" w:space="0"/>
            </w:tcBorders>
            <w:vAlign w:val="center"/>
          </w:tcPr>
          <w:p w14:paraId="74981EC6">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4166936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39F21AB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A9CB70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3453F597">
        <w:tblPrEx>
          <w:tblCellMar>
            <w:top w:w="0" w:type="dxa"/>
            <w:left w:w="108" w:type="dxa"/>
            <w:bottom w:w="0" w:type="dxa"/>
            <w:right w:w="108" w:type="dxa"/>
          </w:tblCellMar>
        </w:tblPrEx>
        <w:trPr>
          <w:trHeight w:val="71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DA56708">
            <w:pPr>
              <w:pageBreakBefore w:val="0"/>
              <w:widowControl/>
              <w:kinsoku/>
              <w:wordWrap/>
              <w:overflowPunct/>
              <w:topLinePunct w:val="0"/>
              <w:bidi w:val="0"/>
              <w:ind w:left="0" w:leftChars="0" w:right="0"/>
              <w:jc w:val="left"/>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w:t>
            </w:r>
          </w:p>
        </w:tc>
        <w:tc>
          <w:tcPr>
            <w:tcW w:w="2977" w:type="dxa"/>
            <w:tcBorders>
              <w:top w:val="single" w:color="000000" w:sz="4" w:space="0"/>
              <w:left w:val="single" w:color="000000" w:sz="4" w:space="0"/>
              <w:bottom w:val="single" w:color="000000" w:sz="4" w:space="0"/>
              <w:right w:val="single" w:color="000000" w:sz="4" w:space="0"/>
            </w:tcBorders>
            <w:vAlign w:val="center"/>
          </w:tcPr>
          <w:p w14:paraId="7A886E1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消防中控室24小时带证值班人员（每班2人）</w:t>
            </w:r>
          </w:p>
        </w:tc>
        <w:tc>
          <w:tcPr>
            <w:tcW w:w="709" w:type="dxa"/>
            <w:tcBorders>
              <w:top w:val="single" w:color="000000" w:sz="4" w:space="0"/>
              <w:left w:val="single" w:color="000000" w:sz="4" w:space="0"/>
              <w:bottom w:val="single" w:color="000000" w:sz="4" w:space="0"/>
              <w:right w:val="single" w:color="000000" w:sz="4" w:space="0"/>
            </w:tcBorders>
            <w:vAlign w:val="center"/>
          </w:tcPr>
          <w:p w14:paraId="1721C8C8">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个/年</w:t>
            </w:r>
          </w:p>
        </w:tc>
        <w:tc>
          <w:tcPr>
            <w:tcW w:w="1030" w:type="dxa"/>
            <w:tcBorders>
              <w:top w:val="single" w:color="000000" w:sz="4" w:space="0"/>
              <w:left w:val="single" w:color="000000" w:sz="4" w:space="0"/>
              <w:bottom w:val="single" w:color="000000" w:sz="4" w:space="0"/>
              <w:right w:val="single" w:color="000000" w:sz="4" w:space="0"/>
            </w:tcBorders>
            <w:vAlign w:val="center"/>
          </w:tcPr>
          <w:p w14:paraId="55D888A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8</w:t>
            </w:r>
          </w:p>
        </w:tc>
        <w:tc>
          <w:tcPr>
            <w:tcW w:w="1395" w:type="dxa"/>
            <w:tcBorders>
              <w:top w:val="single" w:color="000000" w:sz="4" w:space="0"/>
              <w:left w:val="single" w:color="000000" w:sz="4" w:space="0"/>
              <w:bottom w:val="single" w:color="000000" w:sz="4" w:space="0"/>
              <w:right w:val="single" w:color="000000" w:sz="4" w:space="0"/>
            </w:tcBorders>
            <w:vAlign w:val="center"/>
          </w:tcPr>
          <w:p w14:paraId="105434A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3C19438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4D1DA1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53E46C10">
        <w:tblPrEx>
          <w:tblCellMar>
            <w:top w:w="0" w:type="dxa"/>
            <w:left w:w="108" w:type="dxa"/>
            <w:bottom w:w="0" w:type="dxa"/>
            <w:right w:w="108" w:type="dxa"/>
          </w:tblCellMar>
        </w:tblPrEx>
        <w:trPr>
          <w:trHeight w:val="60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730CB61">
            <w:pPr>
              <w:pageBreakBefore w:val="0"/>
              <w:widowControl/>
              <w:kinsoku/>
              <w:wordWrap/>
              <w:overflowPunct/>
              <w:topLinePunct w:val="0"/>
              <w:bidi w:val="0"/>
              <w:ind w:left="0" w:leftChars="0" w:right="0"/>
              <w:jc w:val="left"/>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11</w:t>
            </w:r>
          </w:p>
        </w:tc>
        <w:tc>
          <w:tcPr>
            <w:tcW w:w="2977" w:type="dxa"/>
            <w:tcBorders>
              <w:top w:val="single" w:color="000000" w:sz="4" w:space="0"/>
              <w:left w:val="single" w:color="000000" w:sz="4" w:space="0"/>
              <w:bottom w:val="single" w:color="000000" w:sz="4" w:space="0"/>
              <w:right w:val="single" w:color="000000" w:sz="4" w:space="0"/>
            </w:tcBorders>
            <w:vAlign w:val="center"/>
          </w:tcPr>
          <w:p w14:paraId="513C763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消防设施检测服务费用</w:t>
            </w:r>
          </w:p>
        </w:tc>
        <w:tc>
          <w:tcPr>
            <w:tcW w:w="709" w:type="dxa"/>
            <w:tcBorders>
              <w:top w:val="single" w:color="000000" w:sz="4" w:space="0"/>
              <w:left w:val="single" w:color="000000" w:sz="4" w:space="0"/>
              <w:bottom w:val="single" w:color="000000" w:sz="4" w:space="0"/>
              <w:right w:val="single" w:color="000000" w:sz="4" w:space="0"/>
            </w:tcBorders>
            <w:vAlign w:val="center"/>
          </w:tcPr>
          <w:p w14:paraId="57AA0D4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平米</w:t>
            </w:r>
          </w:p>
        </w:tc>
        <w:tc>
          <w:tcPr>
            <w:tcW w:w="1030" w:type="dxa"/>
            <w:tcBorders>
              <w:top w:val="single" w:color="000000" w:sz="4" w:space="0"/>
              <w:left w:val="single" w:color="000000" w:sz="4" w:space="0"/>
              <w:bottom w:val="single" w:color="000000" w:sz="4" w:space="0"/>
              <w:right w:val="single" w:color="000000" w:sz="4" w:space="0"/>
            </w:tcBorders>
            <w:vAlign w:val="center"/>
          </w:tcPr>
          <w:p w14:paraId="38DEA04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343000</w:t>
            </w:r>
          </w:p>
        </w:tc>
        <w:tc>
          <w:tcPr>
            <w:tcW w:w="1395" w:type="dxa"/>
            <w:tcBorders>
              <w:top w:val="single" w:color="000000" w:sz="4" w:space="0"/>
              <w:left w:val="single" w:color="000000" w:sz="4" w:space="0"/>
              <w:bottom w:val="single" w:color="000000" w:sz="4" w:space="0"/>
              <w:right w:val="single" w:color="000000" w:sz="4" w:space="0"/>
            </w:tcBorders>
            <w:vAlign w:val="center"/>
          </w:tcPr>
          <w:p w14:paraId="18FFEF4A">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6C24CF1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873849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58ECF346">
        <w:tblPrEx>
          <w:tblCellMar>
            <w:top w:w="0" w:type="dxa"/>
            <w:left w:w="108" w:type="dxa"/>
            <w:bottom w:w="0" w:type="dxa"/>
            <w:right w:w="108" w:type="dxa"/>
          </w:tblCellMar>
        </w:tblPrEx>
        <w:trPr>
          <w:trHeight w:val="55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FC174DA">
            <w:pPr>
              <w:pageBreakBefore w:val="0"/>
              <w:widowControl/>
              <w:kinsoku/>
              <w:wordWrap/>
              <w:overflowPunct/>
              <w:topLinePunct w:val="0"/>
              <w:bidi w:val="0"/>
              <w:ind w:left="0" w:leftChars="0" w:right="0"/>
              <w:jc w:val="left"/>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w:t>
            </w:r>
          </w:p>
        </w:tc>
        <w:tc>
          <w:tcPr>
            <w:tcW w:w="2977" w:type="dxa"/>
            <w:tcBorders>
              <w:top w:val="single" w:color="000000" w:sz="4" w:space="0"/>
              <w:left w:val="single" w:color="000000" w:sz="4" w:space="0"/>
              <w:bottom w:val="single" w:color="000000" w:sz="4" w:space="0"/>
              <w:right w:val="single" w:color="000000" w:sz="4" w:space="0"/>
            </w:tcBorders>
            <w:vAlign w:val="center"/>
          </w:tcPr>
          <w:p w14:paraId="453584C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电气防火检测服务费用</w:t>
            </w:r>
          </w:p>
        </w:tc>
        <w:tc>
          <w:tcPr>
            <w:tcW w:w="709" w:type="dxa"/>
            <w:tcBorders>
              <w:top w:val="single" w:color="000000" w:sz="4" w:space="0"/>
              <w:left w:val="single" w:color="000000" w:sz="4" w:space="0"/>
              <w:bottom w:val="single" w:color="000000" w:sz="4" w:space="0"/>
              <w:right w:val="single" w:color="000000" w:sz="4" w:space="0"/>
            </w:tcBorders>
            <w:vAlign w:val="center"/>
          </w:tcPr>
          <w:p w14:paraId="23E0E3C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平米</w:t>
            </w:r>
          </w:p>
        </w:tc>
        <w:tc>
          <w:tcPr>
            <w:tcW w:w="1030" w:type="dxa"/>
            <w:tcBorders>
              <w:top w:val="single" w:color="000000" w:sz="4" w:space="0"/>
              <w:left w:val="single" w:color="000000" w:sz="4" w:space="0"/>
              <w:bottom w:val="single" w:color="000000" w:sz="4" w:space="0"/>
              <w:right w:val="single" w:color="000000" w:sz="4" w:space="0"/>
            </w:tcBorders>
            <w:vAlign w:val="center"/>
          </w:tcPr>
          <w:p w14:paraId="10DC1BA0">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343000</w:t>
            </w:r>
          </w:p>
        </w:tc>
        <w:tc>
          <w:tcPr>
            <w:tcW w:w="1395" w:type="dxa"/>
            <w:tcBorders>
              <w:top w:val="single" w:color="000000" w:sz="4" w:space="0"/>
              <w:left w:val="single" w:color="000000" w:sz="4" w:space="0"/>
              <w:bottom w:val="single" w:color="000000" w:sz="4" w:space="0"/>
              <w:right w:val="single" w:color="000000" w:sz="4" w:space="0"/>
            </w:tcBorders>
            <w:vAlign w:val="center"/>
          </w:tcPr>
          <w:p w14:paraId="71DF9E5A">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3418A22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A0C3B6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77656CB2">
        <w:tblPrEx>
          <w:tblCellMar>
            <w:top w:w="0" w:type="dxa"/>
            <w:left w:w="108" w:type="dxa"/>
            <w:bottom w:w="0" w:type="dxa"/>
            <w:right w:w="108" w:type="dxa"/>
          </w:tblCellMar>
        </w:tblPrEx>
        <w:trPr>
          <w:trHeight w:val="60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01D9EB9">
            <w:pPr>
              <w:pageBreakBefore w:val="0"/>
              <w:widowControl/>
              <w:kinsoku/>
              <w:wordWrap/>
              <w:overflowPunct/>
              <w:topLinePunct w:val="0"/>
              <w:bidi w:val="0"/>
              <w:ind w:left="0" w:leftChars="0" w:right="0"/>
              <w:jc w:val="left"/>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w:t>
            </w:r>
          </w:p>
        </w:tc>
        <w:tc>
          <w:tcPr>
            <w:tcW w:w="6111" w:type="dxa"/>
            <w:gridSpan w:val="4"/>
            <w:tcBorders>
              <w:top w:val="single" w:color="000000" w:sz="4" w:space="0"/>
              <w:left w:val="single" w:color="000000" w:sz="4" w:space="0"/>
              <w:bottom w:val="single" w:color="000000" w:sz="4" w:space="0"/>
              <w:right w:val="single" w:color="000000" w:sz="4" w:space="0"/>
            </w:tcBorders>
            <w:vAlign w:val="center"/>
          </w:tcPr>
          <w:p w14:paraId="63A82F0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总计</w:t>
            </w:r>
          </w:p>
        </w:tc>
        <w:tc>
          <w:tcPr>
            <w:tcW w:w="1410" w:type="dxa"/>
            <w:tcBorders>
              <w:top w:val="single" w:color="000000" w:sz="4" w:space="0"/>
              <w:left w:val="single" w:color="000000" w:sz="4" w:space="0"/>
              <w:bottom w:val="single" w:color="000000" w:sz="4" w:space="0"/>
              <w:right w:val="single" w:color="000000" w:sz="4" w:space="0"/>
            </w:tcBorders>
            <w:vAlign w:val="center"/>
          </w:tcPr>
          <w:p w14:paraId="2845E55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EC922B6">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2F1B9872">
        <w:tblPrEx>
          <w:tblCellMar>
            <w:top w:w="0" w:type="dxa"/>
            <w:left w:w="108" w:type="dxa"/>
            <w:bottom w:w="0" w:type="dxa"/>
            <w:right w:w="108" w:type="dxa"/>
          </w:tblCellMar>
        </w:tblPrEx>
        <w:trPr>
          <w:trHeight w:val="800" w:hRule="atLeast"/>
        </w:trPr>
        <w:tc>
          <w:tcPr>
            <w:tcW w:w="9797" w:type="dxa"/>
            <w:gridSpan w:val="7"/>
            <w:tcBorders>
              <w:top w:val="single" w:color="000000" w:sz="4" w:space="0"/>
              <w:left w:val="single" w:color="000000" w:sz="4" w:space="0"/>
              <w:bottom w:val="single" w:color="000000" w:sz="4" w:space="0"/>
              <w:right w:val="single" w:color="000000" w:sz="4" w:space="0"/>
            </w:tcBorders>
            <w:vAlign w:val="center"/>
          </w:tcPr>
          <w:p w14:paraId="18BF7DE2">
            <w:pPr>
              <w:pageBreakBefore w:val="0"/>
              <w:widowControl/>
              <w:tabs>
                <w:tab w:val="center" w:pos="4707"/>
                <w:tab w:val="left" w:pos="5397"/>
              </w:tabs>
              <w:kinsoku/>
              <w:wordWrap/>
              <w:overflowPunct/>
              <w:topLinePunct w:val="0"/>
              <w:bidi w:val="0"/>
              <w:ind w:left="0" w:leftChars="0" w:right="0"/>
              <w:jc w:val="left"/>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注释：1、报价含6%增值税发票。</w:t>
            </w:r>
          </w:p>
          <w:p w14:paraId="7374EE36">
            <w:pPr>
              <w:pageBreakBefore w:val="0"/>
              <w:widowControl/>
              <w:numPr>
                <w:ilvl w:val="0"/>
                <w:numId w:val="9"/>
              </w:numPr>
              <w:tabs>
                <w:tab w:val="center" w:pos="4707"/>
                <w:tab w:val="left" w:pos="5397"/>
              </w:tabs>
              <w:kinsoku/>
              <w:wordWrap/>
              <w:overflowPunct/>
              <w:topLinePunct w:val="0"/>
              <w:bidi w:val="0"/>
              <w:ind w:left="0" w:leftChars="0" w:right="0" w:firstLine="843" w:firstLineChars="300"/>
              <w:jc w:val="left"/>
              <w:textAlignment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本次招标实行固定总价承包的报价方式，投标人报价时应考虑合同执行过程中的所有因素及风险（消防系统备件更换除外）</w:t>
            </w:r>
          </w:p>
          <w:p w14:paraId="49039E66">
            <w:pPr>
              <w:pageBreakBefore w:val="0"/>
              <w:widowControl/>
              <w:numPr>
                <w:ilvl w:val="0"/>
                <w:numId w:val="9"/>
              </w:numPr>
              <w:tabs>
                <w:tab w:val="center" w:pos="4707"/>
                <w:tab w:val="left" w:pos="5397"/>
              </w:tabs>
              <w:kinsoku/>
              <w:wordWrap/>
              <w:overflowPunct/>
              <w:topLinePunct w:val="0"/>
              <w:bidi w:val="0"/>
              <w:ind w:left="0" w:leftChars="0" w:right="0" w:firstLine="843" w:firstLineChars="300"/>
              <w:jc w:val="left"/>
              <w:textAlignment w:val="center"/>
              <w:rPr>
                <w:rFonts w:ascii="Calibri" w:hAnsi="Calibri" w:cs="Calibri"/>
                <w:color w:val="000000"/>
                <w:sz w:val="24"/>
              </w:rPr>
            </w:pPr>
            <w:r>
              <w:rPr>
                <w:rFonts w:hint="eastAsia" w:ascii="仿宋" w:hAnsi="仿宋" w:eastAsia="仿宋" w:cs="仿宋"/>
                <w:b/>
                <w:bCs/>
                <w:color w:val="000000"/>
                <w:kern w:val="0"/>
                <w:sz w:val="28"/>
                <w:szCs w:val="28"/>
                <w:lang w:val="en-US" w:eastAsia="zh-CN"/>
              </w:rPr>
              <w:t>其中2、3、4、6项报价参考山东省物价局山东省公安厅 鲁价费发(2000)148号 关于印发《山东省建筑消防设施维修保养收费标准》的通知，按照火灾自动报警系统费用的比例收费</w:t>
            </w:r>
            <w:r>
              <w:rPr>
                <w:rFonts w:hint="eastAsia" w:ascii="仿宋" w:hAnsi="仿宋" w:eastAsia="仿宋" w:cs="仿宋"/>
                <w:b/>
                <w:bCs/>
                <w:color w:val="000000"/>
                <w:kern w:val="0"/>
                <w:sz w:val="28"/>
                <w:szCs w:val="28"/>
              </w:rPr>
              <w:t>。</w:t>
            </w:r>
          </w:p>
        </w:tc>
      </w:tr>
    </w:tbl>
    <w:p w14:paraId="3F415E8F">
      <w:pPr>
        <w:pageBreakBefore w:val="0"/>
        <w:kinsoku/>
        <w:wordWrap/>
        <w:overflowPunct/>
        <w:topLinePunct w:val="0"/>
        <w:bidi w:val="0"/>
        <w:ind w:left="0" w:leftChars="0" w:right="0"/>
      </w:pPr>
    </w:p>
    <w:p w14:paraId="5F3A1828">
      <w:pPr>
        <w:pStyle w:val="16"/>
        <w:pageBreakBefore w:val="0"/>
        <w:kinsoku/>
        <w:wordWrap/>
        <w:overflowPunct/>
        <w:topLinePunct w:val="0"/>
        <w:bidi w:val="0"/>
        <w:ind w:left="0" w:leftChars="0" w:right="0"/>
      </w:pPr>
    </w:p>
    <w:tbl>
      <w:tblPr>
        <w:tblStyle w:val="17"/>
        <w:tblW w:w="9923" w:type="dxa"/>
        <w:tblInd w:w="-459" w:type="dxa"/>
        <w:tblLayout w:type="fixed"/>
        <w:tblCellMar>
          <w:top w:w="0" w:type="dxa"/>
          <w:left w:w="108" w:type="dxa"/>
          <w:bottom w:w="0" w:type="dxa"/>
          <w:right w:w="108" w:type="dxa"/>
        </w:tblCellMar>
      </w:tblPr>
      <w:tblGrid>
        <w:gridCol w:w="709"/>
        <w:gridCol w:w="2977"/>
        <w:gridCol w:w="850"/>
        <w:gridCol w:w="993"/>
        <w:gridCol w:w="1559"/>
        <w:gridCol w:w="1417"/>
        <w:gridCol w:w="1418"/>
      </w:tblGrid>
      <w:tr w14:paraId="1B712FEB">
        <w:tblPrEx>
          <w:tblCellMar>
            <w:top w:w="0" w:type="dxa"/>
            <w:left w:w="108" w:type="dxa"/>
            <w:bottom w:w="0" w:type="dxa"/>
            <w:right w:w="108" w:type="dxa"/>
          </w:tblCellMar>
        </w:tblPrEx>
        <w:trPr>
          <w:trHeight w:val="660" w:hRule="atLeast"/>
        </w:trPr>
        <w:tc>
          <w:tcPr>
            <w:tcW w:w="9923" w:type="dxa"/>
            <w:gridSpan w:val="7"/>
            <w:tcBorders>
              <w:top w:val="single" w:color="000000" w:sz="4" w:space="0"/>
              <w:left w:val="single" w:color="000000" w:sz="4" w:space="0"/>
              <w:bottom w:val="single" w:color="000000" w:sz="4" w:space="0"/>
              <w:right w:val="single" w:color="000000" w:sz="4" w:space="0"/>
            </w:tcBorders>
            <w:vAlign w:val="center"/>
          </w:tcPr>
          <w:p w14:paraId="51DA137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r>
              <w:rPr>
                <w:rFonts w:hint="eastAsia" w:ascii="仿宋" w:hAnsi="仿宋" w:eastAsia="仿宋"/>
                <w:sz w:val="24"/>
                <w:szCs w:val="28"/>
                <w:u w:val="single"/>
                <w:lang w:val="en-US" w:eastAsia="zh-CN"/>
              </w:rPr>
              <w:t>2025年卡车公司</w:t>
            </w:r>
            <w:r>
              <w:rPr>
                <w:rFonts w:hint="eastAsia" w:ascii="仿宋" w:hAnsi="仿宋" w:eastAsia="仿宋"/>
                <w:sz w:val="24"/>
                <w:szCs w:val="28"/>
                <w:u w:val="single"/>
              </w:rPr>
              <w:t>消防维保</w:t>
            </w:r>
            <w:r>
              <w:rPr>
                <w:rFonts w:hint="eastAsia" w:ascii="仿宋" w:hAnsi="仿宋" w:eastAsia="仿宋"/>
                <w:sz w:val="24"/>
                <w:szCs w:val="28"/>
                <w:u w:val="single"/>
                <w:lang w:val="en-US" w:eastAsia="zh-CN"/>
              </w:rPr>
              <w:t>及</w:t>
            </w:r>
            <w:r>
              <w:rPr>
                <w:rFonts w:hint="eastAsia" w:ascii="仿宋" w:hAnsi="仿宋" w:eastAsia="仿宋"/>
                <w:sz w:val="24"/>
                <w:szCs w:val="28"/>
                <w:u w:val="single"/>
              </w:rPr>
              <w:t>值班</w:t>
            </w:r>
            <w:r>
              <w:rPr>
                <w:rFonts w:hint="eastAsia" w:ascii="仿宋" w:hAnsi="仿宋" w:eastAsia="仿宋"/>
                <w:sz w:val="24"/>
                <w:szCs w:val="28"/>
                <w:u w:val="single"/>
                <w:lang w:val="en-US" w:eastAsia="zh-CN"/>
              </w:rPr>
              <w:t>项目（莱芜园区）</w:t>
            </w:r>
          </w:p>
        </w:tc>
      </w:tr>
      <w:tr w14:paraId="52B14DF9">
        <w:tblPrEx>
          <w:tblCellMar>
            <w:top w:w="0" w:type="dxa"/>
            <w:left w:w="108" w:type="dxa"/>
            <w:bottom w:w="0" w:type="dxa"/>
            <w:right w:w="108" w:type="dxa"/>
          </w:tblCellMar>
        </w:tblPrEx>
        <w:trPr>
          <w:trHeight w:val="360" w:hRule="atLeast"/>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6255502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2977" w:type="dxa"/>
            <w:vMerge w:val="restart"/>
            <w:tcBorders>
              <w:top w:val="single" w:color="000000" w:sz="4" w:space="0"/>
              <w:left w:val="single" w:color="000000" w:sz="4" w:space="0"/>
              <w:bottom w:val="single" w:color="000000" w:sz="4" w:space="0"/>
              <w:right w:val="single" w:color="000000" w:sz="4" w:space="0"/>
            </w:tcBorders>
            <w:vAlign w:val="center"/>
          </w:tcPr>
          <w:p w14:paraId="7BDC183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14:paraId="26400B1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78E3B39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数量</w:t>
            </w:r>
          </w:p>
        </w:tc>
        <w:tc>
          <w:tcPr>
            <w:tcW w:w="1559" w:type="dxa"/>
            <w:tcBorders>
              <w:top w:val="single" w:color="000000" w:sz="4" w:space="0"/>
              <w:left w:val="single" w:color="000000" w:sz="4" w:space="0"/>
              <w:bottom w:val="single" w:color="000000" w:sz="4" w:space="0"/>
              <w:right w:val="single" w:color="000000" w:sz="4" w:space="0"/>
            </w:tcBorders>
            <w:vAlign w:val="center"/>
          </w:tcPr>
          <w:p w14:paraId="4A6056B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单价</w:t>
            </w:r>
          </w:p>
        </w:tc>
        <w:tc>
          <w:tcPr>
            <w:tcW w:w="1417" w:type="dxa"/>
            <w:tcBorders>
              <w:top w:val="single" w:color="000000" w:sz="4" w:space="0"/>
              <w:left w:val="single" w:color="000000" w:sz="4" w:space="0"/>
              <w:bottom w:val="single" w:color="000000" w:sz="4" w:space="0"/>
              <w:right w:val="single" w:color="000000" w:sz="4" w:space="0"/>
            </w:tcBorders>
            <w:vAlign w:val="center"/>
          </w:tcPr>
          <w:p w14:paraId="594E6B6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总价</w:t>
            </w:r>
          </w:p>
        </w:tc>
        <w:tc>
          <w:tcPr>
            <w:tcW w:w="1418" w:type="dxa"/>
            <w:tcBorders>
              <w:top w:val="single" w:color="000000" w:sz="4" w:space="0"/>
              <w:left w:val="single" w:color="000000" w:sz="4" w:space="0"/>
              <w:bottom w:val="single" w:color="000000" w:sz="4" w:space="0"/>
              <w:right w:val="single" w:color="000000" w:sz="4" w:space="0"/>
            </w:tcBorders>
            <w:vAlign w:val="center"/>
          </w:tcPr>
          <w:p w14:paraId="0DD0306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总价</w:t>
            </w:r>
          </w:p>
        </w:tc>
      </w:tr>
      <w:tr w14:paraId="1051F5E2">
        <w:tblPrEx>
          <w:tblCellMar>
            <w:top w:w="0" w:type="dxa"/>
            <w:left w:w="108" w:type="dxa"/>
            <w:bottom w:w="0" w:type="dxa"/>
            <w:right w:w="108" w:type="dxa"/>
          </w:tblCellMar>
        </w:tblPrEx>
        <w:trPr>
          <w:trHeight w:val="485"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43102C6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14:paraId="31CE3D3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11C2AFF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17F17C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1813D5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（不含税）</w:t>
            </w:r>
          </w:p>
        </w:tc>
        <w:tc>
          <w:tcPr>
            <w:tcW w:w="1417" w:type="dxa"/>
            <w:tcBorders>
              <w:top w:val="single" w:color="000000" w:sz="4" w:space="0"/>
              <w:left w:val="single" w:color="000000" w:sz="4" w:space="0"/>
              <w:bottom w:val="single" w:color="000000" w:sz="4" w:space="0"/>
              <w:right w:val="single" w:color="000000" w:sz="4" w:space="0"/>
            </w:tcBorders>
            <w:vAlign w:val="center"/>
          </w:tcPr>
          <w:p w14:paraId="1542600B">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（不含税）</w:t>
            </w:r>
          </w:p>
        </w:tc>
        <w:tc>
          <w:tcPr>
            <w:tcW w:w="1418" w:type="dxa"/>
            <w:tcBorders>
              <w:top w:val="single" w:color="000000" w:sz="4" w:space="0"/>
              <w:left w:val="single" w:color="000000" w:sz="4" w:space="0"/>
              <w:bottom w:val="single" w:color="000000" w:sz="4" w:space="0"/>
              <w:right w:val="single" w:color="000000" w:sz="4" w:space="0"/>
            </w:tcBorders>
            <w:vAlign w:val="center"/>
          </w:tcPr>
          <w:p w14:paraId="17F20CB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（含税6%）</w:t>
            </w:r>
          </w:p>
        </w:tc>
      </w:tr>
      <w:tr w14:paraId="3C00715D">
        <w:tblPrEx>
          <w:tblCellMar>
            <w:top w:w="0" w:type="dxa"/>
            <w:left w:w="108" w:type="dxa"/>
            <w:bottom w:w="0" w:type="dxa"/>
            <w:right w:w="108" w:type="dxa"/>
          </w:tblCellMar>
        </w:tblPrEx>
        <w:trPr>
          <w:trHeight w:val="75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8F645A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p>
        </w:tc>
        <w:tc>
          <w:tcPr>
            <w:tcW w:w="2977" w:type="dxa"/>
            <w:tcBorders>
              <w:top w:val="single" w:color="000000" w:sz="4" w:space="0"/>
              <w:left w:val="single" w:color="000000" w:sz="4" w:space="0"/>
              <w:bottom w:val="single" w:color="000000" w:sz="4" w:space="0"/>
              <w:right w:val="single" w:color="000000" w:sz="4" w:space="0"/>
            </w:tcBorders>
            <w:vAlign w:val="center"/>
          </w:tcPr>
          <w:p w14:paraId="2CFCCF2B">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火灾自动报警联动系统</w:t>
            </w:r>
          </w:p>
        </w:tc>
        <w:tc>
          <w:tcPr>
            <w:tcW w:w="850" w:type="dxa"/>
            <w:tcBorders>
              <w:top w:val="single" w:color="000000" w:sz="4" w:space="0"/>
              <w:left w:val="single" w:color="000000" w:sz="4" w:space="0"/>
              <w:bottom w:val="single" w:color="000000" w:sz="4" w:space="0"/>
              <w:right w:val="single" w:color="000000" w:sz="4" w:space="0"/>
            </w:tcBorders>
            <w:vAlign w:val="center"/>
          </w:tcPr>
          <w:p w14:paraId="4810F12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993" w:type="dxa"/>
            <w:tcBorders>
              <w:top w:val="single" w:color="000000" w:sz="4" w:space="0"/>
              <w:left w:val="single" w:color="000000" w:sz="4" w:space="0"/>
              <w:bottom w:val="single" w:color="000000" w:sz="4" w:space="0"/>
              <w:right w:val="single" w:color="000000" w:sz="4" w:space="0"/>
            </w:tcBorders>
            <w:vAlign w:val="center"/>
          </w:tcPr>
          <w:p w14:paraId="0A90A89D">
            <w:pPr>
              <w:pageBreakBefore w:val="0"/>
              <w:widowControl/>
              <w:kinsoku/>
              <w:wordWrap/>
              <w:overflowPunct/>
              <w:topLinePunct w:val="0"/>
              <w:bidi w:val="0"/>
              <w:ind w:left="0" w:leftChars="0" w:right="0"/>
              <w:jc w:val="left"/>
              <w:textAlignment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val="en-US" w:eastAsia="zh-CN"/>
              </w:rPr>
              <w:t>732</w:t>
            </w:r>
          </w:p>
        </w:tc>
        <w:tc>
          <w:tcPr>
            <w:tcW w:w="1559" w:type="dxa"/>
            <w:tcBorders>
              <w:top w:val="single" w:color="000000" w:sz="4" w:space="0"/>
              <w:left w:val="single" w:color="000000" w:sz="4" w:space="0"/>
              <w:bottom w:val="single" w:color="000000" w:sz="4" w:space="0"/>
              <w:right w:val="single" w:color="000000" w:sz="4" w:space="0"/>
            </w:tcBorders>
            <w:vAlign w:val="center"/>
          </w:tcPr>
          <w:p w14:paraId="324F86D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9DF072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B53326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2FDBA9E3">
        <w:tblPrEx>
          <w:tblCellMar>
            <w:top w:w="0" w:type="dxa"/>
            <w:left w:w="108" w:type="dxa"/>
            <w:bottom w:w="0" w:type="dxa"/>
            <w:right w:w="108" w:type="dxa"/>
          </w:tblCellMar>
        </w:tblPrEx>
        <w:trPr>
          <w:trHeight w:val="52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DEB3EC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p>
        </w:tc>
        <w:tc>
          <w:tcPr>
            <w:tcW w:w="2977" w:type="dxa"/>
            <w:tcBorders>
              <w:top w:val="single" w:color="000000" w:sz="4" w:space="0"/>
              <w:left w:val="single" w:color="000000" w:sz="4" w:space="0"/>
              <w:bottom w:val="single" w:color="000000" w:sz="4" w:space="0"/>
              <w:right w:val="single" w:color="000000" w:sz="4" w:space="0"/>
            </w:tcBorders>
            <w:vAlign w:val="center"/>
          </w:tcPr>
          <w:p w14:paraId="60F69C6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自动喷水灭火系统</w:t>
            </w:r>
          </w:p>
        </w:tc>
        <w:tc>
          <w:tcPr>
            <w:tcW w:w="850" w:type="dxa"/>
            <w:tcBorders>
              <w:top w:val="single" w:color="000000" w:sz="4" w:space="0"/>
              <w:left w:val="single" w:color="000000" w:sz="4" w:space="0"/>
              <w:bottom w:val="single" w:color="000000" w:sz="4" w:space="0"/>
              <w:right w:val="single" w:color="000000" w:sz="4" w:space="0"/>
            </w:tcBorders>
            <w:vAlign w:val="center"/>
          </w:tcPr>
          <w:p w14:paraId="3769FBE6">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tc>
        <w:tc>
          <w:tcPr>
            <w:tcW w:w="993" w:type="dxa"/>
            <w:tcBorders>
              <w:top w:val="single" w:color="000000" w:sz="4" w:space="0"/>
              <w:left w:val="single" w:color="000000" w:sz="4" w:space="0"/>
              <w:bottom w:val="single" w:color="000000" w:sz="4" w:space="0"/>
              <w:right w:val="single" w:color="000000" w:sz="4" w:space="0"/>
            </w:tcBorders>
            <w:vAlign w:val="center"/>
          </w:tcPr>
          <w:p w14:paraId="12A2669C">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48BFB3C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8A43F5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DA7B43A">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291F980A">
        <w:tblPrEx>
          <w:tblCellMar>
            <w:top w:w="0" w:type="dxa"/>
            <w:left w:w="108" w:type="dxa"/>
            <w:bottom w:w="0" w:type="dxa"/>
            <w:right w:w="108"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DAEF1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p>
        </w:tc>
        <w:tc>
          <w:tcPr>
            <w:tcW w:w="2977" w:type="dxa"/>
            <w:tcBorders>
              <w:top w:val="single" w:color="000000" w:sz="4" w:space="0"/>
              <w:left w:val="single" w:color="000000" w:sz="4" w:space="0"/>
              <w:bottom w:val="single" w:color="000000" w:sz="4" w:space="0"/>
              <w:right w:val="single" w:color="000000" w:sz="4" w:space="0"/>
            </w:tcBorders>
            <w:vAlign w:val="center"/>
          </w:tcPr>
          <w:p w14:paraId="65964FD8">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防排烟及加压送风系统</w:t>
            </w:r>
          </w:p>
        </w:tc>
        <w:tc>
          <w:tcPr>
            <w:tcW w:w="850" w:type="dxa"/>
            <w:tcBorders>
              <w:top w:val="single" w:color="000000" w:sz="4" w:space="0"/>
              <w:left w:val="single" w:color="000000" w:sz="4" w:space="0"/>
              <w:bottom w:val="single" w:color="000000" w:sz="4" w:space="0"/>
              <w:right w:val="single" w:color="000000" w:sz="4" w:space="0"/>
            </w:tcBorders>
            <w:vAlign w:val="center"/>
          </w:tcPr>
          <w:p w14:paraId="7278148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tc>
        <w:tc>
          <w:tcPr>
            <w:tcW w:w="993" w:type="dxa"/>
            <w:tcBorders>
              <w:top w:val="single" w:color="000000" w:sz="4" w:space="0"/>
              <w:left w:val="single" w:color="000000" w:sz="4" w:space="0"/>
              <w:bottom w:val="single" w:color="000000" w:sz="4" w:space="0"/>
              <w:right w:val="single" w:color="000000" w:sz="4" w:space="0"/>
            </w:tcBorders>
            <w:vAlign w:val="center"/>
          </w:tcPr>
          <w:p w14:paraId="74EE7D8A">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229DBB8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2BB0BC6">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5D750D6">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7CBA4414">
        <w:tblPrEx>
          <w:tblCellMar>
            <w:top w:w="0" w:type="dxa"/>
            <w:left w:w="108" w:type="dxa"/>
            <w:bottom w:w="0" w:type="dxa"/>
            <w:right w:w="108" w:type="dxa"/>
          </w:tblCellMar>
        </w:tblPrEx>
        <w:trPr>
          <w:trHeight w:val="66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D72EC60">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w:t>
            </w:r>
          </w:p>
        </w:tc>
        <w:tc>
          <w:tcPr>
            <w:tcW w:w="2977" w:type="dxa"/>
            <w:tcBorders>
              <w:top w:val="single" w:color="000000" w:sz="4" w:space="0"/>
              <w:left w:val="single" w:color="000000" w:sz="4" w:space="0"/>
              <w:bottom w:val="single" w:color="000000" w:sz="4" w:space="0"/>
              <w:right w:val="single" w:color="000000" w:sz="4" w:space="0"/>
            </w:tcBorders>
            <w:vAlign w:val="center"/>
          </w:tcPr>
          <w:p w14:paraId="6657845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消防给水系统</w:t>
            </w:r>
          </w:p>
        </w:tc>
        <w:tc>
          <w:tcPr>
            <w:tcW w:w="850" w:type="dxa"/>
            <w:tcBorders>
              <w:top w:val="single" w:color="000000" w:sz="4" w:space="0"/>
              <w:left w:val="single" w:color="000000" w:sz="4" w:space="0"/>
              <w:bottom w:val="single" w:color="000000" w:sz="4" w:space="0"/>
              <w:right w:val="single" w:color="000000" w:sz="4" w:space="0"/>
            </w:tcBorders>
            <w:vAlign w:val="center"/>
          </w:tcPr>
          <w:p w14:paraId="1C23961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tc>
        <w:tc>
          <w:tcPr>
            <w:tcW w:w="993" w:type="dxa"/>
            <w:tcBorders>
              <w:top w:val="single" w:color="000000" w:sz="4" w:space="0"/>
              <w:left w:val="single" w:color="000000" w:sz="4" w:space="0"/>
              <w:bottom w:val="single" w:color="000000" w:sz="4" w:space="0"/>
              <w:right w:val="single" w:color="000000" w:sz="4" w:space="0"/>
            </w:tcBorders>
            <w:vAlign w:val="center"/>
          </w:tcPr>
          <w:p w14:paraId="42439A2B">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2CDF80C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85F63F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B13B2F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57F6C1FA">
        <w:tblPrEx>
          <w:tblCellMar>
            <w:top w:w="0" w:type="dxa"/>
            <w:left w:w="108" w:type="dxa"/>
            <w:bottom w:w="0" w:type="dxa"/>
            <w:right w:w="108"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69974E6">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5</w:t>
            </w:r>
          </w:p>
        </w:tc>
        <w:tc>
          <w:tcPr>
            <w:tcW w:w="2977" w:type="dxa"/>
            <w:tcBorders>
              <w:top w:val="single" w:color="000000" w:sz="4" w:space="0"/>
              <w:left w:val="single" w:color="000000" w:sz="4" w:space="0"/>
              <w:bottom w:val="single" w:color="000000" w:sz="4" w:space="0"/>
              <w:right w:val="single" w:color="000000" w:sz="4" w:space="0"/>
            </w:tcBorders>
            <w:vAlign w:val="center"/>
          </w:tcPr>
          <w:p w14:paraId="4783FCA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防火分隔设施</w:t>
            </w:r>
          </w:p>
        </w:tc>
        <w:tc>
          <w:tcPr>
            <w:tcW w:w="850" w:type="dxa"/>
            <w:tcBorders>
              <w:top w:val="single" w:color="000000" w:sz="4" w:space="0"/>
              <w:left w:val="single" w:color="000000" w:sz="4" w:space="0"/>
              <w:bottom w:val="single" w:color="000000" w:sz="4" w:space="0"/>
              <w:right w:val="single" w:color="000000" w:sz="4" w:space="0"/>
            </w:tcBorders>
            <w:vAlign w:val="center"/>
          </w:tcPr>
          <w:p w14:paraId="7238BF7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tc>
        <w:tc>
          <w:tcPr>
            <w:tcW w:w="993" w:type="dxa"/>
            <w:tcBorders>
              <w:top w:val="single" w:color="000000" w:sz="4" w:space="0"/>
              <w:left w:val="single" w:color="000000" w:sz="4" w:space="0"/>
              <w:bottom w:val="single" w:color="000000" w:sz="4" w:space="0"/>
              <w:right w:val="single" w:color="000000" w:sz="4" w:space="0"/>
            </w:tcBorders>
            <w:vAlign w:val="center"/>
          </w:tcPr>
          <w:p w14:paraId="2FB0B9CE">
            <w:pPr>
              <w:pageBreakBefore w:val="0"/>
              <w:widowControl/>
              <w:kinsoku/>
              <w:wordWrap/>
              <w:overflowPunct/>
              <w:topLinePunct w:val="0"/>
              <w:bidi w:val="0"/>
              <w:ind w:left="0" w:leftChars="0" w:right="0"/>
              <w:jc w:val="left"/>
              <w:textAlignment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231</w:t>
            </w:r>
          </w:p>
        </w:tc>
        <w:tc>
          <w:tcPr>
            <w:tcW w:w="1559" w:type="dxa"/>
            <w:tcBorders>
              <w:top w:val="single" w:color="000000" w:sz="4" w:space="0"/>
              <w:left w:val="single" w:color="000000" w:sz="4" w:space="0"/>
              <w:bottom w:val="single" w:color="000000" w:sz="4" w:space="0"/>
              <w:right w:val="single" w:color="000000" w:sz="4" w:space="0"/>
            </w:tcBorders>
            <w:vAlign w:val="center"/>
          </w:tcPr>
          <w:p w14:paraId="20AAD026">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B03B7F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8BE614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5EC0EADB">
        <w:tblPrEx>
          <w:tblCellMar>
            <w:top w:w="0" w:type="dxa"/>
            <w:left w:w="108" w:type="dxa"/>
            <w:bottom w:w="0" w:type="dxa"/>
            <w:right w:w="108" w:type="dxa"/>
          </w:tblCellMar>
        </w:tblPrEx>
        <w:trPr>
          <w:trHeight w:val="76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2DE449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6</w:t>
            </w:r>
          </w:p>
        </w:tc>
        <w:tc>
          <w:tcPr>
            <w:tcW w:w="2977" w:type="dxa"/>
            <w:tcBorders>
              <w:top w:val="single" w:color="000000" w:sz="4" w:space="0"/>
              <w:left w:val="single" w:color="000000" w:sz="4" w:space="0"/>
              <w:bottom w:val="single" w:color="000000" w:sz="4" w:space="0"/>
              <w:right w:val="single" w:color="000000" w:sz="4" w:space="0"/>
            </w:tcBorders>
            <w:vAlign w:val="center"/>
          </w:tcPr>
          <w:p w14:paraId="796190F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EPS应急电源柜及配电设施系统</w:t>
            </w:r>
          </w:p>
        </w:tc>
        <w:tc>
          <w:tcPr>
            <w:tcW w:w="850" w:type="dxa"/>
            <w:tcBorders>
              <w:top w:val="single" w:color="000000" w:sz="4" w:space="0"/>
              <w:left w:val="single" w:color="000000" w:sz="4" w:space="0"/>
              <w:bottom w:val="single" w:color="000000" w:sz="4" w:space="0"/>
              <w:right w:val="single" w:color="000000" w:sz="4" w:space="0"/>
            </w:tcBorders>
            <w:vAlign w:val="center"/>
          </w:tcPr>
          <w:p w14:paraId="2B1ABD3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tc>
        <w:tc>
          <w:tcPr>
            <w:tcW w:w="993" w:type="dxa"/>
            <w:tcBorders>
              <w:top w:val="single" w:color="000000" w:sz="4" w:space="0"/>
              <w:left w:val="single" w:color="000000" w:sz="4" w:space="0"/>
              <w:bottom w:val="single" w:color="000000" w:sz="4" w:space="0"/>
              <w:right w:val="single" w:color="000000" w:sz="4" w:space="0"/>
            </w:tcBorders>
            <w:vAlign w:val="center"/>
          </w:tcPr>
          <w:p w14:paraId="21BE46A9">
            <w:pPr>
              <w:pageBreakBefore w:val="0"/>
              <w:widowControl/>
              <w:kinsoku/>
              <w:wordWrap/>
              <w:overflowPunct/>
              <w:topLinePunct w:val="0"/>
              <w:bidi w:val="0"/>
              <w:ind w:left="0" w:leftChars="0" w:right="0"/>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478EA9D0">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0A603D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DA1B1F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01E38D8E">
        <w:tblPrEx>
          <w:tblCellMar>
            <w:top w:w="0" w:type="dxa"/>
            <w:left w:w="108" w:type="dxa"/>
            <w:bottom w:w="0" w:type="dxa"/>
            <w:right w:w="108" w:type="dxa"/>
          </w:tblCellMar>
        </w:tblPrEx>
        <w:trPr>
          <w:trHeight w:val="57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72CF30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7</w:t>
            </w:r>
          </w:p>
        </w:tc>
        <w:tc>
          <w:tcPr>
            <w:tcW w:w="2977" w:type="dxa"/>
            <w:tcBorders>
              <w:top w:val="single" w:color="000000" w:sz="4" w:space="0"/>
              <w:left w:val="single" w:color="000000" w:sz="4" w:space="0"/>
              <w:bottom w:val="single" w:color="000000" w:sz="4" w:space="0"/>
              <w:right w:val="single" w:color="000000" w:sz="4" w:space="0"/>
            </w:tcBorders>
            <w:vAlign w:val="center"/>
          </w:tcPr>
          <w:p w14:paraId="0D8BEFB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应急照明系统、广播及疏散指示标志系统</w:t>
            </w:r>
          </w:p>
        </w:tc>
        <w:tc>
          <w:tcPr>
            <w:tcW w:w="850" w:type="dxa"/>
            <w:tcBorders>
              <w:top w:val="single" w:color="000000" w:sz="4" w:space="0"/>
              <w:left w:val="single" w:color="000000" w:sz="4" w:space="0"/>
              <w:bottom w:val="single" w:color="000000" w:sz="4" w:space="0"/>
              <w:right w:val="single" w:color="000000" w:sz="4" w:space="0"/>
            </w:tcBorders>
            <w:vAlign w:val="center"/>
          </w:tcPr>
          <w:p w14:paraId="25439F0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tc>
        <w:tc>
          <w:tcPr>
            <w:tcW w:w="993" w:type="dxa"/>
            <w:tcBorders>
              <w:top w:val="single" w:color="000000" w:sz="4" w:space="0"/>
              <w:left w:val="single" w:color="000000" w:sz="4" w:space="0"/>
              <w:bottom w:val="single" w:color="000000" w:sz="4" w:space="0"/>
              <w:right w:val="single" w:color="000000" w:sz="4" w:space="0"/>
            </w:tcBorders>
            <w:vAlign w:val="center"/>
          </w:tcPr>
          <w:p w14:paraId="017687B7">
            <w:pPr>
              <w:pageBreakBefore w:val="0"/>
              <w:widowControl/>
              <w:kinsoku/>
              <w:wordWrap/>
              <w:overflowPunct/>
              <w:topLinePunct w:val="0"/>
              <w:bidi w:val="0"/>
              <w:ind w:left="0" w:leftChars="0" w:right="0"/>
              <w:jc w:val="left"/>
              <w:textAlignment w:val="center"/>
              <w:rPr>
                <w:rFonts w:hint="eastAsia" w:cs="仿宋_GB2312" w:asciiTheme="minorEastAsia" w:hAnsiTheme="minorEastAsia" w:eastAsiaTheme="minorEastAsia"/>
                <w:kern w:val="0"/>
                <w:sz w:val="24"/>
                <w:lang w:eastAsia="zh-CN"/>
              </w:rPr>
            </w:pPr>
            <w:r>
              <w:rPr>
                <w:rFonts w:hint="eastAsia" w:cs="仿宋_GB2312" w:asciiTheme="minorEastAsia" w:hAnsiTheme="minorEastAsia" w:eastAsiaTheme="minorEastAsia"/>
                <w:kern w:val="0"/>
                <w:sz w:val="24"/>
                <w:lang w:val="en-US" w:eastAsia="zh-CN"/>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492C9298">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3D2918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AF9542B">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6747887A">
        <w:tblPrEx>
          <w:tblCellMar>
            <w:top w:w="0" w:type="dxa"/>
            <w:left w:w="108" w:type="dxa"/>
            <w:bottom w:w="0" w:type="dxa"/>
            <w:right w:w="108" w:type="dxa"/>
          </w:tblCellMar>
        </w:tblPrEx>
        <w:trPr>
          <w:trHeight w:val="53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EB3403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8</w:t>
            </w:r>
          </w:p>
        </w:tc>
        <w:tc>
          <w:tcPr>
            <w:tcW w:w="2977" w:type="dxa"/>
            <w:tcBorders>
              <w:top w:val="single" w:color="000000" w:sz="4" w:space="0"/>
              <w:left w:val="single" w:color="000000" w:sz="4" w:space="0"/>
              <w:bottom w:val="single" w:color="000000" w:sz="4" w:space="0"/>
              <w:right w:val="single" w:color="000000" w:sz="4" w:space="0"/>
            </w:tcBorders>
            <w:vAlign w:val="center"/>
          </w:tcPr>
          <w:p w14:paraId="282F917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气体灭火系统</w:t>
            </w:r>
          </w:p>
        </w:tc>
        <w:tc>
          <w:tcPr>
            <w:tcW w:w="850" w:type="dxa"/>
            <w:tcBorders>
              <w:top w:val="single" w:color="000000" w:sz="4" w:space="0"/>
              <w:left w:val="single" w:color="000000" w:sz="4" w:space="0"/>
              <w:bottom w:val="single" w:color="000000" w:sz="4" w:space="0"/>
              <w:right w:val="single" w:color="000000" w:sz="4" w:space="0"/>
            </w:tcBorders>
            <w:vAlign w:val="center"/>
          </w:tcPr>
          <w:p w14:paraId="35EF1A0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m³</w:t>
            </w:r>
          </w:p>
        </w:tc>
        <w:tc>
          <w:tcPr>
            <w:tcW w:w="993" w:type="dxa"/>
            <w:tcBorders>
              <w:top w:val="single" w:color="000000" w:sz="4" w:space="0"/>
              <w:left w:val="single" w:color="000000" w:sz="4" w:space="0"/>
              <w:bottom w:val="single" w:color="000000" w:sz="4" w:space="0"/>
              <w:right w:val="single" w:color="000000" w:sz="4" w:space="0"/>
            </w:tcBorders>
            <w:vAlign w:val="center"/>
          </w:tcPr>
          <w:p w14:paraId="70FC7618">
            <w:pPr>
              <w:pageBreakBefore w:val="0"/>
              <w:widowControl/>
              <w:kinsoku/>
              <w:wordWrap/>
              <w:overflowPunct/>
              <w:topLinePunct w:val="0"/>
              <w:bidi w:val="0"/>
              <w:ind w:left="0" w:leftChars="0" w:right="0"/>
              <w:jc w:val="left"/>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12700</w:t>
            </w:r>
          </w:p>
        </w:tc>
        <w:tc>
          <w:tcPr>
            <w:tcW w:w="1559" w:type="dxa"/>
            <w:tcBorders>
              <w:top w:val="single" w:color="000000" w:sz="4" w:space="0"/>
              <w:left w:val="single" w:color="000000" w:sz="4" w:space="0"/>
              <w:bottom w:val="single" w:color="000000" w:sz="4" w:space="0"/>
              <w:right w:val="single" w:color="000000" w:sz="4" w:space="0"/>
            </w:tcBorders>
            <w:vAlign w:val="center"/>
          </w:tcPr>
          <w:p w14:paraId="5206088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D49443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891320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7FD324B7">
        <w:tblPrEx>
          <w:tblCellMar>
            <w:top w:w="0" w:type="dxa"/>
            <w:left w:w="108" w:type="dxa"/>
            <w:bottom w:w="0" w:type="dxa"/>
            <w:right w:w="108" w:type="dxa"/>
          </w:tblCellMar>
        </w:tblPrEx>
        <w:trPr>
          <w:trHeight w:val="61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4892DDB">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9</w:t>
            </w:r>
          </w:p>
        </w:tc>
        <w:tc>
          <w:tcPr>
            <w:tcW w:w="2977" w:type="dxa"/>
            <w:tcBorders>
              <w:top w:val="single" w:color="000000" w:sz="4" w:space="0"/>
              <w:left w:val="single" w:color="000000" w:sz="4" w:space="0"/>
              <w:bottom w:val="single" w:color="000000" w:sz="4" w:space="0"/>
              <w:right w:val="single" w:color="000000" w:sz="4" w:space="0"/>
            </w:tcBorders>
            <w:vAlign w:val="center"/>
          </w:tcPr>
          <w:p w14:paraId="6909E68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消防中控柜机组、机房专业清洁</w:t>
            </w:r>
          </w:p>
        </w:tc>
        <w:tc>
          <w:tcPr>
            <w:tcW w:w="850" w:type="dxa"/>
            <w:tcBorders>
              <w:top w:val="single" w:color="000000" w:sz="4" w:space="0"/>
              <w:left w:val="single" w:color="000000" w:sz="4" w:space="0"/>
              <w:bottom w:val="single" w:color="000000" w:sz="4" w:space="0"/>
              <w:right w:val="single" w:color="000000" w:sz="4" w:space="0"/>
            </w:tcBorders>
            <w:vAlign w:val="center"/>
          </w:tcPr>
          <w:p w14:paraId="0589285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次</w:t>
            </w:r>
          </w:p>
        </w:tc>
        <w:tc>
          <w:tcPr>
            <w:tcW w:w="993" w:type="dxa"/>
            <w:tcBorders>
              <w:top w:val="single" w:color="000000" w:sz="4" w:space="0"/>
              <w:left w:val="single" w:color="000000" w:sz="4" w:space="0"/>
              <w:bottom w:val="single" w:color="000000" w:sz="4" w:space="0"/>
              <w:right w:val="single" w:color="000000" w:sz="4" w:space="0"/>
            </w:tcBorders>
            <w:vAlign w:val="center"/>
          </w:tcPr>
          <w:p w14:paraId="6AAA6A6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022D11F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2A6B4F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CDCD213">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3E45660D">
        <w:tblPrEx>
          <w:tblCellMar>
            <w:top w:w="0" w:type="dxa"/>
            <w:left w:w="108" w:type="dxa"/>
            <w:bottom w:w="0" w:type="dxa"/>
            <w:right w:w="108"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3209930">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10</w:t>
            </w:r>
          </w:p>
        </w:tc>
        <w:tc>
          <w:tcPr>
            <w:tcW w:w="2977" w:type="dxa"/>
            <w:tcBorders>
              <w:top w:val="single" w:color="000000" w:sz="4" w:space="0"/>
              <w:left w:val="single" w:color="000000" w:sz="4" w:space="0"/>
              <w:bottom w:val="single" w:color="000000" w:sz="4" w:space="0"/>
              <w:right w:val="single" w:color="000000" w:sz="4" w:space="0"/>
            </w:tcBorders>
            <w:vAlign w:val="center"/>
          </w:tcPr>
          <w:p w14:paraId="4F39424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消防设备、设施清洁</w:t>
            </w:r>
          </w:p>
        </w:tc>
        <w:tc>
          <w:tcPr>
            <w:tcW w:w="850" w:type="dxa"/>
            <w:tcBorders>
              <w:top w:val="single" w:color="000000" w:sz="4" w:space="0"/>
              <w:left w:val="single" w:color="000000" w:sz="4" w:space="0"/>
              <w:bottom w:val="single" w:color="000000" w:sz="4" w:space="0"/>
              <w:right w:val="single" w:color="000000" w:sz="4" w:space="0"/>
            </w:tcBorders>
            <w:vAlign w:val="center"/>
          </w:tcPr>
          <w:p w14:paraId="268E516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w:t>
            </w:r>
          </w:p>
        </w:tc>
        <w:tc>
          <w:tcPr>
            <w:tcW w:w="993" w:type="dxa"/>
            <w:tcBorders>
              <w:top w:val="single" w:color="000000" w:sz="4" w:space="0"/>
              <w:left w:val="single" w:color="000000" w:sz="4" w:space="0"/>
              <w:bottom w:val="single" w:color="000000" w:sz="4" w:space="0"/>
              <w:right w:val="single" w:color="000000" w:sz="4" w:space="0"/>
            </w:tcBorders>
            <w:vAlign w:val="center"/>
          </w:tcPr>
          <w:p w14:paraId="444496BD">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1CC973B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254C21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B8A7DA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65FC34A9">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33342A0">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11</w:t>
            </w:r>
          </w:p>
        </w:tc>
        <w:tc>
          <w:tcPr>
            <w:tcW w:w="2977" w:type="dxa"/>
            <w:tcBorders>
              <w:top w:val="single" w:color="000000" w:sz="4" w:space="0"/>
              <w:left w:val="single" w:color="000000" w:sz="4" w:space="0"/>
              <w:bottom w:val="single" w:color="000000" w:sz="4" w:space="0"/>
              <w:right w:val="single" w:color="000000" w:sz="4" w:space="0"/>
            </w:tcBorders>
            <w:vAlign w:val="center"/>
          </w:tcPr>
          <w:p w14:paraId="616DDD8B">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消防巡逻点检人员（中级操作员,含管理人员一名）</w:t>
            </w:r>
          </w:p>
        </w:tc>
        <w:tc>
          <w:tcPr>
            <w:tcW w:w="850" w:type="dxa"/>
            <w:tcBorders>
              <w:top w:val="single" w:color="000000" w:sz="4" w:space="0"/>
              <w:left w:val="single" w:color="000000" w:sz="4" w:space="0"/>
              <w:bottom w:val="single" w:color="000000" w:sz="4" w:space="0"/>
              <w:right w:val="single" w:color="000000" w:sz="4" w:space="0"/>
            </w:tcBorders>
            <w:vAlign w:val="center"/>
          </w:tcPr>
          <w:p w14:paraId="41BABA8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个/年</w:t>
            </w:r>
          </w:p>
        </w:tc>
        <w:tc>
          <w:tcPr>
            <w:tcW w:w="993" w:type="dxa"/>
            <w:tcBorders>
              <w:top w:val="single" w:color="000000" w:sz="4" w:space="0"/>
              <w:left w:val="single" w:color="000000" w:sz="4" w:space="0"/>
              <w:bottom w:val="single" w:color="000000" w:sz="4" w:space="0"/>
              <w:right w:val="single" w:color="000000" w:sz="4" w:space="0"/>
            </w:tcBorders>
            <w:vAlign w:val="center"/>
          </w:tcPr>
          <w:p w14:paraId="5B5B5DA8">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49A2F1B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D44647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4D762E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1B849105">
        <w:tblPrEx>
          <w:tblCellMar>
            <w:top w:w="0" w:type="dxa"/>
            <w:left w:w="108" w:type="dxa"/>
            <w:bottom w:w="0" w:type="dxa"/>
            <w:right w:w="108"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32498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12</w:t>
            </w:r>
          </w:p>
        </w:tc>
        <w:tc>
          <w:tcPr>
            <w:tcW w:w="2977" w:type="dxa"/>
            <w:tcBorders>
              <w:top w:val="single" w:color="000000" w:sz="4" w:space="0"/>
              <w:left w:val="single" w:color="000000" w:sz="4" w:space="0"/>
              <w:bottom w:val="single" w:color="000000" w:sz="4" w:space="0"/>
              <w:right w:val="single" w:color="000000" w:sz="4" w:space="0"/>
            </w:tcBorders>
            <w:vAlign w:val="center"/>
          </w:tcPr>
          <w:p w14:paraId="75FA3E0A">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消防中控室24小时带证值班人员（每班2人）</w:t>
            </w:r>
          </w:p>
        </w:tc>
        <w:tc>
          <w:tcPr>
            <w:tcW w:w="850" w:type="dxa"/>
            <w:tcBorders>
              <w:top w:val="single" w:color="000000" w:sz="4" w:space="0"/>
              <w:left w:val="single" w:color="000000" w:sz="4" w:space="0"/>
              <w:bottom w:val="single" w:color="000000" w:sz="4" w:space="0"/>
              <w:right w:val="single" w:color="000000" w:sz="4" w:space="0"/>
            </w:tcBorders>
            <w:vAlign w:val="center"/>
          </w:tcPr>
          <w:p w14:paraId="65DA94C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个/年</w:t>
            </w:r>
          </w:p>
        </w:tc>
        <w:tc>
          <w:tcPr>
            <w:tcW w:w="993" w:type="dxa"/>
            <w:tcBorders>
              <w:top w:val="single" w:color="000000" w:sz="4" w:space="0"/>
              <w:left w:val="single" w:color="000000" w:sz="4" w:space="0"/>
              <w:bottom w:val="single" w:color="000000" w:sz="4" w:space="0"/>
              <w:right w:val="single" w:color="000000" w:sz="4" w:space="0"/>
            </w:tcBorders>
            <w:vAlign w:val="center"/>
          </w:tcPr>
          <w:p w14:paraId="6490CD8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559" w:type="dxa"/>
            <w:tcBorders>
              <w:top w:val="single" w:color="000000" w:sz="4" w:space="0"/>
              <w:left w:val="single" w:color="000000" w:sz="4" w:space="0"/>
              <w:bottom w:val="single" w:color="000000" w:sz="4" w:space="0"/>
              <w:right w:val="single" w:color="000000" w:sz="4" w:space="0"/>
            </w:tcBorders>
            <w:vAlign w:val="center"/>
          </w:tcPr>
          <w:p w14:paraId="4D941BC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12906E8">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865AA8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5951832F">
        <w:tblPrEx>
          <w:tblCellMar>
            <w:top w:w="0" w:type="dxa"/>
            <w:left w:w="108" w:type="dxa"/>
            <w:bottom w:w="0" w:type="dxa"/>
            <w:right w:w="108" w:type="dxa"/>
          </w:tblCellMar>
        </w:tblPrEx>
        <w:trPr>
          <w:trHeight w:val="55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622924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13</w:t>
            </w:r>
          </w:p>
        </w:tc>
        <w:tc>
          <w:tcPr>
            <w:tcW w:w="2977" w:type="dxa"/>
            <w:tcBorders>
              <w:top w:val="single" w:color="000000" w:sz="4" w:space="0"/>
              <w:left w:val="single" w:color="000000" w:sz="4" w:space="0"/>
              <w:bottom w:val="single" w:color="000000" w:sz="4" w:space="0"/>
              <w:right w:val="single" w:color="000000" w:sz="4" w:space="0"/>
            </w:tcBorders>
            <w:vAlign w:val="center"/>
          </w:tcPr>
          <w:p w14:paraId="0E172E0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消防设施检测服务费用</w:t>
            </w:r>
          </w:p>
        </w:tc>
        <w:tc>
          <w:tcPr>
            <w:tcW w:w="850" w:type="dxa"/>
            <w:tcBorders>
              <w:top w:val="single" w:color="000000" w:sz="4" w:space="0"/>
              <w:left w:val="single" w:color="000000" w:sz="4" w:space="0"/>
              <w:bottom w:val="single" w:color="000000" w:sz="4" w:space="0"/>
              <w:right w:val="single" w:color="000000" w:sz="4" w:space="0"/>
            </w:tcBorders>
            <w:vAlign w:val="center"/>
          </w:tcPr>
          <w:p w14:paraId="36B34C4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平米</w:t>
            </w:r>
          </w:p>
        </w:tc>
        <w:tc>
          <w:tcPr>
            <w:tcW w:w="993" w:type="dxa"/>
            <w:tcBorders>
              <w:top w:val="single" w:color="000000" w:sz="4" w:space="0"/>
              <w:left w:val="single" w:color="000000" w:sz="4" w:space="0"/>
              <w:bottom w:val="single" w:color="000000" w:sz="4" w:space="0"/>
              <w:right w:val="single" w:color="000000" w:sz="4" w:space="0"/>
            </w:tcBorders>
            <w:vAlign w:val="center"/>
          </w:tcPr>
          <w:p w14:paraId="616EF7EA">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500000</w:t>
            </w:r>
          </w:p>
        </w:tc>
        <w:tc>
          <w:tcPr>
            <w:tcW w:w="1559" w:type="dxa"/>
            <w:tcBorders>
              <w:top w:val="single" w:color="000000" w:sz="4" w:space="0"/>
              <w:left w:val="single" w:color="000000" w:sz="4" w:space="0"/>
              <w:bottom w:val="single" w:color="000000" w:sz="4" w:space="0"/>
              <w:right w:val="single" w:color="000000" w:sz="4" w:space="0"/>
            </w:tcBorders>
            <w:vAlign w:val="center"/>
          </w:tcPr>
          <w:p w14:paraId="1BDD942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CB9766B">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4C1BC0C">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4A5C496B">
        <w:tblPrEx>
          <w:tblCellMar>
            <w:top w:w="0" w:type="dxa"/>
            <w:left w:w="108" w:type="dxa"/>
            <w:bottom w:w="0" w:type="dxa"/>
            <w:right w:w="108" w:type="dxa"/>
          </w:tblCellMar>
        </w:tblPrEx>
        <w:trPr>
          <w:trHeight w:val="553"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8E1D871">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2977" w:type="dxa"/>
            <w:tcBorders>
              <w:top w:val="single" w:color="000000" w:sz="4" w:space="0"/>
              <w:left w:val="single" w:color="000000" w:sz="4" w:space="0"/>
              <w:bottom w:val="single" w:color="000000" w:sz="4" w:space="0"/>
              <w:right w:val="single" w:color="000000" w:sz="4" w:space="0"/>
            </w:tcBorders>
            <w:vAlign w:val="center"/>
          </w:tcPr>
          <w:p w14:paraId="76D1E98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电气防火检测服务费用</w:t>
            </w:r>
          </w:p>
        </w:tc>
        <w:tc>
          <w:tcPr>
            <w:tcW w:w="850" w:type="dxa"/>
            <w:tcBorders>
              <w:top w:val="single" w:color="000000" w:sz="4" w:space="0"/>
              <w:left w:val="single" w:color="000000" w:sz="4" w:space="0"/>
              <w:bottom w:val="single" w:color="000000" w:sz="4" w:space="0"/>
              <w:right w:val="single" w:color="000000" w:sz="4" w:space="0"/>
            </w:tcBorders>
            <w:vAlign w:val="center"/>
          </w:tcPr>
          <w:p w14:paraId="70926CE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平米</w:t>
            </w:r>
          </w:p>
        </w:tc>
        <w:tc>
          <w:tcPr>
            <w:tcW w:w="993" w:type="dxa"/>
            <w:tcBorders>
              <w:top w:val="single" w:color="000000" w:sz="4" w:space="0"/>
              <w:left w:val="single" w:color="000000" w:sz="4" w:space="0"/>
              <w:bottom w:val="single" w:color="000000" w:sz="4" w:space="0"/>
              <w:right w:val="single" w:color="000000" w:sz="4" w:space="0"/>
            </w:tcBorders>
            <w:vAlign w:val="center"/>
          </w:tcPr>
          <w:p w14:paraId="0222797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500000</w:t>
            </w:r>
          </w:p>
        </w:tc>
        <w:tc>
          <w:tcPr>
            <w:tcW w:w="1559" w:type="dxa"/>
            <w:tcBorders>
              <w:top w:val="single" w:color="000000" w:sz="4" w:space="0"/>
              <w:left w:val="single" w:color="000000" w:sz="4" w:space="0"/>
              <w:bottom w:val="single" w:color="000000" w:sz="4" w:space="0"/>
              <w:right w:val="single" w:color="000000" w:sz="4" w:space="0"/>
            </w:tcBorders>
            <w:vAlign w:val="center"/>
          </w:tcPr>
          <w:p w14:paraId="4128C109">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A22B13F">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61F3695">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52B650F1">
        <w:tblPrEx>
          <w:tblCellMar>
            <w:top w:w="0" w:type="dxa"/>
            <w:left w:w="108" w:type="dxa"/>
            <w:bottom w:w="0" w:type="dxa"/>
            <w:right w:w="108" w:type="dxa"/>
          </w:tblCellMar>
        </w:tblPrEx>
        <w:trPr>
          <w:trHeight w:val="553"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27C6D1F">
            <w:pPr>
              <w:pageBreakBefore w:val="0"/>
              <w:widowControl/>
              <w:kinsoku/>
              <w:wordWrap/>
              <w:overflowPunct/>
              <w:topLinePunct w:val="0"/>
              <w:bidi w:val="0"/>
              <w:ind w:left="0" w:leftChars="0" w:right="0"/>
              <w:jc w:val="left"/>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15</w:t>
            </w:r>
          </w:p>
        </w:tc>
        <w:tc>
          <w:tcPr>
            <w:tcW w:w="2977" w:type="dxa"/>
            <w:tcBorders>
              <w:top w:val="single" w:color="000000" w:sz="4" w:space="0"/>
              <w:left w:val="single" w:color="000000" w:sz="4" w:space="0"/>
              <w:bottom w:val="single" w:color="000000" w:sz="4" w:space="0"/>
              <w:right w:val="single" w:color="000000" w:sz="4" w:space="0"/>
            </w:tcBorders>
            <w:vAlign w:val="center"/>
          </w:tcPr>
          <w:p w14:paraId="0478899A">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消防安全评估</w:t>
            </w:r>
          </w:p>
        </w:tc>
        <w:tc>
          <w:tcPr>
            <w:tcW w:w="850" w:type="dxa"/>
            <w:tcBorders>
              <w:top w:val="single" w:color="000000" w:sz="4" w:space="0"/>
              <w:left w:val="single" w:color="000000" w:sz="4" w:space="0"/>
              <w:bottom w:val="single" w:color="000000" w:sz="4" w:space="0"/>
              <w:right w:val="single" w:color="000000" w:sz="4" w:space="0"/>
            </w:tcBorders>
            <w:vAlign w:val="center"/>
          </w:tcPr>
          <w:p w14:paraId="56C70577">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平米</w:t>
            </w:r>
          </w:p>
        </w:tc>
        <w:tc>
          <w:tcPr>
            <w:tcW w:w="993" w:type="dxa"/>
            <w:tcBorders>
              <w:top w:val="single" w:color="000000" w:sz="4" w:space="0"/>
              <w:left w:val="single" w:color="000000" w:sz="4" w:space="0"/>
              <w:bottom w:val="single" w:color="000000" w:sz="4" w:space="0"/>
              <w:right w:val="single" w:color="000000" w:sz="4" w:space="0"/>
            </w:tcBorders>
            <w:vAlign w:val="center"/>
          </w:tcPr>
          <w:p w14:paraId="124864CD">
            <w:pPr>
              <w:pageBreakBefore w:val="0"/>
              <w:widowControl/>
              <w:kinsoku/>
              <w:wordWrap/>
              <w:overflowPunct/>
              <w:topLinePunct w:val="0"/>
              <w:bidi w:val="0"/>
              <w:ind w:left="0" w:leftChars="0" w:right="0"/>
              <w:jc w:val="left"/>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500000</w:t>
            </w:r>
          </w:p>
        </w:tc>
        <w:tc>
          <w:tcPr>
            <w:tcW w:w="1559" w:type="dxa"/>
            <w:tcBorders>
              <w:top w:val="single" w:color="000000" w:sz="4" w:space="0"/>
              <w:left w:val="single" w:color="000000" w:sz="4" w:space="0"/>
              <w:bottom w:val="single" w:color="000000" w:sz="4" w:space="0"/>
              <w:right w:val="single" w:color="000000" w:sz="4" w:space="0"/>
            </w:tcBorders>
            <w:vAlign w:val="center"/>
          </w:tcPr>
          <w:p w14:paraId="1BF1210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266A4BE">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7CBC477">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7F5140E8">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96B9BE4">
            <w:pPr>
              <w:pageBreakBefore w:val="0"/>
              <w:widowControl/>
              <w:kinsoku/>
              <w:wordWrap/>
              <w:overflowPunct/>
              <w:topLinePunct w:val="0"/>
              <w:bidi w:val="0"/>
              <w:ind w:left="0" w:leftChars="0" w:right="0"/>
              <w:jc w:val="left"/>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val="en-US" w:eastAsia="zh-CN"/>
              </w:rPr>
              <w:t>6</w:t>
            </w:r>
          </w:p>
        </w:tc>
        <w:tc>
          <w:tcPr>
            <w:tcW w:w="6379" w:type="dxa"/>
            <w:gridSpan w:val="4"/>
            <w:tcBorders>
              <w:top w:val="single" w:color="000000" w:sz="4" w:space="0"/>
              <w:left w:val="single" w:color="000000" w:sz="4" w:space="0"/>
              <w:bottom w:val="single" w:color="000000" w:sz="4" w:space="0"/>
              <w:right w:val="single" w:color="000000" w:sz="4" w:space="0"/>
            </w:tcBorders>
            <w:vAlign w:val="center"/>
          </w:tcPr>
          <w:p w14:paraId="3B4BA172">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总计</w:t>
            </w:r>
          </w:p>
        </w:tc>
        <w:tc>
          <w:tcPr>
            <w:tcW w:w="1417" w:type="dxa"/>
            <w:tcBorders>
              <w:top w:val="single" w:color="000000" w:sz="4" w:space="0"/>
              <w:left w:val="single" w:color="000000" w:sz="4" w:space="0"/>
              <w:bottom w:val="single" w:color="000000" w:sz="4" w:space="0"/>
              <w:right w:val="single" w:color="000000" w:sz="4" w:space="0"/>
            </w:tcBorders>
            <w:vAlign w:val="center"/>
          </w:tcPr>
          <w:p w14:paraId="40F8A218">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46FDF44">
            <w:pPr>
              <w:pageBreakBefore w:val="0"/>
              <w:widowControl/>
              <w:kinsoku/>
              <w:wordWrap/>
              <w:overflowPunct/>
              <w:topLinePunct w:val="0"/>
              <w:bidi w:val="0"/>
              <w:ind w:left="0" w:leftChars="0" w:right="0"/>
              <w:jc w:val="left"/>
              <w:textAlignment w:val="center"/>
              <w:rPr>
                <w:rFonts w:ascii="仿宋_GB2312" w:hAnsi="仿宋_GB2312" w:eastAsia="仿宋_GB2312" w:cs="仿宋_GB2312"/>
                <w:color w:val="000000"/>
                <w:kern w:val="0"/>
                <w:sz w:val="24"/>
              </w:rPr>
            </w:pPr>
          </w:p>
        </w:tc>
      </w:tr>
      <w:tr w14:paraId="7602C24C">
        <w:tblPrEx>
          <w:tblCellMar>
            <w:top w:w="0" w:type="dxa"/>
            <w:left w:w="108" w:type="dxa"/>
            <w:bottom w:w="0" w:type="dxa"/>
            <w:right w:w="108" w:type="dxa"/>
          </w:tblCellMar>
        </w:tblPrEx>
        <w:trPr>
          <w:trHeight w:val="800" w:hRule="atLeast"/>
        </w:trPr>
        <w:tc>
          <w:tcPr>
            <w:tcW w:w="9923" w:type="dxa"/>
            <w:gridSpan w:val="7"/>
            <w:tcBorders>
              <w:top w:val="single" w:color="000000" w:sz="4" w:space="0"/>
              <w:left w:val="single" w:color="000000" w:sz="4" w:space="0"/>
              <w:bottom w:val="single" w:color="000000" w:sz="4" w:space="0"/>
              <w:right w:val="single" w:color="000000" w:sz="4" w:space="0"/>
            </w:tcBorders>
            <w:vAlign w:val="center"/>
          </w:tcPr>
          <w:p w14:paraId="33B47BE4">
            <w:pPr>
              <w:pageBreakBefore w:val="0"/>
              <w:widowControl/>
              <w:tabs>
                <w:tab w:val="center" w:pos="4707"/>
                <w:tab w:val="left" w:pos="5397"/>
              </w:tabs>
              <w:kinsoku/>
              <w:wordWrap/>
              <w:overflowPunct/>
              <w:topLinePunct w:val="0"/>
              <w:bidi w:val="0"/>
              <w:ind w:left="0" w:leftChars="0" w:right="0"/>
              <w:jc w:val="left"/>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注释：1、报价含6%增值税发票。</w:t>
            </w:r>
          </w:p>
          <w:p w14:paraId="1A07DD35">
            <w:pPr>
              <w:pageBreakBefore w:val="0"/>
              <w:widowControl/>
              <w:numPr>
                <w:ilvl w:val="0"/>
                <w:numId w:val="10"/>
              </w:numPr>
              <w:tabs>
                <w:tab w:val="center" w:pos="4707"/>
                <w:tab w:val="left" w:pos="5397"/>
              </w:tabs>
              <w:kinsoku/>
              <w:wordWrap/>
              <w:overflowPunct/>
              <w:topLinePunct w:val="0"/>
              <w:bidi w:val="0"/>
              <w:ind w:left="0" w:leftChars="0" w:right="0" w:firstLine="843" w:firstLineChars="300"/>
              <w:jc w:val="left"/>
              <w:textAlignment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本次招标实行固定总价承包的报价方式，投标人报价时应考虑合同执行过程中的所有因素及风险（消防系统备件更换除外）。</w:t>
            </w:r>
          </w:p>
          <w:p w14:paraId="7B338339">
            <w:pPr>
              <w:pStyle w:val="16"/>
              <w:numPr>
                <w:ilvl w:val="0"/>
                <w:numId w:val="10"/>
              </w:numPr>
            </w:pPr>
            <w:r>
              <w:rPr>
                <w:rFonts w:hint="eastAsia" w:ascii="仿宋" w:hAnsi="仿宋" w:eastAsia="仿宋" w:cs="仿宋"/>
                <w:b/>
                <w:bCs/>
                <w:color w:val="000000"/>
                <w:kern w:val="0"/>
                <w:sz w:val="28"/>
                <w:szCs w:val="28"/>
                <w:lang w:val="en-US" w:eastAsia="zh-CN"/>
              </w:rPr>
              <w:t>其中2、3、4、7项报价参考山东省物价局山东省公安厅 鲁价费发(2000)148号 关于印发《山东省建筑消防设施维修保养收费标准》的通知，按照火灾自动报警系统费用的比例收费</w:t>
            </w:r>
            <w:r>
              <w:rPr>
                <w:rFonts w:hint="eastAsia" w:ascii="仿宋" w:hAnsi="仿宋" w:eastAsia="仿宋" w:cs="仿宋"/>
                <w:b/>
                <w:bCs/>
                <w:color w:val="000000"/>
                <w:kern w:val="0"/>
                <w:sz w:val="28"/>
                <w:szCs w:val="28"/>
              </w:rPr>
              <w:t>。</w:t>
            </w:r>
          </w:p>
        </w:tc>
      </w:tr>
    </w:tbl>
    <w:p w14:paraId="0B163A3D">
      <w:r>
        <w:br w:type="page"/>
      </w:r>
    </w:p>
    <w:p w14:paraId="6A5D37D3">
      <w:pPr>
        <w:pageBreakBefore w:val="0"/>
        <w:kinsoku/>
        <w:wordWrap/>
        <w:overflowPunct/>
        <w:topLinePunct w:val="0"/>
        <w:bidi w:val="0"/>
        <w:ind w:left="0" w:leftChars="0" w:right="0"/>
        <w:rPr>
          <w:rFonts w:hint="eastAsia" w:eastAsia="宋体"/>
          <w:b/>
          <w:bCs/>
          <w:sz w:val="28"/>
          <w:lang w:eastAsia="zh-CN"/>
        </w:rPr>
      </w:pPr>
      <w:r>
        <w:rPr>
          <w:rStyle w:val="23"/>
          <w:rFonts w:hint="eastAsia" w:ascii="宋体" w:hAnsi="宋体" w:eastAsia="宋体" w:cs="宋体"/>
          <w:sz w:val="24"/>
          <w:szCs w:val="28"/>
        </w:rPr>
        <w:t>附件四</w:t>
      </w:r>
    </w:p>
    <w:p w14:paraId="708E040B">
      <w:pPr>
        <w:pageBreakBefore w:val="0"/>
        <w:kinsoku/>
        <w:wordWrap/>
        <w:overflowPunct/>
        <w:topLinePunct w:val="0"/>
        <w:bidi w:val="0"/>
        <w:ind w:left="0" w:leftChars="0" w:right="0"/>
        <w:jc w:val="center"/>
        <w:rPr>
          <w:rFonts w:eastAsia="黑体"/>
          <w:b/>
          <w:bCs/>
          <w:sz w:val="28"/>
        </w:rPr>
      </w:pPr>
      <w:r>
        <w:rPr>
          <w:rFonts w:hint="eastAsia" w:eastAsia="黑体"/>
          <w:b/>
          <w:bCs/>
          <w:sz w:val="28"/>
          <w:lang w:val="en-US" w:eastAsia="zh-CN"/>
        </w:rPr>
        <w:t>项目</w:t>
      </w:r>
      <w:r>
        <w:rPr>
          <w:rFonts w:hint="eastAsia" w:eastAsia="黑体"/>
          <w:b/>
          <w:bCs/>
          <w:sz w:val="28"/>
        </w:rPr>
        <w:t>报名表</w:t>
      </w:r>
    </w:p>
    <w:p w14:paraId="0CD7F7F7">
      <w:pPr>
        <w:pageBreakBefore w:val="0"/>
        <w:kinsoku/>
        <w:wordWrap/>
        <w:overflowPunct/>
        <w:topLinePunct w:val="0"/>
        <w:bidi w:val="0"/>
        <w:ind w:left="0" w:leftChars="0" w:right="0" w:firstLine="480" w:firstLineChars="200"/>
        <w:rPr>
          <w:sz w:val="24"/>
        </w:rPr>
      </w:pPr>
      <w:r>
        <w:rPr>
          <w:rFonts w:hint="eastAsia"/>
          <w:sz w:val="24"/>
        </w:rPr>
        <w:t>公章：</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2556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vAlign w:val="center"/>
          </w:tcPr>
          <w:p w14:paraId="6230687B">
            <w:pPr>
              <w:pageBreakBefore w:val="0"/>
              <w:kinsoku/>
              <w:wordWrap/>
              <w:overflowPunct/>
              <w:topLinePunct w:val="0"/>
              <w:bidi w:val="0"/>
              <w:ind w:left="0" w:leftChars="0" w:right="0"/>
              <w:jc w:val="center"/>
              <w:rPr>
                <w:sz w:val="24"/>
              </w:rPr>
            </w:pPr>
            <w:r>
              <w:rPr>
                <w:rFonts w:hint="eastAsia"/>
                <w:sz w:val="24"/>
              </w:rPr>
              <w:t>项目名称</w:t>
            </w:r>
          </w:p>
        </w:tc>
        <w:tc>
          <w:tcPr>
            <w:tcW w:w="7123" w:type="dxa"/>
            <w:gridSpan w:val="3"/>
            <w:vAlign w:val="center"/>
          </w:tcPr>
          <w:p w14:paraId="446D5C7D">
            <w:pPr>
              <w:pageBreakBefore w:val="0"/>
              <w:kinsoku/>
              <w:wordWrap/>
              <w:overflowPunct/>
              <w:topLinePunct w:val="0"/>
              <w:bidi w:val="0"/>
              <w:ind w:left="0" w:leftChars="0" w:right="0"/>
              <w:jc w:val="center"/>
              <w:rPr>
                <w:u w:val="none"/>
              </w:rPr>
            </w:pPr>
            <w:r>
              <w:rPr>
                <w:rFonts w:hint="eastAsia" w:ascii="仿宋" w:hAnsi="仿宋" w:eastAsia="仿宋"/>
                <w:sz w:val="24"/>
                <w:szCs w:val="28"/>
                <w:u w:val="none"/>
                <w:lang w:val="en-US" w:eastAsia="zh-CN"/>
              </w:rPr>
              <w:t>2025年卡车公司</w:t>
            </w:r>
            <w:r>
              <w:rPr>
                <w:rFonts w:hint="eastAsia" w:ascii="仿宋" w:hAnsi="仿宋" w:eastAsia="仿宋"/>
                <w:sz w:val="24"/>
                <w:szCs w:val="28"/>
                <w:u w:val="none"/>
              </w:rPr>
              <w:t>消防维保</w:t>
            </w:r>
            <w:r>
              <w:rPr>
                <w:rFonts w:hint="eastAsia" w:ascii="仿宋" w:hAnsi="仿宋" w:eastAsia="仿宋"/>
                <w:sz w:val="24"/>
                <w:szCs w:val="28"/>
                <w:u w:val="none"/>
                <w:lang w:val="en-US" w:eastAsia="zh-CN"/>
              </w:rPr>
              <w:t>及</w:t>
            </w:r>
            <w:r>
              <w:rPr>
                <w:rFonts w:hint="eastAsia" w:ascii="仿宋" w:hAnsi="仿宋" w:eastAsia="仿宋"/>
                <w:sz w:val="24"/>
                <w:szCs w:val="28"/>
                <w:u w:val="none"/>
              </w:rPr>
              <w:t>值班</w:t>
            </w:r>
            <w:r>
              <w:rPr>
                <w:rFonts w:hint="eastAsia" w:ascii="仿宋" w:hAnsi="仿宋" w:eastAsia="仿宋"/>
                <w:sz w:val="24"/>
                <w:szCs w:val="28"/>
                <w:u w:val="none"/>
                <w:lang w:val="en-US" w:eastAsia="zh-CN"/>
              </w:rPr>
              <w:t>项目</w:t>
            </w:r>
          </w:p>
        </w:tc>
      </w:tr>
      <w:tr w14:paraId="739B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801" w:type="dxa"/>
            <w:vAlign w:val="center"/>
          </w:tcPr>
          <w:p w14:paraId="714D27E7">
            <w:pPr>
              <w:pageBreakBefore w:val="0"/>
              <w:kinsoku/>
              <w:wordWrap/>
              <w:overflowPunct/>
              <w:topLinePunct w:val="0"/>
              <w:bidi w:val="0"/>
              <w:ind w:left="0" w:leftChars="0" w:right="0" w:firstLine="240" w:firstLineChars="100"/>
              <w:rPr>
                <w:sz w:val="24"/>
              </w:rPr>
            </w:pPr>
            <w:r>
              <w:rPr>
                <w:rFonts w:hint="eastAsia"/>
                <w:sz w:val="24"/>
              </w:rPr>
              <w:t>投标单位</w:t>
            </w:r>
          </w:p>
          <w:p w14:paraId="46A610BB">
            <w:pPr>
              <w:pageBreakBefore w:val="0"/>
              <w:kinsoku/>
              <w:wordWrap/>
              <w:overflowPunct/>
              <w:topLinePunct w:val="0"/>
              <w:bidi w:val="0"/>
              <w:ind w:left="0" w:leftChars="0" w:right="0" w:firstLine="240" w:firstLineChars="100"/>
              <w:rPr>
                <w:sz w:val="24"/>
              </w:rPr>
            </w:pPr>
            <w:r>
              <w:rPr>
                <w:rFonts w:hint="eastAsia"/>
                <w:sz w:val="24"/>
              </w:rPr>
              <w:t>（全称）</w:t>
            </w:r>
          </w:p>
        </w:tc>
        <w:tc>
          <w:tcPr>
            <w:tcW w:w="7123" w:type="dxa"/>
            <w:gridSpan w:val="3"/>
            <w:vAlign w:val="center"/>
          </w:tcPr>
          <w:p w14:paraId="0C0DAEEE">
            <w:pPr>
              <w:pageBreakBefore w:val="0"/>
              <w:kinsoku/>
              <w:wordWrap/>
              <w:overflowPunct/>
              <w:topLinePunct w:val="0"/>
              <w:bidi w:val="0"/>
              <w:ind w:left="0" w:leftChars="0" w:right="0"/>
              <w:jc w:val="center"/>
              <w:rPr>
                <w:sz w:val="24"/>
              </w:rPr>
            </w:pPr>
          </w:p>
        </w:tc>
      </w:tr>
      <w:tr w14:paraId="4492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801" w:type="dxa"/>
            <w:vAlign w:val="center"/>
          </w:tcPr>
          <w:p w14:paraId="5870DC90">
            <w:pPr>
              <w:pageBreakBefore w:val="0"/>
              <w:kinsoku/>
              <w:wordWrap/>
              <w:overflowPunct/>
              <w:topLinePunct w:val="0"/>
              <w:bidi w:val="0"/>
              <w:ind w:left="0" w:leftChars="0" w:right="0"/>
              <w:jc w:val="center"/>
              <w:rPr>
                <w:sz w:val="24"/>
              </w:rPr>
            </w:pPr>
            <w:r>
              <w:rPr>
                <w:rFonts w:hint="eastAsia"/>
                <w:sz w:val="24"/>
              </w:rPr>
              <w:t>项目负责人</w:t>
            </w:r>
          </w:p>
        </w:tc>
        <w:tc>
          <w:tcPr>
            <w:tcW w:w="2526" w:type="dxa"/>
            <w:vAlign w:val="center"/>
          </w:tcPr>
          <w:p w14:paraId="5B4DF69C">
            <w:pPr>
              <w:pageBreakBefore w:val="0"/>
              <w:kinsoku/>
              <w:wordWrap/>
              <w:overflowPunct/>
              <w:topLinePunct w:val="0"/>
              <w:bidi w:val="0"/>
              <w:ind w:left="0" w:leftChars="0" w:right="0"/>
              <w:jc w:val="center"/>
              <w:rPr>
                <w:sz w:val="24"/>
              </w:rPr>
            </w:pPr>
          </w:p>
        </w:tc>
        <w:tc>
          <w:tcPr>
            <w:tcW w:w="2272" w:type="dxa"/>
            <w:vAlign w:val="center"/>
          </w:tcPr>
          <w:p w14:paraId="0035ED2C">
            <w:pPr>
              <w:pageBreakBefore w:val="0"/>
              <w:kinsoku/>
              <w:wordWrap/>
              <w:overflowPunct/>
              <w:topLinePunct w:val="0"/>
              <w:bidi w:val="0"/>
              <w:ind w:left="0" w:leftChars="0" w:right="0"/>
              <w:jc w:val="center"/>
              <w:rPr>
                <w:sz w:val="24"/>
              </w:rPr>
            </w:pPr>
            <w:r>
              <w:rPr>
                <w:rFonts w:hint="eastAsia"/>
                <w:sz w:val="24"/>
              </w:rPr>
              <w:t>联系电话</w:t>
            </w:r>
          </w:p>
        </w:tc>
        <w:tc>
          <w:tcPr>
            <w:tcW w:w="2325" w:type="dxa"/>
            <w:vAlign w:val="center"/>
          </w:tcPr>
          <w:p w14:paraId="7A558EA6">
            <w:pPr>
              <w:pageBreakBefore w:val="0"/>
              <w:kinsoku/>
              <w:wordWrap/>
              <w:overflowPunct/>
              <w:topLinePunct w:val="0"/>
              <w:bidi w:val="0"/>
              <w:ind w:left="0" w:leftChars="0" w:right="0"/>
              <w:jc w:val="center"/>
              <w:rPr>
                <w:sz w:val="24"/>
              </w:rPr>
            </w:pPr>
          </w:p>
        </w:tc>
      </w:tr>
      <w:tr w14:paraId="095E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801" w:type="dxa"/>
            <w:vAlign w:val="center"/>
          </w:tcPr>
          <w:p w14:paraId="43B29E00">
            <w:pPr>
              <w:pageBreakBefore w:val="0"/>
              <w:kinsoku/>
              <w:wordWrap/>
              <w:overflowPunct/>
              <w:topLinePunct w:val="0"/>
              <w:bidi w:val="0"/>
              <w:ind w:left="0" w:leftChars="0" w:right="0"/>
              <w:jc w:val="center"/>
              <w:rPr>
                <w:sz w:val="24"/>
              </w:rPr>
            </w:pPr>
            <w:r>
              <w:rPr>
                <w:rFonts w:hint="eastAsia"/>
                <w:sz w:val="24"/>
              </w:rPr>
              <w:t>公司电话</w:t>
            </w:r>
          </w:p>
        </w:tc>
        <w:tc>
          <w:tcPr>
            <w:tcW w:w="2526" w:type="dxa"/>
            <w:vAlign w:val="center"/>
          </w:tcPr>
          <w:p w14:paraId="5E4CBFD6">
            <w:pPr>
              <w:pageBreakBefore w:val="0"/>
              <w:kinsoku/>
              <w:wordWrap/>
              <w:overflowPunct/>
              <w:topLinePunct w:val="0"/>
              <w:bidi w:val="0"/>
              <w:ind w:left="0" w:leftChars="0" w:right="0"/>
              <w:jc w:val="center"/>
              <w:rPr>
                <w:sz w:val="24"/>
              </w:rPr>
            </w:pPr>
          </w:p>
        </w:tc>
        <w:tc>
          <w:tcPr>
            <w:tcW w:w="2272" w:type="dxa"/>
            <w:vAlign w:val="center"/>
          </w:tcPr>
          <w:p w14:paraId="3A1AA162">
            <w:pPr>
              <w:pageBreakBefore w:val="0"/>
              <w:kinsoku/>
              <w:wordWrap/>
              <w:overflowPunct/>
              <w:topLinePunct w:val="0"/>
              <w:bidi w:val="0"/>
              <w:ind w:left="0" w:leftChars="0" w:right="0"/>
              <w:jc w:val="center"/>
              <w:rPr>
                <w:sz w:val="24"/>
              </w:rPr>
            </w:pPr>
            <w:r>
              <w:rPr>
                <w:rFonts w:hint="eastAsia"/>
                <w:sz w:val="24"/>
              </w:rPr>
              <w:t>传真</w:t>
            </w:r>
          </w:p>
        </w:tc>
        <w:tc>
          <w:tcPr>
            <w:tcW w:w="2325" w:type="dxa"/>
            <w:vAlign w:val="center"/>
          </w:tcPr>
          <w:p w14:paraId="4282831B">
            <w:pPr>
              <w:pageBreakBefore w:val="0"/>
              <w:kinsoku/>
              <w:wordWrap/>
              <w:overflowPunct/>
              <w:topLinePunct w:val="0"/>
              <w:bidi w:val="0"/>
              <w:ind w:left="0" w:leftChars="0" w:right="0"/>
              <w:jc w:val="center"/>
              <w:rPr>
                <w:sz w:val="24"/>
              </w:rPr>
            </w:pPr>
          </w:p>
        </w:tc>
      </w:tr>
      <w:tr w14:paraId="3E15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801" w:type="dxa"/>
            <w:vAlign w:val="center"/>
          </w:tcPr>
          <w:p w14:paraId="257C47A6">
            <w:pPr>
              <w:pageBreakBefore w:val="0"/>
              <w:kinsoku/>
              <w:wordWrap/>
              <w:overflowPunct/>
              <w:topLinePunct w:val="0"/>
              <w:bidi w:val="0"/>
              <w:ind w:left="0" w:leftChars="0" w:right="0"/>
              <w:jc w:val="center"/>
              <w:rPr>
                <w:sz w:val="24"/>
              </w:rPr>
            </w:pPr>
            <w:r>
              <w:rPr>
                <w:rFonts w:hint="eastAsia"/>
                <w:sz w:val="24"/>
              </w:rPr>
              <w:t>E-mail</w:t>
            </w:r>
          </w:p>
        </w:tc>
        <w:tc>
          <w:tcPr>
            <w:tcW w:w="7123" w:type="dxa"/>
            <w:gridSpan w:val="3"/>
            <w:vAlign w:val="center"/>
          </w:tcPr>
          <w:p w14:paraId="2D2F095F">
            <w:pPr>
              <w:pageBreakBefore w:val="0"/>
              <w:kinsoku/>
              <w:wordWrap/>
              <w:overflowPunct/>
              <w:topLinePunct w:val="0"/>
              <w:bidi w:val="0"/>
              <w:ind w:left="0" w:leftChars="0" w:right="0"/>
              <w:jc w:val="center"/>
              <w:rPr>
                <w:sz w:val="24"/>
              </w:rPr>
            </w:pPr>
          </w:p>
        </w:tc>
      </w:tr>
      <w:tr w14:paraId="15EA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801" w:type="dxa"/>
            <w:vAlign w:val="center"/>
          </w:tcPr>
          <w:p w14:paraId="127530C3">
            <w:pPr>
              <w:pageBreakBefore w:val="0"/>
              <w:kinsoku/>
              <w:wordWrap/>
              <w:overflowPunct/>
              <w:topLinePunct w:val="0"/>
              <w:bidi w:val="0"/>
              <w:ind w:left="0" w:leftChars="0" w:right="0"/>
              <w:jc w:val="center"/>
              <w:rPr>
                <w:sz w:val="24"/>
              </w:rPr>
            </w:pPr>
            <w:r>
              <w:rPr>
                <w:rFonts w:hint="eastAsia"/>
                <w:sz w:val="24"/>
              </w:rPr>
              <w:t>报名时间</w:t>
            </w:r>
          </w:p>
        </w:tc>
        <w:tc>
          <w:tcPr>
            <w:tcW w:w="7123" w:type="dxa"/>
            <w:gridSpan w:val="3"/>
            <w:vAlign w:val="center"/>
          </w:tcPr>
          <w:p w14:paraId="1A6E7DCC">
            <w:pPr>
              <w:pageBreakBefore w:val="0"/>
              <w:kinsoku/>
              <w:wordWrap/>
              <w:overflowPunct/>
              <w:topLinePunct w:val="0"/>
              <w:bidi w:val="0"/>
              <w:ind w:left="0" w:leftChars="0" w:right="0"/>
              <w:jc w:val="center"/>
              <w:rPr>
                <w:sz w:val="24"/>
              </w:rPr>
            </w:pPr>
            <w:r>
              <w:rPr>
                <w:rFonts w:hint="eastAsia"/>
                <w:sz w:val="24"/>
              </w:rPr>
              <w:t>年月日</w:t>
            </w:r>
          </w:p>
        </w:tc>
      </w:tr>
    </w:tbl>
    <w:p w14:paraId="79CAAA4B">
      <w:pPr>
        <w:pageBreakBefore w:val="0"/>
        <w:kinsoku/>
        <w:wordWrap/>
        <w:overflowPunct/>
        <w:topLinePunct w:val="0"/>
        <w:bidi w:val="0"/>
        <w:ind w:left="0" w:leftChars="0" w:right="0"/>
        <w:rPr>
          <w:rFonts w:ascii="宋体" w:hAnsi="宋体" w:cs="宋体"/>
          <w:sz w:val="24"/>
        </w:rPr>
      </w:pPr>
    </w:p>
    <w:p w14:paraId="24B6EAB2">
      <w:pPr>
        <w:pStyle w:val="16"/>
        <w:pageBreakBefore w:val="0"/>
        <w:kinsoku/>
        <w:wordWrap/>
        <w:overflowPunct/>
        <w:topLinePunct w:val="0"/>
        <w:bidi w:val="0"/>
        <w:ind w:left="0" w:leftChars="0" w:right="0" w:firstLine="440"/>
      </w:pPr>
    </w:p>
    <w:p w14:paraId="21FF6810">
      <w:pPr>
        <w:pStyle w:val="16"/>
        <w:pageBreakBefore w:val="0"/>
        <w:kinsoku/>
        <w:wordWrap/>
        <w:overflowPunct/>
        <w:topLinePunct w:val="0"/>
        <w:bidi w:val="0"/>
        <w:ind w:left="0" w:leftChars="0" w:right="0" w:firstLine="0" w:firstLineChars="0"/>
        <w:rPr>
          <w:rFonts w:ascii="仿宋" w:hAnsi="仿宋" w:eastAsia="仿宋"/>
        </w:rPr>
      </w:pPr>
    </w:p>
    <w:p w14:paraId="138D9850">
      <w:pPr>
        <w:pStyle w:val="16"/>
        <w:pageBreakBefore w:val="0"/>
        <w:kinsoku/>
        <w:wordWrap/>
        <w:overflowPunct/>
        <w:topLinePunct w:val="0"/>
        <w:bidi w:val="0"/>
        <w:ind w:left="0" w:leftChars="0" w:right="0" w:firstLine="0" w:firstLineChars="0"/>
        <w:rPr>
          <w:rFonts w:ascii="仿宋" w:hAnsi="仿宋" w:eastAsia="仿宋"/>
        </w:rPr>
      </w:pPr>
    </w:p>
    <w:p w14:paraId="284517F1">
      <w:pPr>
        <w:pStyle w:val="10"/>
        <w:pageBreakBefore w:val="0"/>
        <w:kinsoku/>
        <w:wordWrap/>
        <w:overflowPunct/>
        <w:topLinePunct w:val="0"/>
        <w:bidi w:val="0"/>
        <w:adjustRightInd w:val="0"/>
        <w:snapToGrid w:val="0"/>
        <w:spacing w:line="540" w:lineRule="exact"/>
        <w:ind w:left="0" w:leftChars="0" w:right="0"/>
        <w:outlineLvl w:val="1"/>
        <w:rPr>
          <w:rFonts w:hint="eastAsia" w:ascii="仿宋_GB2312" w:hAnsi="华文仿宋" w:eastAsia="仿宋_GB2312" w:cs="Times New Roman"/>
          <w:b/>
          <w:bCs/>
          <w:kern w:val="2"/>
          <w:sz w:val="24"/>
          <w:szCs w:val="28"/>
          <w:lang w:val="en-US" w:eastAsia="zh-CN" w:bidi="ar-SA"/>
        </w:rPr>
      </w:pPr>
    </w:p>
    <w:p w14:paraId="3A3D9607">
      <w:pPr>
        <w:pStyle w:val="10"/>
        <w:pageBreakBefore w:val="0"/>
        <w:kinsoku/>
        <w:wordWrap/>
        <w:overflowPunct/>
        <w:topLinePunct w:val="0"/>
        <w:bidi w:val="0"/>
        <w:adjustRightInd w:val="0"/>
        <w:snapToGrid w:val="0"/>
        <w:spacing w:line="540" w:lineRule="exact"/>
        <w:ind w:left="0" w:leftChars="0" w:right="0"/>
        <w:outlineLvl w:val="1"/>
        <w:rPr>
          <w:rFonts w:hint="eastAsia" w:ascii="仿宋_GB2312" w:hAnsi="华文仿宋" w:eastAsia="仿宋_GB2312" w:cs="Times New Roman"/>
          <w:b/>
          <w:bCs/>
          <w:kern w:val="2"/>
          <w:sz w:val="24"/>
          <w:szCs w:val="28"/>
          <w:lang w:val="en-US" w:eastAsia="zh-CN" w:bidi="ar-SA"/>
        </w:rPr>
      </w:pPr>
    </w:p>
    <w:p w14:paraId="6A60AE60">
      <w:pPr>
        <w:pStyle w:val="10"/>
        <w:pageBreakBefore w:val="0"/>
        <w:kinsoku/>
        <w:wordWrap/>
        <w:overflowPunct/>
        <w:topLinePunct w:val="0"/>
        <w:bidi w:val="0"/>
        <w:adjustRightInd w:val="0"/>
        <w:snapToGrid w:val="0"/>
        <w:spacing w:line="540" w:lineRule="exact"/>
        <w:ind w:left="0" w:leftChars="0" w:right="0"/>
        <w:outlineLvl w:val="1"/>
        <w:rPr>
          <w:rFonts w:ascii="仿宋_GB2312" w:hAnsi="华文仿宋" w:eastAsia="仿宋_GB2312"/>
          <w:b/>
          <w:bCs/>
          <w:sz w:val="24"/>
          <w:szCs w:val="28"/>
        </w:rPr>
      </w:pPr>
      <w:r>
        <w:rPr>
          <w:rStyle w:val="23"/>
          <w:rFonts w:hint="eastAsia" w:ascii="仿宋_GB2312" w:hAnsi="华文仿宋" w:eastAsia="仿宋_GB2312"/>
          <w:sz w:val="24"/>
          <w:szCs w:val="28"/>
        </w:rPr>
        <w:t>附件五</w:t>
      </w:r>
    </w:p>
    <w:p w14:paraId="7EF10109">
      <w:pPr>
        <w:pageBreakBefore w:val="0"/>
        <w:kinsoku/>
        <w:wordWrap/>
        <w:overflowPunct/>
        <w:topLinePunct w:val="0"/>
        <w:bidi w:val="0"/>
        <w:ind w:left="0" w:leftChars="0" w:right="0" w:firstLine="480" w:firstLineChars="200"/>
        <w:rPr>
          <w:rFonts w:ascii="仿宋" w:hAnsi="仿宋" w:eastAsia="仿宋"/>
          <w:sz w:val="24"/>
        </w:rPr>
      </w:pPr>
      <w:r>
        <w:rPr>
          <w:rFonts w:hint="eastAsia" w:ascii="仿宋" w:hAnsi="仿宋" w:eastAsia="仿宋"/>
          <w:sz w:val="24"/>
        </w:rPr>
        <w:t>项目名称</w:t>
      </w:r>
    </w:p>
    <w:p w14:paraId="2747E87C">
      <w:pPr>
        <w:pStyle w:val="16"/>
        <w:pageBreakBefore w:val="0"/>
        <w:kinsoku/>
        <w:wordWrap/>
        <w:overflowPunct/>
        <w:topLinePunct w:val="0"/>
        <w:bidi w:val="0"/>
        <w:ind w:left="0" w:leftChars="0" w:right="0" w:firstLine="440"/>
      </w:pPr>
    </w:p>
    <w:p w14:paraId="3E3D33EE">
      <w:pPr>
        <w:pageBreakBefore w:val="0"/>
        <w:kinsoku/>
        <w:wordWrap/>
        <w:overflowPunct/>
        <w:topLinePunct w:val="0"/>
        <w:bidi w:val="0"/>
        <w:ind w:left="0" w:leftChars="0" w:right="0" w:firstLine="480" w:firstLineChars="200"/>
        <w:rPr>
          <w:rFonts w:ascii="仿宋" w:hAnsi="仿宋" w:eastAsia="仿宋"/>
          <w:sz w:val="24"/>
          <w:szCs w:val="21"/>
        </w:rPr>
      </w:pPr>
      <w:r>
        <w:rPr>
          <w:rFonts w:hint="eastAsia" w:ascii="仿宋" w:hAnsi="仿宋" w:eastAsia="仿宋"/>
          <w:sz w:val="24"/>
          <w:szCs w:val="21"/>
        </w:rPr>
        <w:t>日期：年月日</w:t>
      </w:r>
    </w:p>
    <w:p w14:paraId="11F26D76">
      <w:pPr>
        <w:pageBreakBefore w:val="0"/>
        <w:kinsoku/>
        <w:wordWrap/>
        <w:overflowPunct/>
        <w:topLinePunct w:val="0"/>
        <w:bidi w:val="0"/>
        <w:ind w:left="0" w:leftChars="0" w:right="0"/>
        <w:jc w:val="center"/>
        <w:rPr>
          <w:rFonts w:eastAsia="黑体"/>
          <w:b/>
          <w:bCs/>
          <w:sz w:val="28"/>
        </w:rPr>
      </w:pPr>
      <w:r>
        <w:rPr>
          <w:rFonts w:hint="eastAsia" w:eastAsia="黑体"/>
          <w:b/>
          <w:bCs/>
          <w:sz w:val="28"/>
        </w:rPr>
        <w:t>投标保证金退付表</w:t>
      </w:r>
    </w:p>
    <w:tbl>
      <w:tblPr>
        <w:tblStyle w:val="17"/>
        <w:tblW w:w="828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362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C6BA8EA">
            <w:pPr>
              <w:pStyle w:val="10"/>
              <w:pageBreakBefore w:val="0"/>
              <w:kinsoku/>
              <w:wordWrap/>
              <w:overflowPunct/>
              <w:topLinePunct w:val="0"/>
              <w:bidi w:val="0"/>
              <w:spacing w:line="360" w:lineRule="auto"/>
              <w:ind w:left="0" w:leftChars="0" w:right="0"/>
            </w:pPr>
            <w:r>
              <w:rPr>
                <w:rFonts w:hint="eastAsia"/>
              </w:rPr>
              <w:t>投标人单位名称：</w:t>
            </w:r>
          </w:p>
        </w:tc>
      </w:tr>
      <w:tr w14:paraId="0D51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3F241F4">
            <w:pPr>
              <w:pStyle w:val="10"/>
              <w:pageBreakBefore w:val="0"/>
              <w:kinsoku/>
              <w:wordWrap/>
              <w:overflowPunct/>
              <w:topLinePunct w:val="0"/>
              <w:bidi w:val="0"/>
              <w:spacing w:line="360" w:lineRule="auto"/>
              <w:ind w:left="0" w:leftChars="0" w:right="0"/>
            </w:pPr>
            <w:r>
              <w:rPr>
                <w:rFonts w:hint="eastAsia"/>
              </w:rPr>
              <w:t>开户银行：</w:t>
            </w:r>
          </w:p>
        </w:tc>
      </w:tr>
      <w:tr w14:paraId="64A2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3DB405C">
            <w:pPr>
              <w:pStyle w:val="10"/>
              <w:pageBreakBefore w:val="0"/>
              <w:kinsoku/>
              <w:wordWrap/>
              <w:overflowPunct/>
              <w:topLinePunct w:val="0"/>
              <w:bidi w:val="0"/>
              <w:spacing w:line="360" w:lineRule="auto"/>
              <w:ind w:left="0" w:leftChars="0" w:right="0"/>
            </w:pPr>
            <w:r>
              <w:rPr>
                <w:rFonts w:hint="eastAsia"/>
              </w:rPr>
              <w:t>户名：</w:t>
            </w:r>
          </w:p>
        </w:tc>
      </w:tr>
      <w:tr w14:paraId="53F5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3430D45">
            <w:pPr>
              <w:pStyle w:val="10"/>
              <w:pageBreakBefore w:val="0"/>
              <w:kinsoku/>
              <w:wordWrap/>
              <w:overflowPunct/>
              <w:topLinePunct w:val="0"/>
              <w:bidi w:val="0"/>
              <w:spacing w:line="360" w:lineRule="auto"/>
              <w:ind w:left="0" w:leftChars="0" w:right="0"/>
            </w:pPr>
            <w:r>
              <w:rPr>
                <w:rFonts w:hint="eastAsia"/>
              </w:rPr>
              <w:t>账号：</w:t>
            </w:r>
          </w:p>
        </w:tc>
      </w:tr>
      <w:tr w14:paraId="57A4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6CB0B38">
            <w:pPr>
              <w:pStyle w:val="10"/>
              <w:pageBreakBefore w:val="0"/>
              <w:kinsoku/>
              <w:wordWrap/>
              <w:overflowPunct/>
              <w:topLinePunct w:val="0"/>
              <w:bidi w:val="0"/>
              <w:spacing w:line="360" w:lineRule="auto"/>
              <w:ind w:left="0" w:leftChars="0" w:right="0"/>
            </w:pPr>
            <w:r>
              <w:rPr>
                <w:rFonts w:hint="eastAsia"/>
              </w:rPr>
              <w:t>联行号：</w:t>
            </w:r>
          </w:p>
        </w:tc>
      </w:tr>
      <w:tr w14:paraId="3268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EF55592">
            <w:pPr>
              <w:pStyle w:val="10"/>
              <w:pageBreakBefore w:val="0"/>
              <w:kinsoku/>
              <w:wordWrap/>
              <w:overflowPunct/>
              <w:topLinePunct w:val="0"/>
              <w:bidi w:val="0"/>
              <w:spacing w:line="360" w:lineRule="auto"/>
              <w:ind w:left="0" w:leftChars="0" w:right="0"/>
            </w:pPr>
            <w:r>
              <w:rPr>
                <w:rFonts w:hint="eastAsia"/>
              </w:rPr>
              <w:t>纳税人识别号：</w:t>
            </w:r>
          </w:p>
        </w:tc>
      </w:tr>
    </w:tbl>
    <w:p w14:paraId="2776E5B2">
      <w:pPr>
        <w:pStyle w:val="10"/>
        <w:pageBreakBefore w:val="0"/>
        <w:kinsoku/>
        <w:wordWrap/>
        <w:overflowPunct/>
        <w:topLinePunct w:val="0"/>
        <w:bidi w:val="0"/>
        <w:spacing w:line="360" w:lineRule="auto"/>
        <w:ind w:left="0" w:leftChars="0" w:right="0" w:firstLine="240" w:firstLineChars="100"/>
        <w:rPr>
          <w:rFonts w:ascii="仿宋_GB2312" w:hAnsi="宋体" w:eastAsia="仿宋_GB2312"/>
          <w:color w:val="000000"/>
          <w:sz w:val="24"/>
        </w:rPr>
      </w:pPr>
    </w:p>
    <w:p w14:paraId="7FF3C493">
      <w:pPr>
        <w:pStyle w:val="10"/>
        <w:pageBreakBefore w:val="0"/>
        <w:kinsoku/>
        <w:wordWrap/>
        <w:overflowPunct/>
        <w:topLinePunct w:val="0"/>
        <w:bidi w:val="0"/>
        <w:spacing w:line="360" w:lineRule="auto"/>
        <w:ind w:left="0" w:leftChars="0" w:right="0"/>
        <w:rPr>
          <w:rFonts w:hint="eastAsia" w:ascii="仿宋_GB2312" w:hAnsi="宋体" w:eastAsia="仿宋_GB2312"/>
          <w:color w:val="000000"/>
          <w:sz w:val="24"/>
          <w:lang w:eastAsia="zh-CN"/>
        </w:rPr>
      </w:pPr>
      <w:r>
        <w:rPr>
          <w:rFonts w:hint="eastAsia" w:ascii="仿宋_GB2312" w:hAnsi="宋体" w:eastAsia="仿宋_GB2312"/>
          <w:color w:val="000000"/>
          <w:sz w:val="24"/>
        </w:rPr>
        <w:t>投标人名称（盖章）：</w:t>
      </w:r>
    </w:p>
    <w:p w14:paraId="2A7E6E05">
      <w:pPr>
        <w:pStyle w:val="10"/>
        <w:pageBreakBefore w:val="0"/>
        <w:kinsoku/>
        <w:wordWrap/>
        <w:overflowPunct/>
        <w:topLinePunct w:val="0"/>
        <w:bidi w:val="0"/>
        <w:spacing w:line="360" w:lineRule="auto"/>
        <w:ind w:left="0" w:leftChars="0" w:right="0"/>
        <w:rPr>
          <w:rFonts w:hAnsi="宋体"/>
          <w:b/>
          <w:sz w:val="24"/>
          <w:szCs w:val="24"/>
        </w:rPr>
      </w:pPr>
      <w:r>
        <w:rPr>
          <w:rFonts w:hint="eastAsia" w:ascii="仿宋_GB2312" w:hAnsi="宋体" w:eastAsia="仿宋_GB2312"/>
          <w:color w:val="000000"/>
          <w:sz w:val="24"/>
        </w:rPr>
        <w:t>法定代表人或授权代表签字：</w:t>
      </w:r>
    </w:p>
    <w:p w14:paraId="77C5B434">
      <w:pPr>
        <w:pStyle w:val="16"/>
        <w:pageBreakBefore w:val="0"/>
        <w:kinsoku/>
        <w:wordWrap/>
        <w:overflowPunct/>
        <w:topLinePunct w:val="0"/>
        <w:bidi w:val="0"/>
        <w:ind w:left="0" w:leftChars="0" w:right="0" w:firstLine="0" w:firstLineChars="0"/>
        <w:rPr>
          <w:rFonts w:ascii="仿宋" w:hAnsi="仿宋" w:eastAsia="仿宋"/>
          <w:sz w:val="28"/>
          <w:szCs w:val="28"/>
          <w:lang w:eastAsia="zh-CN"/>
        </w:rPr>
      </w:pPr>
    </w:p>
    <w:p w14:paraId="10D1BE42">
      <w:pPr>
        <w:pStyle w:val="16"/>
        <w:pageBreakBefore w:val="0"/>
        <w:kinsoku/>
        <w:wordWrap/>
        <w:overflowPunct/>
        <w:topLinePunct w:val="0"/>
        <w:bidi w:val="0"/>
        <w:ind w:left="0" w:leftChars="0" w:right="0" w:firstLine="0" w:firstLineChars="0"/>
        <w:rPr>
          <w:rFonts w:ascii="仿宋" w:hAnsi="仿宋" w:eastAsia="仿宋"/>
          <w:sz w:val="28"/>
          <w:szCs w:val="28"/>
          <w:lang w:eastAsia="zh-CN"/>
        </w:rPr>
      </w:pPr>
    </w:p>
    <w:p w14:paraId="27C0D528">
      <w:pPr>
        <w:pStyle w:val="16"/>
        <w:pageBreakBefore w:val="0"/>
        <w:kinsoku/>
        <w:wordWrap/>
        <w:overflowPunct/>
        <w:topLinePunct w:val="0"/>
        <w:bidi w:val="0"/>
        <w:ind w:left="0" w:leftChars="0" w:right="0" w:firstLine="0" w:firstLineChars="0"/>
        <w:rPr>
          <w:rFonts w:ascii="仿宋" w:hAnsi="仿宋" w:eastAsia="仿宋"/>
          <w:sz w:val="28"/>
          <w:szCs w:val="28"/>
          <w:lang w:eastAsia="zh-CN"/>
        </w:rPr>
        <w:sectPr>
          <w:pgSz w:w="11906" w:h="16838"/>
          <w:pgMar w:top="1440" w:right="1800" w:bottom="1440" w:left="1800" w:header="851" w:footer="992" w:gutter="0"/>
          <w:cols w:space="720" w:num="1"/>
          <w:docGrid w:type="lines" w:linePitch="312" w:charSpace="0"/>
        </w:sectPr>
      </w:pPr>
    </w:p>
    <w:p w14:paraId="245A11E2">
      <w:pPr>
        <w:pStyle w:val="10"/>
        <w:pageBreakBefore w:val="0"/>
        <w:kinsoku/>
        <w:wordWrap/>
        <w:overflowPunct/>
        <w:topLinePunct w:val="0"/>
        <w:bidi w:val="0"/>
        <w:adjustRightInd w:val="0"/>
        <w:snapToGrid w:val="0"/>
        <w:spacing w:line="540" w:lineRule="exact"/>
        <w:ind w:left="0" w:leftChars="0" w:right="0"/>
        <w:outlineLvl w:val="1"/>
        <w:rPr>
          <w:rStyle w:val="23"/>
          <w:rFonts w:hint="eastAsia" w:ascii="仿宋_GB2312" w:hAnsi="华文仿宋" w:eastAsia="仿宋_GB2312"/>
          <w:sz w:val="24"/>
          <w:szCs w:val="28"/>
          <w:lang w:val="en-US" w:eastAsia="zh-CN"/>
        </w:rPr>
      </w:pPr>
      <w:bookmarkStart w:id="32" w:name="_Toc449097071"/>
      <w:r>
        <w:rPr>
          <w:rStyle w:val="23"/>
          <w:rFonts w:hint="eastAsia" w:ascii="仿宋_GB2312" w:hAnsi="华文仿宋" w:eastAsia="仿宋_GB2312"/>
          <w:sz w:val="24"/>
          <w:szCs w:val="28"/>
          <w:lang w:val="en-US" w:eastAsia="zh-CN"/>
        </w:rPr>
        <w:t>附件六</w:t>
      </w:r>
    </w:p>
    <w:p w14:paraId="1C4DFC66">
      <w:pPr>
        <w:rPr>
          <w:rFonts w:ascii="宋体" w:hAnsi="宋体"/>
        </w:rPr>
      </w:pPr>
      <w:r>
        <w:rPr>
          <w:rFonts w:hint="eastAsia" w:ascii="宋体" w:hAnsi="宋体"/>
        </w:rPr>
        <w:t>项目名称：(XX项目)</w:t>
      </w:r>
    </w:p>
    <w:p w14:paraId="16913722">
      <w:pPr>
        <w:rPr>
          <w:rFonts w:ascii="宋体" w:hAnsi="宋体"/>
          <w:szCs w:val="21"/>
        </w:rPr>
      </w:pPr>
      <w:r>
        <w:rPr>
          <w:rFonts w:hint="eastAsia" w:ascii="宋体" w:hAnsi="宋体"/>
          <w:szCs w:val="21"/>
        </w:rPr>
        <w:t>日期：  年  月  日</w:t>
      </w:r>
    </w:p>
    <w:p w14:paraId="695FEDAE">
      <w:pPr>
        <w:jc w:val="center"/>
        <w:rPr>
          <w:rFonts w:eastAsia="黑体"/>
          <w:b/>
          <w:bCs/>
          <w:sz w:val="28"/>
        </w:rPr>
      </w:pPr>
    </w:p>
    <w:p w14:paraId="252119DB">
      <w:pPr>
        <w:jc w:val="center"/>
        <w:rPr>
          <w:rFonts w:eastAsia="黑体"/>
          <w:b/>
          <w:bCs/>
          <w:sz w:val="28"/>
        </w:rPr>
      </w:pPr>
      <w:r>
        <w:rPr>
          <w:rFonts w:hint="eastAsia" w:eastAsia="黑体"/>
          <w:b/>
          <w:bCs/>
          <w:sz w:val="28"/>
        </w:rPr>
        <w:t>相关条款偏离表（含商务偏离及技术偏离）</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3EC4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1CB16948">
            <w:pPr>
              <w:jc w:val="center"/>
              <w:rPr>
                <w:rFonts w:ascii="宋体" w:hAnsi="宋体"/>
                <w:sz w:val="24"/>
              </w:rPr>
            </w:pPr>
            <w:r>
              <w:rPr>
                <w:rFonts w:hint="eastAsia" w:ascii="宋体" w:hAnsi="宋体"/>
                <w:sz w:val="24"/>
              </w:rPr>
              <w:t>序号</w:t>
            </w:r>
          </w:p>
        </w:tc>
        <w:tc>
          <w:tcPr>
            <w:tcW w:w="4140" w:type="dxa"/>
            <w:gridSpan w:val="2"/>
            <w:vAlign w:val="center"/>
          </w:tcPr>
          <w:p w14:paraId="110389DD">
            <w:pPr>
              <w:jc w:val="center"/>
              <w:rPr>
                <w:rFonts w:ascii="宋体" w:hAnsi="宋体"/>
                <w:sz w:val="24"/>
              </w:rPr>
            </w:pPr>
            <w:r>
              <w:rPr>
                <w:rFonts w:hint="eastAsia" w:ascii="宋体" w:hAnsi="宋体"/>
                <w:sz w:val="24"/>
              </w:rPr>
              <w:t>招标文件条款</w:t>
            </w:r>
          </w:p>
        </w:tc>
        <w:tc>
          <w:tcPr>
            <w:tcW w:w="3554" w:type="dxa"/>
            <w:vMerge w:val="restart"/>
            <w:vAlign w:val="center"/>
          </w:tcPr>
          <w:p w14:paraId="30045EEB">
            <w:pPr>
              <w:jc w:val="center"/>
              <w:rPr>
                <w:rFonts w:ascii="宋体" w:hAnsi="宋体"/>
                <w:sz w:val="24"/>
              </w:rPr>
            </w:pPr>
            <w:r>
              <w:rPr>
                <w:rFonts w:hint="eastAsia" w:ascii="宋体" w:hAnsi="宋体"/>
                <w:sz w:val="24"/>
              </w:rPr>
              <w:t>偏离内容</w:t>
            </w:r>
          </w:p>
        </w:tc>
      </w:tr>
      <w:tr w14:paraId="31CB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05E76B02">
            <w:pPr>
              <w:rPr>
                <w:rFonts w:ascii="宋体" w:hAnsi="宋体"/>
                <w:sz w:val="24"/>
              </w:rPr>
            </w:pPr>
          </w:p>
        </w:tc>
        <w:tc>
          <w:tcPr>
            <w:tcW w:w="1080" w:type="dxa"/>
            <w:vAlign w:val="center"/>
          </w:tcPr>
          <w:p w14:paraId="5DF64352">
            <w:pPr>
              <w:jc w:val="center"/>
              <w:rPr>
                <w:rFonts w:ascii="宋体" w:hAnsi="宋体"/>
                <w:sz w:val="24"/>
              </w:rPr>
            </w:pPr>
            <w:r>
              <w:rPr>
                <w:rFonts w:hint="eastAsia" w:ascii="宋体" w:hAnsi="宋体"/>
                <w:sz w:val="24"/>
              </w:rPr>
              <w:t>条款号</w:t>
            </w:r>
          </w:p>
        </w:tc>
        <w:tc>
          <w:tcPr>
            <w:tcW w:w="3060" w:type="dxa"/>
            <w:vAlign w:val="center"/>
          </w:tcPr>
          <w:p w14:paraId="23626426">
            <w:pPr>
              <w:jc w:val="center"/>
              <w:rPr>
                <w:rFonts w:ascii="宋体" w:hAnsi="宋体"/>
                <w:sz w:val="24"/>
              </w:rPr>
            </w:pPr>
            <w:r>
              <w:rPr>
                <w:rFonts w:hint="eastAsia" w:ascii="宋体" w:hAnsi="宋体"/>
                <w:sz w:val="24"/>
              </w:rPr>
              <w:t>条款要求</w:t>
            </w:r>
          </w:p>
        </w:tc>
        <w:tc>
          <w:tcPr>
            <w:tcW w:w="3554" w:type="dxa"/>
            <w:vMerge w:val="continue"/>
            <w:vAlign w:val="center"/>
          </w:tcPr>
          <w:p w14:paraId="46E72B63">
            <w:pPr>
              <w:jc w:val="center"/>
              <w:rPr>
                <w:rFonts w:ascii="宋体" w:hAnsi="宋体"/>
                <w:sz w:val="24"/>
              </w:rPr>
            </w:pPr>
          </w:p>
        </w:tc>
      </w:tr>
      <w:tr w14:paraId="1830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F6BE07C">
            <w:pPr>
              <w:jc w:val="center"/>
              <w:rPr>
                <w:rFonts w:ascii="宋体" w:hAnsi="宋体"/>
                <w:sz w:val="24"/>
              </w:rPr>
            </w:pPr>
            <w:r>
              <w:rPr>
                <w:rFonts w:hint="eastAsia" w:ascii="宋体" w:hAnsi="宋体"/>
                <w:sz w:val="24"/>
              </w:rPr>
              <w:t>1</w:t>
            </w:r>
          </w:p>
        </w:tc>
        <w:tc>
          <w:tcPr>
            <w:tcW w:w="1080" w:type="dxa"/>
            <w:vAlign w:val="center"/>
          </w:tcPr>
          <w:p w14:paraId="19BFEFD4">
            <w:pPr>
              <w:rPr>
                <w:rFonts w:ascii="宋体" w:hAnsi="宋体"/>
                <w:sz w:val="24"/>
              </w:rPr>
            </w:pPr>
          </w:p>
        </w:tc>
        <w:tc>
          <w:tcPr>
            <w:tcW w:w="3060" w:type="dxa"/>
            <w:vAlign w:val="center"/>
          </w:tcPr>
          <w:p w14:paraId="2446DDE8">
            <w:pPr>
              <w:rPr>
                <w:rFonts w:ascii="宋体" w:hAnsi="宋体"/>
                <w:sz w:val="24"/>
              </w:rPr>
            </w:pPr>
          </w:p>
        </w:tc>
        <w:tc>
          <w:tcPr>
            <w:tcW w:w="3554" w:type="dxa"/>
            <w:vAlign w:val="center"/>
          </w:tcPr>
          <w:p w14:paraId="0A9EBCFB">
            <w:pPr>
              <w:rPr>
                <w:rFonts w:ascii="宋体" w:hAnsi="宋体"/>
                <w:sz w:val="24"/>
              </w:rPr>
            </w:pPr>
          </w:p>
        </w:tc>
      </w:tr>
      <w:tr w14:paraId="0737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E91E8BF">
            <w:pPr>
              <w:jc w:val="center"/>
              <w:rPr>
                <w:rFonts w:ascii="宋体" w:hAnsi="宋体"/>
                <w:sz w:val="24"/>
              </w:rPr>
            </w:pPr>
            <w:r>
              <w:rPr>
                <w:rFonts w:hint="eastAsia" w:ascii="宋体" w:hAnsi="宋体"/>
                <w:sz w:val="24"/>
              </w:rPr>
              <w:t>2</w:t>
            </w:r>
          </w:p>
        </w:tc>
        <w:tc>
          <w:tcPr>
            <w:tcW w:w="1080" w:type="dxa"/>
            <w:vAlign w:val="center"/>
          </w:tcPr>
          <w:p w14:paraId="0F424019">
            <w:pPr>
              <w:rPr>
                <w:rFonts w:ascii="宋体" w:hAnsi="宋体"/>
                <w:sz w:val="24"/>
              </w:rPr>
            </w:pPr>
          </w:p>
        </w:tc>
        <w:tc>
          <w:tcPr>
            <w:tcW w:w="3060" w:type="dxa"/>
            <w:vAlign w:val="center"/>
          </w:tcPr>
          <w:p w14:paraId="6A359635">
            <w:pPr>
              <w:rPr>
                <w:rFonts w:ascii="宋体" w:hAnsi="宋体"/>
                <w:sz w:val="24"/>
              </w:rPr>
            </w:pPr>
          </w:p>
        </w:tc>
        <w:tc>
          <w:tcPr>
            <w:tcW w:w="3554" w:type="dxa"/>
            <w:vAlign w:val="center"/>
          </w:tcPr>
          <w:p w14:paraId="6145A673">
            <w:pPr>
              <w:rPr>
                <w:rFonts w:ascii="宋体" w:hAnsi="宋体"/>
                <w:sz w:val="24"/>
              </w:rPr>
            </w:pPr>
          </w:p>
        </w:tc>
      </w:tr>
      <w:tr w14:paraId="0533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C93154A">
            <w:pPr>
              <w:jc w:val="center"/>
              <w:rPr>
                <w:rFonts w:ascii="宋体" w:hAnsi="宋体"/>
                <w:sz w:val="24"/>
              </w:rPr>
            </w:pPr>
            <w:r>
              <w:rPr>
                <w:rFonts w:hint="eastAsia" w:ascii="宋体" w:hAnsi="宋体"/>
                <w:sz w:val="24"/>
              </w:rPr>
              <w:t>3</w:t>
            </w:r>
          </w:p>
        </w:tc>
        <w:tc>
          <w:tcPr>
            <w:tcW w:w="1080" w:type="dxa"/>
            <w:vAlign w:val="center"/>
          </w:tcPr>
          <w:p w14:paraId="016169E6">
            <w:pPr>
              <w:rPr>
                <w:rFonts w:ascii="宋体" w:hAnsi="宋体"/>
                <w:sz w:val="24"/>
              </w:rPr>
            </w:pPr>
          </w:p>
        </w:tc>
        <w:tc>
          <w:tcPr>
            <w:tcW w:w="3060" w:type="dxa"/>
            <w:vAlign w:val="center"/>
          </w:tcPr>
          <w:p w14:paraId="29D58993">
            <w:pPr>
              <w:rPr>
                <w:rFonts w:ascii="宋体" w:hAnsi="宋体"/>
                <w:sz w:val="24"/>
              </w:rPr>
            </w:pPr>
          </w:p>
        </w:tc>
        <w:tc>
          <w:tcPr>
            <w:tcW w:w="3554" w:type="dxa"/>
            <w:vAlign w:val="center"/>
          </w:tcPr>
          <w:p w14:paraId="1D644E09">
            <w:pPr>
              <w:rPr>
                <w:rFonts w:ascii="宋体" w:hAnsi="宋体"/>
                <w:sz w:val="24"/>
              </w:rPr>
            </w:pPr>
          </w:p>
        </w:tc>
      </w:tr>
      <w:tr w14:paraId="0AF4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E23CED5">
            <w:pPr>
              <w:jc w:val="center"/>
              <w:rPr>
                <w:rFonts w:ascii="宋体" w:hAnsi="宋体"/>
                <w:sz w:val="24"/>
              </w:rPr>
            </w:pPr>
            <w:r>
              <w:rPr>
                <w:rFonts w:hint="eastAsia" w:ascii="宋体" w:hAnsi="宋体"/>
                <w:sz w:val="24"/>
              </w:rPr>
              <w:t>4</w:t>
            </w:r>
          </w:p>
        </w:tc>
        <w:tc>
          <w:tcPr>
            <w:tcW w:w="1080" w:type="dxa"/>
            <w:vAlign w:val="center"/>
          </w:tcPr>
          <w:p w14:paraId="6BA77062">
            <w:pPr>
              <w:rPr>
                <w:rFonts w:ascii="宋体" w:hAnsi="宋体"/>
                <w:sz w:val="24"/>
              </w:rPr>
            </w:pPr>
          </w:p>
        </w:tc>
        <w:tc>
          <w:tcPr>
            <w:tcW w:w="3060" w:type="dxa"/>
            <w:vAlign w:val="center"/>
          </w:tcPr>
          <w:p w14:paraId="57141D37">
            <w:pPr>
              <w:rPr>
                <w:rFonts w:ascii="宋体" w:hAnsi="宋体"/>
                <w:sz w:val="24"/>
              </w:rPr>
            </w:pPr>
          </w:p>
        </w:tc>
        <w:tc>
          <w:tcPr>
            <w:tcW w:w="3554" w:type="dxa"/>
            <w:vAlign w:val="center"/>
          </w:tcPr>
          <w:p w14:paraId="18682AFB">
            <w:pPr>
              <w:rPr>
                <w:rFonts w:ascii="宋体" w:hAnsi="宋体"/>
                <w:sz w:val="24"/>
              </w:rPr>
            </w:pPr>
          </w:p>
        </w:tc>
      </w:tr>
      <w:tr w14:paraId="588E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96949D">
            <w:pPr>
              <w:jc w:val="center"/>
              <w:rPr>
                <w:rFonts w:ascii="宋体" w:hAnsi="宋体"/>
                <w:sz w:val="24"/>
              </w:rPr>
            </w:pPr>
            <w:r>
              <w:rPr>
                <w:rFonts w:hint="eastAsia" w:ascii="宋体" w:hAnsi="宋体"/>
                <w:sz w:val="24"/>
              </w:rPr>
              <w:t>5</w:t>
            </w:r>
          </w:p>
        </w:tc>
        <w:tc>
          <w:tcPr>
            <w:tcW w:w="1080" w:type="dxa"/>
            <w:vAlign w:val="center"/>
          </w:tcPr>
          <w:p w14:paraId="42624563">
            <w:pPr>
              <w:rPr>
                <w:rFonts w:ascii="宋体" w:hAnsi="宋体"/>
                <w:sz w:val="24"/>
              </w:rPr>
            </w:pPr>
          </w:p>
        </w:tc>
        <w:tc>
          <w:tcPr>
            <w:tcW w:w="3060" w:type="dxa"/>
            <w:vAlign w:val="center"/>
          </w:tcPr>
          <w:p w14:paraId="383A28AF">
            <w:pPr>
              <w:rPr>
                <w:rFonts w:ascii="宋体" w:hAnsi="宋体"/>
                <w:sz w:val="24"/>
              </w:rPr>
            </w:pPr>
          </w:p>
        </w:tc>
        <w:tc>
          <w:tcPr>
            <w:tcW w:w="3554" w:type="dxa"/>
            <w:vAlign w:val="center"/>
          </w:tcPr>
          <w:p w14:paraId="2B8B2A85">
            <w:pPr>
              <w:rPr>
                <w:rFonts w:ascii="宋体" w:hAnsi="宋体"/>
                <w:sz w:val="24"/>
              </w:rPr>
            </w:pPr>
          </w:p>
        </w:tc>
      </w:tr>
      <w:tr w14:paraId="1D0C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A46D49E">
            <w:pPr>
              <w:jc w:val="center"/>
              <w:rPr>
                <w:rFonts w:ascii="宋体" w:hAnsi="宋体"/>
                <w:sz w:val="24"/>
              </w:rPr>
            </w:pPr>
            <w:r>
              <w:rPr>
                <w:rFonts w:hint="eastAsia" w:ascii="宋体" w:hAnsi="宋体"/>
                <w:sz w:val="24"/>
              </w:rPr>
              <w:t>6</w:t>
            </w:r>
          </w:p>
        </w:tc>
        <w:tc>
          <w:tcPr>
            <w:tcW w:w="1080" w:type="dxa"/>
            <w:vAlign w:val="center"/>
          </w:tcPr>
          <w:p w14:paraId="0F6C7EE2">
            <w:pPr>
              <w:rPr>
                <w:rFonts w:ascii="宋体" w:hAnsi="宋体"/>
                <w:sz w:val="24"/>
              </w:rPr>
            </w:pPr>
          </w:p>
        </w:tc>
        <w:tc>
          <w:tcPr>
            <w:tcW w:w="3060" w:type="dxa"/>
            <w:vAlign w:val="center"/>
          </w:tcPr>
          <w:p w14:paraId="09AA2EBB">
            <w:pPr>
              <w:rPr>
                <w:rFonts w:ascii="宋体" w:hAnsi="宋体"/>
                <w:sz w:val="24"/>
              </w:rPr>
            </w:pPr>
          </w:p>
        </w:tc>
        <w:tc>
          <w:tcPr>
            <w:tcW w:w="3554" w:type="dxa"/>
            <w:vAlign w:val="center"/>
          </w:tcPr>
          <w:p w14:paraId="5F31B24F">
            <w:pPr>
              <w:rPr>
                <w:rFonts w:ascii="宋体" w:hAnsi="宋体"/>
                <w:sz w:val="24"/>
              </w:rPr>
            </w:pPr>
          </w:p>
        </w:tc>
      </w:tr>
      <w:tr w14:paraId="3B1E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FC04E2">
            <w:pPr>
              <w:jc w:val="center"/>
              <w:rPr>
                <w:rFonts w:ascii="宋体" w:hAnsi="宋体"/>
                <w:sz w:val="24"/>
              </w:rPr>
            </w:pPr>
            <w:r>
              <w:rPr>
                <w:rFonts w:hint="eastAsia" w:ascii="宋体" w:hAnsi="宋体"/>
                <w:sz w:val="24"/>
              </w:rPr>
              <w:t>7</w:t>
            </w:r>
          </w:p>
        </w:tc>
        <w:tc>
          <w:tcPr>
            <w:tcW w:w="1080" w:type="dxa"/>
            <w:vAlign w:val="center"/>
          </w:tcPr>
          <w:p w14:paraId="1C729AF7">
            <w:pPr>
              <w:rPr>
                <w:rFonts w:ascii="宋体" w:hAnsi="宋体"/>
                <w:sz w:val="24"/>
              </w:rPr>
            </w:pPr>
          </w:p>
        </w:tc>
        <w:tc>
          <w:tcPr>
            <w:tcW w:w="3060" w:type="dxa"/>
            <w:vAlign w:val="center"/>
          </w:tcPr>
          <w:p w14:paraId="175CA87C">
            <w:pPr>
              <w:rPr>
                <w:rFonts w:ascii="宋体" w:hAnsi="宋体"/>
                <w:sz w:val="24"/>
              </w:rPr>
            </w:pPr>
          </w:p>
        </w:tc>
        <w:tc>
          <w:tcPr>
            <w:tcW w:w="3554" w:type="dxa"/>
            <w:vAlign w:val="center"/>
          </w:tcPr>
          <w:p w14:paraId="63C19B27">
            <w:pPr>
              <w:rPr>
                <w:rFonts w:ascii="宋体" w:hAnsi="宋体"/>
                <w:sz w:val="24"/>
              </w:rPr>
            </w:pPr>
          </w:p>
        </w:tc>
      </w:tr>
      <w:tr w14:paraId="3609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A8344FF">
            <w:pPr>
              <w:jc w:val="center"/>
              <w:rPr>
                <w:rFonts w:ascii="宋体" w:hAnsi="宋体"/>
                <w:sz w:val="24"/>
              </w:rPr>
            </w:pPr>
            <w:r>
              <w:rPr>
                <w:rFonts w:hint="eastAsia" w:ascii="宋体" w:hAnsi="宋体"/>
                <w:sz w:val="24"/>
              </w:rPr>
              <w:t>8</w:t>
            </w:r>
          </w:p>
        </w:tc>
        <w:tc>
          <w:tcPr>
            <w:tcW w:w="1080" w:type="dxa"/>
            <w:vAlign w:val="center"/>
          </w:tcPr>
          <w:p w14:paraId="5AC688F2">
            <w:pPr>
              <w:rPr>
                <w:rFonts w:ascii="宋体" w:hAnsi="宋体"/>
                <w:sz w:val="24"/>
              </w:rPr>
            </w:pPr>
          </w:p>
        </w:tc>
        <w:tc>
          <w:tcPr>
            <w:tcW w:w="3060" w:type="dxa"/>
            <w:vAlign w:val="center"/>
          </w:tcPr>
          <w:p w14:paraId="4E0F16BC">
            <w:pPr>
              <w:rPr>
                <w:rFonts w:ascii="宋体" w:hAnsi="宋体"/>
                <w:sz w:val="24"/>
              </w:rPr>
            </w:pPr>
          </w:p>
        </w:tc>
        <w:tc>
          <w:tcPr>
            <w:tcW w:w="3554" w:type="dxa"/>
            <w:vAlign w:val="center"/>
          </w:tcPr>
          <w:p w14:paraId="3D028D8D">
            <w:pPr>
              <w:rPr>
                <w:rFonts w:ascii="宋体" w:hAnsi="宋体"/>
                <w:sz w:val="24"/>
              </w:rPr>
            </w:pPr>
          </w:p>
        </w:tc>
      </w:tr>
      <w:tr w14:paraId="209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784E192">
            <w:pPr>
              <w:jc w:val="center"/>
              <w:rPr>
                <w:rFonts w:ascii="宋体" w:hAnsi="宋体"/>
                <w:sz w:val="24"/>
              </w:rPr>
            </w:pPr>
            <w:r>
              <w:rPr>
                <w:rFonts w:hint="eastAsia" w:ascii="宋体" w:hAnsi="宋体"/>
                <w:sz w:val="24"/>
              </w:rPr>
              <w:t>9</w:t>
            </w:r>
          </w:p>
        </w:tc>
        <w:tc>
          <w:tcPr>
            <w:tcW w:w="1080" w:type="dxa"/>
            <w:vAlign w:val="center"/>
          </w:tcPr>
          <w:p w14:paraId="7F4A325E">
            <w:pPr>
              <w:rPr>
                <w:rFonts w:ascii="宋体" w:hAnsi="宋体"/>
                <w:sz w:val="24"/>
              </w:rPr>
            </w:pPr>
          </w:p>
        </w:tc>
        <w:tc>
          <w:tcPr>
            <w:tcW w:w="3060" w:type="dxa"/>
            <w:vAlign w:val="center"/>
          </w:tcPr>
          <w:p w14:paraId="7805CD04">
            <w:pPr>
              <w:rPr>
                <w:rFonts w:ascii="宋体" w:hAnsi="宋体"/>
                <w:sz w:val="24"/>
              </w:rPr>
            </w:pPr>
          </w:p>
        </w:tc>
        <w:tc>
          <w:tcPr>
            <w:tcW w:w="3554" w:type="dxa"/>
            <w:vAlign w:val="center"/>
          </w:tcPr>
          <w:p w14:paraId="3561BA35">
            <w:pPr>
              <w:rPr>
                <w:rFonts w:ascii="宋体" w:hAnsi="宋体"/>
                <w:sz w:val="24"/>
              </w:rPr>
            </w:pPr>
          </w:p>
        </w:tc>
      </w:tr>
      <w:tr w14:paraId="1493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13C832F">
            <w:pPr>
              <w:jc w:val="center"/>
              <w:rPr>
                <w:rFonts w:ascii="宋体" w:hAnsi="宋体"/>
                <w:sz w:val="24"/>
              </w:rPr>
            </w:pPr>
            <w:r>
              <w:rPr>
                <w:rFonts w:hint="eastAsia" w:ascii="宋体" w:hAnsi="宋体"/>
                <w:sz w:val="24"/>
              </w:rPr>
              <w:t>10</w:t>
            </w:r>
          </w:p>
        </w:tc>
        <w:tc>
          <w:tcPr>
            <w:tcW w:w="1080" w:type="dxa"/>
            <w:vAlign w:val="center"/>
          </w:tcPr>
          <w:p w14:paraId="5ADAAA62">
            <w:pPr>
              <w:rPr>
                <w:rFonts w:ascii="宋体" w:hAnsi="宋体"/>
                <w:sz w:val="24"/>
              </w:rPr>
            </w:pPr>
          </w:p>
        </w:tc>
        <w:tc>
          <w:tcPr>
            <w:tcW w:w="3060" w:type="dxa"/>
            <w:vAlign w:val="center"/>
          </w:tcPr>
          <w:p w14:paraId="37C15868">
            <w:pPr>
              <w:rPr>
                <w:rFonts w:ascii="宋体" w:hAnsi="宋体"/>
                <w:sz w:val="24"/>
              </w:rPr>
            </w:pPr>
          </w:p>
        </w:tc>
        <w:tc>
          <w:tcPr>
            <w:tcW w:w="3554" w:type="dxa"/>
            <w:vAlign w:val="center"/>
          </w:tcPr>
          <w:p w14:paraId="0DA8F135">
            <w:pPr>
              <w:rPr>
                <w:rFonts w:ascii="宋体" w:hAnsi="宋体"/>
                <w:sz w:val="24"/>
              </w:rPr>
            </w:pPr>
          </w:p>
        </w:tc>
      </w:tr>
    </w:tbl>
    <w:p w14:paraId="2CF9B17D">
      <w:pPr>
        <w:rPr>
          <w:rFonts w:ascii="宋体" w:hAnsi="宋体"/>
          <w:sz w:val="24"/>
        </w:rPr>
      </w:pPr>
    </w:p>
    <w:p w14:paraId="47CC620B">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1A2875F">
      <w:pPr>
        <w:rPr>
          <w:rFonts w:ascii="宋体" w:hAnsi="宋体"/>
          <w:sz w:val="24"/>
        </w:rPr>
      </w:pPr>
    </w:p>
    <w:p w14:paraId="45DDF209">
      <w:pPr>
        <w:rPr>
          <w:rFonts w:ascii="宋体" w:hAnsi="宋体"/>
          <w:sz w:val="24"/>
        </w:rPr>
      </w:pPr>
    </w:p>
    <w:p w14:paraId="16217AFF">
      <w:pPr>
        <w:rPr>
          <w:rFonts w:ascii="仿宋" w:hAnsi="仿宋" w:eastAsia="仿宋"/>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sz w:val="24"/>
        </w:rPr>
        <w:t>注：为避免歧义，无偏离也应要提报该表，并注明“无”字。如无该表则即使在其它部分已反映，将也被视为“无偏离”。</w:t>
      </w:r>
    </w:p>
    <w:p w14:paraId="2A3944BD">
      <w:pPr>
        <w:pStyle w:val="10"/>
        <w:pageBreakBefore w:val="0"/>
        <w:kinsoku/>
        <w:wordWrap/>
        <w:overflowPunct/>
        <w:topLinePunct w:val="0"/>
        <w:bidi w:val="0"/>
        <w:adjustRightInd w:val="0"/>
        <w:snapToGrid w:val="0"/>
        <w:spacing w:line="540" w:lineRule="exact"/>
        <w:ind w:left="0" w:leftChars="0" w:right="0"/>
        <w:outlineLvl w:val="1"/>
        <w:rPr>
          <w:rStyle w:val="23"/>
          <w:rFonts w:hint="eastAsia" w:ascii="仿宋" w:hAnsi="仿宋" w:eastAsia="仿宋_GB2312"/>
          <w:sz w:val="24"/>
          <w:szCs w:val="28"/>
          <w:lang w:eastAsia="zh-CN"/>
        </w:rPr>
      </w:pPr>
      <w:r>
        <w:rPr>
          <w:rStyle w:val="23"/>
          <w:rFonts w:hint="eastAsia" w:ascii="仿宋_GB2312" w:hAnsi="华文仿宋" w:eastAsia="仿宋_GB2312"/>
          <w:sz w:val="24"/>
          <w:szCs w:val="28"/>
        </w:rPr>
        <w:t>附表</w:t>
      </w:r>
      <w:bookmarkEnd w:id="32"/>
      <w:r>
        <w:rPr>
          <w:rStyle w:val="23"/>
          <w:rFonts w:hint="eastAsia" w:hAnsi="宋体" w:cs="宋体"/>
          <w:sz w:val="24"/>
          <w:szCs w:val="28"/>
          <w:lang w:val="en-US" w:eastAsia="zh-CN"/>
        </w:rPr>
        <w:t>七</w:t>
      </w:r>
    </w:p>
    <w:p w14:paraId="738AB99C">
      <w:pPr>
        <w:pageBreakBefore w:val="0"/>
        <w:kinsoku/>
        <w:wordWrap/>
        <w:overflowPunct/>
        <w:topLinePunct w:val="0"/>
        <w:bidi w:val="0"/>
        <w:adjustRightInd w:val="0"/>
        <w:snapToGrid w:val="0"/>
        <w:spacing w:line="540" w:lineRule="exact"/>
        <w:ind w:left="0" w:leftChars="0" w:right="0"/>
        <w:jc w:val="center"/>
        <w:rPr>
          <w:rFonts w:ascii="仿宋" w:hAnsi="仿宋" w:eastAsia="仿宋"/>
          <w:b/>
          <w:sz w:val="40"/>
          <w:szCs w:val="44"/>
        </w:rPr>
      </w:pPr>
      <w:r>
        <w:rPr>
          <w:rFonts w:hint="eastAsia" w:ascii="仿宋" w:hAnsi="仿宋" w:eastAsia="仿宋"/>
          <w:b/>
          <w:sz w:val="40"/>
          <w:szCs w:val="44"/>
          <w:lang w:val="en-US" w:eastAsia="zh-CN"/>
        </w:rPr>
        <w:t>开标一览</w:t>
      </w:r>
      <w:r>
        <w:rPr>
          <w:rFonts w:hint="eastAsia" w:ascii="仿宋" w:hAnsi="仿宋" w:eastAsia="仿宋"/>
          <w:b/>
          <w:sz w:val="40"/>
          <w:szCs w:val="44"/>
        </w:rPr>
        <w:t>表</w:t>
      </w:r>
    </w:p>
    <w:p w14:paraId="7A331DA2">
      <w:pPr>
        <w:pageBreakBefore w:val="0"/>
        <w:kinsoku/>
        <w:wordWrap/>
        <w:overflowPunct/>
        <w:topLinePunct w:val="0"/>
        <w:bidi w:val="0"/>
        <w:adjustRightInd w:val="0"/>
        <w:snapToGrid w:val="0"/>
        <w:spacing w:line="540" w:lineRule="exact"/>
        <w:ind w:left="0" w:leftChars="0" w:right="0" w:firstLine="480" w:firstLineChars="200"/>
        <w:jc w:val="left"/>
        <w:rPr>
          <w:rFonts w:ascii="仿宋" w:hAnsi="仿宋" w:eastAsia="仿宋"/>
          <w:sz w:val="24"/>
          <w:szCs w:val="28"/>
        </w:rPr>
      </w:pPr>
      <w:r>
        <w:rPr>
          <w:rFonts w:hint="eastAsia" w:ascii="仿宋" w:hAnsi="仿宋" w:eastAsia="仿宋"/>
          <w:sz w:val="24"/>
          <w:szCs w:val="28"/>
        </w:rPr>
        <w:t>投标单位</w:t>
      </w:r>
      <w:r>
        <w:rPr>
          <w:rFonts w:ascii="仿宋" w:hAnsi="仿宋" w:eastAsia="仿宋"/>
          <w:sz w:val="24"/>
          <w:szCs w:val="28"/>
        </w:rPr>
        <w:t>(</w:t>
      </w:r>
      <w:r>
        <w:rPr>
          <w:rFonts w:hint="eastAsia" w:ascii="仿宋" w:hAnsi="仿宋" w:eastAsia="仿宋"/>
          <w:sz w:val="24"/>
          <w:szCs w:val="28"/>
        </w:rPr>
        <w:t>章</w:t>
      </w:r>
      <w:r>
        <w:rPr>
          <w:rFonts w:ascii="仿宋" w:hAnsi="仿宋" w:eastAsia="仿宋"/>
          <w:sz w:val="24"/>
          <w:szCs w:val="28"/>
        </w:rPr>
        <w:t>)</w:t>
      </w:r>
      <w:r>
        <w:rPr>
          <w:rFonts w:hint="eastAsia" w:ascii="仿宋" w:hAnsi="仿宋" w:eastAsia="仿宋"/>
          <w:sz w:val="24"/>
          <w:szCs w:val="28"/>
        </w:rPr>
        <w:t>：</w:t>
      </w:r>
      <w:r>
        <w:rPr>
          <w:rFonts w:hint="eastAsia" w:ascii="仿宋" w:hAnsi="仿宋" w:eastAsia="仿宋"/>
          <w:sz w:val="24"/>
          <w:szCs w:val="28"/>
          <w:lang w:val="en-US" w:eastAsia="zh-CN"/>
        </w:rPr>
        <w:t xml:space="preserve">                                                     </w:t>
      </w:r>
      <w:r>
        <w:rPr>
          <w:rFonts w:hint="eastAsia" w:ascii="仿宋" w:hAnsi="仿宋" w:eastAsia="仿宋"/>
          <w:sz w:val="24"/>
          <w:szCs w:val="28"/>
        </w:rPr>
        <w:t>项目名称：</w:t>
      </w:r>
    </w:p>
    <w:tbl>
      <w:tblPr>
        <w:tblStyle w:val="17"/>
        <w:tblpPr w:leftFromText="180" w:rightFromText="180" w:vertAnchor="text" w:horzAnchor="page" w:tblpX="1328" w:tblpY="245"/>
        <w:tblW w:w="14334" w:type="dxa"/>
        <w:tblInd w:w="0" w:type="dxa"/>
        <w:tblLayout w:type="fixed"/>
        <w:tblCellMar>
          <w:top w:w="0" w:type="dxa"/>
          <w:left w:w="108" w:type="dxa"/>
          <w:bottom w:w="0" w:type="dxa"/>
          <w:right w:w="108" w:type="dxa"/>
        </w:tblCellMar>
      </w:tblPr>
      <w:tblGrid>
        <w:gridCol w:w="734"/>
        <w:gridCol w:w="3676"/>
        <w:gridCol w:w="1544"/>
        <w:gridCol w:w="992"/>
        <w:gridCol w:w="993"/>
        <w:gridCol w:w="1542"/>
        <w:gridCol w:w="2053"/>
        <w:gridCol w:w="2800"/>
      </w:tblGrid>
      <w:tr w14:paraId="314B5D3F">
        <w:tblPrEx>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center"/>
          </w:tcPr>
          <w:p w14:paraId="0CD4BFBC">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序号</w:t>
            </w:r>
          </w:p>
        </w:tc>
        <w:tc>
          <w:tcPr>
            <w:tcW w:w="3676" w:type="dxa"/>
            <w:tcBorders>
              <w:top w:val="single" w:color="auto" w:sz="4" w:space="0"/>
              <w:left w:val="single" w:color="auto" w:sz="4" w:space="0"/>
              <w:bottom w:val="single" w:color="auto" w:sz="4" w:space="0"/>
            </w:tcBorders>
            <w:vAlign w:val="center"/>
          </w:tcPr>
          <w:p w14:paraId="17E1CC37">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项目名称</w:t>
            </w:r>
          </w:p>
        </w:tc>
        <w:tc>
          <w:tcPr>
            <w:tcW w:w="1544" w:type="dxa"/>
            <w:tcBorders>
              <w:top w:val="single" w:color="auto" w:sz="4" w:space="0"/>
              <w:left w:val="single" w:color="auto" w:sz="4" w:space="0"/>
              <w:bottom w:val="single" w:color="auto" w:sz="4" w:space="0"/>
              <w:right w:val="single" w:color="auto" w:sz="4" w:space="0"/>
            </w:tcBorders>
            <w:vAlign w:val="center"/>
          </w:tcPr>
          <w:p w14:paraId="1F91C494">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6DE54A65">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6DDF480E">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单价</w:t>
            </w:r>
          </w:p>
        </w:tc>
        <w:tc>
          <w:tcPr>
            <w:tcW w:w="1542" w:type="dxa"/>
            <w:tcBorders>
              <w:top w:val="single" w:color="auto" w:sz="4" w:space="0"/>
              <w:left w:val="single" w:color="auto" w:sz="4" w:space="0"/>
              <w:bottom w:val="single" w:color="auto" w:sz="4" w:space="0"/>
              <w:right w:val="single" w:color="auto" w:sz="4" w:space="0"/>
            </w:tcBorders>
            <w:vAlign w:val="center"/>
          </w:tcPr>
          <w:p w14:paraId="3C550922">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总价</w:t>
            </w:r>
          </w:p>
        </w:tc>
        <w:tc>
          <w:tcPr>
            <w:tcW w:w="2053" w:type="dxa"/>
            <w:tcBorders>
              <w:top w:val="single" w:color="auto" w:sz="4" w:space="0"/>
              <w:left w:val="single" w:color="auto" w:sz="4" w:space="0"/>
              <w:bottom w:val="single" w:color="auto" w:sz="4" w:space="0"/>
              <w:right w:val="single" w:color="auto" w:sz="4" w:space="0"/>
            </w:tcBorders>
            <w:vAlign w:val="center"/>
          </w:tcPr>
          <w:p w14:paraId="47254DC9">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维保期限</w:t>
            </w:r>
          </w:p>
        </w:tc>
        <w:tc>
          <w:tcPr>
            <w:tcW w:w="2800" w:type="dxa"/>
            <w:tcBorders>
              <w:top w:val="single" w:color="auto" w:sz="4" w:space="0"/>
              <w:left w:val="single" w:color="auto" w:sz="4" w:space="0"/>
              <w:bottom w:val="single" w:color="auto" w:sz="4" w:space="0"/>
              <w:right w:val="single" w:color="auto" w:sz="4" w:space="0"/>
            </w:tcBorders>
            <w:vAlign w:val="center"/>
          </w:tcPr>
          <w:p w14:paraId="255299B9">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备注</w:t>
            </w:r>
          </w:p>
        </w:tc>
      </w:tr>
      <w:tr w14:paraId="3FBDED8D">
        <w:tblPrEx>
          <w:tblCellMar>
            <w:top w:w="0" w:type="dxa"/>
            <w:left w:w="108" w:type="dxa"/>
            <w:bottom w:w="0" w:type="dxa"/>
            <w:right w:w="108" w:type="dxa"/>
          </w:tblCellMar>
        </w:tblPrEx>
        <w:trPr>
          <w:trHeight w:val="902" w:hRule="atLeast"/>
        </w:trPr>
        <w:tc>
          <w:tcPr>
            <w:tcW w:w="734" w:type="dxa"/>
            <w:tcBorders>
              <w:top w:val="single" w:color="auto" w:sz="4" w:space="0"/>
              <w:left w:val="single" w:color="auto" w:sz="4" w:space="0"/>
              <w:bottom w:val="single" w:color="auto" w:sz="4" w:space="0"/>
              <w:right w:val="single" w:color="auto" w:sz="4" w:space="0"/>
            </w:tcBorders>
            <w:vAlign w:val="center"/>
          </w:tcPr>
          <w:p w14:paraId="3B2AFC6C">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1</w:t>
            </w:r>
          </w:p>
        </w:tc>
        <w:tc>
          <w:tcPr>
            <w:tcW w:w="3676" w:type="dxa"/>
            <w:tcBorders>
              <w:top w:val="single" w:color="auto" w:sz="4" w:space="0"/>
              <w:left w:val="single" w:color="auto" w:sz="4" w:space="0"/>
              <w:bottom w:val="single" w:color="auto" w:sz="4" w:space="0"/>
            </w:tcBorders>
            <w:vAlign w:val="center"/>
          </w:tcPr>
          <w:p w14:paraId="6179334F">
            <w:pPr>
              <w:pageBreakBefore w:val="0"/>
              <w:kinsoku/>
              <w:wordWrap/>
              <w:overflowPunct/>
              <w:topLinePunct w:val="0"/>
              <w:bidi w:val="0"/>
              <w:spacing w:line="540" w:lineRule="exact"/>
              <w:ind w:left="0" w:leftChars="0" w:right="0"/>
              <w:jc w:val="center"/>
              <w:rPr>
                <w:rFonts w:ascii="仿宋" w:hAnsi="仿宋" w:eastAsia="仿宋"/>
                <w:sz w:val="22"/>
                <w:u w:val="none"/>
              </w:rPr>
            </w:pPr>
            <w:r>
              <w:rPr>
                <w:rFonts w:hint="eastAsia" w:ascii="仿宋" w:hAnsi="仿宋" w:eastAsia="仿宋"/>
                <w:sz w:val="24"/>
                <w:szCs w:val="28"/>
                <w:u w:val="none"/>
                <w:lang w:val="en-US" w:eastAsia="zh-CN"/>
              </w:rPr>
              <w:t>2025年卡车公司</w:t>
            </w:r>
            <w:r>
              <w:rPr>
                <w:rFonts w:hint="eastAsia" w:ascii="仿宋" w:hAnsi="仿宋" w:eastAsia="仿宋"/>
                <w:sz w:val="24"/>
                <w:szCs w:val="28"/>
                <w:u w:val="none"/>
              </w:rPr>
              <w:t>消防维保</w:t>
            </w:r>
            <w:r>
              <w:rPr>
                <w:rFonts w:hint="eastAsia" w:ascii="仿宋" w:hAnsi="仿宋" w:eastAsia="仿宋"/>
                <w:sz w:val="24"/>
                <w:szCs w:val="28"/>
                <w:u w:val="none"/>
                <w:lang w:val="en-US" w:eastAsia="zh-CN"/>
              </w:rPr>
              <w:t>及</w:t>
            </w:r>
            <w:r>
              <w:rPr>
                <w:rFonts w:hint="eastAsia" w:ascii="仿宋" w:hAnsi="仿宋" w:eastAsia="仿宋"/>
                <w:sz w:val="24"/>
                <w:szCs w:val="28"/>
                <w:u w:val="none"/>
              </w:rPr>
              <w:t>值班</w:t>
            </w:r>
            <w:r>
              <w:rPr>
                <w:rFonts w:hint="eastAsia" w:ascii="仿宋" w:hAnsi="仿宋" w:eastAsia="仿宋"/>
                <w:sz w:val="24"/>
                <w:szCs w:val="28"/>
                <w:u w:val="none"/>
                <w:lang w:val="en-US" w:eastAsia="zh-CN"/>
              </w:rPr>
              <w:t>项目（党家园区）</w:t>
            </w:r>
          </w:p>
        </w:tc>
        <w:tc>
          <w:tcPr>
            <w:tcW w:w="1544" w:type="dxa"/>
            <w:tcBorders>
              <w:top w:val="single" w:color="auto" w:sz="4" w:space="0"/>
              <w:left w:val="single" w:color="auto" w:sz="4" w:space="0"/>
              <w:bottom w:val="single" w:color="auto" w:sz="4" w:space="0"/>
              <w:right w:val="single" w:color="auto" w:sz="4" w:space="0"/>
            </w:tcBorders>
            <w:vAlign w:val="center"/>
          </w:tcPr>
          <w:p w14:paraId="3131A9B1">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项</w:t>
            </w:r>
          </w:p>
        </w:tc>
        <w:tc>
          <w:tcPr>
            <w:tcW w:w="992" w:type="dxa"/>
            <w:tcBorders>
              <w:top w:val="single" w:color="auto" w:sz="4" w:space="0"/>
              <w:left w:val="single" w:color="auto" w:sz="4" w:space="0"/>
              <w:bottom w:val="single" w:color="auto" w:sz="4" w:space="0"/>
              <w:right w:val="single" w:color="auto" w:sz="4" w:space="0"/>
            </w:tcBorders>
            <w:vAlign w:val="center"/>
          </w:tcPr>
          <w:p w14:paraId="00D22C37">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1</w:t>
            </w:r>
          </w:p>
        </w:tc>
        <w:tc>
          <w:tcPr>
            <w:tcW w:w="993" w:type="dxa"/>
            <w:tcBorders>
              <w:top w:val="single" w:color="auto" w:sz="4" w:space="0"/>
              <w:left w:val="single" w:color="auto" w:sz="4" w:space="0"/>
              <w:bottom w:val="single" w:color="auto" w:sz="4" w:space="0"/>
              <w:right w:val="single" w:color="auto" w:sz="4" w:space="0"/>
            </w:tcBorders>
            <w:vAlign w:val="center"/>
          </w:tcPr>
          <w:p w14:paraId="06FF1B6F">
            <w:pPr>
              <w:pageBreakBefore w:val="0"/>
              <w:kinsoku/>
              <w:wordWrap/>
              <w:overflowPunct/>
              <w:topLinePunct w:val="0"/>
              <w:bidi w:val="0"/>
              <w:spacing w:line="540" w:lineRule="exact"/>
              <w:ind w:left="0" w:leftChars="0" w:right="0"/>
              <w:jc w:val="center"/>
              <w:rPr>
                <w:rFonts w:ascii="仿宋" w:hAnsi="仿宋" w:eastAsia="仿宋"/>
                <w:sz w:val="22"/>
              </w:rPr>
            </w:pPr>
          </w:p>
        </w:tc>
        <w:tc>
          <w:tcPr>
            <w:tcW w:w="1542" w:type="dxa"/>
            <w:tcBorders>
              <w:top w:val="single" w:color="auto" w:sz="4" w:space="0"/>
              <w:left w:val="single" w:color="auto" w:sz="4" w:space="0"/>
              <w:bottom w:val="single" w:color="auto" w:sz="4" w:space="0"/>
              <w:right w:val="single" w:color="auto" w:sz="4" w:space="0"/>
            </w:tcBorders>
            <w:vAlign w:val="center"/>
          </w:tcPr>
          <w:p w14:paraId="75646F3F">
            <w:pPr>
              <w:pageBreakBefore w:val="0"/>
              <w:kinsoku/>
              <w:wordWrap/>
              <w:overflowPunct/>
              <w:topLinePunct w:val="0"/>
              <w:bidi w:val="0"/>
              <w:spacing w:line="540" w:lineRule="exact"/>
              <w:ind w:left="0" w:leftChars="0" w:right="0"/>
              <w:jc w:val="center"/>
              <w:rPr>
                <w:rFonts w:ascii="仿宋" w:hAnsi="仿宋" w:eastAsia="仿宋"/>
                <w:sz w:val="22"/>
              </w:rPr>
            </w:pPr>
          </w:p>
        </w:tc>
        <w:tc>
          <w:tcPr>
            <w:tcW w:w="2053" w:type="dxa"/>
            <w:tcBorders>
              <w:top w:val="single" w:color="auto" w:sz="4" w:space="0"/>
              <w:left w:val="single" w:color="auto" w:sz="4" w:space="0"/>
              <w:bottom w:val="single" w:color="auto" w:sz="4" w:space="0"/>
              <w:right w:val="single" w:color="auto" w:sz="4" w:space="0"/>
            </w:tcBorders>
            <w:vAlign w:val="center"/>
          </w:tcPr>
          <w:p w14:paraId="78EBB69B">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1年</w:t>
            </w:r>
          </w:p>
        </w:tc>
        <w:tc>
          <w:tcPr>
            <w:tcW w:w="2800" w:type="dxa"/>
            <w:tcBorders>
              <w:top w:val="single" w:color="auto" w:sz="4" w:space="0"/>
              <w:left w:val="single" w:color="auto" w:sz="4" w:space="0"/>
              <w:bottom w:val="single" w:color="auto" w:sz="4" w:space="0"/>
              <w:right w:val="single" w:color="auto" w:sz="4" w:space="0"/>
            </w:tcBorders>
            <w:vAlign w:val="center"/>
          </w:tcPr>
          <w:p w14:paraId="49B675E7">
            <w:pPr>
              <w:pageBreakBefore w:val="0"/>
              <w:kinsoku/>
              <w:wordWrap/>
              <w:overflowPunct/>
              <w:topLinePunct w:val="0"/>
              <w:bidi w:val="0"/>
              <w:spacing w:line="540" w:lineRule="exact"/>
              <w:ind w:left="0" w:leftChars="0" w:right="0"/>
              <w:jc w:val="center"/>
              <w:rPr>
                <w:rFonts w:ascii="仿宋" w:hAnsi="仿宋" w:eastAsia="仿宋"/>
                <w:sz w:val="22"/>
              </w:rPr>
            </w:pPr>
          </w:p>
        </w:tc>
      </w:tr>
      <w:tr w14:paraId="1652C18C">
        <w:tblPrEx>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center"/>
          </w:tcPr>
          <w:p w14:paraId="3A65F23D">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2</w:t>
            </w:r>
          </w:p>
        </w:tc>
        <w:tc>
          <w:tcPr>
            <w:tcW w:w="3676" w:type="dxa"/>
            <w:tcBorders>
              <w:top w:val="single" w:color="auto" w:sz="4" w:space="0"/>
              <w:left w:val="single" w:color="auto" w:sz="4" w:space="0"/>
              <w:bottom w:val="single" w:color="auto" w:sz="4" w:space="0"/>
            </w:tcBorders>
            <w:vAlign w:val="center"/>
          </w:tcPr>
          <w:p w14:paraId="547A0412">
            <w:pPr>
              <w:pageBreakBefore w:val="0"/>
              <w:kinsoku/>
              <w:wordWrap/>
              <w:overflowPunct/>
              <w:topLinePunct w:val="0"/>
              <w:bidi w:val="0"/>
              <w:spacing w:line="540" w:lineRule="exact"/>
              <w:ind w:left="0" w:leftChars="0" w:right="0"/>
              <w:jc w:val="center"/>
              <w:rPr>
                <w:rFonts w:ascii="仿宋" w:hAnsi="仿宋" w:eastAsia="仿宋"/>
                <w:sz w:val="22"/>
                <w:u w:val="none"/>
              </w:rPr>
            </w:pPr>
            <w:r>
              <w:rPr>
                <w:rFonts w:hint="eastAsia" w:ascii="仿宋" w:hAnsi="仿宋" w:eastAsia="仿宋"/>
                <w:sz w:val="24"/>
                <w:szCs w:val="28"/>
                <w:u w:val="none"/>
                <w:lang w:val="en-US" w:eastAsia="zh-CN"/>
              </w:rPr>
              <w:t>2025年卡车公司</w:t>
            </w:r>
            <w:r>
              <w:rPr>
                <w:rFonts w:hint="eastAsia" w:ascii="仿宋" w:hAnsi="仿宋" w:eastAsia="仿宋"/>
                <w:sz w:val="24"/>
                <w:szCs w:val="28"/>
                <w:u w:val="none"/>
              </w:rPr>
              <w:t>消防维保</w:t>
            </w:r>
            <w:r>
              <w:rPr>
                <w:rFonts w:hint="eastAsia" w:ascii="仿宋" w:hAnsi="仿宋" w:eastAsia="仿宋"/>
                <w:sz w:val="24"/>
                <w:szCs w:val="28"/>
                <w:u w:val="none"/>
                <w:lang w:val="en-US" w:eastAsia="zh-CN"/>
              </w:rPr>
              <w:t>及</w:t>
            </w:r>
            <w:r>
              <w:rPr>
                <w:rFonts w:hint="eastAsia" w:ascii="仿宋" w:hAnsi="仿宋" w:eastAsia="仿宋"/>
                <w:sz w:val="24"/>
                <w:szCs w:val="28"/>
                <w:u w:val="none"/>
              </w:rPr>
              <w:t>值班</w:t>
            </w:r>
            <w:r>
              <w:rPr>
                <w:rFonts w:hint="eastAsia" w:ascii="仿宋" w:hAnsi="仿宋" w:eastAsia="仿宋"/>
                <w:sz w:val="24"/>
                <w:szCs w:val="28"/>
                <w:u w:val="none"/>
                <w:lang w:val="en-US" w:eastAsia="zh-CN"/>
              </w:rPr>
              <w:t>项目（莱芜园区）</w:t>
            </w:r>
          </w:p>
        </w:tc>
        <w:tc>
          <w:tcPr>
            <w:tcW w:w="1544" w:type="dxa"/>
            <w:tcBorders>
              <w:top w:val="single" w:color="auto" w:sz="4" w:space="0"/>
              <w:left w:val="single" w:color="auto" w:sz="4" w:space="0"/>
              <w:bottom w:val="single" w:color="auto" w:sz="4" w:space="0"/>
              <w:right w:val="single" w:color="auto" w:sz="4" w:space="0"/>
            </w:tcBorders>
            <w:vAlign w:val="center"/>
          </w:tcPr>
          <w:p w14:paraId="5EA07BCE">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项</w:t>
            </w:r>
          </w:p>
        </w:tc>
        <w:tc>
          <w:tcPr>
            <w:tcW w:w="992" w:type="dxa"/>
            <w:tcBorders>
              <w:top w:val="single" w:color="auto" w:sz="4" w:space="0"/>
              <w:left w:val="single" w:color="auto" w:sz="4" w:space="0"/>
              <w:bottom w:val="single" w:color="auto" w:sz="4" w:space="0"/>
              <w:right w:val="single" w:color="auto" w:sz="4" w:space="0"/>
            </w:tcBorders>
            <w:vAlign w:val="center"/>
          </w:tcPr>
          <w:p w14:paraId="50E1C6B2">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1</w:t>
            </w:r>
          </w:p>
        </w:tc>
        <w:tc>
          <w:tcPr>
            <w:tcW w:w="993" w:type="dxa"/>
            <w:tcBorders>
              <w:top w:val="single" w:color="auto" w:sz="4" w:space="0"/>
              <w:left w:val="single" w:color="auto" w:sz="4" w:space="0"/>
              <w:bottom w:val="single" w:color="auto" w:sz="4" w:space="0"/>
              <w:right w:val="single" w:color="auto" w:sz="4" w:space="0"/>
            </w:tcBorders>
            <w:vAlign w:val="center"/>
          </w:tcPr>
          <w:p w14:paraId="7B32CE8A">
            <w:pPr>
              <w:pageBreakBefore w:val="0"/>
              <w:kinsoku/>
              <w:wordWrap/>
              <w:overflowPunct/>
              <w:topLinePunct w:val="0"/>
              <w:bidi w:val="0"/>
              <w:spacing w:line="540" w:lineRule="exact"/>
              <w:ind w:left="0" w:leftChars="0" w:right="0"/>
              <w:jc w:val="center"/>
              <w:rPr>
                <w:rFonts w:ascii="仿宋" w:hAnsi="仿宋" w:eastAsia="仿宋"/>
                <w:sz w:val="22"/>
              </w:rPr>
            </w:pPr>
          </w:p>
        </w:tc>
        <w:tc>
          <w:tcPr>
            <w:tcW w:w="1542" w:type="dxa"/>
            <w:tcBorders>
              <w:top w:val="single" w:color="auto" w:sz="4" w:space="0"/>
              <w:left w:val="single" w:color="auto" w:sz="4" w:space="0"/>
              <w:bottom w:val="single" w:color="auto" w:sz="4" w:space="0"/>
              <w:right w:val="single" w:color="auto" w:sz="4" w:space="0"/>
            </w:tcBorders>
            <w:vAlign w:val="center"/>
          </w:tcPr>
          <w:p w14:paraId="31C4EB79">
            <w:pPr>
              <w:pageBreakBefore w:val="0"/>
              <w:kinsoku/>
              <w:wordWrap/>
              <w:overflowPunct/>
              <w:topLinePunct w:val="0"/>
              <w:bidi w:val="0"/>
              <w:spacing w:line="540" w:lineRule="exact"/>
              <w:ind w:left="0" w:leftChars="0" w:right="0"/>
              <w:jc w:val="center"/>
              <w:rPr>
                <w:rFonts w:ascii="仿宋" w:hAnsi="仿宋" w:eastAsia="仿宋"/>
                <w:sz w:val="22"/>
              </w:rPr>
            </w:pPr>
          </w:p>
        </w:tc>
        <w:tc>
          <w:tcPr>
            <w:tcW w:w="2053" w:type="dxa"/>
            <w:tcBorders>
              <w:top w:val="single" w:color="auto" w:sz="4" w:space="0"/>
              <w:left w:val="single" w:color="auto" w:sz="4" w:space="0"/>
              <w:bottom w:val="single" w:color="auto" w:sz="4" w:space="0"/>
              <w:right w:val="single" w:color="auto" w:sz="4" w:space="0"/>
            </w:tcBorders>
            <w:vAlign w:val="center"/>
          </w:tcPr>
          <w:p w14:paraId="74F0AFC3">
            <w:pPr>
              <w:pageBreakBefore w:val="0"/>
              <w:kinsoku/>
              <w:wordWrap/>
              <w:overflowPunct/>
              <w:topLinePunct w:val="0"/>
              <w:bidi w:val="0"/>
              <w:spacing w:line="540" w:lineRule="exact"/>
              <w:ind w:left="0" w:leftChars="0" w:right="0"/>
              <w:jc w:val="center"/>
              <w:rPr>
                <w:rFonts w:ascii="仿宋" w:hAnsi="仿宋" w:eastAsia="仿宋"/>
                <w:sz w:val="22"/>
              </w:rPr>
            </w:pPr>
            <w:r>
              <w:rPr>
                <w:rFonts w:hint="eastAsia" w:ascii="仿宋" w:hAnsi="仿宋" w:eastAsia="仿宋"/>
                <w:sz w:val="22"/>
              </w:rPr>
              <w:t>1年</w:t>
            </w:r>
          </w:p>
        </w:tc>
        <w:tc>
          <w:tcPr>
            <w:tcW w:w="2800" w:type="dxa"/>
            <w:tcBorders>
              <w:top w:val="single" w:color="auto" w:sz="4" w:space="0"/>
              <w:left w:val="single" w:color="auto" w:sz="4" w:space="0"/>
              <w:bottom w:val="single" w:color="auto" w:sz="4" w:space="0"/>
              <w:right w:val="single" w:color="auto" w:sz="4" w:space="0"/>
            </w:tcBorders>
            <w:vAlign w:val="center"/>
          </w:tcPr>
          <w:p w14:paraId="2471DEB3">
            <w:pPr>
              <w:pageBreakBefore w:val="0"/>
              <w:kinsoku/>
              <w:wordWrap/>
              <w:overflowPunct/>
              <w:topLinePunct w:val="0"/>
              <w:bidi w:val="0"/>
              <w:spacing w:line="540" w:lineRule="exact"/>
              <w:ind w:left="0" w:leftChars="0" w:right="0"/>
              <w:jc w:val="center"/>
              <w:rPr>
                <w:rFonts w:ascii="仿宋" w:hAnsi="仿宋" w:eastAsia="仿宋"/>
                <w:sz w:val="22"/>
              </w:rPr>
            </w:pPr>
          </w:p>
        </w:tc>
      </w:tr>
      <w:tr w14:paraId="1948B316">
        <w:tblPrEx>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center"/>
          </w:tcPr>
          <w:p w14:paraId="2B3F7642">
            <w:pPr>
              <w:pageBreakBefore w:val="0"/>
              <w:kinsoku/>
              <w:wordWrap/>
              <w:overflowPunct/>
              <w:topLinePunct w:val="0"/>
              <w:bidi w:val="0"/>
              <w:spacing w:line="540" w:lineRule="exact"/>
              <w:ind w:left="0" w:leftChars="0" w:right="0"/>
              <w:jc w:val="center"/>
              <w:rPr>
                <w:rFonts w:ascii="仿宋" w:hAnsi="仿宋" w:eastAsia="仿宋"/>
                <w:sz w:val="22"/>
              </w:rPr>
            </w:pPr>
          </w:p>
        </w:tc>
        <w:tc>
          <w:tcPr>
            <w:tcW w:w="3676" w:type="dxa"/>
            <w:tcBorders>
              <w:top w:val="single" w:color="auto" w:sz="4" w:space="0"/>
              <w:left w:val="single" w:color="auto" w:sz="4" w:space="0"/>
              <w:bottom w:val="single" w:color="auto" w:sz="4" w:space="0"/>
            </w:tcBorders>
            <w:vAlign w:val="center"/>
          </w:tcPr>
          <w:p w14:paraId="5E54957D">
            <w:pPr>
              <w:pageBreakBefore w:val="0"/>
              <w:kinsoku/>
              <w:wordWrap/>
              <w:overflowPunct/>
              <w:topLinePunct w:val="0"/>
              <w:bidi w:val="0"/>
              <w:spacing w:line="540" w:lineRule="exact"/>
              <w:ind w:left="0" w:leftChars="0" w:right="0"/>
              <w:jc w:val="center"/>
              <w:rPr>
                <w:rFonts w:ascii="仿宋" w:hAnsi="仿宋" w:eastAsia="仿宋"/>
                <w:sz w:val="22"/>
              </w:rPr>
            </w:pPr>
          </w:p>
        </w:tc>
        <w:tc>
          <w:tcPr>
            <w:tcW w:w="1544" w:type="dxa"/>
            <w:tcBorders>
              <w:top w:val="single" w:color="auto" w:sz="4" w:space="0"/>
              <w:left w:val="single" w:color="auto" w:sz="4" w:space="0"/>
              <w:bottom w:val="single" w:color="auto" w:sz="4" w:space="0"/>
              <w:right w:val="single" w:color="auto" w:sz="4" w:space="0"/>
            </w:tcBorders>
            <w:vAlign w:val="center"/>
          </w:tcPr>
          <w:p w14:paraId="7C55F6EC">
            <w:pPr>
              <w:pageBreakBefore w:val="0"/>
              <w:kinsoku/>
              <w:wordWrap/>
              <w:overflowPunct/>
              <w:topLinePunct w:val="0"/>
              <w:bidi w:val="0"/>
              <w:spacing w:line="540" w:lineRule="exact"/>
              <w:ind w:left="0" w:leftChars="0" w:right="0"/>
              <w:jc w:val="center"/>
              <w:rPr>
                <w:rFonts w:ascii="仿宋" w:hAnsi="仿宋" w:eastAsia="仿宋"/>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58FB7A6">
            <w:pPr>
              <w:pageBreakBefore w:val="0"/>
              <w:kinsoku/>
              <w:wordWrap/>
              <w:overflowPunct/>
              <w:topLinePunct w:val="0"/>
              <w:bidi w:val="0"/>
              <w:spacing w:line="540" w:lineRule="exact"/>
              <w:ind w:left="0" w:leftChars="0" w:right="0"/>
              <w:jc w:val="center"/>
              <w:rPr>
                <w:rFonts w:ascii="仿宋" w:hAnsi="仿宋" w:eastAsia="仿宋"/>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FB9D99D">
            <w:pPr>
              <w:pageBreakBefore w:val="0"/>
              <w:kinsoku/>
              <w:wordWrap/>
              <w:overflowPunct/>
              <w:topLinePunct w:val="0"/>
              <w:bidi w:val="0"/>
              <w:spacing w:line="540" w:lineRule="exact"/>
              <w:ind w:left="0" w:leftChars="0" w:right="0"/>
              <w:jc w:val="center"/>
              <w:rPr>
                <w:rFonts w:ascii="仿宋" w:hAnsi="仿宋" w:eastAsia="仿宋"/>
                <w:sz w:val="22"/>
              </w:rPr>
            </w:pPr>
          </w:p>
        </w:tc>
        <w:tc>
          <w:tcPr>
            <w:tcW w:w="1542" w:type="dxa"/>
            <w:tcBorders>
              <w:top w:val="single" w:color="auto" w:sz="4" w:space="0"/>
              <w:left w:val="single" w:color="auto" w:sz="4" w:space="0"/>
              <w:bottom w:val="single" w:color="auto" w:sz="4" w:space="0"/>
              <w:right w:val="single" w:color="auto" w:sz="4" w:space="0"/>
            </w:tcBorders>
            <w:vAlign w:val="center"/>
          </w:tcPr>
          <w:p w14:paraId="03C9E42C">
            <w:pPr>
              <w:pageBreakBefore w:val="0"/>
              <w:kinsoku/>
              <w:wordWrap/>
              <w:overflowPunct/>
              <w:topLinePunct w:val="0"/>
              <w:bidi w:val="0"/>
              <w:spacing w:line="540" w:lineRule="exact"/>
              <w:ind w:left="0" w:leftChars="0" w:right="0"/>
              <w:jc w:val="center"/>
              <w:rPr>
                <w:rFonts w:ascii="仿宋" w:hAnsi="仿宋" w:eastAsia="仿宋"/>
                <w:sz w:val="22"/>
              </w:rPr>
            </w:pPr>
          </w:p>
        </w:tc>
        <w:tc>
          <w:tcPr>
            <w:tcW w:w="2053" w:type="dxa"/>
            <w:tcBorders>
              <w:top w:val="single" w:color="auto" w:sz="4" w:space="0"/>
              <w:left w:val="single" w:color="auto" w:sz="4" w:space="0"/>
              <w:bottom w:val="single" w:color="auto" w:sz="4" w:space="0"/>
              <w:right w:val="single" w:color="auto" w:sz="4" w:space="0"/>
            </w:tcBorders>
            <w:vAlign w:val="center"/>
          </w:tcPr>
          <w:p w14:paraId="11183C13">
            <w:pPr>
              <w:pageBreakBefore w:val="0"/>
              <w:kinsoku/>
              <w:wordWrap/>
              <w:overflowPunct/>
              <w:topLinePunct w:val="0"/>
              <w:bidi w:val="0"/>
              <w:spacing w:line="540" w:lineRule="exact"/>
              <w:ind w:left="0" w:leftChars="0" w:right="0"/>
              <w:jc w:val="center"/>
              <w:rPr>
                <w:rFonts w:ascii="仿宋" w:hAnsi="仿宋" w:eastAsia="仿宋"/>
                <w:sz w:val="22"/>
              </w:rPr>
            </w:pPr>
          </w:p>
        </w:tc>
        <w:tc>
          <w:tcPr>
            <w:tcW w:w="2800" w:type="dxa"/>
            <w:tcBorders>
              <w:top w:val="single" w:color="auto" w:sz="4" w:space="0"/>
              <w:left w:val="single" w:color="auto" w:sz="4" w:space="0"/>
              <w:bottom w:val="single" w:color="auto" w:sz="4" w:space="0"/>
              <w:right w:val="single" w:color="auto" w:sz="4" w:space="0"/>
            </w:tcBorders>
            <w:vAlign w:val="center"/>
          </w:tcPr>
          <w:p w14:paraId="008DF638">
            <w:pPr>
              <w:pageBreakBefore w:val="0"/>
              <w:kinsoku/>
              <w:wordWrap/>
              <w:overflowPunct/>
              <w:topLinePunct w:val="0"/>
              <w:bidi w:val="0"/>
              <w:spacing w:line="540" w:lineRule="exact"/>
              <w:ind w:left="0" w:leftChars="0" w:right="0"/>
              <w:jc w:val="center"/>
              <w:rPr>
                <w:rFonts w:ascii="仿宋" w:hAnsi="仿宋" w:eastAsia="仿宋"/>
                <w:sz w:val="22"/>
              </w:rPr>
            </w:pPr>
          </w:p>
        </w:tc>
      </w:tr>
      <w:tr w14:paraId="1AD0B815">
        <w:tblPrEx>
          <w:tblCellMar>
            <w:top w:w="0" w:type="dxa"/>
            <w:left w:w="108" w:type="dxa"/>
            <w:bottom w:w="0" w:type="dxa"/>
            <w:right w:w="108" w:type="dxa"/>
          </w:tblCellMar>
        </w:tblPrEx>
        <w:trPr>
          <w:trHeight w:val="1000" w:hRule="atLeast"/>
        </w:trPr>
        <w:tc>
          <w:tcPr>
            <w:tcW w:w="14334" w:type="dxa"/>
            <w:gridSpan w:val="8"/>
            <w:tcBorders>
              <w:top w:val="single" w:color="auto" w:sz="4" w:space="0"/>
              <w:left w:val="single" w:color="auto" w:sz="4" w:space="0"/>
              <w:bottom w:val="single" w:color="auto" w:sz="4" w:space="0"/>
              <w:right w:val="single" w:color="auto" w:sz="4" w:space="0"/>
            </w:tcBorders>
            <w:vAlign w:val="center"/>
          </w:tcPr>
          <w:p w14:paraId="1C2F3818">
            <w:pPr>
              <w:pageBreakBefore w:val="0"/>
              <w:kinsoku/>
              <w:wordWrap/>
              <w:overflowPunct/>
              <w:topLinePunct w:val="0"/>
              <w:bidi w:val="0"/>
              <w:spacing w:line="540" w:lineRule="exact"/>
              <w:ind w:left="0" w:leftChars="0" w:right="0"/>
              <w:jc w:val="left"/>
              <w:rPr>
                <w:rFonts w:ascii="仿宋" w:hAnsi="仿宋" w:eastAsia="仿宋"/>
                <w:sz w:val="22"/>
              </w:rPr>
            </w:pPr>
            <w:r>
              <w:rPr>
                <w:rFonts w:hint="eastAsia" w:ascii="仿宋" w:hAnsi="仿宋" w:eastAsia="仿宋"/>
                <w:sz w:val="22"/>
              </w:rPr>
              <w:t>合计：</w:t>
            </w:r>
          </w:p>
        </w:tc>
      </w:tr>
      <w:tr w14:paraId="3AD6A60D">
        <w:tblPrEx>
          <w:tblCellMar>
            <w:top w:w="0" w:type="dxa"/>
            <w:left w:w="108" w:type="dxa"/>
            <w:bottom w:w="0" w:type="dxa"/>
            <w:right w:w="108" w:type="dxa"/>
          </w:tblCellMar>
        </w:tblPrEx>
        <w:trPr>
          <w:trHeight w:val="906" w:hRule="atLeast"/>
        </w:trPr>
        <w:tc>
          <w:tcPr>
            <w:tcW w:w="14334" w:type="dxa"/>
            <w:gridSpan w:val="8"/>
            <w:tcBorders>
              <w:top w:val="single" w:color="auto" w:sz="4" w:space="0"/>
              <w:left w:val="single" w:color="auto" w:sz="4" w:space="0"/>
              <w:bottom w:val="single" w:color="auto" w:sz="4" w:space="0"/>
              <w:right w:val="single" w:color="auto" w:sz="4" w:space="0"/>
            </w:tcBorders>
            <w:vAlign w:val="center"/>
          </w:tcPr>
          <w:p w14:paraId="443B0578">
            <w:pPr>
              <w:pageBreakBefore w:val="0"/>
              <w:kinsoku/>
              <w:wordWrap/>
              <w:overflowPunct/>
              <w:topLinePunct w:val="0"/>
              <w:bidi w:val="0"/>
              <w:spacing w:line="540" w:lineRule="exact"/>
              <w:ind w:left="0" w:leftChars="0" w:right="0"/>
              <w:jc w:val="left"/>
              <w:rPr>
                <w:rFonts w:ascii="仿宋" w:hAnsi="仿宋" w:eastAsia="仿宋"/>
                <w:sz w:val="22"/>
              </w:rPr>
            </w:pPr>
            <w:r>
              <w:rPr>
                <w:rFonts w:hint="eastAsia" w:ascii="仿宋" w:hAnsi="仿宋" w:eastAsia="仿宋"/>
                <w:sz w:val="22"/>
              </w:rPr>
              <w:t>投标总价</w:t>
            </w:r>
            <w:r>
              <w:rPr>
                <w:rFonts w:ascii="仿宋" w:hAnsi="仿宋" w:eastAsia="仿宋"/>
                <w:sz w:val="22"/>
              </w:rPr>
              <w:t>(</w:t>
            </w:r>
            <w:r>
              <w:rPr>
                <w:rFonts w:hint="eastAsia" w:ascii="仿宋" w:hAnsi="仿宋" w:eastAsia="仿宋"/>
                <w:sz w:val="22"/>
              </w:rPr>
              <w:t>大写</w:t>
            </w:r>
            <w:r>
              <w:rPr>
                <w:rFonts w:ascii="仿宋" w:hAnsi="仿宋" w:eastAsia="仿宋"/>
                <w:sz w:val="22"/>
              </w:rPr>
              <w:t>)</w:t>
            </w:r>
            <w:r>
              <w:rPr>
                <w:rFonts w:hint="eastAsia" w:ascii="仿宋" w:hAnsi="仿宋" w:eastAsia="仿宋"/>
                <w:sz w:val="22"/>
              </w:rPr>
              <w:t>：</w:t>
            </w:r>
          </w:p>
        </w:tc>
      </w:tr>
    </w:tbl>
    <w:p w14:paraId="23F3FA02">
      <w:pPr>
        <w:pStyle w:val="16"/>
        <w:pageBreakBefore w:val="0"/>
        <w:kinsoku/>
        <w:wordWrap/>
        <w:overflowPunct/>
        <w:topLinePunct w:val="0"/>
        <w:bidi w:val="0"/>
        <w:ind w:left="0" w:leftChars="0" w:right="0" w:firstLine="0" w:firstLineChars="0"/>
        <w:rPr>
          <w:rFonts w:ascii="仿宋" w:hAnsi="仿宋" w:eastAsia="仿宋"/>
          <w:sz w:val="28"/>
          <w:szCs w:val="28"/>
        </w:rPr>
        <w:sectPr>
          <w:pgSz w:w="16838" w:h="11906" w:orient="landscape"/>
          <w:pgMar w:top="1803" w:right="1440" w:bottom="1803" w:left="1440" w:header="851" w:footer="992" w:gutter="0"/>
          <w:cols w:space="720" w:num="1"/>
          <w:docGrid w:type="lines" w:linePitch="319" w:charSpace="0"/>
        </w:sectPr>
      </w:pPr>
    </w:p>
    <w:p w14:paraId="08650D3A">
      <w:pPr>
        <w:pStyle w:val="3"/>
        <w:pageBreakBefore w:val="0"/>
        <w:widowControl w:val="0"/>
        <w:numPr>
          <w:ilvl w:val="0"/>
          <w:numId w:val="11"/>
        </w:numPr>
        <w:kinsoku/>
        <w:wordWrap/>
        <w:overflowPunct/>
        <w:topLinePunct w:val="0"/>
        <w:autoSpaceDE/>
        <w:autoSpaceDN/>
        <w:bidi w:val="0"/>
        <w:adjustRightInd w:val="0"/>
        <w:snapToGrid w:val="0"/>
        <w:spacing w:before="0" w:after="0" w:line="540" w:lineRule="exact"/>
        <w:ind w:left="0" w:leftChars="0" w:right="0"/>
        <w:jc w:val="center"/>
        <w:textAlignment w:val="auto"/>
        <w:rPr>
          <w:rFonts w:ascii="仿宋" w:hAnsi="仿宋" w:eastAsia="仿宋"/>
          <w:sz w:val="40"/>
        </w:rPr>
      </w:pPr>
      <w:bookmarkStart w:id="33" w:name="_Toc447799415"/>
      <w:bookmarkStart w:id="34" w:name="_Toc449097072"/>
      <w:bookmarkStart w:id="35" w:name="_Toc17075"/>
      <w:r>
        <w:rPr>
          <w:rFonts w:hint="eastAsia" w:ascii="仿宋" w:hAnsi="仿宋" w:eastAsia="仿宋"/>
          <w:sz w:val="40"/>
        </w:rPr>
        <w:t>招标文件技术要求</w:t>
      </w:r>
      <w:bookmarkEnd w:id="33"/>
      <w:bookmarkEnd w:id="34"/>
      <w:bookmarkEnd w:id="35"/>
    </w:p>
    <w:p w14:paraId="06F3D36D">
      <w:pPr>
        <w:pageBreakBefore w:val="0"/>
        <w:widowControl w:val="0"/>
        <w:kinsoku/>
        <w:wordWrap/>
        <w:overflowPunct/>
        <w:topLinePunct w:val="0"/>
        <w:autoSpaceDE/>
        <w:autoSpaceDN/>
        <w:bidi w:val="0"/>
        <w:ind w:left="0" w:leftChars="0" w:right="0"/>
        <w:textAlignment w:val="auto"/>
      </w:pPr>
    </w:p>
    <w:p w14:paraId="557D4809">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2" w:firstLineChars="200"/>
        <w:textAlignment w:val="auto"/>
        <w:outlineLvl w:val="1"/>
        <w:rPr>
          <w:rFonts w:hAnsi="宋体" w:cs="宋体"/>
          <w:b/>
          <w:bCs/>
          <w:sz w:val="28"/>
          <w:szCs w:val="28"/>
        </w:rPr>
      </w:pPr>
      <w:bookmarkStart w:id="36" w:name="_Toc447799416"/>
      <w:bookmarkStart w:id="37" w:name="_Toc449097073"/>
      <w:r>
        <w:rPr>
          <w:rFonts w:hint="eastAsia" w:eastAsia="仿宋" w:cs="仿宋"/>
          <w:b/>
          <w:bCs/>
          <w:sz w:val="28"/>
        </w:rPr>
        <w:t>一、项目背景</w:t>
      </w:r>
      <w:bookmarkEnd w:id="36"/>
      <w:bookmarkEnd w:id="37"/>
      <w:bookmarkStart w:id="38" w:name="_Toc447799417"/>
      <w:bookmarkStart w:id="39" w:name="_Toc449097074"/>
    </w:p>
    <w:p w14:paraId="7D5AA16C">
      <w:pPr>
        <w:adjustRightInd w:val="0"/>
        <w:snapToGrid w:val="0"/>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2025年卡车公司消防维保及值班项目（济南卡车制造公司党家园区、济南卡车制造公司莱芜园区），对以上两个园区内的消防设备设施进行维保及消防中控室值班。</w:t>
      </w:r>
    </w:p>
    <w:p w14:paraId="57CBF050">
      <w:pPr>
        <w:pStyle w:val="10"/>
        <w:pageBreakBefore w:val="0"/>
        <w:widowControl w:val="0"/>
        <w:kinsoku/>
        <w:wordWrap/>
        <w:overflowPunct/>
        <w:topLinePunct w:val="0"/>
        <w:autoSpaceDE/>
        <w:autoSpaceDN/>
        <w:bidi w:val="0"/>
        <w:adjustRightInd w:val="0"/>
        <w:snapToGrid w:val="0"/>
        <w:spacing w:line="540" w:lineRule="exact"/>
        <w:ind w:left="0" w:leftChars="0" w:right="0" w:firstLine="562" w:firstLineChars="200"/>
        <w:textAlignment w:val="auto"/>
        <w:outlineLvl w:val="1"/>
        <w:rPr>
          <w:rFonts w:eastAsia="仿宋" w:cs="仿宋"/>
          <w:b/>
          <w:bCs/>
          <w:sz w:val="28"/>
        </w:rPr>
      </w:pPr>
      <w:r>
        <w:rPr>
          <w:rFonts w:hint="eastAsia" w:eastAsia="仿宋" w:cs="仿宋"/>
          <w:b/>
          <w:bCs/>
          <w:sz w:val="28"/>
        </w:rPr>
        <w:t>二、投标单位要求</w:t>
      </w:r>
      <w:bookmarkEnd w:id="38"/>
      <w:bookmarkEnd w:id="39"/>
    </w:p>
    <w:p w14:paraId="2BC1BF06">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1、投标单位必须独立参加投标，不得以任何形式授权他人或组织联合体形式参加投标。投标单位中标后，不得以任何形式进行转包和分包。</w:t>
      </w:r>
    </w:p>
    <w:p w14:paraId="1916F3A7">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2、投标单位需根据此项目系统工作量及专业性，出具科学性、合理性的维保管理方案。</w:t>
      </w:r>
    </w:p>
    <w:p w14:paraId="264A39E9">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3、投标单位需依据报价单专业岗位划分类型为此项目安排维保团队，并在投标文件中列明各专业岗位人员配置数量及人员素质、维保经验等要求。</w:t>
      </w:r>
    </w:p>
    <w:p w14:paraId="0F2C554E">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4、投标单位需依据项目背景及设备内容，详细阐述对设备的维保内容及范围。</w:t>
      </w:r>
    </w:p>
    <w:p w14:paraId="73E8D70E">
      <w:pPr>
        <w:pStyle w:val="10"/>
        <w:pageBreakBefore w:val="0"/>
        <w:widowControl w:val="0"/>
        <w:kinsoku/>
        <w:wordWrap/>
        <w:overflowPunct/>
        <w:topLinePunct w:val="0"/>
        <w:autoSpaceDE/>
        <w:autoSpaceDN/>
        <w:bidi w:val="0"/>
        <w:adjustRightInd w:val="0"/>
        <w:snapToGrid w:val="0"/>
        <w:spacing w:line="540" w:lineRule="exact"/>
        <w:ind w:left="0" w:leftChars="0" w:right="0" w:firstLine="562" w:firstLineChars="200"/>
        <w:textAlignment w:val="auto"/>
        <w:outlineLvl w:val="1"/>
        <w:rPr>
          <w:rFonts w:eastAsia="仿宋" w:cs="仿宋"/>
          <w:b/>
          <w:bCs/>
          <w:sz w:val="28"/>
        </w:rPr>
      </w:pPr>
      <w:bookmarkStart w:id="40" w:name="_Toc449097075"/>
      <w:bookmarkStart w:id="41" w:name="_Toc447799418"/>
      <w:r>
        <w:rPr>
          <w:rFonts w:hint="eastAsia" w:eastAsia="仿宋" w:cs="仿宋"/>
          <w:b/>
          <w:bCs/>
          <w:sz w:val="28"/>
        </w:rPr>
        <w:t>三、招标范围、项目内容及工作要求</w:t>
      </w:r>
      <w:bookmarkEnd w:id="40"/>
      <w:bookmarkEnd w:id="41"/>
    </w:p>
    <w:p w14:paraId="5288EB8B">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为保障园区消防系统安全、稳定运行，要求投标单位成立专业运维团队，</w:t>
      </w:r>
      <w:r>
        <w:rPr>
          <w:rFonts w:hint="eastAsia" w:ascii="仿宋" w:hAnsi="仿宋" w:eastAsia="仿宋" w:cs="仿宋"/>
          <w:sz w:val="28"/>
          <w:szCs w:val="28"/>
          <w:lang w:val="en-US" w:eastAsia="zh-CN"/>
        </w:rPr>
        <w:t>包含消防设施维护保养、消防中控室值班、电气防火检测、建筑消防设施检测、消防安全评估，中控室值班人员</w:t>
      </w:r>
      <w:r>
        <w:rPr>
          <w:rFonts w:hint="eastAsia" w:ascii="仿宋" w:hAnsi="仿宋" w:eastAsia="仿宋" w:cs="仿宋"/>
          <w:sz w:val="28"/>
          <w:szCs w:val="28"/>
        </w:rPr>
        <w:t>必须为持证上岗且人证相符，不得有挂靠人员，且对消防设施日常巡检内容熟悉，能掌握消防设施的操作及使用方法，懂消防法律法规，身体健康，无不良嗜好和犯罪前科），</w:t>
      </w:r>
      <w:r>
        <w:rPr>
          <w:rFonts w:hint="eastAsia" w:ascii="仿宋" w:hAnsi="仿宋" w:eastAsia="仿宋" w:cs="仿宋"/>
          <w:sz w:val="28"/>
          <w:szCs w:val="28"/>
          <w:lang w:val="en-US" w:eastAsia="zh-CN"/>
        </w:rPr>
        <w:t>消防巡逻点检人员</w:t>
      </w:r>
      <w:r>
        <w:rPr>
          <w:rFonts w:hint="eastAsia" w:ascii="仿宋" w:hAnsi="仿宋" w:eastAsia="仿宋" w:cs="仿宋"/>
          <w:sz w:val="28"/>
          <w:szCs w:val="28"/>
        </w:rPr>
        <w:t>负责整个园区消防系统的巡检、维修和保养等项工作。</w:t>
      </w:r>
    </w:p>
    <w:p w14:paraId="78244F8F">
      <w:pPr>
        <w:pageBreakBefore w:val="0"/>
        <w:widowControl w:val="0"/>
        <w:tabs>
          <w:tab w:val="left" w:pos="7858"/>
        </w:tabs>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(一)招标范围</w:t>
      </w:r>
      <w:r>
        <w:rPr>
          <w:rFonts w:hint="eastAsia" w:ascii="仿宋" w:hAnsi="仿宋" w:eastAsia="仿宋" w:cs="仿宋"/>
          <w:sz w:val="28"/>
          <w:szCs w:val="28"/>
        </w:rPr>
        <w:tab/>
      </w:r>
    </w:p>
    <w:p w14:paraId="38D59B80">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1、负责园区自动消防系统及全部消防设施和消防标志标识的维修保养完善工作以及相关各项管理制度和消防档案、灭火应急疏散预案、演练方案的完善、提升；</w:t>
      </w:r>
    </w:p>
    <w:p w14:paraId="586E2603">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2、定期对园区专（兼）职消防安全管理人、义务消防员及全体员工的防火、灭火、逃生知识培训；</w:t>
      </w:r>
    </w:p>
    <w:p w14:paraId="01D775EC">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3、负责消防系统设备设施维护，查找存在的隐患及时告知甲方消防主管部门，并拿出整改方案及整改建议；</w:t>
      </w:r>
    </w:p>
    <w:p w14:paraId="4B6AF3E4">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参与</w:t>
      </w:r>
      <w:r>
        <w:rPr>
          <w:rFonts w:hint="eastAsia" w:ascii="仿宋" w:hAnsi="仿宋" w:eastAsia="仿宋" w:cs="仿宋"/>
          <w:sz w:val="28"/>
          <w:szCs w:val="28"/>
        </w:rPr>
        <w:t>园区其它消防设施的日常巡检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隐患整改的落实，并出具每日检查问题日报</w:t>
      </w:r>
      <w:r>
        <w:rPr>
          <w:rFonts w:hint="eastAsia" w:ascii="仿宋" w:hAnsi="仿宋" w:eastAsia="仿宋" w:cs="仿宋"/>
          <w:sz w:val="28"/>
          <w:szCs w:val="28"/>
        </w:rPr>
        <w:t>；</w:t>
      </w:r>
    </w:p>
    <w:p w14:paraId="77E4B074">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5、负责消防监控室24小时带证值班，及时处理涉及消防安全的巡查及报警事项；</w:t>
      </w:r>
    </w:p>
    <w:p w14:paraId="3260BDBD">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6、投标单位在消防维保初期必须协助甲方进行设备故障隐患排查、设备安全问题交接、设备功能及建设是否合理等相关交接工作；</w:t>
      </w:r>
    </w:p>
    <w:p w14:paraId="14ECA9B1">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7、负责协调与属地消防管理部门的对外联系工作；</w:t>
      </w:r>
    </w:p>
    <w:p w14:paraId="7FC9CD2B">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8、负责同消防管理部门的各项业务，确保不因消防问题而耽误其他工作的正常运行。</w:t>
      </w:r>
    </w:p>
    <w:p w14:paraId="45D6CA08">
      <w:pPr>
        <w:pageBreakBefore w:val="0"/>
        <w:widowControl w:val="0"/>
        <w:kinsoku/>
        <w:wordWrap/>
        <w:overflowPunct/>
        <w:topLinePunct w:val="0"/>
        <w:autoSpaceDE/>
        <w:autoSpaceDN/>
        <w:bidi w:val="0"/>
        <w:adjustRightInd w:val="0"/>
        <w:snapToGrid w:val="0"/>
        <w:spacing w:line="540" w:lineRule="exact"/>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配合甲方，应对公司内、外部检查，并协助对检查出的问题进行整改；涉及维保类行政处罚的，予以承担。</w:t>
      </w:r>
    </w:p>
    <w:p w14:paraId="3F034F66">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（二）项目内容：</w:t>
      </w:r>
    </w:p>
    <w:p w14:paraId="53BEAFAF">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1、火灾自动报警系统；</w:t>
      </w:r>
    </w:p>
    <w:p w14:paraId="6476A92D">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2、消防给水设施；</w:t>
      </w:r>
    </w:p>
    <w:p w14:paraId="777A6A09">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3、消火栓系统；</w:t>
      </w:r>
    </w:p>
    <w:p w14:paraId="126A9497">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4、自动喷水灭火系统（含消防泵房、消防水箱等）；</w:t>
      </w:r>
    </w:p>
    <w:p w14:paraId="663995F2">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5、气体灭火系统；</w:t>
      </w:r>
    </w:p>
    <w:p w14:paraId="46E4B972">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6、防火分隔（防火门、卷帘门）及防烟、排烟系统；</w:t>
      </w:r>
    </w:p>
    <w:p w14:paraId="12C05E66">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7、消防电气和通讯设施；</w:t>
      </w:r>
    </w:p>
    <w:p w14:paraId="505021F4">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8、移动式灭火器材；</w:t>
      </w:r>
    </w:p>
    <w:p w14:paraId="0850EB34">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、应急疏散照明系统；</w:t>
      </w:r>
    </w:p>
    <w:p w14:paraId="291A7082">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、园区消防系统及消防中控室双人7*24小时运维值守；</w:t>
      </w:r>
    </w:p>
    <w:p w14:paraId="3F7711C2">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、其他设施。（详见建筑消防设施名录）</w:t>
      </w:r>
    </w:p>
    <w:p w14:paraId="72FD9463">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（三）消防维保工作要求</w:t>
      </w:r>
    </w:p>
    <w:p w14:paraId="73E1A1C4">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1、维保数量及周期</w:t>
      </w:r>
    </w:p>
    <w:p w14:paraId="0714CCAF">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参考规范：</w:t>
      </w:r>
      <w:r>
        <w:rPr>
          <w:rFonts w:hint="eastAsia" w:ascii="仿宋" w:hAnsi="仿宋" w:eastAsia="仿宋"/>
          <w:color w:val="000000"/>
          <w:sz w:val="28"/>
          <w:szCs w:val="24"/>
          <w:lang w:val="en-US" w:eastAsia="zh-CN"/>
        </w:rPr>
        <w:t>《山东省建筑消防设施维护保养技术规程》（DB37/T4328-2021）</w:t>
      </w:r>
    </w:p>
    <w:tbl>
      <w:tblPr>
        <w:tblStyle w:val="17"/>
        <w:tblW w:w="812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0"/>
        <w:gridCol w:w="2068"/>
        <w:gridCol w:w="1214"/>
        <w:gridCol w:w="910"/>
        <w:gridCol w:w="1170"/>
        <w:gridCol w:w="1180"/>
      </w:tblGrid>
      <w:tr w14:paraId="0A8A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2A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建筑消防设施</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0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设施设备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6A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规范条款</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1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维护周期</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31D5C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检查数量</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3B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实际要求</w:t>
            </w:r>
          </w:p>
        </w:tc>
      </w:tr>
      <w:tr w14:paraId="31F6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D8B74">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9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火灾报警控制器及联动控制器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D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6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660E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911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9C968">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A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消防控制室图形显示装置</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E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A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7C44D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3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5630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95513">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火灾显示盘</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6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5F01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5F98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09B5E">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C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火灾探测器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1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3DC7A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全数,每月不应少于8%,每季度不应少于25%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8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全数,每月不应少于10%,每季度不应少于30%</w:t>
            </w:r>
          </w:p>
        </w:tc>
      </w:tr>
      <w:tr w14:paraId="0BD7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C523">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A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火灾警报器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9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5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ACBF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全数,每月不应少于8%,每季度不应少于25%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F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全数,每月不应少于10%,每季度不应少于30%</w:t>
            </w:r>
          </w:p>
        </w:tc>
      </w:tr>
      <w:tr w14:paraId="41AA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9A321">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4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手动火灾报警按钮</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A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2E0D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全数,每月不应少于8%,每季度不应少于25%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4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全数,每月不应少于10%,每季度不应少于30%</w:t>
            </w:r>
          </w:p>
        </w:tc>
      </w:tr>
      <w:tr w14:paraId="4CC7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6A83">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0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消防应急广播</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8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8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D25A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6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2847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9A79">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消防电话</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2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3AFB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E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146C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8AA2">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0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1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E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3A1B7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1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3218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70DC">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1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系统联动测试</w:t>
            </w:r>
            <w:r>
              <w:rPr>
                <w:rFonts w:hint="eastAsia" w:ascii="宋体" w:hAnsi="宋体" w:cs="宋体"/>
                <w:i w:val="0"/>
                <w:iCs w:val="0"/>
                <w:color w:val="000000"/>
                <w:kern w:val="0"/>
                <w:sz w:val="22"/>
                <w:szCs w:val="22"/>
                <w:u w:val="none"/>
                <w:lang w:val="en-US" w:eastAsia="zh-CN" w:bidi="ar"/>
              </w:rPr>
              <w:t>（全园区）</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9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13DC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0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次</w:t>
            </w:r>
          </w:p>
        </w:tc>
      </w:tr>
      <w:tr w14:paraId="05A1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7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消防水源</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C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消防水源</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9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6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7CE92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1981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2A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9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消防水泵及控制柜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8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1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D269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8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10FE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D8BF">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2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稳压增压设施</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F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1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52C9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C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6072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D4CAA">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right w:val="single" w:color="000000" w:sz="4" w:space="0"/>
            </w:tcBorders>
            <w:shd w:val="clear" w:color="auto" w:fill="auto"/>
            <w:vAlign w:val="center"/>
          </w:tcPr>
          <w:p w14:paraId="03FC1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w:t>
            </w:r>
          </w:p>
        </w:tc>
        <w:tc>
          <w:tcPr>
            <w:tcW w:w="1214" w:type="dxa"/>
            <w:tcBorders>
              <w:top w:val="single" w:color="000000" w:sz="4" w:space="0"/>
              <w:left w:val="single" w:color="000000" w:sz="4" w:space="0"/>
              <w:right w:val="single" w:color="000000" w:sz="4" w:space="0"/>
            </w:tcBorders>
            <w:shd w:val="clear" w:color="auto" w:fill="auto"/>
            <w:vAlign w:val="center"/>
          </w:tcPr>
          <w:p w14:paraId="7E913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6.4.1.3</w:t>
            </w:r>
          </w:p>
        </w:tc>
        <w:tc>
          <w:tcPr>
            <w:tcW w:w="910" w:type="dxa"/>
            <w:tcBorders>
              <w:top w:val="single" w:color="000000" w:sz="4" w:space="0"/>
              <w:left w:val="single" w:color="000000" w:sz="4" w:space="0"/>
              <w:right w:val="single" w:color="000000" w:sz="4" w:space="0"/>
            </w:tcBorders>
            <w:shd w:val="clear" w:color="auto" w:fill="auto"/>
            <w:vAlign w:val="center"/>
          </w:tcPr>
          <w:p w14:paraId="1ED42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right w:val="nil"/>
            </w:tcBorders>
            <w:shd w:val="clear" w:color="auto" w:fill="auto"/>
            <w:vAlign w:val="center"/>
          </w:tcPr>
          <w:p w14:paraId="1FEB1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0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56D3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B662">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2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A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6624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7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1762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41771">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7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6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CD3A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全数,每月不应少于8%,每季度不应少于25%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5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全数,每月不应少于10%,每季度不应少于30%</w:t>
            </w:r>
          </w:p>
        </w:tc>
      </w:tr>
      <w:tr w14:paraId="5E34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AE7E">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5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管网控制阀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7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596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F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4551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C54C">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D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系统过滤器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9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0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D78A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2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5807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22234">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9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消火栓系统功能</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3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2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38B34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2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r>
      <w:tr w14:paraId="3214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3AE65">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8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6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6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7570D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4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26A5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0C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自动喷水灭火系统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A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消防水泵及控制柜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4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F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2622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A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7D5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9623">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F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稳压增压设施</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D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7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AE9D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8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841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DB7B">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1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7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A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526A9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3FBF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A089F">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E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湿式报警阀组</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4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0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D514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F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2C3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05ED9">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5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预作用报警阀组</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2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D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0B415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3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538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2DAFA">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9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雨淋报警阀组</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B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0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F4A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E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336E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1AD0">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3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水流指示器及末端试水装置</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2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F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4A3D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6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6BC1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5E64E">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9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6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AFB5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全数,每月不应少于8%,每季度不应少于25%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2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全数,每月不应少于10%,每季度不应少于30%</w:t>
            </w:r>
          </w:p>
        </w:tc>
      </w:tr>
      <w:tr w14:paraId="5CCB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61F48">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1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湿式系统联动功能测试</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2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7F4A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A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3F4D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5EEF7">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8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预作用系统联动功能测试</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7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5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834E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C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A01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C46F">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雨淋系统联动功能测试</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D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5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3B88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2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1B92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9D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细水雾灭火系统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3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储水箱</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50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6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79538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1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r>
      <w:tr w14:paraId="6781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F516B">
            <w:pPr>
              <w:jc w:val="center"/>
              <w:rPr>
                <w:rFonts w:hint="eastAsia" w:ascii="宋体" w:hAnsi="宋体" w:eastAsia="宋体" w:cs="宋体"/>
                <w:i w:val="0"/>
                <w:iCs w:val="0"/>
                <w:color w:val="000000"/>
                <w:kern w:val="0"/>
                <w:sz w:val="22"/>
                <w:szCs w:val="22"/>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0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消防设备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F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5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394B1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6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r>
      <w:tr w14:paraId="6F72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40B9A">
            <w:pPr>
              <w:jc w:val="center"/>
              <w:rPr>
                <w:rFonts w:hint="eastAsia" w:ascii="宋体" w:hAnsi="宋体" w:eastAsia="宋体" w:cs="宋体"/>
                <w:i w:val="0"/>
                <w:iCs w:val="0"/>
                <w:color w:val="000000"/>
                <w:kern w:val="0"/>
                <w:sz w:val="22"/>
                <w:szCs w:val="22"/>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D6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储气容器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B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0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D8542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0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r>
      <w:tr w14:paraId="24F0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770FD">
            <w:pPr>
              <w:jc w:val="center"/>
              <w:rPr>
                <w:rFonts w:hint="eastAsia" w:ascii="宋体" w:hAnsi="宋体" w:eastAsia="宋体" w:cs="宋体"/>
                <w:i w:val="0"/>
                <w:iCs w:val="0"/>
                <w:color w:val="000000"/>
                <w:kern w:val="0"/>
                <w:sz w:val="22"/>
                <w:szCs w:val="22"/>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80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分区控制阀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B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9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5BFF44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2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r>
      <w:tr w14:paraId="11C3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3B5ED">
            <w:pPr>
              <w:jc w:val="center"/>
              <w:rPr>
                <w:rFonts w:hint="eastAsia" w:ascii="宋体" w:hAnsi="宋体" w:eastAsia="宋体" w:cs="宋体"/>
                <w:i w:val="0"/>
                <w:iCs w:val="0"/>
                <w:color w:val="000000"/>
                <w:kern w:val="0"/>
                <w:sz w:val="22"/>
                <w:szCs w:val="22"/>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7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管道及附件</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6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C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06D1D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0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r>
      <w:tr w14:paraId="22F1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2E1D">
            <w:pPr>
              <w:jc w:val="center"/>
              <w:rPr>
                <w:rFonts w:hint="eastAsia" w:ascii="宋体" w:hAnsi="宋体" w:eastAsia="宋体" w:cs="宋体"/>
                <w:i w:val="0"/>
                <w:iCs w:val="0"/>
                <w:color w:val="000000"/>
                <w:kern w:val="0"/>
                <w:sz w:val="22"/>
                <w:szCs w:val="22"/>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4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水雾喷头</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80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4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528CA9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3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r>
      <w:tr w14:paraId="5D50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F306">
            <w:pPr>
              <w:jc w:val="center"/>
              <w:rPr>
                <w:rFonts w:hint="eastAsia" w:ascii="宋体" w:hAnsi="宋体" w:eastAsia="宋体" w:cs="宋体"/>
                <w:i w:val="0"/>
                <w:iCs w:val="0"/>
                <w:color w:val="000000"/>
                <w:kern w:val="0"/>
                <w:sz w:val="22"/>
                <w:szCs w:val="22"/>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3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系统组件</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1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F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7A69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全数</w:t>
            </w:r>
          </w:p>
        </w:tc>
      </w:tr>
      <w:tr w14:paraId="459B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5681A">
            <w:pPr>
              <w:jc w:val="center"/>
              <w:rPr>
                <w:rFonts w:hint="eastAsia" w:ascii="宋体" w:hAnsi="宋体" w:eastAsia="宋体" w:cs="宋体"/>
                <w:i w:val="0"/>
                <w:iCs w:val="0"/>
                <w:color w:val="000000"/>
                <w:kern w:val="0"/>
                <w:sz w:val="22"/>
                <w:szCs w:val="22"/>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E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细水雾系统联动功能测试</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DF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7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99AAD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35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次</w:t>
            </w:r>
          </w:p>
        </w:tc>
      </w:tr>
      <w:tr w14:paraId="1303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93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2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气体灭火控制器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7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6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54D8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9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28F3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CE6D9">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系统组件</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B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D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78305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68D9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9C743">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3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储存装置</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0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2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427A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6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7000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DD6D">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6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驱动装置</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6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C0D7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E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798E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98400">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F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管道及支架</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7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5183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E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346E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1A4C0">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8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喷嘴</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3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6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A668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F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885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933C">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4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模拟启动试验</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A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B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3FD40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C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次</w:t>
            </w:r>
          </w:p>
        </w:tc>
      </w:tr>
      <w:tr w14:paraId="1B9D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0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防烟排烟系统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C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防烟排烟风机及控制柜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6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097CC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E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40C3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764C">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5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挡烟垂壁</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F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A27C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0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3979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C2F8">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A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电动排烟窗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F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A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67EC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8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8D3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5BAD">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F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排烟防火阀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6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3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4930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全数,每季度不应少于25%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0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全数,每月不应少于10%,每季度不应少于30%</w:t>
            </w:r>
          </w:p>
        </w:tc>
      </w:tr>
      <w:tr w14:paraId="664F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815BF">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4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送风阀（口）</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9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4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DFE5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全数,每季度不应少于25%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9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全数,每月不应少于10%,每季度不应少于30%</w:t>
            </w:r>
          </w:p>
        </w:tc>
      </w:tr>
      <w:tr w14:paraId="0F93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439C3">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8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排烟阀（口）</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1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F343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全数,每季度不应少于25%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C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全数,每月不应少于10%,每季度不应少于30%</w:t>
            </w:r>
          </w:p>
        </w:tc>
      </w:tr>
      <w:tr w14:paraId="7DE5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1B9A">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3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消防风管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6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4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53942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F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3E8E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3DE08">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A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系统联动试验</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5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8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24BF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2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次</w:t>
            </w:r>
          </w:p>
        </w:tc>
      </w:tr>
      <w:tr w14:paraId="160B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77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消防应急照明和疏散指示系统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D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应急照明控制器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2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4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7EA15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C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38AA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DC88">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应急照明集中电源</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3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D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B745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1CDB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AA044">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F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应急照明配电箱</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6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31C7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C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FD8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1DC2">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应急照明灯具和疏散指示标志灯具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D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04B38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全数,每月不应少于8%,每季度不应少于25 %</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F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全数,每月不应少于10%,每季度不应少于30%</w:t>
            </w:r>
          </w:p>
        </w:tc>
      </w:tr>
      <w:tr w14:paraId="0ED1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5ECF6">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7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系统功能</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6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4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35B78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A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两次</w:t>
            </w:r>
          </w:p>
        </w:tc>
      </w:tr>
      <w:tr w14:paraId="5309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9A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防火分隔设施</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D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电动防火门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5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0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7916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1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3229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FE400">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1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2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6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0DEF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1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2D79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50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电气火灾监控系统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E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监控设备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0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4374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C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2F67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D2C74">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2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剩余电流式电气火灾监控探测器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1D96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7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0441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BE5E">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测温式电气火灾监控探测器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3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4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4F47C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6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23C8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56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可燃气体探测报警系统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3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可燃气体报警控制器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8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E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3F8D9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4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2BDD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F1E94">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8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可燃气体探测器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3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1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23223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D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11EB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76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消防设备电源监控系统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8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0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6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F9E8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0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6CB6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98BC4">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8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消防设备电源监控主机</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6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4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94AF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A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2C51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92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防火门监控系统</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2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防火门监控器主机</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C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D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6114E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8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7B20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03C92">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C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电动闭门器（电动释放器）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4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A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3C471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3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r w14:paraId="69C6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E01E">
            <w:pPr>
              <w:jc w:val="center"/>
              <w:rPr>
                <w:rFonts w:hint="eastAsia" w:ascii="宋体" w:hAnsi="宋体" w:eastAsia="宋体" w:cs="宋体"/>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1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控制功能</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C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0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58D22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9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全数</w:t>
            </w:r>
          </w:p>
        </w:tc>
      </w:tr>
    </w:tbl>
    <w:p w14:paraId="1D7E3397"/>
    <w:p w14:paraId="1D3B0E61">
      <w:pPr>
        <w:pageBreakBefore w:val="0"/>
        <w:widowControl w:val="0"/>
        <w:kinsoku/>
        <w:wordWrap/>
        <w:overflowPunct/>
        <w:topLinePunct w:val="0"/>
        <w:autoSpaceDE/>
        <w:autoSpaceDN/>
        <w:bidi w:val="0"/>
        <w:adjustRightInd w:val="0"/>
        <w:snapToGrid w:val="0"/>
        <w:spacing w:line="360" w:lineRule="auto"/>
        <w:ind w:left="0" w:leftChars="0" w:right="0" w:firstLine="643" w:firstLineChars="200"/>
        <w:jc w:val="left"/>
        <w:textAlignment w:val="auto"/>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32"/>
          <w:szCs w:val="32"/>
          <w:lang w:val="en-US" w:eastAsia="zh-CN"/>
        </w:rPr>
        <w:t>2、维保要求及维保方法</w:t>
      </w:r>
    </w:p>
    <w:tbl>
      <w:tblPr>
        <w:tblStyle w:val="17"/>
        <w:tblW w:w="8004"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0"/>
        <w:gridCol w:w="4068"/>
        <w:gridCol w:w="2556"/>
      </w:tblGrid>
      <w:tr w14:paraId="3315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0ACCD">
            <w:pPr>
              <w:spacing w:beforeLines="0" w:afterLines="0"/>
              <w:jc w:val="both"/>
              <w:rPr>
                <w:rFonts w:hint="eastAsia" w:ascii="仿宋_GB2312" w:hAnsi="仿宋_GB2312" w:eastAsia="仿宋_GB2312" w:cs="仿宋_GB2312"/>
                <w:b/>
                <w:color w:val="000000"/>
                <w:sz w:val="28"/>
                <w:szCs w:val="24"/>
              </w:rPr>
            </w:pPr>
            <w:r>
              <w:rPr>
                <w:rFonts w:hint="eastAsia" w:ascii="仿宋_GB2312" w:hAnsi="仿宋_GB2312" w:eastAsia="仿宋_GB2312" w:cs="仿宋_GB2312"/>
                <w:b/>
                <w:color w:val="000000"/>
                <w:sz w:val="28"/>
                <w:szCs w:val="24"/>
              </w:rPr>
              <w:t>维保项目</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0CA31">
            <w:pPr>
              <w:spacing w:beforeLines="0" w:afterLines="0"/>
              <w:jc w:val="center"/>
              <w:rPr>
                <w:rFonts w:hint="eastAsia" w:ascii="仿宋_GB2312" w:hAnsi="仿宋_GB2312" w:eastAsia="仿宋_GB2312" w:cs="仿宋_GB2312"/>
                <w:b/>
                <w:color w:val="000000"/>
                <w:sz w:val="28"/>
                <w:szCs w:val="24"/>
              </w:rPr>
            </w:pPr>
            <w:r>
              <w:rPr>
                <w:rFonts w:hint="eastAsia" w:ascii="仿宋_GB2312" w:hAnsi="仿宋_GB2312" w:eastAsia="仿宋_GB2312" w:cs="仿宋_GB2312"/>
                <w:b/>
                <w:color w:val="000000"/>
                <w:sz w:val="28"/>
                <w:szCs w:val="24"/>
              </w:rPr>
              <w:t>维保要求</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C28034">
            <w:pPr>
              <w:spacing w:beforeLines="0" w:afterLines="0"/>
              <w:jc w:val="center"/>
              <w:rPr>
                <w:rFonts w:hint="eastAsia" w:ascii="仿宋_GB2312" w:hAnsi="仿宋_GB2312" w:eastAsia="仿宋_GB2312" w:cs="仿宋_GB2312"/>
                <w:b/>
                <w:color w:val="000000"/>
                <w:sz w:val="28"/>
                <w:szCs w:val="24"/>
              </w:rPr>
            </w:pPr>
            <w:r>
              <w:rPr>
                <w:rFonts w:hint="eastAsia" w:ascii="仿宋_GB2312" w:hAnsi="仿宋_GB2312" w:eastAsia="仿宋_GB2312" w:cs="仿宋_GB2312"/>
                <w:b/>
                <w:color w:val="000000"/>
                <w:sz w:val="28"/>
                <w:szCs w:val="24"/>
              </w:rPr>
              <w:t>维保方法</w:t>
            </w:r>
          </w:p>
        </w:tc>
      </w:tr>
      <w:tr w14:paraId="0544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96A15AD">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火灾自动报警系统</w:t>
            </w:r>
          </w:p>
        </w:tc>
      </w:tr>
      <w:tr w14:paraId="5E37B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542A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火灾报警控制器及联动控制器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C711E">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a) 控制器的自检、消音、复位、屏蔽、历史记录查询、火警优先等功能应正常；</w:t>
            </w:r>
          </w:p>
          <w:p w14:paraId="02796445">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b) 控制器应能直接或间接地接收来自火灾探测器及其他报警触发器件的火灾报警信号，发出声、光报警信号，指示火灾发生部位，记录火灾报警时间，并予以保持，直至手动复位；</w:t>
            </w:r>
          </w:p>
          <w:p w14:paraId="675DD3C8">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c) 火灾报警声信号应能手动消除，当再有火灾报警信号输入时，应能再次启动；</w:t>
            </w:r>
          </w:p>
          <w:p w14:paraId="289B0A45">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d) 控制器使用打印机记录火灾报警时间时，应打印出月、日、时、分等信息；</w:t>
            </w:r>
          </w:p>
          <w:p w14:paraId="48C82E74">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e) 当控制器内部、控制器与其连接的部件间产生故障时，应能在100s内发出与火灾报警信号有明显区别的故障声、光信号，故障声信号应能手动消除，再有故障信号输入时，应能再启动；</w:t>
            </w:r>
          </w:p>
          <w:p w14:paraId="47D2461E">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f) 火灾报警控制器的电源部分应有主电源和备用电源转换装置。当主电源断电时，能自动切换到备用电源；当主电源恢复时能自动转换到主电源。</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33615">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a项：操作控制器的自检按键，观察控制器面板上所有指示灯、显示器和音响器件的动作情况。当报警控制器处于报警状态时，手动操作控制器的消音键，检查控制器声信号消除情况。手动操作消防联动控制器或火灾报警控制器（联动型）的复位键，观察控制器、模块的工作情况。操作控制器屏蔽或取消屏蔽回路任一部件，检查控制器设备信息注释情况和屏蔽指示灯工作情况。结合探测器报警功能测试，查看报警控制器显示的报警部位、类型是否与现场一致。</w:t>
            </w:r>
          </w:p>
          <w:p w14:paraId="483F7C10">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b、c项：控制器发出消防联动设备控制信号时，应发出相应的声光信号指示，该光信号指示不能被覆盖且应保持至手动恢复；在接收到消防联动控制设备反馈信号10 s内应发出相应的声光信号，并保持至消防联动设备恢复。</w:t>
            </w:r>
          </w:p>
          <w:p w14:paraId="42088192">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d项：结合探测器报警功能测试，查看打印机记录纸张信息是否完整。</w:t>
            </w:r>
          </w:p>
          <w:p w14:paraId="6DAF1635">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e项：控制器与任一现场部件之间的连接断路，用秒表测量控制器故障报警响应时间，检查控制器故障信息显示情况。</w:t>
            </w:r>
          </w:p>
          <w:p w14:paraId="64129A62">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f项：测试控制器电源转换功能：切断主电源，能自动转换到备用电源，主电源恢复时，能自动转换到主电源；主、备电源工作状态指示正常。</w:t>
            </w:r>
          </w:p>
        </w:tc>
      </w:tr>
      <w:tr w14:paraId="209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3CAF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消防控制室图形显示装置</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AB70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消防控制室图形显示装置应能接收火灾报警控制器和消防联动控制器发出的故障报警信号、火灾报警信号和联动控制信号，显示相应信息；</w:t>
            </w:r>
          </w:p>
          <w:p w14:paraId="60D5641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消防控制室图形显示装置应能监视并显示与控制器通讯的工作状态；</w:t>
            </w:r>
          </w:p>
          <w:p w14:paraId="52AF4F9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消防控制室图形显示装置应能显示建筑总平面图、保护对象的建筑平面图和系统图；</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E5B81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使火灾报警控制器、消防联动控制器发出火灾报警信号、联动控制信号、反馈信号，核对图形显示装置显示相应信号的物理位置准确性。</w:t>
            </w:r>
          </w:p>
        </w:tc>
      </w:tr>
      <w:tr w14:paraId="411D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67243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火灾显示盘</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95FD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外观应完好，无明显损伤；</w:t>
            </w:r>
          </w:p>
          <w:p w14:paraId="6C38372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探测器安装应牢固不得有明显松动；</w:t>
            </w:r>
          </w:p>
          <w:p w14:paraId="45AEC17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探测器周围0.5m内不应有遮挡物；</w:t>
            </w:r>
          </w:p>
          <w:p w14:paraId="0859410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当被监视区域达到报警条件时，应向火灾报警控制器输出火警信号；</w:t>
            </w:r>
          </w:p>
          <w:p w14:paraId="177990F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探测器报警后应能启动火灾报警确认灯；探测器报警确认灯在手动复位前应予以保持；</w:t>
            </w:r>
          </w:p>
          <w:p w14:paraId="392F4B8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探测器的编码应与竣工图标识、控制器显示相对应</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963BA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a、b、c、f项：目测，手动检查。</w:t>
            </w:r>
          </w:p>
          <w:p w14:paraId="301AF5F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e项：对可恢复的探测器采用专用的检测仪器或模拟火灾，使探测器达到报警设定值；对不可恢复的探测器采取模拟报警的方法，使探测器处于火灾报警状态；观察火灾探测器火警确认灯点亮情况。对线型光束感烟火灾探测器的火灾报警功能、复位功能进行检查并记录，探测器的火灾报警功能、复位功能。对线型感温火灾探测器的火灾报警功能、复位功能进行检查并记录；对线型感温火灾探测器的敏感部件故障功能进行检查并记录。对管路采样式吸气感烟火灾探测器的火灾报警功能、复位功能进行检查并记录；对管路采样式吸气感烟火灾探测器的采样管路气流故障报警功能进行检查并记录。对点型火焰探测器和图像型火灾探测器的火灾报警功能、复位功能进行检查并记录。</w:t>
            </w:r>
          </w:p>
        </w:tc>
      </w:tr>
      <w:tr w14:paraId="4D15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A8D8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火灾警报器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82A1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安装应牢固、平稳、无松动；</w:t>
            </w:r>
          </w:p>
          <w:p w14:paraId="45AB0F2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应在接收火灾报警控制器输出的控制信号后，发出声、光警报。</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33BDB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a项：目测，手动检查。</w:t>
            </w:r>
          </w:p>
          <w:p w14:paraId="3594893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b项：操作控制器使火灾警报器启动，观察火灾警报器是否发出声、光警报。</w:t>
            </w:r>
          </w:p>
        </w:tc>
      </w:tr>
      <w:tr w14:paraId="6635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37B48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手动火灾报警按钮</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425E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外观应完好，无明显损伤；</w:t>
            </w:r>
          </w:p>
          <w:p w14:paraId="5305E97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紧固部件无松动，启动零件不应破碎、变形或移位；</w:t>
            </w:r>
          </w:p>
          <w:p w14:paraId="7197249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报警按钮编码应与竣工图标识、控制器显示相对应；</w:t>
            </w:r>
          </w:p>
          <w:p w14:paraId="5DB12D6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被触发时，应向火灾报警控制器输出火警信号；</w:t>
            </w:r>
          </w:p>
          <w:p w14:paraId="7339AFA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报警按钮与火灾报警控制器手动复位后，按钮的报警状态与火灾确认指示灯应能复位。</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68B09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a、b、c项：目测，手动检查。</w:t>
            </w:r>
          </w:p>
          <w:p w14:paraId="4DB76A0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e项：使报警按钮动作后，观察按钮火警确认灯的点亮情况；检查控制器火灾报警情况、火警信息显示和记录情况。复位手动报警按钮的机械机构，手动操作控制器的复位键，观察按钮火警确认灯的熄灭情况。对可恢复的手动报警按钮，使报警按钮动作，报警按钮应发出火灾报警信号。对不可恢复的手动报警按钮应采用模拟动作的方法使报警按钮发出火灾报警信号，报警按钮应发出火灾报警信号。</w:t>
            </w:r>
          </w:p>
        </w:tc>
      </w:tr>
      <w:tr w14:paraId="04B4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32825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消防应急广播</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CB93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广播扬声器表面无破损，安装应牢固可靠；</w:t>
            </w:r>
          </w:p>
          <w:p w14:paraId="1098AD0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仪表、指示灯应显示正常，开关和控制按钮应动作灵活；</w:t>
            </w:r>
          </w:p>
          <w:p w14:paraId="40CFA2D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扬声器语音广播音质应清晰；</w:t>
            </w:r>
          </w:p>
          <w:p w14:paraId="44BFC27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火灾应急广播与公共广播合用时，应保证能在消防控制室将相关部位的扬声器和音响广播扩音机强制转入火灾应急广播状态；</w:t>
            </w:r>
          </w:p>
          <w:p w14:paraId="09E72EB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消防应急广播设备的电源部分应具有主电源和备用电源转换装置，当主电源断电时，能自动切换到备用电源；当主电源恢复时，能自动切换到主电源。</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EBF0C">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a、b项：目测，手动检查。</w:t>
            </w:r>
          </w:p>
          <w:p w14:paraId="2A78B85B">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c项：操作消防应急广播控制设备使扬声器播放应急广播信息，检查语音信息的播报情况。</w:t>
            </w:r>
          </w:p>
          <w:p w14:paraId="26850CD9">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d项：结合消防联动功能测试，检查广播的控制功能。</w:t>
            </w:r>
          </w:p>
          <w:p w14:paraId="42C9410E">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e项：进行电源切换测试。</w:t>
            </w:r>
          </w:p>
        </w:tc>
      </w:tr>
      <w:tr w14:paraId="2FEC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FFD7E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消防电话</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C7A8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消防电话主机仪表、指示灯显示应正常，开关和控制按钮应动作灵活；</w:t>
            </w:r>
          </w:p>
          <w:p w14:paraId="6530F2A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消防电话插孔外观应正常；</w:t>
            </w:r>
          </w:p>
          <w:p w14:paraId="2CC12A1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当有消防电话分机呼叫时，总机应在3s内发出呼叫声、光信号；</w:t>
            </w:r>
          </w:p>
          <w:p w14:paraId="2DB0ED8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在消防控制室应能与所有消防电话、电话插孔之间互相呼叫与通话；</w:t>
            </w:r>
          </w:p>
          <w:p w14:paraId="3CDF84D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消防电话分机与消防电话总机的通话应清晰。</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254E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a、b项：目测，手动检查。</w:t>
            </w:r>
          </w:p>
          <w:p w14:paraId="064376F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c项：将任一部电话分机摘机，用秒表测量总机的响应时间，检查总机呼叫信息显示情况。</w:t>
            </w:r>
          </w:p>
          <w:p w14:paraId="3DB46B9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d、e项：操作电话总机建立通话，检查语音通话情况。</w:t>
            </w:r>
          </w:p>
        </w:tc>
      </w:tr>
      <w:tr w14:paraId="6E16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5EA5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消防电梯</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86822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首层的消防电梯迫降按钮，应用透明罩保护，当触发按钮时，能控制电梯下降至首层；</w:t>
            </w:r>
          </w:p>
          <w:p w14:paraId="153C161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消防控制室应能手动和自动控制电梯回落首层，功能、信号均应正常，此时其他楼层按钮不能呼叫控制电梯，只能在轿厢内控制；</w:t>
            </w:r>
          </w:p>
          <w:p w14:paraId="259A0F0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消防电梯从首层到顶层的运行时间不宜大于60s。</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87C6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a项：目测，手动检查；触发首层的迫降按钮时，能控制电梯回落至首层，查看电梯下落情况。</w:t>
            </w:r>
          </w:p>
          <w:p w14:paraId="5F7394E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b、c项：消防控制室手动和自动控制电梯迫降至首层，功能、信号均正常，此时其他楼层按钮呼叫功能失效，只能在轿厢内控制。消防电梯从首层到顶层的运行时间不宜大于60s。</w:t>
            </w:r>
          </w:p>
        </w:tc>
      </w:tr>
      <w:tr w14:paraId="242F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D67E9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系统联动测试</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AAF3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火灾报警控制器及联动控制器对消防给水灭火系统、防烟排烟系统、气体灭火系统、防火卷帘、电动防火门、消防广播与火灾警报器、非消防用电切断、电梯等设备的控制应与设计文件相符；</w:t>
            </w:r>
          </w:p>
          <w:p w14:paraId="207C3A8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设置在消防控制室以外的消防联动控制设备的动作状态信号，均应在消防控制室显示。</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E097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使任一报警区域符合联动控制触发条件的火灾探测器、手动火灾报警按钮发出火灾报警信号：将火灾报警控制器及联动控制器置于自动状态，试验火灾报警控制器及联动控制器对消防广播与火灾警报器、防烟排烟系统、应急照明及疏散指示系统、防火卷帘、电动防火门、非消防用电切断、电梯等设备的联动控制功能；查看火灾报警控制器及联动控制器启动提示，应能在规定的时间内发出预先设定的启动信号，其动作后的反馈信息应正确。</w:t>
            </w:r>
          </w:p>
        </w:tc>
      </w:tr>
      <w:tr w14:paraId="38A2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08E5015">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消防水源</w:t>
            </w:r>
          </w:p>
        </w:tc>
      </w:tr>
      <w:tr w14:paraId="25DC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95EDF4">
            <w:pPr>
              <w:spacing w:beforeLines="0" w:afterLines="0"/>
              <w:jc w:val="both"/>
              <w:rPr>
                <w:rFonts w:hint="eastAsia" w:ascii="仿宋_GB2312" w:hAnsi="仿宋_GB2312" w:eastAsia="仿宋_GB2312" w:cs="仿宋_GB2312"/>
                <w:color w:val="000000"/>
                <w:sz w:val="27"/>
                <w:szCs w:val="24"/>
              </w:rPr>
            </w:pPr>
            <w:r>
              <w:rPr>
                <w:rFonts w:hint="eastAsia" w:ascii="仿宋_GB2312" w:hAnsi="仿宋_GB2312" w:eastAsia="仿宋_GB2312" w:cs="仿宋_GB2312"/>
                <w:color w:val="000000"/>
                <w:sz w:val="27"/>
                <w:szCs w:val="24"/>
              </w:rPr>
              <w:t>消防水源</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3F55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外观应完好，消防水池的补水设施应正常；</w:t>
            </w:r>
          </w:p>
          <w:p w14:paraId="0738199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应确保消防用水不作他用的技术措施正常；</w:t>
            </w:r>
          </w:p>
          <w:p w14:paraId="61F3A72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消防水池应设置就地水位显示装置，并应在消防控制中心或值班室等地点设置显示消防水池水位的装置。</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0718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维护方法：目测，手动检查。</w:t>
            </w:r>
          </w:p>
        </w:tc>
      </w:tr>
      <w:tr w14:paraId="408E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BD1457D">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消火栓系统</w:t>
            </w:r>
          </w:p>
        </w:tc>
      </w:tr>
      <w:tr w14:paraId="508D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2C92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消防水泵及控制柜</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4D647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设备应完整、无损坏及腐蚀等；</w:t>
            </w:r>
          </w:p>
          <w:p w14:paraId="77F2712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吸水管、出水管上的控制阀应锁定在常开位置，并应有明显标记；</w:t>
            </w:r>
          </w:p>
          <w:p w14:paraId="12BBC7D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消防控制柜或控制盘应设置专用线路连接的手动直接启泵按扭；</w:t>
            </w:r>
          </w:p>
          <w:p w14:paraId="5BEEA25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消防水泵应能手动启停和自动启动，且不应设置自动停泵的控制功能；消防水泵应确保从接到启泵信号到水泵正常运转的自动启动时间不应大于2min；</w:t>
            </w:r>
          </w:p>
          <w:p w14:paraId="79841F4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消防控制柜或控制盘应能显示消防水泵的运行状态；</w:t>
            </w:r>
          </w:p>
          <w:p w14:paraId="757DCC8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当主泵故障时，备用泵应能切换运行；</w:t>
            </w:r>
          </w:p>
          <w:p w14:paraId="72CC3B8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g) 消防水泵控制柜应注明所属系统，并在平时处于自动状态，其电源信息应反馈至消防控制室。</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C0C4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a、b项：目测，手动检查。</w:t>
            </w:r>
          </w:p>
          <w:p w14:paraId="2CA0BBD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e、f项：手动操作控制箱、柜的手、自动控制转换按钮、按键，检查控制箱、柜的显示情况；分别手动操作控制箱、柜各消防泵启动按钮、按键，检查对应消防泵启动情况，手动操作消防泵停泵按钮、按键，检查对应消防泵停止运转情况；手动操作控制箱、柜的手、自动控制转换按钮、键，使控制箱、柜处于自动控制状态，模拟输入消防联动控制器的启动信号，观察主消防泵的启动情况；切断主消防泵的电源，用秒表测量泵组备用消防泵的启动时间。</w:t>
            </w:r>
          </w:p>
          <w:p w14:paraId="5748276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g项：目测系统标识、指示灯及仪表。目测控制柜是否在自动状态。切断消防水泵的供电电源，查看消防控制室是否收到报警信息。</w:t>
            </w:r>
          </w:p>
        </w:tc>
      </w:tr>
      <w:tr w14:paraId="2BF8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7476D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稳（增）压设备</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A744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设备应完整、无损坏及腐蚀等；</w:t>
            </w:r>
          </w:p>
          <w:p w14:paraId="58D54F6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稳压泵手动、自动启停功能应正常；</w:t>
            </w:r>
          </w:p>
          <w:p w14:paraId="611B5D9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稳压泵应设置备用泵，其工作性能与主泵相同。当主泵故障时，备用泵应能切换运行；</w:t>
            </w:r>
          </w:p>
          <w:p w14:paraId="59B4121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吸水管、出水管上的控制阀应锁定在常开位置，并应有明显标记；</w:t>
            </w:r>
          </w:p>
          <w:p w14:paraId="22F446A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启泵与停泵压力符合设定值，压力表显示正常。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BB8C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a项：目测，手动检查。</w:t>
            </w:r>
          </w:p>
          <w:p w14:paraId="379BF55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b项：对稳压泵进行手动、自动起停功能测试。</w:t>
            </w:r>
          </w:p>
          <w:p w14:paraId="41C1302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c项：将水泵控制柜打到自动状态，模拟主泵故障，观察是否自动切换至备用泵工作状态。</w:t>
            </w:r>
          </w:p>
          <w:p w14:paraId="566CB37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d、e项：目测，手动检查压力表显示和阀门设置情况。</w:t>
            </w:r>
          </w:p>
        </w:tc>
      </w:tr>
      <w:tr w14:paraId="6C17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9EB37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高位消防水箱</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3FB7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外观应完好，消防水箱补水设施应正常，结构完好，无破损、渗漏；</w:t>
            </w:r>
          </w:p>
          <w:p w14:paraId="2529756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高位消防水箱与其他用水合用水箱时，确保消防用水量不作他用的技术措施应正常，并应设置就地水位装置；</w:t>
            </w:r>
          </w:p>
          <w:p w14:paraId="0068C4D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消防控制室应能准确显示消防水箱的水位；</w:t>
            </w:r>
          </w:p>
          <w:p w14:paraId="53CB534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消防水箱出水管上的止回阀开启时应灵活，关闭时应严密。</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5F5C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a、d项：目测，手动检查。</w:t>
            </w:r>
          </w:p>
          <w:p w14:paraId="6202D3C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b、c项：目测，手动检查消防用水量不作他用的保护措施是否满足要求，查看就地及消防控制室液位显示是否准确。</w:t>
            </w:r>
          </w:p>
        </w:tc>
      </w:tr>
      <w:tr w14:paraId="4065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1080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室内消火栓</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02CD4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外观应完好，消火栓箱组件应齐全完整；</w:t>
            </w:r>
          </w:p>
          <w:p w14:paraId="443416E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消火栓箱门开启灵活，开度应符合要求；</w:t>
            </w:r>
          </w:p>
          <w:p w14:paraId="601113C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消火栓箱应有明显标志，标识清晰；</w:t>
            </w:r>
          </w:p>
          <w:p w14:paraId="276B5CD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消火栓栓口和水带接扣、水枪和水带接扣应相匹配；</w:t>
            </w:r>
          </w:p>
          <w:p w14:paraId="3373C41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水带和水带接扣的连接应牢固可靠，消防软管卷盘的卷盘轴与弯管、消防软管与软盘管进出口、软管与进水控制阀、软管与喷枪的连接牢固可靠；</w:t>
            </w:r>
          </w:p>
          <w:p w14:paraId="6B7F41B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临时高压系统的最不利点应符合以下要求：</w:t>
            </w:r>
          </w:p>
          <w:p w14:paraId="260ABBD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1) 最不利点静压（当建筑高度＞100m 时），不应低于0.15MPa；</w:t>
            </w:r>
          </w:p>
          <w:p w14:paraId="6EC5B7F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2) 最不利点静压（建筑高度≤100m 的一类高层公共建筑、工业建筑），不应低于0.10MPa；</w:t>
            </w:r>
          </w:p>
          <w:p w14:paraId="1AB6A3D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设置稳压泵时，不应低于0.15MPa；</w:t>
            </w:r>
          </w:p>
          <w:p w14:paraId="6B19A88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3) 最不利点静压(多、高层住宅、二类高层公共建筑、多层公共建筑)，不应低于0.07MPa；设置稳压泵时，不应低于0.15MPa；</w:t>
            </w:r>
          </w:p>
          <w:p w14:paraId="30C704A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4) 最不利点充实水柱（高层建筑、厂房、库房和室内净空高度超过8m的民用建筑等场所）≥13m；</w:t>
            </w:r>
          </w:p>
          <w:p w14:paraId="66E1FC1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5) 最不利点充实水柱（其他场所）≥10m</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26D0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a、c、d、e项：目测，手动检查。</w:t>
            </w:r>
          </w:p>
          <w:p w14:paraId="2420A14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b项：开启消火栓箱，用角度尺测量开度。</w:t>
            </w:r>
          </w:p>
          <w:p w14:paraId="3159E97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f项：用消火栓测压接头测量最不利点静压。</w:t>
            </w:r>
          </w:p>
        </w:tc>
      </w:tr>
      <w:tr w14:paraId="0B83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A0F7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消火栓按钮</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85B7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外观应完好，安装应牢固可靠、无松动；</w:t>
            </w:r>
          </w:p>
          <w:p w14:paraId="293E3BC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当建筑内无火灾自动报警系统，消防设计文件有要求时，启动消火栓按钮，消防水泵应直接启动；</w:t>
            </w:r>
          </w:p>
          <w:p w14:paraId="71C2FA0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当有火灾自动报警系统时，启动消火栓按钮，消防控制室应收到报警信号，显示报警部位。</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22AFB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a项：目测，手动检查。</w:t>
            </w:r>
          </w:p>
          <w:p w14:paraId="20CB8E4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b、c项：启动消火栓按钮，在控制室查看报警信号并观察消防泵启动情况。</w:t>
            </w:r>
          </w:p>
        </w:tc>
      </w:tr>
      <w:tr w14:paraId="2AD9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ABAF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管网控制阀门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0C846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外观应完好；控制阀门处于全开启状态。</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AB894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7B50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6099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系统过滤器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B1DBE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过滤器外观应完好，无堵塞。</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9642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288B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378E0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消火栓系统功能</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B8E4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消防水泵出水管上的低压压力开关、高位消防水箱出水管上的流量开关动作信号应能直接联锁启动消防水泵，流量开关动作及水泵启动信号应能反馈至消防控制室；</w:t>
            </w:r>
          </w:p>
          <w:p w14:paraId="2FE9746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干式消火栓系统测试时，报警阀（电动阀/电磁阀）应及时启动，压力开关应发出信号并联锁启动消防水泵，水力警铃动作应发出报警信号；</w:t>
            </w:r>
          </w:p>
          <w:p w14:paraId="1408AD0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水泵自动启动时间应不大于2min；</w:t>
            </w:r>
          </w:p>
          <w:p w14:paraId="1F75E3E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系统设计为消火栓按钮直接启动消火栓泵的，消火栓按钮应设绿色回答指示灯，消火栓泵启动并给出回答信号后，回答确认灯点亮，并保持至消火栓泵停止工作。</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D908A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在泵房通过试验管或放水阀门放水，使管网压力持续降低，查看消防水泵出水干管上压力开关能否自动启动消防水泵。通过高位消防水箱排水管放水，使出水管上的流量开关动作，查看流量开关能否自动启动消防水泵。查看在消防控制室是否收到报警信息。</w:t>
            </w:r>
          </w:p>
          <w:p w14:paraId="475D368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b项：根据系统类型，通过打开1个消火栓放气或按下消火栓箱内手动按钮模拟火灾发生，观察干式报警阀或雨淋阀（电磁阀/电动阀）是否打开，查看水泵、压力开关、水力警铃的动作情况。</w:t>
            </w:r>
          </w:p>
          <w:p w14:paraId="57A0521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c项：用秒表测量水泵启动的时间。</w:t>
            </w:r>
          </w:p>
          <w:p w14:paraId="10B0D67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d项：目测，手动检查。</w:t>
            </w:r>
          </w:p>
        </w:tc>
      </w:tr>
      <w:tr w14:paraId="4FBA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62514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室外消火栓</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8F13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室外消火栓的阀门应启闭灵活；</w:t>
            </w:r>
          </w:p>
          <w:p w14:paraId="29C2697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室外地上式消火栓应布置在消防车易于接近的人行道和绿地等地点，且不应妨碍交通；</w:t>
            </w:r>
          </w:p>
          <w:p w14:paraId="4043FB6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地下式安装室外消火栓应有明显标志；</w:t>
            </w:r>
          </w:p>
          <w:p w14:paraId="7659380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地下式安装室外消火栓井内应无积水；</w:t>
            </w:r>
          </w:p>
          <w:p w14:paraId="3D209FA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室外消火栓栓口出水压力不应小于0.14MPa，火灾时水力最不利消火栓的供水压力从地面算起不应小于0.10MPa；</w:t>
            </w:r>
          </w:p>
          <w:p w14:paraId="58B2650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应有可靠防冻措施。</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75702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a、b、c、d、f项：目测，手动检查。</w:t>
            </w:r>
          </w:p>
          <w:p w14:paraId="7B3A1FE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e项：用消火栓测压接头测试栓口静压。开启消火栓，待出水稳定后，查看消火栓测压接头压力显示。</w:t>
            </w:r>
          </w:p>
          <w:p w14:paraId="3C14F10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检测设备：消火栓测压接头。</w:t>
            </w:r>
          </w:p>
        </w:tc>
      </w:tr>
      <w:tr w14:paraId="592E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7134A20">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自动喷水灭火系统</w:t>
            </w:r>
          </w:p>
        </w:tc>
      </w:tr>
      <w:tr w14:paraId="4436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CD7A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湿式报警阀组</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23ADB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外观应完好，标志应清晰正确；</w:t>
            </w:r>
          </w:p>
          <w:p w14:paraId="448DC7B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报警阀的压力表应能正常显示；</w:t>
            </w:r>
          </w:p>
          <w:p w14:paraId="2D2A67E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平时状态，报警阀延迟器应无出水，放水试验时延迟器应自动排水；</w:t>
            </w:r>
          </w:p>
          <w:p w14:paraId="6BBA6FE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打开试验阀放水，安装延迟器的应在5s～90s内警铃开始连续报警，不安装延迟器的应在放水后15s内，警铃开始连续报警；</w:t>
            </w:r>
          </w:p>
          <w:p w14:paraId="13E0D5B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压力开关及时动作并连锁启动喷淋泵，消防联动控制器准确接收并显示压力开关及消防水泵的反馈信号；</w:t>
            </w:r>
          </w:p>
          <w:p w14:paraId="1F00848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关闭试验阀门，水力警铃应停止报警、压力开关停止动作、报警阀上下压力表指示正常，延迟器最大排水时间不超过5min。</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627BC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a、b、c、f项：目测，手动检查。</w:t>
            </w:r>
          </w:p>
          <w:p w14:paraId="56D4853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d项：开启报警阀试验管路阀门，用秒表测量从开启阀门到水力警铃报警的时间。</w:t>
            </w:r>
          </w:p>
          <w:p w14:paraId="4869F2A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e项：查看喷淋泵现场启动情况，查看消防联动控制器显示的压力开关和消防水泵的动作情况以及信号反馈情况。</w:t>
            </w:r>
          </w:p>
        </w:tc>
      </w:tr>
      <w:tr w14:paraId="4419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0933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预作用报警阀组</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12EE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外观应完好，标志应清晰正确；</w:t>
            </w:r>
          </w:p>
          <w:p w14:paraId="0091BAF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报警阀的压力表应能正常显示；</w:t>
            </w:r>
          </w:p>
          <w:p w14:paraId="56E3861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配有充气装置时，空气压缩机和气压控制装置状态应正常；</w:t>
            </w:r>
          </w:p>
          <w:p w14:paraId="5E73B37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预作用装置试验时，水流指示器、快速排气阀入口前电动阀应及时动作并向消防联动控制器反馈信号；</w:t>
            </w:r>
          </w:p>
          <w:p w14:paraId="7905089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水力警铃应发出报警铃声；</w:t>
            </w:r>
          </w:p>
          <w:p w14:paraId="176676E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预作用装置电磁阀的启动和停止按钮，应直接手动控制预作用阀组的开启；</w:t>
            </w:r>
          </w:p>
          <w:p w14:paraId="4DECC9B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g) 关闭报警阀试验阀门并系统复位后，水力警铃停止报警，电磁阀动作信号消失。</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A2734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a、b、c、g项：目测，手动检查。</w:t>
            </w:r>
          </w:p>
          <w:p w14:paraId="1986460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d、e、f项：操作手动控制盘上的预作用装置电磁阀启动按钮，查看消防联动控制器显示的水流指示器、快速排气阀入口前电动阀的信号反馈情况。</w:t>
            </w:r>
          </w:p>
        </w:tc>
      </w:tr>
      <w:tr w14:paraId="6390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5066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雨淋报警阀组</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316DE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外观应完好，标志应清晰正确；</w:t>
            </w:r>
          </w:p>
          <w:p w14:paraId="4AA1531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配置传动管时，传动管的压力表显示应符合设定值；气压传动管的供气装置状态应正常；</w:t>
            </w:r>
          </w:p>
          <w:p w14:paraId="79A84D6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水力警铃发出报警铃声；</w:t>
            </w:r>
          </w:p>
          <w:p w14:paraId="7551901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雨淋阀试验时，压力开关应联锁启动喷淋泵并向消防联动控制器发出反馈信号；</w:t>
            </w:r>
          </w:p>
          <w:p w14:paraId="39F50E6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自动和手动方式启动的雨淋阀，功能应正常；</w:t>
            </w:r>
          </w:p>
          <w:p w14:paraId="4AE5397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关闭报警阀试验阀门并系统复位后，水力警铃停止报警，电磁阀动作信号消失。</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3FAA5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a、b、c、f项：目测，手动检查。</w:t>
            </w:r>
          </w:p>
          <w:p w14:paraId="4572AF4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d项：查看消防联动控制器显示的压力开关和喷淋泵的动作情况以及信号反馈情况。</w:t>
            </w:r>
          </w:p>
          <w:p w14:paraId="39E7169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e项：触发同一报警区域内的两只火灾探测器启动雨淋阀或手动启动雨淋阀，观察雨淋阀水源侧压力表变化情况。</w:t>
            </w:r>
          </w:p>
        </w:tc>
      </w:tr>
      <w:tr w14:paraId="75F1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F2B4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水流指示器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9D606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水流指示器外观不得有碰伤、污损，方向指示正确，且有永久性标志；</w:t>
            </w:r>
          </w:p>
          <w:p w14:paraId="7400367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水流指示器输出报警电信号应正常。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0C6F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目测，手动检查。使水流指示器动作，检查控制器的显示信息。</w:t>
            </w:r>
          </w:p>
        </w:tc>
      </w:tr>
      <w:tr w14:paraId="7A9F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9E86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末端试水装置</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9AC78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末端试水装置的安装位置应便于检查、试验，并应有相应排水能力的排水设施；</w:t>
            </w:r>
          </w:p>
          <w:p w14:paraId="0CF07F6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末端试水装置应有标识，距地面的高度宜为1.5 m；</w:t>
            </w:r>
          </w:p>
          <w:p w14:paraId="2E9718E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末端试水装置应由试水阀、压力表以及试水接头组成。</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305AF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1411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FB85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喷头</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A152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喷头溅水盘不得有变形和附着物、悬挂物；</w:t>
            </w:r>
          </w:p>
          <w:p w14:paraId="3930063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喷头安装间距，喷头与楼板、墙、梁等障碍物的距离应符合设计要求；</w:t>
            </w:r>
          </w:p>
          <w:p w14:paraId="2031231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有腐蚀性气体的环境和有冰冻危险场所安装的喷头，应采取防护措施；</w:t>
            </w:r>
          </w:p>
          <w:p w14:paraId="77C4465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有碰撞危险场所安装的喷头应加设防护罩。</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3A706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0ACD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9D62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信号阀</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E1CA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外观应完好，标志清晰应正确；</w:t>
            </w:r>
          </w:p>
          <w:p w14:paraId="2DADB33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信号阀正常状态下应处于开启位置，消防控制室应能接收其启闭信号。</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FC7F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目测，手动检查。使信号阀动作，检查控制器的显示信息。</w:t>
            </w:r>
          </w:p>
        </w:tc>
      </w:tr>
      <w:tr w14:paraId="2A62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091DF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湿式系统联动功能测试</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9E27E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开启最不利点末端试水装置后，报警阀应能动作，压力开关应能报警；</w:t>
            </w:r>
          </w:p>
          <w:p w14:paraId="7E7E772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水流指示器动作后应能准确输出报警信号；</w:t>
            </w:r>
          </w:p>
          <w:p w14:paraId="0492F36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压力开关动作应直接联锁自动启动喷淋泵；</w:t>
            </w:r>
          </w:p>
          <w:p w14:paraId="392C5A7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自开启末端试水装置起至水泵启动的时间不应超过 5 min；</w:t>
            </w:r>
          </w:p>
          <w:p w14:paraId="4EE1202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消防控制设备应显示水流指示器、压力开关报警信号及水泵动作后的反馈信号。</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F86E0">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a、b、c、e项：开启系统末端试水装置，查看消防控制装置显示的水流指示器、压力开关、消防水泵的动作情况以及信号反馈情况，检查水力警铃是否报警。</w:t>
            </w:r>
          </w:p>
          <w:p w14:paraId="419EA1A6">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d项：用秒表测试自开启末端试水装置至消防水泵投入运行的时间。</w:t>
            </w:r>
          </w:p>
        </w:tc>
      </w:tr>
      <w:tr w14:paraId="7BCA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C5945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预作用系统联动功能测试</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196B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系统火灾确认后，预作用阀组的电动阀应能动作，压力开关应能报警；</w:t>
            </w:r>
          </w:p>
          <w:p w14:paraId="1ED9631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水流指示器动作后应准确输出报警信号；</w:t>
            </w:r>
          </w:p>
          <w:p w14:paraId="54E10F7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喷淋泵应能启动；</w:t>
            </w:r>
          </w:p>
          <w:p w14:paraId="15AC7CA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排气阀入口的电动阀应能启动；</w:t>
            </w:r>
          </w:p>
          <w:p w14:paraId="26B4AE7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消防控制设备应显示水流指示器、压力开关报警信号、电动阀动作信号及水泵动作后的反馈信号。</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01DB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对探测器输入模拟火灾信号，待预作用装置开启后，查看消防控制设备显示的电动阀、</w:t>
            </w:r>
          </w:p>
          <w:p w14:paraId="000CC14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压力开关、水流指示器、消防水泵的动作情况以及信号反馈情况；</w:t>
            </w:r>
          </w:p>
        </w:tc>
      </w:tr>
      <w:tr w14:paraId="1916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D0CB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雨淋系统联动功能测试</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40D0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使用传动管控制的系统时，传动管泄压后，应联动喷淋泵和雨淋阀；</w:t>
            </w:r>
          </w:p>
          <w:p w14:paraId="5147009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系统火灾确认后，雨淋报警阀应能动作并联动消防水泵；</w:t>
            </w:r>
          </w:p>
          <w:p w14:paraId="4DB4A60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压力开关应动作；</w:t>
            </w:r>
          </w:p>
          <w:p w14:paraId="2056287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消防控制设备应显示水流指示器、压力开关报警信号、电动阀动作信号及水泵动作后的反馈信号。</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6911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对探测器输入模拟火灾信号，待雨淋报警阀开启后，查看消防控制设备显示的消防水泵、电磁阀和压力开关的动作情况以及信号反馈情况。</w:t>
            </w:r>
          </w:p>
        </w:tc>
      </w:tr>
      <w:tr w14:paraId="52E5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8F530B2">
            <w:pPr>
              <w:spacing w:beforeLines="0" w:afterLines="0"/>
              <w:jc w:val="center"/>
              <w:rPr>
                <w:rFonts w:hint="eastAsia" w:ascii="仿宋_GB2312" w:hAnsi="仿宋_GB2312" w:eastAsia="仿宋_GB2312" w:cs="仿宋_GB2312"/>
                <w:b/>
                <w:color w:val="000000"/>
                <w:sz w:val="32"/>
                <w:szCs w:val="24"/>
                <w:highlight w:val="none"/>
              </w:rPr>
            </w:pPr>
            <w:r>
              <w:rPr>
                <w:rFonts w:hint="eastAsia" w:ascii="仿宋_GB2312" w:hAnsi="仿宋_GB2312" w:eastAsia="仿宋_GB2312" w:cs="仿宋_GB2312"/>
                <w:b/>
                <w:color w:val="000000"/>
                <w:sz w:val="32"/>
                <w:szCs w:val="24"/>
                <w:highlight w:val="none"/>
              </w:rPr>
              <w:t>细水雾灭火系统</w:t>
            </w:r>
          </w:p>
        </w:tc>
      </w:tr>
      <w:tr w14:paraId="0837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26BAE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储水箱</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EE08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水位应正常。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DBED4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p w14:paraId="68279DF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a项：模拟主泵故障，观察备用泵能否自动投入运行，测量切换时间。</w:t>
            </w:r>
          </w:p>
          <w:p w14:paraId="3AF017B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b项：现场和远程操作，查看水泵动作是否正常。</w:t>
            </w:r>
          </w:p>
          <w:p w14:paraId="30AA77F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c项：查看各状态信息、动作信号能否反馈至控制室。</w:t>
            </w:r>
          </w:p>
        </w:tc>
      </w:tr>
      <w:tr w14:paraId="1172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A631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消防水泵</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70163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消防水泵应设置备用泵，主、备用泵应具有自动切换功能，并应能手动操作停泵。主、备用泵的自动切换时间应小于30s；</w:t>
            </w:r>
          </w:p>
          <w:p w14:paraId="3F2BE03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水泵现场启停、远程控制应正常；</w:t>
            </w:r>
          </w:p>
          <w:p w14:paraId="65A1F7F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消防水泵的状态信息、启动、停止和故障的动作信号应反馈至消防控制室。</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5C238">
            <w:pPr>
              <w:spacing w:beforeLines="0" w:afterLines="0"/>
              <w:jc w:val="both"/>
              <w:rPr>
                <w:rFonts w:hint="eastAsia" w:ascii="仿宋_GB2312" w:hAnsi="仿宋_GB2312" w:eastAsia="仿宋_GB2312" w:cs="仿宋_GB2312"/>
                <w:color w:val="000000"/>
                <w:sz w:val="21"/>
                <w:szCs w:val="24"/>
              </w:rPr>
            </w:pPr>
          </w:p>
        </w:tc>
      </w:tr>
      <w:tr w14:paraId="205B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64205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储气容器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B1AA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储气压力不小于设计压力的90%。</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67C5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4188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A751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分区控制阀</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7923A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开式系统的分区控制阀应能在接到动作指令后立即启动，并应发出相应的阀门动作信号；</w:t>
            </w:r>
          </w:p>
          <w:p w14:paraId="49FD43B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闭式系统的分区控制阀采用信号阀时，应能反馈阀门的启闭状态和故障信号；</w:t>
            </w:r>
          </w:p>
          <w:p w14:paraId="66770C5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开式系统的分区控制阀应具有自动、手动启动和机械应急操作启动功能，关闭阀门应采用手</w:t>
            </w:r>
          </w:p>
          <w:p w14:paraId="0615678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动操作方式。闭式系统的分区控制阀应为带开关锁定或开关指示的阀组。</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F71B6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2FCF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B9535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管道及附件</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81AC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输送管道、支、吊架固定无松动，高压软管无变形、裂纹及老化。</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8FDCF">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目测，手动检查。</w:t>
            </w:r>
          </w:p>
        </w:tc>
      </w:tr>
      <w:tr w14:paraId="360C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0B9C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喷头</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B1114">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a) 喷头应符合本文件6.5.8的规定；</w:t>
            </w:r>
          </w:p>
          <w:p w14:paraId="2990E2E6">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b) 喷头的安装位置、安装高度、间距及与墙体、梁等障碍物的距离，均应符合设计要求；</w:t>
            </w:r>
          </w:p>
          <w:p w14:paraId="72B6F33E">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c) 喷头的选择应符合下列规定：</w:t>
            </w:r>
          </w:p>
          <w:p w14:paraId="1F38C795">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1)  对于环境条件易使喷头喷孔堵塞的场所，应选用具有相应防护措施且不影响细水雾喷放效果的喷头；</w:t>
            </w:r>
          </w:p>
          <w:p w14:paraId="4B6BF90D">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2)  对于电子信息系统机房的地板夹层，宜选择适用于低矮空间的喷头；</w:t>
            </w:r>
          </w:p>
          <w:p w14:paraId="6767EA6A">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3)  对于闭式系统，应选择响应时间指数（RTI）不大于50(m·s)0.5的喷头，其公称动作温度宜高于环境最高温度30℃，且同一防护区内应采用相同热敏性能的喷头。</w:t>
            </w:r>
          </w:p>
          <w:p w14:paraId="48E1059A">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d)  喷头布置应能保证细水雾喷放均匀、完全覆盖保护区域。</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6137E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6092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76F67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系统组件</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D50D4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系统组件固定牢固，无碰撞变形及其他机械性损伤，表面无锈蚀，保护涂层完好，标志牌清晰，手动操作装置的防护罩、铅封和完全标志完好；无漏水等情况。</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B86E6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2B52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985E1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细水雾系统联动功能测试</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FEF26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泵组系统应具有自动、手动控制方式；</w:t>
            </w:r>
          </w:p>
          <w:p w14:paraId="723A3D9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开式系统应能在接收到两个独立的火灾报警信号后自动启动；</w:t>
            </w:r>
          </w:p>
          <w:p w14:paraId="3E45515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分区控制阀、泵组应动作可靠，系统的动作信号反馈装置应能及时发出系统启动的反馈信号。</w:t>
            </w:r>
          </w:p>
          <w:p w14:paraId="76C39E4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相应场所入口处的警示灯应动作；</w:t>
            </w:r>
          </w:p>
          <w:p w14:paraId="01BF3BF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系统启动时，应联动切断带电保护对象的电源，切断或关闭防护区内影响灭火效果或因灭火可能带来更大危害的设备和设施；</w:t>
            </w:r>
          </w:p>
          <w:p w14:paraId="57D25FD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闭式系统应能在喷头动作后，由动作信号反馈装置（压力开关）直接联锁自动启动；</w:t>
            </w:r>
          </w:p>
          <w:p w14:paraId="28A7F63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瓶组系统应具有自动、手动和机械应急操作控制方式。</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2C8A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a、f项：目测，手动检查系统的控制方式。</w:t>
            </w:r>
          </w:p>
          <w:p w14:paraId="3BAF60A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b、c、d项：分别采取模拟探测器报警和手动方式启动系统，查看系统设备的动作情况和联动逻辑关系，测定系统从报警到动作的时间。</w:t>
            </w:r>
          </w:p>
          <w:p w14:paraId="6FE74FA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e项：打开闭式系统试水阀，目测，手动检查设备的动作情况。</w:t>
            </w:r>
          </w:p>
        </w:tc>
      </w:tr>
      <w:tr w14:paraId="5C2B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602C224">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气体灭火系统</w:t>
            </w:r>
          </w:p>
        </w:tc>
      </w:tr>
      <w:tr w14:paraId="6318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2ABB3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气体灭火控制器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3BF3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自检面板上所有的指示灯、显示器和音响器件，显示应正常；</w:t>
            </w:r>
          </w:p>
          <w:p w14:paraId="07D81E8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主、备电源转换功能应正常；</w:t>
            </w:r>
          </w:p>
          <w:p w14:paraId="79AA9D3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自动、手动转换功能应正常，无论装置处于自动或手动状态，手动操作启动均应有效；</w:t>
            </w:r>
          </w:p>
          <w:p w14:paraId="426F099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控制器所处状态应有明显的标志或灯光显示，反馈信号显示应正常。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F5A4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a、d项：目测；操作控制器的自检机构，检查设备指示灯、显示器和音响器件的指示情况。</w:t>
            </w:r>
          </w:p>
          <w:p w14:paraId="716E95F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b项：切断主电源，检查备用电源自动投入情况，观察工作指示灯显示情况；恢复主电源，检查主电源自动投入情况，观察工作指示灯显示情况。</w:t>
            </w:r>
          </w:p>
          <w:p w14:paraId="2914829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c项：操作控制器的手、自动控制转换控制按钮、键，检查控制器的显示情况。</w:t>
            </w:r>
          </w:p>
        </w:tc>
      </w:tr>
      <w:tr w14:paraId="4282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C1171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系统组件</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7A8F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灭火剂储存容器及容器阀、单向阀、连接管、集流管、安全泄放装置、选择阀、阀驱动装置、喷嘴、信号反馈装置、检漏装置、减压装置等系统组件应无碰撞变形及其他机械性损伤，表面应无锈蚀，保护涂层应完好，铭牌和标志牌应清晰，手动操作装置的防护罩、铅封和安全标志应完整。</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DB3C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7AE4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54E88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充装量及充装压力</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778E3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低压二氧化碳灭火系统储存装置的液位计检查，灭火剂损失10%时应及时补充；</w:t>
            </w:r>
          </w:p>
          <w:p w14:paraId="61E25B9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七氟丙烷管网灭火系统及IG541灭火系统等系统的灭火剂的压力，不得小于设计储存压力的90%；</w:t>
            </w:r>
          </w:p>
          <w:p w14:paraId="66071E4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预制灭火系统的设备状态和运行状况应正常。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DC4B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6DCB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814E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称重检查</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AAEB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称重装置正常；灭火剂净重不小于设计量的90%；二氧化碳储瓶及储罐在灭火剂损失量达到设定值时能发出报警信号。</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9FAD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0692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1220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驱动装置</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2FC8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驱动气体储存容器内的压力不小于设计压力的90%；</w:t>
            </w:r>
          </w:p>
          <w:p w14:paraId="39D3A23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电磁阀启闭功能应正常。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F80F2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目测，手动检查，测量电磁阀的启动电压。</w:t>
            </w:r>
          </w:p>
        </w:tc>
      </w:tr>
      <w:tr w14:paraId="2BF4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2D67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灭火剂输送管道及附件</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B060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输送管道、支、吊架固定无松动，高压软管无变形、裂纹及老化。</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5BDF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6A5C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BD47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喷嘴</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81BF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喷嘴孔口无堵塞。</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26891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5080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A381B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自动模拟启动试验</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20CD8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自动控制应在接到两个独立的火灾信号并延迟一定时间后才能启动；</w:t>
            </w:r>
          </w:p>
          <w:p w14:paraId="769F3A3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灭火系统接到灭火指令后能正常启动、喷射；</w:t>
            </w:r>
          </w:p>
          <w:p w14:paraId="116EA2C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有关的声、光报警装置均能发出符合设计要求的正常信号；</w:t>
            </w:r>
          </w:p>
          <w:p w14:paraId="387B53F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有关联动设备动作正确；</w:t>
            </w:r>
          </w:p>
          <w:p w14:paraId="3CCDF3A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手动紧急停止装置应能在规定的延时时间内可靠的停止系统的启动。</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86862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将气体灭火控制器的启动输出端与气体灭火系统相应防护区驱动装置连接。驱动装置应与阀门的动作机构脱离。也可以用1个启动电压、电流与驱动装置的启动电压、电流相同的负载代替。人工模拟火警使防护区内任意1个火灾探测器动作，观察单一火警信号输出后，相关报警设备动作是否正常，如警铃、蜂鸣器发出报警声等。人工模拟火警使该防护区内另一个火灾探测器动作，观察复合火警信号输出后，相关动作信号及联动设备动作是否正常,如发出声、光报警，启动输出端的负载响应，关闭通风空调、防火阀等。</w:t>
            </w:r>
          </w:p>
        </w:tc>
      </w:tr>
      <w:tr w14:paraId="1377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93156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手动模拟启动试验</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98A6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灭火系统接到灭火指令并延迟一定时间后才能正常启动、喷射；</w:t>
            </w:r>
          </w:p>
          <w:p w14:paraId="24D0526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有关的声、光报警装置均能发出符合设计要求的正常信号；</w:t>
            </w:r>
          </w:p>
          <w:p w14:paraId="761A841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有关联动设备动作正确；</w:t>
            </w:r>
          </w:p>
          <w:p w14:paraId="196492C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手动紧急停止装置应能在规定的延时时间内可靠的停止系统的启动。</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95E8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按下手动启动按钮，观察相关动作信号及联动设备动作是否正常，如发出声、光报警，启动输出端的负载响应，关闭通风空调、防火阀等。人工使压力信号反馈装置动作，观察相关防护区门外的气体喷放指示灯是否正常。</w:t>
            </w:r>
          </w:p>
        </w:tc>
      </w:tr>
      <w:tr w14:paraId="31C5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96A46C2">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防烟排烟系统</w:t>
            </w:r>
          </w:p>
        </w:tc>
      </w:tr>
      <w:tr w14:paraId="2B68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41521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防烟排烟风机及控制柜</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1C346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风机的铭牌标志应清晰；</w:t>
            </w:r>
          </w:p>
          <w:p w14:paraId="0C7B226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传动皮带型的风机的防护罩应完好；风机出入口的防护网应完好；</w:t>
            </w:r>
          </w:p>
          <w:p w14:paraId="578D28E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风机启动后运行平稳，无异常振动或声响；</w:t>
            </w:r>
          </w:p>
          <w:p w14:paraId="1A0C462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风机叶轮旋转方向正确；</w:t>
            </w:r>
          </w:p>
          <w:p w14:paraId="0EEBB1A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风机控制柜应有注明所属系统及编号的标志，按钮、指示灯及仪表正常；</w:t>
            </w:r>
          </w:p>
          <w:p w14:paraId="2A5274E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风机控制柜转换开关应处于自动状态；</w:t>
            </w:r>
          </w:p>
          <w:p w14:paraId="49EAE67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g) 风机控制柜手动、控制室远距离启动应正常；</w:t>
            </w:r>
          </w:p>
          <w:p w14:paraId="5F381FD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h) 消防控制室应能显示风机的启动、停止和故障状态。</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61BB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a、b、c、d、e、f项：目测，手动检查。</w:t>
            </w:r>
          </w:p>
          <w:p w14:paraId="251F401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g、h项：将控制柜置于手动控制状态，手动启、停风机，查看风机运行及状态显示情况。将控制柜置于自动控制状态，消防控制室手动控制盘直启按钮启、停风机，查看风机运行及状态显示情况。</w:t>
            </w:r>
          </w:p>
        </w:tc>
      </w:tr>
      <w:tr w14:paraId="47C1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9ECB0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挡烟垂壁</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E2B5C6">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a) 挡烟垂壁外观应完好，安装应牢固可靠；</w:t>
            </w:r>
          </w:p>
          <w:p w14:paraId="05E42317">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b) 挡烟垂壁按钮开启、复位功能应正常；</w:t>
            </w:r>
          </w:p>
          <w:p w14:paraId="0824270A">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c) 挡烟垂壁应下降到设计高度后将状态信号反馈至消防控制室；</w:t>
            </w:r>
          </w:p>
          <w:p w14:paraId="0B6976E3">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d) 系统断电时，挡烟垂壁应自动下降至挡烟工作位置；</w:t>
            </w:r>
          </w:p>
          <w:p w14:paraId="111E079D">
            <w:pPr>
              <w:spacing w:beforeLines="0" w:afterLines="0"/>
              <w:jc w:val="both"/>
              <w:rPr>
                <w:rFonts w:hint="eastAsia" w:ascii="仿宋_GB2312" w:hAnsi="仿宋_GB2312" w:eastAsia="仿宋_GB2312" w:cs="仿宋_GB2312"/>
                <w:color w:val="000000"/>
                <w:sz w:val="22"/>
                <w:szCs w:val="24"/>
              </w:rPr>
            </w:pPr>
            <w:r>
              <w:rPr>
                <w:rFonts w:hint="eastAsia" w:ascii="仿宋_GB2312" w:hAnsi="仿宋_GB2312" w:eastAsia="仿宋_GB2312" w:cs="仿宋_GB2312"/>
                <w:color w:val="000000"/>
                <w:sz w:val="22"/>
                <w:szCs w:val="24"/>
              </w:rPr>
              <w:t>e) 挡烟垂壁上下限位功能正常。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5591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目测，手动检查，尺量检查降落高度。</w:t>
            </w:r>
          </w:p>
        </w:tc>
      </w:tr>
      <w:tr w14:paraId="75AF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FA765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电动排烟窗</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C6E4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电动排烟窗外观应完好；</w:t>
            </w:r>
          </w:p>
          <w:p w14:paraId="62559C3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电动排烟窗无封堵、遮挡；</w:t>
            </w:r>
          </w:p>
          <w:p w14:paraId="034101E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手动及控制室开启电动排烟窗正常，手动复位正常，关闭时应严密，反馈信号应正确。</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C283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目测，手动检查，结合操作检查动作性能及信号反馈功能。</w:t>
            </w:r>
          </w:p>
        </w:tc>
      </w:tr>
      <w:tr w14:paraId="08D8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90B8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排烟防火阀</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B5F25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排烟防火阀及组件外观应完好；</w:t>
            </w:r>
          </w:p>
          <w:p w14:paraId="24B0ABF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排烟防火阀开启状态应正常；</w:t>
            </w:r>
          </w:p>
          <w:p w14:paraId="73C5D6C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手动关闭风管上的排烟防火阀，关闭信号应反馈至消防控制室；</w:t>
            </w:r>
          </w:p>
          <w:p w14:paraId="4D25F5B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手动关闭排烟风机入口处排烟防火阀，应联锁停止排烟风机，同时将关闭信号反馈至消防控制室。</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DF71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74F3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9E4AC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送风阀（口）、排烟阀（口）</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4FC1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送风阀（口）、排烟阀（口）及组件外观应完好，安装应牢固可靠；</w:t>
            </w:r>
          </w:p>
          <w:p w14:paraId="184E4EB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手动及消防控制室开启送风阀（口）、排烟阀（口）应正常，手动复位正常，关闭时应严密，反馈信号应正确。</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5103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a项：目测，手动检查。</w:t>
            </w:r>
          </w:p>
          <w:p w14:paraId="2039504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b项：进行手动开启、复位试验，送风阀（口）、排烟阀（口）动作灵敏、可靠性。消防控制室启动送风阀（口）、排烟阀（口），查看开启后状态信号反馈情况。</w:t>
            </w:r>
          </w:p>
        </w:tc>
      </w:tr>
      <w:tr w14:paraId="6EEC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92FB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消防风管</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8F75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检查消防风管外观应完好，无锈蚀、破损等。</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7BF3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78B0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C8076">
            <w:pPr>
              <w:spacing w:beforeLines="0" w:afterLines="0"/>
              <w:jc w:val="center"/>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lang w:val="en-US" w:eastAsia="zh-CN"/>
              </w:rPr>
              <w:t xml:space="preserve">                </w:t>
            </w:r>
            <w:r>
              <w:rPr>
                <w:rFonts w:hint="eastAsia" w:ascii="仿宋_GB2312" w:hAnsi="仿宋_GB2312" w:eastAsia="仿宋_GB2312" w:cs="仿宋_GB2312"/>
                <w:color w:val="000000"/>
                <w:sz w:val="21"/>
                <w:szCs w:val="24"/>
              </w:rPr>
              <w:t>系统联动试验</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F793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防烟排烟系统的联动功能应正常。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7F79F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模拟加压送风口所在防火分区内的两只独立的火灾探测器或一只火灾探测器与一只手动火灾报警按钮的报警信号，应能在15s内联动开启常闭加压送风口和加压送风机，试验相关加压送风场所的加压送风口开启和加压送风机启动功能；</w:t>
            </w:r>
          </w:p>
          <w:p w14:paraId="7C68891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模拟同一防烟分区内且位于电动挡烟垂壁附近的两只独立的感烟火灾探测器的报警信号，满足电动挡烟垂壁降落的联动逻辑关系，火灾自动报警系统应在15s内联动相应防烟分区的全部活动挡烟垂壁，60 s 以内挡烟垂壁应开启到位，试验电动挡烟垂壁的降落功能；</w:t>
            </w:r>
          </w:p>
          <w:p w14:paraId="60C7748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模拟同一防烟分区内的两只独立的火灾探测器的报警信号，满足排烟口、排烟窗或排烟阀开启的联动逻辑关系，火灾自动报警系统应在15s内联动开启相应防烟分区的全部排烟阀、排烟口、排烟风机和补风设施，并应在 30 s 内自动关闭与排烟无关的通风、空调系统，试验相关排烟口、排烟窗或排烟阀的开启功能，同时停止该防烟分区的空气调节系统功能；</w:t>
            </w:r>
          </w:p>
          <w:p w14:paraId="250D5A3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模拟排烟口、排烟窗或排烟阀开启的动作信号，满足排烟风机启动的联动逻辑关系，试验相关排烟风机的启动功能。</w:t>
            </w:r>
          </w:p>
        </w:tc>
      </w:tr>
      <w:tr w14:paraId="0FB5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DAEA7B1">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消防应急照明和疏散指示系统</w:t>
            </w:r>
          </w:p>
        </w:tc>
      </w:tr>
      <w:tr w14:paraId="4429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A19A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应急照明控制器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B91F9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应急照明控制器应能接收、显示、保持火灾报警控制器的火灾报警输出信号和灯具、集中电源或应急照明配电箱的工作状态信息；</w:t>
            </w:r>
          </w:p>
          <w:p w14:paraId="604DC1E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应急照明控制器应有自检、消音、复位、屏蔽功能；</w:t>
            </w:r>
          </w:p>
          <w:p w14:paraId="3DFC915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应急照明控制器应设主电源和直流备用电源。当主电源断电时，能自动切换到备用电源。当主电源恢复时，能自动转换到主电源，电源的转换不应使控制器产生误动作。</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1DC1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a项：使火灾报警控制器发出火灾报警输出信号，检查应急照明控制器发出启动信号的情况。在应急照明控制器上查阅相关设备的工作状态信息。</w:t>
            </w:r>
          </w:p>
          <w:p w14:paraId="3C0748C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触发自检键，观察控制器面板上所有指示灯、显示器和音响器件是否正常。当报警控制器处于报警状态时，触发消音键，应能消除声报警信号。触发复位键，系统应能恢复正常状态。启动屏蔽或取消屏蔽，观察地址和设备状态。</w:t>
            </w:r>
          </w:p>
          <w:p w14:paraId="1AFDB0F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c项：进行电源切换测试。</w:t>
            </w:r>
          </w:p>
        </w:tc>
      </w:tr>
      <w:tr w14:paraId="5829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0E59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应急照明集中电源</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39E1E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集中电源自检功能，主、备电源的自动转换功能，故障报警功能，消音功能应正常。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E8E4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操作控制器的自检机构，检查控制器指示灯、显示器和音响器的动作情况。切断主电源，检查备用电源自动投入情况，观察工作指示灯显示情况；恢复主电源，检查主电源自动投入情况，观察工作指示灯显示情况。操作集中电源应急输出启动按钮，使集中电源转入蓄电池电源输出，任一输入回路断开，观察集中电源故障信息显示情况。手动操作集中电源消音键，检查控制器声信号消除情况。</w:t>
            </w:r>
          </w:p>
        </w:tc>
      </w:tr>
      <w:tr w14:paraId="33A6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D2E74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应急照明配电箱</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5989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按钮、指示灯应正常；</w:t>
            </w:r>
          </w:p>
          <w:p w14:paraId="60DBD75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应急照明配电箱主电源分配输出功能应正常；</w:t>
            </w:r>
          </w:p>
          <w:p w14:paraId="58257E2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应急照明配电箱集中控制型应急照明配电箱主电源输出关断测试功能应正常；</w:t>
            </w:r>
          </w:p>
          <w:p w14:paraId="55CB545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应急照明配电箱集中控制型应急照明配电箱灯具应急状态保持功能应正常。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15F41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a项：目测，手动检查。</w:t>
            </w:r>
          </w:p>
          <w:p w14:paraId="08271BD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b项：处于主电源输出时，分别用万用表测量各回路输出电压，对照设计文件核对电压测量值。</w:t>
            </w:r>
          </w:p>
          <w:p w14:paraId="7EE7BC4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c项：分别手动操作应急照明配电箱的主电源输出关断测试按键或开关和主电源输出恢复按键或开关检查应急照明配电箱主电源输出的状态。</w:t>
            </w:r>
          </w:p>
          <w:p w14:paraId="1EEAB6C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d项：使应急照明配电箱配接的灯具处于应急工作状态，任意选取一个回路，分别使该回路短路、断路，观察灯具的工作状态。</w:t>
            </w:r>
          </w:p>
        </w:tc>
      </w:tr>
      <w:tr w14:paraId="5A98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835D6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应急照明灯具和疏散指示标志灯具</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7BA1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外观应完好，无明显损伤；</w:t>
            </w:r>
          </w:p>
          <w:p w14:paraId="0548528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方向标志灯箭头的指示方向应按照疏散指示方案指向疏散方向，并导向安全出口。</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3617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w:t>
            </w:r>
          </w:p>
        </w:tc>
      </w:tr>
      <w:tr w14:paraId="2209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5EB9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集中控制型</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2A0C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自动应急启动功能，系统内所有的非持续型照明灯的光源应应急点亮、持续型灯具的光源应由节电点亮模式转入应急点亮模式。B型集中电源应转入蓄电池电源输出、B型应急照明配电箱应切断主电源输出。A型集中电源、A型应急照明配电箱应保持主电源输出。切断集中电源的主电源，集中电源应自动转入蓄电池电源输出；</w:t>
            </w:r>
          </w:p>
          <w:p w14:paraId="40DA9D5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手动应急启动功能，系统内所有的非持续型照明灯的光源应应急点亮、持续型灯具的光源应由节电点亮模式转入应急点亮模式。集中电源应转入蓄电池电源输出、应急照明配电箱应切断主电源的输出。</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2EDB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自动应急启动功能，检查该区域灯具光源点亮情况。检查系统中配接B型集中电源、B型应急照明配电箱的工作状态。检查A型集中电源、A型应急照明配电箱的工作状态，切断系统的主电源供电，再次检查A型集中电源、A型应急照明配电箱的工作状态。</w:t>
            </w:r>
          </w:p>
          <w:p w14:paraId="6D44BA7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b项：手动应急启动功能，手动操作应急照明控制器的一键启动按钮，检查应急照明控制器发出启动信号的情况。检查该区域灯具光源的点亮情况。检查集中电源或应急照明配电箱的工作状态。</w:t>
            </w:r>
          </w:p>
        </w:tc>
      </w:tr>
      <w:tr w14:paraId="1E7B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A561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非集中控制型</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2BED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自动应急启动功能，灯具采用集中电源供电时，集中电源应转入蓄电池电源输出，其所配接的所有非持续型照明灯的光源应应急点亮、持续型灯具的光源应由节电点亮模式转入应急点亮模式。灯具采用自带蓄电池供电时，应急照明配电箱应切断主电源输出，其所配接的所有非持续型照明灯的光源应应急点亮、持续型灯具的光源应由节电点亮模式转入应急点亮模式；</w:t>
            </w:r>
          </w:p>
          <w:p w14:paraId="2A595E4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手动应急启动功能，灯具采用集中电源供电时，手动操作集中电源的应急启动控制按钮，集中电源应转入蓄电池电源输出，其所配接的所有非持续型照明灯的光源应应急点亮、持续型灯具的光源应由节电点亮模式转入应急点亮模式。灯具采用自带蓄电池供电时，手动操作应急照明配电箱的应急启动控制按钮，应急照明配电箱应切断主电源输出，其所配接的所有非持续型照明灯的光源应应急点亮、持续型灯具的光源应由节电点亮模式转入应急点亮模式。</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F77FB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检查该区域灯具的点亮情况。手动操作集中电源或应急照明配电箱的应急启动按钮，检查集中电源或应急照明配电箱的工作状态，检查该区域灯具光源的点亮情况。</w:t>
            </w:r>
          </w:p>
        </w:tc>
      </w:tr>
      <w:tr w14:paraId="46C9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EECE0F0">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防火分隔设施</w:t>
            </w:r>
          </w:p>
        </w:tc>
      </w:tr>
      <w:tr w14:paraId="40A3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7615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电动防火门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6AB7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防火门外表面应平整光滑，不得有明显缺陷；</w:t>
            </w:r>
          </w:p>
          <w:p w14:paraId="7AF5519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防火门配件应齐全，且位置适宜，安装可靠；</w:t>
            </w:r>
          </w:p>
          <w:p w14:paraId="2749005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防火门应启闭灵活，关闭严密；</w:t>
            </w:r>
          </w:p>
          <w:p w14:paraId="29381E6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防火门关闭后应能从内、外两侧人为开启；</w:t>
            </w:r>
          </w:p>
          <w:p w14:paraId="76EAB24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设置在疏散通道上、并设有出入口控制系统的防火门，能自动和手动解除出入口控制系统；</w:t>
            </w:r>
          </w:p>
          <w:p w14:paraId="5CF8B99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消防控制室手动或自动控制电动常开防火门，功能信号应正常。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29C4E">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a、b、c、d项：目测，手动检查。</w:t>
            </w:r>
          </w:p>
          <w:p w14:paraId="7F2D129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e项：模拟火灾报警信号，观察防火门动作情况及消防控制室信号显示情况。</w:t>
            </w:r>
          </w:p>
          <w:p w14:paraId="6A765B5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f项：在消防控制室启动防火门关闭功能，观察防火门动作情况及消防控制室信号显示情况。</w:t>
            </w:r>
          </w:p>
        </w:tc>
      </w:tr>
      <w:tr w14:paraId="6C92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F014B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防火卷帘</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9AB8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组件应齐全完好，紧固件无松动现象；</w:t>
            </w:r>
          </w:p>
          <w:p w14:paraId="2819C19B">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防火卷帘上方应有箱体或其他能防止火灾蔓延的防火保护措施；</w:t>
            </w:r>
          </w:p>
          <w:p w14:paraId="7463ECF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卷帘应升降自如，运行时平稳顺畅、无卡涩现象；</w:t>
            </w:r>
          </w:p>
          <w:p w14:paraId="075F3E1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防火卷帘控制器主、备电源转换应正常；</w:t>
            </w:r>
          </w:p>
          <w:p w14:paraId="4C3AC37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能够通过现场手动控制装置和消防控制室控制防火卷帘执行上升、停止、下降动作；</w:t>
            </w:r>
          </w:p>
          <w:p w14:paraId="5BF6591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f) 能向消防控制室发送与其相关的防火卷帘关闭(状态)信号。</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2192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a、b、c项：目测，手动检查。</w:t>
            </w:r>
          </w:p>
          <w:p w14:paraId="5E98E8A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d项：进行电源切换试验。</w:t>
            </w:r>
          </w:p>
          <w:p w14:paraId="79BC8B8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e、f项：在现场和消防控制室手动启动测试，检查联动控制器是否收到反馈信号。</w:t>
            </w:r>
          </w:p>
        </w:tc>
      </w:tr>
      <w:tr w14:paraId="61EC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137DFDC">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电气火灾监控系统</w:t>
            </w:r>
          </w:p>
        </w:tc>
      </w:tr>
      <w:tr w14:paraId="4E1D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0103F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监控设备</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BFE3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外观应完好，无明显损伤；</w:t>
            </w:r>
          </w:p>
          <w:p w14:paraId="50C9E58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监控设备应能接收来自探测器的监控报警信号，并在10s内发出声、光报警信号，指示报警部位，记录报警时间，并予以保持，直至手动复位；</w:t>
            </w:r>
          </w:p>
          <w:p w14:paraId="216D40B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当监控设备发生下述故障时，应能在100s内发出与监控报警信号有明显区别的声光故障信号：</w:t>
            </w:r>
          </w:p>
          <w:p w14:paraId="37F12BC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1) 监控设备与探测器之间的连接线断路、短路；</w:t>
            </w:r>
          </w:p>
          <w:p w14:paraId="2186E46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2) 监控设备主电源欠压；</w:t>
            </w:r>
          </w:p>
          <w:p w14:paraId="26E943B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3) 给备用电源充电的充电器与备用电源间连接线的断路、短路。</w:t>
            </w:r>
          </w:p>
          <w:p w14:paraId="10CE006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监控设备应有主电源和备用电源转换装置。当主电源断电时，能自动切换到备用电源。当主电源恢复时，能自动转换到主电源；</w:t>
            </w:r>
          </w:p>
          <w:p w14:paraId="6513C5D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主、备电源的转换不应使监控设备发出报警信号。</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14D2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使任一只非故障部位的探测器发出监控报警信号，用秒表测量监控设备监控报警响应时间，检查监控设备的报警信息记录和显示情况；分别使监控设备与任一现场部件之间的连线断路、短路，用秒表测量监控设备故障报警响应时间，检查监控设备故障信息显示情况；切断主电源，检查备用电源自动投入情况，观察工作指示灯显示情况；恢复主电源，检查主电源自动投入情况，观察工作指示灯显示情况。</w:t>
            </w:r>
          </w:p>
        </w:tc>
      </w:tr>
      <w:tr w14:paraId="2167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79FB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剩余电流式电气火灾监控探测器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B14E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探测器应设有工作状态指示灯和报警状态指示灯；</w:t>
            </w:r>
          </w:p>
          <w:p w14:paraId="5D169E5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当被保护线路剩路剩余电流达到报警设定值时，报警器应在30s内发出报警信号，点亮报警指示灯；</w:t>
            </w:r>
          </w:p>
          <w:p w14:paraId="2893603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探测器在拫警时应发出声、光报警信号，并显示报警时的剩余电流值（仅适用于剩余电流式探测器）和传感器部位；报警声信号可手动消除，报警声信号手动消除后，应有消音指示，当再有其他报警信号输入时，报警声信号应能再启动。</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47D0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目测，手动检查，采用剩余电流发生器对探测器施加报警设定值的剩余电流，用秒表测量探测器的报警确认灯点亮时间；观察监控设备监控报警情况，检查监控设备的报警信息记录和显示情况。</w:t>
            </w:r>
          </w:p>
        </w:tc>
      </w:tr>
      <w:tr w14:paraId="3A4F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C6C4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测温式电气火灾监控探测器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119D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探测器应设有工作状态指示灯和报警状态指示灯；</w:t>
            </w:r>
          </w:p>
          <w:p w14:paraId="307CA04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探测器的报警温度值应设定在45℃～140℃的范围内，报警值与设定值之差的绝对值不应大于设定值的5%；</w:t>
            </w:r>
          </w:p>
          <w:p w14:paraId="6FFD0A3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当被监视部位温度达到报警设定值时，探测器应在40s内发出报警信号，点亮报警指示灯；</w:t>
            </w:r>
          </w:p>
          <w:p w14:paraId="24A5B47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探测器在报警时应发出声、光报警信号并显示报警值和部位，报警声信号可手动消除，报警声信号手动消除后，应有消音指示，当再有其他报警信号输人时，报警声信号应能再启动。</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0E549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目测，手动检查，采用发热试验装置给监控探测器加热至设定的报警温度，用秒表测量探测器的报警确认灯点亮时间；观察监控设备监控报警情况，检查监控设备的报警信息记录和显示情况。</w:t>
            </w:r>
          </w:p>
        </w:tc>
      </w:tr>
      <w:tr w14:paraId="4EB6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97FEFB3">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可燃气体探测报警系统</w:t>
            </w:r>
          </w:p>
        </w:tc>
      </w:tr>
      <w:tr w14:paraId="4544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BBD9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可燃气体报警控制器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3376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外观应完好，无明显损伤；</w:t>
            </w:r>
          </w:p>
          <w:p w14:paraId="542464C2">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当控制器与可燃气体探测器及所连接的报警触发器件间连线短路、断路时，控制器能在100s内发出与可燃气体报警信号有明显区别的声、光故障信号，指示故障部位，记录故障时间；</w:t>
            </w:r>
          </w:p>
          <w:p w14:paraId="0EF5DA9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控制器应具备电源转换功能，当主电源断电时，能自动切换到备用电源；当主电恢复时，能自动转换到主电源。</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C406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a项：目测，手动检查。</w:t>
            </w:r>
          </w:p>
          <w:p w14:paraId="0956280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b项：使任一只探测器发出故障信号，用秒表测量控制器故障响应时间，检查控制器的故障信息记录和显示情况。</w:t>
            </w:r>
          </w:p>
          <w:p w14:paraId="3E4D421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c项：切断主电源，检查备用电源自动投入情况，观察工作指示灯显示情况；恢复主电源，检查主电源自动投入情况，观察工作指示灯显示情况。</w:t>
            </w:r>
          </w:p>
        </w:tc>
      </w:tr>
      <w:tr w14:paraId="7028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7640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可燃气体探测器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A2A6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外观应完好，无明显损伤；</w:t>
            </w:r>
          </w:p>
          <w:p w14:paraId="14315458">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断开可燃气体探测器的电源或信号线路，火灾报警控制器应在100s内收到故障信号；故障信号在排除后自动复位。</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35C7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目测，手动检查，使控制器与任一可燃气体探测器之间的连接断路，用秒表测量控制器故障报警响应时间，检查控制器故障信息显示情况。</w:t>
            </w:r>
          </w:p>
        </w:tc>
      </w:tr>
      <w:tr w14:paraId="43ED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CD37BB4">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消防设备电源监控系统</w:t>
            </w:r>
          </w:p>
        </w:tc>
      </w:tr>
      <w:tr w14:paraId="7A18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D14E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传感器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39BF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外观应完好，无明显损伤；</w:t>
            </w:r>
          </w:p>
          <w:p w14:paraId="0725917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监控设备应有工作状态指示、自检和电源监控功能；</w:t>
            </w:r>
          </w:p>
          <w:p w14:paraId="7B081E6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监控设备报警时应能发出声、光报警信号，并予以保持，直至手动复位。</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7DC0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目测，切断被监控消防设备的供电电源，观察监控主机监控报警情况，检查监控主机的报警信息记录和显示情况。</w:t>
            </w:r>
          </w:p>
        </w:tc>
      </w:tr>
      <w:tr w14:paraId="7BA5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790B9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消防设备电源监控主机</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6980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外观应完好，无明显损伤；</w:t>
            </w:r>
          </w:p>
          <w:p w14:paraId="2F93D40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监控主机应能接收并显示其监控的所有消防设备的主电源和备用电源的实时工作状态信息；</w:t>
            </w:r>
          </w:p>
          <w:p w14:paraId="2ED10D7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监控主机应具有主电源和备用电源转换功能，并应有主、备电源工作状态指示；</w:t>
            </w:r>
          </w:p>
          <w:p w14:paraId="239629C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监控主机应能在发生故障状况下，在100s内发出故障声、光信号，显示并记录故障的部位、类型和时间，故障声信号应能手动消除，再有故障信号输入时，应能再启动；故障光信号应保持至故障排除；</w:t>
            </w:r>
          </w:p>
          <w:p w14:paraId="5295D3A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e) 故障排除后，故障信号可自动或手动复位，复位后，监控器应在100s内重新显示尚存在的故障。</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016E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目测，检查监控主机的显示情况。切断主电源，检查备用电源自动投入情况，观察工作指示灯显示情况；恢复主电源，检查主电源自动投入情况，观察工作指示灯显示情况；切断任一非故障部位传感器监控设备的电源，用秒表测量监控设备报警响应时间，检查监控主机信息记录情况和报警信息显示情况。</w:t>
            </w:r>
          </w:p>
        </w:tc>
      </w:tr>
      <w:tr w14:paraId="3BE0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00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CB00E7F">
            <w:pPr>
              <w:spacing w:beforeLines="0" w:afterLines="0"/>
              <w:jc w:val="center"/>
              <w:rPr>
                <w:rFonts w:hint="eastAsia" w:ascii="仿宋_GB2312" w:hAnsi="仿宋_GB2312" w:eastAsia="仿宋_GB2312" w:cs="仿宋_GB2312"/>
                <w:b/>
                <w:color w:val="000000"/>
                <w:sz w:val="32"/>
                <w:szCs w:val="24"/>
              </w:rPr>
            </w:pPr>
            <w:r>
              <w:rPr>
                <w:rFonts w:hint="eastAsia" w:ascii="仿宋_GB2312" w:hAnsi="仿宋_GB2312" w:eastAsia="仿宋_GB2312" w:cs="仿宋_GB2312"/>
                <w:b/>
                <w:color w:val="000000"/>
                <w:sz w:val="32"/>
                <w:szCs w:val="24"/>
              </w:rPr>
              <w:t>防火门监控系统</w:t>
            </w:r>
          </w:p>
        </w:tc>
      </w:tr>
      <w:tr w14:paraId="44EC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210E4">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防火门监控器主机</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5B9BB0">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外观应完好，无明显损伤；</w:t>
            </w:r>
          </w:p>
          <w:p w14:paraId="638FAAF6">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监控器应能显示与其连接的电动闭门器和释放器的开、闭状态，并应有专用状态指示灯；</w:t>
            </w:r>
          </w:p>
          <w:p w14:paraId="38ABEDA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发生故障时，监控器应在100s内发出与报警信号有明显区别的声、光故障信号，故障声信号应能手动消除，再有故障信号输入时，应能再启动；故障光信号应保持至故障排除；</w:t>
            </w:r>
          </w:p>
          <w:p w14:paraId="6DED44BD">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 监控器主、备电源转换功能应正常。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29387">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a项：目测，手动检查。</w:t>
            </w:r>
          </w:p>
          <w:p w14:paraId="3B5914B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b项：触发电动闭门器和释放器查看监控器工作状态。</w:t>
            </w:r>
          </w:p>
          <w:p w14:paraId="7C589CD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c项：模拟部件故障，用秒表记录故障报警时间。</w:t>
            </w:r>
          </w:p>
          <w:p w14:paraId="4CBD7EEF">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d项：进行电源切换测试。</w:t>
            </w:r>
          </w:p>
        </w:tc>
      </w:tr>
      <w:tr w14:paraId="0100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31FF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电动闭门器、电磁释放器</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89DB5">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 电动闭门器、电磁释放器外观应完好；</w:t>
            </w:r>
          </w:p>
          <w:p w14:paraId="5FD1AA6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 电动闭门器、电磁释放器自动释放功能应正常；</w:t>
            </w:r>
          </w:p>
          <w:p w14:paraId="060FCCB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c) 电动门吸磁力吸合、释放功能应正常。</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43653">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a项：目测，手动检查。</w:t>
            </w:r>
          </w:p>
          <w:p w14:paraId="758C3BFA">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b、c项：操作电动闭门器、释放器和门磁开关令其动作，观察并记录试样和电动闭门器、释放器和门磁开关的状态。</w:t>
            </w:r>
          </w:p>
        </w:tc>
      </w:tr>
      <w:tr w14:paraId="62BD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BB5A49">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控制功能</w:t>
            </w:r>
          </w:p>
        </w:tc>
        <w:tc>
          <w:tcPr>
            <w:tcW w:w="40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0C7CC">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color w:val="000000"/>
                <w:sz w:val="21"/>
                <w:szCs w:val="24"/>
              </w:rPr>
              <w:t>试验防火门监控主机的控制功能。</w:t>
            </w:r>
          </w:p>
        </w:tc>
        <w:tc>
          <w:tcPr>
            <w:tcW w:w="25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A3C3F1">
            <w:pPr>
              <w:spacing w:beforeLines="0" w:afterLines="0"/>
              <w:jc w:val="both"/>
              <w:rPr>
                <w:rFonts w:hint="eastAsia" w:ascii="仿宋_GB2312" w:hAnsi="仿宋_GB2312" w:eastAsia="仿宋_GB2312" w:cs="仿宋_GB2312"/>
                <w:color w:val="000000"/>
                <w:sz w:val="21"/>
                <w:szCs w:val="24"/>
              </w:rPr>
            </w:pPr>
            <w:r>
              <w:rPr>
                <w:rFonts w:hint="eastAsia" w:ascii="仿宋_GB2312" w:hAnsi="仿宋_GB2312" w:eastAsia="仿宋_GB2312" w:cs="仿宋_GB2312"/>
                <w:i w:val="0"/>
                <w:iCs w:val="0"/>
                <w:caps w:val="0"/>
                <w:color w:val="000000"/>
                <w:spacing w:val="0"/>
                <w:sz w:val="21"/>
                <w:szCs w:val="21"/>
                <w:shd w:val="clear" w:fill="FFFFFF"/>
              </w:rPr>
              <w:t>通过防火门监控器主机手动或自动启动电动闭门器（电动释放器），试验现场联动设备工作状态、防火门关闭情况及门磁开关信号输出情况。</w:t>
            </w:r>
          </w:p>
        </w:tc>
      </w:tr>
    </w:tbl>
    <w:p w14:paraId="10547A0C">
      <w:pPr>
        <w:pageBreakBefore w:val="0"/>
        <w:kinsoku/>
        <w:wordWrap/>
        <w:overflowPunct/>
        <w:topLinePunct w:val="0"/>
        <w:bidi w:val="0"/>
        <w:adjustRightInd w:val="0"/>
        <w:snapToGrid w:val="0"/>
        <w:spacing w:line="360" w:lineRule="auto"/>
        <w:ind w:right="0"/>
        <w:rPr>
          <w:rFonts w:ascii="仿宋" w:hAnsi="仿宋" w:eastAsia="仿宋" w:cs="仿宋"/>
          <w:sz w:val="28"/>
          <w:szCs w:val="28"/>
        </w:rPr>
      </w:pPr>
    </w:p>
    <w:p w14:paraId="477253D3">
      <w:pPr>
        <w:pStyle w:val="32"/>
        <w:pageBreakBefore w:val="0"/>
        <w:kinsoku/>
        <w:wordWrap/>
        <w:overflowPunct/>
        <w:topLinePunct w:val="0"/>
        <w:bidi w:val="0"/>
        <w:ind w:left="0" w:leftChars="0" w:right="0"/>
        <w:rPr>
          <w:b/>
          <w:bCs/>
          <w:color w:val="auto"/>
        </w:rPr>
      </w:pPr>
      <w:r>
        <w:rPr>
          <w:rFonts w:hint="eastAsia"/>
          <w:b/>
          <w:bCs/>
          <w:color w:val="auto"/>
        </w:rPr>
        <w:t>（四）建筑消防设施检测技术规程及工作要求</w:t>
      </w:r>
    </w:p>
    <w:p w14:paraId="67C98F36">
      <w:pPr>
        <w:pStyle w:val="32"/>
        <w:pageBreakBefore w:val="0"/>
        <w:kinsoku/>
        <w:wordWrap/>
        <w:overflowPunct/>
        <w:topLinePunct w:val="0"/>
        <w:bidi w:val="0"/>
        <w:ind w:left="0" w:leftChars="0" w:right="0"/>
      </w:pPr>
      <w:r>
        <w:rPr>
          <w:rFonts w:hint="eastAsia"/>
        </w:rPr>
        <w:t>1.范围</w:t>
      </w:r>
    </w:p>
    <w:p w14:paraId="060F6994">
      <w:pPr>
        <w:pStyle w:val="32"/>
        <w:keepNext w:val="0"/>
        <w:keepLines w:val="0"/>
        <w:pageBreakBefore w:val="0"/>
        <w:widowControl/>
        <w:kinsoku/>
        <w:wordWrap/>
        <w:overflowPunct/>
        <w:topLinePunct w:val="0"/>
        <w:autoSpaceDE w:val="0"/>
        <w:autoSpaceDN w:val="0"/>
        <w:bidi w:val="0"/>
        <w:adjustRightInd/>
        <w:snapToGrid/>
        <w:ind w:left="0" w:leftChars="0" w:right="0" w:firstLine="560" w:firstLineChars="200"/>
        <w:textAlignment w:val="auto"/>
      </w:pPr>
      <w:r>
        <w:t>本</w:t>
      </w:r>
      <w:r>
        <w:rPr>
          <w:rFonts w:hint="eastAsia"/>
        </w:rPr>
        <w:t>章程规定</w:t>
      </w:r>
      <w:r>
        <w:t>了建筑消防设施的检测要求、检测数量、检测方法、检测器具、检验项目类别和判定原则</w:t>
      </w:r>
      <w:r>
        <w:rPr>
          <w:rFonts w:hint="eastAsia"/>
        </w:rPr>
        <w:t>，</w:t>
      </w:r>
      <w:r>
        <w:t>本</w:t>
      </w:r>
      <w:r>
        <w:rPr>
          <w:rFonts w:hint="eastAsia"/>
        </w:rPr>
        <w:t>规定</w:t>
      </w:r>
      <w:r>
        <w:t>用于建筑消防设施运行情况的综合检测评定</w:t>
      </w:r>
      <w:r>
        <w:rPr>
          <w:rFonts w:hint="eastAsia"/>
        </w:rPr>
        <w:t>，</w:t>
      </w:r>
      <w:r>
        <w:t>不对产品本身性能进行检测。</w:t>
      </w:r>
    </w:p>
    <w:p w14:paraId="7A257E33">
      <w:pPr>
        <w:pStyle w:val="32"/>
        <w:keepNext w:val="0"/>
        <w:keepLines w:val="0"/>
        <w:pageBreakBefore w:val="0"/>
        <w:kinsoku/>
        <w:wordWrap/>
        <w:overflowPunct/>
        <w:topLinePunct w:val="0"/>
        <w:bidi w:val="0"/>
        <w:ind w:left="0" w:leftChars="0" w:right="0" w:firstLine="0" w:firstLineChars="0"/>
        <w:textAlignment w:val="auto"/>
      </w:pPr>
      <w:r>
        <w:rPr>
          <w:rFonts w:hint="eastAsia"/>
        </w:rPr>
        <w:t>2.主要术语和定义</w:t>
      </w:r>
    </w:p>
    <w:p w14:paraId="458E4C75">
      <w:pPr>
        <w:pStyle w:val="32"/>
        <w:keepNext w:val="0"/>
        <w:keepLines w:val="0"/>
        <w:pageBreakBefore w:val="0"/>
        <w:kinsoku/>
        <w:wordWrap/>
        <w:overflowPunct/>
        <w:topLinePunct w:val="0"/>
        <w:bidi w:val="0"/>
        <w:ind w:left="0" w:leftChars="0" w:right="0" w:firstLine="560" w:firstLineChars="200"/>
        <w:textAlignment w:val="auto"/>
      </w:pPr>
      <w:r>
        <w:rPr>
          <w:rFonts w:hint="eastAsia"/>
        </w:rPr>
        <w:t>2.1A类项（关键项）typeA(keyitem)</w:t>
      </w:r>
    </w:p>
    <w:p w14:paraId="5F51B382">
      <w:pPr>
        <w:pStyle w:val="32"/>
        <w:keepNext w:val="0"/>
        <w:keepLines w:val="0"/>
        <w:pageBreakBefore w:val="0"/>
        <w:kinsoku/>
        <w:wordWrap/>
        <w:overflowPunct/>
        <w:topLinePunct w:val="0"/>
        <w:bidi w:val="0"/>
        <w:ind w:left="0" w:leftChars="0" w:right="0" w:firstLine="560" w:firstLineChars="200"/>
        <w:textAlignment w:val="auto"/>
      </w:pPr>
      <w:r>
        <w:t>直接关系到消防系统运行功能存在的致命缺陷和可能对人身安全造成危害的项目。</w:t>
      </w:r>
    </w:p>
    <w:p w14:paraId="71E39C64">
      <w:pPr>
        <w:pStyle w:val="32"/>
        <w:keepNext w:val="0"/>
        <w:keepLines w:val="0"/>
        <w:pageBreakBefore w:val="0"/>
        <w:kinsoku/>
        <w:wordWrap/>
        <w:overflowPunct/>
        <w:topLinePunct w:val="0"/>
        <w:bidi w:val="0"/>
        <w:ind w:left="0" w:leftChars="0" w:right="0" w:firstLine="560" w:firstLineChars="200"/>
        <w:textAlignment w:val="auto"/>
      </w:pPr>
      <w:r>
        <w:rPr>
          <w:rFonts w:hint="eastAsia"/>
        </w:rPr>
        <w:t>2.2B类项（主要项）typeB（mainitem）</w:t>
      </w:r>
    </w:p>
    <w:p w14:paraId="188574AA">
      <w:pPr>
        <w:pStyle w:val="32"/>
        <w:keepNext w:val="0"/>
        <w:keepLines w:val="0"/>
        <w:pageBreakBefore w:val="0"/>
        <w:kinsoku/>
        <w:wordWrap/>
        <w:overflowPunct/>
        <w:topLinePunct w:val="0"/>
        <w:bidi w:val="0"/>
        <w:ind w:left="0" w:leftChars="0" w:right="0" w:firstLine="560" w:firstLineChars="200"/>
        <w:textAlignment w:val="auto"/>
      </w:pPr>
      <w:r>
        <w:t>对消防系统的工程质量有重要影响，可能间接影响消防系统运行功能可靠性的项目。</w:t>
      </w:r>
    </w:p>
    <w:p w14:paraId="20107C65">
      <w:pPr>
        <w:pStyle w:val="32"/>
        <w:keepNext w:val="0"/>
        <w:keepLines w:val="0"/>
        <w:pageBreakBefore w:val="0"/>
        <w:kinsoku/>
        <w:wordWrap/>
        <w:overflowPunct/>
        <w:topLinePunct w:val="0"/>
        <w:bidi w:val="0"/>
        <w:ind w:left="0" w:leftChars="0" w:right="0" w:firstLine="560" w:firstLineChars="200"/>
        <w:textAlignment w:val="auto"/>
      </w:pPr>
      <w:r>
        <w:rPr>
          <w:rFonts w:hint="eastAsia"/>
        </w:rPr>
        <w:t>2.3C类项（一般项）typeC（generalitem）</w:t>
      </w:r>
    </w:p>
    <w:p w14:paraId="5469667A">
      <w:pPr>
        <w:pStyle w:val="32"/>
        <w:keepNext w:val="0"/>
        <w:keepLines w:val="0"/>
        <w:pageBreakBefore w:val="0"/>
        <w:kinsoku/>
        <w:wordWrap/>
        <w:overflowPunct/>
        <w:topLinePunct w:val="0"/>
        <w:bidi w:val="0"/>
        <w:ind w:left="0" w:leftChars="0" w:right="0" w:firstLine="560" w:firstLineChars="200"/>
        <w:textAlignment w:val="auto"/>
      </w:pPr>
      <w:r>
        <w:t>对消防系统工程质量有一般影响的项目。</w:t>
      </w:r>
    </w:p>
    <w:p w14:paraId="08187005">
      <w:pPr>
        <w:pStyle w:val="32"/>
        <w:keepNext w:val="0"/>
        <w:keepLines w:val="0"/>
        <w:pageBreakBefore w:val="0"/>
        <w:kinsoku/>
        <w:wordWrap/>
        <w:overflowPunct/>
        <w:topLinePunct w:val="0"/>
        <w:bidi w:val="0"/>
        <w:ind w:left="0" w:leftChars="0" w:right="0" w:firstLine="0" w:firstLineChars="0"/>
        <w:textAlignment w:val="auto"/>
      </w:pPr>
      <w:r>
        <w:rPr>
          <w:rFonts w:hint="eastAsia"/>
        </w:rPr>
        <w:t>3.人员和工作量要求</w:t>
      </w:r>
    </w:p>
    <w:p w14:paraId="2B717AB5">
      <w:pPr>
        <w:pStyle w:val="32"/>
        <w:keepNext w:val="0"/>
        <w:keepLines w:val="0"/>
        <w:pageBreakBefore w:val="0"/>
        <w:kinsoku/>
        <w:wordWrap/>
        <w:overflowPunct/>
        <w:topLinePunct w:val="0"/>
        <w:bidi w:val="0"/>
        <w:ind w:left="0" w:leftChars="0" w:right="0" w:firstLine="560" w:firstLineChars="200"/>
        <w:textAlignment w:val="auto"/>
        <w:rPr>
          <w:highlight w:val="none"/>
        </w:rPr>
      </w:pPr>
      <w:r>
        <w:t>检测机构对建筑消防设施进行检测前应确定由具有</w:t>
      </w:r>
      <w:r>
        <w:rPr>
          <w:b/>
          <w:bCs/>
          <w:i w:val="0"/>
          <w:iCs w:val="0"/>
        </w:rPr>
        <w:t>一级注册消防工程师</w:t>
      </w:r>
      <w:r>
        <w:t>资格证书的人员担任项目负责人，由具有四级/中级工及以上职业资格证书的消防设施操</w:t>
      </w:r>
      <w:r>
        <w:rPr>
          <w:highlight w:val="none"/>
        </w:rPr>
        <w:t>作员（消防设施检测维修保养职业方向）实施检测。检测机构安排现场检测人员的数量和工作量应按照以下要求确定：</w:t>
      </w:r>
      <w:r>
        <w:rPr>
          <w:b/>
          <w:bCs/>
          <w:highlight w:val="none"/>
        </w:rPr>
        <w:t>合同建筑面积100000m2以上的不应少于5人；检测工作量不少于10人·日</w:t>
      </w:r>
      <w:r>
        <w:rPr>
          <w:highlight w:val="none"/>
        </w:rPr>
        <w:t>。</w:t>
      </w:r>
    </w:p>
    <w:p w14:paraId="4676DD40">
      <w:pPr>
        <w:pStyle w:val="32"/>
        <w:keepNext w:val="0"/>
        <w:keepLines w:val="0"/>
        <w:pageBreakBefore w:val="0"/>
        <w:kinsoku/>
        <w:wordWrap/>
        <w:overflowPunct/>
        <w:topLinePunct w:val="0"/>
        <w:bidi w:val="0"/>
        <w:ind w:left="0" w:leftChars="0" w:right="0" w:firstLine="0" w:firstLineChars="0"/>
        <w:textAlignment w:val="auto"/>
      </w:pPr>
      <w:r>
        <w:rPr>
          <w:rFonts w:hint="eastAsia"/>
        </w:rPr>
        <w:t>4.检测要求、检测数量、检测方法及检测器具</w:t>
      </w:r>
    </w:p>
    <w:p w14:paraId="00B64310">
      <w:pPr>
        <w:pStyle w:val="32"/>
        <w:keepNext w:val="0"/>
        <w:keepLines w:val="0"/>
        <w:pageBreakBefore w:val="0"/>
        <w:kinsoku/>
        <w:wordWrap/>
        <w:overflowPunct/>
        <w:topLinePunct w:val="0"/>
        <w:bidi w:val="0"/>
        <w:ind w:left="0" w:leftChars="0" w:right="0" w:firstLine="560" w:firstLineChars="200"/>
        <w:textAlignment w:val="auto"/>
      </w:pPr>
      <w:r>
        <w:rPr>
          <w:rFonts w:hint="eastAsia"/>
        </w:rPr>
        <w:t>4.1消防供配电设施</w:t>
      </w:r>
    </w:p>
    <w:p w14:paraId="1B0CCDF0">
      <w:pPr>
        <w:pStyle w:val="32"/>
        <w:keepNext w:val="0"/>
        <w:keepLines w:val="0"/>
        <w:pageBreakBefore w:val="0"/>
        <w:kinsoku/>
        <w:wordWrap/>
        <w:overflowPunct/>
        <w:topLinePunct w:val="0"/>
        <w:bidi w:val="0"/>
        <w:ind w:left="0" w:leftChars="0" w:right="0" w:firstLine="560" w:firstLineChars="200"/>
        <w:textAlignment w:val="auto"/>
      </w:pPr>
      <w:r>
        <w:t>检测要求：</w:t>
      </w:r>
    </w:p>
    <w:p w14:paraId="147807F1">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消防设备配电箱应有区别于其他配电箱的明显标志，不同消防设备的配电箱应有明显区分标识；（C类）</w:t>
      </w:r>
    </w:p>
    <w:p w14:paraId="41D700C4">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消防控制室、消防水泵房、防烟和排烟风机房的消防用电设备及消防电梯等的供电，应在其配电线路的最末一级配电箱处设置自动切换装置；（A类）</w:t>
      </w:r>
    </w:p>
    <w:p w14:paraId="72223C2E">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自备发电机的规格、额定功率应与设计文件相符；（A类）</w:t>
      </w:r>
    </w:p>
    <w:p w14:paraId="1C09AD12">
      <w:pPr>
        <w:pStyle w:val="32"/>
        <w:keepNext w:val="0"/>
        <w:keepLines w:val="0"/>
        <w:pageBreakBefore w:val="0"/>
        <w:kinsoku/>
        <w:wordWrap/>
        <w:overflowPunct/>
        <w:topLinePunct w:val="0"/>
        <w:bidi w:val="0"/>
        <w:ind w:left="0" w:leftChars="0" w:right="0" w:firstLine="560" w:firstLineChars="200"/>
        <w:textAlignment w:val="auto"/>
        <w:rPr>
          <w:strike/>
          <w:dstrike w:val="0"/>
          <w:highlight w:val="none"/>
        </w:rPr>
      </w:pPr>
      <w:r>
        <w:rPr>
          <w:rFonts w:hint="eastAsia"/>
        </w:rPr>
        <w:t>d)</w:t>
      </w:r>
      <w:r>
        <w:t>自备发电机组的仪表、指示灯及开关按钮等应完好并显示正常；（C类）</w:t>
      </w:r>
    </w:p>
    <w:p w14:paraId="334232DD">
      <w:pPr>
        <w:pStyle w:val="32"/>
        <w:keepNext w:val="0"/>
        <w:keepLines w:val="0"/>
        <w:pageBreakBefore w:val="0"/>
        <w:kinsoku/>
        <w:wordWrap/>
        <w:overflowPunct/>
        <w:topLinePunct w:val="0"/>
        <w:bidi w:val="0"/>
        <w:ind w:left="0" w:leftChars="0" w:right="0" w:firstLine="560" w:firstLineChars="200"/>
        <w:textAlignment w:val="auto"/>
        <w:rPr>
          <w:highlight w:val="none"/>
        </w:rPr>
      </w:pPr>
      <w:r>
        <w:rPr>
          <w:rFonts w:hint="eastAsia"/>
          <w:highlight w:val="none"/>
        </w:rPr>
        <w:t>e)</w:t>
      </w:r>
      <w:r>
        <w:rPr>
          <w:highlight w:val="none"/>
        </w:rPr>
        <w:t>储油设施的油位显示应正常。（A类）</w:t>
      </w:r>
    </w:p>
    <w:p w14:paraId="02269D98">
      <w:pPr>
        <w:pStyle w:val="32"/>
        <w:keepNext w:val="0"/>
        <w:keepLines w:val="0"/>
        <w:pageBreakBefore w:val="0"/>
        <w:kinsoku/>
        <w:wordWrap/>
        <w:overflowPunct/>
        <w:topLinePunct w:val="0"/>
        <w:bidi w:val="0"/>
        <w:ind w:left="0" w:leftChars="0" w:right="0" w:firstLine="560" w:firstLineChars="200"/>
        <w:textAlignment w:val="auto"/>
        <w:rPr>
          <w:rFonts w:hint="eastAsia"/>
          <w:highlight w:val="none"/>
          <w:lang w:val="en-US" w:eastAsia="zh-CN"/>
        </w:rPr>
      </w:pPr>
      <w:r>
        <w:rPr>
          <w:highlight w:val="none"/>
        </w:rPr>
        <w:t>检测数量：</w:t>
      </w:r>
      <w:r>
        <w:rPr>
          <w:rFonts w:hint="eastAsia"/>
          <w:highlight w:val="none"/>
          <w:lang w:val="en-US" w:eastAsia="zh-CN"/>
        </w:rPr>
        <w:t>(</w:t>
      </w:r>
      <w:r>
        <w:rPr>
          <w:rFonts w:hint="default"/>
          <w:highlight w:val="none"/>
        </w:rPr>
        <w:t>抽检实际安装数量的</w:t>
      </w:r>
      <w:r>
        <w:rPr>
          <w:rFonts w:hint="eastAsia"/>
          <w:highlight w:val="none"/>
          <w:lang w:val="en-US" w:eastAsia="zh-CN"/>
        </w:rPr>
        <w:t>100</w:t>
      </w:r>
      <w:r>
        <w:rPr>
          <w:rFonts w:hint="default"/>
          <w:highlight w:val="none"/>
        </w:rPr>
        <w:t>%。</w:t>
      </w:r>
      <w:r>
        <w:rPr>
          <w:rFonts w:hint="eastAsia"/>
          <w:highlight w:val="none"/>
          <w:lang w:val="en-US" w:eastAsia="zh-CN"/>
        </w:rPr>
        <w:t>)</w:t>
      </w:r>
    </w:p>
    <w:p w14:paraId="20D92088">
      <w:pPr>
        <w:pStyle w:val="32"/>
        <w:keepNext w:val="0"/>
        <w:keepLines w:val="0"/>
        <w:pageBreakBefore w:val="0"/>
        <w:kinsoku/>
        <w:wordWrap/>
        <w:overflowPunct/>
        <w:topLinePunct w:val="0"/>
        <w:bidi w:val="0"/>
        <w:ind w:left="0" w:leftChars="0" w:right="0" w:firstLine="560" w:firstLineChars="200"/>
        <w:textAlignment w:val="auto"/>
      </w:pPr>
      <w:r>
        <w:t>检测方法：直观检查。对照设计文件，查看相关配电箱的设置。查看并切换备用电源，检验是否符合设计要求。</w:t>
      </w:r>
    </w:p>
    <w:p w14:paraId="0424C622">
      <w:pPr>
        <w:pStyle w:val="32"/>
        <w:keepNext w:val="0"/>
        <w:keepLines w:val="0"/>
        <w:pageBreakBefore w:val="0"/>
        <w:kinsoku/>
        <w:wordWrap/>
        <w:overflowPunct/>
        <w:topLinePunct w:val="0"/>
        <w:bidi w:val="0"/>
        <w:ind w:left="0" w:leftChars="0" w:right="0" w:firstLine="560" w:firstLineChars="200"/>
        <w:textAlignment w:val="auto"/>
      </w:pPr>
      <w:r>
        <w:rPr>
          <w:rFonts w:hint="eastAsia"/>
        </w:rPr>
        <w:t>4.2火灾自动报警系统</w:t>
      </w:r>
    </w:p>
    <w:p w14:paraId="44E2F050">
      <w:pPr>
        <w:pStyle w:val="32"/>
        <w:keepNext w:val="0"/>
        <w:keepLines w:val="0"/>
        <w:pageBreakBefore w:val="0"/>
        <w:kinsoku/>
        <w:wordWrap/>
        <w:overflowPunct/>
        <w:topLinePunct w:val="0"/>
        <w:bidi w:val="0"/>
        <w:ind w:left="0" w:leftChars="0" w:right="0" w:firstLine="560" w:firstLineChars="200"/>
        <w:textAlignment w:val="auto"/>
      </w:pPr>
      <w:r>
        <w:rPr>
          <w:rFonts w:hint="eastAsia"/>
        </w:rPr>
        <w:t>一般规定:</w:t>
      </w:r>
    </w:p>
    <w:p w14:paraId="4ED7A622">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火灾自动报警系统设备及配件的规格、型号应与设计文件相符；（A类）</w:t>
      </w:r>
    </w:p>
    <w:p w14:paraId="4F8D3D70">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任一台火灾报警控制器所连接的火灾探测器、手动火灾报警按钮和模块等设备总数和地址总数，应与设计文件相符且不应超过3200点，其中每一总线回路连接设备的总数不宜超过200点，且应留有不少于额定容量10%的余量；（B类）</w:t>
      </w:r>
    </w:p>
    <w:p w14:paraId="33584C09">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任一台消防联动控制器地址总数或火灾报警控制器（联动型）所控制的各类模块总数不应超过1600点，每一联动总线回路连接设备的总数不宜超过100点，且应留有不少于额定容量10%的余量；（B类）</w:t>
      </w:r>
    </w:p>
    <w:p w14:paraId="43D8E194">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系统总线上应设置总线短路隔离器，总线穿越防火分区时，应在穿越处设置总线短路隔离器；（A类）</w:t>
      </w:r>
    </w:p>
    <w:p w14:paraId="73F5F964">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t>每只总线短路隔离器保护的火灾探测器、手动火灾报警按钮和模块等消防设备的总数不应超过32点。（A类）</w:t>
      </w:r>
    </w:p>
    <w:p w14:paraId="48E85FEA">
      <w:pPr>
        <w:pStyle w:val="32"/>
        <w:keepNext w:val="0"/>
        <w:keepLines w:val="0"/>
        <w:pageBreakBefore w:val="0"/>
        <w:kinsoku/>
        <w:wordWrap/>
        <w:overflowPunct/>
        <w:topLinePunct w:val="0"/>
        <w:bidi w:val="0"/>
        <w:ind w:left="0" w:leftChars="0" w:right="0" w:firstLine="560" w:firstLineChars="200"/>
        <w:textAlignment w:val="auto"/>
      </w:pPr>
      <w:r>
        <w:t>检测数量：火灾报警控制器、消防联动控制器全数</w:t>
      </w:r>
      <w:r>
        <w:rPr>
          <w:rFonts w:hint="eastAsia"/>
        </w:rPr>
        <w:t>100%</w:t>
      </w:r>
      <w:r>
        <w:t>检测。总线短路隔离器每回路应至少抽检1处。</w:t>
      </w:r>
    </w:p>
    <w:p w14:paraId="66E0C2F5">
      <w:pPr>
        <w:pStyle w:val="32"/>
        <w:keepNext w:val="0"/>
        <w:keepLines w:val="0"/>
        <w:pageBreakBefore w:val="0"/>
        <w:kinsoku/>
        <w:wordWrap/>
        <w:overflowPunct/>
        <w:topLinePunct w:val="0"/>
        <w:bidi w:val="0"/>
        <w:ind w:left="0" w:leftChars="0" w:right="0" w:firstLine="560" w:firstLineChars="200"/>
        <w:textAlignment w:val="auto"/>
      </w:pPr>
      <w:r>
        <w:t>检测方法：</w:t>
      </w:r>
    </w:p>
    <w:p w14:paraId="494CB131">
      <w:pPr>
        <w:pStyle w:val="32"/>
        <w:keepNext w:val="0"/>
        <w:keepLines w:val="0"/>
        <w:pageBreakBefore w:val="0"/>
        <w:kinsoku/>
        <w:wordWrap/>
        <w:overflowPunct/>
        <w:topLinePunct w:val="0"/>
        <w:bidi w:val="0"/>
        <w:ind w:left="0" w:leftChars="0" w:right="0" w:firstLine="560" w:firstLineChars="200"/>
        <w:textAlignment w:val="auto"/>
      </w:pPr>
      <w:r>
        <w:t>a）对照设计文件；</w:t>
      </w:r>
    </w:p>
    <w:p w14:paraId="21AFAEB1">
      <w:pPr>
        <w:pStyle w:val="32"/>
        <w:keepNext w:val="0"/>
        <w:keepLines w:val="0"/>
        <w:pageBreakBefore w:val="0"/>
        <w:kinsoku/>
        <w:wordWrap/>
        <w:overflowPunct/>
        <w:topLinePunct w:val="0"/>
        <w:bidi w:val="0"/>
        <w:ind w:left="0" w:leftChars="0" w:right="0" w:firstLine="560" w:firstLineChars="200"/>
        <w:textAlignment w:val="auto"/>
      </w:pPr>
      <w:r>
        <w:t>b）核查火灾报警控制器连接设备的数量；</w:t>
      </w:r>
    </w:p>
    <w:p w14:paraId="1443C483">
      <w:pPr>
        <w:pStyle w:val="32"/>
        <w:keepNext w:val="0"/>
        <w:keepLines w:val="0"/>
        <w:pageBreakBefore w:val="0"/>
        <w:kinsoku/>
        <w:wordWrap/>
        <w:overflowPunct/>
        <w:topLinePunct w:val="0"/>
        <w:bidi w:val="0"/>
        <w:ind w:left="0" w:leftChars="0" w:right="0" w:firstLine="560" w:firstLineChars="200"/>
        <w:textAlignment w:val="auto"/>
      </w:pPr>
      <w:r>
        <w:t>c）核查消防联动控制器连接设备的数量；</w:t>
      </w:r>
    </w:p>
    <w:p w14:paraId="504FF0C9">
      <w:pPr>
        <w:pStyle w:val="32"/>
        <w:keepNext w:val="0"/>
        <w:keepLines w:val="0"/>
        <w:pageBreakBefore w:val="0"/>
        <w:kinsoku/>
        <w:wordWrap/>
        <w:overflowPunct/>
        <w:topLinePunct w:val="0"/>
        <w:bidi w:val="0"/>
        <w:ind w:left="0" w:leftChars="0" w:right="0" w:firstLine="560" w:firstLineChars="200"/>
        <w:textAlignment w:val="auto"/>
      </w:pPr>
      <w:r>
        <w:t>d）直观检查；</w:t>
      </w:r>
    </w:p>
    <w:p w14:paraId="6FD381D8">
      <w:pPr>
        <w:pStyle w:val="32"/>
        <w:keepNext w:val="0"/>
        <w:keepLines w:val="0"/>
        <w:pageBreakBefore w:val="0"/>
        <w:kinsoku/>
        <w:wordWrap/>
        <w:overflowPunct/>
        <w:topLinePunct w:val="0"/>
        <w:bidi w:val="0"/>
        <w:ind w:left="0" w:leftChars="0" w:right="0" w:firstLine="560" w:firstLineChars="200"/>
        <w:textAlignment w:val="auto"/>
      </w:pPr>
      <w:r>
        <w:t>e）通过测试隔离器核查所连接数量。</w:t>
      </w:r>
    </w:p>
    <w:p w14:paraId="72814F39">
      <w:pPr>
        <w:pStyle w:val="32"/>
        <w:keepNext w:val="0"/>
        <w:keepLines w:val="0"/>
        <w:pageBreakBefore w:val="0"/>
        <w:kinsoku/>
        <w:wordWrap/>
        <w:overflowPunct/>
        <w:topLinePunct w:val="0"/>
        <w:bidi w:val="0"/>
        <w:ind w:left="0" w:leftChars="0" w:right="0" w:firstLine="560" w:firstLineChars="200"/>
        <w:textAlignment w:val="auto"/>
      </w:pPr>
      <w:r>
        <w:rPr>
          <w:rFonts w:hint="eastAsia"/>
        </w:rPr>
        <w:t>4.3火灾报警控制器</w:t>
      </w:r>
    </w:p>
    <w:p w14:paraId="095CA2E0">
      <w:pPr>
        <w:pStyle w:val="32"/>
        <w:keepNext w:val="0"/>
        <w:keepLines w:val="0"/>
        <w:pageBreakBefore w:val="0"/>
        <w:kinsoku/>
        <w:wordWrap/>
        <w:overflowPunct/>
        <w:topLinePunct w:val="0"/>
        <w:bidi w:val="0"/>
        <w:ind w:left="0" w:leftChars="0" w:right="0" w:firstLine="560" w:firstLineChars="200"/>
        <w:textAlignment w:val="auto"/>
      </w:pPr>
      <w:r>
        <w:rPr>
          <w:rFonts w:hint="eastAsia"/>
        </w:rPr>
        <w:t>基本要求:</w:t>
      </w:r>
    </w:p>
    <w:p w14:paraId="23D0106B">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控制器应具有中文功能标注和信息显示；（B类）</w:t>
      </w:r>
    </w:p>
    <w:p w14:paraId="67E9686E">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文字符号和标志应明显、清晰；（C类）</w:t>
      </w:r>
    </w:p>
    <w:p w14:paraId="0458C07C">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控制器应安装牢固，不应倾斜；（C类）</w:t>
      </w:r>
    </w:p>
    <w:p w14:paraId="0D7D0B71">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安装在轻质墙上时，应采取加固措施；（B类）</w:t>
      </w:r>
    </w:p>
    <w:p w14:paraId="40AAAE2C">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t>配线应整齐，不宜交叉，并应固定牢靠；（C类）</w:t>
      </w:r>
    </w:p>
    <w:p w14:paraId="32F95C5B">
      <w:pPr>
        <w:pStyle w:val="32"/>
        <w:keepNext w:val="0"/>
        <w:keepLines w:val="0"/>
        <w:pageBreakBefore w:val="0"/>
        <w:kinsoku/>
        <w:wordWrap/>
        <w:overflowPunct/>
        <w:topLinePunct w:val="0"/>
        <w:bidi w:val="0"/>
        <w:ind w:left="0" w:leftChars="0" w:right="0" w:firstLine="560" w:firstLineChars="200"/>
        <w:textAlignment w:val="auto"/>
      </w:pPr>
      <w:r>
        <w:rPr>
          <w:rFonts w:hint="eastAsia"/>
        </w:rPr>
        <w:t>f)</w:t>
      </w:r>
      <w:r>
        <w:t>电缆芯线和所配导线的端部，均应标明编号；（B类）</w:t>
      </w:r>
    </w:p>
    <w:p w14:paraId="0D58CEDB">
      <w:pPr>
        <w:pStyle w:val="32"/>
        <w:keepNext w:val="0"/>
        <w:keepLines w:val="0"/>
        <w:pageBreakBefore w:val="0"/>
        <w:kinsoku/>
        <w:wordWrap/>
        <w:overflowPunct/>
        <w:topLinePunct w:val="0"/>
        <w:bidi w:val="0"/>
        <w:ind w:left="0" w:leftChars="0" w:right="0" w:firstLine="560" w:firstLineChars="200"/>
        <w:textAlignment w:val="auto"/>
      </w:pPr>
      <w:r>
        <w:rPr>
          <w:rFonts w:hint="eastAsia"/>
        </w:rPr>
        <w:t>g)</w:t>
      </w:r>
      <w:r>
        <w:t>端子板的每个接线端，接线不得超过2根；（B类）</w:t>
      </w:r>
    </w:p>
    <w:p w14:paraId="1814C3FE">
      <w:pPr>
        <w:pStyle w:val="32"/>
        <w:keepNext w:val="0"/>
        <w:keepLines w:val="0"/>
        <w:pageBreakBefore w:val="0"/>
        <w:kinsoku/>
        <w:wordWrap/>
        <w:overflowPunct/>
        <w:topLinePunct w:val="0"/>
        <w:bidi w:val="0"/>
        <w:ind w:left="0" w:leftChars="0" w:right="0" w:firstLine="560" w:firstLineChars="200"/>
        <w:textAlignment w:val="auto"/>
      </w:pPr>
      <w:r>
        <w:rPr>
          <w:rFonts w:hint="eastAsia"/>
        </w:rPr>
        <w:t>h)</w:t>
      </w:r>
      <w:r>
        <w:t>导线应绑扎成束。（C类）</w:t>
      </w:r>
    </w:p>
    <w:p w14:paraId="4A54ED32">
      <w:pPr>
        <w:pStyle w:val="32"/>
        <w:keepNext w:val="0"/>
        <w:keepLines w:val="0"/>
        <w:pageBreakBefore w:val="0"/>
        <w:kinsoku/>
        <w:wordWrap/>
        <w:overflowPunct/>
        <w:topLinePunct w:val="0"/>
        <w:bidi w:val="0"/>
        <w:ind w:left="0" w:leftChars="0" w:right="0" w:firstLine="560" w:firstLineChars="200"/>
        <w:textAlignment w:val="auto"/>
      </w:pPr>
      <w:r>
        <w:t>检测数量：</w:t>
      </w:r>
      <w:r>
        <w:rPr>
          <w:rFonts w:hint="eastAsia"/>
        </w:rPr>
        <w:t>按实际安装数量的100%检测。</w:t>
      </w:r>
    </w:p>
    <w:p w14:paraId="141FF3EF">
      <w:pPr>
        <w:pStyle w:val="32"/>
        <w:keepNext w:val="0"/>
        <w:keepLines w:val="0"/>
        <w:pageBreakBefore w:val="0"/>
        <w:kinsoku/>
        <w:wordWrap/>
        <w:overflowPunct/>
        <w:topLinePunct w:val="0"/>
        <w:bidi w:val="0"/>
        <w:ind w:left="0" w:leftChars="0" w:right="0" w:firstLine="560" w:firstLineChars="200"/>
        <w:textAlignment w:val="auto"/>
      </w:pPr>
      <w:r>
        <w:t>检测方法：直观检查。</w:t>
      </w:r>
    </w:p>
    <w:p w14:paraId="13B49539">
      <w:pPr>
        <w:pStyle w:val="32"/>
        <w:keepNext w:val="0"/>
        <w:keepLines w:val="0"/>
        <w:pageBreakBefore w:val="0"/>
        <w:kinsoku/>
        <w:wordWrap/>
        <w:overflowPunct/>
        <w:topLinePunct w:val="0"/>
        <w:bidi w:val="0"/>
        <w:ind w:left="0" w:leftChars="0" w:right="0" w:firstLine="560" w:firstLineChars="200"/>
        <w:textAlignment w:val="auto"/>
      </w:pPr>
      <w:r>
        <w:rPr>
          <w:rFonts w:hint="eastAsia"/>
        </w:rPr>
        <w:t>4.2.1控制器安装要求</w:t>
      </w:r>
    </w:p>
    <w:p w14:paraId="7F9C46F8">
      <w:pPr>
        <w:pStyle w:val="32"/>
        <w:keepNext w:val="0"/>
        <w:keepLines w:val="0"/>
        <w:pageBreakBefore w:val="0"/>
        <w:kinsoku/>
        <w:wordWrap/>
        <w:overflowPunct/>
        <w:topLinePunct w:val="0"/>
        <w:bidi w:val="0"/>
        <w:ind w:left="0" w:leftChars="0" w:right="0" w:firstLine="560" w:firstLineChars="200"/>
        <w:textAlignment w:val="auto"/>
      </w:pPr>
      <w:r>
        <w:rPr>
          <w:rFonts w:hint="eastAsia"/>
        </w:rPr>
        <w:t>壁挂式安装要求</w:t>
      </w:r>
    </w:p>
    <w:p w14:paraId="403D22C9">
      <w:pPr>
        <w:pStyle w:val="32"/>
        <w:keepNext w:val="0"/>
        <w:keepLines w:val="0"/>
        <w:pageBreakBefore w:val="0"/>
        <w:kinsoku/>
        <w:wordWrap/>
        <w:overflowPunct/>
        <w:topLinePunct w:val="0"/>
        <w:bidi w:val="0"/>
        <w:ind w:left="0" w:leftChars="0" w:right="0" w:firstLine="560" w:firstLineChars="200"/>
        <w:textAlignment w:val="auto"/>
      </w:pPr>
      <w:r>
        <w:t>检测要求：</w:t>
      </w:r>
    </w:p>
    <w:p w14:paraId="1D5FE346">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火灾报警控制器在墙上安装时，其底边距地（楼）面高度宜为1.3m～1.5m；（C类）</w:t>
      </w:r>
    </w:p>
    <w:p w14:paraId="331E94AF">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靠近门轴的侧面距墙不应小于0.5m；（C类）</w:t>
      </w:r>
    </w:p>
    <w:p w14:paraId="3981A6E6">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正面操作距离不应小于1.2m。（C类）</w:t>
      </w:r>
    </w:p>
    <w:p w14:paraId="003FC36D">
      <w:pPr>
        <w:pStyle w:val="32"/>
        <w:keepNext w:val="0"/>
        <w:keepLines w:val="0"/>
        <w:pageBreakBefore w:val="0"/>
        <w:kinsoku/>
        <w:wordWrap/>
        <w:overflowPunct/>
        <w:topLinePunct w:val="0"/>
        <w:bidi w:val="0"/>
        <w:ind w:left="0" w:leftChars="0" w:right="0" w:firstLine="560" w:firstLineChars="200"/>
        <w:textAlignment w:val="auto"/>
      </w:pPr>
      <w:r>
        <w:t>检测数量：</w:t>
      </w:r>
      <w:r>
        <w:rPr>
          <w:rFonts w:hint="eastAsia"/>
        </w:rPr>
        <w:t>按实际安装数量的100%检测。</w:t>
      </w:r>
    </w:p>
    <w:p w14:paraId="0653FD4B">
      <w:pPr>
        <w:pStyle w:val="32"/>
        <w:keepNext w:val="0"/>
        <w:keepLines w:val="0"/>
        <w:pageBreakBefore w:val="0"/>
        <w:kinsoku/>
        <w:wordWrap/>
        <w:overflowPunct/>
        <w:topLinePunct w:val="0"/>
        <w:bidi w:val="0"/>
        <w:ind w:left="0" w:leftChars="0" w:right="0" w:firstLine="560" w:firstLineChars="200"/>
        <w:textAlignment w:val="auto"/>
      </w:pPr>
      <w:r>
        <w:t>检测方法：尺量、直观检查。检测器具：钢卷尺。</w:t>
      </w:r>
    </w:p>
    <w:p w14:paraId="792AE719">
      <w:pPr>
        <w:pStyle w:val="32"/>
        <w:keepNext w:val="0"/>
        <w:keepLines w:val="0"/>
        <w:pageBreakBefore w:val="0"/>
        <w:kinsoku/>
        <w:wordWrap/>
        <w:overflowPunct/>
        <w:topLinePunct w:val="0"/>
        <w:bidi w:val="0"/>
        <w:ind w:left="0" w:leftChars="0" w:right="0" w:firstLine="560" w:firstLineChars="200"/>
        <w:textAlignment w:val="auto"/>
      </w:pPr>
      <w:r>
        <w:rPr>
          <w:rFonts w:hint="eastAsia"/>
        </w:rPr>
        <w:t>4.2.2落地式安装要求</w:t>
      </w:r>
    </w:p>
    <w:p w14:paraId="63DE88CE">
      <w:pPr>
        <w:pStyle w:val="32"/>
        <w:keepNext w:val="0"/>
        <w:keepLines w:val="0"/>
        <w:pageBreakBefore w:val="0"/>
        <w:kinsoku/>
        <w:wordWrap/>
        <w:overflowPunct/>
        <w:topLinePunct w:val="0"/>
        <w:bidi w:val="0"/>
        <w:ind w:left="0" w:leftChars="0" w:right="0" w:firstLine="560" w:firstLineChars="200"/>
        <w:textAlignment w:val="auto"/>
      </w:pPr>
      <w:r>
        <w:t>检测要求：</w:t>
      </w:r>
    </w:p>
    <w:p w14:paraId="484B5811">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单列布置时，设备面盘前的操作距离不应小于1.5m；（C类）</w:t>
      </w:r>
    </w:p>
    <w:p w14:paraId="3E16997B">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双列布置时，设备面盘前的操作距离不应小于2m；（C类）</w:t>
      </w:r>
    </w:p>
    <w:p w14:paraId="7611438D">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当其中一侧靠墙安装时，另一侧距墙不应小于1m；（C类）</w:t>
      </w:r>
    </w:p>
    <w:p w14:paraId="7B5C47C4">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设备面盘后的维修距离不宜小于1m；（C类）</w:t>
      </w:r>
    </w:p>
    <w:p w14:paraId="136093A9">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t>在值班人员经常工作的一面，设备面盘至墙的距离不应小于3m；（C类）</w:t>
      </w:r>
    </w:p>
    <w:p w14:paraId="2CCAD077">
      <w:pPr>
        <w:pStyle w:val="32"/>
        <w:keepNext w:val="0"/>
        <w:keepLines w:val="0"/>
        <w:pageBreakBefore w:val="0"/>
        <w:kinsoku/>
        <w:wordWrap/>
        <w:overflowPunct/>
        <w:topLinePunct w:val="0"/>
        <w:bidi w:val="0"/>
        <w:ind w:left="0" w:leftChars="0" w:right="0" w:firstLine="560" w:firstLineChars="200"/>
        <w:textAlignment w:val="auto"/>
      </w:pPr>
      <w:r>
        <w:rPr>
          <w:rFonts w:hint="eastAsia"/>
        </w:rPr>
        <w:t>f)</w:t>
      </w:r>
      <w:r>
        <w:t>底边宜高出地（楼）面0.1m～0.2m。（C类）</w:t>
      </w:r>
    </w:p>
    <w:p w14:paraId="52DAFC6C">
      <w:pPr>
        <w:pStyle w:val="32"/>
        <w:keepNext w:val="0"/>
        <w:keepLines w:val="0"/>
        <w:pageBreakBefore w:val="0"/>
        <w:kinsoku/>
        <w:wordWrap/>
        <w:overflowPunct/>
        <w:topLinePunct w:val="0"/>
        <w:bidi w:val="0"/>
        <w:ind w:left="0" w:leftChars="0" w:right="0" w:firstLine="560" w:firstLineChars="200"/>
        <w:textAlignment w:val="auto"/>
      </w:pPr>
      <w:r>
        <w:t>检测数量：</w:t>
      </w:r>
      <w:r>
        <w:rPr>
          <w:rFonts w:hint="eastAsia"/>
        </w:rPr>
        <w:t>按实际安装数量的100%检测。</w:t>
      </w:r>
    </w:p>
    <w:p w14:paraId="1BF42FDE">
      <w:pPr>
        <w:pStyle w:val="32"/>
        <w:keepNext w:val="0"/>
        <w:keepLines w:val="0"/>
        <w:pageBreakBefore w:val="0"/>
        <w:kinsoku/>
        <w:wordWrap/>
        <w:overflowPunct/>
        <w:topLinePunct w:val="0"/>
        <w:bidi w:val="0"/>
        <w:ind w:left="0" w:leftChars="0" w:right="0" w:firstLine="560" w:firstLineChars="200"/>
        <w:textAlignment w:val="auto"/>
      </w:pPr>
      <w:r>
        <w:t>检测方法：尺量。检测器具：钢卷尺。</w:t>
      </w:r>
    </w:p>
    <w:p w14:paraId="1BDCF773">
      <w:pPr>
        <w:pStyle w:val="32"/>
        <w:keepNext w:val="0"/>
        <w:keepLines w:val="0"/>
        <w:pageBreakBefore w:val="0"/>
        <w:kinsoku/>
        <w:wordWrap/>
        <w:overflowPunct/>
        <w:topLinePunct w:val="0"/>
        <w:bidi w:val="0"/>
        <w:ind w:left="0" w:leftChars="0" w:right="0" w:firstLine="560" w:firstLineChars="200"/>
        <w:textAlignment w:val="auto"/>
      </w:pPr>
      <w:r>
        <w:rPr>
          <w:rFonts w:hint="eastAsia"/>
        </w:rPr>
        <w:t>4.2.3控制器接地要求</w:t>
      </w:r>
    </w:p>
    <w:p w14:paraId="62EE1D3C">
      <w:pPr>
        <w:pStyle w:val="32"/>
        <w:keepNext w:val="0"/>
        <w:keepLines w:val="0"/>
        <w:pageBreakBefore w:val="0"/>
        <w:kinsoku/>
        <w:wordWrap/>
        <w:overflowPunct/>
        <w:topLinePunct w:val="0"/>
        <w:bidi w:val="0"/>
        <w:ind w:left="0" w:leftChars="0" w:right="0" w:firstLine="560" w:firstLineChars="200"/>
        <w:textAlignment w:val="auto"/>
      </w:pPr>
      <w:r>
        <w:t>检测要求：</w:t>
      </w:r>
    </w:p>
    <w:p w14:paraId="5569D0FB">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控制器应有接地保护；（A类）</w:t>
      </w:r>
    </w:p>
    <w:p w14:paraId="5D69E45F">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接地应有标志，且标志应设置明显的永久性标识；（B类）</w:t>
      </w:r>
    </w:p>
    <w:p w14:paraId="594DCB4B">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控制室内的控制器设备的金属外壳、机柜、机架和金属管、槽等，应采用等电位连接；（C类）</w:t>
      </w:r>
    </w:p>
    <w:p w14:paraId="555065B6">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由消防控制室接地板引至各消防电子设备的专用接地线应选用铜芯绝缘导线，其线芯截面积不应小于4mm2；（B类）</w:t>
      </w:r>
    </w:p>
    <w:p w14:paraId="5FC199EB">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t>消防控制室接地板与建筑接地体之间，应采用线芯截面积不小于25mm2的铜芯绝缘导线连接；（B类）</w:t>
      </w:r>
    </w:p>
    <w:p w14:paraId="223EFDAC">
      <w:pPr>
        <w:pStyle w:val="32"/>
        <w:keepNext w:val="0"/>
        <w:keepLines w:val="0"/>
        <w:pageBreakBefore w:val="0"/>
        <w:kinsoku/>
        <w:wordWrap/>
        <w:overflowPunct/>
        <w:topLinePunct w:val="0"/>
        <w:bidi w:val="0"/>
        <w:ind w:left="0" w:leftChars="0" w:right="0" w:firstLine="560" w:firstLineChars="200"/>
        <w:textAlignment w:val="auto"/>
      </w:pPr>
      <w:r>
        <w:rPr>
          <w:rFonts w:hint="eastAsia"/>
        </w:rPr>
        <w:t>f)</w:t>
      </w:r>
      <w:r>
        <w:t>火灾自动报警系统采用专用接地装置时，其接地电阻值不应大于4Ω；（A类）</w:t>
      </w:r>
    </w:p>
    <w:p w14:paraId="7752D671">
      <w:pPr>
        <w:pStyle w:val="32"/>
        <w:keepNext w:val="0"/>
        <w:keepLines w:val="0"/>
        <w:pageBreakBefore w:val="0"/>
        <w:kinsoku/>
        <w:wordWrap/>
        <w:overflowPunct/>
        <w:topLinePunct w:val="0"/>
        <w:bidi w:val="0"/>
        <w:ind w:left="0" w:leftChars="0" w:right="0" w:firstLine="560" w:firstLineChars="200"/>
        <w:textAlignment w:val="auto"/>
      </w:pPr>
      <w:r>
        <w:rPr>
          <w:rFonts w:hint="eastAsia"/>
        </w:rPr>
        <w:t>g)</w:t>
      </w:r>
      <w:r>
        <w:t>火灾自动报警系统采用共用接地装置时，其接地电阻值不应大于1Ω。（A类）</w:t>
      </w:r>
    </w:p>
    <w:p w14:paraId="685B583F">
      <w:pPr>
        <w:pStyle w:val="32"/>
        <w:keepNext w:val="0"/>
        <w:keepLines w:val="0"/>
        <w:pageBreakBefore w:val="0"/>
        <w:kinsoku/>
        <w:wordWrap/>
        <w:overflowPunct/>
        <w:topLinePunct w:val="0"/>
        <w:bidi w:val="0"/>
        <w:ind w:left="0" w:leftChars="0" w:right="0" w:firstLine="560" w:firstLineChars="200"/>
        <w:textAlignment w:val="auto"/>
      </w:pPr>
      <w:r>
        <w:t>检测数量：</w:t>
      </w:r>
      <w:r>
        <w:rPr>
          <w:rFonts w:hint="eastAsia"/>
        </w:rPr>
        <w:t>100%</w:t>
      </w:r>
      <w:r>
        <w:t>全数检测。</w:t>
      </w:r>
    </w:p>
    <w:p w14:paraId="1E785C29">
      <w:pPr>
        <w:pStyle w:val="32"/>
        <w:keepNext w:val="0"/>
        <w:keepLines w:val="0"/>
        <w:pageBreakBefore w:val="0"/>
        <w:kinsoku/>
        <w:wordWrap/>
        <w:overflowPunct/>
        <w:topLinePunct w:val="0"/>
        <w:bidi w:val="0"/>
        <w:ind w:left="0" w:leftChars="0" w:right="0" w:firstLine="560" w:firstLineChars="200"/>
        <w:textAlignment w:val="auto"/>
      </w:pPr>
      <w:r>
        <w:t>检测方法：</w:t>
      </w:r>
    </w:p>
    <w:p w14:paraId="5ECD6FD8">
      <w:pPr>
        <w:pStyle w:val="32"/>
        <w:keepNext w:val="0"/>
        <w:keepLines w:val="0"/>
        <w:pageBreakBefore w:val="0"/>
        <w:widowControl/>
        <w:numPr>
          <w:ilvl w:val="0"/>
          <w:numId w:val="0"/>
        </w:numPr>
        <w:kinsoku/>
        <w:wordWrap/>
        <w:overflowPunct/>
        <w:topLinePunct w:val="0"/>
        <w:autoSpaceDE w:val="0"/>
        <w:autoSpaceDN w:val="0"/>
        <w:bidi w:val="0"/>
        <w:adjustRightInd/>
        <w:snapToGrid/>
        <w:ind w:leftChars="0" w:right="0" w:rightChars="0" w:firstLine="560" w:firstLineChars="200"/>
        <w:textAlignment w:val="auto"/>
      </w:pPr>
      <w:r>
        <w:rPr>
          <w:rFonts w:hint="eastAsia"/>
          <w:lang w:val="en-US" w:eastAsia="zh-CN"/>
        </w:rPr>
        <w:t>a）</w:t>
      </w:r>
      <w:r>
        <w:t>～c）直观检查；</w:t>
      </w:r>
    </w:p>
    <w:p w14:paraId="4A0112CE">
      <w:pPr>
        <w:pStyle w:val="32"/>
        <w:keepNext w:val="0"/>
        <w:keepLines w:val="0"/>
        <w:pageBreakBefore w:val="0"/>
        <w:widowControl/>
        <w:numPr>
          <w:ilvl w:val="0"/>
          <w:numId w:val="0"/>
        </w:numPr>
        <w:kinsoku/>
        <w:wordWrap/>
        <w:overflowPunct/>
        <w:topLinePunct w:val="0"/>
        <w:autoSpaceDE w:val="0"/>
        <w:autoSpaceDN w:val="0"/>
        <w:bidi w:val="0"/>
        <w:adjustRightInd/>
        <w:snapToGrid/>
        <w:ind w:leftChars="0" w:right="0" w:rightChars="0" w:firstLine="560" w:firstLineChars="200"/>
        <w:textAlignment w:val="auto"/>
      </w:pPr>
      <w:r>
        <w:t>d）e）尺量检查；</w:t>
      </w:r>
    </w:p>
    <w:p w14:paraId="52D49477">
      <w:pPr>
        <w:pStyle w:val="32"/>
        <w:keepNext w:val="0"/>
        <w:keepLines w:val="0"/>
        <w:pageBreakBefore w:val="0"/>
        <w:widowControl/>
        <w:numPr>
          <w:ilvl w:val="0"/>
          <w:numId w:val="0"/>
        </w:numPr>
        <w:kinsoku/>
        <w:wordWrap/>
        <w:overflowPunct/>
        <w:topLinePunct w:val="0"/>
        <w:autoSpaceDE w:val="0"/>
        <w:autoSpaceDN w:val="0"/>
        <w:bidi w:val="0"/>
        <w:adjustRightInd/>
        <w:snapToGrid/>
        <w:ind w:leftChars="0" w:right="0" w:rightChars="0" w:firstLine="560" w:firstLineChars="200"/>
        <w:textAlignment w:val="auto"/>
      </w:pPr>
      <w:r>
        <w:t>f)g）仪表测量。</w:t>
      </w:r>
    </w:p>
    <w:p w14:paraId="3BBA2EB0">
      <w:pPr>
        <w:pStyle w:val="32"/>
        <w:keepNext w:val="0"/>
        <w:keepLines w:val="0"/>
        <w:pageBreakBefore w:val="0"/>
        <w:widowControl/>
        <w:numPr>
          <w:ilvl w:val="0"/>
          <w:numId w:val="0"/>
        </w:numPr>
        <w:kinsoku/>
        <w:wordWrap/>
        <w:overflowPunct/>
        <w:topLinePunct w:val="0"/>
        <w:autoSpaceDE w:val="0"/>
        <w:autoSpaceDN w:val="0"/>
        <w:bidi w:val="0"/>
        <w:adjustRightInd/>
        <w:snapToGrid/>
        <w:ind w:leftChars="0" w:right="0" w:rightChars="0" w:firstLine="560" w:firstLineChars="200"/>
        <w:textAlignment w:val="auto"/>
      </w:pPr>
      <w:r>
        <w:t>检测器具：游标卡尺、接地电阻测量仪。</w:t>
      </w:r>
    </w:p>
    <w:p w14:paraId="24C0ABCF">
      <w:pPr>
        <w:pStyle w:val="32"/>
        <w:keepNext w:val="0"/>
        <w:keepLines w:val="0"/>
        <w:pageBreakBefore w:val="0"/>
        <w:kinsoku/>
        <w:wordWrap/>
        <w:overflowPunct/>
        <w:topLinePunct w:val="0"/>
        <w:bidi w:val="0"/>
        <w:ind w:left="0" w:leftChars="0" w:right="0" w:firstLine="560" w:firstLineChars="200"/>
        <w:textAlignment w:val="auto"/>
      </w:pPr>
      <w:r>
        <w:rPr>
          <w:rFonts w:hint="eastAsia"/>
        </w:rPr>
        <w:t>4.2.4控制器电源设置要求</w:t>
      </w:r>
    </w:p>
    <w:p w14:paraId="3EF4F22B">
      <w:pPr>
        <w:pStyle w:val="32"/>
        <w:keepNext w:val="0"/>
        <w:keepLines w:val="0"/>
        <w:pageBreakBefore w:val="0"/>
        <w:kinsoku/>
        <w:wordWrap/>
        <w:overflowPunct/>
        <w:topLinePunct w:val="0"/>
        <w:bidi w:val="0"/>
        <w:ind w:left="0" w:leftChars="0" w:right="0" w:firstLine="560" w:firstLineChars="200"/>
        <w:textAlignment w:val="auto"/>
      </w:pPr>
      <w:r>
        <w:t>检测要求：</w:t>
      </w:r>
    </w:p>
    <w:p w14:paraId="0842F9B2">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火灾报警控制器应设主电源和直流备用电源。当主电源断电时，能自动切换到备用电源。当主电源恢复时，能自动转换到主电源，电源的转换不应使控制器产生误动作；（A类）</w:t>
      </w:r>
    </w:p>
    <w:p w14:paraId="115685C6">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控制器的主电源应有明显的永久性标识；（B类）</w:t>
      </w:r>
    </w:p>
    <w:p w14:paraId="6E9AC02C">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控制器的主电源应直接与消防电源连接，严禁使用电源插头。（A类）</w:t>
      </w:r>
    </w:p>
    <w:p w14:paraId="066C00A4">
      <w:pPr>
        <w:pStyle w:val="32"/>
        <w:keepNext w:val="0"/>
        <w:keepLines w:val="0"/>
        <w:pageBreakBefore w:val="0"/>
        <w:kinsoku/>
        <w:wordWrap/>
        <w:overflowPunct/>
        <w:topLinePunct w:val="0"/>
        <w:bidi w:val="0"/>
        <w:ind w:left="0" w:leftChars="0" w:right="0" w:firstLine="560" w:firstLineChars="200"/>
        <w:textAlignment w:val="auto"/>
      </w:pPr>
      <w:r>
        <w:t>检测数量：</w:t>
      </w:r>
      <w:r>
        <w:rPr>
          <w:rFonts w:hint="eastAsia"/>
        </w:rPr>
        <w:t>100%</w:t>
      </w:r>
      <w:r>
        <w:t>全数检测。</w:t>
      </w:r>
    </w:p>
    <w:p w14:paraId="21184CAC">
      <w:pPr>
        <w:pStyle w:val="32"/>
        <w:keepNext w:val="0"/>
        <w:keepLines w:val="0"/>
        <w:pageBreakBefore w:val="0"/>
        <w:kinsoku/>
        <w:wordWrap/>
        <w:overflowPunct/>
        <w:topLinePunct w:val="0"/>
        <w:bidi w:val="0"/>
        <w:ind w:left="0" w:leftChars="0" w:right="0" w:firstLine="560" w:firstLineChars="200"/>
        <w:textAlignment w:val="auto"/>
      </w:pPr>
      <w:r>
        <w:t>检测方法：直观检查。</w:t>
      </w:r>
    </w:p>
    <w:p w14:paraId="5C6BF3A5">
      <w:pPr>
        <w:pStyle w:val="32"/>
        <w:keepNext w:val="0"/>
        <w:keepLines w:val="0"/>
        <w:pageBreakBefore w:val="0"/>
        <w:kinsoku/>
        <w:wordWrap/>
        <w:overflowPunct/>
        <w:topLinePunct w:val="0"/>
        <w:bidi w:val="0"/>
        <w:ind w:left="0" w:leftChars="0" w:right="0" w:firstLine="560" w:firstLineChars="200"/>
        <w:textAlignment w:val="auto"/>
      </w:pPr>
      <w:r>
        <w:rPr>
          <w:rFonts w:hint="eastAsia"/>
        </w:rPr>
        <w:t>4.2.5控制器基本功能</w:t>
      </w:r>
    </w:p>
    <w:p w14:paraId="2EDE09ED">
      <w:pPr>
        <w:pStyle w:val="32"/>
        <w:keepNext w:val="0"/>
        <w:keepLines w:val="0"/>
        <w:pageBreakBefore w:val="0"/>
        <w:kinsoku/>
        <w:wordWrap/>
        <w:overflowPunct/>
        <w:topLinePunct w:val="0"/>
        <w:bidi w:val="0"/>
        <w:ind w:left="0" w:leftChars="0" w:right="0" w:firstLine="560" w:firstLineChars="200"/>
        <w:textAlignment w:val="auto"/>
      </w:pPr>
      <w:r>
        <w:t>检测要求：</w:t>
      </w:r>
    </w:p>
    <w:p w14:paraId="2A1D891A">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控制器的自检、消音、复位、屏蔽、历史记录查询、火警优先等功能应正常；（A类）</w:t>
      </w:r>
    </w:p>
    <w:p w14:paraId="087EC5D5">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控制器应能直接或间接地接收来自火灾探测器及其它报警触发器件的火灾报警信号，发出声、光报警信号，指示火灾发生部位，记录火灾报警时间，并予以保持，直至手动复位；（A类）</w:t>
      </w:r>
    </w:p>
    <w:p w14:paraId="21BAE4A7">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火灾报警声信号应能手动消除，当再有火灾报警信号输入时，应能再次启动；（A类）</w:t>
      </w:r>
    </w:p>
    <w:p w14:paraId="757C3AE6">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控制器使用打印机记录火灾报警时间时，应打印出月、日、时、分等信息；（A类）</w:t>
      </w:r>
    </w:p>
    <w:p w14:paraId="0337B94D">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t>当控制器内部、控制器与其连接的部件间产生故障时，应能在100s内发出与火灾报警信号有明显区别的故障声、光信号，故障声信号应能手动消除，再有故障信号输入时，应能再启动；（A类）</w:t>
      </w:r>
    </w:p>
    <w:p w14:paraId="5048A30A">
      <w:pPr>
        <w:pStyle w:val="32"/>
        <w:keepNext w:val="0"/>
        <w:keepLines w:val="0"/>
        <w:pageBreakBefore w:val="0"/>
        <w:kinsoku/>
        <w:wordWrap/>
        <w:overflowPunct/>
        <w:topLinePunct w:val="0"/>
        <w:bidi w:val="0"/>
        <w:ind w:left="0" w:leftChars="0" w:right="0" w:firstLine="560" w:firstLineChars="200"/>
        <w:textAlignment w:val="auto"/>
      </w:pPr>
      <w:r>
        <w:t>检测数量：</w:t>
      </w:r>
      <w:r>
        <w:rPr>
          <w:rFonts w:hint="eastAsia"/>
        </w:rPr>
        <w:t>按实际安装数量的100%检测。</w:t>
      </w:r>
    </w:p>
    <w:p w14:paraId="20324DB4">
      <w:pPr>
        <w:pStyle w:val="32"/>
        <w:keepNext w:val="0"/>
        <w:keepLines w:val="0"/>
        <w:pageBreakBefore w:val="0"/>
        <w:kinsoku/>
        <w:wordWrap/>
        <w:overflowPunct/>
        <w:topLinePunct w:val="0"/>
        <w:bidi w:val="0"/>
        <w:ind w:left="0" w:leftChars="0" w:right="0" w:firstLine="560" w:firstLineChars="200"/>
        <w:textAlignment w:val="auto"/>
      </w:pPr>
      <w:r>
        <w:t>检测方法：</w:t>
      </w:r>
    </w:p>
    <w:p w14:paraId="2BE9BCCA">
      <w:pPr>
        <w:pStyle w:val="32"/>
        <w:keepNext w:val="0"/>
        <w:keepLines w:val="0"/>
        <w:pageBreakBefore w:val="0"/>
        <w:kinsoku/>
        <w:wordWrap/>
        <w:overflowPunct/>
        <w:topLinePunct w:val="0"/>
        <w:bidi w:val="0"/>
        <w:ind w:left="0" w:leftChars="0" w:right="0" w:firstLine="560" w:firstLineChars="200"/>
        <w:textAlignment w:val="auto"/>
      </w:pPr>
      <w:r>
        <w:t>a）触发自检键，观察控制器面板上所有指示灯、显示器和音响器件是否正常。当报警控制器处于报警状态时，触发消音键，应能消除声报警信号。触发复位键，系统应能恢复正常状态。启动屏蔽或取消屏蔽，观察地址和设备状态；</w:t>
      </w:r>
    </w:p>
    <w:p w14:paraId="4CA38AED">
      <w:pPr>
        <w:pStyle w:val="32"/>
        <w:keepNext w:val="0"/>
        <w:keepLines w:val="0"/>
        <w:pageBreakBefore w:val="0"/>
        <w:kinsoku/>
        <w:wordWrap/>
        <w:overflowPunct/>
        <w:topLinePunct w:val="0"/>
        <w:bidi w:val="0"/>
        <w:ind w:left="0" w:leftChars="0" w:right="0" w:firstLine="560" w:firstLineChars="200"/>
        <w:textAlignment w:val="auto"/>
      </w:pPr>
      <w:r>
        <w:t>b）结合探测器报警功能测试，查看报警控制器显示的报警部位、类型是否与现场一致；</w:t>
      </w:r>
    </w:p>
    <w:p w14:paraId="42D360EA">
      <w:pPr>
        <w:pStyle w:val="32"/>
        <w:keepNext w:val="0"/>
        <w:keepLines w:val="0"/>
        <w:pageBreakBefore w:val="0"/>
        <w:kinsoku/>
        <w:wordWrap/>
        <w:overflowPunct/>
        <w:topLinePunct w:val="0"/>
        <w:bidi w:val="0"/>
        <w:ind w:left="0" w:leftChars="0" w:right="0" w:firstLine="560" w:firstLineChars="200"/>
        <w:textAlignment w:val="auto"/>
      </w:pPr>
      <w:r>
        <w:t>c）手动消音后，再次模拟一个火灾报警信号，查看报警控制器显示情况；</w:t>
      </w:r>
    </w:p>
    <w:p w14:paraId="17AA27BC">
      <w:pPr>
        <w:pStyle w:val="32"/>
        <w:keepNext w:val="0"/>
        <w:keepLines w:val="0"/>
        <w:pageBreakBefore w:val="0"/>
        <w:kinsoku/>
        <w:wordWrap/>
        <w:overflowPunct/>
        <w:topLinePunct w:val="0"/>
        <w:bidi w:val="0"/>
        <w:ind w:left="0" w:leftChars="0" w:right="0" w:firstLine="560" w:firstLineChars="200"/>
        <w:textAlignment w:val="auto"/>
      </w:pPr>
      <w:r>
        <w:t>d）结合探测器报警功能测试，查看打印机记录纸张信息是否完整；</w:t>
      </w:r>
    </w:p>
    <w:p w14:paraId="294167CA">
      <w:pPr>
        <w:pStyle w:val="32"/>
        <w:keepNext w:val="0"/>
        <w:keepLines w:val="0"/>
        <w:pageBreakBefore w:val="0"/>
        <w:kinsoku/>
        <w:wordWrap/>
        <w:overflowPunct/>
        <w:topLinePunct w:val="0"/>
        <w:bidi w:val="0"/>
        <w:ind w:left="0" w:leftChars="0" w:right="0" w:firstLine="560" w:firstLineChars="200"/>
        <w:textAlignment w:val="auto"/>
      </w:pPr>
      <w:r>
        <w:t>e）模拟部件故障，用秒表记录故障报警时间；</w:t>
      </w:r>
    </w:p>
    <w:p w14:paraId="7409DE9C">
      <w:pPr>
        <w:pStyle w:val="32"/>
        <w:keepNext w:val="0"/>
        <w:keepLines w:val="0"/>
        <w:pageBreakBefore w:val="0"/>
        <w:kinsoku/>
        <w:wordWrap/>
        <w:overflowPunct/>
        <w:topLinePunct w:val="0"/>
        <w:bidi w:val="0"/>
        <w:ind w:left="0" w:leftChars="0" w:right="0" w:firstLine="560" w:firstLineChars="200"/>
        <w:textAlignment w:val="auto"/>
      </w:pPr>
      <w:r>
        <w:t>f）结合b、e项测试，观察控制器显示信息。</w:t>
      </w:r>
    </w:p>
    <w:p w14:paraId="635394E0">
      <w:pPr>
        <w:pStyle w:val="32"/>
        <w:keepNext w:val="0"/>
        <w:keepLines w:val="0"/>
        <w:pageBreakBefore w:val="0"/>
        <w:kinsoku/>
        <w:wordWrap/>
        <w:overflowPunct/>
        <w:topLinePunct w:val="0"/>
        <w:bidi w:val="0"/>
        <w:ind w:left="0" w:leftChars="0" w:right="0" w:firstLine="560" w:firstLineChars="200"/>
        <w:textAlignment w:val="auto"/>
      </w:pPr>
      <w:r>
        <w:t>检测器具：秒表、感烟（温）探测器功能试验器。</w:t>
      </w:r>
    </w:p>
    <w:p w14:paraId="6C93F73B">
      <w:pPr>
        <w:pStyle w:val="32"/>
        <w:keepNext w:val="0"/>
        <w:keepLines w:val="0"/>
        <w:pageBreakBefore w:val="0"/>
        <w:kinsoku/>
        <w:wordWrap/>
        <w:overflowPunct/>
        <w:topLinePunct w:val="0"/>
        <w:bidi w:val="0"/>
        <w:ind w:left="0" w:leftChars="0" w:right="0" w:firstLine="560" w:firstLineChars="200"/>
        <w:textAlignment w:val="auto"/>
      </w:pPr>
      <w:r>
        <w:rPr>
          <w:rFonts w:hint="eastAsia"/>
        </w:rPr>
        <w:t>4.3消防控制室图形显示装置</w:t>
      </w:r>
    </w:p>
    <w:p w14:paraId="0FA89A10">
      <w:pPr>
        <w:pStyle w:val="32"/>
        <w:keepNext w:val="0"/>
        <w:keepLines w:val="0"/>
        <w:pageBreakBefore w:val="0"/>
        <w:kinsoku/>
        <w:wordWrap/>
        <w:overflowPunct/>
        <w:topLinePunct w:val="0"/>
        <w:bidi w:val="0"/>
        <w:ind w:left="0" w:leftChars="0" w:right="0" w:firstLine="560" w:firstLineChars="200"/>
        <w:textAlignment w:val="auto"/>
      </w:pPr>
      <w:r>
        <w:t>检测要求：</w:t>
      </w:r>
    </w:p>
    <w:p w14:paraId="668AB641">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图形显示装置应与火灾报警控制器、消防联动控制器等消防设备相连，并应采用中文标注和中文界面显示；（A类）</w:t>
      </w:r>
    </w:p>
    <w:p w14:paraId="03B48929">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图形显示装置应能准确显示相应信号的物理位置，并能优先显示火灾报警信号相对应的界面；（A类）</w:t>
      </w:r>
    </w:p>
    <w:p w14:paraId="3FB4B8EC">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消防控制室图形显示装置不能对控制器进行复位、系统设定以及联动设备的启动和停止等控制操作；（A类）</w:t>
      </w:r>
    </w:p>
    <w:p w14:paraId="67C69BD2">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消防控制室图形显示装置的消防设备运行状态显示功能应符合下列规定：消防控制室图形显示装置应接收并显示火灾报警控制器发送的火灾报警信息、故障信息、隔离信息、屏蔽信息和监管信息；（A类）</w:t>
      </w:r>
    </w:p>
    <w:p w14:paraId="2FE526A4">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t>消防控制室图形显示装置应接收并显示消防联动控制器发送的联动控制信息、受控设备的动作反馈信息；（A类）</w:t>
      </w:r>
    </w:p>
    <w:p w14:paraId="5F3880A3">
      <w:pPr>
        <w:pStyle w:val="32"/>
        <w:keepNext w:val="0"/>
        <w:keepLines w:val="0"/>
        <w:pageBreakBefore w:val="0"/>
        <w:kinsoku/>
        <w:wordWrap/>
        <w:overflowPunct/>
        <w:topLinePunct w:val="0"/>
        <w:bidi w:val="0"/>
        <w:ind w:left="0" w:leftChars="0" w:right="0" w:firstLine="560" w:firstLineChars="200"/>
        <w:textAlignment w:val="auto"/>
      </w:pPr>
      <w:r>
        <w:rPr>
          <w:rFonts w:hint="eastAsia"/>
        </w:rPr>
        <w:t>f)</w:t>
      </w:r>
      <w:r>
        <w:t>消防控制室图形显示装置显示的信息应与控制器的显示信息一致；（A类）</w:t>
      </w:r>
    </w:p>
    <w:p w14:paraId="1258533F">
      <w:pPr>
        <w:pStyle w:val="32"/>
        <w:keepNext w:val="0"/>
        <w:keepLines w:val="0"/>
        <w:pageBreakBefore w:val="0"/>
        <w:kinsoku/>
        <w:wordWrap/>
        <w:overflowPunct/>
        <w:topLinePunct w:val="0"/>
        <w:bidi w:val="0"/>
        <w:ind w:left="0" w:leftChars="0" w:right="0" w:firstLine="560" w:firstLineChars="200"/>
        <w:textAlignment w:val="auto"/>
      </w:pPr>
      <w:r>
        <w:rPr>
          <w:rFonts w:hint="eastAsia"/>
        </w:rPr>
        <w:t>g)</w:t>
      </w:r>
      <w:r>
        <w:t>消防控制室图形显示装置应显示消防联动控制器的直接手动启动、停止控制信号。（A类）检测数量：全数检测。</w:t>
      </w:r>
    </w:p>
    <w:p w14:paraId="6802430E">
      <w:pPr>
        <w:pStyle w:val="32"/>
        <w:keepNext w:val="0"/>
        <w:keepLines w:val="0"/>
        <w:pageBreakBefore w:val="0"/>
        <w:kinsoku/>
        <w:wordWrap/>
        <w:overflowPunct/>
        <w:topLinePunct w:val="0"/>
        <w:bidi w:val="0"/>
        <w:ind w:left="0" w:leftChars="0" w:right="0" w:firstLine="560" w:firstLineChars="200"/>
        <w:textAlignment w:val="auto"/>
      </w:pPr>
      <w:r>
        <w:t>检测方法：直观检查、结合探测器或联动设备功能测试。</w:t>
      </w:r>
    </w:p>
    <w:p w14:paraId="7756BE7A">
      <w:pPr>
        <w:pStyle w:val="32"/>
        <w:keepNext w:val="0"/>
        <w:keepLines w:val="0"/>
        <w:pageBreakBefore w:val="0"/>
        <w:kinsoku/>
        <w:wordWrap/>
        <w:overflowPunct/>
        <w:topLinePunct w:val="0"/>
        <w:bidi w:val="0"/>
        <w:ind w:left="0" w:leftChars="0" w:right="0" w:firstLine="560" w:firstLineChars="200"/>
        <w:textAlignment w:val="auto"/>
      </w:pPr>
      <w:r>
        <w:t>检测数量：</w:t>
      </w:r>
      <w:r>
        <w:rPr>
          <w:rFonts w:hint="eastAsia"/>
        </w:rPr>
        <w:t>按实际安装数量的100%检测。</w:t>
      </w:r>
    </w:p>
    <w:p w14:paraId="17A923B5">
      <w:pPr>
        <w:pStyle w:val="32"/>
        <w:keepNext w:val="0"/>
        <w:keepLines w:val="0"/>
        <w:pageBreakBefore w:val="0"/>
        <w:kinsoku/>
        <w:wordWrap/>
        <w:overflowPunct/>
        <w:topLinePunct w:val="0"/>
        <w:bidi w:val="0"/>
        <w:ind w:left="0" w:leftChars="0" w:right="0" w:firstLine="560" w:firstLineChars="200"/>
        <w:textAlignment w:val="auto"/>
      </w:pPr>
      <w:r>
        <w:t>检测器具：感烟（温）探测器功能试验器</w:t>
      </w:r>
    </w:p>
    <w:p w14:paraId="1924F46A">
      <w:pPr>
        <w:pStyle w:val="32"/>
        <w:keepNext w:val="0"/>
        <w:keepLines w:val="0"/>
        <w:pageBreakBefore w:val="0"/>
        <w:kinsoku/>
        <w:wordWrap/>
        <w:overflowPunct/>
        <w:topLinePunct w:val="0"/>
        <w:bidi w:val="0"/>
        <w:ind w:left="0" w:leftChars="0" w:right="0" w:firstLine="560" w:firstLineChars="200"/>
        <w:textAlignment w:val="auto"/>
      </w:pPr>
      <w:r>
        <w:rPr>
          <w:rFonts w:hint="eastAsia"/>
        </w:rPr>
        <w:t>4.4布线</w:t>
      </w:r>
    </w:p>
    <w:p w14:paraId="45D65EC5">
      <w:pPr>
        <w:pStyle w:val="32"/>
        <w:keepNext w:val="0"/>
        <w:keepLines w:val="0"/>
        <w:pageBreakBefore w:val="0"/>
        <w:kinsoku/>
        <w:wordWrap/>
        <w:overflowPunct/>
        <w:topLinePunct w:val="0"/>
        <w:bidi w:val="0"/>
        <w:ind w:left="0" w:leftChars="0" w:right="0" w:firstLine="560" w:firstLineChars="200"/>
        <w:textAlignment w:val="auto"/>
      </w:pPr>
      <w:r>
        <w:rPr>
          <w:rFonts w:hint="eastAsia"/>
        </w:rPr>
        <w:t>4.4.1导线选型</w:t>
      </w:r>
    </w:p>
    <w:p w14:paraId="6B7FF16B">
      <w:pPr>
        <w:pStyle w:val="32"/>
        <w:keepNext w:val="0"/>
        <w:keepLines w:val="0"/>
        <w:pageBreakBefore w:val="0"/>
        <w:kinsoku/>
        <w:wordWrap/>
        <w:overflowPunct/>
        <w:topLinePunct w:val="0"/>
        <w:bidi w:val="0"/>
        <w:ind w:left="0" w:leftChars="0" w:right="0" w:firstLine="560" w:firstLineChars="200"/>
        <w:textAlignment w:val="auto"/>
      </w:pPr>
      <w:r>
        <w:t>检测要求：</w:t>
      </w:r>
    </w:p>
    <w:p w14:paraId="6617DEAB">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火灾自动报警系统的供电线路、消防联动控制线路的选型应与设计文件相符；（A</w:t>
      </w:r>
      <w:r>
        <w:rPr>
          <w:spacing w:val="-27"/>
        </w:rPr>
        <w:t>类</w:t>
      </w:r>
      <w:r>
        <w:t>）</w:t>
      </w:r>
    </w:p>
    <w:p w14:paraId="6B8B3B77">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灾自动报警系统传输线路的线芯截面积应与设计文件相符；（B</w:t>
      </w:r>
      <w:r>
        <w:rPr>
          <w:spacing w:val="-28"/>
        </w:rPr>
        <w:t>类</w:t>
      </w:r>
      <w:r>
        <w:t>）</w:t>
      </w:r>
    </w:p>
    <w:p w14:paraId="28E7E7F7">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同一工程中相同用途的导线颜色应一致。（C</w:t>
      </w:r>
      <w:r>
        <w:rPr>
          <w:spacing w:val="-24"/>
        </w:rPr>
        <w:t>类</w:t>
      </w:r>
      <w:r>
        <w:t>）</w:t>
      </w:r>
    </w:p>
    <w:p w14:paraId="43AE05F0">
      <w:pPr>
        <w:pStyle w:val="32"/>
        <w:keepNext w:val="0"/>
        <w:keepLines w:val="0"/>
        <w:pageBreakBefore w:val="0"/>
        <w:kinsoku/>
        <w:wordWrap/>
        <w:overflowPunct/>
        <w:topLinePunct w:val="0"/>
        <w:bidi w:val="0"/>
        <w:ind w:left="0" w:leftChars="0" w:right="0" w:firstLine="560" w:firstLineChars="200"/>
        <w:textAlignment w:val="auto"/>
      </w:pPr>
      <w:r>
        <w:t>检测数量：每个防火分区、每个楼层抽检</w:t>
      </w:r>
      <w:r>
        <w:rPr>
          <w:rFonts w:hint="eastAsia"/>
        </w:rPr>
        <w:t>不低于50</w:t>
      </w:r>
      <w:r>
        <w:t>处。</w:t>
      </w:r>
    </w:p>
    <w:p w14:paraId="1BB75D5C">
      <w:pPr>
        <w:pStyle w:val="32"/>
        <w:keepNext w:val="0"/>
        <w:keepLines w:val="0"/>
        <w:pageBreakBefore w:val="0"/>
        <w:kinsoku/>
        <w:wordWrap/>
        <w:overflowPunct/>
        <w:topLinePunct w:val="0"/>
        <w:bidi w:val="0"/>
        <w:ind w:left="0" w:leftChars="0" w:right="0" w:firstLine="560" w:firstLineChars="200"/>
        <w:textAlignment w:val="auto"/>
      </w:pPr>
      <w:r>
        <w:t>检测方法：a）b）对照设计文件。c）直观检查。</w:t>
      </w:r>
    </w:p>
    <w:p w14:paraId="3DF7C863">
      <w:pPr>
        <w:pStyle w:val="32"/>
        <w:keepNext w:val="0"/>
        <w:keepLines w:val="0"/>
        <w:pageBreakBefore w:val="0"/>
        <w:kinsoku/>
        <w:wordWrap/>
        <w:overflowPunct/>
        <w:topLinePunct w:val="0"/>
        <w:bidi w:val="0"/>
        <w:ind w:left="0" w:leftChars="0" w:right="0" w:firstLine="560" w:firstLineChars="200"/>
        <w:textAlignment w:val="auto"/>
      </w:pPr>
      <w:r>
        <w:rPr>
          <w:rFonts w:hint="eastAsia"/>
        </w:rPr>
        <w:t>4.4.2导线敷设</w:t>
      </w:r>
    </w:p>
    <w:p w14:paraId="2E293B0D">
      <w:pPr>
        <w:pStyle w:val="32"/>
        <w:keepNext w:val="0"/>
        <w:keepLines w:val="0"/>
        <w:pageBreakBefore w:val="0"/>
        <w:kinsoku/>
        <w:wordWrap/>
        <w:overflowPunct/>
        <w:topLinePunct w:val="0"/>
        <w:bidi w:val="0"/>
        <w:ind w:left="0" w:leftChars="0" w:right="0" w:firstLine="560" w:firstLineChars="200"/>
        <w:textAlignment w:val="auto"/>
      </w:pPr>
      <w:r>
        <w:t>检测要求：</w:t>
      </w:r>
    </w:p>
    <w:p w14:paraId="46847B5F">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消防控制、通讯、警报和传输线路明敷敷设时，应采用金属管、可挠（金属）</w:t>
      </w:r>
      <w:r>
        <w:rPr>
          <w:spacing w:val="-2"/>
        </w:rPr>
        <w:t>电气导管或金</w:t>
      </w:r>
      <w:r>
        <w:rPr>
          <w:spacing w:val="-3"/>
        </w:rPr>
        <w:t>属封闭槽盒保护。矿物绝缘类不燃性电缆可直接明敷；</w:t>
      </w:r>
      <w:r>
        <w:t>（B</w:t>
      </w:r>
      <w:r>
        <w:rPr>
          <w:spacing w:val="-28"/>
        </w:rPr>
        <w:t>类</w:t>
      </w:r>
      <w:r>
        <w:rPr>
          <w:spacing w:val="-3"/>
        </w:rPr>
        <w:t>）</w:t>
      </w:r>
    </w:p>
    <w:p w14:paraId="2CBF05E6">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敷设在多尘或潮湿场所管路的管口和管子连接处，均应作密封处理；（C</w:t>
      </w:r>
      <w:r>
        <w:rPr>
          <w:spacing w:val="-28"/>
        </w:rPr>
        <w:t>类</w:t>
      </w:r>
      <w:r>
        <w:t>）</w:t>
      </w:r>
    </w:p>
    <w:p w14:paraId="25B35907">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绝缘导线采用穿管保护时，穿管应到位；（C</w:t>
      </w:r>
      <w:r>
        <w:rPr>
          <w:spacing w:val="-28"/>
        </w:rPr>
        <w:t>类</w:t>
      </w:r>
      <w:r>
        <w:t>）</w:t>
      </w:r>
    </w:p>
    <w:p w14:paraId="3553BCDA">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明敷各类管路和槽盒时，应采用单独的卡具吊装或支撑物固定；(C</w:t>
      </w:r>
      <w:r>
        <w:rPr>
          <w:spacing w:val="-19"/>
        </w:rPr>
        <w:t>类)</w:t>
      </w:r>
    </w:p>
    <w:p w14:paraId="2146B03C">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t>火灾自动报警系统应单独布线，系统内不同电压等级、不同电流类别的线路，不应布在同一</w:t>
      </w:r>
      <w:r>
        <w:rPr>
          <w:spacing w:val="-3"/>
        </w:rPr>
        <w:t>管内或槽盒的同一槽孔内。</w:t>
      </w:r>
      <w:r>
        <w:t>（B</w:t>
      </w:r>
      <w:r>
        <w:rPr>
          <w:spacing w:val="-28"/>
        </w:rPr>
        <w:t>类</w:t>
      </w:r>
      <w:r>
        <w:rPr>
          <w:spacing w:val="-3"/>
        </w:rPr>
        <w:t>）</w:t>
      </w:r>
    </w:p>
    <w:p w14:paraId="28A78789">
      <w:pPr>
        <w:pStyle w:val="32"/>
        <w:keepNext w:val="0"/>
        <w:keepLines w:val="0"/>
        <w:pageBreakBefore w:val="0"/>
        <w:kinsoku/>
        <w:wordWrap/>
        <w:overflowPunct/>
        <w:topLinePunct w:val="0"/>
        <w:bidi w:val="0"/>
        <w:ind w:left="0" w:leftChars="0" w:right="0" w:firstLine="560" w:firstLineChars="200"/>
        <w:textAlignment w:val="auto"/>
      </w:pPr>
      <w:r>
        <w:t>检测数量：每个防火分区、每个楼层抽检</w:t>
      </w:r>
      <w:r>
        <w:rPr>
          <w:rFonts w:hint="eastAsia"/>
        </w:rPr>
        <w:t>不低于50</w:t>
      </w:r>
      <w:r>
        <w:t>处。</w:t>
      </w:r>
    </w:p>
    <w:p w14:paraId="4F0D9B1F">
      <w:pPr>
        <w:pStyle w:val="32"/>
        <w:keepNext w:val="0"/>
        <w:keepLines w:val="0"/>
        <w:pageBreakBefore w:val="0"/>
        <w:kinsoku/>
        <w:wordWrap/>
        <w:overflowPunct/>
        <w:topLinePunct w:val="0"/>
        <w:bidi w:val="0"/>
        <w:ind w:left="0" w:leftChars="0" w:right="0" w:firstLine="560" w:firstLineChars="200"/>
        <w:textAlignment w:val="auto"/>
      </w:pPr>
      <w:r>
        <w:t>检测方法：a）～e）直观检查；f）仪表测量</w:t>
      </w:r>
    </w:p>
    <w:p w14:paraId="28FAD073">
      <w:pPr>
        <w:pStyle w:val="32"/>
        <w:keepNext w:val="0"/>
        <w:keepLines w:val="0"/>
        <w:pageBreakBefore w:val="0"/>
        <w:kinsoku/>
        <w:wordWrap/>
        <w:overflowPunct/>
        <w:topLinePunct w:val="0"/>
        <w:bidi w:val="0"/>
        <w:ind w:left="0" w:leftChars="0" w:right="0" w:firstLine="560" w:firstLineChars="200"/>
        <w:textAlignment w:val="auto"/>
      </w:pPr>
      <w:r>
        <w:rPr>
          <w:rFonts w:hint="eastAsia"/>
        </w:rPr>
        <w:t>4.5火灾显示盘</w:t>
      </w:r>
    </w:p>
    <w:p w14:paraId="0934376A">
      <w:pPr>
        <w:pStyle w:val="32"/>
        <w:keepNext w:val="0"/>
        <w:keepLines w:val="0"/>
        <w:pageBreakBefore w:val="0"/>
        <w:kinsoku/>
        <w:wordWrap/>
        <w:overflowPunct/>
        <w:topLinePunct w:val="0"/>
        <w:bidi w:val="0"/>
        <w:ind w:left="0" w:leftChars="0" w:right="0" w:firstLine="560" w:firstLineChars="200"/>
        <w:textAlignment w:val="auto"/>
      </w:pPr>
      <w:r>
        <w:rPr>
          <w:rFonts w:hint="eastAsia"/>
        </w:rPr>
        <w:t>4.5.1基本要求</w:t>
      </w:r>
    </w:p>
    <w:p w14:paraId="507D73F1">
      <w:pPr>
        <w:pStyle w:val="32"/>
        <w:keepNext w:val="0"/>
        <w:keepLines w:val="0"/>
        <w:pageBreakBefore w:val="0"/>
        <w:kinsoku/>
        <w:wordWrap/>
        <w:overflowPunct/>
        <w:topLinePunct w:val="0"/>
        <w:bidi w:val="0"/>
        <w:ind w:left="0" w:leftChars="0" w:right="0" w:firstLine="560" w:firstLineChars="200"/>
        <w:textAlignment w:val="auto"/>
      </w:pPr>
      <w:r>
        <w:t>检测要求：</w:t>
      </w:r>
    </w:p>
    <w:p w14:paraId="35D097F9">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火灾显示盘在墙上安装时，其底边距地（楼）</w:t>
      </w:r>
      <w:r>
        <w:rPr>
          <w:spacing w:val="-12"/>
        </w:rPr>
        <w:t>面高度宜为</w:t>
      </w:r>
      <w:r>
        <w:t>1.3m～1.5m；（C</w:t>
      </w:r>
      <w:r>
        <w:rPr>
          <w:spacing w:val="-27"/>
        </w:rPr>
        <w:t>类</w:t>
      </w:r>
      <w:r>
        <w:t>）</w:t>
      </w:r>
    </w:p>
    <w:p w14:paraId="0CD278B9">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安装牢固，不应倾斜；安装在轻质墙上时，应采取加固措施。（B</w:t>
      </w:r>
      <w:r>
        <w:rPr>
          <w:spacing w:val="44"/>
        </w:rPr>
        <w:t>类</w:t>
      </w:r>
      <w:r>
        <w:t>）</w:t>
      </w:r>
    </w:p>
    <w:p w14:paraId="660E9851">
      <w:pPr>
        <w:pStyle w:val="32"/>
        <w:keepNext w:val="0"/>
        <w:keepLines w:val="0"/>
        <w:pageBreakBefore w:val="0"/>
        <w:kinsoku/>
        <w:wordWrap/>
        <w:overflowPunct/>
        <w:topLinePunct w:val="0"/>
        <w:bidi w:val="0"/>
        <w:ind w:left="0" w:leftChars="0" w:right="0" w:firstLine="560" w:firstLineChars="200"/>
        <w:textAlignment w:val="auto"/>
      </w:pPr>
      <w:r>
        <w:t>检测数量：按实际安装数量的</w:t>
      </w:r>
      <w:r>
        <w:rPr>
          <w:rFonts w:hint="eastAsia"/>
        </w:rPr>
        <w:t>100</w:t>
      </w:r>
      <w:r>
        <w:rPr>
          <w:spacing w:val="-8"/>
        </w:rPr>
        <w:t>%</w:t>
      </w:r>
      <w:r>
        <w:rPr>
          <w:rFonts w:hint="eastAsia"/>
          <w:spacing w:val="-8"/>
        </w:rPr>
        <w:t>检测</w:t>
      </w:r>
      <w:r>
        <w:t>。</w:t>
      </w:r>
    </w:p>
    <w:p w14:paraId="2EC167BF">
      <w:pPr>
        <w:pStyle w:val="32"/>
        <w:keepNext w:val="0"/>
        <w:keepLines w:val="0"/>
        <w:pageBreakBefore w:val="0"/>
        <w:kinsoku/>
        <w:wordWrap/>
        <w:overflowPunct/>
        <w:topLinePunct w:val="0"/>
        <w:bidi w:val="0"/>
        <w:ind w:left="0" w:leftChars="0" w:right="0" w:firstLine="560" w:firstLineChars="200"/>
        <w:textAlignment w:val="auto"/>
      </w:pPr>
      <w:r>
        <w:t>检测方法：尺量、直观检查。</w:t>
      </w:r>
    </w:p>
    <w:p w14:paraId="24CA9481">
      <w:pPr>
        <w:pStyle w:val="32"/>
        <w:keepNext w:val="0"/>
        <w:keepLines w:val="0"/>
        <w:pageBreakBefore w:val="0"/>
        <w:kinsoku/>
        <w:wordWrap/>
        <w:overflowPunct/>
        <w:topLinePunct w:val="0"/>
        <w:bidi w:val="0"/>
        <w:ind w:left="0" w:leftChars="0" w:right="0" w:firstLine="560" w:firstLineChars="200"/>
        <w:textAlignment w:val="auto"/>
      </w:pPr>
      <w:r>
        <w:t>检测器具：钢卷尺。</w:t>
      </w:r>
    </w:p>
    <w:p w14:paraId="4E02EAE2">
      <w:pPr>
        <w:pStyle w:val="32"/>
        <w:keepNext w:val="0"/>
        <w:keepLines w:val="0"/>
        <w:pageBreakBefore w:val="0"/>
        <w:kinsoku/>
        <w:wordWrap/>
        <w:overflowPunct/>
        <w:topLinePunct w:val="0"/>
        <w:bidi w:val="0"/>
        <w:ind w:left="0" w:leftChars="0" w:right="0" w:firstLine="560" w:firstLineChars="200"/>
        <w:textAlignment w:val="auto"/>
      </w:pPr>
      <w:r>
        <w:rPr>
          <w:rFonts w:hint="eastAsia"/>
        </w:rPr>
        <w:t>4.5.2火灾显示盘功能</w:t>
      </w:r>
    </w:p>
    <w:p w14:paraId="65E99A96">
      <w:pPr>
        <w:pStyle w:val="32"/>
        <w:keepNext w:val="0"/>
        <w:keepLines w:val="0"/>
        <w:pageBreakBefore w:val="0"/>
        <w:kinsoku/>
        <w:wordWrap/>
        <w:overflowPunct/>
        <w:topLinePunct w:val="0"/>
        <w:bidi w:val="0"/>
        <w:ind w:left="0" w:leftChars="0" w:right="0" w:firstLine="560" w:firstLineChars="200"/>
        <w:textAlignment w:val="auto"/>
      </w:pPr>
      <w:r>
        <w:t>检测要求：</w:t>
      </w:r>
    </w:p>
    <w:p w14:paraId="01A6767C">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火灾显示盘应能正确接收和显示火灾报警控制器发出的火灾报警信号；（A</w:t>
      </w:r>
      <w:r>
        <w:rPr>
          <w:spacing w:val="-28"/>
        </w:rPr>
        <w:t>类</w:t>
      </w:r>
      <w:r>
        <w:t>）</w:t>
      </w:r>
    </w:p>
    <w:p w14:paraId="000869CE">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声报警信号应能手动消除，再次有火警信号输入时，应能再启动。（A</w:t>
      </w:r>
      <w:r>
        <w:rPr>
          <w:spacing w:val="-23"/>
        </w:rPr>
        <w:t>类</w:t>
      </w:r>
      <w:r>
        <w:t>）</w:t>
      </w:r>
    </w:p>
    <w:p w14:paraId="6E3A9567">
      <w:pPr>
        <w:pStyle w:val="32"/>
        <w:keepNext w:val="0"/>
        <w:keepLines w:val="0"/>
        <w:pageBreakBefore w:val="0"/>
        <w:kinsoku/>
        <w:wordWrap/>
        <w:overflowPunct/>
        <w:topLinePunct w:val="0"/>
        <w:bidi w:val="0"/>
        <w:ind w:left="0" w:leftChars="0" w:right="0" w:firstLine="560" w:firstLineChars="200"/>
        <w:textAlignment w:val="auto"/>
      </w:pPr>
      <w:r>
        <w:t>检测数量：按实际安装数量的</w:t>
      </w:r>
      <w:r>
        <w:rPr>
          <w:rFonts w:hint="eastAsia"/>
        </w:rPr>
        <w:t>100检测</w:t>
      </w:r>
      <w:r>
        <w:t>。</w:t>
      </w:r>
    </w:p>
    <w:p w14:paraId="3E1FE787">
      <w:pPr>
        <w:pStyle w:val="32"/>
        <w:keepNext w:val="0"/>
        <w:keepLines w:val="0"/>
        <w:pageBreakBefore w:val="0"/>
        <w:kinsoku/>
        <w:wordWrap/>
        <w:overflowPunct/>
        <w:topLinePunct w:val="0"/>
        <w:bidi w:val="0"/>
        <w:ind w:left="0" w:leftChars="0" w:right="0" w:firstLine="560" w:firstLineChars="200"/>
        <w:textAlignment w:val="auto"/>
      </w:pPr>
      <w:r>
        <w:t>检测方法：结合探测器报警功能测试，查看火灾显示盘状态。</w:t>
      </w:r>
    </w:p>
    <w:p w14:paraId="728F8237">
      <w:pPr>
        <w:pStyle w:val="32"/>
        <w:keepNext w:val="0"/>
        <w:keepLines w:val="0"/>
        <w:pageBreakBefore w:val="0"/>
        <w:kinsoku/>
        <w:wordWrap/>
        <w:overflowPunct/>
        <w:topLinePunct w:val="0"/>
        <w:bidi w:val="0"/>
        <w:ind w:left="0" w:leftChars="0" w:right="0" w:firstLine="560" w:firstLineChars="200"/>
        <w:textAlignment w:val="auto"/>
      </w:pPr>
      <w:r>
        <w:rPr>
          <w:rFonts w:hint="eastAsia"/>
        </w:rPr>
        <w:t>4.6火灾探测器</w:t>
      </w:r>
    </w:p>
    <w:p w14:paraId="38629BFC">
      <w:pPr>
        <w:pStyle w:val="32"/>
        <w:keepNext w:val="0"/>
        <w:keepLines w:val="0"/>
        <w:pageBreakBefore w:val="0"/>
        <w:kinsoku/>
        <w:wordWrap/>
        <w:overflowPunct/>
        <w:topLinePunct w:val="0"/>
        <w:bidi w:val="0"/>
        <w:ind w:left="0" w:leftChars="0" w:right="0" w:firstLine="560" w:firstLineChars="200"/>
        <w:textAlignment w:val="auto"/>
      </w:pPr>
      <w:r>
        <w:rPr>
          <w:rFonts w:hint="eastAsia"/>
        </w:rPr>
        <w:t>4.6.1基本要求</w:t>
      </w:r>
    </w:p>
    <w:p w14:paraId="73319314">
      <w:pPr>
        <w:pStyle w:val="32"/>
        <w:keepNext w:val="0"/>
        <w:keepLines w:val="0"/>
        <w:pageBreakBefore w:val="0"/>
        <w:kinsoku/>
        <w:wordWrap/>
        <w:overflowPunct/>
        <w:topLinePunct w:val="0"/>
        <w:bidi w:val="0"/>
        <w:ind w:left="0" w:leftChars="0" w:right="0" w:firstLine="560" w:firstLineChars="200"/>
        <w:textAlignment w:val="auto"/>
      </w:pPr>
      <w:r>
        <w:t>检测要求：</w:t>
      </w:r>
    </w:p>
    <w:p w14:paraId="66E338BE">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火灾探测器的规格、型号（</w:t>
      </w:r>
      <w:r>
        <w:rPr>
          <w:spacing w:val="-2"/>
        </w:rPr>
        <w:t>类型</w:t>
      </w:r>
      <w:r>
        <w:t>）、安装位置应与设计文件相符；（A</w:t>
      </w:r>
      <w:r>
        <w:rPr>
          <w:spacing w:val="-28"/>
        </w:rPr>
        <w:t>类</w:t>
      </w:r>
      <w:r>
        <w:t>）</w:t>
      </w:r>
    </w:p>
    <w:p w14:paraId="32EA6755">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火灾探测器接口编码应与竣工图标识、控制室显示相对应；</w:t>
      </w:r>
    </w:p>
    <w:p w14:paraId="3FE6F2B5">
      <w:pPr>
        <w:pStyle w:val="32"/>
        <w:keepNext w:val="0"/>
        <w:keepLines w:val="0"/>
        <w:pageBreakBefore w:val="0"/>
        <w:kinsoku/>
        <w:wordWrap/>
        <w:overflowPunct/>
        <w:topLinePunct w:val="0"/>
        <w:bidi w:val="0"/>
        <w:ind w:left="0" w:leftChars="0" w:right="0" w:firstLine="560" w:firstLineChars="200"/>
        <w:textAlignment w:val="auto"/>
      </w:pPr>
      <w:r>
        <w:t>探测器底座安装应牢固，不得有明显松动，与导线连接必须可靠压接或焊接；（B</w:t>
      </w:r>
      <w:r>
        <w:rPr>
          <w:spacing w:val="-27"/>
        </w:rPr>
        <w:t>类</w:t>
      </w:r>
      <w:r>
        <w:t>）</w:t>
      </w:r>
    </w:p>
    <w:p w14:paraId="159802A5">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探测器的确认灯应朝向便于人员观察的主要入口方向；（C</w:t>
      </w:r>
      <w:r>
        <w:rPr>
          <w:spacing w:val="-28"/>
        </w:rPr>
        <w:t>类</w:t>
      </w:r>
      <w:r>
        <w:t>）</w:t>
      </w:r>
    </w:p>
    <w:p w14:paraId="6D5A9BD1">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探测器的报警地址编码，应与竣工图标识、控制室显示相对应；（B</w:t>
      </w:r>
      <w:r>
        <w:rPr>
          <w:spacing w:val="-28"/>
        </w:rPr>
        <w:t>类</w:t>
      </w:r>
      <w:r>
        <w:t>）</w:t>
      </w:r>
    </w:p>
    <w:p w14:paraId="6FAC985A">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t>连接导线应在其端部应设置明显的永久性标识；（B</w:t>
      </w:r>
      <w:r>
        <w:rPr>
          <w:spacing w:val="-27"/>
        </w:rPr>
        <w:t>类</w:t>
      </w:r>
      <w:r>
        <w:t>）</w:t>
      </w:r>
    </w:p>
    <w:p w14:paraId="7E451D5F">
      <w:pPr>
        <w:pStyle w:val="32"/>
        <w:keepNext w:val="0"/>
        <w:keepLines w:val="0"/>
        <w:pageBreakBefore w:val="0"/>
        <w:kinsoku/>
        <w:wordWrap/>
        <w:overflowPunct/>
        <w:topLinePunct w:val="0"/>
        <w:bidi w:val="0"/>
        <w:ind w:left="0" w:leftChars="0" w:right="0" w:firstLine="560" w:firstLineChars="200"/>
        <w:textAlignment w:val="auto"/>
      </w:pPr>
      <w:r>
        <w:t>穿线孔宜封堵，安装完毕的探测器底座应采取保护措施。（C</w:t>
      </w:r>
      <w:r>
        <w:rPr>
          <w:spacing w:val="-28"/>
        </w:rPr>
        <w:t>类</w:t>
      </w:r>
      <w:r>
        <w:t>）</w:t>
      </w:r>
    </w:p>
    <w:p w14:paraId="454F5BFA">
      <w:pPr>
        <w:pStyle w:val="32"/>
        <w:keepNext w:val="0"/>
        <w:keepLines w:val="0"/>
        <w:pageBreakBefore w:val="0"/>
        <w:kinsoku/>
        <w:wordWrap/>
        <w:overflowPunct/>
        <w:topLinePunct w:val="0"/>
        <w:bidi w:val="0"/>
        <w:ind w:left="0" w:leftChars="0" w:right="0" w:firstLine="560" w:firstLineChars="200"/>
        <w:textAlignment w:val="auto"/>
      </w:pPr>
      <w:r>
        <w:t>检测数量：按实际安装数量的</w:t>
      </w:r>
      <w:r>
        <w:rPr>
          <w:rFonts w:hint="eastAsia"/>
        </w:rPr>
        <w:t>100</w:t>
      </w:r>
      <w:r>
        <w:rPr>
          <w:rFonts w:hint="eastAsia"/>
          <w:lang w:val="en-US" w:eastAsia="zh-CN"/>
        </w:rPr>
        <w:t>%</w:t>
      </w:r>
      <w:r>
        <w:rPr>
          <w:rFonts w:hint="eastAsia"/>
        </w:rPr>
        <w:t>检测</w:t>
      </w:r>
      <w:r>
        <w:t>。</w:t>
      </w:r>
    </w:p>
    <w:p w14:paraId="0188E875">
      <w:pPr>
        <w:pStyle w:val="32"/>
        <w:keepNext w:val="0"/>
        <w:keepLines w:val="0"/>
        <w:pageBreakBefore w:val="0"/>
        <w:kinsoku/>
        <w:wordWrap/>
        <w:overflowPunct/>
        <w:topLinePunct w:val="0"/>
        <w:bidi w:val="0"/>
        <w:ind w:left="0" w:leftChars="0" w:right="0" w:firstLine="560" w:firstLineChars="200"/>
        <w:textAlignment w:val="auto"/>
      </w:pPr>
      <w:r>
        <w:t>检测方法：</w:t>
      </w:r>
    </w:p>
    <w:p w14:paraId="25F2E595">
      <w:pPr>
        <w:pStyle w:val="32"/>
        <w:keepNext w:val="0"/>
        <w:keepLines w:val="0"/>
        <w:pageBreakBefore w:val="0"/>
        <w:kinsoku/>
        <w:wordWrap/>
        <w:overflowPunct/>
        <w:topLinePunct w:val="0"/>
        <w:bidi w:val="0"/>
        <w:ind w:left="0" w:leftChars="0" w:right="0" w:firstLine="524" w:firstLineChars="200"/>
        <w:textAlignment w:val="auto"/>
        <w:rPr>
          <w:spacing w:val="-4"/>
        </w:rPr>
      </w:pPr>
      <w:r>
        <w:rPr>
          <w:spacing w:val="-9"/>
        </w:rPr>
        <w:t>a）</w:t>
      </w:r>
      <w:r>
        <w:rPr>
          <w:spacing w:val="-4"/>
        </w:rPr>
        <w:t>对照设计文件；</w:t>
      </w:r>
    </w:p>
    <w:p w14:paraId="62171040">
      <w:pPr>
        <w:pStyle w:val="32"/>
        <w:keepNext w:val="0"/>
        <w:keepLines w:val="0"/>
        <w:pageBreakBefore w:val="0"/>
        <w:kinsoku/>
        <w:wordWrap/>
        <w:overflowPunct/>
        <w:topLinePunct w:val="0"/>
        <w:bidi w:val="0"/>
        <w:ind w:left="0" w:leftChars="0" w:right="0" w:firstLine="528" w:firstLineChars="200"/>
        <w:textAlignment w:val="auto"/>
        <w:rPr>
          <w:spacing w:val="-5"/>
        </w:rPr>
      </w:pPr>
      <w:r>
        <w:rPr>
          <w:spacing w:val="-8"/>
        </w:rPr>
        <w:t>b）c）</w:t>
      </w:r>
      <w:r>
        <w:rPr>
          <w:spacing w:val="-5"/>
        </w:rPr>
        <w:t>直观检查；</w:t>
      </w:r>
    </w:p>
    <w:p w14:paraId="202027B0">
      <w:pPr>
        <w:pStyle w:val="32"/>
        <w:keepNext w:val="0"/>
        <w:keepLines w:val="0"/>
        <w:pageBreakBefore w:val="0"/>
        <w:kinsoku/>
        <w:wordWrap/>
        <w:overflowPunct/>
        <w:topLinePunct w:val="0"/>
        <w:bidi w:val="0"/>
        <w:ind w:left="0" w:leftChars="0" w:right="0" w:firstLine="524" w:firstLineChars="200"/>
        <w:textAlignment w:val="auto"/>
      </w:pPr>
      <w:r>
        <w:rPr>
          <w:spacing w:val="-9"/>
        </w:rPr>
        <w:t>d）</w:t>
      </w:r>
      <w:r>
        <w:rPr>
          <w:spacing w:val="-4"/>
        </w:rPr>
        <w:t>采用感烟</w:t>
      </w:r>
      <w:r>
        <w:t>（温</w:t>
      </w:r>
      <w:r>
        <w:rPr>
          <w:spacing w:val="-13"/>
        </w:rPr>
        <w:t>）</w:t>
      </w:r>
      <w:r>
        <w:rPr>
          <w:spacing w:val="-5"/>
        </w:rPr>
        <w:t>探测器功能试验器，检查探测</w:t>
      </w:r>
      <w:r>
        <w:rPr>
          <w:spacing w:val="-4"/>
        </w:rPr>
        <w:t>器的报警功能，检验报警地址编码是否正确。</w:t>
      </w:r>
    </w:p>
    <w:p w14:paraId="11F165AE">
      <w:pPr>
        <w:pStyle w:val="32"/>
        <w:keepNext w:val="0"/>
        <w:keepLines w:val="0"/>
        <w:pageBreakBefore w:val="0"/>
        <w:kinsoku/>
        <w:wordWrap/>
        <w:overflowPunct/>
        <w:topLinePunct w:val="0"/>
        <w:bidi w:val="0"/>
        <w:ind w:left="0" w:leftChars="0" w:right="0" w:firstLine="560" w:firstLineChars="200"/>
        <w:textAlignment w:val="auto"/>
      </w:pPr>
      <w:r>
        <w:t>检测器具：感烟（温）探测器功能试验器。</w:t>
      </w:r>
    </w:p>
    <w:p w14:paraId="2E662CF4">
      <w:pPr>
        <w:pStyle w:val="32"/>
        <w:keepNext w:val="0"/>
        <w:keepLines w:val="0"/>
        <w:pageBreakBefore w:val="0"/>
        <w:kinsoku/>
        <w:wordWrap/>
        <w:overflowPunct/>
        <w:topLinePunct w:val="0"/>
        <w:bidi w:val="0"/>
        <w:ind w:left="0" w:leftChars="0" w:right="0" w:firstLine="560" w:firstLineChars="200"/>
        <w:textAlignment w:val="auto"/>
      </w:pPr>
      <w:r>
        <w:rPr>
          <w:rFonts w:hint="eastAsia"/>
        </w:rPr>
        <w:t>4.6.2点型感烟、感温火灾探测器</w:t>
      </w:r>
    </w:p>
    <w:p w14:paraId="2E4FC751">
      <w:pPr>
        <w:pStyle w:val="32"/>
        <w:keepNext w:val="0"/>
        <w:keepLines w:val="0"/>
        <w:pageBreakBefore w:val="0"/>
        <w:kinsoku/>
        <w:wordWrap/>
        <w:overflowPunct/>
        <w:topLinePunct w:val="0"/>
        <w:bidi w:val="0"/>
        <w:ind w:left="0" w:leftChars="0" w:right="0" w:firstLine="560" w:firstLineChars="200"/>
        <w:textAlignment w:val="auto"/>
      </w:pPr>
      <w:r>
        <w:rPr>
          <w:rFonts w:hint="eastAsia"/>
        </w:rPr>
        <w:t>安装要求</w:t>
      </w:r>
    </w:p>
    <w:p w14:paraId="3507A0C8">
      <w:pPr>
        <w:pStyle w:val="32"/>
        <w:keepNext w:val="0"/>
        <w:keepLines w:val="0"/>
        <w:pageBreakBefore w:val="0"/>
        <w:kinsoku/>
        <w:wordWrap/>
        <w:overflowPunct/>
        <w:topLinePunct w:val="0"/>
        <w:bidi w:val="0"/>
        <w:ind w:left="0" w:leftChars="0" w:right="0" w:firstLine="560" w:firstLineChars="200"/>
        <w:textAlignment w:val="auto"/>
      </w:pPr>
      <w:r>
        <w:t>检测要求：</w:t>
      </w:r>
    </w:p>
    <w:p w14:paraId="2C5A4E10">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探测器周围0.5m</w:t>
      </w:r>
      <w:r>
        <w:rPr>
          <w:spacing w:val="-8"/>
        </w:rPr>
        <w:t>内不应有遮挡物；</w:t>
      </w:r>
      <w:r>
        <w:t>（C</w:t>
      </w:r>
      <w:r>
        <w:rPr>
          <w:spacing w:val="-28"/>
        </w:rPr>
        <w:t>类</w:t>
      </w:r>
      <w:r>
        <w:t>）</w:t>
      </w:r>
    </w:p>
    <w:p w14:paraId="3C6A5F7F">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探测器至墙壁、梁边的水平距离，不应小于0.5m；（C</w:t>
      </w:r>
      <w:r>
        <w:rPr>
          <w:spacing w:val="-28"/>
        </w:rPr>
        <w:t>类</w:t>
      </w:r>
      <w:r>
        <w:rPr>
          <w:spacing w:val="-3"/>
        </w:rPr>
        <w:t>）</w:t>
      </w:r>
    </w:p>
    <w:p w14:paraId="071D022E">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探测器至空调送风口边缘的水平距离不应小于1.5m；（B</w:t>
      </w:r>
      <w:r>
        <w:rPr>
          <w:spacing w:val="-27"/>
        </w:rPr>
        <w:t>类</w:t>
      </w:r>
      <w:r>
        <w:rPr>
          <w:spacing w:val="-3"/>
        </w:rPr>
        <w:t>）</w:t>
      </w:r>
    </w:p>
    <w:p w14:paraId="6E763382">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探测器至多孔送风顶棚孔口边缘的水平距离不应小于0.5m；（B</w:t>
      </w:r>
      <w:r>
        <w:rPr>
          <w:spacing w:val="-28"/>
        </w:rPr>
        <w:t>类</w:t>
      </w:r>
      <w:r>
        <w:rPr>
          <w:spacing w:val="-3"/>
        </w:rPr>
        <w:t>）</w:t>
      </w:r>
    </w:p>
    <w:p w14:paraId="01A93FB0">
      <w:pPr>
        <w:pStyle w:val="32"/>
        <w:keepNext w:val="0"/>
        <w:keepLines w:val="0"/>
        <w:pageBreakBefore w:val="0"/>
        <w:kinsoku/>
        <w:wordWrap/>
        <w:overflowPunct/>
        <w:topLinePunct w:val="0"/>
        <w:bidi w:val="0"/>
        <w:ind w:left="0" w:leftChars="0" w:right="0" w:firstLine="524" w:firstLineChars="200"/>
        <w:textAlignment w:val="auto"/>
      </w:pPr>
      <w:r>
        <w:rPr>
          <w:rFonts w:hint="eastAsia"/>
          <w:spacing w:val="-9"/>
        </w:rPr>
        <w:t>e)</w:t>
      </w:r>
      <w:r>
        <w:rPr>
          <w:spacing w:val="-9"/>
        </w:rPr>
        <w:t>在宽度小于</w:t>
      </w:r>
      <w:r>
        <w:t>3m</w:t>
      </w:r>
      <w:r>
        <w:rPr>
          <w:spacing w:val="-11"/>
        </w:rPr>
        <w:t>的内走道顶棚上安装探测器时，宜居中安装。点型感温探测器的安装间距，不</w:t>
      </w:r>
      <w:r>
        <w:rPr>
          <w:spacing w:val="-6"/>
        </w:rPr>
        <w:t>应超过</w:t>
      </w:r>
      <w:r>
        <w:t>l0m</w:t>
      </w:r>
      <w:r>
        <w:rPr>
          <w:spacing w:val="-3"/>
        </w:rPr>
        <w:t>。点型感烟探测器的安装间距，不应超过</w:t>
      </w:r>
      <w:r>
        <w:t>15</w:t>
      </w:r>
      <w:r>
        <w:rPr>
          <w:spacing w:val="-3"/>
        </w:rPr>
        <w:t>m。探测器至端墙的距离，不应大于安装间距的一半；</w:t>
      </w:r>
      <w:r>
        <w:t>（B</w:t>
      </w:r>
      <w:r>
        <w:rPr>
          <w:spacing w:val="-28"/>
        </w:rPr>
        <w:t>类</w:t>
      </w:r>
      <w:r>
        <w:t>）</w:t>
      </w:r>
    </w:p>
    <w:p w14:paraId="7445F107">
      <w:pPr>
        <w:pStyle w:val="32"/>
        <w:keepNext w:val="0"/>
        <w:keepLines w:val="0"/>
        <w:pageBreakBefore w:val="0"/>
        <w:kinsoku/>
        <w:wordWrap/>
        <w:overflowPunct/>
        <w:topLinePunct w:val="0"/>
        <w:bidi w:val="0"/>
        <w:ind w:left="0" w:leftChars="0" w:right="0" w:firstLine="560" w:firstLineChars="200"/>
        <w:textAlignment w:val="auto"/>
      </w:pPr>
      <w:r>
        <w:rPr>
          <w:rFonts w:hint="eastAsia"/>
        </w:rPr>
        <w:t>f)</w:t>
      </w:r>
      <w:r>
        <w:t>探测器宜水平安装，当确需倾斜安装时，倾斜角不应大于45</w:t>
      </w:r>
      <w:r>
        <w:rPr>
          <w:spacing w:val="-2"/>
        </w:rPr>
        <w:t>°。</w:t>
      </w:r>
      <w:r>
        <w:t>（B</w:t>
      </w:r>
      <w:r>
        <w:rPr>
          <w:spacing w:val="-6"/>
        </w:rPr>
        <w:t>类</w:t>
      </w:r>
      <w:r>
        <w:t>）</w:t>
      </w:r>
    </w:p>
    <w:p w14:paraId="0D91B991">
      <w:pPr>
        <w:pStyle w:val="32"/>
        <w:keepNext w:val="0"/>
        <w:keepLines w:val="0"/>
        <w:pageBreakBefore w:val="0"/>
        <w:kinsoku/>
        <w:wordWrap/>
        <w:overflowPunct/>
        <w:topLinePunct w:val="0"/>
        <w:bidi w:val="0"/>
        <w:ind w:left="0" w:leftChars="0" w:right="0" w:firstLine="560" w:firstLineChars="200"/>
        <w:textAlignment w:val="auto"/>
      </w:pPr>
      <w:r>
        <w:t>检测数量：按实际安装数量的</w:t>
      </w:r>
      <w:r>
        <w:rPr>
          <w:rFonts w:hint="eastAsia"/>
        </w:rPr>
        <w:t>100%检测</w:t>
      </w:r>
      <w:r>
        <w:t>。</w:t>
      </w:r>
    </w:p>
    <w:p w14:paraId="6CE599FA">
      <w:pPr>
        <w:pStyle w:val="32"/>
        <w:keepNext w:val="0"/>
        <w:keepLines w:val="0"/>
        <w:pageBreakBefore w:val="0"/>
        <w:kinsoku/>
        <w:wordWrap/>
        <w:overflowPunct/>
        <w:topLinePunct w:val="0"/>
        <w:bidi w:val="0"/>
        <w:ind w:left="0" w:leftChars="0" w:right="0" w:firstLine="560" w:firstLineChars="200"/>
        <w:textAlignment w:val="auto"/>
      </w:pPr>
      <w:r>
        <w:t>检测方法：尺量、数字坡度仪测量。</w:t>
      </w:r>
    </w:p>
    <w:p w14:paraId="366574AA">
      <w:pPr>
        <w:pStyle w:val="32"/>
        <w:keepNext w:val="0"/>
        <w:keepLines w:val="0"/>
        <w:pageBreakBefore w:val="0"/>
        <w:kinsoku/>
        <w:wordWrap/>
        <w:overflowPunct/>
        <w:topLinePunct w:val="0"/>
        <w:bidi w:val="0"/>
        <w:ind w:left="0" w:leftChars="0" w:right="0" w:firstLine="560" w:firstLineChars="200"/>
        <w:textAlignment w:val="auto"/>
      </w:pPr>
      <w:r>
        <w:t>检测器具：钢卷尺、数字坡度仪。</w:t>
      </w:r>
    </w:p>
    <w:p w14:paraId="1459F95E">
      <w:pPr>
        <w:pStyle w:val="32"/>
        <w:keepNext w:val="0"/>
        <w:keepLines w:val="0"/>
        <w:pageBreakBefore w:val="0"/>
        <w:kinsoku/>
        <w:wordWrap/>
        <w:overflowPunct/>
        <w:topLinePunct w:val="0"/>
        <w:bidi w:val="0"/>
        <w:ind w:left="0" w:leftChars="0" w:right="0" w:firstLine="560" w:firstLineChars="200"/>
        <w:textAlignment w:val="auto"/>
      </w:pPr>
      <w:r>
        <w:rPr>
          <w:rFonts w:hint="eastAsia"/>
        </w:rPr>
        <w:t>报警功能</w:t>
      </w:r>
    </w:p>
    <w:p w14:paraId="280D357B">
      <w:pPr>
        <w:pStyle w:val="32"/>
        <w:keepNext w:val="0"/>
        <w:keepLines w:val="0"/>
        <w:pageBreakBefore w:val="0"/>
        <w:kinsoku/>
        <w:wordWrap/>
        <w:overflowPunct/>
        <w:topLinePunct w:val="0"/>
        <w:bidi w:val="0"/>
        <w:ind w:left="0" w:leftChars="0" w:right="0" w:firstLine="560" w:firstLineChars="200"/>
        <w:textAlignment w:val="auto"/>
      </w:pPr>
      <w:r>
        <w:t>检测要求：</w:t>
      </w:r>
    </w:p>
    <w:p w14:paraId="7D76C4BA">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当被监视区域烟参数达到报警条件时，点型感烟火灾探测器应输出火灾报警信号；（A</w:t>
      </w:r>
      <w:r>
        <w:rPr>
          <w:spacing w:val="-27"/>
        </w:rPr>
        <w:t>类</w:t>
      </w:r>
      <w:r>
        <w:t>）</w:t>
      </w:r>
    </w:p>
    <w:p w14:paraId="4E852E32">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当被监视区域温度参数达到报警条件时，点型感温火灾探测器应输出火灾报警信号；（A</w:t>
      </w:r>
      <w:r>
        <w:rPr>
          <w:spacing w:val="-23"/>
        </w:rPr>
        <w:t>类</w:t>
      </w:r>
      <w:r>
        <w:rPr>
          <w:spacing w:val="-106"/>
        </w:rPr>
        <w:t>）</w:t>
      </w:r>
    </w:p>
    <w:p w14:paraId="746463E9">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当被监视区域家用探测器达到报警条件时，应发出火灾报警声信号，声报警信号的A计权声</w:t>
      </w:r>
      <w:r>
        <w:rPr>
          <w:spacing w:val="-11"/>
        </w:rPr>
        <w:t>压级应在</w:t>
      </w:r>
      <w:r>
        <w:t>45dB～75dB</w:t>
      </w:r>
      <w:r>
        <w:rPr>
          <w:spacing w:val="-16"/>
        </w:rPr>
        <w:t>之间，并应采用逐渐增大的方式，初始声压级不应大于</w:t>
      </w:r>
      <w:r>
        <w:t>45dB</w:t>
      </w:r>
      <w:r>
        <w:rPr>
          <w:spacing w:val="-82"/>
        </w:rPr>
        <w:t>。</w:t>
      </w:r>
      <w:r>
        <w:t>（C</w:t>
      </w:r>
      <w:r>
        <w:rPr>
          <w:spacing w:val="-27"/>
        </w:rPr>
        <w:t>类</w:t>
      </w:r>
      <w:r>
        <w:t>）</w:t>
      </w:r>
    </w:p>
    <w:p w14:paraId="2DE52E89">
      <w:pPr>
        <w:pStyle w:val="32"/>
        <w:keepNext w:val="0"/>
        <w:keepLines w:val="0"/>
        <w:pageBreakBefore w:val="0"/>
        <w:kinsoku/>
        <w:wordWrap/>
        <w:overflowPunct/>
        <w:topLinePunct w:val="0"/>
        <w:bidi w:val="0"/>
        <w:ind w:left="0" w:leftChars="0" w:right="0" w:firstLine="560" w:firstLineChars="200"/>
        <w:textAlignment w:val="auto"/>
      </w:pPr>
      <w:r>
        <w:t>检测数量：按实际安装数量的</w:t>
      </w:r>
      <w:r>
        <w:rPr>
          <w:rFonts w:hint="eastAsia"/>
        </w:rPr>
        <w:t>100检测</w:t>
      </w:r>
      <w:r>
        <w:t>。</w:t>
      </w:r>
    </w:p>
    <w:p w14:paraId="54EE0F2F">
      <w:pPr>
        <w:pStyle w:val="32"/>
        <w:keepNext w:val="0"/>
        <w:keepLines w:val="0"/>
        <w:pageBreakBefore w:val="0"/>
        <w:kinsoku/>
        <w:wordWrap/>
        <w:overflowPunct/>
        <w:topLinePunct w:val="0"/>
        <w:bidi w:val="0"/>
        <w:ind w:left="0" w:leftChars="0" w:right="0" w:firstLine="560" w:firstLineChars="200"/>
        <w:textAlignment w:val="auto"/>
      </w:pPr>
      <w:r>
        <w:t>检测方法：采用感烟（温）探测器功能试验器，检查探测器的报警和警报功能。检测器具：感烟（温）探测器功能试验器、声级计。</w:t>
      </w:r>
    </w:p>
    <w:p w14:paraId="55393780">
      <w:pPr>
        <w:pStyle w:val="32"/>
        <w:keepNext w:val="0"/>
        <w:keepLines w:val="0"/>
        <w:pageBreakBefore w:val="0"/>
        <w:kinsoku/>
        <w:wordWrap/>
        <w:overflowPunct/>
        <w:topLinePunct w:val="0"/>
        <w:bidi w:val="0"/>
        <w:ind w:left="0" w:leftChars="0" w:right="0" w:firstLine="560" w:firstLineChars="200"/>
        <w:textAlignment w:val="auto"/>
      </w:pPr>
      <w:r>
        <w:rPr>
          <w:rFonts w:hint="eastAsia"/>
        </w:rPr>
        <w:t>4.6.3线型火灾探测器</w:t>
      </w:r>
    </w:p>
    <w:p w14:paraId="0775B39B">
      <w:pPr>
        <w:pStyle w:val="32"/>
        <w:keepNext w:val="0"/>
        <w:keepLines w:val="0"/>
        <w:pageBreakBefore w:val="0"/>
        <w:kinsoku/>
        <w:wordWrap/>
        <w:overflowPunct/>
        <w:topLinePunct w:val="0"/>
        <w:bidi w:val="0"/>
        <w:ind w:left="0" w:leftChars="0" w:right="0" w:firstLine="560" w:firstLineChars="200"/>
        <w:textAlignment w:val="auto"/>
      </w:pPr>
      <w:r>
        <w:rPr>
          <w:rFonts w:hint="eastAsia"/>
        </w:rPr>
        <w:t>安装要求</w:t>
      </w:r>
    </w:p>
    <w:p w14:paraId="75ABBE98">
      <w:pPr>
        <w:pStyle w:val="32"/>
        <w:keepNext w:val="0"/>
        <w:keepLines w:val="0"/>
        <w:pageBreakBefore w:val="0"/>
        <w:kinsoku/>
        <w:wordWrap/>
        <w:overflowPunct/>
        <w:topLinePunct w:val="0"/>
        <w:bidi w:val="0"/>
        <w:ind w:left="0" w:leftChars="0" w:right="0" w:firstLine="560" w:firstLineChars="200"/>
        <w:textAlignment w:val="auto"/>
      </w:pPr>
      <w:r>
        <w:t>检测要求：</w:t>
      </w:r>
    </w:p>
    <w:p w14:paraId="6191487C">
      <w:pPr>
        <w:pStyle w:val="32"/>
        <w:keepNext w:val="0"/>
        <w:keepLines w:val="0"/>
        <w:pageBreakBefore w:val="0"/>
        <w:kinsoku/>
        <w:wordWrap/>
        <w:overflowPunct/>
        <w:topLinePunct w:val="0"/>
        <w:bidi w:val="0"/>
        <w:ind w:left="0" w:leftChars="0" w:right="0" w:firstLine="560" w:firstLineChars="200"/>
        <w:textAlignment w:val="auto"/>
      </w:pPr>
      <w:r>
        <w:t>线型光束感烟火灾探测器的设置应符合下列规定：</w:t>
      </w:r>
    </w:p>
    <w:p w14:paraId="6D27F3EA">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发射器和接收器应安装牢固；（C</w:t>
      </w:r>
      <w:r>
        <w:rPr>
          <w:spacing w:val="-28"/>
        </w:rPr>
        <w:t>类</w:t>
      </w:r>
      <w:r>
        <w:t>）</w:t>
      </w:r>
    </w:p>
    <w:p w14:paraId="0508DC08">
      <w:pPr>
        <w:pStyle w:val="32"/>
        <w:keepNext w:val="0"/>
        <w:keepLines w:val="0"/>
        <w:pageBreakBefore w:val="0"/>
        <w:kinsoku/>
        <w:wordWrap/>
        <w:overflowPunct/>
        <w:topLinePunct w:val="0"/>
        <w:bidi w:val="0"/>
        <w:ind w:left="0" w:leftChars="0" w:right="0" w:firstLine="540" w:firstLineChars="200"/>
        <w:textAlignment w:val="auto"/>
      </w:pPr>
      <w:r>
        <w:rPr>
          <w:rFonts w:hint="eastAsia"/>
          <w:spacing w:val="-5"/>
        </w:rPr>
        <w:t>b)</w:t>
      </w:r>
      <w:r>
        <w:rPr>
          <w:spacing w:val="-5"/>
        </w:rPr>
        <w:t>当探测区域的高度不大于</w:t>
      </w:r>
      <w:r>
        <w:t>20m</w:t>
      </w:r>
      <w:r>
        <w:rPr>
          <w:spacing w:val="-6"/>
        </w:rPr>
        <w:t>时，光束轴线至顶棚的垂直距离宜为</w:t>
      </w:r>
      <w:r>
        <w:t>0.3m～1.0m</w:t>
      </w:r>
      <w:r>
        <w:rPr>
          <w:spacing w:val="-2"/>
        </w:rPr>
        <w:t>。当探测区域的高度大于</w:t>
      </w:r>
      <w:r>
        <w:t>20m</w:t>
      </w:r>
      <w:r>
        <w:rPr>
          <w:spacing w:val="-3"/>
        </w:rPr>
        <w:t>时，光束轴线距探测区域的地（</w:t>
      </w:r>
      <w:r>
        <w:t>楼</w:t>
      </w:r>
      <w:r>
        <w:rPr>
          <w:spacing w:val="-3"/>
        </w:rPr>
        <w:t>）</w:t>
      </w:r>
      <w:r>
        <w:rPr>
          <w:spacing w:val="-2"/>
        </w:rPr>
        <w:t>面高度不宜超过</w:t>
      </w:r>
      <w:r>
        <w:t>20m；（C类</w:t>
      </w:r>
      <w:r>
        <w:rPr>
          <w:spacing w:val="-3"/>
        </w:rPr>
        <w:t>）</w:t>
      </w:r>
    </w:p>
    <w:p w14:paraId="719329CB">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相邻两组探测器的水平距离不应大于14m，探测器至侧墙的水平距离不应大于7m</w:t>
      </w:r>
      <w:r>
        <w:rPr>
          <w:spacing w:val="-3"/>
        </w:rPr>
        <w:t>，且不</w:t>
      </w:r>
      <w:r>
        <w:rPr>
          <w:spacing w:val="-15"/>
        </w:rPr>
        <w:t>应小于</w:t>
      </w:r>
      <w:r>
        <w:t>0.5m；（C</w:t>
      </w:r>
      <w:r>
        <w:rPr>
          <w:spacing w:val="-28"/>
        </w:rPr>
        <w:t>类</w:t>
      </w:r>
      <w:r>
        <w:rPr>
          <w:spacing w:val="-3"/>
        </w:rPr>
        <w:t>）</w:t>
      </w:r>
    </w:p>
    <w:p w14:paraId="7218A155">
      <w:pPr>
        <w:pStyle w:val="32"/>
        <w:keepNext w:val="0"/>
        <w:keepLines w:val="0"/>
        <w:pageBreakBefore w:val="0"/>
        <w:kinsoku/>
        <w:wordWrap/>
        <w:overflowPunct/>
        <w:topLinePunct w:val="0"/>
        <w:bidi w:val="0"/>
        <w:ind w:left="0" w:leftChars="0" w:right="0" w:firstLine="508" w:firstLineChars="200"/>
        <w:textAlignment w:val="auto"/>
      </w:pPr>
      <w:r>
        <w:rPr>
          <w:rFonts w:hint="eastAsia"/>
          <w:spacing w:val="-13"/>
        </w:rPr>
        <w:t>d)</w:t>
      </w:r>
      <w:r>
        <w:rPr>
          <w:spacing w:val="-13"/>
        </w:rPr>
        <w:t>探测器的发射器和接收器</w:t>
      </w:r>
      <w:r>
        <w:t>（反射式探测器的探测器和反射板</w:t>
      </w:r>
      <w:r>
        <w:rPr>
          <w:spacing w:val="-106"/>
        </w:rPr>
        <w:t>）</w:t>
      </w:r>
      <w:r>
        <w:rPr>
          <w:spacing w:val="-9"/>
        </w:rPr>
        <w:t>之间的距离不宜超过</w:t>
      </w:r>
      <w:r>
        <w:t>100m；（C类）</w:t>
      </w:r>
    </w:p>
    <w:p w14:paraId="52CB15FD">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t>发射器和接收器（反射式探测器的探测器和反射板）之间的光路上应无遮挡物。（C</w:t>
      </w:r>
      <w:r>
        <w:rPr>
          <w:spacing w:val="-24"/>
        </w:rPr>
        <w:t>类</w:t>
      </w:r>
      <w:r>
        <w:rPr>
          <w:spacing w:val="-106"/>
        </w:rPr>
        <w:t>）</w:t>
      </w:r>
    </w:p>
    <w:p w14:paraId="1EF6FC2C">
      <w:pPr>
        <w:pStyle w:val="32"/>
        <w:keepNext w:val="0"/>
        <w:keepLines w:val="0"/>
        <w:pageBreakBefore w:val="0"/>
        <w:kinsoku/>
        <w:wordWrap/>
        <w:overflowPunct/>
        <w:topLinePunct w:val="0"/>
        <w:bidi w:val="0"/>
        <w:ind w:left="0" w:leftChars="0" w:right="0" w:firstLine="560" w:firstLineChars="200"/>
        <w:textAlignment w:val="auto"/>
      </w:pPr>
      <w:r>
        <w:rPr>
          <w:rFonts w:hint="eastAsia"/>
        </w:rPr>
        <w:t>f)</w:t>
      </w:r>
      <w:r>
        <w:t>缆式线型定温探测器在电缆桥架或支架上设置时，宜采用接触式布置。在各种皮带输送装置</w:t>
      </w:r>
      <w:r>
        <w:rPr>
          <w:spacing w:val="-3"/>
        </w:rPr>
        <w:t>上设置时，宜设在装置的过热点附近；</w:t>
      </w:r>
      <w:r>
        <w:t>（C</w:t>
      </w:r>
      <w:r>
        <w:rPr>
          <w:spacing w:val="-28"/>
        </w:rPr>
        <w:t>类</w:t>
      </w:r>
      <w:r>
        <w:t>）</w:t>
      </w:r>
    </w:p>
    <w:p w14:paraId="23560325">
      <w:pPr>
        <w:pStyle w:val="32"/>
        <w:keepNext w:val="0"/>
        <w:keepLines w:val="0"/>
        <w:pageBreakBefore w:val="0"/>
        <w:kinsoku/>
        <w:wordWrap/>
        <w:overflowPunct/>
        <w:topLinePunct w:val="0"/>
        <w:bidi w:val="0"/>
        <w:ind w:left="0" w:leftChars="0" w:right="0" w:firstLine="560" w:firstLineChars="200"/>
        <w:textAlignment w:val="auto"/>
      </w:pPr>
      <w:r>
        <w:rPr>
          <w:rFonts w:hint="eastAsia"/>
        </w:rPr>
        <w:t>g)</w:t>
      </w:r>
      <w:r>
        <w:t>敷设在顶棚下方的线型差温探测器至顶棚的距离宜为0.1m</w:t>
      </w:r>
      <w:r>
        <w:rPr>
          <w:spacing w:val="-3"/>
        </w:rPr>
        <w:t>。相邻探测器之间的水平距离不宜</w:t>
      </w:r>
      <w:r>
        <w:rPr>
          <w:spacing w:val="-20"/>
        </w:rPr>
        <w:t>大于</w:t>
      </w:r>
      <w:r>
        <w:t>5m</w:t>
      </w:r>
      <w:r>
        <w:rPr>
          <w:spacing w:val="-7"/>
        </w:rPr>
        <w:t>。探测器至墙壁的距离宜为</w:t>
      </w:r>
      <w:r>
        <w:t>1.0m～1.5m；（C</w:t>
      </w:r>
      <w:r>
        <w:rPr>
          <w:spacing w:val="-28"/>
        </w:rPr>
        <w:t>类</w:t>
      </w:r>
      <w:r>
        <w:rPr>
          <w:spacing w:val="-3"/>
        </w:rPr>
        <w:t>）</w:t>
      </w:r>
    </w:p>
    <w:p w14:paraId="03845AFB">
      <w:pPr>
        <w:pStyle w:val="32"/>
        <w:keepNext w:val="0"/>
        <w:keepLines w:val="0"/>
        <w:pageBreakBefore w:val="0"/>
        <w:kinsoku/>
        <w:wordWrap/>
        <w:overflowPunct/>
        <w:topLinePunct w:val="0"/>
        <w:bidi w:val="0"/>
        <w:ind w:left="0" w:leftChars="0" w:right="0" w:firstLine="560" w:firstLineChars="200"/>
        <w:textAlignment w:val="auto"/>
      </w:pPr>
      <w:r>
        <w:rPr>
          <w:rFonts w:hint="eastAsia"/>
        </w:rPr>
        <w:t>h)</w:t>
      </w:r>
      <w:r>
        <w:t>线型感温探测器敏感部件应采用产品配套的固定装置固定，固定装置的间距不宜大于2</w:t>
      </w:r>
      <w:r>
        <w:rPr>
          <w:spacing w:val="-20"/>
        </w:rPr>
        <w:t>m；（C</w:t>
      </w:r>
      <w:r>
        <w:t>类</w:t>
      </w:r>
      <w:r>
        <w:rPr>
          <w:spacing w:val="-3"/>
        </w:rPr>
        <w:t>）</w:t>
      </w:r>
    </w:p>
    <w:p w14:paraId="46AB4F5B">
      <w:pPr>
        <w:pStyle w:val="32"/>
        <w:keepNext w:val="0"/>
        <w:keepLines w:val="0"/>
        <w:pageBreakBefore w:val="0"/>
        <w:kinsoku/>
        <w:wordWrap/>
        <w:overflowPunct/>
        <w:topLinePunct w:val="0"/>
        <w:bidi w:val="0"/>
        <w:ind w:left="0" w:leftChars="0" w:right="0" w:firstLine="560" w:firstLineChars="200"/>
        <w:textAlignment w:val="auto"/>
      </w:pPr>
      <w:r>
        <w:rPr>
          <w:rFonts w:hint="eastAsia"/>
        </w:rPr>
        <w:t>h)</w:t>
      </w:r>
      <w:r>
        <w:t>缆式线型感温火灾探测器的敏感部件应采用连续无接头方式安装。如确需中间接线，应采用接线盒连接。敏感部件安装敷设时应避免重力挤压冲击，不应硬性折弯、扭转，探测器的弯</w:t>
      </w:r>
      <w:r>
        <w:rPr>
          <w:spacing w:val="-10"/>
        </w:rPr>
        <w:t>曲半径宜大于</w:t>
      </w:r>
      <w:r>
        <w:t>0.2m；（C</w:t>
      </w:r>
      <w:r>
        <w:rPr>
          <w:spacing w:val="-28"/>
        </w:rPr>
        <w:t>类</w:t>
      </w:r>
      <w:r>
        <w:rPr>
          <w:spacing w:val="-3"/>
        </w:rPr>
        <w:t>）</w:t>
      </w:r>
    </w:p>
    <w:p w14:paraId="36547C5A">
      <w:pPr>
        <w:pStyle w:val="32"/>
        <w:keepNext w:val="0"/>
        <w:keepLines w:val="0"/>
        <w:pageBreakBefore w:val="0"/>
        <w:kinsoku/>
        <w:wordWrap/>
        <w:overflowPunct/>
        <w:topLinePunct w:val="0"/>
        <w:bidi w:val="0"/>
        <w:ind w:left="0" w:leftChars="0" w:right="0" w:firstLine="560" w:firstLineChars="200"/>
        <w:textAlignment w:val="auto"/>
      </w:pPr>
      <w:r>
        <w:rPr>
          <w:rFonts w:hint="eastAsia"/>
        </w:rPr>
        <w:t>i)</w:t>
      </w:r>
      <w:r>
        <w:t>分布式线型光纤感温火灾探测器的感温光纤不应打结，光纤弯曲时，弯曲半径应大于50</w:t>
      </w:r>
      <w:r>
        <w:rPr>
          <w:spacing w:val="-6"/>
        </w:rPr>
        <w:t>mm，</w:t>
      </w:r>
      <w:r>
        <w:rPr>
          <w:spacing w:val="-5"/>
        </w:rPr>
        <w:t>每个光通道配接的感温光纤的始端及末端应各设置不小于</w:t>
      </w:r>
      <w:r>
        <w:t>8m</w:t>
      </w:r>
      <w:r>
        <w:rPr>
          <w:spacing w:val="-12"/>
        </w:rPr>
        <w:t>的余量段，感温光纤穿越相邻的</w:t>
      </w:r>
      <w:r>
        <w:rPr>
          <w:spacing w:val="-6"/>
        </w:rPr>
        <w:t>报警区域时，两侧应分别设置不小于</w:t>
      </w:r>
      <w:r>
        <w:t>8m</w:t>
      </w:r>
      <w:r>
        <w:rPr>
          <w:spacing w:val="-11"/>
        </w:rPr>
        <w:t>的余量段。</w:t>
      </w:r>
      <w:r>
        <w:t>（C</w:t>
      </w:r>
      <w:r>
        <w:rPr>
          <w:spacing w:val="-28"/>
        </w:rPr>
        <w:t>类</w:t>
      </w:r>
      <w:r>
        <w:rPr>
          <w:spacing w:val="-3"/>
        </w:rPr>
        <w:t>）</w:t>
      </w:r>
    </w:p>
    <w:p w14:paraId="73534528">
      <w:pPr>
        <w:pStyle w:val="32"/>
        <w:keepNext w:val="0"/>
        <w:keepLines w:val="0"/>
        <w:pageBreakBefore w:val="0"/>
        <w:widowControl/>
        <w:kinsoku/>
        <w:wordWrap/>
        <w:overflowPunct/>
        <w:topLinePunct w:val="0"/>
        <w:autoSpaceDE w:val="0"/>
        <w:autoSpaceDN w:val="0"/>
        <w:bidi w:val="0"/>
        <w:adjustRightInd/>
        <w:snapToGrid/>
        <w:ind w:left="0" w:leftChars="0" w:right="0" w:firstLine="560" w:firstLineChars="200"/>
        <w:textAlignment w:val="auto"/>
      </w:pPr>
      <w:r>
        <w:rPr>
          <w:rFonts w:hint="eastAsia"/>
        </w:rPr>
        <w:t>g)</w:t>
      </w:r>
      <w:r>
        <w:t>光栅光纤线型感温火灾探测器的信号处理单元安装位置不应受强光直射，光纤光栅感温段的</w:t>
      </w:r>
      <w:r>
        <w:rPr>
          <w:spacing w:val="-10"/>
        </w:rPr>
        <w:t>弯曲半径应大于</w:t>
      </w:r>
      <w:r>
        <w:t>0.3m</w:t>
      </w:r>
      <w:r>
        <w:rPr>
          <w:spacing w:val="-3"/>
        </w:rPr>
        <w:t>。</w:t>
      </w:r>
      <w:r>
        <w:t>（C</w:t>
      </w:r>
      <w:r>
        <w:rPr>
          <w:spacing w:val="-27"/>
        </w:rPr>
        <w:t>类</w:t>
      </w:r>
      <w:r>
        <w:rPr>
          <w:spacing w:val="-3"/>
        </w:rPr>
        <w:t>）</w:t>
      </w:r>
    </w:p>
    <w:p w14:paraId="5C88529F">
      <w:pPr>
        <w:pStyle w:val="32"/>
        <w:keepNext w:val="0"/>
        <w:keepLines w:val="0"/>
        <w:pageBreakBefore w:val="0"/>
        <w:kinsoku/>
        <w:wordWrap/>
        <w:overflowPunct/>
        <w:topLinePunct w:val="0"/>
        <w:bidi w:val="0"/>
        <w:ind w:left="0" w:leftChars="0" w:right="0" w:firstLine="560" w:firstLineChars="200"/>
        <w:textAlignment w:val="auto"/>
      </w:pPr>
      <w:r>
        <w:t>检测数量：按实际安装数量的</w:t>
      </w:r>
      <w:r>
        <w:rPr>
          <w:rFonts w:hint="eastAsia"/>
        </w:rPr>
        <w:t>100</w:t>
      </w:r>
      <w:r>
        <w:t>%</w:t>
      </w:r>
      <w:r>
        <w:rPr>
          <w:rFonts w:hint="eastAsia"/>
        </w:rPr>
        <w:t>检测</w:t>
      </w:r>
      <w:r>
        <w:t>。</w:t>
      </w:r>
    </w:p>
    <w:p w14:paraId="46313703">
      <w:pPr>
        <w:pStyle w:val="32"/>
        <w:keepNext w:val="0"/>
        <w:keepLines w:val="0"/>
        <w:pageBreakBefore w:val="0"/>
        <w:kinsoku/>
        <w:wordWrap/>
        <w:overflowPunct/>
        <w:topLinePunct w:val="0"/>
        <w:bidi w:val="0"/>
        <w:ind w:left="0" w:leftChars="0" w:right="0" w:firstLine="560" w:firstLineChars="200"/>
        <w:textAlignment w:val="auto"/>
      </w:pPr>
      <w:r>
        <w:t>检测方法：尺量、直观检查。</w:t>
      </w:r>
    </w:p>
    <w:p w14:paraId="2CF8DDD3">
      <w:pPr>
        <w:pStyle w:val="32"/>
        <w:keepNext w:val="0"/>
        <w:keepLines w:val="0"/>
        <w:pageBreakBefore w:val="0"/>
        <w:kinsoku/>
        <w:wordWrap/>
        <w:overflowPunct/>
        <w:topLinePunct w:val="0"/>
        <w:bidi w:val="0"/>
        <w:ind w:left="0" w:leftChars="0" w:right="0" w:firstLine="560" w:firstLineChars="200"/>
        <w:textAlignment w:val="auto"/>
      </w:pPr>
      <w:r>
        <w:t>检测器具：钢卷尺、激光测距仪。</w:t>
      </w:r>
    </w:p>
    <w:p w14:paraId="77059C83">
      <w:pPr>
        <w:pStyle w:val="32"/>
        <w:keepNext w:val="0"/>
        <w:keepLines w:val="0"/>
        <w:pageBreakBefore w:val="0"/>
        <w:kinsoku/>
        <w:wordWrap/>
        <w:overflowPunct/>
        <w:topLinePunct w:val="0"/>
        <w:bidi w:val="0"/>
        <w:ind w:left="0" w:leftChars="0" w:right="0" w:firstLine="560" w:firstLineChars="200"/>
        <w:textAlignment w:val="auto"/>
      </w:pPr>
      <w:r>
        <w:rPr>
          <w:rFonts w:hint="eastAsia"/>
        </w:rPr>
        <w:t>报警功能</w:t>
      </w:r>
    </w:p>
    <w:p w14:paraId="33F57A36">
      <w:pPr>
        <w:pStyle w:val="32"/>
        <w:keepNext w:val="0"/>
        <w:keepLines w:val="0"/>
        <w:pageBreakBefore w:val="0"/>
        <w:kinsoku/>
        <w:wordWrap/>
        <w:overflowPunct/>
        <w:topLinePunct w:val="0"/>
        <w:bidi w:val="0"/>
        <w:ind w:left="0" w:leftChars="0" w:right="0" w:firstLine="560" w:firstLineChars="200"/>
        <w:textAlignment w:val="auto"/>
      </w:pPr>
      <w:r>
        <w:t>检测要求：</w:t>
      </w:r>
    </w:p>
    <w:p w14:paraId="6315CD31">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在不可恢复的探测器上模拟火警和故障，探测器应能分别发出火灾报警和故障信号；（B类）</w:t>
      </w:r>
    </w:p>
    <w:p w14:paraId="6AA3FF12">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可恢复的探测器可采用专用检测仪器或模拟火灾的办法使其发出火灾报警信号，并在终端盒上模拟故障，探测器应能分别发出火灾报警和故障信号。（B类）</w:t>
      </w:r>
    </w:p>
    <w:p w14:paraId="141D4564">
      <w:pPr>
        <w:pStyle w:val="32"/>
        <w:keepNext w:val="0"/>
        <w:keepLines w:val="0"/>
        <w:pageBreakBefore w:val="0"/>
        <w:kinsoku/>
        <w:wordWrap/>
        <w:overflowPunct/>
        <w:topLinePunct w:val="0"/>
        <w:bidi w:val="0"/>
        <w:ind w:left="0" w:leftChars="0" w:right="0" w:firstLine="560" w:firstLineChars="200"/>
        <w:textAlignment w:val="auto"/>
      </w:pPr>
      <w:r>
        <w:t>检测数量：按实际安装数量的</w:t>
      </w:r>
      <w:r>
        <w:rPr>
          <w:rFonts w:hint="eastAsia"/>
        </w:rPr>
        <w:t>100检测</w:t>
      </w:r>
      <w:r>
        <w:t>，且不少于10处，少于10处的全数检测。</w:t>
      </w:r>
    </w:p>
    <w:p w14:paraId="1F6E6367">
      <w:pPr>
        <w:pStyle w:val="32"/>
        <w:keepNext w:val="0"/>
        <w:keepLines w:val="0"/>
        <w:pageBreakBefore w:val="0"/>
        <w:kinsoku/>
        <w:wordWrap/>
        <w:overflowPunct/>
        <w:topLinePunct w:val="0"/>
        <w:bidi w:val="0"/>
        <w:ind w:left="0" w:leftChars="0" w:right="0" w:firstLine="560" w:firstLineChars="200"/>
        <w:textAlignment w:val="auto"/>
      </w:pPr>
      <w:r>
        <w:t>检测方法：采用线型光束感烟探测器滤光片和末端短接的方法，检查探测器的报警功能。检测器具：线型光束感烟探测器滤光片。</w:t>
      </w:r>
    </w:p>
    <w:p w14:paraId="4DC6E81B">
      <w:pPr>
        <w:pStyle w:val="32"/>
        <w:keepNext w:val="0"/>
        <w:keepLines w:val="0"/>
        <w:pageBreakBefore w:val="0"/>
        <w:kinsoku/>
        <w:wordWrap/>
        <w:overflowPunct/>
        <w:topLinePunct w:val="0"/>
        <w:bidi w:val="0"/>
        <w:ind w:left="0" w:leftChars="0" w:right="0" w:firstLine="560" w:firstLineChars="200"/>
        <w:textAlignment w:val="auto"/>
      </w:pPr>
      <w:r>
        <w:rPr>
          <w:rFonts w:hint="eastAsia"/>
        </w:rPr>
        <w:t>4.6.4火焰探测器和图像型探测器</w:t>
      </w:r>
    </w:p>
    <w:p w14:paraId="50A6BE6D">
      <w:pPr>
        <w:pStyle w:val="32"/>
        <w:keepNext w:val="0"/>
        <w:keepLines w:val="0"/>
        <w:pageBreakBefore w:val="0"/>
        <w:kinsoku/>
        <w:wordWrap/>
        <w:overflowPunct/>
        <w:topLinePunct w:val="0"/>
        <w:bidi w:val="0"/>
        <w:ind w:left="0" w:leftChars="0" w:right="0" w:firstLine="560" w:firstLineChars="200"/>
        <w:textAlignment w:val="auto"/>
      </w:pPr>
      <w:r>
        <w:rPr>
          <w:rFonts w:hint="eastAsia"/>
        </w:rPr>
        <w:t>安装要求</w:t>
      </w:r>
    </w:p>
    <w:p w14:paraId="31BBFF7E">
      <w:pPr>
        <w:pStyle w:val="32"/>
        <w:keepNext w:val="0"/>
        <w:keepLines w:val="0"/>
        <w:pageBreakBefore w:val="0"/>
        <w:kinsoku/>
        <w:wordWrap/>
        <w:overflowPunct/>
        <w:topLinePunct w:val="0"/>
        <w:bidi w:val="0"/>
        <w:ind w:left="0" w:leftChars="0" w:right="0" w:firstLine="560" w:firstLineChars="200"/>
        <w:textAlignment w:val="auto"/>
      </w:pPr>
      <w:r>
        <w:t>检测要求：</w:t>
      </w:r>
    </w:p>
    <w:p w14:paraId="38851F18">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探测器的探测视角内不应存在遮挡物；（B类）</w:t>
      </w:r>
    </w:p>
    <w:p w14:paraId="0104FD3D">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在室外或交通隧道场所安装时，应有防尘、防水措施。（B类）</w:t>
      </w:r>
    </w:p>
    <w:p w14:paraId="67F01F30">
      <w:pPr>
        <w:pStyle w:val="32"/>
        <w:keepNext w:val="0"/>
        <w:keepLines w:val="0"/>
        <w:pageBreakBefore w:val="0"/>
        <w:kinsoku/>
        <w:wordWrap/>
        <w:overflowPunct/>
        <w:topLinePunct w:val="0"/>
        <w:bidi w:val="0"/>
        <w:ind w:left="0" w:leftChars="0" w:right="0" w:firstLine="0" w:firstLineChars="0"/>
        <w:textAlignment w:val="auto"/>
      </w:pPr>
      <w:r>
        <w:t>检测数量：按实际安装数量的</w:t>
      </w:r>
      <w:r>
        <w:rPr>
          <w:rFonts w:hint="eastAsia"/>
        </w:rPr>
        <w:t>8</w:t>
      </w:r>
      <w:r>
        <w:t>0%抽检。</w:t>
      </w:r>
    </w:p>
    <w:p w14:paraId="5E2930D0">
      <w:pPr>
        <w:pStyle w:val="32"/>
        <w:keepNext w:val="0"/>
        <w:keepLines w:val="0"/>
        <w:pageBreakBefore w:val="0"/>
        <w:kinsoku/>
        <w:wordWrap/>
        <w:overflowPunct/>
        <w:topLinePunct w:val="0"/>
        <w:bidi w:val="0"/>
        <w:ind w:left="0" w:leftChars="0" w:right="0" w:firstLine="560" w:firstLineChars="200"/>
        <w:textAlignment w:val="auto"/>
      </w:pPr>
      <w:r>
        <w:t>检测方法：</w:t>
      </w:r>
    </w:p>
    <w:p w14:paraId="03523912">
      <w:pPr>
        <w:pStyle w:val="32"/>
        <w:keepNext w:val="0"/>
        <w:keepLines w:val="0"/>
        <w:pageBreakBefore w:val="0"/>
        <w:kinsoku/>
        <w:wordWrap/>
        <w:overflowPunct/>
        <w:topLinePunct w:val="0"/>
        <w:bidi w:val="0"/>
        <w:ind w:left="0" w:leftChars="0" w:right="0" w:firstLine="560" w:firstLineChars="200"/>
        <w:textAlignment w:val="auto"/>
      </w:pPr>
      <w:r>
        <w:t>a）对照设计文件；</w:t>
      </w:r>
    </w:p>
    <w:p w14:paraId="3E6999A3">
      <w:pPr>
        <w:pStyle w:val="32"/>
        <w:keepNext w:val="0"/>
        <w:keepLines w:val="0"/>
        <w:pageBreakBefore w:val="0"/>
        <w:kinsoku/>
        <w:wordWrap/>
        <w:overflowPunct/>
        <w:topLinePunct w:val="0"/>
        <w:bidi w:val="0"/>
        <w:ind w:left="0" w:leftChars="0" w:right="0" w:firstLine="560" w:firstLineChars="200"/>
        <w:textAlignment w:val="auto"/>
      </w:pPr>
      <w:r>
        <w:t>b）c）直观检查；</w:t>
      </w:r>
    </w:p>
    <w:p w14:paraId="5117815B">
      <w:pPr>
        <w:pStyle w:val="32"/>
        <w:keepNext w:val="0"/>
        <w:keepLines w:val="0"/>
        <w:pageBreakBefore w:val="0"/>
        <w:kinsoku/>
        <w:wordWrap/>
        <w:overflowPunct/>
        <w:topLinePunct w:val="0"/>
        <w:bidi w:val="0"/>
        <w:ind w:left="0" w:leftChars="0" w:right="0" w:firstLine="560" w:firstLineChars="200"/>
        <w:textAlignment w:val="auto"/>
      </w:pPr>
      <w:r>
        <w:t>d）采用火焰探测器功能试验器，检查火焰探测器的报警功能，核对地址信息。模拟火灾的方法在探测器监视区域内最不利处检查图像探测器的报警功能，核对地址信息。</w:t>
      </w:r>
    </w:p>
    <w:p w14:paraId="0A87A206">
      <w:pPr>
        <w:pStyle w:val="32"/>
        <w:keepNext w:val="0"/>
        <w:keepLines w:val="0"/>
        <w:pageBreakBefore w:val="0"/>
        <w:kinsoku/>
        <w:wordWrap/>
        <w:overflowPunct/>
        <w:topLinePunct w:val="0"/>
        <w:bidi w:val="0"/>
        <w:ind w:left="0" w:leftChars="0" w:right="0" w:firstLine="560" w:firstLineChars="200"/>
        <w:textAlignment w:val="auto"/>
      </w:pPr>
      <w:r>
        <w:t>检测器具：火焰探测器功能试验器。</w:t>
      </w:r>
    </w:p>
    <w:p w14:paraId="5B134130">
      <w:pPr>
        <w:pStyle w:val="32"/>
        <w:keepNext w:val="0"/>
        <w:keepLines w:val="0"/>
        <w:pageBreakBefore w:val="0"/>
        <w:kinsoku/>
        <w:wordWrap/>
        <w:overflowPunct/>
        <w:topLinePunct w:val="0"/>
        <w:bidi w:val="0"/>
        <w:ind w:left="0" w:leftChars="0" w:right="0" w:firstLine="560" w:firstLineChars="200"/>
        <w:textAlignment w:val="auto"/>
      </w:pPr>
      <w:r>
        <w:rPr>
          <w:rFonts w:hint="eastAsia"/>
        </w:rPr>
        <w:t>报警功能</w:t>
      </w:r>
    </w:p>
    <w:p w14:paraId="605B3395">
      <w:pPr>
        <w:pStyle w:val="32"/>
        <w:keepNext w:val="0"/>
        <w:keepLines w:val="0"/>
        <w:pageBreakBefore w:val="0"/>
        <w:kinsoku/>
        <w:wordWrap/>
        <w:overflowPunct/>
        <w:topLinePunct w:val="0"/>
        <w:bidi w:val="0"/>
        <w:ind w:left="0" w:leftChars="0" w:right="0" w:firstLine="560" w:firstLineChars="200"/>
        <w:textAlignment w:val="auto"/>
      </w:pPr>
      <w:r>
        <w:t>检测要求：当达到报警条件时，火灾探测器应输出火灾报警信号。（A类）</w:t>
      </w:r>
    </w:p>
    <w:p w14:paraId="4C313A2A">
      <w:pPr>
        <w:pStyle w:val="32"/>
        <w:keepNext w:val="0"/>
        <w:keepLines w:val="0"/>
        <w:pageBreakBefore w:val="0"/>
        <w:kinsoku/>
        <w:wordWrap/>
        <w:overflowPunct/>
        <w:topLinePunct w:val="0"/>
        <w:bidi w:val="0"/>
        <w:ind w:left="0" w:leftChars="0" w:right="0" w:firstLine="560" w:firstLineChars="200"/>
        <w:textAlignment w:val="auto"/>
      </w:pPr>
      <w:r>
        <w:t>检测数量：按实际安装数量的</w:t>
      </w:r>
      <w:r>
        <w:rPr>
          <w:rFonts w:hint="eastAsia"/>
        </w:rPr>
        <w:t>8</w:t>
      </w:r>
      <w:r>
        <w:t>0%抽检，且不少于10只，少于10只的全数检测。</w:t>
      </w:r>
    </w:p>
    <w:p w14:paraId="476A9510">
      <w:pPr>
        <w:pStyle w:val="32"/>
        <w:keepNext w:val="0"/>
        <w:keepLines w:val="0"/>
        <w:pageBreakBefore w:val="0"/>
        <w:kinsoku/>
        <w:wordWrap/>
        <w:overflowPunct/>
        <w:topLinePunct w:val="0"/>
        <w:bidi w:val="0"/>
        <w:ind w:left="0" w:leftChars="0" w:right="0" w:firstLine="560" w:firstLineChars="200"/>
        <w:textAlignment w:val="auto"/>
      </w:pPr>
      <w:r>
        <w:t>检测方法：采用火焰探测器功能试验器，检查火焰探测器的报警功能。模拟火灾的方法在探测器监视区域内最不利处检查图像探测器的报警功能。</w:t>
      </w:r>
    </w:p>
    <w:p w14:paraId="4B630BE8">
      <w:pPr>
        <w:pStyle w:val="32"/>
        <w:keepNext w:val="0"/>
        <w:keepLines w:val="0"/>
        <w:pageBreakBefore w:val="0"/>
        <w:kinsoku/>
        <w:wordWrap/>
        <w:overflowPunct/>
        <w:topLinePunct w:val="0"/>
        <w:bidi w:val="0"/>
        <w:ind w:left="0" w:leftChars="0" w:right="0" w:firstLine="560" w:firstLineChars="200"/>
        <w:textAlignment w:val="auto"/>
      </w:pPr>
      <w:r>
        <w:t>检测器具：火焰探测器功能试验器。</w:t>
      </w:r>
    </w:p>
    <w:p w14:paraId="12AAB3F2">
      <w:pPr>
        <w:pStyle w:val="32"/>
        <w:keepNext w:val="0"/>
        <w:keepLines w:val="0"/>
        <w:pageBreakBefore w:val="0"/>
        <w:kinsoku/>
        <w:wordWrap/>
        <w:overflowPunct/>
        <w:topLinePunct w:val="0"/>
        <w:bidi w:val="0"/>
        <w:ind w:left="0" w:leftChars="0" w:right="0" w:firstLine="560" w:firstLineChars="200"/>
        <w:textAlignment w:val="auto"/>
      </w:pPr>
      <w:r>
        <w:rPr>
          <w:rFonts w:hint="eastAsia"/>
        </w:rPr>
        <w:t>4.6.5手动火灾报警按钮</w:t>
      </w:r>
    </w:p>
    <w:p w14:paraId="7EAE502B">
      <w:pPr>
        <w:pStyle w:val="32"/>
        <w:keepNext w:val="0"/>
        <w:keepLines w:val="0"/>
        <w:pageBreakBefore w:val="0"/>
        <w:kinsoku/>
        <w:wordWrap/>
        <w:overflowPunct/>
        <w:topLinePunct w:val="0"/>
        <w:bidi w:val="0"/>
        <w:ind w:left="0" w:leftChars="0" w:right="0" w:firstLine="560" w:firstLineChars="200"/>
        <w:textAlignment w:val="auto"/>
      </w:pPr>
      <w:r>
        <w:rPr>
          <w:rFonts w:hint="eastAsia"/>
        </w:rPr>
        <w:t>基本要求</w:t>
      </w:r>
    </w:p>
    <w:p w14:paraId="00004657">
      <w:pPr>
        <w:pStyle w:val="32"/>
        <w:keepNext w:val="0"/>
        <w:keepLines w:val="0"/>
        <w:pageBreakBefore w:val="0"/>
        <w:kinsoku/>
        <w:wordWrap/>
        <w:overflowPunct/>
        <w:topLinePunct w:val="0"/>
        <w:bidi w:val="0"/>
        <w:ind w:left="0" w:leftChars="0" w:right="0" w:firstLine="560" w:firstLineChars="200"/>
        <w:textAlignment w:val="auto"/>
      </w:pPr>
      <w:r>
        <w:t>检测要求：</w:t>
      </w:r>
    </w:p>
    <w:p w14:paraId="4153CB0C">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组件应完整，有明显标志。表面无腐蚀、涂覆层脱落和起泡现象，无明显划伤、裂痕、毛刺等机械损伤。紧固部件无松动。启动零件不应破碎、变形或移位；（C</w:t>
      </w:r>
      <w:r>
        <w:rPr>
          <w:spacing w:val="-27"/>
        </w:rPr>
        <w:t>类</w:t>
      </w:r>
      <w:r>
        <w:t>）</w:t>
      </w:r>
    </w:p>
    <w:p w14:paraId="0B79EC69">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手动火灾报警按钮应安装在明显和便于操作的部位。当安装在墙上时，其底边距地（楼）</w:t>
      </w:r>
      <w:r>
        <w:rPr>
          <w:spacing w:val="-12"/>
        </w:rPr>
        <w:t>面高度宜为</w:t>
      </w:r>
      <w:r>
        <w:t>1.3m～1.5m；（C</w:t>
      </w:r>
      <w:r>
        <w:rPr>
          <w:spacing w:val="-28"/>
        </w:rPr>
        <w:t>类</w:t>
      </w:r>
      <w:r>
        <w:t>）</w:t>
      </w:r>
    </w:p>
    <w:p w14:paraId="2D7E019C">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手动火灾报警按钮应安装牢固，不应倾斜；（B</w:t>
      </w:r>
      <w:r>
        <w:rPr>
          <w:spacing w:val="-28"/>
        </w:rPr>
        <w:t>类</w:t>
      </w:r>
      <w:r>
        <w:t>）</w:t>
      </w:r>
    </w:p>
    <w:p w14:paraId="40480489">
      <w:pPr>
        <w:pStyle w:val="32"/>
        <w:keepNext w:val="0"/>
        <w:keepLines w:val="0"/>
        <w:pageBreakBefore w:val="0"/>
        <w:kinsoku/>
        <w:wordWrap/>
        <w:overflowPunct/>
        <w:topLinePunct w:val="0"/>
        <w:bidi w:val="0"/>
        <w:ind w:left="0" w:leftChars="0" w:right="0" w:firstLine="560" w:firstLineChars="200"/>
        <w:textAlignment w:val="auto"/>
      </w:pPr>
      <w:r>
        <w:rPr>
          <w:rFonts w:hint="eastAsia"/>
        </w:rPr>
        <w:t>d)</w:t>
      </w:r>
      <w:r>
        <w:t>连接导线应留有不小于150mm</w:t>
      </w:r>
      <w:r>
        <w:rPr>
          <w:spacing w:val="-9"/>
        </w:rPr>
        <w:t>的余量，且在其端部应设置明显的永久性标识。</w:t>
      </w:r>
      <w:r>
        <w:t>（B</w:t>
      </w:r>
      <w:r>
        <w:rPr>
          <w:spacing w:val="-25"/>
        </w:rPr>
        <w:t>类</w:t>
      </w:r>
      <w:r>
        <w:t>）</w:t>
      </w:r>
    </w:p>
    <w:p w14:paraId="0DD974A1">
      <w:pPr>
        <w:pStyle w:val="32"/>
        <w:keepNext w:val="0"/>
        <w:keepLines w:val="0"/>
        <w:pageBreakBefore w:val="0"/>
        <w:kinsoku/>
        <w:wordWrap/>
        <w:overflowPunct/>
        <w:topLinePunct w:val="0"/>
        <w:bidi w:val="0"/>
        <w:ind w:left="0" w:leftChars="0" w:right="0" w:firstLine="560" w:firstLineChars="200"/>
        <w:textAlignment w:val="auto"/>
      </w:pPr>
      <w:r>
        <w:t>检测数量：按实际安装数量的1</w:t>
      </w:r>
      <w:r>
        <w:rPr>
          <w:rFonts w:hint="eastAsia"/>
        </w:rPr>
        <w:t>00%检测</w:t>
      </w:r>
      <w:r>
        <w:rPr>
          <w:rFonts w:hint="eastAsia"/>
          <w:spacing w:val="-9"/>
        </w:rPr>
        <w:t>。</w:t>
      </w:r>
    </w:p>
    <w:p w14:paraId="3E12AA9E">
      <w:pPr>
        <w:pStyle w:val="32"/>
        <w:keepNext w:val="0"/>
        <w:keepLines w:val="0"/>
        <w:pageBreakBefore w:val="0"/>
        <w:kinsoku/>
        <w:wordWrap/>
        <w:overflowPunct/>
        <w:topLinePunct w:val="0"/>
        <w:bidi w:val="0"/>
        <w:ind w:left="0" w:leftChars="0" w:right="0" w:firstLine="556" w:firstLineChars="200"/>
        <w:textAlignment w:val="auto"/>
        <w:rPr>
          <w:spacing w:val="-1"/>
        </w:rPr>
      </w:pPr>
      <w:r>
        <w:rPr>
          <w:spacing w:val="-1"/>
        </w:rPr>
        <w:t>检测方法：</w:t>
      </w:r>
    </w:p>
    <w:p w14:paraId="21F5FEAA">
      <w:pPr>
        <w:pStyle w:val="32"/>
        <w:keepNext w:val="0"/>
        <w:keepLines w:val="0"/>
        <w:pageBreakBefore w:val="0"/>
        <w:kinsoku/>
        <w:wordWrap/>
        <w:overflowPunct/>
        <w:topLinePunct w:val="0"/>
        <w:bidi w:val="0"/>
        <w:ind w:left="0" w:leftChars="0" w:right="0" w:firstLine="560" w:firstLineChars="200"/>
        <w:textAlignment w:val="auto"/>
      </w:pPr>
      <w:r>
        <w:t>a）c）直观检查；</w:t>
      </w:r>
    </w:p>
    <w:p w14:paraId="60187B73">
      <w:pPr>
        <w:pStyle w:val="32"/>
        <w:keepNext w:val="0"/>
        <w:keepLines w:val="0"/>
        <w:pageBreakBefore w:val="0"/>
        <w:kinsoku/>
        <w:wordWrap/>
        <w:overflowPunct/>
        <w:topLinePunct w:val="0"/>
        <w:bidi w:val="0"/>
        <w:ind w:left="0" w:leftChars="0" w:right="0" w:firstLine="560" w:firstLineChars="200"/>
        <w:textAlignment w:val="auto"/>
        <w:rPr>
          <w:spacing w:val="-2"/>
        </w:rPr>
      </w:pPr>
      <w:r>
        <w:t>b）d）</w:t>
      </w:r>
      <w:r>
        <w:rPr>
          <w:spacing w:val="-2"/>
        </w:rPr>
        <w:t>尺量。</w:t>
      </w:r>
    </w:p>
    <w:p w14:paraId="23560537">
      <w:pPr>
        <w:pStyle w:val="32"/>
        <w:keepNext w:val="0"/>
        <w:keepLines w:val="0"/>
        <w:pageBreakBefore w:val="0"/>
        <w:kinsoku/>
        <w:wordWrap/>
        <w:overflowPunct/>
        <w:topLinePunct w:val="0"/>
        <w:bidi w:val="0"/>
        <w:ind w:left="0" w:leftChars="0" w:right="0" w:firstLine="560" w:firstLineChars="200"/>
        <w:textAlignment w:val="auto"/>
      </w:pPr>
      <w:r>
        <w:t>检测器具：钢卷尺。</w:t>
      </w:r>
    </w:p>
    <w:p w14:paraId="62A2C479">
      <w:pPr>
        <w:pStyle w:val="32"/>
        <w:keepNext w:val="0"/>
        <w:keepLines w:val="0"/>
        <w:pageBreakBefore w:val="0"/>
        <w:kinsoku/>
        <w:wordWrap/>
        <w:overflowPunct/>
        <w:topLinePunct w:val="0"/>
        <w:bidi w:val="0"/>
        <w:ind w:left="0" w:leftChars="0" w:right="0" w:firstLine="560" w:firstLineChars="200"/>
        <w:textAlignment w:val="auto"/>
      </w:pPr>
      <w:r>
        <w:rPr>
          <w:rFonts w:hint="eastAsia"/>
        </w:rPr>
        <w:t>报警功能</w:t>
      </w:r>
    </w:p>
    <w:p w14:paraId="5587D9F6">
      <w:pPr>
        <w:pStyle w:val="32"/>
        <w:keepNext w:val="0"/>
        <w:keepLines w:val="0"/>
        <w:pageBreakBefore w:val="0"/>
        <w:kinsoku/>
        <w:wordWrap/>
        <w:overflowPunct/>
        <w:topLinePunct w:val="0"/>
        <w:bidi w:val="0"/>
        <w:ind w:left="0" w:leftChars="0" w:right="0" w:firstLine="560" w:firstLineChars="200"/>
        <w:textAlignment w:val="auto"/>
      </w:pPr>
      <w:r>
        <w:t>检测要求：按下手动火灾报警按钮的启动零件，按钮应输出火灾报警信号。（A类）</w:t>
      </w:r>
    </w:p>
    <w:p w14:paraId="552F0FEA">
      <w:pPr>
        <w:pStyle w:val="32"/>
        <w:keepNext w:val="0"/>
        <w:keepLines w:val="0"/>
        <w:pageBreakBefore w:val="0"/>
        <w:kinsoku/>
        <w:wordWrap/>
        <w:overflowPunct/>
        <w:topLinePunct w:val="0"/>
        <w:bidi w:val="0"/>
        <w:ind w:left="0" w:leftChars="0" w:right="0" w:firstLine="560" w:firstLineChars="200"/>
        <w:textAlignment w:val="auto"/>
      </w:pPr>
      <w:r>
        <w:t>检测数量：按实际安装数量的10</w:t>
      </w:r>
      <w:r>
        <w:rPr>
          <w:rFonts w:hint="eastAsia"/>
          <w:spacing w:val="-9"/>
        </w:rPr>
        <w:t>0%</w:t>
      </w:r>
      <w:r>
        <w:rPr>
          <w:rFonts w:hint="eastAsia"/>
        </w:rPr>
        <w:t>检测</w:t>
      </w:r>
      <w:r>
        <w:rPr>
          <w:rFonts w:hint="eastAsia"/>
          <w:spacing w:val="-9"/>
        </w:rPr>
        <w:t>。</w:t>
      </w:r>
    </w:p>
    <w:p w14:paraId="645611AD">
      <w:pPr>
        <w:pStyle w:val="32"/>
        <w:keepNext w:val="0"/>
        <w:keepLines w:val="0"/>
        <w:pageBreakBefore w:val="0"/>
        <w:kinsoku/>
        <w:wordWrap/>
        <w:overflowPunct/>
        <w:topLinePunct w:val="0"/>
        <w:bidi w:val="0"/>
        <w:ind w:left="0" w:leftChars="0" w:right="0" w:firstLine="560" w:firstLineChars="200"/>
        <w:textAlignment w:val="auto"/>
      </w:pPr>
      <w:r>
        <w:t>检测方法：触发手动火灾报警按钮，查看火灾报警控制器报警信息。</w:t>
      </w:r>
    </w:p>
    <w:p w14:paraId="2C2D408E">
      <w:pPr>
        <w:pStyle w:val="32"/>
        <w:keepNext w:val="0"/>
        <w:keepLines w:val="0"/>
        <w:pageBreakBefore w:val="0"/>
        <w:kinsoku/>
        <w:wordWrap/>
        <w:overflowPunct/>
        <w:topLinePunct w:val="0"/>
        <w:bidi w:val="0"/>
        <w:ind w:left="0" w:leftChars="0" w:right="0" w:firstLine="560" w:firstLineChars="200"/>
        <w:textAlignment w:val="auto"/>
      </w:pPr>
      <w:r>
        <w:rPr>
          <w:rFonts w:hint="eastAsia"/>
        </w:rPr>
        <w:t>4.6.6</w:t>
      </w:r>
      <w:r>
        <w:rPr>
          <w:rFonts w:hint="eastAsia"/>
          <w:spacing w:val="-1"/>
        </w:rPr>
        <w:t>火灾警报器</w:t>
      </w:r>
    </w:p>
    <w:p w14:paraId="4603414D">
      <w:pPr>
        <w:pStyle w:val="32"/>
        <w:keepNext w:val="0"/>
        <w:keepLines w:val="0"/>
        <w:pageBreakBefore w:val="0"/>
        <w:kinsoku/>
        <w:wordWrap/>
        <w:overflowPunct/>
        <w:topLinePunct w:val="0"/>
        <w:bidi w:val="0"/>
        <w:ind w:left="0" w:leftChars="0" w:right="0" w:firstLine="560" w:firstLineChars="200"/>
        <w:textAlignment w:val="auto"/>
      </w:pPr>
      <w:r>
        <w:rPr>
          <w:rFonts w:hint="eastAsia"/>
        </w:rPr>
        <w:t>安装要求</w:t>
      </w:r>
    </w:p>
    <w:p w14:paraId="1C2BF5A6">
      <w:pPr>
        <w:pStyle w:val="32"/>
        <w:keepNext w:val="0"/>
        <w:keepLines w:val="0"/>
        <w:pageBreakBefore w:val="0"/>
        <w:kinsoku/>
        <w:wordWrap/>
        <w:overflowPunct/>
        <w:topLinePunct w:val="0"/>
        <w:bidi w:val="0"/>
        <w:ind w:left="0" w:leftChars="0" w:right="0" w:firstLine="560" w:firstLineChars="200"/>
        <w:textAlignment w:val="auto"/>
      </w:pPr>
      <w:r>
        <w:t>检测要求：</w:t>
      </w:r>
    </w:p>
    <w:p w14:paraId="3496C4A6">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火灾警报器安装应牢固可靠，表面不应有破损；（C</w:t>
      </w:r>
      <w:r>
        <w:rPr>
          <w:spacing w:val="-27"/>
        </w:rPr>
        <w:t>类</w:t>
      </w:r>
      <w:r>
        <w:t>）</w:t>
      </w:r>
    </w:p>
    <w:p w14:paraId="5F59C7E1">
      <w:pPr>
        <w:pStyle w:val="32"/>
        <w:keepNext w:val="0"/>
        <w:keepLines w:val="0"/>
        <w:pageBreakBefore w:val="0"/>
        <w:kinsoku/>
        <w:wordWrap/>
        <w:overflowPunct/>
        <w:topLinePunct w:val="0"/>
        <w:bidi w:val="0"/>
        <w:ind w:left="0" w:leftChars="0" w:right="0" w:firstLine="560" w:firstLineChars="200"/>
        <w:textAlignment w:val="auto"/>
      </w:pPr>
      <w:r>
        <w:t>当警报器采用壁挂式方式安装时，其底边距地面高度应大于2.2m；（C</w:t>
      </w:r>
      <w:r>
        <w:rPr>
          <w:spacing w:val="-28"/>
        </w:rPr>
        <w:t>类</w:t>
      </w:r>
      <w:r>
        <w:t>）</w:t>
      </w:r>
    </w:p>
    <w:p w14:paraId="443C2CB8">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火灾声警报装置宜在报警区域内均匀安装；（C</w:t>
      </w:r>
      <w:r>
        <w:rPr>
          <w:spacing w:val="-28"/>
        </w:rPr>
        <w:t>类</w:t>
      </w:r>
      <w:r>
        <w:t>）</w:t>
      </w:r>
    </w:p>
    <w:p w14:paraId="017EBC2D">
      <w:pPr>
        <w:pStyle w:val="32"/>
        <w:keepNext w:val="0"/>
        <w:keepLines w:val="0"/>
        <w:pageBreakBefore w:val="0"/>
        <w:kinsoku/>
        <w:wordWrap/>
        <w:overflowPunct/>
        <w:topLinePunct w:val="0"/>
        <w:bidi w:val="0"/>
        <w:ind w:left="0" w:leftChars="0" w:right="0" w:firstLine="560" w:firstLineChars="200"/>
        <w:textAlignment w:val="auto"/>
      </w:pPr>
      <w:r>
        <w:t>火灾光警报装置应安装在楼梯口、消防电梯前室、建筑内部拐角等处的明显部位，且不宜与</w:t>
      </w:r>
      <w:r>
        <w:rPr>
          <w:spacing w:val="-12"/>
        </w:rPr>
        <w:t>消防应急疏散指示标志灯具安装在同一面墙上，确需安装在同一面墙上时，距离不应小于</w:t>
      </w:r>
      <w:r>
        <w:t>1m。（C类）</w:t>
      </w:r>
    </w:p>
    <w:p w14:paraId="7ACE9B57">
      <w:pPr>
        <w:pStyle w:val="32"/>
        <w:keepNext w:val="0"/>
        <w:keepLines w:val="0"/>
        <w:pageBreakBefore w:val="0"/>
        <w:kinsoku/>
        <w:wordWrap/>
        <w:overflowPunct/>
        <w:topLinePunct w:val="0"/>
        <w:bidi w:val="0"/>
        <w:ind w:left="0" w:leftChars="0" w:right="0" w:firstLine="560" w:firstLineChars="200"/>
        <w:textAlignment w:val="auto"/>
      </w:pPr>
      <w:r>
        <w:t>检测数量：按实际安装数量的10</w:t>
      </w:r>
      <w:r>
        <w:rPr>
          <w:rFonts w:hint="eastAsia"/>
        </w:rPr>
        <w:t>0%检测。</w:t>
      </w:r>
    </w:p>
    <w:p w14:paraId="55A4885B">
      <w:pPr>
        <w:pStyle w:val="32"/>
        <w:keepNext w:val="0"/>
        <w:keepLines w:val="0"/>
        <w:pageBreakBefore w:val="0"/>
        <w:kinsoku/>
        <w:wordWrap/>
        <w:overflowPunct/>
        <w:topLinePunct w:val="0"/>
        <w:bidi w:val="0"/>
        <w:ind w:left="0" w:leftChars="0" w:right="0" w:firstLine="560" w:firstLineChars="200"/>
        <w:textAlignment w:val="auto"/>
      </w:pPr>
      <w:r>
        <w:t>检测方法：a）直观检查；b）尺量。</w:t>
      </w:r>
    </w:p>
    <w:p w14:paraId="1975C7A1">
      <w:pPr>
        <w:pStyle w:val="32"/>
        <w:keepNext w:val="0"/>
        <w:keepLines w:val="0"/>
        <w:pageBreakBefore w:val="0"/>
        <w:kinsoku/>
        <w:wordWrap/>
        <w:overflowPunct/>
        <w:topLinePunct w:val="0"/>
        <w:bidi w:val="0"/>
        <w:ind w:left="0" w:leftChars="0" w:right="0" w:firstLine="560" w:firstLineChars="200"/>
        <w:textAlignment w:val="auto"/>
      </w:pPr>
      <w:r>
        <w:t>检测器具：钢卷尺。</w:t>
      </w:r>
    </w:p>
    <w:p w14:paraId="3A119F62">
      <w:pPr>
        <w:pStyle w:val="32"/>
        <w:keepNext w:val="0"/>
        <w:keepLines w:val="0"/>
        <w:pageBreakBefore w:val="0"/>
        <w:kinsoku/>
        <w:wordWrap/>
        <w:overflowPunct/>
        <w:topLinePunct w:val="0"/>
        <w:bidi w:val="0"/>
        <w:ind w:left="0" w:leftChars="0" w:right="0" w:firstLine="560" w:firstLineChars="200"/>
        <w:textAlignment w:val="auto"/>
      </w:pPr>
      <w:r>
        <w:rPr>
          <w:rFonts w:hint="eastAsia"/>
        </w:rPr>
        <w:t>功能要求</w:t>
      </w:r>
    </w:p>
    <w:p w14:paraId="3EAD7B30">
      <w:pPr>
        <w:pStyle w:val="32"/>
        <w:keepNext w:val="0"/>
        <w:keepLines w:val="0"/>
        <w:pageBreakBefore w:val="0"/>
        <w:kinsoku/>
        <w:wordWrap/>
        <w:overflowPunct/>
        <w:topLinePunct w:val="0"/>
        <w:bidi w:val="0"/>
        <w:ind w:left="0" w:leftChars="0" w:right="0" w:firstLine="560" w:firstLineChars="200"/>
        <w:textAlignment w:val="auto"/>
      </w:pPr>
      <w:r>
        <w:t>检测要求：</w:t>
      </w:r>
    </w:p>
    <w:p w14:paraId="5CBC00AC">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警报器应在接收火灾报警控制器输出的控制信号后，发出声、光警报；（A类）</w:t>
      </w:r>
    </w:p>
    <w:p w14:paraId="4B6991DB">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警报器的报警声压级不应小于60dB（A）。环境噪声大于60dB（A）的场所，声警报的声压级应高于背景噪声15dB（A）。（B类）</w:t>
      </w:r>
    </w:p>
    <w:p w14:paraId="2D0942DB">
      <w:pPr>
        <w:pStyle w:val="32"/>
        <w:keepNext w:val="0"/>
        <w:keepLines w:val="0"/>
        <w:pageBreakBefore w:val="0"/>
        <w:kinsoku/>
        <w:wordWrap/>
        <w:overflowPunct/>
        <w:topLinePunct w:val="0"/>
        <w:bidi w:val="0"/>
        <w:ind w:left="0" w:leftChars="0" w:right="0" w:firstLine="560" w:firstLineChars="200"/>
        <w:textAlignment w:val="auto"/>
      </w:pPr>
      <w:r>
        <w:t>检测数量：按实际安装数量的10</w:t>
      </w:r>
      <w:r>
        <w:rPr>
          <w:rFonts w:hint="eastAsia"/>
        </w:rPr>
        <w:t>0</w:t>
      </w:r>
      <w:r>
        <w:t>%</w:t>
      </w:r>
      <w:r>
        <w:rPr>
          <w:rFonts w:hint="eastAsia"/>
        </w:rPr>
        <w:t>检测。</w:t>
      </w:r>
    </w:p>
    <w:p w14:paraId="1EFD4C41">
      <w:pPr>
        <w:pStyle w:val="32"/>
        <w:keepNext w:val="0"/>
        <w:keepLines w:val="0"/>
        <w:pageBreakBefore w:val="0"/>
        <w:kinsoku/>
        <w:wordWrap/>
        <w:overflowPunct/>
        <w:topLinePunct w:val="0"/>
        <w:bidi w:val="0"/>
        <w:ind w:left="0" w:leftChars="0" w:right="0" w:firstLine="560" w:firstLineChars="200"/>
        <w:textAlignment w:val="auto"/>
      </w:pPr>
      <w:r>
        <w:t>检测方法：</w:t>
      </w:r>
    </w:p>
    <w:p w14:paraId="0357B405">
      <w:pPr>
        <w:pStyle w:val="32"/>
        <w:keepNext w:val="0"/>
        <w:keepLines w:val="0"/>
        <w:pageBreakBefore w:val="0"/>
        <w:kinsoku/>
        <w:wordWrap/>
        <w:overflowPunct/>
        <w:topLinePunct w:val="0"/>
        <w:bidi w:val="0"/>
        <w:ind w:left="0" w:leftChars="0" w:right="0" w:firstLine="560" w:firstLineChars="200"/>
        <w:textAlignment w:val="auto"/>
      </w:pPr>
      <w:r>
        <w:t>a)火灾报警控制器设定为自动状态，模拟火灾信号，观察火灾警报器是否发出声、光警报；</w:t>
      </w:r>
    </w:p>
    <w:p w14:paraId="5AD64232">
      <w:pPr>
        <w:pStyle w:val="32"/>
        <w:keepNext w:val="0"/>
        <w:keepLines w:val="0"/>
        <w:pageBreakBefore w:val="0"/>
        <w:kinsoku/>
        <w:wordWrap/>
        <w:overflowPunct/>
        <w:topLinePunct w:val="0"/>
        <w:bidi w:val="0"/>
        <w:ind w:left="0" w:leftChars="0" w:right="0" w:firstLine="560" w:firstLineChars="200"/>
        <w:textAlignment w:val="auto"/>
      </w:pPr>
      <w:r>
        <w:t>b)采用数字声级计测量声压级。</w:t>
      </w:r>
    </w:p>
    <w:p w14:paraId="42ABF7D2">
      <w:pPr>
        <w:pStyle w:val="32"/>
        <w:keepNext w:val="0"/>
        <w:keepLines w:val="0"/>
        <w:pageBreakBefore w:val="0"/>
        <w:kinsoku/>
        <w:wordWrap/>
        <w:overflowPunct/>
        <w:topLinePunct w:val="0"/>
        <w:bidi w:val="0"/>
        <w:ind w:left="0" w:leftChars="0" w:right="0" w:firstLine="560" w:firstLineChars="200"/>
        <w:textAlignment w:val="auto"/>
      </w:pPr>
      <w:r>
        <w:t>检测器具：数字声级计。</w:t>
      </w:r>
    </w:p>
    <w:p w14:paraId="2673E6BC">
      <w:pPr>
        <w:pStyle w:val="32"/>
        <w:keepNext w:val="0"/>
        <w:keepLines w:val="0"/>
        <w:pageBreakBefore w:val="0"/>
        <w:kinsoku/>
        <w:wordWrap/>
        <w:overflowPunct/>
        <w:topLinePunct w:val="0"/>
        <w:bidi w:val="0"/>
        <w:ind w:left="0" w:leftChars="0" w:right="0" w:firstLine="560" w:firstLineChars="200"/>
        <w:textAlignment w:val="auto"/>
      </w:pPr>
      <w:r>
        <w:rPr>
          <w:rFonts w:hint="eastAsia"/>
        </w:rPr>
        <w:t>4.6.7模块</w:t>
      </w:r>
    </w:p>
    <w:p w14:paraId="6FF3D023">
      <w:pPr>
        <w:pStyle w:val="32"/>
        <w:keepNext w:val="0"/>
        <w:keepLines w:val="0"/>
        <w:pageBreakBefore w:val="0"/>
        <w:kinsoku/>
        <w:wordWrap/>
        <w:overflowPunct/>
        <w:topLinePunct w:val="0"/>
        <w:bidi w:val="0"/>
        <w:ind w:left="0" w:leftChars="0" w:right="0" w:firstLine="560" w:firstLineChars="200"/>
        <w:textAlignment w:val="auto"/>
      </w:pPr>
      <w:r>
        <w:t>检测要求：</w:t>
      </w:r>
    </w:p>
    <w:p w14:paraId="58ED0C91">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t>每个报警区域内的模块宜相对集中设置在本报警区域内的金属模块箱中；（C类）</w:t>
      </w:r>
    </w:p>
    <w:p w14:paraId="169E0472">
      <w:pPr>
        <w:pStyle w:val="32"/>
        <w:keepNext w:val="0"/>
        <w:keepLines w:val="0"/>
        <w:pageBreakBefore w:val="0"/>
        <w:kinsoku/>
        <w:wordWrap/>
        <w:overflowPunct/>
        <w:topLinePunct w:val="0"/>
        <w:bidi w:val="0"/>
        <w:ind w:left="0" w:leftChars="0" w:right="0" w:firstLine="560" w:firstLineChars="200"/>
        <w:textAlignment w:val="auto"/>
      </w:pPr>
      <w:r>
        <w:rPr>
          <w:rFonts w:hint="eastAsia"/>
        </w:rPr>
        <w:t>b)</w:t>
      </w:r>
      <w:r>
        <w:t>模块严禁设置在配电（控制）柜（箱）内；（A类）</w:t>
      </w:r>
    </w:p>
    <w:p w14:paraId="79092157">
      <w:pPr>
        <w:pStyle w:val="32"/>
        <w:keepNext w:val="0"/>
        <w:keepLines w:val="0"/>
        <w:pageBreakBefore w:val="0"/>
        <w:kinsoku/>
        <w:wordWrap/>
        <w:overflowPunct/>
        <w:topLinePunct w:val="0"/>
        <w:bidi w:val="0"/>
        <w:ind w:left="0" w:leftChars="0" w:right="0" w:firstLine="560" w:firstLineChars="200"/>
        <w:textAlignment w:val="auto"/>
      </w:pPr>
      <w:r>
        <w:t>隐蔽安装时在安装处附近应设置检修孔和尺寸不小于100mm×100mm的永久性标识；（B类）</w:t>
      </w:r>
    </w:p>
    <w:p w14:paraId="68169635">
      <w:pPr>
        <w:pStyle w:val="32"/>
        <w:keepNext w:val="0"/>
        <w:keepLines w:val="0"/>
        <w:pageBreakBefore w:val="0"/>
        <w:kinsoku/>
        <w:wordWrap/>
        <w:overflowPunct/>
        <w:topLinePunct w:val="0"/>
        <w:bidi w:val="0"/>
        <w:ind w:left="0" w:leftChars="0" w:right="0" w:firstLine="560" w:firstLineChars="200"/>
        <w:textAlignment w:val="auto"/>
      </w:pPr>
      <w:r>
        <w:rPr>
          <w:rFonts w:hint="eastAsia"/>
        </w:rPr>
        <w:t>c)</w:t>
      </w:r>
      <w:r>
        <w:t>模块的终端部件应靠近连接部件安装；（C类）</w:t>
      </w:r>
    </w:p>
    <w:p w14:paraId="6AA2336E">
      <w:pPr>
        <w:pStyle w:val="32"/>
        <w:keepNext w:val="0"/>
        <w:keepLines w:val="0"/>
        <w:pageBreakBefore w:val="0"/>
        <w:kinsoku/>
        <w:wordWrap/>
        <w:overflowPunct/>
        <w:topLinePunct w:val="0"/>
        <w:bidi w:val="0"/>
        <w:ind w:left="0" w:leftChars="0" w:right="0" w:firstLine="560" w:firstLineChars="200"/>
        <w:textAlignment w:val="auto"/>
      </w:pPr>
      <w:r>
        <w:t>检测数量：按实际安装数量的10</w:t>
      </w:r>
      <w:r>
        <w:rPr>
          <w:rFonts w:hint="eastAsia"/>
        </w:rPr>
        <w:t>0</w:t>
      </w:r>
      <w:r>
        <w:t>%</w:t>
      </w:r>
      <w:r>
        <w:rPr>
          <w:rFonts w:hint="eastAsia"/>
        </w:rPr>
        <w:t>检测。</w:t>
      </w:r>
    </w:p>
    <w:p w14:paraId="45C47D34">
      <w:pPr>
        <w:pStyle w:val="32"/>
        <w:keepNext w:val="0"/>
        <w:keepLines w:val="0"/>
        <w:pageBreakBefore w:val="0"/>
        <w:kinsoku/>
        <w:wordWrap/>
        <w:overflowPunct/>
        <w:topLinePunct w:val="0"/>
        <w:bidi w:val="0"/>
        <w:ind w:left="0" w:leftChars="0" w:right="0" w:firstLine="560" w:firstLineChars="200"/>
        <w:textAlignment w:val="auto"/>
      </w:pPr>
      <w:r>
        <w:t>检测方法：a)b)直观检查；c)尺量。检测器具：钢卷尺。</w:t>
      </w:r>
    </w:p>
    <w:p w14:paraId="3EA3C0A3">
      <w:pPr>
        <w:pStyle w:val="32"/>
        <w:keepNext w:val="0"/>
        <w:keepLines w:val="0"/>
        <w:pageBreakBefore w:val="0"/>
        <w:kinsoku/>
        <w:wordWrap/>
        <w:overflowPunct/>
        <w:topLinePunct w:val="0"/>
        <w:bidi w:val="0"/>
        <w:ind w:left="0" w:leftChars="0" w:right="0" w:firstLine="560" w:firstLineChars="200"/>
        <w:textAlignment w:val="auto"/>
      </w:pPr>
      <w:r>
        <w:rPr>
          <w:rFonts w:hint="eastAsia"/>
        </w:rPr>
        <w:t>4.7消防应急广播</w:t>
      </w:r>
    </w:p>
    <w:p w14:paraId="221BAD9E">
      <w:pPr>
        <w:pStyle w:val="32"/>
        <w:keepNext w:val="0"/>
        <w:keepLines w:val="0"/>
        <w:pageBreakBefore w:val="0"/>
        <w:kinsoku/>
        <w:wordWrap/>
        <w:overflowPunct/>
        <w:topLinePunct w:val="0"/>
        <w:bidi w:val="0"/>
        <w:ind w:left="0" w:leftChars="0" w:right="0" w:firstLine="560" w:firstLineChars="200"/>
        <w:textAlignment w:val="auto"/>
      </w:pPr>
      <w:r>
        <w:rPr>
          <w:rFonts w:hint="eastAsia"/>
        </w:rPr>
        <w:t>基本要求</w:t>
      </w:r>
    </w:p>
    <w:p w14:paraId="29B4C3E8">
      <w:pPr>
        <w:pStyle w:val="32"/>
        <w:keepNext w:val="0"/>
        <w:keepLines w:val="0"/>
        <w:pageBreakBefore w:val="0"/>
        <w:kinsoku/>
        <w:wordWrap/>
        <w:overflowPunct/>
        <w:topLinePunct w:val="0"/>
        <w:bidi w:val="0"/>
        <w:ind w:left="0" w:leftChars="0" w:right="0" w:firstLine="560" w:firstLineChars="200"/>
        <w:textAlignment w:val="auto"/>
      </w:pPr>
      <w:r>
        <w:t>检测要求：消防应急广播系统的设置部位和设置方式应与设计文件相符。（A类）</w:t>
      </w:r>
    </w:p>
    <w:p w14:paraId="58A9F6A7">
      <w:pPr>
        <w:pStyle w:val="32"/>
        <w:keepNext w:val="0"/>
        <w:keepLines w:val="0"/>
        <w:pageBreakBefore w:val="0"/>
        <w:kinsoku/>
        <w:wordWrap/>
        <w:overflowPunct/>
        <w:topLinePunct w:val="0"/>
        <w:bidi w:val="0"/>
        <w:ind w:left="0" w:leftChars="0" w:right="0" w:firstLine="560" w:firstLineChars="200"/>
        <w:textAlignment w:val="auto"/>
      </w:pPr>
      <w:r>
        <w:t>检测数量：按实际安装数量的10</w:t>
      </w:r>
      <w:r>
        <w:rPr>
          <w:rFonts w:hint="eastAsia"/>
        </w:rPr>
        <w:t>0</w:t>
      </w:r>
      <w:r>
        <w:t>%</w:t>
      </w:r>
      <w:r>
        <w:rPr>
          <w:rFonts w:hint="eastAsia"/>
        </w:rPr>
        <w:t>检测</w:t>
      </w:r>
      <w:r>
        <w:t>。</w:t>
      </w:r>
    </w:p>
    <w:p w14:paraId="12696262">
      <w:pPr>
        <w:pStyle w:val="32"/>
        <w:keepNext w:val="0"/>
        <w:keepLines w:val="0"/>
        <w:pageBreakBefore w:val="0"/>
        <w:kinsoku/>
        <w:wordWrap/>
        <w:overflowPunct/>
        <w:topLinePunct w:val="0"/>
        <w:bidi w:val="0"/>
        <w:ind w:left="0" w:leftChars="0" w:right="0" w:firstLine="560" w:firstLineChars="200"/>
        <w:textAlignment w:val="auto"/>
      </w:pPr>
      <w:r>
        <w:t>检测方法：对照设计文件，直观检查。</w:t>
      </w:r>
    </w:p>
    <w:p w14:paraId="3C5BB2F7">
      <w:pPr>
        <w:pStyle w:val="32"/>
        <w:keepNext w:val="0"/>
        <w:keepLines w:val="0"/>
        <w:pageBreakBefore w:val="0"/>
        <w:kinsoku/>
        <w:wordWrap/>
        <w:overflowPunct/>
        <w:topLinePunct w:val="0"/>
        <w:bidi w:val="0"/>
        <w:ind w:left="0" w:leftChars="0" w:right="0" w:firstLine="560" w:firstLineChars="200"/>
        <w:textAlignment w:val="auto"/>
      </w:pPr>
      <w:r>
        <w:rPr>
          <w:rFonts w:hint="eastAsia"/>
        </w:rPr>
        <w:t>4.7.1广播扬声器的设置</w:t>
      </w:r>
    </w:p>
    <w:p w14:paraId="2A2C5901">
      <w:pPr>
        <w:pStyle w:val="32"/>
        <w:keepNext w:val="0"/>
        <w:keepLines w:val="0"/>
        <w:pageBreakBefore w:val="0"/>
        <w:kinsoku/>
        <w:wordWrap/>
        <w:overflowPunct/>
        <w:topLinePunct w:val="0"/>
        <w:bidi w:val="0"/>
        <w:ind w:left="0" w:leftChars="0" w:right="0" w:firstLine="560" w:firstLineChars="200"/>
        <w:textAlignment w:val="auto"/>
      </w:pPr>
      <w:r>
        <w:rPr>
          <w:rFonts w:hint="eastAsia"/>
        </w:rPr>
        <w:t>基本要求</w:t>
      </w:r>
    </w:p>
    <w:p w14:paraId="56A3FA7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2B421F0">
      <w:pPr>
        <w:pStyle w:val="32"/>
        <w:keepNext w:val="0"/>
        <w:keepLines w:val="0"/>
        <w:pageBreakBefore w:val="0"/>
        <w:kinsoku/>
        <w:wordWrap/>
        <w:overflowPunct/>
        <w:topLinePunct w:val="0"/>
        <w:bidi w:val="0"/>
        <w:ind w:left="0" w:leftChars="0" w:right="0" w:firstLine="560" w:firstLineChars="200"/>
        <w:textAlignment w:val="auto"/>
      </w:pPr>
      <w:r>
        <w:rPr>
          <w:rFonts w:hint="eastAsia"/>
        </w:rPr>
        <w:t>广播扬声器表面无破损，安装应牢固可靠；（C</w:t>
      </w:r>
      <w:r>
        <w:rPr>
          <w:rFonts w:hint="eastAsia"/>
          <w:spacing w:val="-28"/>
        </w:rPr>
        <w:t>类</w:t>
      </w:r>
      <w:r>
        <w:rPr>
          <w:rFonts w:hint="eastAsia"/>
        </w:rPr>
        <w:t>）</w:t>
      </w:r>
    </w:p>
    <w:p w14:paraId="7AD283F8">
      <w:pPr>
        <w:pStyle w:val="32"/>
        <w:keepNext w:val="0"/>
        <w:keepLines w:val="0"/>
        <w:pageBreakBefore w:val="0"/>
        <w:kinsoku/>
        <w:wordWrap/>
        <w:overflowPunct/>
        <w:topLinePunct w:val="0"/>
        <w:bidi w:val="0"/>
        <w:ind w:left="0" w:leftChars="0" w:right="0" w:firstLine="560" w:firstLineChars="200"/>
        <w:textAlignment w:val="auto"/>
      </w:pPr>
      <w:r>
        <w:rPr>
          <w:rFonts w:hint="eastAsia"/>
        </w:rPr>
        <w:t>额定功率应与设计文件相符。（B</w:t>
      </w:r>
      <w:r>
        <w:rPr>
          <w:rFonts w:hint="eastAsia"/>
          <w:spacing w:val="-28"/>
        </w:rPr>
        <w:t>类</w:t>
      </w:r>
      <w:r>
        <w:rPr>
          <w:rFonts w:hint="eastAsia"/>
        </w:rPr>
        <w:t>）</w:t>
      </w:r>
    </w:p>
    <w:p w14:paraId="2536752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检测数量：每个防火分区、每个楼层抽检1处。</w:t>
      </w:r>
    </w:p>
    <w:p w14:paraId="25F588D4">
      <w:pPr>
        <w:pStyle w:val="32"/>
        <w:keepNext w:val="0"/>
        <w:keepLines w:val="0"/>
        <w:pageBreakBefore w:val="0"/>
        <w:kinsoku/>
        <w:wordWrap/>
        <w:overflowPunct/>
        <w:topLinePunct w:val="0"/>
        <w:bidi w:val="0"/>
        <w:ind w:left="0" w:leftChars="0" w:right="0" w:firstLine="560" w:firstLineChars="200"/>
        <w:textAlignment w:val="auto"/>
        <w:rPr>
          <w:spacing w:val="-3"/>
        </w:rPr>
      </w:pPr>
      <w:r>
        <w:rPr>
          <w:rFonts w:hint="eastAsia"/>
        </w:rPr>
        <w:t>检测方法：对照设计文直观检查。</w:t>
      </w:r>
    </w:p>
    <w:p w14:paraId="1F83E45D">
      <w:pPr>
        <w:pStyle w:val="32"/>
        <w:keepNext w:val="0"/>
        <w:keepLines w:val="0"/>
        <w:pageBreakBefore w:val="0"/>
        <w:kinsoku/>
        <w:wordWrap/>
        <w:overflowPunct/>
        <w:topLinePunct w:val="0"/>
        <w:bidi w:val="0"/>
        <w:ind w:left="0" w:leftChars="0" w:right="0" w:firstLine="560" w:firstLineChars="200"/>
        <w:textAlignment w:val="auto"/>
      </w:pPr>
      <w:r>
        <w:rPr>
          <w:rFonts w:hint="eastAsia"/>
        </w:rPr>
        <w:t>4.7.2民用建筑广播扬声器的设置</w:t>
      </w:r>
    </w:p>
    <w:p w14:paraId="2202541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C466C68">
      <w:pPr>
        <w:pStyle w:val="32"/>
        <w:keepNext w:val="0"/>
        <w:keepLines w:val="0"/>
        <w:pageBreakBefore w:val="0"/>
        <w:kinsoku/>
        <w:wordWrap/>
        <w:overflowPunct/>
        <w:topLinePunct w:val="0"/>
        <w:bidi w:val="0"/>
        <w:ind w:left="0" w:leftChars="0" w:right="0" w:firstLine="560" w:firstLineChars="200"/>
        <w:textAlignment w:val="auto"/>
      </w:pPr>
      <w:r>
        <w:rPr>
          <w:rFonts w:hint="eastAsia"/>
        </w:rPr>
        <w:t>a)扬声器的设置位置应与设计文件相符；（B</w:t>
      </w:r>
      <w:r>
        <w:rPr>
          <w:rFonts w:hint="eastAsia"/>
          <w:spacing w:val="-28"/>
        </w:rPr>
        <w:t>类</w:t>
      </w:r>
      <w:r>
        <w:rPr>
          <w:rFonts w:hint="eastAsia"/>
        </w:rPr>
        <w:t>）</w:t>
      </w:r>
    </w:p>
    <w:p w14:paraId="193B6E1F">
      <w:pPr>
        <w:pStyle w:val="32"/>
        <w:keepNext w:val="0"/>
        <w:keepLines w:val="0"/>
        <w:pageBreakBefore w:val="0"/>
        <w:kinsoku/>
        <w:wordWrap/>
        <w:overflowPunct/>
        <w:topLinePunct w:val="0"/>
        <w:bidi w:val="0"/>
        <w:ind w:left="0" w:leftChars="0" w:right="0" w:firstLine="560" w:firstLineChars="200"/>
        <w:textAlignment w:val="auto"/>
      </w:pPr>
      <w:r>
        <w:rPr>
          <w:rFonts w:hint="eastAsia"/>
        </w:rPr>
        <w:t>b)扬声器宜在报警区域内均匀安装；C</w:t>
      </w:r>
      <w:r>
        <w:rPr>
          <w:rFonts w:hint="eastAsia"/>
          <w:spacing w:val="-28"/>
        </w:rPr>
        <w:t>类</w:t>
      </w:r>
      <w:r>
        <w:rPr>
          <w:rFonts w:hint="eastAsia"/>
        </w:rPr>
        <w:t>）</w:t>
      </w:r>
    </w:p>
    <w:p w14:paraId="0D2E50B8">
      <w:pPr>
        <w:pStyle w:val="32"/>
        <w:keepNext w:val="0"/>
        <w:keepLines w:val="0"/>
        <w:pageBreakBefore w:val="0"/>
        <w:kinsoku/>
        <w:wordWrap/>
        <w:overflowPunct/>
        <w:topLinePunct w:val="0"/>
        <w:bidi w:val="0"/>
        <w:ind w:left="0" w:leftChars="0" w:right="0" w:firstLine="560" w:firstLineChars="200"/>
        <w:textAlignment w:val="auto"/>
        <w:rPr>
          <w:spacing w:val="-3"/>
        </w:rPr>
      </w:pPr>
      <w:r>
        <w:rPr>
          <w:rFonts w:hint="eastAsia"/>
        </w:rPr>
        <w:t>c)采用壁挂方式安装时，底边距地面高度应大于2.2</w:t>
      </w:r>
      <w:r>
        <w:rPr>
          <w:rFonts w:hint="eastAsia"/>
          <w:spacing w:val="-3"/>
        </w:rPr>
        <w:t>m</w:t>
      </w:r>
      <w:r>
        <w:rPr>
          <w:rFonts w:hint="eastAsia"/>
        </w:rPr>
        <w:t>。（C</w:t>
      </w:r>
      <w:r>
        <w:rPr>
          <w:rFonts w:hint="eastAsia"/>
          <w:spacing w:val="-26"/>
        </w:rPr>
        <w:t>类</w:t>
      </w:r>
      <w:r>
        <w:rPr>
          <w:rFonts w:hint="eastAsia"/>
          <w:spacing w:val="-3"/>
        </w:rPr>
        <w:t>）</w:t>
      </w:r>
    </w:p>
    <w:p w14:paraId="0B35567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检测数量：每个防火分区、每个楼层抽检1处。</w:t>
      </w:r>
    </w:p>
    <w:p w14:paraId="6725E07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检测方法：a)b)对照设计文件，直观检查；c)尺量。</w:t>
      </w:r>
    </w:p>
    <w:p w14:paraId="4A8AC1C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79C4606C">
      <w:pPr>
        <w:pStyle w:val="32"/>
        <w:keepNext w:val="0"/>
        <w:keepLines w:val="0"/>
        <w:pageBreakBefore w:val="0"/>
        <w:kinsoku/>
        <w:wordWrap/>
        <w:overflowPunct/>
        <w:topLinePunct w:val="0"/>
        <w:bidi w:val="0"/>
        <w:ind w:left="0" w:leftChars="0" w:right="0" w:firstLine="560" w:firstLineChars="200"/>
        <w:textAlignment w:val="auto"/>
      </w:pPr>
      <w:r>
        <w:rPr>
          <w:rFonts w:hint="eastAsia"/>
        </w:rPr>
        <w:t>4.7.3</w:t>
      </w:r>
      <w:r>
        <w:rPr>
          <w:rFonts w:hint="eastAsia"/>
          <w:spacing w:val="-10"/>
        </w:rPr>
        <w:t>环境噪声大于</w:t>
      </w:r>
      <w:r>
        <w:rPr>
          <w:rFonts w:hint="eastAsia"/>
        </w:rPr>
        <w:t>60dB（A）</w:t>
      </w:r>
      <w:r>
        <w:rPr>
          <w:rFonts w:hint="eastAsia"/>
          <w:spacing w:val="-2"/>
        </w:rPr>
        <w:t>场所扬声器设置</w:t>
      </w:r>
    </w:p>
    <w:p w14:paraId="21A8A23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检测要求：扬声器在其播放范围内最远点的播放声压级应高于背景噪声15dB（A）。（B类）</w:t>
      </w:r>
    </w:p>
    <w:p w14:paraId="588CA38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检测数量：每个防火分区、每个楼层抽检1处。</w:t>
      </w:r>
    </w:p>
    <w:p w14:paraId="0F22EC7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检测方法：采用数字声级计测量声压级。检测器具：数字声级计。</w:t>
      </w:r>
    </w:p>
    <w:p w14:paraId="5F905EC5">
      <w:pPr>
        <w:pStyle w:val="32"/>
        <w:keepNext w:val="0"/>
        <w:keepLines w:val="0"/>
        <w:pageBreakBefore w:val="0"/>
        <w:kinsoku/>
        <w:wordWrap/>
        <w:overflowPunct/>
        <w:topLinePunct w:val="0"/>
        <w:bidi w:val="0"/>
        <w:ind w:left="0" w:leftChars="0" w:right="0" w:firstLine="560" w:firstLineChars="200"/>
        <w:textAlignment w:val="auto"/>
      </w:pPr>
      <w:r>
        <w:rPr>
          <w:rFonts w:hint="eastAsia"/>
        </w:rPr>
        <w:t>4.7.4</w:t>
      </w:r>
      <w:r>
        <w:rPr>
          <w:rFonts w:hint="eastAsia"/>
          <w:spacing w:val="-1"/>
        </w:rPr>
        <w:t>广播扩音机</w:t>
      </w:r>
    </w:p>
    <w:p w14:paraId="203E305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9AD6111">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a)</w:t>
      </w:r>
      <w:r>
        <w:rPr>
          <w:rFonts w:hint="eastAsia"/>
        </w:rPr>
        <w:t>消防应急广播设备应具有备用电源或备用电源接口；（A</w:t>
      </w:r>
      <w:r>
        <w:rPr>
          <w:rFonts w:hint="eastAsia"/>
          <w:spacing w:val="-12"/>
        </w:rPr>
        <w:t>类</w:t>
      </w:r>
      <w:r>
        <w:rPr>
          <w:rFonts w:hint="eastAsia"/>
        </w:rPr>
        <w:t>）</w:t>
      </w:r>
    </w:p>
    <w:p w14:paraId="0E6F054C">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b)</w:t>
      </w:r>
      <w:r>
        <w:rPr>
          <w:rFonts w:hint="eastAsia"/>
        </w:rPr>
        <w:t>仪表、指示灯显示正常，开关和控制按钮动作灵活；（B</w:t>
      </w:r>
      <w:r>
        <w:rPr>
          <w:rFonts w:hint="eastAsia"/>
          <w:spacing w:val="-12"/>
        </w:rPr>
        <w:t>类</w:t>
      </w:r>
      <w:r>
        <w:rPr>
          <w:rFonts w:hint="eastAsia"/>
        </w:rPr>
        <w:t>）</w:t>
      </w:r>
    </w:p>
    <w:p w14:paraId="7B4127C6">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c)</w:t>
      </w:r>
      <w:r>
        <w:rPr>
          <w:rFonts w:hint="eastAsia"/>
        </w:rPr>
        <w:t>消防应急广播设备应具有监听功能且正常。（B</w:t>
      </w:r>
      <w:r>
        <w:rPr>
          <w:rFonts w:hint="eastAsia"/>
          <w:spacing w:val="-25"/>
        </w:rPr>
        <w:t>类</w:t>
      </w:r>
      <w:r>
        <w:rPr>
          <w:rFonts w:hint="eastAsia"/>
        </w:rPr>
        <w:t>）</w:t>
      </w:r>
    </w:p>
    <w:p w14:paraId="579C69BE">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w:t>
      </w:r>
      <w:r>
        <w:t>按实际安装数量的10</w:t>
      </w:r>
      <w:r>
        <w:rPr>
          <w:rFonts w:hint="eastAsia"/>
        </w:rPr>
        <w:t>0</w:t>
      </w:r>
      <w:r>
        <w:t>%</w:t>
      </w:r>
      <w:r>
        <w:rPr>
          <w:rFonts w:hint="eastAsia"/>
        </w:rPr>
        <w:t>检测</w:t>
      </w:r>
      <w:r>
        <w:rPr>
          <w:rFonts w:hint="eastAsia"/>
          <w:spacing w:val="-3"/>
        </w:rPr>
        <w:t>。</w:t>
      </w:r>
    </w:p>
    <w:p w14:paraId="35FF820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3F1C20FD">
      <w:pPr>
        <w:pStyle w:val="32"/>
        <w:keepNext w:val="0"/>
        <w:keepLines w:val="0"/>
        <w:pageBreakBefore w:val="0"/>
        <w:kinsoku/>
        <w:wordWrap/>
        <w:overflowPunct/>
        <w:topLinePunct w:val="0"/>
        <w:bidi w:val="0"/>
        <w:ind w:left="0" w:leftChars="0" w:right="0" w:firstLine="560" w:firstLineChars="200"/>
        <w:textAlignment w:val="auto"/>
      </w:pPr>
      <w:r>
        <w:rPr>
          <w:rFonts w:hint="eastAsia"/>
        </w:rPr>
        <w:t>控制功能</w:t>
      </w:r>
    </w:p>
    <w:p w14:paraId="2E0DFDF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B9AEC1A">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a)</w:t>
      </w:r>
      <w:r>
        <w:rPr>
          <w:rFonts w:hint="eastAsia"/>
        </w:rPr>
        <w:t>应能用话筒播音；（B</w:t>
      </w:r>
      <w:r>
        <w:rPr>
          <w:rFonts w:hint="eastAsia"/>
          <w:spacing w:val="-28"/>
        </w:rPr>
        <w:t>类</w:t>
      </w:r>
      <w:r>
        <w:rPr>
          <w:rFonts w:hint="eastAsia"/>
        </w:rPr>
        <w:t>）</w:t>
      </w:r>
    </w:p>
    <w:p w14:paraId="0122B262">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b)</w:t>
      </w:r>
      <w:r>
        <w:rPr>
          <w:rFonts w:hint="eastAsia"/>
        </w:rPr>
        <w:t>扬声器语音广播音质应清晰；（B</w:t>
      </w:r>
      <w:r>
        <w:rPr>
          <w:rFonts w:hint="eastAsia"/>
          <w:spacing w:val="-28"/>
        </w:rPr>
        <w:t>类</w:t>
      </w:r>
      <w:r>
        <w:rPr>
          <w:rFonts w:hint="eastAsia"/>
        </w:rPr>
        <w:t>）</w:t>
      </w:r>
    </w:p>
    <w:p w14:paraId="41BF58AE">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c)</w:t>
      </w:r>
      <w:r>
        <w:rPr>
          <w:rFonts w:hint="eastAsia"/>
        </w:rPr>
        <w:t>火灾确认后，系统应能启动整个建筑内的消防广播扬声器；（A</w:t>
      </w:r>
      <w:r>
        <w:rPr>
          <w:rFonts w:hint="eastAsia"/>
          <w:spacing w:val="-28"/>
        </w:rPr>
        <w:t>类</w:t>
      </w:r>
      <w:r>
        <w:rPr>
          <w:rFonts w:hint="eastAsia"/>
        </w:rPr>
        <w:t>）</w:t>
      </w:r>
    </w:p>
    <w:p w14:paraId="4AC0EFF8">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d)</w:t>
      </w:r>
      <w:r>
        <w:rPr>
          <w:rFonts w:hint="eastAsia"/>
        </w:rPr>
        <w:t>火灾应急广播与公共广播合用时，应保证能在消防控制室将相关部位的扬声器和音响广播扩</w:t>
      </w:r>
      <w:r>
        <w:rPr>
          <w:rFonts w:hint="eastAsia"/>
          <w:spacing w:val="-3"/>
        </w:rPr>
        <w:t>音机强制转入火灾应急广播状态。</w:t>
      </w:r>
      <w:r>
        <w:rPr>
          <w:rFonts w:hint="eastAsia"/>
        </w:rPr>
        <w:t>（A</w:t>
      </w:r>
      <w:r>
        <w:rPr>
          <w:rFonts w:hint="eastAsia"/>
          <w:spacing w:val="-28"/>
        </w:rPr>
        <w:t>类</w:t>
      </w:r>
      <w:r>
        <w:rPr>
          <w:rFonts w:hint="eastAsia"/>
          <w:spacing w:val="-3"/>
        </w:rPr>
        <w:t>）</w:t>
      </w:r>
    </w:p>
    <w:p w14:paraId="20134D8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检测数量：每个防火分区、每个楼层抽检1处。</w:t>
      </w:r>
    </w:p>
    <w:p w14:paraId="1AE13AA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检测方法：直观检查，结合消防联动功能测试，检查广播的控制功能。</w:t>
      </w:r>
    </w:p>
    <w:p w14:paraId="58A280A4">
      <w:pPr>
        <w:pStyle w:val="32"/>
        <w:keepNext w:val="0"/>
        <w:keepLines w:val="0"/>
        <w:pageBreakBefore w:val="0"/>
        <w:kinsoku/>
        <w:wordWrap/>
        <w:overflowPunct/>
        <w:topLinePunct w:val="0"/>
        <w:bidi w:val="0"/>
        <w:ind w:left="0" w:leftChars="0" w:right="0" w:firstLine="560" w:firstLineChars="200"/>
        <w:textAlignment w:val="auto"/>
      </w:pPr>
      <w:r>
        <w:rPr>
          <w:rFonts w:hint="eastAsia"/>
        </w:rPr>
        <w:t>4.8消防电话系统</w:t>
      </w:r>
    </w:p>
    <w:p w14:paraId="23798E26">
      <w:pPr>
        <w:pStyle w:val="32"/>
        <w:keepNext w:val="0"/>
        <w:keepLines w:val="0"/>
        <w:pageBreakBefore w:val="0"/>
        <w:kinsoku/>
        <w:wordWrap/>
        <w:overflowPunct/>
        <w:topLinePunct w:val="0"/>
        <w:bidi w:val="0"/>
        <w:ind w:left="0" w:leftChars="0" w:right="0" w:firstLine="560" w:firstLineChars="200"/>
        <w:textAlignment w:val="auto"/>
      </w:pPr>
      <w:r>
        <w:rPr>
          <w:rFonts w:hint="eastAsia"/>
        </w:rPr>
        <w:t>消防电话总机性能</w:t>
      </w:r>
    </w:p>
    <w:p w14:paraId="58B5A62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66A9438">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a)</w:t>
      </w:r>
      <w:r>
        <w:rPr>
          <w:rFonts w:hint="eastAsia"/>
        </w:rPr>
        <w:t>消防电话总机应能为消防电话分机和消防电话插孔供电；（B</w:t>
      </w:r>
      <w:r>
        <w:rPr>
          <w:rFonts w:hint="eastAsia"/>
          <w:spacing w:val="-28"/>
        </w:rPr>
        <w:t>类</w:t>
      </w:r>
      <w:r>
        <w:rPr>
          <w:rFonts w:hint="eastAsia"/>
        </w:rPr>
        <w:t>）</w:t>
      </w:r>
    </w:p>
    <w:p w14:paraId="443A1624">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b)</w:t>
      </w:r>
      <w:r>
        <w:rPr>
          <w:rFonts w:hint="eastAsia"/>
        </w:rPr>
        <w:t>消防电话总机应能呼叫任意一部消防电话分机。（B</w:t>
      </w:r>
      <w:r>
        <w:rPr>
          <w:rFonts w:hint="eastAsia"/>
          <w:spacing w:val="-27"/>
        </w:rPr>
        <w:t>类</w:t>
      </w:r>
      <w:r>
        <w:rPr>
          <w:rFonts w:hint="eastAsia"/>
        </w:rPr>
        <w:t>）</w:t>
      </w:r>
    </w:p>
    <w:p w14:paraId="5B94301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检测数量：电话分机全数检测。电话插孔按按实际安装数量的60</w:t>
      </w:r>
      <w:r>
        <w:rPr>
          <w:rFonts w:hint="eastAsia"/>
          <w:spacing w:val="-7"/>
        </w:rPr>
        <w:t>%抽检，且不少于</w:t>
      </w:r>
      <w:r>
        <w:rPr>
          <w:rFonts w:hint="eastAsia"/>
        </w:rPr>
        <w:t>10</w:t>
      </w:r>
      <w:r>
        <w:rPr>
          <w:rFonts w:hint="eastAsia"/>
          <w:spacing w:val="-6"/>
        </w:rPr>
        <w:t>个，少于</w:t>
      </w:r>
      <w:r>
        <w:rPr>
          <w:rFonts w:hint="eastAsia"/>
        </w:rPr>
        <w:t>10只</w:t>
      </w:r>
      <w:r>
        <w:rPr>
          <w:rFonts w:hint="eastAsia"/>
          <w:spacing w:val="-3"/>
        </w:rPr>
        <w:t>的全数检测。</w:t>
      </w:r>
    </w:p>
    <w:p w14:paraId="0C78D8F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检测方法：测试呼叫功能。</w:t>
      </w:r>
    </w:p>
    <w:p w14:paraId="3DBE969F">
      <w:pPr>
        <w:pStyle w:val="32"/>
        <w:keepNext w:val="0"/>
        <w:keepLines w:val="0"/>
        <w:pageBreakBefore w:val="0"/>
        <w:kinsoku/>
        <w:wordWrap/>
        <w:overflowPunct/>
        <w:topLinePunct w:val="0"/>
        <w:bidi w:val="0"/>
        <w:ind w:left="0" w:leftChars="0" w:right="0" w:firstLine="560" w:firstLineChars="200"/>
        <w:textAlignment w:val="auto"/>
      </w:pPr>
      <w:r>
        <w:rPr>
          <w:rFonts w:hint="eastAsia"/>
        </w:rPr>
        <w:t>4.8.1消防电话分机设置与性能</w:t>
      </w:r>
    </w:p>
    <w:p w14:paraId="0787F41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782202B">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a)</w:t>
      </w:r>
      <w:r>
        <w:rPr>
          <w:rFonts w:hint="eastAsia"/>
        </w:rPr>
        <w:t>消防水泵房、防烟排烟风机房等设置消防电话分机的部位应与设计文件相符；（A</w:t>
      </w:r>
      <w:r>
        <w:rPr>
          <w:rFonts w:hint="eastAsia"/>
          <w:spacing w:val="-27"/>
        </w:rPr>
        <w:t>类</w:t>
      </w:r>
      <w:r>
        <w:rPr>
          <w:rFonts w:hint="eastAsia"/>
        </w:rPr>
        <w:t>）</w:t>
      </w:r>
    </w:p>
    <w:p w14:paraId="3AD30769">
      <w:pPr>
        <w:pStyle w:val="35"/>
        <w:keepNext w:val="0"/>
        <w:keepLines w:val="0"/>
        <w:pageBreakBefore w:val="0"/>
        <w:kinsoku/>
        <w:wordWrap/>
        <w:overflowPunct/>
        <w:topLinePunct w:val="0"/>
        <w:bidi w:val="0"/>
        <w:ind w:left="0" w:leftChars="0" w:right="0" w:firstLine="548" w:firstLineChars="200"/>
        <w:textAlignment w:val="auto"/>
      </w:pPr>
      <w:r>
        <w:rPr>
          <w:rFonts w:hint="eastAsia"/>
          <w:kern w:val="2"/>
        </w:rPr>
        <w:t>b)</w:t>
      </w:r>
      <w:r>
        <w:rPr>
          <w:rFonts w:hint="eastAsia"/>
        </w:rPr>
        <w:t>消防电话分机的正常监视状态应有光指示；（B</w:t>
      </w:r>
      <w:r>
        <w:rPr>
          <w:rFonts w:hint="eastAsia"/>
          <w:spacing w:val="-28"/>
        </w:rPr>
        <w:t>类</w:t>
      </w:r>
      <w:r>
        <w:rPr>
          <w:rFonts w:hint="eastAsia"/>
        </w:rPr>
        <w:t>）</w:t>
      </w:r>
    </w:p>
    <w:p w14:paraId="2B17F723">
      <w:pPr>
        <w:pStyle w:val="35"/>
        <w:keepNext w:val="0"/>
        <w:keepLines w:val="0"/>
        <w:pageBreakBefore w:val="0"/>
        <w:kinsoku/>
        <w:wordWrap/>
        <w:overflowPunct/>
        <w:topLinePunct w:val="0"/>
        <w:bidi w:val="0"/>
        <w:ind w:left="0" w:leftChars="0" w:right="0" w:firstLine="548" w:firstLineChars="200"/>
        <w:textAlignment w:val="auto"/>
      </w:pPr>
      <w:r>
        <w:rPr>
          <w:rFonts w:hint="eastAsia"/>
          <w:kern w:val="2"/>
        </w:rPr>
        <w:t>c)</w:t>
      </w:r>
      <w:r>
        <w:rPr>
          <w:rFonts w:hint="eastAsia"/>
        </w:rPr>
        <w:t>消防电话分机与消防电话总机的通话应清晰；（B</w:t>
      </w:r>
      <w:r>
        <w:rPr>
          <w:rFonts w:hint="eastAsia"/>
          <w:spacing w:val="-28"/>
        </w:rPr>
        <w:t>类</w:t>
      </w:r>
      <w:r>
        <w:rPr>
          <w:rFonts w:hint="eastAsia"/>
        </w:rPr>
        <w:t>）</w:t>
      </w:r>
    </w:p>
    <w:p w14:paraId="296917CB">
      <w:pPr>
        <w:pStyle w:val="35"/>
        <w:keepNext w:val="0"/>
        <w:keepLines w:val="0"/>
        <w:pageBreakBefore w:val="0"/>
        <w:kinsoku/>
        <w:wordWrap/>
        <w:overflowPunct/>
        <w:topLinePunct w:val="0"/>
        <w:bidi w:val="0"/>
        <w:ind w:left="0" w:leftChars="0" w:right="0" w:firstLine="548" w:firstLineChars="200"/>
        <w:textAlignment w:val="auto"/>
      </w:pPr>
      <w:r>
        <w:rPr>
          <w:rFonts w:hint="eastAsia"/>
          <w:kern w:val="2"/>
        </w:rPr>
        <w:t>d)</w:t>
      </w:r>
      <w:r>
        <w:rPr>
          <w:rFonts w:hint="eastAsia"/>
        </w:rPr>
        <w:t>消防电话分机宜安装在明显、便于操作的位置，且应有明显的永久性标志；（C类）</w:t>
      </w:r>
    </w:p>
    <w:p w14:paraId="486DE87F">
      <w:pPr>
        <w:pStyle w:val="35"/>
        <w:keepNext w:val="0"/>
        <w:keepLines w:val="0"/>
        <w:pageBreakBefore w:val="0"/>
        <w:kinsoku/>
        <w:wordWrap/>
        <w:overflowPunct/>
        <w:topLinePunct w:val="0"/>
        <w:bidi w:val="0"/>
        <w:ind w:left="0" w:leftChars="0" w:right="0" w:firstLine="548" w:firstLineChars="200"/>
        <w:textAlignment w:val="auto"/>
      </w:pPr>
      <w:r>
        <w:rPr>
          <w:rFonts w:hint="eastAsia"/>
        </w:rPr>
        <w:t>e)当消防电话分机在墙面上安装时，其底边距</w:t>
      </w:r>
      <w:r>
        <w:rPr>
          <w:rFonts w:hint="eastAsia"/>
          <w:spacing w:val="-5"/>
        </w:rPr>
        <w:t>地(楼)面高度宜为</w:t>
      </w:r>
      <w:r>
        <w:rPr>
          <w:rFonts w:hint="eastAsia"/>
        </w:rPr>
        <w:t>1.3m～1.5m；（C</w:t>
      </w:r>
      <w:r>
        <w:rPr>
          <w:rFonts w:hint="eastAsia"/>
          <w:spacing w:val="-27"/>
        </w:rPr>
        <w:t>类</w:t>
      </w:r>
      <w:r>
        <w:rPr>
          <w:rFonts w:hint="eastAsia"/>
        </w:rPr>
        <w:t>）</w:t>
      </w:r>
    </w:p>
    <w:p w14:paraId="69FC848C">
      <w:pPr>
        <w:pStyle w:val="32"/>
        <w:keepNext w:val="0"/>
        <w:keepLines w:val="0"/>
        <w:pageBreakBefore w:val="0"/>
        <w:kinsoku/>
        <w:wordWrap/>
        <w:overflowPunct/>
        <w:topLinePunct w:val="0"/>
        <w:bidi w:val="0"/>
        <w:ind w:left="0" w:leftChars="0" w:right="0" w:firstLine="560" w:firstLineChars="200"/>
        <w:textAlignment w:val="auto"/>
        <w:rPr>
          <w:spacing w:val="-3"/>
        </w:rPr>
      </w:pPr>
      <w:r>
        <w:rPr>
          <w:rFonts w:hint="eastAsia"/>
          <w:kern w:val="2"/>
        </w:rPr>
        <w:t>f)</w:t>
      </w:r>
      <w:r>
        <w:rPr>
          <w:rFonts w:hint="eastAsia"/>
        </w:rPr>
        <w:t>避难层中，消防专用电话分机的安装间距不应大于20m</w:t>
      </w:r>
      <w:r>
        <w:rPr>
          <w:rFonts w:hint="eastAsia"/>
          <w:spacing w:val="-3"/>
        </w:rPr>
        <w:t>。</w:t>
      </w:r>
      <w:r>
        <w:rPr>
          <w:rFonts w:hint="eastAsia"/>
        </w:rPr>
        <w:t>（B</w:t>
      </w:r>
      <w:r>
        <w:rPr>
          <w:rFonts w:hint="eastAsia"/>
          <w:spacing w:val="-25"/>
        </w:rPr>
        <w:t>类</w:t>
      </w:r>
      <w:r>
        <w:rPr>
          <w:rFonts w:hint="eastAsia"/>
          <w:spacing w:val="-3"/>
        </w:rPr>
        <w:t>）</w:t>
      </w:r>
    </w:p>
    <w:p w14:paraId="6B65BDB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检测数量：全数检测。</w:t>
      </w:r>
    </w:p>
    <w:p w14:paraId="26325AA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6EE2750D">
      <w:pPr>
        <w:pStyle w:val="32"/>
        <w:keepNext w:val="0"/>
        <w:keepLines w:val="0"/>
        <w:pageBreakBefore w:val="0"/>
        <w:kinsoku/>
        <w:wordWrap/>
        <w:overflowPunct/>
        <w:topLinePunct w:val="0"/>
        <w:bidi w:val="0"/>
        <w:ind w:left="0" w:leftChars="0" w:right="0" w:firstLine="560" w:firstLineChars="200"/>
        <w:textAlignment w:val="auto"/>
        <w:rPr>
          <w:rFonts w:hint="eastAsia"/>
          <w:lang w:eastAsia="zh-CN"/>
        </w:rPr>
      </w:pPr>
      <w:r>
        <w:rPr>
          <w:rFonts w:hint="eastAsia"/>
        </w:rPr>
        <w:t>a）对照设计文件</w:t>
      </w:r>
      <w:r>
        <w:rPr>
          <w:rFonts w:hint="eastAsia"/>
          <w:lang w:eastAsia="zh-CN"/>
        </w:rPr>
        <w:t>；</w:t>
      </w:r>
    </w:p>
    <w:p w14:paraId="2597A20D">
      <w:pPr>
        <w:pStyle w:val="32"/>
        <w:keepNext w:val="0"/>
        <w:keepLines w:val="0"/>
        <w:pageBreakBefore w:val="0"/>
        <w:kinsoku/>
        <w:wordWrap/>
        <w:overflowPunct/>
        <w:topLinePunct w:val="0"/>
        <w:bidi w:val="0"/>
        <w:ind w:left="0" w:leftChars="0" w:right="0" w:firstLine="560" w:firstLineChars="200"/>
        <w:textAlignment w:val="auto"/>
        <w:rPr>
          <w:rFonts w:hint="eastAsia"/>
          <w:lang w:eastAsia="zh-CN"/>
        </w:rPr>
      </w:pPr>
      <w:r>
        <w:rPr>
          <w:rFonts w:hint="eastAsia"/>
        </w:rPr>
        <w:t>b）、d）直观检查</w:t>
      </w:r>
      <w:r>
        <w:rPr>
          <w:rFonts w:hint="eastAsia"/>
          <w:lang w:eastAsia="zh-CN"/>
        </w:rPr>
        <w:t>；</w:t>
      </w:r>
    </w:p>
    <w:p w14:paraId="2DE4DF8F">
      <w:pPr>
        <w:pStyle w:val="32"/>
        <w:keepNext w:val="0"/>
        <w:keepLines w:val="0"/>
        <w:pageBreakBefore w:val="0"/>
        <w:kinsoku/>
        <w:wordWrap/>
        <w:overflowPunct/>
        <w:topLinePunct w:val="0"/>
        <w:bidi w:val="0"/>
        <w:ind w:left="0" w:leftChars="0" w:right="0" w:firstLine="560" w:firstLineChars="200"/>
        <w:textAlignment w:val="auto"/>
        <w:rPr>
          <w:rFonts w:hint="eastAsia"/>
          <w:lang w:eastAsia="zh-CN"/>
        </w:rPr>
      </w:pPr>
      <w:r>
        <w:rPr>
          <w:rFonts w:hint="eastAsia"/>
        </w:rPr>
        <w:t>c）测试双工通话功能</w:t>
      </w:r>
      <w:r>
        <w:rPr>
          <w:rFonts w:hint="eastAsia"/>
          <w:lang w:eastAsia="zh-CN"/>
        </w:rPr>
        <w:t>；</w:t>
      </w:r>
    </w:p>
    <w:p w14:paraId="6BEB4289">
      <w:pPr>
        <w:pStyle w:val="32"/>
        <w:keepNext w:val="0"/>
        <w:keepLines w:val="0"/>
        <w:pageBreakBefore w:val="0"/>
        <w:kinsoku/>
        <w:wordWrap/>
        <w:overflowPunct/>
        <w:topLinePunct w:val="0"/>
        <w:bidi w:val="0"/>
        <w:ind w:left="0" w:leftChars="0" w:right="0" w:firstLine="560" w:firstLineChars="200"/>
        <w:textAlignment w:val="auto"/>
      </w:pPr>
      <w:r>
        <w:rPr>
          <w:rFonts w:hint="eastAsia"/>
        </w:rPr>
        <w:t>e）f)尺量。</w:t>
      </w:r>
    </w:p>
    <w:p w14:paraId="742B99B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检测器具：钢卷尺、激光测距仪。</w:t>
      </w:r>
    </w:p>
    <w:p w14:paraId="100980D6">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4.8.2</w:t>
      </w:r>
      <w:r>
        <w:rPr>
          <w:rFonts w:hint="eastAsia"/>
        </w:rPr>
        <w:t>消防电话插孔设置与性能</w:t>
      </w:r>
    </w:p>
    <w:p w14:paraId="23209EC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02B7074">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a)</w:t>
      </w:r>
      <w:r>
        <w:rPr>
          <w:rFonts w:hint="eastAsia"/>
        </w:rPr>
        <w:t>消防电话插孔宜安装在明显、便于操作的位置，且应有明显的永久性标志；（C</w:t>
      </w:r>
      <w:r>
        <w:rPr>
          <w:rFonts w:hint="eastAsia"/>
          <w:spacing w:val="-28"/>
        </w:rPr>
        <w:t>类</w:t>
      </w:r>
      <w:r>
        <w:rPr>
          <w:rFonts w:hint="eastAsia"/>
        </w:rPr>
        <w:t>）</w:t>
      </w:r>
    </w:p>
    <w:p w14:paraId="3DA45028">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b)</w:t>
      </w:r>
      <w:r>
        <w:rPr>
          <w:rFonts w:hint="eastAsia"/>
        </w:rPr>
        <w:t>当消防电话插孔在墙面上安装时，其底边距地(楼)面高度宜为1.3m～1.5m；（C</w:t>
      </w:r>
      <w:r>
        <w:rPr>
          <w:rFonts w:hint="eastAsia"/>
          <w:spacing w:val="-27"/>
        </w:rPr>
        <w:t>类</w:t>
      </w:r>
      <w:r>
        <w:rPr>
          <w:rFonts w:hint="eastAsia"/>
          <w:spacing w:val="-3"/>
        </w:rPr>
        <w:t>）</w:t>
      </w:r>
    </w:p>
    <w:p w14:paraId="228DB33F">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c)</w:t>
      </w:r>
      <w:r>
        <w:rPr>
          <w:rFonts w:hint="eastAsia"/>
        </w:rPr>
        <w:t>避难层中，消防电话插孔的安装间距不应大于20m；（A</w:t>
      </w:r>
      <w:r>
        <w:rPr>
          <w:rFonts w:hint="eastAsia"/>
          <w:spacing w:val="-27"/>
        </w:rPr>
        <w:t>类</w:t>
      </w:r>
      <w:r>
        <w:rPr>
          <w:rFonts w:hint="eastAsia"/>
          <w:spacing w:val="-3"/>
        </w:rPr>
        <w:t>）</w:t>
      </w:r>
    </w:p>
    <w:p w14:paraId="079E7B25">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d)</w:t>
      </w:r>
      <w:r>
        <w:rPr>
          <w:rFonts w:hint="eastAsia"/>
        </w:rPr>
        <w:t>电话插孔不应设置在消火栓箱内。（A</w:t>
      </w:r>
      <w:r>
        <w:rPr>
          <w:rFonts w:hint="eastAsia"/>
          <w:spacing w:val="-28"/>
        </w:rPr>
        <w:t>类</w:t>
      </w:r>
      <w:r>
        <w:rPr>
          <w:rFonts w:hint="eastAsia"/>
        </w:rPr>
        <w:t>）</w:t>
      </w:r>
    </w:p>
    <w:p w14:paraId="4DEEF66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检测数量：按实际安装数量的60%抽检，且不少于10个，少于10个的全数检测。</w:t>
      </w:r>
    </w:p>
    <w:p w14:paraId="526CB93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检测方法：a）b）直观检查；c）d）尺量。</w:t>
      </w:r>
    </w:p>
    <w:p w14:paraId="408C1A9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检测器具：钢卷尺、激光测距仪。</w:t>
      </w:r>
    </w:p>
    <w:p w14:paraId="0EBB4373">
      <w:pPr>
        <w:pStyle w:val="32"/>
        <w:keepNext w:val="0"/>
        <w:keepLines w:val="0"/>
        <w:pageBreakBefore w:val="0"/>
        <w:kinsoku/>
        <w:wordWrap/>
        <w:overflowPunct/>
        <w:topLinePunct w:val="0"/>
        <w:bidi w:val="0"/>
        <w:ind w:left="0" w:leftChars="0" w:right="0" w:firstLine="560" w:firstLineChars="200"/>
        <w:textAlignment w:val="auto"/>
      </w:pPr>
      <w:r>
        <w:rPr>
          <w:rFonts w:hint="eastAsia"/>
        </w:rPr>
        <w:t>4.9电梯</w:t>
      </w:r>
    </w:p>
    <w:p w14:paraId="18DC895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1BE2EEE">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a)</w:t>
      </w:r>
      <w:r>
        <w:rPr>
          <w:rFonts w:hint="eastAsia"/>
        </w:rPr>
        <w:t>消防电梯的设置位置及数量应与设计文件相符；（A</w:t>
      </w:r>
      <w:r>
        <w:rPr>
          <w:rFonts w:hint="eastAsia"/>
          <w:spacing w:val="-27"/>
        </w:rPr>
        <w:t>类</w:t>
      </w:r>
      <w:r>
        <w:rPr>
          <w:rFonts w:hint="eastAsia"/>
        </w:rPr>
        <w:t>）</w:t>
      </w:r>
    </w:p>
    <w:p w14:paraId="65C1739A">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b)</w:t>
      </w:r>
      <w:r>
        <w:rPr>
          <w:rFonts w:hint="eastAsia"/>
        </w:rPr>
        <w:t>消防控制室应能手动和自动控制电梯回落首层，功能、信号均应正常；（A</w:t>
      </w:r>
      <w:r>
        <w:rPr>
          <w:rFonts w:hint="eastAsia"/>
          <w:spacing w:val="-28"/>
        </w:rPr>
        <w:t>类</w:t>
      </w:r>
      <w:r>
        <w:rPr>
          <w:rFonts w:hint="eastAsia"/>
        </w:rPr>
        <w:t>）</w:t>
      </w:r>
    </w:p>
    <w:p w14:paraId="01C67F99">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c)</w:t>
      </w:r>
      <w:r>
        <w:rPr>
          <w:rFonts w:hint="eastAsia"/>
        </w:rPr>
        <w:t>首层的消防电梯迫降按钮，应用透明罩保护；（C</w:t>
      </w:r>
      <w:r>
        <w:rPr>
          <w:rFonts w:hint="eastAsia"/>
          <w:spacing w:val="-28"/>
        </w:rPr>
        <w:t>类</w:t>
      </w:r>
      <w:r>
        <w:rPr>
          <w:rFonts w:hint="eastAsia"/>
        </w:rPr>
        <w:t>）</w:t>
      </w:r>
    </w:p>
    <w:p w14:paraId="601B01A0">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d)</w:t>
      </w:r>
      <w:r>
        <w:rPr>
          <w:rFonts w:hint="eastAsia"/>
        </w:rPr>
        <w:t>当触发首层的电梯迫降按钮时，能控制电梯下降至首层，此时其他楼层按钮不能呼叫控制电</w:t>
      </w:r>
      <w:r>
        <w:rPr>
          <w:rFonts w:hint="eastAsia"/>
          <w:spacing w:val="-3"/>
        </w:rPr>
        <w:t>梯，只能在轿厢内控制；</w:t>
      </w:r>
      <w:r>
        <w:rPr>
          <w:rFonts w:hint="eastAsia"/>
        </w:rPr>
        <w:t>（A</w:t>
      </w:r>
      <w:r>
        <w:rPr>
          <w:rFonts w:hint="eastAsia"/>
          <w:spacing w:val="-28"/>
        </w:rPr>
        <w:t>类</w:t>
      </w:r>
      <w:r>
        <w:rPr>
          <w:rFonts w:hint="eastAsia"/>
          <w:spacing w:val="-3"/>
        </w:rPr>
        <w:t>）</w:t>
      </w:r>
    </w:p>
    <w:p w14:paraId="643C10B3">
      <w:pPr>
        <w:pStyle w:val="32"/>
        <w:keepNext w:val="0"/>
        <w:keepLines w:val="0"/>
        <w:pageBreakBefore w:val="0"/>
        <w:kinsoku/>
        <w:wordWrap/>
        <w:overflowPunct/>
        <w:topLinePunct w:val="0"/>
        <w:bidi w:val="0"/>
        <w:ind w:left="0" w:leftChars="0" w:right="0" w:firstLine="560" w:firstLineChars="200"/>
        <w:textAlignment w:val="auto"/>
        <w:rPr>
          <w:spacing w:val="-3"/>
        </w:rPr>
      </w:pPr>
      <w:r>
        <w:rPr>
          <w:rFonts w:hint="eastAsia"/>
          <w:kern w:val="2"/>
        </w:rPr>
        <w:t>e)</w:t>
      </w:r>
      <w:r>
        <w:rPr>
          <w:rFonts w:hint="eastAsia"/>
        </w:rPr>
        <w:t>电梯从首层至顶层的运行时间不宜大于60s</w:t>
      </w:r>
      <w:r>
        <w:rPr>
          <w:rFonts w:hint="eastAsia"/>
          <w:spacing w:val="-3"/>
        </w:rPr>
        <w:t>。</w:t>
      </w:r>
      <w:r>
        <w:rPr>
          <w:rFonts w:hint="eastAsia"/>
        </w:rPr>
        <w:t>（B</w:t>
      </w:r>
      <w:r>
        <w:rPr>
          <w:rFonts w:hint="eastAsia"/>
          <w:spacing w:val="-26"/>
        </w:rPr>
        <w:t>类</w:t>
      </w:r>
      <w:r>
        <w:rPr>
          <w:rFonts w:hint="eastAsia"/>
          <w:spacing w:val="-3"/>
        </w:rPr>
        <w:t>）</w:t>
      </w:r>
    </w:p>
    <w:p w14:paraId="6D51CE99">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w:t>
      </w:r>
      <w:r>
        <w:t>按实际安装数量的10</w:t>
      </w:r>
      <w:r>
        <w:rPr>
          <w:rFonts w:hint="eastAsia"/>
        </w:rPr>
        <w:t>0</w:t>
      </w:r>
      <w:r>
        <w:t>%</w:t>
      </w:r>
      <w:r>
        <w:rPr>
          <w:rFonts w:hint="eastAsia"/>
        </w:rPr>
        <w:t>检测</w:t>
      </w:r>
      <w:r>
        <w:rPr>
          <w:rFonts w:hint="eastAsia"/>
          <w:spacing w:val="-3"/>
        </w:rPr>
        <w:t>。</w:t>
      </w:r>
    </w:p>
    <w:p w14:paraId="185A83E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检测方法：直观检查按钮设置，结合联动控制功能，检查迫降控制功能，秒表检查运行时间。检测器具：秒表。</w:t>
      </w:r>
    </w:p>
    <w:p w14:paraId="73965D37">
      <w:pPr>
        <w:pStyle w:val="32"/>
        <w:keepNext w:val="0"/>
        <w:keepLines w:val="0"/>
        <w:pageBreakBefore w:val="0"/>
        <w:kinsoku/>
        <w:wordWrap/>
        <w:overflowPunct/>
        <w:topLinePunct w:val="0"/>
        <w:bidi w:val="0"/>
        <w:ind w:left="0" w:leftChars="0" w:right="0" w:firstLine="560" w:firstLineChars="200"/>
        <w:textAlignment w:val="auto"/>
      </w:pPr>
      <w:r>
        <w:rPr>
          <w:rFonts w:hint="eastAsia"/>
        </w:rPr>
        <w:t>4.10防火门监控器</w:t>
      </w:r>
    </w:p>
    <w:p w14:paraId="64A88AD2">
      <w:pPr>
        <w:pStyle w:val="32"/>
        <w:keepNext w:val="0"/>
        <w:keepLines w:val="0"/>
        <w:pageBreakBefore w:val="0"/>
        <w:kinsoku/>
        <w:wordWrap/>
        <w:overflowPunct/>
        <w:topLinePunct w:val="0"/>
        <w:bidi w:val="0"/>
        <w:ind w:left="0" w:leftChars="0" w:right="0" w:firstLine="560" w:firstLineChars="200"/>
        <w:textAlignment w:val="auto"/>
      </w:pPr>
      <w:r>
        <w:rPr>
          <w:rFonts w:hint="eastAsia"/>
        </w:rPr>
        <w:t>一般规定</w:t>
      </w:r>
    </w:p>
    <w:p w14:paraId="151A961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7E095C99">
      <w:pPr>
        <w:pStyle w:val="32"/>
        <w:keepNext w:val="0"/>
        <w:keepLines w:val="0"/>
        <w:pageBreakBefore w:val="0"/>
        <w:kinsoku/>
        <w:wordWrap/>
        <w:overflowPunct/>
        <w:topLinePunct w:val="0"/>
        <w:bidi w:val="0"/>
        <w:ind w:left="0" w:leftChars="0" w:right="0" w:firstLine="560" w:firstLineChars="200"/>
        <w:textAlignment w:val="auto"/>
      </w:pPr>
      <w:r>
        <w:rPr>
          <w:rFonts w:hint="eastAsia"/>
        </w:rPr>
        <w:t>a)防火门监控器应设置在消防控制室内，未设置消防控制室时，应设置在有人值班的场所；（A类）</w:t>
      </w:r>
    </w:p>
    <w:p w14:paraId="1087DF79">
      <w:pPr>
        <w:pStyle w:val="32"/>
        <w:keepNext w:val="0"/>
        <w:keepLines w:val="0"/>
        <w:pageBreakBefore w:val="0"/>
        <w:kinsoku/>
        <w:wordWrap/>
        <w:overflowPunct/>
        <w:topLinePunct w:val="0"/>
        <w:bidi w:val="0"/>
        <w:ind w:left="0" w:leftChars="0" w:right="0" w:firstLine="560" w:firstLineChars="200"/>
        <w:textAlignment w:val="auto"/>
      </w:pPr>
      <w:r>
        <w:rPr>
          <w:rFonts w:hint="eastAsia"/>
        </w:rPr>
        <w:t>b)防火门监控器应处于正常监视状态；（A</w:t>
      </w:r>
      <w:r>
        <w:rPr>
          <w:rFonts w:hint="eastAsia"/>
          <w:spacing w:val="-28"/>
        </w:rPr>
        <w:t>类</w:t>
      </w:r>
      <w:r>
        <w:rPr>
          <w:rFonts w:hint="eastAsia"/>
        </w:rPr>
        <w:t>）</w:t>
      </w:r>
    </w:p>
    <w:p w14:paraId="3FD3770D">
      <w:pPr>
        <w:pStyle w:val="32"/>
        <w:keepNext w:val="0"/>
        <w:keepLines w:val="0"/>
        <w:pageBreakBefore w:val="0"/>
        <w:kinsoku/>
        <w:wordWrap/>
        <w:overflowPunct/>
        <w:topLinePunct w:val="0"/>
        <w:bidi w:val="0"/>
        <w:ind w:left="0" w:leftChars="0" w:right="0" w:firstLine="560" w:firstLineChars="200"/>
        <w:textAlignment w:val="auto"/>
      </w:pPr>
      <w:r>
        <w:rPr>
          <w:rFonts w:hint="eastAsia"/>
        </w:rPr>
        <w:t>c)防火门监控器应控制报警区域内所有常开防火门关闭；（B</w:t>
      </w:r>
      <w:r>
        <w:rPr>
          <w:rFonts w:hint="eastAsia"/>
          <w:spacing w:val="-28"/>
        </w:rPr>
        <w:t>类</w:t>
      </w:r>
      <w:r>
        <w:rPr>
          <w:rFonts w:hint="eastAsia"/>
        </w:rPr>
        <w:t>）</w:t>
      </w:r>
    </w:p>
    <w:p w14:paraId="3AD709F4">
      <w:pPr>
        <w:pStyle w:val="32"/>
        <w:keepNext w:val="0"/>
        <w:keepLines w:val="0"/>
        <w:pageBreakBefore w:val="0"/>
        <w:kinsoku/>
        <w:wordWrap/>
        <w:overflowPunct/>
        <w:topLinePunct w:val="0"/>
        <w:bidi w:val="0"/>
        <w:ind w:left="0" w:leftChars="0" w:right="0" w:firstLine="560" w:firstLineChars="200"/>
        <w:textAlignment w:val="auto"/>
      </w:pPr>
      <w:r>
        <w:rPr>
          <w:rFonts w:hint="eastAsia"/>
        </w:rPr>
        <w:t>d)防火门监控器控制防火门定位装置和释放装置动作后，常开防火门应完全闭合；（B</w:t>
      </w:r>
      <w:r>
        <w:rPr>
          <w:rFonts w:hint="eastAsia"/>
          <w:spacing w:val="-28"/>
        </w:rPr>
        <w:t>类</w:t>
      </w:r>
      <w:r>
        <w:rPr>
          <w:rFonts w:hint="eastAsia"/>
        </w:rPr>
        <w:t>）</w:t>
      </w:r>
    </w:p>
    <w:p w14:paraId="48DAF68A">
      <w:pPr>
        <w:pStyle w:val="32"/>
        <w:keepNext w:val="0"/>
        <w:keepLines w:val="0"/>
        <w:pageBreakBefore w:val="0"/>
        <w:kinsoku/>
        <w:wordWrap/>
        <w:overflowPunct/>
        <w:topLinePunct w:val="0"/>
        <w:bidi w:val="0"/>
        <w:ind w:left="0" w:leftChars="0" w:right="0" w:firstLine="560" w:firstLineChars="200"/>
        <w:textAlignment w:val="auto"/>
      </w:pPr>
      <w:r>
        <w:rPr>
          <w:rFonts w:hint="eastAsia"/>
        </w:rPr>
        <w:t>e)常闭防火门处于开启状态后，监控器应能发出防火门故障报警声、光信号。（B</w:t>
      </w:r>
      <w:r>
        <w:rPr>
          <w:rFonts w:hint="eastAsia"/>
          <w:spacing w:val="-22"/>
        </w:rPr>
        <w:t>类</w:t>
      </w:r>
      <w:r>
        <w:rPr>
          <w:rFonts w:hint="eastAsia"/>
        </w:rPr>
        <w:t>）</w:t>
      </w:r>
    </w:p>
    <w:p w14:paraId="3478F65D">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w:t>
      </w:r>
      <w:r>
        <w:t>按实际安装数量的10</w:t>
      </w:r>
      <w:r>
        <w:rPr>
          <w:rFonts w:hint="eastAsia"/>
        </w:rPr>
        <w:t>0</w:t>
      </w:r>
      <w:r>
        <w:t>%</w:t>
      </w:r>
      <w:r>
        <w:rPr>
          <w:rFonts w:hint="eastAsia"/>
        </w:rPr>
        <w:t>检测</w:t>
      </w:r>
      <w:r>
        <w:rPr>
          <w:rFonts w:hint="eastAsia"/>
          <w:spacing w:val="-3"/>
        </w:rPr>
        <w:t>。</w:t>
      </w:r>
    </w:p>
    <w:p w14:paraId="21348C0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42078316">
      <w:pPr>
        <w:pStyle w:val="32"/>
        <w:keepNext w:val="0"/>
        <w:keepLines w:val="0"/>
        <w:pageBreakBefore w:val="0"/>
        <w:kinsoku/>
        <w:wordWrap/>
        <w:overflowPunct/>
        <w:topLinePunct w:val="0"/>
        <w:bidi w:val="0"/>
        <w:ind w:left="0" w:leftChars="0" w:right="0" w:firstLine="560" w:firstLineChars="200"/>
        <w:textAlignment w:val="auto"/>
      </w:pPr>
      <w:r>
        <w:rPr>
          <w:rFonts w:hint="eastAsia"/>
        </w:rPr>
        <w:t>4.10.1监控器基本要求</w:t>
      </w:r>
    </w:p>
    <w:p w14:paraId="0ACE9C1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6EE7AA0">
      <w:pPr>
        <w:pStyle w:val="32"/>
        <w:keepNext w:val="0"/>
        <w:keepLines w:val="0"/>
        <w:pageBreakBefore w:val="0"/>
        <w:kinsoku/>
        <w:wordWrap/>
        <w:overflowPunct/>
        <w:topLinePunct w:val="0"/>
        <w:bidi w:val="0"/>
        <w:ind w:left="0" w:leftChars="0" w:right="0" w:firstLine="560" w:firstLineChars="200"/>
        <w:textAlignment w:val="auto"/>
      </w:pPr>
      <w:r>
        <w:rPr>
          <w:rFonts w:hint="eastAsia"/>
        </w:rPr>
        <w:t>a)火灾报警控制器在墙上安装时，其底边距地（楼）</w:t>
      </w:r>
      <w:r>
        <w:rPr>
          <w:rFonts w:hint="eastAsia"/>
          <w:spacing w:val="-11"/>
        </w:rPr>
        <w:t>面高度宜为</w:t>
      </w:r>
      <w:r>
        <w:rPr>
          <w:rFonts w:hint="eastAsia"/>
        </w:rPr>
        <w:t>1.3m～1.5m；（C</w:t>
      </w:r>
      <w:r>
        <w:rPr>
          <w:rFonts w:hint="eastAsia"/>
          <w:spacing w:val="-27"/>
        </w:rPr>
        <w:t>类</w:t>
      </w:r>
      <w:r>
        <w:rPr>
          <w:rFonts w:hint="eastAsia"/>
        </w:rPr>
        <w:t>）</w:t>
      </w:r>
    </w:p>
    <w:p w14:paraId="1EE8E1B5">
      <w:pPr>
        <w:pStyle w:val="32"/>
        <w:keepNext w:val="0"/>
        <w:keepLines w:val="0"/>
        <w:pageBreakBefore w:val="0"/>
        <w:kinsoku/>
        <w:wordWrap/>
        <w:overflowPunct/>
        <w:topLinePunct w:val="0"/>
        <w:bidi w:val="0"/>
        <w:ind w:left="0" w:leftChars="0" w:right="0" w:firstLine="560" w:firstLineChars="200"/>
        <w:textAlignment w:val="auto"/>
      </w:pPr>
      <w:r>
        <w:rPr>
          <w:rFonts w:hint="eastAsia"/>
        </w:rPr>
        <w:t>b)靠近门轴的侧面距墙不应小于0.5m；（C</w:t>
      </w:r>
      <w:r>
        <w:rPr>
          <w:rFonts w:hint="eastAsia"/>
          <w:spacing w:val="-28"/>
        </w:rPr>
        <w:t>类</w:t>
      </w:r>
      <w:r>
        <w:rPr>
          <w:rFonts w:hint="eastAsia"/>
        </w:rPr>
        <w:t>）</w:t>
      </w:r>
    </w:p>
    <w:p w14:paraId="4E1F234D">
      <w:pPr>
        <w:pStyle w:val="32"/>
        <w:keepNext w:val="0"/>
        <w:keepLines w:val="0"/>
        <w:pageBreakBefore w:val="0"/>
        <w:kinsoku/>
        <w:wordWrap/>
        <w:overflowPunct/>
        <w:topLinePunct w:val="0"/>
        <w:bidi w:val="0"/>
        <w:ind w:left="0" w:leftChars="0" w:right="0" w:firstLine="560" w:firstLineChars="200"/>
        <w:textAlignment w:val="auto"/>
        <w:rPr>
          <w:spacing w:val="-3"/>
        </w:rPr>
      </w:pPr>
      <w:r>
        <w:rPr>
          <w:rFonts w:hint="eastAsia"/>
        </w:rPr>
        <w:t>c)正面操作距离不应小于1.2m</w:t>
      </w:r>
      <w:r>
        <w:rPr>
          <w:rFonts w:hint="eastAsia"/>
          <w:spacing w:val="-3"/>
        </w:rPr>
        <w:t>。</w:t>
      </w:r>
      <w:r>
        <w:rPr>
          <w:rFonts w:hint="eastAsia"/>
        </w:rPr>
        <w:t>（C</w:t>
      </w:r>
      <w:r>
        <w:rPr>
          <w:rFonts w:hint="eastAsia"/>
          <w:spacing w:val="-27"/>
        </w:rPr>
        <w:t>类</w:t>
      </w:r>
      <w:r>
        <w:rPr>
          <w:rFonts w:hint="eastAsia"/>
          <w:spacing w:val="-3"/>
        </w:rPr>
        <w:t>）</w:t>
      </w:r>
    </w:p>
    <w:p w14:paraId="5A2925A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w:t>
      </w:r>
      <w:r>
        <w:t>按实际安装数量的10</w:t>
      </w:r>
      <w:r>
        <w:rPr>
          <w:rFonts w:hint="eastAsia"/>
        </w:rPr>
        <w:t>0</w:t>
      </w:r>
      <w:r>
        <w:t>%</w:t>
      </w:r>
      <w:r>
        <w:rPr>
          <w:rFonts w:hint="eastAsia"/>
        </w:rPr>
        <w:t>检测</w:t>
      </w:r>
      <w:r>
        <w:rPr>
          <w:rFonts w:hint="eastAsia"/>
          <w:spacing w:val="-3"/>
        </w:rPr>
        <w:t>。</w:t>
      </w:r>
    </w:p>
    <w:p w14:paraId="1253E11C">
      <w:pPr>
        <w:pStyle w:val="32"/>
        <w:keepNext w:val="0"/>
        <w:keepLines w:val="0"/>
        <w:pageBreakBefore w:val="0"/>
        <w:kinsoku/>
        <w:wordWrap/>
        <w:overflowPunct/>
        <w:topLinePunct w:val="0"/>
        <w:bidi w:val="0"/>
        <w:ind w:left="0" w:leftChars="0" w:right="0" w:firstLine="560" w:firstLineChars="200"/>
        <w:textAlignment w:val="auto"/>
      </w:pPr>
      <w:r>
        <w:rPr>
          <w:rFonts w:hint="eastAsia"/>
        </w:rPr>
        <w:t>4.10.2监控器安装要求</w:t>
      </w:r>
    </w:p>
    <w:p w14:paraId="12DF5E7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5E91E15">
      <w:pPr>
        <w:pStyle w:val="32"/>
        <w:keepNext w:val="0"/>
        <w:keepLines w:val="0"/>
        <w:pageBreakBefore w:val="0"/>
        <w:kinsoku/>
        <w:wordWrap/>
        <w:overflowPunct/>
        <w:topLinePunct w:val="0"/>
        <w:bidi w:val="0"/>
        <w:ind w:left="0" w:leftChars="0" w:right="0" w:firstLine="560" w:firstLineChars="200"/>
        <w:textAlignment w:val="auto"/>
      </w:pPr>
      <w:r>
        <w:rPr>
          <w:rFonts w:hint="eastAsia"/>
        </w:rPr>
        <w:t>a)火灾报警控制器在墙上安装时，其底边距地（楼）</w:t>
      </w:r>
      <w:r>
        <w:rPr>
          <w:rFonts w:hint="eastAsia"/>
          <w:spacing w:val="-11"/>
        </w:rPr>
        <w:t>面高度宜为</w:t>
      </w:r>
      <w:r>
        <w:rPr>
          <w:rFonts w:hint="eastAsia"/>
        </w:rPr>
        <w:t>1.3m～1.5m；（C</w:t>
      </w:r>
      <w:r>
        <w:rPr>
          <w:rFonts w:hint="eastAsia"/>
          <w:spacing w:val="-27"/>
        </w:rPr>
        <w:t>类</w:t>
      </w:r>
      <w:r>
        <w:rPr>
          <w:rFonts w:hint="eastAsia"/>
        </w:rPr>
        <w:t>）</w:t>
      </w:r>
    </w:p>
    <w:p w14:paraId="6D4926E2">
      <w:pPr>
        <w:pStyle w:val="32"/>
        <w:keepNext w:val="0"/>
        <w:keepLines w:val="0"/>
        <w:pageBreakBefore w:val="0"/>
        <w:kinsoku/>
        <w:wordWrap/>
        <w:overflowPunct/>
        <w:topLinePunct w:val="0"/>
        <w:bidi w:val="0"/>
        <w:ind w:left="0" w:leftChars="0" w:right="0" w:firstLine="560" w:firstLineChars="200"/>
        <w:textAlignment w:val="auto"/>
      </w:pPr>
      <w:r>
        <w:rPr>
          <w:rFonts w:hint="eastAsia"/>
        </w:rPr>
        <w:t>b)靠近门轴的侧面距墙不应小于0.5m；（C</w:t>
      </w:r>
      <w:r>
        <w:rPr>
          <w:rFonts w:hint="eastAsia"/>
          <w:spacing w:val="-28"/>
        </w:rPr>
        <w:t>类</w:t>
      </w:r>
      <w:r>
        <w:rPr>
          <w:rFonts w:hint="eastAsia"/>
        </w:rPr>
        <w:t>）</w:t>
      </w:r>
    </w:p>
    <w:p w14:paraId="63AA9086">
      <w:pPr>
        <w:pStyle w:val="32"/>
        <w:keepNext w:val="0"/>
        <w:keepLines w:val="0"/>
        <w:pageBreakBefore w:val="0"/>
        <w:kinsoku/>
        <w:wordWrap/>
        <w:overflowPunct/>
        <w:topLinePunct w:val="0"/>
        <w:bidi w:val="0"/>
        <w:ind w:left="0" w:leftChars="0" w:right="0" w:firstLine="560" w:firstLineChars="200"/>
        <w:textAlignment w:val="auto"/>
        <w:rPr>
          <w:spacing w:val="-3"/>
        </w:rPr>
      </w:pPr>
      <w:r>
        <w:rPr>
          <w:rFonts w:hint="eastAsia"/>
        </w:rPr>
        <w:t>c)正面操作距离不应小于1.2m</w:t>
      </w:r>
      <w:r>
        <w:rPr>
          <w:rFonts w:hint="eastAsia"/>
          <w:spacing w:val="-3"/>
        </w:rPr>
        <w:t>。</w:t>
      </w:r>
      <w:r>
        <w:rPr>
          <w:rFonts w:hint="eastAsia"/>
        </w:rPr>
        <w:t>（C</w:t>
      </w:r>
      <w:r>
        <w:rPr>
          <w:rFonts w:hint="eastAsia"/>
          <w:spacing w:val="-27"/>
        </w:rPr>
        <w:t>类</w:t>
      </w:r>
      <w:r>
        <w:rPr>
          <w:rFonts w:hint="eastAsia"/>
          <w:spacing w:val="-3"/>
        </w:rPr>
        <w:t>）</w:t>
      </w:r>
    </w:p>
    <w:p w14:paraId="2334C1D9">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w:t>
      </w:r>
      <w:r>
        <w:t>按实际安装数量的10</w:t>
      </w:r>
      <w:r>
        <w:rPr>
          <w:rFonts w:hint="eastAsia"/>
        </w:rPr>
        <w:t>0</w:t>
      </w:r>
      <w:r>
        <w:t>%</w:t>
      </w:r>
      <w:r>
        <w:rPr>
          <w:rFonts w:hint="eastAsia"/>
        </w:rPr>
        <w:t>检测</w:t>
      </w:r>
      <w:r>
        <w:rPr>
          <w:rFonts w:hint="eastAsia"/>
          <w:spacing w:val="-3"/>
        </w:rPr>
        <w:t>。</w:t>
      </w:r>
    </w:p>
    <w:p w14:paraId="12199F7A">
      <w:pPr>
        <w:pStyle w:val="32"/>
        <w:keepNext w:val="0"/>
        <w:keepLines w:val="0"/>
        <w:pageBreakBefore w:val="0"/>
        <w:kinsoku/>
        <w:wordWrap/>
        <w:overflowPunct/>
        <w:topLinePunct w:val="0"/>
        <w:bidi w:val="0"/>
        <w:ind w:left="0" w:leftChars="0" w:right="0" w:firstLine="560" w:firstLineChars="200"/>
        <w:textAlignment w:val="auto"/>
      </w:pPr>
      <w:r>
        <w:rPr>
          <w:rFonts w:hint="eastAsia"/>
        </w:rPr>
        <w:t>4.10.3监控器接地要求</w:t>
      </w:r>
    </w:p>
    <w:p w14:paraId="5A87199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79FCC211">
      <w:pPr>
        <w:pStyle w:val="32"/>
        <w:keepNext w:val="0"/>
        <w:keepLines w:val="0"/>
        <w:pageBreakBefore w:val="0"/>
        <w:kinsoku/>
        <w:wordWrap/>
        <w:overflowPunct/>
        <w:topLinePunct w:val="0"/>
        <w:bidi w:val="0"/>
        <w:ind w:left="0" w:leftChars="0" w:right="0" w:firstLine="560" w:firstLineChars="200"/>
        <w:textAlignment w:val="auto"/>
      </w:pPr>
      <w:r>
        <w:rPr>
          <w:rFonts w:cs="宋体"/>
        </w:rPr>
        <w:t>a)</w:t>
      </w:r>
      <w:r>
        <w:rPr>
          <w:rFonts w:hint="eastAsia"/>
        </w:rPr>
        <w:t>控制器应有接地保护；（A</w:t>
      </w:r>
      <w:r>
        <w:rPr>
          <w:rFonts w:hint="eastAsia"/>
          <w:spacing w:val="-27"/>
        </w:rPr>
        <w:t>类</w:t>
      </w:r>
      <w:r>
        <w:rPr>
          <w:rFonts w:hint="eastAsia"/>
        </w:rPr>
        <w:t>）</w:t>
      </w:r>
    </w:p>
    <w:p w14:paraId="4E75B817">
      <w:pPr>
        <w:pStyle w:val="32"/>
        <w:keepNext w:val="0"/>
        <w:keepLines w:val="0"/>
        <w:pageBreakBefore w:val="0"/>
        <w:kinsoku/>
        <w:wordWrap/>
        <w:overflowPunct/>
        <w:topLinePunct w:val="0"/>
        <w:bidi w:val="0"/>
        <w:ind w:left="0" w:leftChars="0" w:right="0" w:firstLine="560" w:firstLineChars="200"/>
        <w:textAlignment w:val="auto"/>
      </w:pPr>
      <w:r>
        <w:rPr>
          <w:rFonts w:cs="宋体"/>
        </w:rPr>
        <w:t>b)</w:t>
      </w:r>
      <w:r>
        <w:rPr>
          <w:rFonts w:hint="eastAsia"/>
        </w:rPr>
        <w:t>接地应有标志，且标志应设置明显的永久性标识；（B</w:t>
      </w:r>
      <w:r>
        <w:rPr>
          <w:rFonts w:hint="eastAsia"/>
          <w:spacing w:val="-28"/>
        </w:rPr>
        <w:t>类</w:t>
      </w:r>
      <w:r>
        <w:rPr>
          <w:rFonts w:hint="eastAsia"/>
        </w:rPr>
        <w:t>）</w:t>
      </w:r>
    </w:p>
    <w:p w14:paraId="5C7EA8D3">
      <w:pPr>
        <w:pStyle w:val="32"/>
        <w:keepNext w:val="0"/>
        <w:keepLines w:val="0"/>
        <w:pageBreakBefore w:val="0"/>
        <w:kinsoku/>
        <w:wordWrap/>
        <w:overflowPunct/>
        <w:topLinePunct w:val="0"/>
        <w:bidi w:val="0"/>
        <w:ind w:left="0" w:leftChars="0" w:right="0" w:firstLine="560" w:firstLineChars="200"/>
        <w:textAlignment w:val="auto"/>
      </w:pPr>
      <w:r>
        <w:rPr>
          <w:rFonts w:cs="宋体"/>
        </w:rPr>
        <w:t>c)</w:t>
      </w:r>
      <w:r>
        <w:rPr>
          <w:rFonts w:hint="eastAsia"/>
        </w:rPr>
        <w:t>控制室内的控制器设备的金属外壳、机柜、机架和金属管、槽等，应采用等电位连接；（C</w:t>
      </w:r>
      <w:r>
        <w:rPr>
          <w:rFonts w:hint="eastAsia"/>
          <w:spacing w:val="-3"/>
        </w:rPr>
        <w:t>类）</w:t>
      </w:r>
    </w:p>
    <w:p w14:paraId="3B5C9133">
      <w:pPr>
        <w:pStyle w:val="32"/>
        <w:keepNext w:val="0"/>
        <w:keepLines w:val="0"/>
        <w:pageBreakBefore w:val="0"/>
        <w:kinsoku/>
        <w:wordWrap/>
        <w:overflowPunct/>
        <w:topLinePunct w:val="0"/>
        <w:bidi w:val="0"/>
        <w:ind w:left="0" w:leftChars="0" w:right="0" w:firstLine="560" w:firstLineChars="200"/>
        <w:textAlignment w:val="auto"/>
      </w:pPr>
      <w:r>
        <w:rPr>
          <w:rFonts w:cs="宋体"/>
        </w:rPr>
        <w:t>d)</w:t>
      </w:r>
      <w:r>
        <w:rPr>
          <w:rFonts w:hint="eastAsia"/>
        </w:rPr>
        <w:t>由消防控制室接地板引至各消防电子设备的专用接地线应选用铜芯绝缘导线，其线芯截面积</w:t>
      </w:r>
      <w:r>
        <w:rPr>
          <w:rFonts w:hint="eastAsia"/>
          <w:spacing w:val="-12"/>
        </w:rPr>
        <w:t>不应小于</w:t>
      </w:r>
      <w:r>
        <w:rPr>
          <w:rFonts w:hint="eastAsia"/>
        </w:rPr>
        <w:t>4mm</w:t>
      </w:r>
      <w:r>
        <w:rPr>
          <w:rFonts w:hint="eastAsia"/>
          <w:position w:val="11"/>
        </w:rPr>
        <w:t>2</w:t>
      </w:r>
      <w:r>
        <w:rPr>
          <w:rFonts w:hint="eastAsia"/>
        </w:rPr>
        <w:t>；（B</w:t>
      </w:r>
      <w:r>
        <w:rPr>
          <w:rFonts w:hint="eastAsia"/>
          <w:spacing w:val="-28"/>
        </w:rPr>
        <w:t>类</w:t>
      </w:r>
      <w:r>
        <w:rPr>
          <w:rFonts w:hint="eastAsia"/>
          <w:spacing w:val="-3"/>
        </w:rPr>
        <w:t>）</w:t>
      </w:r>
    </w:p>
    <w:p w14:paraId="29F1A733">
      <w:pPr>
        <w:pStyle w:val="32"/>
        <w:keepNext w:val="0"/>
        <w:keepLines w:val="0"/>
        <w:pageBreakBefore w:val="0"/>
        <w:kinsoku/>
        <w:wordWrap/>
        <w:overflowPunct/>
        <w:topLinePunct w:val="0"/>
        <w:bidi w:val="0"/>
        <w:ind w:left="0" w:leftChars="0" w:right="0" w:firstLine="560" w:firstLineChars="200"/>
        <w:textAlignment w:val="auto"/>
      </w:pPr>
      <w:r>
        <w:rPr>
          <w:rFonts w:cs="宋体"/>
        </w:rPr>
        <w:t>e)</w:t>
      </w:r>
      <w:r>
        <w:rPr>
          <w:rFonts w:hint="eastAsia"/>
        </w:rPr>
        <w:t>消防控制室接地板与建筑接地体之间，应采用线芯截面积不小于25mm</w:t>
      </w:r>
      <w:r>
        <w:rPr>
          <w:rFonts w:hint="eastAsia"/>
          <w:position w:val="11"/>
        </w:rPr>
        <w:t>2</w:t>
      </w:r>
      <w:r>
        <w:rPr>
          <w:rFonts w:hint="eastAsia"/>
          <w:spacing w:val="-3"/>
        </w:rPr>
        <w:t>的铜芯绝缘导线连接；</w:t>
      </w:r>
      <w:r>
        <w:rPr>
          <w:rFonts w:hint="eastAsia"/>
        </w:rPr>
        <w:t>（B类）</w:t>
      </w:r>
    </w:p>
    <w:p w14:paraId="362896DF">
      <w:pPr>
        <w:pStyle w:val="32"/>
        <w:keepNext w:val="0"/>
        <w:keepLines w:val="0"/>
        <w:pageBreakBefore w:val="0"/>
        <w:kinsoku/>
        <w:wordWrap/>
        <w:overflowPunct/>
        <w:topLinePunct w:val="0"/>
        <w:bidi w:val="0"/>
        <w:ind w:left="0" w:leftChars="0" w:right="0" w:firstLine="560" w:firstLineChars="200"/>
        <w:textAlignment w:val="auto"/>
      </w:pPr>
      <w:r>
        <w:rPr>
          <w:rFonts w:cs="宋体"/>
        </w:rPr>
        <w:t>f)</w:t>
      </w:r>
      <w:r>
        <w:rPr>
          <w:rFonts w:hint="eastAsia"/>
        </w:rPr>
        <w:t>火灾自动报警系统采用专用接地装置时，其接地电阻值不应大于4Ω；（A</w:t>
      </w:r>
      <w:r>
        <w:rPr>
          <w:rFonts w:hint="eastAsia"/>
          <w:spacing w:val="-27"/>
        </w:rPr>
        <w:t>类</w:t>
      </w:r>
      <w:r>
        <w:rPr>
          <w:rFonts w:hint="eastAsia"/>
          <w:spacing w:val="-3"/>
        </w:rPr>
        <w:t>）</w:t>
      </w:r>
    </w:p>
    <w:p w14:paraId="7321F6DF">
      <w:pPr>
        <w:pStyle w:val="32"/>
        <w:keepNext w:val="0"/>
        <w:keepLines w:val="0"/>
        <w:pageBreakBefore w:val="0"/>
        <w:kinsoku/>
        <w:wordWrap/>
        <w:overflowPunct/>
        <w:topLinePunct w:val="0"/>
        <w:bidi w:val="0"/>
        <w:ind w:left="0" w:leftChars="0" w:right="0" w:firstLine="560" w:firstLineChars="200"/>
        <w:textAlignment w:val="auto"/>
        <w:rPr>
          <w:spacing w:val="-3"/>
        </w:rPr>
      </w:pPr>
      <w:r>
        <w:rPr>
          <w:rFonts w:cs="宋体"/>
        </w:rPr>
        <w:t>g)</w:t>
      </w:r>
      <w:r>
        <w:rPr>
          <w:rFonts w:hint="eastAsia"/>
        </w:rPr>
        <w:t>火灾自动报警系统采用共用接地装置时，其接地电阻值不应大于1Ω</w:t>
      </w:r>
      <w:r>
        <w:rPr>
          <w:rFonts w:hint="eastAsia"/>
          <w:spacing w:val="-3"/>
        </w:rPr>
        <w:t>。</w:t>
      </w:r>
      <w:r>
        <w:rPr>
          <w:rFonts w:hint="eastAsia"/>
        </w:rPr>
        <w:t>（A</w:t>
      </w:r>
      <w:r>
        <w:rPr>
          <w:rFonts w:hint="eastAsia"/>
          <w:spacing w:val="-24"/>
        </w:rPr>
        <w:t>类</w:t>
      </w:r>
      <w:r>
        <w:rPr>
          <w:rFonts w:hint="eastAsia"/>
          <w:spacing w:val="-3"/>
        </w:rPr>
        <w:t>）</w:t>
      </w:r>
    </w:p>
    <w:p w14:paraId="361AF15F">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w:t>
      </w:r>
      <w:r>
        <w:t>按实际安装数量的10</w:t>
      </w:r>
      <w:r>
        <w:rPr>
          <w:rFonts w:hint="eastAsia"/>
        </w:rPr>
        <w:t>0</w:t>
      </w:r>
      <w:r>
        <w:t>%</w:t>
      </w:r>
      <w:r>
        <w:rPr>
          <w:rFonts w:hint="eastAsia"/>
        </w:rPr>
        <w:t>检测</w:t>
      </w:r>
      <w:r>
        <w:rPr>
          <w:rFonts w:hint="eastAsia"/>
          <w:spacing w:val="-3"/>
        </w:rPr>
        <w:t>。</w:t>
      </w:r>
    </w:p>
    <w:p w14:paraId="5BA4928B">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53793BA8">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a）～c）直观检查；</w:t>
      </w:r>
    </w:p>
    <w:p w14:paraId="3B09773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d）e）尺量检查；</w:t>
      </w:r>
    </w:p>
    <w:p w14:paraId="729583B7">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f)g）仪表测量。</w:t>
      </w:r>
    </w:p>
    <w:p w14:paraId="52DF5E9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检测器具：游标卡尺、接地电阻测量仪。</w:t>
      </w:r>
    </w:p>
    <w:p w14:paraId="7858F3CB">
      <w:pPr>
        <w:pStyle w:val="32"/>
        <w:keepNext w:val="0"/>
        <w:keepLines w:val="0"/>
        <w:pageBreakBefore w:val="0"/>
        <w:kinsoku/>
        <w:wordWrap/>
        <w:overflowPunct/>
        <w:topLinePunct w:val="0"/>
        <w:bidi w:val="0"/>
        <w:ind w:left="0" w:leftChars="0" w:right="0" w:firstLine="552" w:firstLineChars="200"/>
        <w:textAlignment w:val="auto"/>
      </w:pPr>
      <w:r>
        <w:rPr>
          <w:rFonts w:hint="eastAsia"/>
          <w:spacing w:val="-2"/>
        </w:rPr>
        <w:t>4.10.4</w:t>
      </w:r>
      <w:r>
        <w:rPr>
          <w:rFonts w:hint="eastAsia"/>
        </w:rPr>
        <w:t>监控电源设置要求</w:t>
      </w:r>
    </w:p>
    <w:p w14:paraId="4C0BE11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531F71B">
      <w:pPr>
        <w:pStyle w:val="32"/>
        <w:keepNext w:val="0"/>
        <w:keepLines w:val="0"/>
        <w:pageBreakBefore w:val="0"/>
        <w:kinsoku/>
        <w:wordWrap/>
        <w:overflowPunct/>
        <w:topLinePunct w:val="0"/>
        <w:bidi w:val="0"/>
        <w:ind w:left="0" w:leftChars="0" w:right="0" w:firstLine="560" w:firstLineChars="200"/>
        <w:textAlignment w:val="auto"/>
      </w:pPr>
      <w:r>
        <w:rPr>
          <w:rFonts w:cs="宋体"/>
        </w:rPr>
        <w:t>a)</w:t>
      </w:r>
      <w:r>
        <w:rPr>
          <w:rFonts w:hint="eastAsia"/>
        </w:rPr>
        <w:t>火灾报警控制器应设主电源和直流备用电源。当主电源断电时，能自动切换到备用电源。当</w:t>
      </w:r>
      <w:r>
        <w:rPr>
          <w:rFonts w:hint="eastAsia"/>
          <w:spacing w:val="-3"/>
        </w:rPr>
        <w:t>主电源恢复时，能自动转换到主电源，电源的转换不应使控制器产生误动作</w:t>
      </w:r>
      <w:r>
        <w:rPr>
          <w:rFonts w:hint="eastAsia"/>
        </w:rPr>
        <w:t>；（A</w:t>
      </w:r>
      <w:r>
        <w:rPr>
          <w:rFonts w:hint="eastAsia"/>
          <w:spacing w:val="-26"/>
        </w:rPr>
        <w:t>类</w:t>
      </w:r>
      <w:r>
        <w:rPr>
          <w:rFonts w:hint="eastAsia"/>
          <w:spacing w:val="-3"/>
        </w:rPr>
        <w:t>）</w:t>
      </w:r>
    </w:p>
    <w:p w14:paraId="64E2CCCA">
      <w:pPr>
        <w:pStyle w:val="32"/>
        <w:keepNext w:val="0"/>
        <w:keepLines w:val="0"/>
        <w:pageBreakBefore w:val="0"/>
        <w:kinsoku/>
        <w:wordWrap/>
        <w:overflowPunct/>
        <w:topLinePunct w:val="0"/>
        <w:bidi w:val="0"/>
        <w:ind w:left="0" w:leftChars="0" w:right="0" w:firstLine="560" w:firstLineChars="200"/>
        <w:textAlignment w:val="auto"/>
      </w:pPr>
      <w:r>
        <w:rPr>
          <w:rFonts w:cs="宋体"/>
        </w:rPr>
        <w:t>b)</w:t>
      </w:r>
      <w:r>
        <w:rPr>
          <w:rFonts w:hint="eastAsia"/>
        </w:rPr>
        <w:t>控制器的主电源应有明显的永久性标识；（B</w:t>
      </w:r>
      <w:r>
        <w:rPr>
          <w:rFonts w:hint="eastAsia"/>
          <w:spacing w:val="-28"/>
        </w:rPr>
        <w:t>类</w:t>
      </w:r>
      <w:r>
        <w:rPr>
          <w:rFonts w:hint="eastAsia"/>
        </w:rPr>
        <w:t>）</w:t>
      </w:r>
    </w:p>
    <w:p w14:paraId="4CBCF228">
      <w:pPr>
        <w:pStyle w:val="32"/>
        <w:keepNext w:val="0"/>
        <w:keepLines w:val="0"/>
        <w:pageBreakBefore w:val="0"/>
        <w:kinsoku/>
        <w:wordWrap/>
        <w:overflowPunct/>
        <w:topLinePunct w:val="0"/>
        <w:bidi w:val="0"/>
        <w:ind w:left="0" w:leftChars="0" w:right="0" w:firstLine="560" w:firstLineChars="200"/>
        <w:textAlignment w:val="auto"/>
      </w:pPr>
      <w:r>
        <w:rPr>
          <w:rFonts w:cs="宋体"/>
        </w:rPr>
        <w:t>c)</w:t>
      </w:r>
      <w:r>
        <w:rPr>
          <w:rFonts w:hint="eastAsia"/>
        </w:rPr>
        <w:t>控制器的主电源应直接与消防电源连接，严禁使用电源插头。（A</w:t>
      </w:r>
      <w:r>
        <w:rPr>
          <w:rFonts w:hint="eastAsia"/>
          <w:spacing w:val="-23"/>
        </w:rPr>
        <w:t>类</w:t>
      </w:r>
      <w:r>
        <w:rPr>
          <w:rFonts w:hint="eastAsia"/>
        </w:rPr>
        <w:t>）</w:t>
      </w:r>
    </w:p>
    <w:p w14:paraId="5C313FA4">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w:t>
      </w:r>
      <w:r>
        <w:t>按实际安装数量的10</w:t>
      </w:r>
      <w:r>
        <w:rPr>
          <w:rFonts w:hint="eastAsia"/>
        </w:rPr>
        <w:t>0</w:t>
      </w:r>
      <w:r>
        <w:t>%</w:t>
      </w:r>
      <w:r>
        <w:rPr>
          <w:rFonts w:hint="eastAsia"/>
        </w:rPr>
        <w:t>检测</w:t>
      </w:r>
      <w:r>
        <w:rPr>
          <w:rFonts w:hint="eastAsia"/>
          <w:spacing w:val="-3"/>
        </w:rPr>
        <w:t>。</w:t>
      </w:r>
    </w:p>
    <w:p w14:paraId="523F004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63C05D4F">
      <w:pPr>
        <w:pStyle w:val="32"/>
        <w:keepNext w:val="0"/>
        <w:keepLines w:val="0"/>
        <w:pageBreakBefore w:val="0"/>
        <w:kinsoku/>
        <w:wordWrap/>
        <w:overflowPunct/>
        <w:topLinePunct w:val="0"/>
        <w:bidi w:val="0"/>
        <w:ind w:left="0" w:leftChars="0" w:right="0" w:firstLine="560" w:firstLineChars="200"/>
        <w:textAlignment w:val="auto"/>
      </w:pPr>
      <w:r>
        <w:rPr>
          <w:rFonts w:hint="eastAsia"/>
        </w:rPr>
        <w:t>4.11消防水源</w:t>
      </w:r>
    </w:p>
    <w:p w14:paraId="610EABCE">
      <w:pPr>
        <w:pStyle w:val="32"/>
        <w:keepNext w:val="0"/>
        <w:keepLines w:val="0"/>
        <w:pageBreakBefore w:val="0"/>
        <w:kinsoku/>
        <w:wordWrap/>
        <w:overflowPunct/>
        <w:topLinePunct w:val="0"/>
        <w:bidi w:val="0"/>
        <w:ind w:left="0" w:leftChars="0" w:right="0" w:firstLine="560" w:firstLineChars="200"/>
        <w:textAlignment w:val="auto"/>
      </w:pPr>
      <w:r>
        <w:rPr>
          <w:rFonts w:hint="eastAsia"/>
        </w:rPr>
        <w:t>一般规定</w:t>
      </w:r>
    </w:p>
    <w:p w14:paraId="5E84CA9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CA105C8">
      <w:pPr>
        <w:pStyle w:val="32"/>
        <w:keepNext w:val="0"/>
        <w:keepLines w:val="0"/>
        <w:pageBreakBefore w:val="0"/>
        <w:kinsoku/>
        <w:wordWrap/>
        <w:overflowPunct/>
        <w:topLinePunct w:val="0"/>
        <w:bidi w:val="0"/>
        <w:ind w:left="0" w:leftChars="0" w:right="0" w:firstLine="560" w:firstLineChars="200"/>
        <w:textAlignment w:val="auto"/>
      </w:pPr>
      <w:r>
        <w:rPr>
          <w:rFonts w:hint="eastAsia"/>
        </w:rPr>
        <w:t>消防水源的选择应与设计文件相符；（A</w:t>
      </w:r>
      <w:r>
        <w:rPr>
          <w:rFonts w:hint="eastAsia"/>
          <w:spacing w:val="-28"/>
        </w:rPr>
        <w:t>类</w:t>
      </w:r>
      <w:r>
        <w:rPr>
          <w:rFonts w:hint="eastAsia"/>
        </w:rPr>
        <w:t>）</w:t>
      </w:r>
    </w:p>
    <w:p w14:paraId="3C1E76FB">
      <w:pPr>
        <w:pStyle w:val="32"/>
        <w:keepNext w:val="0"/>
        <w:keepLines w:val="0"/>
        <w:pageBreakBefore w:val="0"/>
        <w:kinsoku/>
        <w:wordWrap/>
        <w:overflowPunct/>
        <w:topLinePunct w:val="0"/>
        <w:bidi w:val="0"/>
        <w:ind w:left="0" w:leftChars="0" w:right="0" w:firstLine="560" w:firstLineChars="200"/>
        <w:textAlignment w:val="auto"/>
      </w:pPr>
      <w:r>
        <w:rPr>
          <w:rFonts w:hint="eastAsia"/>
        </w:rPr>
        <w:t>易结冰地区的消防水池、水塔和高位消防水池等应采取防冻措施。（B</w:t>
      </w:r>
      <w:r>
        <w:rPr>
          <w:rFonts w:hint="eastAsia"/>
          <w:spacing w:val="-23"/>
        </w:rPr>
        <w:t>类</w:t>
      </w:r>
      <w:r>
        <w:rPr>
          <w:rFonts w:hint="eastAsia"/>
        </w:rPr>
        <w:t>）</w:t>
      </w:r>
    </w:p>
    <w:p w14:paraId="4807F1DC">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w:t>
      </w:r>
      <w:r>
        <w:t>按实际安装数量的10</w:t>
      </w:r>
      <w:r>
        <w:rPr>
          <w:rFonts w:hint="eastAsia"/>
        </w:rPr>
        <w:t>0</w:t>
      </w:r>
      <w:r>
        <w:t>%</w:t>
      </w:r>
      <w:r>
        <w:rPr>
          <w:rFonts w:hint="eastAsia"/>
        </w:rPr>
        <w:t>检测</w:t>
      </w:r>
      <w:r>
        <w:rPr>
          <w:rFonts w:hint="eastAsia"/>
          <w:spacing w:val="-3"/>
        </w:rPr>
        <w:t>。</w:t>
      </w:r>
    </w:p>
    <w:p w14:paraId="35DDADA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检测方法：对照设计文件，直观检查。</w:t>
      </w:r>
    </w:p>
    <w:p w14:paraId="3BE08170">
      <w:pPr>
        <w:pStyle w:val="32"/>
        <w:keepNext w:val="0"/>
        <w:keepLines w:val="0"/>
        <w:pageBreakBefore w:val="0"/>
        <w:kinsoku/>
        <w:wordWrap/>
        <w:overflowPunct/>
        <w:topLinePunct w:val="0"/>
        <w:bidi w:val="0"/>
        <w:ind w:left="0" w:leftChars="0" w:right="0" w:firstLine="560" w:firstLineChars="200"/>
        <w:textAlignment w:val="auto"/>
      </w:pPr>
      <w:r>
        <w:rPr>
          <w:rFonts w:hint="eastAsia"/>
        </w:rPr>
        <w:t>4.11.1</w:t>
      </w:r>
      <w:r>
        <w:rPr>
          <w:rFonts w:hint="eastAsia"/>
          <w:spacing w:val="-1"/>
        </w:rPr>
        <w:t>消防水池</w:t>
      </w:r>
    </w:p>
    <w:p w14:paraId="644D85D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CE49099">
      <w:pPr>
        <w:pStyle w:val="32"/>
        <w:keepNext w:val="0"/>
        <w:keepLines w:val="0"/>
        <w:pageBreakBefore w:val="0"/>
        <w:kinsoku/>
        <w:wordWrap/>
        <w:overflowPunct/>
        <w:topLinePunct w:val="0"/>
        <w:bidi w:val="0"/>
        <w:ind w:left="0" w:leftChars="0" w:right="0" w:firstLine="560" w:firstLineChars="200"/>
        <w:textAlignment w:val="auto"/>
      </w:pPr>
      <w:r>
        <w:rPr>
          <w:rFonts w:cs="宋体"/>
        </w:rPr>
        <w:t>a)</w:t>
      </w:r>
      <w:r>
        <w:rPr>
          <w:rFonts w:hint="eastAsia"/>
        </w:rPr>
        <w:t>当系统采用消防水池供水时，消防水池的有效容积应与设计文件相符，但不应小于100</w:t>
      </w:r>
      <w:r>
        <w:rPr>
          <w:rFonts w:hint="eastAsia"/>
          <w:spacing w:val="-9"/>
        </w:rPr>
        <w:t>m</w:t>
      </w:r>
      <w:r>
        <w:rPr>
          <w:rFonts w:hint="eastAsia"/>
          <w:spacing w:val="-9"/>
          <w:position w:val="11"/>
        </w:rPr>
        <w:t>3</w:t>
      </w:r>
      <w:r>
        <w:rPr>
          <w:rFonts w:hint="eastAsia"/>
          <w:spacing w:val="-16"/>
        </w:rPr>
        <w:t>，当</w:t>
      </w:r>
      <w:r>
        <w:rPr>
          <w:rFonts w:hint="eastAsia"/>
        </w:rPr>
        <w:t>仅设有消火栓系统时不应小于50m</w:t>
      </w:r>
      <w:r>
        <w:rPr>
          <w:rFonts w:hint="eastAsia"/>
          <w:position w:val="11"/>
        </w:rPr>
        <w:t>3</w:t>
      </w:r>
      <w:r>
        <w:rPr>
          <w:rFonts w:hint="eastAsia"/>
        </w:rPr>
        <w:t>；（A</w:t>
      </w:r>
      <w:r>
        <w:rPr>
          <w:rFonts w:hint="eastAsia"/>
          <w:spacing w:val="-28"/>
        </w:rPr>
        <w:t>类</w:t>
      </w:r>
      <w:r>
        <w:rPr>
          <w:rFonts w:hint="eastAsia"/>
        </w:rPr>
        <w:t>）</w:t>
      </w:r>
    </w:p>
    <w:p w14:paraId="0D4B165C">
      <w:pPr>
        <w:pStyle w:val="32"/>
        <w:keepNext w:val="0"/>
        <w:keepLines w:val="0"/>
        <w:pageBreakBefore w:val="0"/>
        <w:kinsoku/>
        <w:wordWrap/>
        <w:overflowPunct/>
        <w:topLinePunct w:val="0"/>
        <w:bidi w:val="0"/>
        <w:ind w:left="0" w:leftChars="0" w:right="0" w:firstLine="560" w:firstLineChars="200"/>
        <w:textAlignment w:val="auto"/>
      </w:pPr>
      <w:r>
        <w:rPr>
          <w:rFonts w:cs="宋体"/>
        </w:rPr>
        <w:t>b)</w:t>
      </w:r>
      <w:r>
        <w:rPr>
          <w:rFonts w:hint="eastAsia"/>
        </w:rPr>
        <w:t>消防用水与其他用水共用的水池，应采取确保消防用水量不作他用的技术措施；（A</w:t>
      </w:r>
      <w:r>
        <w:rPr>
          <w:rFonts w:hint="eastAsia"/>
          <w:spacing w:val="-28"/>
        </w:rPr>
        <w:t>类</w:t>
      </w:r>
      <w:r>
        <w:rPr>
          <w:rFonts w:hint="eastAsia"/>
        </w:rPr>
        <w:t>）</w:t>
      </w:r>
    </w:p>
    <w:p w14:paraId="42833649">
      <w:pPr>
        <w:pStyle w:val="32"/>
        <w:keepNext w:val="0"/>
        <w:keepLines w:val="0"/>
        <w:pageBreakBefore w:val="0"/>
        <w:kinsoku/>
        <w:wordWrap/>
        <w:overflowPunct/>
        <w:topLinePunct w:val="0"/>
        <w:bidi w:val="0"/>
        <w:ind w:left="0" w:leftChars="0" w:right="0" w:firstLine="560" w:firstLineChars="200"/>
        <w:textAlignment w:val="auto"/>
      </w:pPr>
      <w:r>
        <w:rPr>
          <w:rFonts w:cs="宋体"/>
        </w:rPr>
        <w:t>c)</w:t>
      </w:r>
      <w:r>
        <w:rPr>
          <w:rFonts w:hint="eastAsia"/>
        </w:rPr>
        <w:t>消防水池应设自动补水措施，进水管管径应与设计文件相符；（B</w:t>
      </w:r>
      <w:r>
        <w:rPr>
          <w:rFonts w:hint="eastAsia"/>
          <w:spacing w:val="-28"/>
        </w:rPr>
        <w:t>类</w:t>
      </w:r>
      <w:r>
        <w:rPr>
          <w:rFonts w:hint="eastAsia"/>
        </w:rPr>
        <w:t>）</w:t>
      </w:r>
    </w:p>
    <w:p w14:paraId="1ED86C85">
      <w:pPr>
        <w:pStyle w:val="32"/>
        <w:keepNext w:val="0"/>
        <w:keepLines w:val="0"/>
        <w:pageBreakBefore w:val="0"/>
        <w:kinsoku/>
        <w:wordWrap/>
        <w:overflowPunct/>
        <w:topLinePunct w:val="0"/>
        <w:bidi w:val="0"/>
        <w:ind w:left="0" w:leftChars="0" w:right="0" w:firstLine="560" w:firstLineChars="200"/>
        <w:textAlignment w:val="auto"/>
      </w:pPr>
      <w:r>
        <w:rPr>
          <w:rFonts w:cs="宋体"/>
        </w:rPr>
        <w:t>d)</w:t>
      </w:r>
      <w:r>
        <w:rPr>
          <w:rFonts w:hint="eastAsia"/>
        </w:rPr>
        <w:t>消防水池的出水管设置应与设计文件相符，并能保证消防水池的有效容积能被全部利用；（A类）</w:t>
      </w:r>
    </w:p>
    <w:p w14:paraId="1692FEE4">
      <w:pPr>
        <w:pStyle w:val="32"/>
        <w:keepNext w:val="0"/>
        <w:keepLines w:val="0"/>
        <w:pageBreakBefore w:val="0"/>
        <w:kinsoku/>
        <w:wordWrap/>
        <w:overflowPunct/>
        <w:topLinePunct w:val="0"/>
        <w:bidi w:val="0"/>
        <w:ind w:left="0" w:leftChars="0" w:right="0" w:firstLine="560" w:firstLineChars="200"/>
        <w:textAlignment w:val="auto"/>
      </w:pPr>
      <w:r>
        <w:rPr>
          <w:rFonts w:cs="宋体"/>
        </w:rPr>
        <w:t>e)</w:t>
      </w:r>
      <w:r>
        <w:rPr>
          <w:rFonts w:hint="eastAsia"/>
        </w:rPr>
        <w:t>消防水池应设置就地水位显示装置，并应在消防控制中心或值班室等地点设置显示消防水池</w:t>
      </w:r>
      <w:r>
        <w:rPr>
          <w:rFonts w:hint="eastAsia"/>
          <w:spacing w:val="-2"/>
        </w:rPr>
        <w:t>水位的装置；</w:t>
      </w:r>
      <w:r>
        <w:rPr>
          <w:rFonts w:hint="eastAsia"/>
        </w:rPr>
        <w:t>（C</w:t>
      </w:r>
      <w:r>
        <w:rPr>
          <w:rFonts w:hint="eastAsia"/>
          <w:spacing w:val="-28"/>
        </w:rPr>
        <w:t>类</w:t>
      </w:r>
      <w:r>
        <w:rPr>
          <w:rFonts w:hint="eastAsia"/>
          <w:spacing w:val="-3"/>
        </w:rPr>
        <w:t>）</w:t>
      </w:r>
    </w:p>
    <w:p w14:paraId="6DB073FC">
      <w:pPr>
        <w:pStyle w:val="32"/>
        <w:keepNext w:val="0"/>
        <w:keepLines w:val="0"/>
        <w:pageBreakBefore w:val="0"/>
        <w:kinsoku/>
        <w:wordWrap/>
        <w:overflowPunct/>
        <w:topLinePunct w:val="0"/>
        <w:bidi w:val="0"/>
        <w:ind w:left="0" w:leftChars="0" w:right="0" w:firstLine="560" w:firstLineChars="200"/>
        <w:textAlignment w:val="auto"/>
      </w:pPr>
      <w:r>
        <w:rPr>
          <w:rFonts w:cs="宋体"/>
        </w:rPr>
        <w:t>f)</w:t>
      </w:r>
      <w:r>
        <w:rPr>
          <w:rFonts w:hint="eastAsia"/>
        </w:rPr>
        <w:t>消防水池应设置溢流水管和排水设施，并应采用间接排水。（C</w:t>
      </w:r>
      <w:r>
        <w:rPr>
          <w:rFonts w:hint="eastAsia"/>
          <w:spacing w:val="-24"/>
        </w:rPr>
        <w:t>类</w:t>
      </w:r>
      <w:r>
        <w:rPr>
          <w:rFonts w:hint="eastAsia"/>
        </w:rPr>
        <w:t>）</w:t>
      </w:r>
    </w:p>
    <w:p w14:paraId="04180E8C">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w:t>
      </w:r>
      <w:r>
        <w:t>按实际安装数量的10</w:t>
      </w:r>
      <w:r>
        <w:rPr>
          <w:rFonts w:hint="eastAsia"/>
        </w:rPr>
        <w:t>0</w:t>
      </w:r>
      <w:r>
        <w:t>%</w:t>
      </w:r>
      <w:r>
        <w:rPr>
          <w:rFonts w:hint="eastAsia"/>
        </w:rPr>
        <w:t>检测</w:t>
      </w:r>
      <w:r>
        <w:rPr>
          <w:rFonts w:hint="eastAsia"/>
          <w:spacing w:val="-3"/>
        </w:rPr>
        <w:t>。</w:t>
      </w:r>
    </w:p>
    <w:p w14:paraId="448FF30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检测方法：对照设计文件，现场查看。检测器具：游标卡尺。</w:t>
      </w:r>
    </w:p>
    <w:p w14:paraId="4AF2ADFF">
      <w:pPr>
        <w:pStyle w:val="32"/>
        <w:keepNext w:val="0"/>
        <w:keepLines w:val="0"/>
        <w:pageBreakBefore w:val="0"/>
        <w:kinsoku/>
        <w:wordWrap/>
        <w:overflowPunct/>
        <w:topLinePunct w:val="0"/>
        <w:bidi w:val="0"/>
        <w:ind w:left="0" w:leftChars="0" w:right="0" w:firstLine="560" w:firstLineChars="200"/>
        <w:textAlignment w:val="auto"/>
      </w:pPr>
      <w:r>
        <w:rPr>
          <w:rFonts w:hint="eastAsia"/>
        </w:rPr>
        <w:t>4.11.2市政给水</w:t>
      </w:r>
    </w:p>
    <w:p w14:paraId="58EDA3A0">
      <w:pPr>
        <w:pStyle w:val="32"/>
        <w:keepNext w:val="0"/>
        <w:keepLines w:val="0"/>
        <w:pageBreakBefore w:val="0"/>
        <w:kinsoku/>
        <w:wordWrap/>
        <w:overflowPunct/>
        <w:topLinePunct w:val="0"/>
        <w:bidi w:val="0"/>
        <w:ind w:left="0" w:leftChars="0" w:right="0" w:firstLine="560" w:firstLineChars="200"/>
        <w:textAlignment w:val="auto"/>
      </w:pPr>
      <w:r>
        <w:rPr>
          <w:rFonts w:hint="eastAsia"/>
        </w:rPr>
        <w:t>检验要求：当系统采用市政供水时，进水管的接入位置、管径和数量及供水压力应与设计文件相符。（A类）</w:t>
      </w:r>
    </w:p>
    <w:p w14:paraId="720D406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w:t>
      </w:r>
      <w:r>
        <w:t>按实际安装数量的10</w:t>
      </w:r>
      <w:r>
        <w:rPr>
          <w:rFonts w:hint="eastAsia"/>
        </w:rPr>
        <w:t>0</w:t>
      </w:r>
      <w:r>
        <w:t>%</w:t>
      </w:r>
      <w:r>
        <w:rPr>
          <w:rFonts w:hint="eastAsia"/>
        </w:rPr>
        <w:t>检测。</w:t>
      </w:r>
    </w:p>
    <w:p w14:paraId="72CC723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检测方法：对照设计文件，核查供水管径和数量是否与设计相符。</w:t>
      </w:r>
    </w:p>
    <w:p w14:paraId="798DFC81">
      <w:pPr>
        <w:pStyle w:val="32"/>
        <w:keepNext w:val="0"/>
        <w:keepLines w:val="0"/>
        <w:pageBreakBefore w:val="0"/>
        <w:kinsoku/>
        <w:wordWrap/>
        <w:overflowPunct/>
        <w:topLinePunct w:val="0"/>
        <w:bidi w:val="0"/>
        <w:ind w:left="0" w:leftChars="0" w:right="0" w:firstLine="560" w:firstLineChars="200"/>
        <w:textAlignment w:val="auto"/>
      </w:pPr>
      <w:r>
        <w:rPr>
          <w:rFonts w:hint="eastAsia"/>
        </w:rPr>
        <w:t>4.11.3天然水源及其它</w:t>
      </w:r>
    </w:p>
    <w:p w14:paraId="1CB9975D">
      <w:pPr>
        <w:pStyle w:val="32"/>
        <w:keepNext w:val="0"/>
        <w:keepLines w:val="0"/>
        <w:pageBreakBefore w:val="0"/>
        <w:kinsoku/>
        <w:wordWrap/>
        <w:overflowPunct/>
        <w:topLinePunct w:val="0"/>
        <w:bidi w:val="0"/>
        <w:ind w:left="0" w:leftChars="0" w:right="0" w:firstLine="560" w:firstLineChars="200"/>
        <w:textAlignment w:val="auto"/>
        <w:rPr>
          <w:spacing w:val="-2"/>
        </w:rPr>
      </w:pPr>
      <w:r>
        <w:rPr>
          <w:rFonts w:hint="eastAsia"/>
        </w:rPr>
        <w:t>检测要求：</w:t>
      </w:r>
    </w:p>
    <w:p w14:paraId="065889E8">
      <w:pPr>
        <w:pStyle w:val="32"/>
        <w:keepNext w:val="0"/>
        <w:keepLines w:val="0"/>
        <w:pageBreakBefore w:val="0"/>
        <w:kinsoku/>
        <w:wordWrap/>
        <w:overflowPunct/>
        <w:topLinePunct w:val="0"/>
        <w:bidi w:val="0"/>
        <w:ind w:left="0" w:leftChars="0" w:right="0" w:firstLine="560" w:firstLineChars="200"/>
        <w:textAlignment w:val="auto"/>
      </w:pPr>
      <w:r>
        <w:rPr>
          <w:rFonts w:hint="eastAsia"/>
        </w:rPr>
        <w:t>a)当地表水作为室外消防水源时，应采取确保消防车、固定和移动消防水泵在枯水位取水的技术措施；（B</w:t>
      </w:r>
      <w:r>
        <w:rPr>
          <w:rFonts w:hint="eastAsia"/>
          <w:spacing w:val="-28"/>
        </w:rPr>
        <w:t>类</w:t>
      </w:r>
      <w:r>
        <w:rPr>
          <w:rFonts w:hint="eastAsia"/>
        </w:rPr>
        <w:t>）</w:t>
      </w:r>
    </w:p>
    <w:p w14:paraId="1DB915B9">
      <w:pPr>
        <w:pStyle w:val="32"/>
        <w:keepNext w:val="0"/>
        <w:keepLines w:val="0"/>
        <w:pageBreakBefore w:val="0"/>
        <w:kinsoku/>
        <w:wordWrap/>
        <w:overflowPunct/>
        <w:topLinePunct w:val="0"/>
        <w:bidi w:val="0"/>
        <w:ind w:left="0" w:leftChars="0" w:right="0" w:firstLine="560" w:firstLineChars="200"/>
        <w:textAlignment w:val="auto"/>
        <w:rPr>
          <w:spacing w:val="-3"/>
        </w:rPr>
      </w:pPr>
      <w:r>
        <w:rPr>
          <w:rFonts w:hint="eastAsia"/>
        </w:rPr>
        <w:t>b)当消防车取水时，最大吸水高度不应超过6.0m</w:t>
      </w:r>
      <w:r>
        <w:rPr>
          <w:rFonts w:hint="eastAsia"/>
          <w:spacing w:val="-3"/>
        </w:rPr>
        <w:t>。</w:t>
      </w:r>
      <w:r>
        <w:rPr>
          <w:rFonts w:hint="eastAsia"/>
        </w:rPr>
        <w:t>（B</w:t>
      </w:r>
      <w:r>
        <w:rPr>
          <w:rFonts w:hint="eastAsia"/>
          <w:spacing w:val="-24"/>
        </w:rPr>
        <w:t>类</w:t>
      </w:r>
      <w:r>
        <w:rPr>
          <w:rFonts w:hint="eastAsia"/>
          <w:spacing w:val="-3"/>
        </w:rPr>
        <w:t>）</w:t>
      </w:r>
    </w:p>
    <w:p w14:paraId="368AECF9">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w:t>
      </w:r>
      <w:r>
        <w:t>按实际安装数量的10</w:t>
      </w:r>
      <w:r>
        <w:rPr>
          <w:rFonts w:hint="eastAsia"/>
        </w:rPr>
        <w:t>0</w:t>
      </w:r>
      <w:r>
        <w:t>%</w:t>
      </w:r>
      <w:r>
        <w:rPr>
          <w:rFonts w:hint="eastAsia"/>
        </w:rPr>
        <w:t>检测</w:t>
      </w:r>
      <w:r>
        <w:rPr>
          <w:rFonts w:hint="eastAsia"/>
          <w:spacing w:val="-3"/>
        </w:rPr>
        <w:t>。</w:t>
      </w:r>
    </w:p>
    <w:p w14:paraId="2577573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检测方法：直观检查、尺量。检测器具：钢卷尺。</w:t>
      </w:r>
    </w:p>
    <w:p w14:paraId="22056ABB">
      <w:pPr>
        <w:pStyle w:val="32"/>
        <w:keepNext w:val="0"/>
        <w:keepLines w:val="0"/>
        <w:pageBreakBefore w:val="0"/>
        <w:kinsoku/>
        <w:wordWrap/>
        <w:overflowPunct/>
        <w:topLinePunct w:val="0"/>
        <w:bidi w:val="0"/>
        <w:ind w:left="0" w:leftChars="0" w:right="0" w:firstLine="560" w:firstLineChars="200"/>
        <w:textAlignment w:val="auto"/>
      </w:pPr>
      <w:r>
        <w:rPr>
          <w:rFonts w:hint="eastAsia"/>
        </w:rPr>
        <w:t>4.12室内(外)消火栓系统</w:t>
      </w:r>
    </w:p>
    <w:p w14:paraId="4CCB0C7A">
      <w:pPr>
        <w:pStyle w:val="32"/>
        <w:keepNext w:val="0"/>
        <w:keepLines w:val="0"/>
        <w:pageBreakBefore w:val="0"/>
        <w:kinsoku/>
        <w:wordWrap/>
        <w:overflowPunct/>
        <w:topLinePunct w:val="0"/>
        <w:bidi w:val="0"/>
        <w:ind w:left="0" w:leftChars="0" w:right="0" w:firstLine="560" w:firstLineChars="200"/>
        <w:textAlignment w:val="auto"/>
      </w:pPr>
      <w:r>
        <w:rPr>
          <w:rFonts w:hint="eastAsia"/>
        </w:rPr>
        <w:t>一般规定</w:t>
      </w:r>
    </w:p>
    <w:p w14:paraId="24262BD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检测要求：消火栓系统的选型应与设计文件相符。（A类）</w:t>
      </w:r>
    </w:p>
    <w:p w14:paraId="51823E2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w:t>
      </w:r>
      <w:r>
        <w:t>按实际安装数量的10</w:t>
      </w:r>
      <w:r>
        <w:rPr>
          <w:rFonts w:hint="eastAsia"/>
        </w:rPr>
        <w:t>0</w:t>
      </w:r>
      <w:r>
        <w:t>%</w:t>
      </w:r>
      <w:r>
        <w:rPr>
          <w:rFonts w:hint="eastAsia"/>
        </w:rPr>
        <w:t>检测。</w:t>
      </w:r>
    </w:p>
    <w:p w14:paraId="41568D0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w:t>
      </w:r>
    </w:p>
    <w:p w14:paraId="620A8071">
      <w:pPr>
        <w:pStyle w:val="32"/>
        <w:keepNext w:val="0"/>
        <w:keepLines w:val="0"/>
        <w:pageBreakBefore w:val="0"/>
        <w:kinsoku/>
        <w:wordWrap/>
        <w:overflowPunct/>
        <w:topLinePunct w:val="0"/>
        <w:bidi w:val="0"/>
        <w:ind w:left="0" w:leftChars="0" w:right="0" w:firstLine="560" w:firstLineChars="200"/>
        <w:textAlignment w:val="auto"/>
      </w:pPr>
      <w:r>
        <w:rPr>
          <w:rFonts w:hint="eastAsia"/>
        </w:rPr>
        <w:t>4.12.1室内消火栓系统</w:t>
      </w:r>
    </w:p>
    <w:p w14:paraId="050C18CD">
      <w:pPr>
        <w:pStyle w:val="32"/>
        <w:keepNext w:val="0"/>
        <w:keepLines w:val="0"/>
        <w:pageBreakBefore w:val="0"/>
        <w:kinsoku/>
        <w:wordWrap/>
        <w:overflowPunct/>
        <w:topLinePunct w:val="0"/>
        <w:bidi w:val="0"/>
        <w:ind w:left="0" w:leftChars="0" w:right="0" w:firstLine="560" w:firstLineChars="200"/>
        <w:textAlignment w:val="auto"/>
      </w:pPr>
      <w:r>
        <w:rPr>
          <w:rFonts w:hint="eastAsia"/>
        </w:rPr>
        <w:t>消防水泵及控制柜</w:t>
      </w:r>
    </w:p>
    <w:p w14:paraId="1DD430E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102FD50C">
      <w:pPr>
        <w:pStyle w:val="32"/>
        <w:keepNext w:val="0"/>
        <w:keepLines w:val="0"/>
        <w:pageBreakBefore w:val="0"/>
        <w:kinsoku/>
        <w:wordWrap/>
        <w:overflowPunct/>
        <w:topLinePunct w:val="0"/>
        <w:bidi w:val="0"/>
        <w:ind w:left="0" w:leftChars="0" w:right="0" w:firstLine="560" w:firstLineChars="200"/>
        <w:textAlignment w:val="auto"/>
      </w:pPr>
      <w:r>
        <w:rPr>
          <w:rFonts w:hint="eastAsia"/>
        </w:rPr>
        <w:t>a)消防水泵的设置应符合以下要求：</w:t>
      </w:r>
    </w:p>
    <w:p w14:paraId="1F923160">
      <w:pPr>
        <w:pStyle w:val="32"/>
        <w:keepNext w:val="0"/>
        <w:keepLines w:val="0"/>
        <w:pageBreakBefore w:val="0"/>
        <w:kinsoku/>
        <w:wordWrap/>
        <w:overflowPunct/>
        <w:topLinePunct w:val="0"/>
        <w:bidi w:val="0"/>
        <w:ind w:left="0" w:leftChars="0" w:right="0" w:firstLine="560" w:firstLineChars="200"/>
        <w:textAlignment w:val="auto"/>
      </w:pPr>
      <w:r>
        <w:rPr>
          <w:rFonts w:hint="eastAsia"/>
        </w:rPr>
        <w:t>1)消防水泵的规格型号、数量及性能指标应与设计文件相符；（A</w:t>
      </w:r>
      <w:r>
        <w:rPr>
          <w:rFonts w:hint="eastAsia"/>
          <w:spacing w:val="-28"/>
        </w:rPr>
        <w:t>类</w:t>
      </w:r>
      <w:r>
        <w:rPr>
          <w:rFonts w:hint="eastAsia"/>
        </w:rPr>
        <w:t>）</w:t>
      </w:r>
    </w:p>
    <w:p w14:paraId="6EEA5E2A">
      <w:pPr>
        <w:pStyle w:val="32"/>
        <w:keepNext w:val="0"/>
        <w:keepLines w:val="0"/>
        <w:pageBreakBefore w:val="0"/>
        <w:kinsoku/>
        <w:wordWrap/>
        <w:overflowPunct/>
        <w:topLinePunct w:val="0"/>
        <w:bidi w:val="0"/>
        <w:ind w:left="0" w:leftChars="0" w:right="0" w:firstLine="560" w:firstLineChars="200"/>
        <w:textAlignment w:val="auto"/>
      </w:pPr>
      <w:r>
        <w:rPr>
          <w:rFonts w:hint="eastAsia"/>
        </w:rPr>
        <w:t>2)消防水泵应有注明系统名称和供水范围的标志牌；(B</w:t>
      </w:r>
      <w:r>
        <w:rPr>
          <w:rFonts w:hint="eastAsia"/>
          <w:spacing w:val="-19"/>
        </w:rPr>
        <w:t>类)</w:t>
      </w:r>
    </w:p>
    <w:p w14:paraId="21ED022B">
      <w:pPr>
        <w:pStyle w:val="32"/>
        <w:keepNext w:val="0"/>
        <w:keepLines w:val="0"/>
        <w:pageBreakBefore w:val="0"/>
        <w:kinsoku/>
        <w:wordWrap/>
        <w:overflowPunct/>
        <w:topLinePunct w:val="0"/>
        <w:bidi w:val="0"/>
        <w:ind w:left="0" w:leftChars="0" w:right="0" w:firstLine="560" w:firstLineChars="200"/>
        <w:textAlignment w:val="auto"/>
      </w:pPr>
      <w:r>
        <w:rPr>
          <w:rFonts w:hint="eastAsia"/>
        </w:rPr>
        <w:t>3)消防水泵设置备用泵的，其性能应与工作泵性能一致。当主泵故障时，备用泵应能切换运行。（A</w:t>
      </w:r>
      <w:r>
        <w:rPr>
          <w:rFonts w:hint="eastAsia"/>
          <w:spacing w:val="-28"/>
        </w:rPr>
        <w:t>类</w:t>
      </w:r>
      <w:r>
        <w:rPr>
          <w:rFonts w:hint="eastAsia"/>
        </w:rPr>
        <w:t>）</w:t>
      </w:r>
    </w:p>
    <w:p w14:paraId="25E8FF49">
      <w:pPr>
        <w:pStyle w:val="32"/>
        <w:keepNext w:val="0"/>
        <w:keepLines w:val="0"/>
        <w:pageBreakBefore w:val="0"/>
        <w:kinsoku/>
        <w:wordWrap/>
        <w:overflowPunct/>
        <w:topLinePunct w:val="0"/>
        <w:bidi w:val="0"/>
        <w:ind w:left="0" w:leftChars="0" w:right="0" w:firstLine="560" w:firstLineChars="200"/>
        <w:textAlignment w:val="auto"/>
      </w:pPr>
      <w:r>
        <w:rPr>
          <w:rFonts w:hint="eastAsia"/>
        </w:rPr>
        <w:t>b)消防水泵的控制与操作应符合以下要求：</w:t>
      </w:r>
    </w:p>
    <w:p w14:paraId="04221D87">
      <w:pPr>
        <w:pStyle w:val="32"/>
        <w:keepNext w:val="0"/>
        <w:keepLines w:val="0"/>
        <w:pageBreakBefore w:val="0"/>
        <w:kinsoku/>
        <w:wordWrap/>
        <w:overflowPunct/>
        <w:topLinePunct w:val="0"/>
        <w:bidi w:val="0"/>
        <w:ind w:left="0" w:leftChars="0" w:right="0" w:firstLine="560" w:firstLineChars="200"/>
        <w:textAlignment w:val="auto"/>
      </w:pPr>
      <w:r>
        <w:rPr>
          <w:rFonts w:hint="eastAsia"/>
        </w:rPr>
        <w:t>1)当主泵故障时，备用泵应能切换运行；（A</w:t>
      </w:r>
      <w:r>
        <w:rPr>
          <w:rFonts w:hint="eastAsia"/>
          <w:spacing w:val="-28"/>
        </w:rPr>
        <w:t>类</w:t>
      </w:r>
      <w:r>
        <w:rPr>
          <w:rFonts w:hint="eastAsia"/>
        </w:rPr>
        <w:t>）</w:t>
      </w:r>
    </w:p>
    <w:p w14:paraId="7B7BC98A">
      <w:pPr>
        <w:pStyle w:val="32"/>
        <w:keepNext w:val="0"/>
        <w:keepLines w:val="0"/>
        <w:pageBreakBefore w:val="0"/>
        <w:kinsoku/>
        <w:wordWrap/>
        <w:overflowPunct/>
        <w:topLinePunct w:val="0"/>
        <w:bidi w:val="0"/>
        <w:ind w:left="0" w:leftChars="0" w:right="0" w:firstLine="560" w:firstLineChars="200"/>
        <w:textAlignment w:val="auto"/>
      </w:pPr>
      <w:r>
        <w:rPr>
          <w:rFonts w:hint="eastAsia"/>
        </w:rPr>
        <w:t>2)消防水泵应能手动启停和自动启动，且不应设置自动停泵的控制功能；（A</w:t>
      </w:r>
      <w:r>
        <w:rPr>
          <w:rFonts w:hint="eastAsia"/>
          <w:spacing w:val="-27"/>
        </w:rPr>
        <w:t>类</w:t>
      </w:r>
      <w:r>
        <w:rPr>
          <w:rFonts w:hint="eastAsia"/>
        </w:rPr>
        <w:t>）</w:t>
      </w:r>
    </w:p>
    <w:p w14:paraId="7EE644CA">
      <w:pPr>
        <w:pStyle w:val="32"/>
        <w:keepNext w:val="0"/>
        <w:keepLines w:val="0"/>
        <w:pageBreakBefore w:val="0"/>
        <w:kinsoku/>
        <w:wordWrap/>
        <w:overflowPunct/>
        <w:topLinePunct w:val="0"/>
        <w:bidi w:val="0"/>
        <w:ind w:left="0" w:leftChars="0" w:right="0" w:firstLine="560" w:firstLineChars="200"/>
        <w:textAlignment w:val="auto"/>
      </w:pPr>
      <w:r>
        <w:rPr>
          <w:rFonts w:hint="eastAsia"/>
        </w:rPr>
        <w:t>3)消防控制柜或控制盘应设置专用线路连接的手动直接启泵按扭；（A</w:t>
      </w:r>
      <w:r>
        <w:rPr>
          <w:rFonts w:hint="eastAsia"/>
          <w:spacing w:val="-28"/>
        </w:rPr>
        <w:t>类</w:t>
      </w:r>
      <w:r>
        <w:rPr>
          <w:rFonts w:hint="eastAsia"/>
        </w:rPr>
        <w:t>）</w:t>
      </w:r>
    </w:p>
    <w:p w14:paraId="3DF4150C">
      <w:pPr>
        <w:pStyle w:val="32"/>
        <w:keepNext w:val="0"/>
        <w:keepLines w:val="0"/>
        <w:pageBreakBefore w:val="0"/>
        <w:kinsoku/>
        <w:wordWrap/>
        <w:overflowPunct/>
        <w:topLinePunct w:val="0"/>
        <w:bidi w:val="0"/>
        <w:ind w:left="0" w:leftChars="0" w:right="0" w:firstLine="560" w:firstLineChars="200"/>
        <w:textAlignment w:val="auto"/>
      </w:pPr>
      <w:r>
        <w:rPr>
          <w:rFonts w:hint="eastAsia"/>
        </w:rPr>
        <w:t>4)消防水泵应确保从接到启泵信号到水泵正常运转的自动启动时间不应大于2mi</w:t>
      </w:r>
      <w:r>
        <w:rPr>
          <w:rFonts w:hint="eastAsia"/>
          <w:spacing w:val="-1"/>
        </w:rPr>
        <w:t>n</w:t>
      </w:r>
      <w:r>
        <w:rPr>
          <w:rFonts w:hint="eastAsia"/>
          <w:spacing w:val="-166"/>
        </w:rPr>
        <w:t>；</w:t>
      </w:r>
      <w:r>
        <w:rPr>
          <w:rFonts w:hint="eastAsia"/>
        </w:rPr>
        <w:t>（B类）</w:t>
      </w:r>
    </w:p>
    <w:p w14:paraId="187A3590">
      <w:pPr>
        <w:pStyle w:val="32"/>
        <w:keepNext w:val="0"/>
        <w:keepLines w:val="0"/>
        <w:pageBreakBefore w:val="0"/>
        <w:kinsoku/>
        <w:wordWrap/>
        <w:overflowPunct/>
        <w:topLinePunct w:val="0"/>
        <w:bidi w:val="0"/>
        <w:ind w:left="0" w:leftChars="0" w:right="0" w:firstLine="560" w:firstLineChars="200"/>
        <w:textAlignment w:val="auto"/>
      </w:pPr>
      <w:r>
        <w:rPr>
          <w:rFonts w:hint="eastAsia"/>
        </w:rPr>
        <w:t>5)消防水泵的启动、停止及故障信号应反馈至消防联动控制器。（B</w:t>
      </w:r>
      <w:r>
        <w:rPr>
          <w:rFonts w:hint="eastAsia"/>
          <w:spacing w:val="-28"/>
        </w:rPr>
        <w:t>类</w:t>
      </w:r>
      <w:r>
        <w:rPr>
          <w:rFonts w:hint="eastAsia"/>
        </w:rPr>
        <w:t>）</w:t>
      </w:r>
    </w:p>
    <w:p w14:paraId="248B5D55">
      <w:pPr>
        <w:pStyle w:val="32"/>
        <w:keepNext w:val="0"/>
        <w:keepLines w:val="0"/>
        <w:pageBreakBefore w:val="0"/>
        <w:kinsoku/>
        <w:wordWrap/>
        <w:overflowPunct/>
        <w:topLinePunct w:val="0"/>
        <w:bidi w:val="0"/>
        <w:ind w:left="0" w:leftChars="0" w:right="0" w:firstLine="560" w:firstLineChars="200"/>
        <w:textAlignment w:val="auto"/>
      </w:pPr>
      <w:r>
        <w:rPr>
          <w:rFonts w:hint="eastAsia"/>
        </w:rPr>
        <w:t>c)消防水泵吸水应符合下列规定：</w:t>
      </w:r>
    </w:p>
    <w:p w14:paraId="19941424">
      <w:pPr>
        <w:pStyle w:val="32"/>
        <w:keepNext w:val="0"/>
        <w:keepLines w:val="0"/>
        <w:pageBreakBefore w:val="0"/>
        <w:kinsoku/>
        <w:wordWrap/>
        <w:overflowPunct/>
        <w:topLinePunct w:val="0"/>
        <w:bidi w:val="0"/>
        <w:ind w:left="0" w:leftChars="0" w:right="0" w:firstLine="560" w:firstLineChars="200"/>
        <w:textAlignment w:val="auto"/>
      </w:pPr>
      <w:r>
        <w:rPr>
          <w:rFonts w:hint="eastAsia"/>
        </w:rPr>
        <w:t>1)消防水泵应采取自灌式吸水；（A</w:t>
      </w:r>
      <w:r>
        <w:rPr>
          <w:rFonts w:hint="eastAsia"/>
          <w:spacing w:val="-28"/>
        </w:rPr>
        <w:t>类</w:t>
      </w:r>
      <w:r>
        <w:rPr>
          <w:rFonts w:hint="eastAsia"/>
        </w:rPr>
        <w:t>）</w:t>
      </w:r>
    </w:p>
    <w:p w14:paraId="7F6EF137">
      <w:pPr>
        <w:pStyle w:val="32"/>
        <w:keepNext w:val="0"/>
        <w:keepLines w:val="0"/>
        <w:pageBreakBefore w:val="0"/>
        <w:kinsoku/>
        <w:wordWrap/>
        <w:overflowPunct/>
        <w:topLinePunct w:val="0"/>
        <w:bidi w:val="0"/>
        <w:ind w:left="0" w:leftChars="0" w:right="0" w:firstLine="560" w:firstLineChars="200"/>
        <w:textAlignment w:val="auto"/>
      </w:pPr>
      <w:r>
        <w:rPr>
          <w:rFonts w:hint="eastAsia"/>
        </w:rPr>
        <w:t>2)消防水泵从市政管网直接抽水时，应在消防水泵出水管上设置有空气隔断的倒流防止器。（A类）</w:t>
      </w:r>
    </w:p>
    <w:p w14:paraId="4FF6C79C">
      <w:pPr>
        <w:pStyle w:val="32"/>
        <w:keepNext w:val="0"/>
        <w:keepLines w:val="0"/>
        <w:pageBreakBefore w:val="0"/>
        <w:kinsoku/>
        <w:wordWrap/>
        <w:overflowPunct/>
        <w:topLinePunct w:val="0"/>
        <w:bidi w:val="0"/>
        <w:ind w:left="0" w:leftChars="0" w:right="0" w:firstLine="560" w:firstLineChars="200"/>
        <w:textAlignment w:val="auto"/>
      </w:pPr>
      <w:r>
        <w:rPr>
          <w:rFonts w:hint="eastAsia"/>
        </w:rPr>
        <w:t>d)消防水泵进、出水管及附件应符合以下要求：</w:t>
      </w:r>
    </w:p>
    <w:p w14:paraId="223D5D98">
      <w:pPr>
        <w:pStyle w:val="32"/>
        <w:keepNext w:val="0"/>
        <w:keepLines w:val="0"/>
        <w:pageBreakBefore w:val="0"/>
        <w:kinsoku/>
        <w:wordWrap/>
        <w:overflowPunct/>
        <w:topLinePunct w:val="0"/>
        <w:bidi w:val="0"/>
        <w:ind w:left="0" w:leftChars="0" w:right="0" w:firstLine="560" w:firstLineChars="200"/>
        <w:textAlignment w:val="auto"/>
      </w:pPr>
      <w:r>
        <w:rPr>
          <w:rFonts w:hint="eastAsia"/>
        </w:rPr>
        <w:t>1)消防水泵吸水管和出水管的管径应与设计文件相符,一组消防水泵吸水管不应少于2</w:t>
      </w:r>
      <w:r>
        <w:rPr>
          <w:rFonts w:hint="eastAsia"/>
          <w:spacing w:val="3"/>
        </w:rPr>
        <w:t>条，</w:t>
      </w:r>
      <w:r>
        <w:rPr>
          <w:rFonts w:hint="eastAsia"/>
          <w:spacing w:val="-9"/>
        </w:rPr>
        <w:t>出水管应设不少于</w:t>
      </w:r>
      <w:r>
        <w:rPr>
          <w:rFonts w:hint="eastAsia"/>
        </w:rPr>
        <w:t>2</w:t>
      </w:r>
      <w:r>
        <w:rPr>
          <w:rFonts w:hint="eastAsia"/>
          <w:spacing w:val="-9"/>
        </w:rPr>
        <w:t>条的输水干管与消防给水环状管网连接；</w:t>
      </w:r>
      <w:r>
        <w:rPr>
          <w:rFonts w:hint="eastAsia"/>
        </w:rPr>
        <w:t>（B</w:t>
      </w:r>
      <w:r>
        <w:rPr>
          <w:rFonts w:hint="eastAsia"/>
          <w:spacing w:val="-27"/>
        </w:rPr>
        <w:t>类</w:t>
      </w:r>
      <w:r>
        <w:rPr>
          <w:rFonts w:hint="eastAsia"/>
        </w:rPr>
        <w:t>）</w:t>
      </w:r>
    </w:p>
    <w:p w14:paraId="31FAC639">
      <w:pPr>
        <w:pStyle w:val="32"/>
        <w:keepNext w:val="0"/>
        <w:keepLines w:val="0"/>
        <w:pageBreakBefore w:val="0"/>
        <w:kinsoku/>
        <w:wordWrap/>
        <w:overflowPunct/>
        <w:topLinePunct w:val="0"/>
        <w:bidi w:val="0"/>
        <w:ind w:left="0" w:leftChars="0" w:right="0" w:firstLine="560" w:firstLineChars="200"/>
        <w:textAlignment w:val="auto"/>
      </w:pPr>
      <w:r>
        <w:rPr>
          <w:rFonts w:hint="eastAsia"/>
        </w:rPr>
        <w:t>2)消防水泵的吸水管上应设置明杆闸阀或带自锁装置的蝶阀，但当设置暗杆阀门时应设有</w:t>
      </w:r>
      <w:r>
        <w:rPr>
          <w:rFonts w:hint="eastAsia"/>
          <w:spacing w:val="-3"/>
        </w:rPr>
        <w:t>开启刻度和标志。变径连接处，应采用偏心异径管件并应采用管顶平接；(</w:t>
      </w:r>
      <w:r>
        <w:rPr>
          <w:rFonts w:hint="eastAsia"/>
        </w:rPr>
        <w:t>C</w:t>
      </w:r>
      <w:r>
        <w:rPr>
          <w:rFonts w:hint="eastAsia"/>
          <w:spacing w:val="-19"/>
        </w:rPr>
        <w:t>类)</w:t>
      </w:r>
    </w:p>
    <w:p w14:paraId="3938033A">
      <w:pPr>
        <w:pStyle w:val="32"/>
        <w:keepNext w:val="0"/>
        <w:keepLines w:val="0"/>
        <w:pageBreakBefore w:val="0"/>
        <w:kinsoku/>
        <w:wordWrap/>
        <w:overflowPunct/>
        <w:topLinePunct w:val="0"/>
        <w:bidi w:val="0"/>
        <w:ind w:left="0" w:leftChars="0" w:right="0" w:firstLine="560" w:firstLineChars="200"/>
        <w:textAlignment w:val="auto"/>
      </w:pPr>
      <w:r>
        <w:rPr>
          <w:rFonts w:hint="eastAsia"/>
        </w:rPr>
        <w:t>3)消防水泵的出水管上应设止回阀、明杆闸阀或带自锁装置的蝶阀、试验和检查用压力表、</w:t>
      </w:r>
      <w:r>
        <w:rPr>
          <w:rFonts w:hint="eastAsia"/>
          <w:spacing w:val="-5"/>
        </w:rPr>
        <w:t>放水阀门；</w:t>
      </w:r>
      <w:r>
        <w:rPr>
          <w:rFonts w:hint="eastAsia"/>
        </w:rPr>
        <w:t>（A</w:t>
      </w:r>
      <w:r>
        <w:rPr>
          <w:rFonts w:hint="eastAsia"/>
          <w:spacing w:val="-28"/>
        </w:rPr>
        <w:t>类</w:t>
      </w:r>
      <w:r>
        <w:rPr>
          <w:rFonts w:hint="eastAsia"/>
          <w:spacing w:val="-3"/>
        </w:rPr>
        <w:t>）</w:t>
      </w:r>
    </w:p>
    <w:p w14:paraId="2582F122">
      <w:pPr>
        <w:pStyle w:val="32"/>
        <w:keepNext w:val="0"/>
        <w:keepLines w:val="0"/>
        <w:pageBreakBefore w:val="0"/>
        <w:kinsoku/>
        <w:wordWrap/>
        <w:overflowPunct/>
        <w:topLinePunct w:val="0"/>
        <w:bidi w:val="0"/>
        <w:ind w:left="0" w:leftChars="0" w:right="0" w:firstLine="560" w:firstLineChars="200"/>
        <w:textAlignment w:val="auto"/>
      </w:pPr>
      <w:r>
        <w:rPr>
          <w:rFonts w:hint="eastAsia"/>
        </w:rPr>
        <w:t>4)当系统存在超压可能时，出水管上应设置防超压设施；（A</w:t>
      </w:r>
      <w:r>
        <w:rPr>
          <w:rFonts w:hint="eastAsia"/>
          <w:spacing w:val="-28"/>
        </w:rPr>
        <w:t>类</w:t>
      </w:r>
      <w:r>
        <w:rPr>
          <w:rFonts w:hint="eastAsia"/>
        </w:rPr>
        <w:t>）</w:t>
      </w:r>
    </w:p>
    <w:p w14:paraId="4085C1FE">
      <w:pPr>
        <w:pStyle w:val="32"/>
        <w:keepNext w:val="0"/>
        <w:keepLines w:val="0"/>
        <w:pageBreakBefore w:val="0"/>
        <w:kinsoku/>
        <w:wordWrap/>
        <w:overflowPunct/>
        <w:topLinePunct w:val="0"/>
        <w:bidi w:val="0"/>
        <w:ind w:left="0" w:leftChars="0" w:right="0" w:firstLine="560" w:firstLineChars="200"/>
        <w:textAlignment w:val="auto"/>
      </w:pPr>
      <w:r>
        <w:rPr>
          <w:rFonts w:hint="eastAsia"/>
        </w:rPr>
        <w:t>5)消防水泵出水干管上应设置低压压力开关，压力设定值应与设计文件相符。（A</w:t>
      </w:r>
      <w:r>
        <w:rPr>
          <w:rFonts w:hint="eastAsia"/>
          <w:spacing w:val="-28"/>
        </w:rPr>
        <w:t>类</w:t>
      </w:r>
      <w:r>
        <w:rPr>
          <w:rFonts w:hint="eastAsia"/>
        </w:rPr>
        <w:t>）</w:t>
      </w:r>
    </w:p>
    <w:p w14:paraId="68AB2FE8">
      <w:pPr>
        <w:pStyle w:val="32"/>
        <w:keepNext w:val="0"/>
        <w:keepLines w:val="0"/>
        <w:pageBreakBefore w:val="0"/>
        <w:kinsoku/>
        <w:wordWrap/>
        <w:overflowPunct/>
        <w:topLinePunct w:val="0"/>
        <w:bidi w:val="0"/>
        <w:ind w:left="0" w:leftChars="0" w:right="0" w:firstLine="560" w:firstLineChars="200"/>
        <w:textAlignment w:val="auto"/>
      </w:pPr>
      <w:r>
        <w:rPr>
          <w:rFonts w:hint="eastAsia"/>
        </w:rPr>
        <w:t>e)消防水泵控制柜应符合下列要求：</w:t>
      </w:r>
    </w:p>
    <w:p w14:paraId="174C98E3">
      <w:pPr>
        <w:pStyle w:val="32"/>
        <w:keepNext w:val="0"/>
        <w:keepLines w:val="0"/>
        <w:pageBreakBefore w:val="0"/>
        <w:kinsoku/>
        <w:wordWrap/>
        <w:overflowPunct/>
        <w:topLinePunct w:val="0"/>
        <w:bidi w:val="0"/>
        <w:ind w:left="0" w:leftChars="0" w:right="0" w:firstLine="560" w:firstLineChars="200"/>
        <w:textAlignment w:val="auto"/>
      </w:pPr>
      <w:r>
        <w:rPr>
          <w:rFonts w:hint="eastAsia"/>
        </w:rPr>
        <w:t>1)消防水泵控制柜应注明所属系统，并在平时处于“自动”状态，其电源信息应反馈至消防控制室；（A</w:t>
      </w:r>
      <w:r>
        <w:rPr>
          <w:rFonts w:hint="eastAsia"/>
          <w:spacing w:val="-28"/>
        </w:rPr>
        <w:t>类</w:t>
      </w:r>
      <w:r>
        <w:rPr>
          <w:rFonts w:hint="eastAsia"/>
          <w:spacing w:val="-3"/>
        </w:rPr>
        <w:t>）</w:t>
      </w:r>
    </w:p>
    <w:p w14:paraId="42FCFC42">
      <w:pPr>
        <w:pStyle w:val="32"/>
        <w:keepNext w:val="0"/>
        <w:keepLines w:val="0"/>
        <w:pageBreakBefore w:val="0"/>
        <w:kinsoku/>
        <w:wordWrap/>
        <w:overflowPunct/>
        <w:topLinePunct w:val="0"/>
        <w:bidi w:val="0"/>
        <w:ind w:left="0" w:leftChars="0" w:right="0" w:firstLine="560" w:firstLineChars="200"/>
        <w:textAlignment w:val="auto"/>
      </w:pPr>
      <w:r>
        <w:rPr>
          <w:rFonts w:hint="eastAsia"/>
        </w:rPr>
        <w:t>2)按钮、指示灯及仪表应正常；（C</w:t>
      </w:r>
      <w:r>
        <w:rPr>
          <w:rFonts w:hint="eastAsia"/>
          <w:spacing w:val="-28"/>
        </w:rPr>
        <w:t>类</w:t>
      </w:r>
      <w:r>
        <w:rPr>
          <w:rFonts w:hint="eastAsia"/>
        </w:rPr>
        <w:t>）</w:t>
      </w:r>
    </w:p>
    <w:p w14:paraId="1B433F70">
      <w:pPr>
        <w:pStyle w:val="32"/>
        <w:keepNext w:val="0"/>
        <w:keepLines w:val="0"/>
        <w:pageBreakBefore w:val="0"/>
        <w:kinsoku/>
        <w:wordWrap/>
        <w:overflowPunct/>
        <w:topLinePunct w:val="0"/>
        <w:bidi w:val="0"/>
        <w:ind w:left="0" w:leftChars="0" w:right="0" w:firstLine="560" w:firstLineChars="200"/>
        <w:textAlignment w:val="auto"/>
      </w:pPr>
      <w:r>
        <w:rPr>
          <w:rFonts w:hint="eastAsia"/>
        </w:rPr>
        <w:t>3)消防水泵控制柜应采取防止被水淹没的措施；（C</w:t>
      </w:r>
      <w:r>
        <w:rPr>
          <w:rFonts w:hint="eastAsia"/>
          <w:spacing w:val="-28"/>
        </w:rPr>
        <w:t>类</w:t>
      </w:r>
      <w:r>
        <w:rPr>
          <w:rFonts w:hint="eastAsia"/>
        </w:rPr>
        <w:t>）</w:t>
      </w:r>
    </w:p>
    <w:p w14:paraId="2923DA86">
      <w:pPr>
        <w:pStyle w:val="32"/>
        <w:keepNext w:val="0"/>
        <w:keepLines w:val="0"/>
        <w:pageBreakBefore w:val="0"/>
        <w:kinsoku/>
        <w:wordWrap/>
        <w:overflowPunct/>
        <w:topLinePunct w:val="0"/>
        <w:bidi w:val="0"/>
        <w:ind w:left="0" w:leftChars="0" w:right="0" w:firstLine="560" w:firstLineChars="200"/>
        <w:textAlignment w:val="auto"/>
      </w:pPr>
      <w:r>
        <w:rPr>
          <w:rFonts w:hint="eastAsia"/>
        </w:rPr>
        <w:t>4)消防水泵控制柜应设置机械应急启泵功能。（A</w:t>
      </w:r>
      <w:r>
        <w:rPr>
          <w:rFonts w:hint="eastAsia"/>
          <w:spacing w:val="-25"/>
        </w:rPr>
        <w:t>类</w:t>
      </w:r>
      <w:r>
        <w:rPr>
          <w:rFonts w:hint="eastAsia"/>
        </w:rPr>
        <w:t>）</w:t>
      </w:r>
    </w:p>
    <w:p w14:paraId="08E653F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1159FAF">
      <w:pPr>
        <w:pStyle w:val="32"/>
        <w:keepNext w:val="0"/>
        <w:keepLines w:val="0"/>
        <w:pageBreakBefore w:val="0"/>
        <w:kinsoku/>
        <w:wordWrap/>
        <w:overflowPunct/>
        <w:topLinePunct w:val="0"/>
        <w:bidi w:val="0"/>
        <w:ind w:left="0" w:leftChars="0" w:right="0" w:firstLine="548" w:firstLineChars="200"/>
        <w:textAlignment w:val="auto"/>
        <w:rPr>
          <w:rFonts w:hint="eastAsia"/>
          <w:spacing w:val="-3"/>
        </w:rPr>
      </w:pPr>
      <w:r>
        <w:rPr>
          <w:rFonts w:hint="eastAsia"/>
          <w:spacing w:val="-3"/>
        </w:rPr>
        <w:t>检测方法：</w:t>
      </w:r>
    </w:p>
    <w:p w14:paraId="0521551C">
      <w:pPr>
        <w:pStyle w:val="32"/>
        <w:keepNext w:val="0"/>
        <w:keepLines w:val="0"/>
        <w:pageBreakBefore w:val="0"/>
        <w:kinsoku/>
        <w:wordWrap/>
        <w:overflowPunct/>
        <w:topLinePunct w:val="0"/>
        <w:bidi w:val="0"/>
        <w:ind w:left="0" w:leftChars="0" w:right="0" w:firstLine="524" w:firstLineChars="200"/>
        <w:textAlignment w:val="auto"/>
        <w:rPr>
          <w:rFonts w:hint="eastAsia"/>
          <w:spacing w:val="-9"/>
        </w:rPr>
      </w:pPr>
      <w:r>
        <w:rPr>
          <w:rFonts w:hint="eastAsia"/>
          <w:spacing w:val="-9"/>
        </w:rPr>
        <w:t>a)</w:t>
      </w:r>
      <w:r>
        <w:rPr>
          <w:rFonts w:hint="eastAsia"/>
          <w:spacing w:val="-8"/>
        </w:rPr>
        <w:t>直观检查消防水泵数量，查验其铭牌，核对设计要求。直观检查水泵是否标明所属系</w:t>
      </w:r>
      <w:r>
        <w:rPr>
          <w:rFonts w:hint="eastAsia"/>
          <w:spacing w:val="-9"/>
        </w:rPr>
        <w:t>统及供水范围；</w:t>
      </w:r>
    </w:p>
    <w:p w14:paraId="7DF185D0">
      <w:pPr>
        <w:pStyle w:val="32"/>
        <w:keepNext w:val="0"/>
        <w:keepLines w:val="0"/>
        <w:pageBreakBefore w:val="0"/>
        <w:kinsoku/>
        <w:wordWrap/>
        <w:overflowPunct/>
        <w:topLinePunct w:val="0"/>
        <w:bidi w:val="0"/>
        <w:ind w:left="0" w:leftChars="0" w:right="0" w:firstLine="452" w:firstLineChars="200"/>
        <w:textAlignment w:val="auto"/>
        <w:rPr>
          <w:rFonts w:hint="eastAsia"/>
          <w:spacing w:val="-8"/>
        </w:rPr>
      </w:pPr>
      <w:r>
        <w:rPr>
          <w:rFonts w:hint="eastAsia"/>
          <w:spacing w:val="-27"/>
        </w:rPr>
        <w:t>b)</w:t>
      </w:r>
      <w:r>
        <w:rPr>
          <w:rFonts w:hint="eastAsia"/>
          <w:spacing w:val="-16"/>
        </w:rPr>
        <w:t>在自动状态启动消防泵，模拟主泵故障，检查系统能否自动转入备泵运行。通过手动、</w:t>
      </w:r>
      <w:r>
        <w:rPr>
          <w:rFonts w:hint="eastAsia"/>
          <w:spacing w:val="-12"/>
        </w:rPr>
        <w:t>自动、机械应急等方式对消防泵进行启停试验，查看是否存在自动停泵现象。直观检查在消防控制室中</w:t>
      </w:r>
      <w:r>
        <w:rPr>
          <w:rFonts w:hint="eastAsia"/>
        </w:rPr>
        <w:t>是否安装了独立于火灾自动报警系统的专用硬拉线路直接启泵装置。用秒表测量从接收到启泵信号到水</w:t>
      </w:r>
      <w:r>
        <w:rPr>
          <w:rFonts w:hint="eastAsia"/>
          <w:spacing w:val="-7"/>
        </w:rPr>
        <w:t>泵正常运行的时间</w:t>
      </w:r>
      <w:r>
        <w:rPr>
          <w:rFonts w:hint="eastAsia"/>
          <w:spacing w:val="-3"/>
        </w:rPr>
        <w:t>（含备泵投入</w:t>
      </w:r>
      <w:r>
        <w:rPr>
          <w:rFonts w:hint="eastAsia"/>
          <w:spacing w:val="-21"/>
        </w:rPr>
        <w:t>）</w:t>
      </w:r>
      <w:r>
        <w:rPr>
          <w:rFonts w:hint="eastAsia"/>
          <w:spacing w:val="-8"/>
        </w:rPr>
        <w:t>；进行消防水泵启停试验，查看控制室反馈信号；</w:t>
      </w:r>
    </w:p>
    <w:p w14:paraId="13BF8F0A">
      <w:pPr>
        <w:pStyle w:val="32"/>
        <w:keepNext w:val="0"/>
        <w:keepLines w:val="0"/>
        <w:pageBreakBefore w:val="0"/>
        <w:kinsoku/>
        <w:wordWrap/>
        <w:overflowPunct/>
        <w:topLinePunct w:val="0"/>
        <w:bidi w:val="0"/>
        <w:ind w:left="0" w:leftChars="0" w:right="0" w:firstLine="528" w:firstLineChars="200"/>
        <w:textAlignment w:val="auto"/>
        <w:rPr>
          <w:rFonts w:hint="eastAsia"/>
          <w:spacing w:val="-9"/>
        </w:rPr>
      </w:pPr>
      <w:r>
        <w:rPr>
          <w:rFonts w:hint="eastAsia"/>
          <w:spacing w:val="-8"/>
        </w:rPr>
        <w:t>c</w:t>
      </w:r>
      <w:r>
        <w:rPr>
          <w:rFonts w:hint="eastAsia"/>
          <w:spacing w:val="-4"/>
        </w:rPr>
        <w:t>)直观检查消防水</w:t>
      </w:r>
      <w:r>
        <w:rPr>
          <w:rFonts w:hint="eastAsia"/>
          <w:spacing w:val="-9"/>
        </w:rPr>
        <w:t>泵吸水方式。从市政管网吸水时，观察是否安装倒流防止器；</w:t>
      </w:r>
    </w:p>
    <w:p w14:paraId="27A699BD">
      <w:pPr>
        <w:pStyle w:val="32"/>
        <w:keepNext w:val="0"/>
        <w:keepLines w:val="0"/>
        <w:pageBreakBefore w:val="0"/>
        <w:kinsoku/>
        <w:wordWrap/>
        <w:overflowPunct/>
        <w:topLinePunct w:val="0"/>
        <w:bidi w:val="0"/>
        <w:ind w:left="0" w:leftChars="0" w:right="0" w:firstLine="524" w:firstLineChars="200"/>
        <w:textAlignment w:val="auto"/>
        <w:rPr>
          <w:rFonts w:hint="eastAsia"/>
          <w:spacing w:val="-7"/>
        </w:rPr>
      </w:pPr>
      <w:r>
        <w:rPr>
          <w:rFonts w:hint="eastAsia"/>
          <w:spacing w:val="-9"/>
        </w:rPr>
        <w:t>d)</w:t>
      </w:r>
      <w:r>
        <w:rPr>
          <w:rFonts w:hint="eastAsia"/>
          <w:spacing w:val="-5"/>
        </w:rPr>
        <w:t>直观检查进水管和出水管数量。查看吸</w:t>
      </w:r>
      <w:r>
        <w:rPr>
          <w:rFonts w:hint="eastAsia"/>
          <w:spacing w:val="-9"/>
        </w:rPr>
        <w:t>水管上的检修阀门是否有锁定措施和标志。直观检查吸水管布置和水平段变径处理。直观检查是否按设</w:t>
      </w:r>
      <w:r>
        <w:rPr>
          <w:rFonts w:hint="eastAsia"/>
          <w:spacing w:val="-11"/>
        </w:rPr>
        <w:t>计设置防超压设施，核对设定压力。消防水泵启动正常供水后观察出水干管上压力表的压力值，应与设</w:t>
      </w:r>
      <w:r>
        <w:rPr>
          <w:rFonts w:hint="eastAsia"/>
          <w:spacing w:val="-7"/>
        </w:rPr>
        <w:t>计文件相符；</w:t>
      </w:r>
    </w:p>
    <w:p w14:paraId="2F974727">
      <w:pPr>
        <w:pStyle w:val="32"/>
        <w:keepNext w:val="0"/>
        <w:keepLines w:val="0"/>
        <w:pageBreakBefore w:val="0"/>
        <w:kinsoku/>
        <w:wordWrap/>
        <w:overflowPunct/>
        <w:topLinePunct w:val="0"/>
        <w:bidi w:val="0"/>
        <w:ind w:left="0" w:leftChars="0" w:right="0" w:firstLine="532" w:firstLineChars="200"/>
        <w:textAlignment w:val="auto"/>
      </w:pPr>
      <w:r>
        <w:rPr>
          <w:rFonts w:hint="eastAsia"/>
          <w:spacing w:val="-7"/>
        </w:rPr>
        <w:t>e</w:t>
      </w:r>
      <w:r>
        <w:rPr>
          <w:rFonts w:hint="eastAsia"/>
          <w:spacing w:val="-9"/>
        </w:rPr>
        <w:t>)直观检查系统标识、指示灯及仪表。直观检查控制柜是否在“自动”状态。切断消防水</w:t>
      </w:r>
      <w:r>
        <w:rPr>
          <w:rFonts w:hint="eastAsia"/>
          <w:spacing w:val="-5"/>
        </w:rPr>
        <w:t>泵的供电电源，查看消防控制室是否收到报警信息。</w:t>
      </w:r>
    </w:p>
    <w:p w14:paraId="41B7F14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检测器具：秒表、游标卡尺。</w:t>
      </w:r>
    </w:p>
    <w:p w14:paraId="4DBF7E65">
      <w:pPr>
        <w:pStyle w:val="32"/>
        <w:keepNext w:val="0"/>
        <w:keepLines w:val="0"/>
        <w:pageBreakBefore w:val="0"/>
        <w:kinsoku/>
        <w:wordWrap/>
        <w:overflowPunct/>
        <w:topLinePunct w:val="0"/>
        <w:bidi w:val="0"/>
        <w:ind w:left="0" w:leftChars="0" w:right="0" w:firstLine="560" w:firstLineChars="200"/>
        <w:textAlignment w:val="auto"/>
      </w:pPr>
      <w:r>
        <w:rPr>
          <w:rFonts w:hint="eastAsia"/>
        </w:rPr>
        <w:t>4.12.2稳压泵</w:t>
      </w:r>
    </w:p>
    <w:p w14:paraId="2FD2D43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73E7EBC">
      <w:pPr>
        <w:pStyle w:val="32"/>
        <w:keepNext w:val="0"/>
        <w:keepLines w:val="0"/>
        <w:pageBreakBefore w:val="0"/>
        <w:kinsoku/>
        <w:wordWrap/>
        <w:overflowPunct/>
        <w:topLinePunct w:val="0"/>
        <w:bidi w:val="0"/>
        <w:ind w:left="0" w:leftChars="0" w:right="0" w:firstLine="560" w:firstLineChars="200"/>
        <w:textAlignment w:val="auto"/>
      </w:pPr>
      <w:r>
        <w:rPr>
          <w:rFonts w:hint="eastAsia"/>
        </w:rPr>
        <w:t>a)稳压泵规格、型号、数量和性能指标应与设计文件相符；（A</w:t>
      </w:r>
      <w:r>
        <w:rPr>
          <w:rFonts w:hint="eastAsia"/>
          <w:spacing w:val="-28"/>
        </w:rPr>
        <w:t>类</w:t>
      </w:r>
      <w:r>
        <w:rPr>
          <w:rFonts w:hint="eastAsia"/>
        </w:rPr>
        <w:t>）</w:t>
      </w:r>
    </w:p>
    <w:p w14:paraId="2BD583DB">
      <w:pPr>
        <w:pStyle w:val="32"/>
        <w:keepNext w:val="0"/>
        <w:keepLines w:val="0"/>
        <w:pageBreakBefore w:val="0"/>
        <w:kinsoku/>
        <w:wordWrap/>
        <w:overflowPunct/>
        <w:topLinePunct w:val="0"/>
        <w:bidi w:val="0"/>
        <w:ind w:left="0" w:leftChars="0" w:right="0" w:firstLine="560" w:firstLineChars="200"/>
        <w:textAlignment w:val="auto"/>
      </w:pPr>
      <w:r>
        <w:rPr>
          <w:rFonts w:hint="eastAsia"/>
        </w:rPr>
        <w:t>b)稳压泵应完整、无损坏及腐蚀等；</w:t>
      </w:r>
    </w:p>
    <w:p w14:paraId="18A6BD3E">
      <w:pPr>
        <w:pStyle w:val="32"/>
        <w:keepNext w:val="0"/>
        <w:keepLines w:val="0"/>
        <w:pageBreakBefore w:val="0"/>
        <w:kinsoku/>
        <w:wordWrap/>
        <w:overflowPunct/>
        <w:topLinePunct w:val="0"/>
        <w:bidi w:val="0"/>
        <w:ind w:left="0" w:leftChars="0" w:right="0" w:firstLine="560" w:firstLineChars="200"/>
        <w:textAlignment w:val="auto"/>
      </w:pPr>
      <w:r>
        <w:rPr>
          <w:rFonts w:hint="eastAsia"/>
        </w:rPr>
        <w:t>c)稳压泵应设置备用泵，其工作性能与主泵相同。当主泵故障时，备用泵应能切换运行；</w:t>
      </w:r>
      <w:r>
        <w:rPr>
          <w:rFonts w:hint="eastAsia"/>
          <w:spacing w:val="-3"/>
        </w:rPr>
        <w:t>（</w:t>
      </w:r>
      <w:r>
        <w:rPr>
          <w:rFonts w:hint="eastAsia"/>
        </w:rPr>
        <w:t>A</w:t>
      </w:r>
      <w:r>
        <w:rPr>
          <w:rFonts w:hint="eastAsia"/>
          <w:spacing w:val="-3"/>
        </w:rPr>
        <w:t>类）</w:t>
      </w:r>
    </w:p>
    <w:p w14:paraId="5447347D">
      <w:pPr>
        <w:pStyle w:val="32"/>
        <w:keepNext w:val="0"/>
        <w:keepLines w:val="0"/>
        <w:pageBreakBefore w:val="0"/>
        <w:kinsoku/>
        <w:wordWrap/>
        <w:overflowPunct/>
        <w:topLinePunct w:val="0"/>
        <w:bidi w:val="0"/>
        <w:ind w:left="0" w:leftChars="0" w:right="0" w:firstLine="560" w:firstLineChars="200"/>
        <w:textAlignment w:val="auto"/>
      </w:pPr>
      <w:r>
        <w:rPr>
          <w:rFonts w:hint="eastAsia"/>
        </w:rPr>
        <w:t>d)稳压泵手动、自动启停功能正常，且启泵与停泵压力应与设计文件相符；（A</w:t>
      </w:r>
      <w:r>
        <w:rPr>
          <w:rFonts w:hint="eastAsia"/>
          <w:spacing w:val="-26"/>
        </w:rPr>
        <w:t>类</w:t>
      </w:r>
      <w:r>
        <w:rPr>
          <w:rFonts w:hint="eastAsia"/>
        </w:rPr>
        <w:t>）</w:t>
      </w:r>
    </w:p>
    <w:p w14:paraId="268A60E4">
      <w:pPr>
        <w:pStyle w:val="32"/>
        <w:keepNext w:val="0"/>
        <w:keepLines w:val="0"/>
        <w:pageBreakBefore w:val="0"/>
        <w:kinsoku/>
        <w:wordWrap/>
        <w:overflowPunct/>
        <w:topLinePunct w:val="0"/>
        <w:bidi w:val="0"/>
        <w:ind w:left="0" w:leftChars="0" w:right="0" w:firstLine="560" w:firstLineChars="200"/>
        <w:textAlignment w:val="auto"/>
      </w:pPr>
      <w:r>
        <w:rPr>
          <w:rFonts w:hint="eastAsia"/>
        </w:rPr>
        <w:t>e)稳压泵吸水管应设置明杆闸阀，稳压泵出水管应设置消声止回阀和明杆闸阀。（C</w:t>
      </w:r>
      <w:r>
        <w:rPr>
          <w:rFonts w:hint="eastAsia"/>
          <w:spacing w:val="-22"/>
        </w:rPr>
        <w:t>类</w:t>
      </w:r>
      <w:r>
        <w:rPr>
          <w:rFonts w:hint="eastAsia"/>
        </w:rPr>
        <w:t>）检测数量：</w:t>
      </w:r>
      <w:r>
        <w:t>按实际安装数量的10</w:t>
      </w:r>
      <w:r>
        <w:rPr>
          <w:rFonts w:hint="eastAsia"/>
        </w:rPr>
        <w:t>0</w:t>
      </w:r>
      <w:r>
        <w:t>%</w:t>
      </w:r>
      <w:r>
        <w:rPr>
          <w:rFonts w:hint="eastAsia"/>
        </w:rPr>
        <w:t>检测。</w:t>
      </w:r>
    </w:p>
    <w:p w14:paraId="0284881A">
      <w:pPr>
        <w:pStyle w:val="32"/>
        <w:keepNext w:val="0"/>
        <w:keepLines w:val="0"/>
        <w:pageBreakBefore w:val="0"/>
        <w:kinsoku/>
        <w:wordWrap/>
        <w:overflowPunct/>
        <w:topLinePunct w:val="0"/>
        <w:bidi w:val="0"/>
        <w:ind w:left="0" w:leftChars="0" w:right="0" w:firstLine="548" w:firstLineChars="200"/>
        <w:textAlignment w:val="auto"/>
        <w:rPr>
          <w:rFonts w:hint="eastAsia"/>
          <w:spacing w:val="-3"/>
        </w:rPr>
      </w:pPr>
      <w:r>
        <w:rPr>
          <w:rFonts w:hint="eastAsia"/>
          <w:spacing w:val="-3"/>
        </w:rPr>
        <w:t>检测方法：</w:t>
      </w:r>
    </w:p>
    <w:p w14:paraId="6234481D">
      <w:pPr>
        <w:pStyle w:val="32"/>
        <w:keepNext w:val="0"/>
        <w:keepLines w:val="0"/>
        <w:pageBreakBefore w:val="0"/>
        <w:kinsoku/>
        <w:wordWrap/>
        <w:overflowPunct/>
        <w:topLinePunct w:val="0"/>
        <w:bidi w:val="0"/>
        <w:ind w:left="0" w:leftChars="0" w:right="0" w:firstLine="528" w:firstLineChars="200"/>
        <w:textAlignment w:val="auto"/>
        <w:rPr>
          <w:rFonts w:hint="eastAsia"/>
          <w:spacing w:val="-7"/>
        </w:rPr>
      </w:pPr>
      <w:r>
        <w:rPr>
          <w:rFonts w:hint="eastAsia"/>
          <w:spacing w:val="-8"/>
        </w:rPr>
        <w:t>a)</w:t>
      </w:r>
      <w:r>
        <w:rPr>
          <w:rFonts w:hint="eastAsia"/>
          <w:spacing w:val="-7"/>
        </w:rPr>
        <w:t>查看铭牌，核对设计要求；</w:t>
      </w:r>
    </w:p>
    <w:p w14:paraId="02B254EA">
      <w:pPr>
        <w:pStyle w:val="32"/>
        <w:keepNext w:val="0"/>
        <w:keepLines w:val="0"/>
        <w:pageBreakBefore w:val="0"/>
        <w:kinsoku/>
        <w:wordWrap/>
        <w:overflowPunct/>
        <w:topLinePunct w:val="0"/>
        <w:bidi w:val="0"/>
        <w:ind w:left="0" w:leftChars="0" w:right="0" w:firstLine="528" w:firstLineChars="200"/>
        <w:textAlignment w:val="auto"/>
        <w:rPr>
          <w:rFonts w:hint="eastAsia"/>
          <w:spacing w:val="-4"/>
        </w:rPr>
      </w:pPr>
      <w:r>
        <w:rPr>
          <w:rFonts w:hint="eastAsia"/>
          <w:spacing w:val="-8"/>
        </w:rPr>
        <w:t>b)</w:t>
      </w:r>
      <w:r>
        <w:rPr>
          <w:rFonts w:hint="eastAsia"/>
          <w:spacing w:val="-4"/>
        </w:rPr>
        <w:t>直观检查设备外观；</w:t>
      </w:r>
    </w:p>
    <w:p w14:paraId="3405CF50">
      <w:pPr>
        <w:pStyle w:val="32"/>
        <w:keepNext w:val="0"/>
        <w:keepLines w:val="0"/>
        <w:pageBreakBefore w:val="0"/>
        <w:kinsoku/>
        <w:wordWrap/>
        <w:overflowPunct/>
        <w:topLinePunct w:val="0"/>
        <w:bidi w:val="0"/>
        <w:ind w:left="0" w:leftChars="0" w:right="0" w:firstLine="528" w:firstLineChars="200"/>
        <w:textAlignment w:val="auto"/>
        <w:rPr>
          <w:rFonts w:hint="eastAsia"/>
          <w:spacing w:val="-5"/>
        </w:rPr>
      </w:pPr>
      <w:r>
        <w:rPr>
          <w:rFonts w:hint="eastAsia"/>
          <w:spacing w:val="-8"/>
        </w:rPr>
        <w:t>c</w:t>
      </w:r>
      <w:r>
        <w:rPr>
          <w:rFonts w:hint="eastAsia"/>
          <w:spacing w:val="-5"/>
        </w:rPr>
        <w:t>)查看备用泵铭牌，核对是否与主泵一致。将水泵控制柜打到“自动”状态，模拟主泵故障，观察是否自动切换至备用泵工作状态；</w:t>
      </w:r>
    </w:p>
    <w:p w14:paraId="186111F0">
      <w:pPr>
        <w:pStyle w:val="32"/>
        <w:keepNext w:val="0"/>
        <w:keepLines w:val="0"/>
        <w:pageBreakBefore w:val="0"/>
        <w:kinsoku/>
        <w:wordWrap/>
        <w:overflowPunct/>
        <w:topLinePunct w:val="0"/>
        <w:bidi w:val="0"/>
        <w:ind w:left="0" w:leftChars="0" w:right="0" w:firstLine="540" w:firstLineChars="200"/>
        <w:textAlignment w:val="auto"/>
        <w:rPr>
          <w:rFonts w:hint="eastAsia"/>
          <w:spacing w:val="-11"/>
        </w:rPr>
      </w:pPr>
      <w:r>
        <w:rPr>
          <w:rFonts w:hint="eastAsia"/>
          <w:spacing w:val="-5"/>
        </w:rPr>
        <w:t>d)</w:t>
      </w:r>
      <w:r>
        <w:rPr>
          <w:rFonts w:hint="eastAsia"/>
        </w:rPr>
        <w:t>在“手动”状态下，查看手动启停泵功能是否正常。在“自动”状态下，检查电接点压力表在达到设定</w:t>
      </w:r>
      <w:r>
        <w:rPr>
          <w:rFonts w:hint="eastAsia"/>
          <w:spacing w:val="-11"/>
        </w:rPr>
        <w:t>的高、低压力位置时能否自动停止和启动稳压泵，核查压力设置的范围是否符合设计要求；</w:t>
      </w:r>
    </w:p>
    <w:p w14:paraId="0FDA2BC5">
      <w:pPr>
        <w:pStyle w:val="32"/>
        <w:keepNext w:val="0"/>
        <w:keepLines w:val="0"/>
        <w:pageBreakBefore w:val="0"/>
        <w:kinsoku/>
        <w:wordWrap/>
        <w:overflowPunct/>
        <w:topLinePunct w:val="0"/>
        <w:bidi w:val="0"/>
        <w:ind w:left="0" w:leftChars="0" w:right="0" w:firstLine="560" w:firstLineChars="200"/>
        <w:textAlignment w:val="auto"/>
      </w:pPr>
      <w:r>
        <w:rPr>
          <w:rFonts w:hint="eastAsia"/>
        </w:rPr>
        <w:t>e</w:t>
      </w:r>
      <w:r>
        <w:rPr>
          <w:rFonts w:hint="eastAsia"/>
          <w:spacing w:val="-4"/>
        </w:rPr>
        <w:t>)直观检查</w:t>
      </w:r>
      <w:r>
        <w:rPr>
          <w:rFonts w:hint="eastAsia"/>
          <w:spacing w:val="-3"/>
        </w:rPr>
        <w:t>闸阀设置情况。</w:t>
      </w:r>
    </w:p>
    <w:p w14:paraId="1710D77B">
      <w:pPr>
        <w:pStyle w:val="32"/>
        <w:keepNext w:val="0"/>
        <w:keepLines w:val="0"/>
        <w:pageBreakBefore w:val="0"/>
        <w:kinsoku/>
        <w:wordWrap/>
        <w:overflowPunct/>
        <w:topLinePunct w:val="0"/>
        <w:bidi w:val="0"/>
        <w:ind w:left="0" w:leftChars="0" w:right="0" w:firstLine="560" w:firstLineChars="200"/>
        <w:textAlignment w:val="auto"/>
      </w:pPr>
      <w:r>
        <w:rPr>
          <w:rFonts w:hint="eastAsia"/>
        </w:rPr>
        <w:t>4.12.3</w:t>
      </w:r>
      <w:r>
        <w:rPr>
          <w:rFonts w:hint="eastAsia"/>
          <w:spacing w:val="-2"/>
        </w:rPr>
        <w:t>高位消防水箱</w:t>
      </w:r>
    </w:p>
    <w:p w14:paraId="4447AB6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805017A">
      <w:pPr>
        <w:pStyle w:val="32"/>
        <w:keepNext w:val="0"/>
        <w:keepLines w:val="0"/>
        <w:pageBreakBefore w:val="0"/>
        <w:kinsoku/>
        <w:wordWrap/>
        <w:overflowPunct/>
        <w:topLinePunct w:val="0"/>
        <w:bidi w:val="0"/>
        <w:ind w:left="0" w:leftChars="0" w:right="0" w:firstLine="560" w:firstLineChars="200"/>
        <w:textAlignment w:val="auto"/>
      </w:pPr>
      <w:r>
        <w:rPr>
          <w:rFonts w:hint="eastAsia"/>
        </w:rPr>
        <w:t>a)高位消防水箱的设置位置、防冻隔热措施、外观尺寸及容积应与设计文件相符；（A</w:t>
      </w:r>
      <w:r>
        <w:rPr>
          <w:rFonts w:hint="eastAsia"/>
          <w:spacing w:val="-28"/>
        </w:rPr>
        <w:t>类</w:t>
      </w:r>
      <w:r>
        <w:rPr>
          <w:rFonts w:hint="eastAsia"/>
        </w:rPr>
        <w:t>）</w:t>
      </w:r>
    </w:p>
    <w:p w14:paraId="06F1CBFB">
      <w:pPr>
        <w:pStyle w:val="32"/>
        <w:keepNext w:val="0"/>
        <w:keepLines w:val="0"/>
        <w:pageBreakBefore w:val="0"/>
        <w:kinsoku/>
        <w:wordWrap/>
        <w:overflowPunct/>
        <w:topLinePunct w:val="0"/>
        <w:bidi w:val="0"/>
        <w:ind w:left="0" w:leftChars="0" w:right="0" w:firstLine="560" w:firstLineChars="200"/>
        <w:textAlignment w:val="auto"/>
      </w:pPr>
      <w:r>
        <w:rPr>
          <w:rFonts w:hint="eastAsia"/>
        </w:rPr>
        <w:t>b)高位消防水箱与其他用水共用时，应采取确保消防用水量不作他用的技术措施，并应设置就地</w:t>
      </w:r>
      <w:r>
        <w:rPr>
          <w:rFonts w:hint="eastAsia"/>
          <w:spacing w:val="-12"/>
        </w:rPr>
        <w:t>水位显示装置，同时在消防控制中心或值班室等地点设置显示消防水箱水位的装置</w:t>
      </w:r>
      <w:r>
        <w:rPr>
          <w:rFonts w:hint="eastAsia"/>
          <w:spacing w:val="-178"/>
        </w:rPr>
        <w:t>；</w:t>
      </w:r>
      <w:r>
        <w:rPr>
          <w:rFonts w:hint="eastAsia"/>
          <w:spacing w:val="-3"/>
        </w:rPr>
        <w:t>（</w:t>
      </w:r>
      <w:r>
        <w:rPr>
          <w:rFonts w:hint="eastAsia"/>
        </w:rPr>
        <w:t>A</w:t>
      </w:r>
      <w:r>
        <w:rPr>
          <w:rFonts w:hint="eastAsia"/>
          <w:spacing w:val="-3"/>
        </w:rPr>
        <w:t>类）</w:t>
      </w:r>
    </w:p>
    <w:p w14:paraId="12B76E25">
      <w:pPr>
        <w:pStyle w:val="32"/>
        <w:keepNext w:val="0"/>
        <w:keepLines w:val="0"/>
        <w:pageBreakBefore w:val="0"/>
        <w:kinsoku/>
        <w:wordWrap/>
        <w:overflowPunct/>
        <w:topLinePunct w:val="0"/>
        <w:bidi w:val="0"/>
        <w:ind w:left="0" w:leftChars="0" w:right="0" w:firstLine="560" w:firstLineChars="200"/>
        <w:textAlignment w:val="auto"/>
      </w:pPr>
      <w:r>
        <w:rPr>
          <w:rFonts w:hint="eastAsia"/>
        </w:rPr>
        <w:t>c)当高位消防水箱在屋顶露天设置时，水箱的人孔以及进出水管的阀门等应采取锁具或阀门箱</w:t>
      </w:r>
      <w:r>
        <w:rPr>
          <w:rFonts w:hint="eastAsia"/>
          <w:spacing w:val="-2"/>
        </w:rPr>
        <w:t>等保护措施；</w:t>
      </w:r>
      <w:r>
        <w:rPr>
          <w:rFonts w:hint="eastAsia"/>
        </w:rPr>
        <w:t>（A</w:t>
      </w:r>
      <w:r>
        <w:rPr>
          <w:rFonts w:hint="eastAsia"/>
          <w:spacing w:val="-28"/>
        </w:rPr>
        <w:t>类</w:t>
      </w:r>
      <w:r>
        <w:rPr>
          <w:rFonts w:hint="eastAsia"/>
          <w:spacing w:val="-3"/>
        </w:rPr>
        <w:t>）</w:t>
      </w:r>
    </w:p>
    <w:p w14:paraId="73742080">
      <w:pPr>
        <w:pStyle w:val="32"/>
        <w:keepNext w:val="0"/>
        <w:keepLines w:val="0"/>
        <w:pageBreakBefore w:val="0"/>
        <w:kinsoku/>
        <w:wordWrap/>
        <w:overflowPunct/>
        <w:topLinePunct w:val="0"/>
        <w:bidi w:val="0"/>
        <w:ind w:left="0" w:leftChars="0" w:right="0" w:firstLine="560" w:firstLineChars="200"/>
        <w:textAlignment w:val="auto"/>
      </w:pPr>
      <w:r>
        <w:rPr>
          <w:rFonts w:hint="eastAsia"/>
        </w:rPr>
        <w:t>d)高位消防水箱外壁与建筑本体结构墙面或其他池壁之间的净距，应满足施工或装配的需要，</w:t>
      </w:r>
      <w:r>
        <w:rPr>
          <w:rFonts w:hint="eastAsia"/>
          <w:spacing w:val="-3"/>
        </w:rPr>
        <w:t>无管道的侧面，净距不宜小于</w:t>
      </w:r>
      <w:r>
        <w:rPr>
          <w:rFonts w:hint="eastAsia"/>
        </w:rPr>
        <w:t>0.7m</w:t>
      </w:r>
      <w:r>
        <w:rPr>
          <w:rFonts w:hint="eastAsia"/>
          <w:spacing w:val="-3"/>
        </w:rPr>
        <w:t>。安装有管道的侧面，净距不宜小于</w:t>
      </w:r>
      <w:r>
        <w:rPr>
          <w:rFonts w:hint="eastAsia"/>
        </w:rPr>
        <w:t>1.0m</w:t>
      </w:r>
      <w:r>
        <w:rPr>
          <w:rFonts w:hint="eastAsia"/>
          <w:spacing w:val="-2"/>
        </w:rPr>
        <w:t>，且管道外壁</w:t>
      </w:r>
      <w:r>
        <w:rPr>
          <w:rFonts w:hint="eastAsia"/>
          <w:spacing w:val="-5"/>
        </w:rPr>
        <w:t>与建筑本体墙面之间的通道宽度不宜小于</w:t>
      </w:r>
      <w:r>
        <w:rPr>
          <w:rFonts w:hint="eastAsia"/>
        </w:rPr>
        <w:t>0.6m</w:t>
      </w:r>
      <w:r>
        <w:rPr>
          <w:rFonts w:hint="eastAsia"/>
          <w:spacing w:val="-3"/>
        </w:rPr>
        <w:t>，设有人孔的水箱顶，其顶面与其上面的建筑</w:t>
      </w:r>
      <w:r>
        <w:rPr>
          <w:rFonts w:hint="eastAsia"/>
          <w:spacing w:val="-7"/>
        </w:rPr>
        <w:t>物本体板底的净空不应小于</w:t>
      </w:r>
      <w:r>
        <w:rPr>
          <w:rFonts w:hint="eastAsia"/>
        </w:rPr>
        <w:t>0.8m；（C</w:t>
      </w:r>
      <w:r>
        <w:rPr>
          <w:rFonts w:hint="eastAsia"/>
          <w:spacing w:val="-28"/>
        </w:rPr>
        <w:t>类</w:t>
      </w:r>
      <w:r>
        <w:rPr>
          <w:rFonts w:hint="eastAsia"/>
          <w:spacing w:val="-3"/>
        </w:rPr>
        <w:t>）</w:t>
      </w:r>
    </w:p>
    <w:p w14:paraId="741CA190">
      <w:pPr>
        <w:pStyle w:val="32"/>
        <w:keepNext w:val="0"/>
        <w:keepLines w:val="0"/>
        <w:pageBreakBefore w:val="0"/>
        <w:kinsoku/>
        <w:wordWrap/>
        <w:overflowPunct/>
        <w:topLinePunct w:val="0"/>
        <w:bidi w:val="0"/>
        <w:ind w:left="0" w:leftChars="0" w:right="0" w:firstLine="560" w:firstLineChars="200"/>
        <w:textAlignment w:val="auto"/>
      </w:pPr>
      <w:r>
        <w:rPr>
          <w:rFonts w:hint="eastAsia"/>
        </w:rPr>
        <w:t>e)进水管的管径应与设计文件相符，进水管宜设置液位阀或浮球阀；（B</w:t>
      </w:r>
      <w:r>
        <w:rPr>
          <w:rFonts w:hint="eastAsia"/>
          <w:spacing w:val="-28"/>
        </w:rPr>
        <w:t>类</w:t>
      </w:r>
      <w:r>
        <w:rPr>
          <w:rFonts w:hint="eastAsia"/>
        </w:rPr>
        <w:t>）</w:t>
      </w:r>
    </w:p>
    <w:p w14:paraId="0FC6E995">
      <w:pPr>
        <w:pStyle w:val="32"/>
        <w:keepNext w:val="0"/>
        <w:keepLines w:val="0"/>
        <w:pageBreakBefore w:val="0"/>
        <w:kinsoku/>
        <w:wordWrap/>
        <w:overflowPunct/>
        <w:topLinePunct w:val="0"/>
        <w:bidi w:val="0"/>
        <w:ind w:left="0" w:leftChars="0" w:right="0" w:firstLine="560" w:firstLineChars="200"/>
        <w:textAlignment w:val="auto"/>
      </w:pPr>
      <w:r>
        <w:rPr>
          <w:rFonts w:hint="eastAsia"/>
        </w:rPr>
        <w:t>f)溢流管的管径应与设计文件相符；（C</w:t>
      </w:r>
      <w:r>
        <w:rPr>
          <w:rFonts w:hint="eastAsia"/>
          <w:spacing w:val="-28"/>
        </w:rPr>
        <w:t>类</w:t>
      </w:r>
      <w:r>
        <w:rPr>
          <w:rFonts w:hint="eastAsia"/>
        </w:rPr>
        <w:t>）</w:t>
      </w:r>
    </w:p>
    <w:p w14:paraId="0F8B6D54">
      <w:pPr>
        <w:pStyle w:val="32"/>
        <w:keepNext w:val="0"/>
        <w:keepLines w:val="0"/>
        <w:pageBreakBefore w:val="0"/>
        <w:kinsoku/>
        <w:wordWrap/>
        <w:overflowPunct/>
        <w:topLinePunct w:val="0"/>
        <w:bidi w:val="0"/>
        <w:ind w:left="0" w:leftChars="0" w:right="0" w:firstLine="560" w:firstLineChars="200"/>
        <w:textAlignment w:val="auto"/>
      </w:pPr>
      <w:r>
        <w:rPr>
          <w:rFonts w:hint="eastAsia"/>
        </w:rPr>
        <w:t>g)出水管管径应与设计文件相符；（B</w:t>
      </w:r>
      <w:r>
        <w:rPr>
          <w:rFonts w:hint="eastAsia"/>
          <w:spacing w:val="-28"/>
        </w:rPr>
        <w:t>类</w:t>
      </w:r>
      <w:r>
        <w:rPr>
          <w:rFonts w:hint="eastAsia"/>
        </w:rPr>
        <w:t>）</w:t>
      </w:r>
    </w:p>
    <w:p w14:paraId="469842A5">
      <w:pPr>
        <w:pStyle w:val="32"/>
        <w:keepNext w:val="0"/>
        <w:keepLines w:val="0"/>
        <w:pageBreakBefore w:val="0"/>
        <w:kinsoku/>
        <w:wordWrap/>
        <w:overflowPunct/>
        <w:topLinePunct w:val="0"/>
        <w:bidi w:val="0"/>
        <w:ind w:left="0" w:leftChars="0" w:right="0" w:firstLine="560" w:firstLineChars="200"/>
        <w:textAlignment w:val="auto"/>
      </w:pPr>
      <w:r>
        <w:rPr>
          <w:rFonts w:hint="eastAsia"/>
        </w:rPr>
        <w:t>h)高位消防水箱出水管应安装流量开关并应设置防止消防用水进入高位消防水箱的止回阀。（B类）</w:t>
      </w:r>
    </w:p>
    <w:p w14:paraId="6612C07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w:t>
      </w:r>
      <w:r>
        <w:t>按实际安装数量的10</w:t>
      </w:r>
      <w:r>
        <w:rPr>
          <w:rFonts w:hint="eastAsia"/>
        </w:rPr>
        <w:t>0</w:t>
      </w:r>
      <w:r>
        <w:t>%</w:t>
      </w:r>
      <w:r>
        <w:rPr>
          <w:rFonts w:hint="eastAsia"/>
        </w:rPr>
        <w:t>检测。</w:t>
      </w:r>
    </w:p>
    <w:p w14:paraId="4281EBA0">
      <w:pPr>
        <w:pStyle w:val="32"/>
        <w:keepNext w:val="0"/>
        <w:keepLines w:val="0"/>
        <w:pageBreakBefore w:val="0"/>
        <w:kinsoku/>
        <w:wordWrap/>
        <w:overflowPunct/>
        <w:topLinePunct w:val="0"/>
        <w:bidi w:val="0"/>
        <w:ind w:left="0" w:leftChars="0" w:right="0" w:firstLine="548" w:firstLineChars="200"/>
        <w:textAlignment w:val="auto"/>
        <w:rPr>
          <w:rFonts w:hint="eastAsia"/>
          <w:spacing w:val="-3"/>
        </w:rPr>
      </w:pPr>
      <w:r>
        <w:rPr>
          <w:rFonts w:hint="eastAsia"/>
          <w:spacing w:val="-3"/>
        </w:rPr>
        <w:t>检测方法：</w:t>
      </w:r>
    </w:p>
    <w:p w14:paraId="64409AE7">
      <w:pPr>
        <w:pStyle w:val="32"/>
        <w:keepNext w:val="0"/>
        <w:keepLines w:val="0"/>
        <w:pageBreakBefore w:val="0"/>
        <w:kinsoku/>
        <w:wordWrap/>
        <w:overflowPunct/>
        <w:topLinePunct w:val="0"/>
        <w:bidi w:val="0"/>
        <w:ind w:left="0" w:leftChars="0" w:right="0" w:firstLine="524" w:firstLineChars="200"/>
        <w:textAlignment w:val="auto"/>
        <w:rPr>
          <w:rFonts w:hint="eastAsia"/>
          <w:spacing w:val="-7"/>
        </w:rPr>
      </w:pPr>
      <w:r>
        <w:rPr>
          <w:rFonts w:hint="eastAsia"/>
          <w:spacing w:val="-9"/>
        </w:rPr>
        <w:t>a)</w:t>
      </w:r>
      <w:r>
        <w:rPr>
          <w:rFonts w:hint="eastAsia"/>
          <w:spacing w:val="-8"/>
        </w:rPr>
        <w:t>尺量检查高位消防水箱长、宽及有效水深，核对设计要求，直观检查防冻隔热等保护</w:t>
      </w:r>
      <w:r>
        <w:rPr>
          <w:rFonts w:hint="eastAsia"/>
          <w:spacing w:val="-7"/>
        </w:rPr>
        <w:t>措施是否安装到位；</w:t>
      </w:r>
    </w:p>
    <w:p w14:paraId="79CE22A1">
      <w:pPr>
        <w:pStyle w:val="32"/>
        <w:keepNext w:val="0"/>
        <w:keepLines w:val="0"/>
        <w:pageBreakBefore w:val="0"/>
        <w:kinsoku/>
        <w:wordWrap/>
        <w:overflowPunct/>
        <w:topLinePunct w:val="0"/>
        <w:bidi w:val="0"/>
        <w:ind w:left="0" w:leftChars="0" w:right="0" w:firstLine="492" w:firstLineChars="200"/>
        <w:textAlignment w:val="auto"/>
        <w:rPr>
          <w:rFonts w:hint="eastAsia"/>
          <w:spacing w:val="-4"/>
        </w:rPr>
      </w:pPr>
      <w:r>
        <w:rPr>
          <w:rFonts w:hint="eastAsia"/>
          <w:spacing w:val="-17"/>
        </w:rPr>
        <w:t>b)</w:t>
      </w:r>
      <w:r>
        <w:rPr>
          <w:rFonts w:hint="eastAsia"/>
        </w:rPr>
        <w:t>直观检查不作他用的保护措施是否满足要求。查看就地及消防控制室液位显示是</w:t>
      </w:r>
      <w:r>
        <w:rPr>
          <w:rFonts w:hint="eastAsia"/>
          <w:spacing w:val="-4"/>
        </w:rPr>
        <w:t>否准确、及时；</w:t>
      </w:r>
    </w:p>
    <w:p w14:paraId="6DAD891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c)</w:t>
      </w:r>
      <w:r>
        <w:rPr>
          <w:rFonts w:hint="eastAsia"/>
          <w:spacing w:val="-3"/>
        </w:rPr>
        <w:t>直观检查保护措施是否到位</w:t>
      </w:r>
      <w:r>
        <w:rPr>
          <w:rFonts w:hint="eastAsia"/>
        </w:rPr>
        <w:t>；</w:t>
      </w:r>
    </w:p>
    <w:p w14:paraId="1186E6F5">
      <w:pPr>
        <w:pStyle w:val="32"/>
        <w:keepNext w:val="0"/>
        <w:keepLines w:val="0"/>
        <w:pageBreakBefore w:val="0"/>
        <w:kinsoku/>
        <w:wordWrap/>
        <w:overflowPunct/>
        <w:topLinePunct w:val="0"/>
        <w:bidi w:val="0"/>
        <w:ind w:left="0" w:leftChars="0" w:right="0" w:firstLine="560" w:firstLineChars="200"/>
        <w:textAlignment w:val="auto"/>
        <w:rPr>
          <w:rFonts w:hint="eastAsia"/>
          <w:spacing w:val="-3"/>
        </w:rPr>
      </w:pPr>
      <w:r>
        <w:rPr>
          <w:rFonts w:hint="eastAsia"/>
        </w:rPr>
        <w:t>d)～g)</w:t>
      </w:r>
      <w:r>
        <w:rPr>
          <w:rFonts w:hint="eastAsia"/>
          <w:spacing w:val="-3"/>
        </w:rPr>
        <w:t>尺量检查检修通道尺寸；</w:t>
      </w:r>
    </w:p>
    <w:p w14:paraId="4A8EA5F0">
      <w:pPr>
        <w:pStyle w:val="32"/>
        <w:keepNext w:val="0"/>
        <w:keepLines w:val="0"/>
        <w:pageBreakBefore w:val="0"/>
        <w:kinsoku/>
        <w:wordWrap/>
        <w:overflowPunct/>
        <w:topLinePunct w:val="0"/>
        <w:bidi w:val="0"/>
        <w:ind w:left="0" w:leftChars="0" w:right="0" w:firstLine="560" w:firstLineChars="200"/>
        <w:textAlignment w:val="auto"/>
      </w:pPr>
      <w:r>
        <w:rPr>
          <w:rFonts w:hint="eastAsia"/>
        </w:rPr>
        <w:t>h）</w:t>
      </w:r>
      <w:r>
        <w:rPr>
          <w:rFonts w:hint="eastAsia"/>
          <w:spacing w:val="-3"/>
        </w:rPr>
        <w:t>直观检查。</w:t>
      </w:r>
    </w:p>
    <w:p w14:paraId="1E82AD5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检测器具：钢卷尺、游标卡尺。</w:t>
      </w:r>
    </w:p>
    <w:p w14:paraId="355BD27E">
      <w:pPr>
        <w:pStyle w:val="32"/>
        <w:keepNext w:val="0"/>
        <w:keepLines w:val="0"/>
        <w:pageBreakBefore w:val="0"/>
        <w:kinsoku/>
        <w:wordWrap/>
        <w:overflowPunct/>
        <w:topLinePunct w:val="0"/>
        <w:bidi w:val="0"/>
        <w:ind w:left="0" w:leftChars="0" w:right="0" w:firstLine="560" w:firstLineChars="200"/>
        <w:textAlignment w:val="auto"/>
      </w:pPr>
      <w:r>
        <w:rPr>
          <w:rFonts w:hint="eastAsia"/>
        </w:rPr>
        <w:t>4.12.4</w:t>
      </w:r>
      <w:r>
        <w:rPr>
          <w:rFonts w:hint="eastAsia"/>
          <w:spacing w:val="-1"/>
        </w:rPr>
        <w:t>气压水罐</w:t>
      </w:r>
    </w:p>
    <w:p w14:paraId="37B752F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4067A90">
      <w:pPr>
        <w:pStyle w:val="32"/>
        <w:keepNext w:val="0"/>
        <w:keepLines w:val="0"/>
        <w:pageBreakBefore w:val="0"/>
        <w:kinsoku/>
        <w:wordWrap/>
        <w:overflowPunct/>
        <w:topLinePunct w:val="0"/>
        <w:bidi w:val="0"/>
        <w:ind w:left="0" w:leftChars="0" w:right="0" w:firstLine="560" w:firstLineChars="200"/>
        <w:textAlignment w:val="auto"/>
      </w:pPr>
      <w:r>
        <w:rPr>
          <w:rFonts w:hint="eastAsia"/>
        </w:rPr>
        <w:t>a)气压水罐安装位置、有效容积及设计压力应与设计文件相符，但有效储水容积不宜小于150L；(B类）</w:t>
      </w:r>
    </w:p>
    <w:p w14:paraId="77526868">
      <w:pPr>
        <w:pStyle w:val="32"/>
        <w:keepNext w:val="0"/>
        <w:keepLines w:val="0"/>
        <w:pageBreakBefore w:val="0"/>
        <w:kinsoku/>
        <w:wordWrap/>
        <w:overflowPunct/>
        <w:topLinePunct w:val="0"/>
        <w:bidi w:val="0"/>
        <w:ind w:left="0" w:leftChars="0" w:right="0" w:firstLine="560" w:firstLineChars="200"/>
        <w:textAlignment w:val="auto"/>
      </w:pPr>
      <w:r>
        <w:rPr>
          <w:rFonts w:hint="eastAsia"/>
        </w:rPr>
        <w:t>b)气压水罐出水管上应设止回阀；（B</w:t>
      </w:r>
      <w:r>
        <w:rPr>
          <w:rFonts w:hint="eastAsia"/>
          <w:spacing w:val="-28"/>
        </w:rPr>
        <w:t>类</w:t>
      </w:r>
      <w:r>
        <w:rPr>
          <w:rFonts w:hint="eastAsia"/>
        </w:rPr>
        <w:t>）</w:t>
      </w:r>
    </w:p>
    <w:p w14:paraId="2D748DFB">
      <w:pPr>
        <w:pStyle w:val="32"/>
        <w:keepNext w:val="0"/>
        <w:keepLines w:val="0"/>
        <w:pageBreakBefore w:val="0"/>
        <w:kinsoku/>
        <w:wordWrap/>
        <w:overflowPunct/>
        <w:topLinePunct w:val="0"/>
        <w:bidi w:val="0"/>
        <w:ind w:left="0" w:leftChars="0" w:right="0" w:firstLine="560" w:firstLineChars="200"/>
        <w:textAlignment w:val="auto"/>
      </w:pPr>
      <w:r>
        <w:rPr>
          <w:rFonts w:hint="eastAsia"/>
        </w:rPr>
        <w:t>c)气压水罐安装时其四周应设检修通道，宽度不宜小于0.7m</w:t>
      </w:r>
      <w:r>
        <w:rPr>
          <w:rFonts w:hint="eastAsia"/>
          <w:spacing w:val="-3"/>
        </w:rPr>
        <w:t>，设备顶部至楼板或梁底的距离不</w:t>
      </w:r>
      <w:r>
        <w:rPr>
          <w:rFonts w:hint="eastAsia"/>
          <w:spacing w:val="-15"/>
        </w:rPr>
        <w:t>宜小于</w:t>
      </w:r>
      <w:r>
        <w:rPr>
          <w:rFonts w:hint="eastAsia"/>
        </w:rPr>
        <w:t>0.6m</w:t>
      </w:r>
      <w:r>
        <w:rPr>
          <w:rFonts w:hint="eastAsia"/>
          <w:spacing w:val="-3"/>
        </w:rPr>
        <w:t>。</w:t>
      </w:r>
      <w:r>
        <w:rPr>
          <w:rFonts w:hint="eastAsia"/>
        </w:rPr>
        <w:t>（C</w:t>
      </w:r>
      <w:r>
        <w:rPr>
          <w:rFonts w:hint="eastAsia"/>
          <w:spacing w:val="-28"/>
        </w:rPr>
        <w:t>类</w:t>
      </w:r>
      <w:r>
        <w:rPr>
          <w:rFonts w:hint="eastAsia"/>
          <w:spacing w:val="-3"/>
        </w:rPr>
        <w:t>）</w:t>
      </w:r>
    </w:p>
    <w:p w14:paraId="021B6F7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w:t>
      </w:r>
      <w:r>
        <w:t>按实际安装数量的10</w:t>
      </w:r>
      <w:r>
        <w:rPr>
          <w:rFonts w:hint="eastAsia"/>
        </w:rPr>
        <w:t>0</w:t>
      </w:r>
      <w:r>
        <w:t>%</w:t>
      </w:r>
      <w:r>
        <w:rPr>
          <w:rFonts w:hint="eastAsia"/>
        </w:rPr>
        <w:t>检测。</w:t>
      </w:r>
    </w:p>
    <w:p w14:paraId="51C981E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w:t>
      </w:r>
      <w:r>
        <w:rPr>
          <w:rFonts w:hint="eastAsia"/>
          <w:spacing w:val="-27"/>
        </w:rPr>
        <w:t>a)</w:t>
      </w:r>
      <w:r>
        <w:rPr>
          <w:rFonts w:hint="eastAsia"/>
          <w:spacing w:val="-16"/>
        </w:rPr>
        <w:t>对照设计文件，查看设备铭牌，核对设备参数是否符合要求；</w:t>
      </w:r>
      <w:r>
        <w:rPr>
          <w:rFonts w:hint="eastAsia"/>
          <w:spacing w:val="-27"/>
        </w:rPr>
        <w:t>b)</w:t>
      </w:r>
      <w:r>
        <w:rPr>
          <w:rFonts w:hint="eastAsia"/>
          <w:spacing w:val="-3"/>
        </w:rPr>
        <w:t>查看止回阀是否安装，并确保其安装位置不得影响稳压泵向罐内供水；</w:t>
      </w:r>
      <w:r>
        <w:rPr>
          <w:rFonts w:hint="eastAsia"/>
        </w:rPr>
        <w:t>c</w:t>
      </w:r>
      <w:r>
        <w:rPr>
          <w:rFonts w:hint="eastAsia"/>
          <w:spacing w:val="-3"/>
        </w:rPr>
        <w:t>)尺量检修通道距离。</w:t>
      </w:r>
    </w:p>
    <w:p w14:paraId="72AB713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6D60BD2A">
      <w:pPr>
        <w:pStyle w:val="32"/>
        <w:keepNext w:val="0"/>
        <w:keepLines w:val="0"/>
        <w:pageBreakBefore w:val="0"/>
        <w:kinsoku/>
        <w:wordWrap/>
        <w:overflowPunct/>
        <w:topLinePunct w:val="0"/>
        <w:bidi w:val="0"/>
        <w:ind w:left="0" w:leftChars="0" w:right="0" w:firstLine="560" w:firstLineChars="200"/>
        <w:textAlignment w:val="auto"/>
      </w:pPr>
      <w:r>
        <w:rPr>
          <w:rFonts w:hint="eastAsia"/>
        </w:rPr>
        <w:t>4.12.5</w:t>
      </w:r>
      <w:r>
        <w:rPr>
          <w:rFonts w:hint="eastAsia"/>
          <w:spacing w:val="-1"/>
        </w:rPr>
        <w:t>水泵接合器</w:t>
      </w:r>
    </w:p>
    <w:p w14:paraId="1FA0C27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4A2B88F">
      <w:pPr>
        <w:pStyle w:val="32"/>
        <w:keepNext w:val="0"/>
        <w:keepLines w:val="0"/>
        <w:pageBreakBefore w:val="0"/>
        <w:kinsoku/>
        <w:wordWrap/>
        <w:overflowPunct/>
        <w:topLinePunct w:val="0"/>
        <w:bidi w:val="0"/>
        <w:ind w:left="0" w:leftChars="0" w:right="0" w:firstLine="560" w:firstLineChars="200"/>
        <w:textAlignment w:val="auto"/>
      </w:pPr>
      <w:r>
        <w:rPr>
          <w:rFonts w:hint="eastAsia"/>
        </w:rPr>
        <w:t>a)水泵接合器规格型号、数量及安装位置应与设计文件相符；（A</w:t>
      </w:r>
      <w:r>
        <w:rPr>
          <w:rFonts w:hint="eastAsia"/>
          <w:spacing w:val="-28"/>
        </w:rPr>
        <w:t>类</w:t>
      </w:r>
      <w:r>
        <w:rPr>
          <w:rFonts w:hint="eastAsia"/>
        </w:rPr>
        <w:t>）</w:t>
      </w:r>
    </w:p>
    <w:p w14:paraId="048FE628">
      <w:pPr>
        <w:pStyle w:val="32"/>
        <w:keepNext w:val="0"/>
        <w:keepLines w:val="0"/>
        <w:pageBreakBefore w:val="0"/>
        <w:kinsoku/>
        <w:wordWrap/>
        <w:overflowPunct/>
        <w:topLinePunct w:val="0"/>
        <w:bidi w:val="0"/>
        <w:ind w:left="0" w:leftChars="0" w:right="0" w:firstLine="560" w:firstLineChars="200"/>
        <w:textAlignment w:val="auto"/>
      </w:pPr>
      <w:r>
        <w:rPr>
          <w:rFonts w:hint="eastAsia"/>
        </w:rPr>
        <w:t>b)水泵接合器组件应齐全，止回阀的安装方向应使消防用水能从消防水泵接合器进入系统；（A类）</w:t>
      </w:r>
    </w:p>
    <w:p w14:paraId="09AA533E">
      <w:pPr>
        <w:pStyle w:val="32"/>
        <w:keepNext w:val="0"/>
        <w:keepLines w:val="0"/>
        <w:pageBreakBefore w:val="0"/>
        <w:kinsoku/>
        <w:wordWrap/>
        <w:overflowPunct/>
        <w:topLinePunct w:val="0"/>
        <w:bidi w:val="0"/>
        <w:ind w:left="0" w:leftChars="0" w:right="0" w:firstLine="560" w:firstLineChars="200"/>
        <w:textAlignment w:val="auto"/>
      </w:pPr>
      <w:r>
        <w:rPr>
          <w:rFonts w:hint="eastAsia"/>
        </w:rPr>
        <w:t>c)消防水泵接合器永久性固定标志应能识别其所对应的消防给水系统或水灭火系统，当有分区</w:t>
      </w:r>
      <w:r>
        <w:rPr>
          <w:rFonts w:hint="eastAsia"/>
          <w:spacing w:val="-3"/>
        </w:rPr>
        <w:t>时还应有分区标识；</w:t>
      </w:r>
      <w:r>
        <w:rPr>
          <w:rFonts w:hint="eastAsia"/>
        </w:rPr>
        <w:t>（B</w:t>
      </w:r>
      <w:r>
        <w:rPr>
          <w:rFonts w:hint="eastAsia"/>
          <w:spacing w:val="-28"/>
        </w:rPr>
        <w:t>类</w:t>
      </w:r>
      <w:r>
        <w:rPr>
          <w:rFonts w:hint="eastAsia"/>
          <w:spacing w:val="-3"/>
        </w:rPr>
        <w:t>）</w:t>
      </w:r>
    </w:p>
    <w:p w14:paraId="4B4E4C57">
      <w:pPr>
        <w:pStyle w:val="32"/>
        <w:keepNext w:val="0"/>
        <w:keepLines w:val="0"/>
        <w:pageBreakBefore w:val="0"/>
        <w:kinsoku/>
        <w:wordWrap/>
        <w:overflowPunct/>
        <w:topLinePunct w:val="0"/>
        <w:bidi w:val="0"/>
        <w:ind w:left="0" w:leftChars="0" w:right="0" w:firstLine="560" w:firstLineChars="200"/>
        <w:textAlignment w:val="auto"/>
      </w:pPr>
      <w:r>
        <w:rPr>
          <w:rFonts w:hint="eastAsia"/>
        </w:rPr>
        <w:t>d)地上式水泵接合器接口距地面宜为0.7m</w:t>
      </w:r>
      <w:r>
        <w:rPr>
          <w:rFonts w:hint="eastAsia"/>
          <w:spacing w:val="-13"/>
        </w:rPr>
        <w:t>；墙壁式消防水泵接合器的安装高度距地面宜为</w:t>
      </w:r>
      <w:r>
        <w:rPr>
          <w:rFonts w:hint="eastAsia"/>
        </w:rPr>
        <w:t>0.7m。</w:t>
      </w:r>
      <w:r>
        <w:rPr>
          <w:rFonts w:hint="eastAsia"/>
          <w:spacing w:val="-4"/>
        </w:rPr>
        <w:t>与墙面上的门、窗、孔、洞的净距离不应小于</w:t>
      </w:r>
      <w:r>
        <w:rPr>
          <w:rFonts w:hint="eastAsia"/>
        </w:rPr>
        <w:t>2.0m，且不应安装在玻璃幕墙下方。地下消防</w:t>
      </w:r>
      <w:r>
        <w:rPr>
          <w:rFonts w:hint="eastAsia"/>
          <w:spacing w:val="-7"/>
        </w:rPr>
        <w:t>水泵接合器的安装，应使进水口与井盖底面的距离不大于</w:t>
      </w:r>
      <w:r>
        <w:rPr>
          <w:rFonts w:hint="eastAsia"/>
        </w:rPr>
        <w:t>0.4</w:t>
      </w:r>
      <w:r>
        <w:rPr>
          <w:rFonts w:hint="eastAsia"/>
          <w:spacing w:val="-21"/>
        </w:rPr>
        <w:t>m</w:t>
      </w:r>
      <w:r>
        <w:rPr>
          <w:rFonts w:hint="eastAsia"/>
          <w:spacing w:val="-8"/>
        </w:rPr>
        <w:t>，且不应小于井盖的半径；</w:t>
      </w:r>
      <w:r>
        <w:rPr>
          <w:rFonts w:hint="eastAsia"/>
          <w:spacing w:val="-29"/>
        </w:rPr>
        <w:t>（C</w:t>
      </w:r>
      <w:r>
        <w:rPr>
          <w:rFonts w:hint="eastAsia"/>
        </w:rPr>
        <w:t>类）</w:t>
      </w:r>
    </w:p>
    <w:p w14:paraId="433F1E5E">
      <w:pPr>
        <w:pStyle w:val="32"/>
        <w:keepNext w:val="0"/>
        <w:keepLines w:val="0"/>
        <w:pageBreakBefore w:val="0"/>
        <w:kinsoku/>
        <w:wordWrap/>
        <w:overflowPunct/>
        <w:topLinePunct w:val="0"/>
        <w:bidi w:val="0"/>
        <w:ind w:left="0" w:leftChars="0" w:right="0" w:firstLine="560" w:firstLineChars="200"/>
        <w:textAlignment w:val="auto"/>
      </w:pPr>
      <w:r>
        <w:rPr>
          <w:rFonts w:hint="eastAsia"/>
        </w:rPr>
        <w:t>e)地下消防水泵接合器应采用铸有“消防水泵接合器”标志的铸铁井盖，并应在其附近设置指</w:t>
      </w:r>
      <w:r>
        <w:rPr>
          <w:rFonts w:hint="eastAsia"/>
          <w:spacing w:val="-3"/>
        </w:rPr>
        <w:t>示其位置的永久性固定标志。</w:t>
      </w:r>
      <w:r>
        <w:rPr>
          <w:rFonts w:hint="eastAsia"/>
        </w:rPr>
        <w:t>（B</w:t>
      </w:r>
      <w:r>
        <w:rPr>
          <w:rFonts w:hint="eastAsia"/>
          <w:spacing w:val="-28"/>
        </w:rPr>
        <w:t>类</w:t>
      </w:r>
      <w:r>
        <w:rPr>
          <w:rFonts w:hint="eastAsia"/>
          <w:spacing w:val="-3"/>
        </w:rPr>
        <w:t>）</w:t>
      </w:r>
    </w:p>
    <w:p w14:paraId="04A0E94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w:t>
      </w:r>
      <w:r>
        <w:t>按实际安装数量的10</w:t>
      </w:r>
      <w:r>
        <w:rPr>
          <w:rFonts w:hint="eastAsia"/>
        </w:rPr>
        <w:t>0</w:t>
      </w:r>
      <w:r>
        <w:t>%</w:t>
      </w:r>
      <w:r>
        <w:rPr>
          <w:rFonts w:hint="eastAsia"/>
        </w:rPr>
        <w:t>检测。</w:t>
      </w:r>
    </w:p>
    <w:p w14:paraId="5C4E5AE3">
      <w:pPr>
        <w:pStyle w:val="32"/>
        <w:keepNext w:val="0"/>
        <w:keepLines w:val="0"/>
        <w:pageBreakBefore w:val="0"/>
        <w:kinsoku/>
        <w:wordWrap/>
        <w:overflowPunct/>
        <w:topLinePunct w:val="0"/>
        <w:bidi w:val="0"/>
        <w:ind w:left="0" w:leftChars="0" w:right="0" w:firstLine="556" w:firstLineChars="200"/>
        <w:textAlignment w:val="auto"/>
        <w:rPr>
          <w:rFonts w:hint="eastAsia"/>
          <w:spacing w:val="-1"/>
        </w:rPr>
      </w:pPr>
      <w:r>
        <w:rPr>
          <w:rFonts w:hint="eastAsia"/>
          <w:spacing w:val="-1"/>
        </w:rPr>
        <w:t>检测方法：</w:t>
      </w:r>
    </w:p>
    <w:p w14:paraId="0A7794C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w:t>
      </w:r>
      <w:r>
        <w:rPr>
          <w:rFonts w:hint="eastAsia"/>
          <w:spacing w:val="-3"/>
        </w:rPr>
        <w:t>对照设计文件，核对型号、数量及位置是否符合要求</w:t>
      </w:r>
      <w:r>
        <w:rPr>
          <w:rFonts w:hint="eastAsia"/>
        </w:rPr>
        <w:t>；</w:t>
      </w:r>
    </w:p>
    <w:p w14:paraId="53C986CB">
      <w:pPr>
        <w:pStyle w:val="32"/>
        <w:keepNext w:val="0"/>
        <w:keepLines w:val="0"/>
        <w:pageBreakBefore w:val="0"/>
        <w:kinsoku/>
        <w:wordWrap/>
        <w:overflowPunct/>
        <w:topLinePunct w:val="0"/>
        <w:bidi w:val="0"/>
        <w:ind w:left="0" w:leftChars="0" w:right="0" w:firstLine="560" w:firstLineChars="200"/>
        <w:textAlignment w:val="auto"/>
        <w:rPr>
          <w:spacing w:val="-3"/>
        </w:rPr>
      </w:pPr>
      <w:r>
        <w:rPr>
          <w:rFonts w:hint="eastAsia"/>
        </w:rPr>
        <w:t>b)～e</w:t>
      </w:r>
      <w:r>
        <w:rPr>
          <w:rFonts w:hint="eastAsia"/>
          <w:spacing w:val="-3"/>
        </w:rPr>
        <w:t>)尺量、直观检查。</w:t>
      </w:r>
    </w:p>
    <w:p w14:paraId="6F775B7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451BA44E">
      <w:pPr>
        <w:pStyle w:val="32"/>
        <w:keepNext w:val="0"/>
        <w:keepLines w:val="0"/>
        <w:pageBreakBefore w:val="0"/>
        <w:kinsoku/>
        <w:wordWrap/>
        <w:overflowPunct/>
        <w:topLinePunct w:val="0"/>
        <w:bidi w:val="0"/>
        <w:ind w:left="0" w:leftChars="0" w:right="0" w:firstLine="560" w:firstLineChars="200"/>
        <w:textAlignment w:val="auto"/>
      </w:pPr>
      <w:r>
        <w:rPr>
          <w:rFonts w:hint="eastAsia"/>
        </w:rPr>
        <w:t>4.12.6</w:t>
      </w:r>
      <w:r>
        <w:rPr>
          <w:rFonts w:hint="eastAsia"/>
          <w:spacing w:val="-1"/>
        </w:rPr>
        <w:t>消防泵房</w:t>
      </w:r>
    </w:p>
    <w:p w14:paraId="07C9D09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AE0A0EA">
      <w:pPr>
        <w:pStyle w:val="32"/>
        <w:keepNext w:val="0"/>
        <w:keepLines w:val="0"/>
        <w:pageBreakBefore w:val="0"/>
        <w:kinsoku/>
        <w:wordWrap/>
        <w:overflowPunct/>
        <w:topLinePunct w:val="0"/>
        <w:bidi w:val="0"/>
        <w:ind w:left="0" w:leftChars="0" w:right="0" w:firstLine="560" w:firstLineChars="200"/>
        <w:textAlignment w:val="auto"/>
      </w:pPr>
      <w:r>
        <w:rPr>
          <w:rFonts w:hint="eastAsia"/>
        </w:rPr>
        <w:t>a)</w:t>
      </w:r>
      <w:r>
        <w:rPr>
          <w:rFonts w:hint="eastAsia"/>
          <w:spacing w:val="-4"/>
        </w:rPr>
        <w:t>相邻两个机组及机组至墙壁间的净距，当电机容量小于</w:t>
      </w:r>
      <w:r>
        <w:rPr>
          <w:rFonts w:hint="eastAsia"/>
        </w:rPr>
        <w:t>22kW</w:t>
      </w:r>
      <w:r>
        <w:rPr>
          <w:rFonts w:hint="eastAsia"/>
          <w:spacing w:val="-9"/>
        </w:rPr>
        <w:t>时，不宜小于</w:t>
      </w:r>
      <w:r>
        <w:rPr>
          <w:rFonts w:hint="eastAsia"/>
        </w:rPr>
        <w:t>0.6</w:t>
      </w:r>
      <w:r>
        <w:rPr>
          <w:rFonts w:hint="eastAsia"/>
          <w:spacing w:val="-3"/>
        </w:rPr>
        <w:t>m。当电动机</w:t>
      </w:r>
      <w:r>
        <w:rPr>
          <w:rFonts w:hint="eastAsia"/>
          <w:spacing w:val="-11"/>
        </w:rPr>
        <w:t>容量不小于</w:t>
      </w:r>
      <w:r>
        <w:rPr>
          <w:rFonts w:hint="eastAsia"/>
        </w:rPr>
        <w:t>22</w:t>
      </w:r>
      <w:r>
        <w:rPr>
          <w:rFonts w:hint="eastAsia"/>
          <w:spacing w:val="-25"/>
        </w:rPr>
        <w:t>kW</w:t>
      </w:r>
      <w:r>
        <w:rPr>
          <w:rFonts w:hint="eastAsia"/>
          <w:spacing w:val="-15"/>
        </w:rPr>
        <w:t>，且不大于</w:t>
      </w:r>
      <w:r>
        <w:rPr>
          <w:rFonts w:hint="eastAsia"/>
        </w:rPr>
        <w:t>55kW</w:t>
      </w:r>
      <w:r>
        <w:rPr>
          <w:rFonts w:hint="eastAsia"/>
          <w:spacing w:val="-24"/>
        </w:rPr>
        <w:t>时，不宜小于</w:t>
      </w:r>
      <w:r>
        <w:rPr>
          <w:rFonts w:hint="eastAsia"/>
        </w:rPr>
        <w:t>0.8m</w:t>
      </w:r>
      <w:r>
        <w:rPr>
          <w:rFonts w:hint="eastAsia"/>
          <w:spacing w:val="-16"/>
        </w:rPr>
        <w:t>。当电动机容量大于</w:t>
      </w:r>
      <w:r>
        <w:rPr>
          <w:rFonts w:hint="eastAsia"/>
        </w:rPr>
        <w:t>55kW</w:t>
      </w:r>
      <w:r>
        <w:rPr>
          <w:rFonts w:hint="eastAsia"/>
          <w:spacing w:val="-22"/>
        </w:rPr>
        <w:t>且小于</w:t>
      </w:r>
      <w:r>
        <w:rPr>
          <w:rFonts w:hint="eastAsia"/>
        </w:rPr>
        <w:t>255</w:t>
      </w:r>
      <w:r>
        <w:rPr>
          <w:rFonts w:hint="eastAsia"/>
          <w:spacing w:val="-3"/>
        </w:rPr>
        <w:t>kW</w:t>
      </w:r>
      <w:r>
        <w:rPr>
          <w:rFonts w:hint="eastAsia"/>
          <w:spacing w:val="-10"/>
        </w:rPr>
        <w:t>时，不宜小于</w:t>
      </w:r>
      <w:r>
        <w:rPr>
          <w:rFonts w:hint="eastAsia"/>
        </w:rPr>
        <w:t>1.2</w:t>
      </w:r>
      <w:r>
        <w:rPr>
          <w:rFonts w:hint="eastAsia"/>
          <w:spacing w:val="-3"/>
        </w:rPr>
        <w:t>m</w:t>
      </w:r>
      <w:r>
        <w:rPr>
          <w:rFonts w:hint="eastAsia"/>
          <w:spacing w:val="-8"/>
        </w:rPr>
        <w:t>。当电动机容量大于</w:t>
      </w:r>
      <w:r>
        <w:rPr>
          <w:rFonts w:hint="eastAsia"/>
        </w:rPr>
        <w:t>255kW</w:t>
      </w:r>
      <w:r>
        <w:rPr>
          <w:rFonts w:hint="eastAsia"/>
          <w:spacing w:val="-16"/>
        </w:rPr>
        <w:t>时，不宜小于</w:t>
      </w:r>
      <w:r>
        <w:rPr>
          <w:rFonts w:hint="eastAsia"/>
        </w:rPr>
        <w:t>1.5m；（C</w:t>
      </w:r>
      <w:r>
        <w:rPr>
          <w:rFonts w:hint="eastAsia"/>
          <w:spacing w:val="-28"/>
        </w:rPr>
        <w:t>类</w:t>
      </w:r>
      <w:r>
        <w:rPr>
          <w:rFonts w:hint="eastAsia"/>
          <w:spacing w:val="-3"/>
        </w:rPr>
        <w:t>）</w:t>
      </w:r>
    </w:p>
    <w:p w14:paraId="3C7B7052">
      <w:pPr>
        <w:pStyle w:val="32"/>
        <w:keepNext w:val="0"/>
        <w:keepLines w:val="0"/>
        <w:pageBreakBefore w:val="0"/>
        <w:kinsoku/>
        <w:wordWrap/>
        <w:overflowPunct/>
        <w:topLinePunct w:val="0"/>
        <w:bidi w:val="0"/>
        <w:ind w:left="0" w:leftChars="0" w:right="0" w:firstLine="560" w:firstLineChars="200"/>
        <w:textAlignment w:val="auto"/>
      </w:pPr>
      <w:r>
        <w:rPr>
          <w:rFonts w:hint="eastAsia"/>
        </w:rPr>
        <w:t>b)消防水泵房的主要通道宽度不应小于1.2m；（C</w:t>
      </w:r>
      <w:r>
        <w:rPr>
          <w:rFonts w:hint="eastAsia"/>
          <w:spacing w:val="-29"/>
        </w:rPr>
        <w:t>类</w:t>
      </w:r>
      <w:r>
        <w:rPr>
          <w:rFonts w:hint="eastAsia"/>
        </w:rPr>
        <w:t>）</w:t>
      </w:r>
    </w:p>
    <w:p w14:paraId="2CD8FC5D">
      <w:pPr>
        <w:pStyle w:val="32"/>
        <w:keepNext w:val="0"/>
        <w:keepLines w:val="0"/>
        <w:pageBreakBefore w:val="0"/>
        <w:kinsoku/>
        <w:wordWrap/>
        <w:overflowPunct/>
        <w:topLinePunct w:val="0"/>
        <w:bidi w:val="0"/>
        <w:ind w:left="0" w:leftChars="0" w:right="0" w:firstLine="560" w:firstLineChars="200"/>
        <w:textAlignment w:val="auto"/>
      </w:pPr>
      <w:r>
        <w:rPr>
          <w:rFonts w:hint="eastAsia"/>
        </w:rPr>
        <w:t>c)消防水泵房应采取防止被水淹没的技术措施。（C</w:t>
      </w:r>
      <w:r>
        <w:rPr>
          <w:rFonts w:hint="eastAsia"/>
          <w:spacing w:val="-24"/>
        </w:rPr>
        <w:t>类</w:t>
      </w:r>
      <w:r>
        <w:rPr>
          <w:rFonts w:hint="eastAsia"/>
        </w:rPr>
        <w:t>）</w:t>
      </w:r>
    </w:p>
    <w:p w14:paraId="391DD98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40234486">
      <w:pPr>
        <w:pStyle w:val="32"/>
        <w:keepNext w:val="0"/>
        <w:keepLines w:val="0"/>
        <w:pageBreakBefore w:val="0"/>
        <w:kinsoku/>
        <w:wordWrap/>
        <w:overflowPunct/>
        <w:topLinePunct w:val="0"/>
        <w:bidi w:val="0"/>
        <w:ind w:left="0" w:leftChars="0" w:right="0" w:firstLine="560" w:firstLineChars="200"/>
        <w:textAlignment w:val="auto"/>
        <w:rPr>
          <w:rFonts w:hint="eastAsia" w:eastAsia="仿宋"/>
          <w:lang w:eastAsia="zh-CN"/>
        </w:rPr>
      </w:pPr>
      <w:r>
        <w:rPr>
          <w:rFonts w:hint="eastAsia"/>
        </w:rPr>
        <w:t>检测方法：a)尺量机组间的净距；b)尺量通道宽度；c)查看排水设施是否安装到位。</w:t>
      </w:r>
    </w:p>
    <w:p w14:paraId="432BEF8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109F7B62">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4.12.7</w:t>
      </w:r>
      <w:r>
        <w:rPr>
          <w:rFonts w:hint="eastAsia"/>
        </w:rPr>
        <w:t>消火栓箱及配件</w:t>
      </w:r>
    </w:p>
    <w:p w14:paraId="1CFD7CC1">
      <w:pPr>
        <w:pStyle w:val="32"/>
        <w:keepNext w:val="0"/>
        <w:keepLines w:val="0"/>
        <w:pageBreakBefore w:val="0"/>
        <w:kinsoku/>
        <w:wordWrap/>
        <w:overflowPunct/>
        <w:topLinePunct w:val="0"/>
        <w:bidi w:val="0"/>
        <w:ind w:left="0" w:leftChars="0" w:right="0" w:firstLine="560" w:firstLineChars="200"/>
        <w:textAlignment w:val="auto"/>
      </w:pPr>
      <w:r>
        <w:rPr>
          <w:rFonts w:hint="eastAsia"/>
        </w:rPr>
        <w:t>4.12.7.1</w:t>
      </w:r>
      <w:r>
        <w:rPr>
          <w:rFonts w:hint="eastAsia"/>
          <w:spacing w:val="19"/>
        </w:rPr>
        <w:t>消火栓箱</w:t>
      </w:r>
    </w:p>
    <w:p w14:paraId="03BCAF4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0FBBCB7">
      <w:pPr>
        <w:pStyle w:val="32"/>
        <w:keepNext w:val="0"/>
        <w:keepLines w:val="0"/>
        <w:pageBreakBefore w:val="0"/>
        <w:kinsoku/>
        <w:wordWrap/>
        <w:overflowPunct/>
        <w:topLinePunct w:val="0"/>
        <w:bidi w:val="0"/>
        <w:ind w:left="0" w:leftChars="0" w:right="0" w:firstLine="560" w:firstLineChars="200"/>
        <w:textAlignment w:val="auto"/>
      </w:pPr>
      <w:r>
        <w:rPr>
          <w:rFonts w:hint="eastAsia"/>
        </w:rPr>
        <w:t>a)消火栓箱规格、型号、数量及安装位置应与设计文件相符；（A</w:t>
      </w:r>
      <w:r>
        <w:rPr>
          <w:rFonts w:hint="eastAsia"/>
          <w:spacing w:val="-28"/>
        </w:rPr>
        <w:t>类</w:t>
      </w:r>
      <w:r>
        <w:rPr>
          <w:rFonts w:hint="eastAsia"/>
        </w:rPr>
        <w:t>）</w:t>
      </w:r>
    </w:p>
    <w:p w14:paraId="5DF15EAA">
      <w:pPr>
        <w:pStyle w:val="32"/>
        <w:keepNext w:val="0"/>
        <w:keepLines w:val="0"/>
        <w:pageBreakBefore w:val="0"/>
        <w:kinsoku/>
        <w:wordWrap/>
        <w:overflowPunct/>
        <w:topLinePunct w:val="0"/>
        <w:bidi w:val="0"/>
        <w:ind w:left="0" w:leftChars="0" w:right="0" w:firstLine="560" w:firstLineChars="200"/>
        <w:textAlignment w:val="auto"/>
      </w:pPr>
      <w:r>
        <w:rPr>
          <w:rFonts w:hint="eastAsia"/>
        </w:rPr>
        <w:t>b)室内消火栓箱的安装应平正、牢固，箱门的开启不应小于</w:t>
      </w:r>
      <w:r>
        <w:rPr>
          <w:rFonts w:hint="eastAsia"/>
          <w:spacing w:val="-5"/>
        </w:rPr>
        <w:t>120</w:t>
      </w:r>
      <w:r>
        <w:rPr>
          <w:rFonts w:hint="eastAsia"/>
          <w:spacing w:val="-4"/>
        </w:rPr>
        <w:t>°，且箱门上应用红色字体注明</w:t>
      </w:r>
      <w:r>
        <w:rPr>
          <w:rFonts w:hint="eastAsia"/>
          <w:spacing w:val="-3"/>
        </w:rPr>
        <w:t>“消火栓”字样，当室内消火栓隐蔽安装时，应有明显的标志，并应便于开启使用；</w:t>
      </w:r>
      <w:r>
        <w:rPr>
          <w:rFonts w:hint="eastAsia"/>
        </w:rPr>
        <w:t>（C</w:t>
      </w:r>
      <w:r>
        <w:rPr>
          <w:rFonts w:hint="eastAsia"/>
          <w:spacing w:val="-15"/>
        </w:rPr>
        <w:t>类</w:t>
      </w:r>
      <w:r>
        <w:rPr>
          <w:rFonts w:hint="eastAsia"/>
          <w:spacing w:val="-106"/>
        </w:rPr>
        <w:t>）</w:t>
      </w:r>
    </w:p>
    <w:p w14:paraId="01169220">
      <w:pPr>
        <w:pStyle w:val="32"/>
        <w:keepNext w:val="0"/>
        <w:keepLines w:val="0"/>
        <w:pageBreakBefore w:val="0"/>
        <w:kinsoku/>
        <w:wordWrap/>
        <w:overflowPunct/>
        <w:topLinePunct w:val="0"/>
        <w:bidi w:val="0"/>
        <w:ind w:left="0" w:leftChars="0" w:right="0" w:firstLine="560" w:firstLineChars="200"/>
        <w:textAlignment w:val="auto"/>
      </w:pPr>
      <w:r>
        <w:rPr>
          <w:rFonts w:hint="eastAsia"/>
        </w:rPr>
        <w:t>c)消火栓箱内水带、水枪等配件应齐全；（C</w:t>
      </w:r>
      <w:r>
        <w:rPr>
          <w:rFonts w:hint="eastAsia"/>
          <w:spacing w:val="-28"/>
        </w:rPr>
        <w:t>类</w:t>
      </w:r>
      <w:r>
        <w:rPr>
          <w:rFonts w:hint="eastAsia"/>
        </w:rPr>
        <w:t>）</w:t>
      </w:r>
    </w:p>
    <w:p w14:paraId="6E3436DC">
      <w:pPr>
        <w:pStyle w:val="32"/>
        <w:keepNext w:val="0"/>
        <w:keepLines w:val="0"/>
        <w:pageBreakBefore w:val="0"/>
        <w:kinsoku/>
        <w:wordWrap/>
        <w:overflowPunct/>
        <w:topLinePunct w:val="0"/>
        <w:bidi w:val="0"/>
        <w:ind w:left="0" w:leftChars="0" w:right="0" w:firstLine="560" w:firstLineChars="200"/>
        <w:textAlignment w:val="auto"/>
      </w:pPr>
      <w:r>
        <w:rPr>
          <w:rFonts w:hint="eastAsia"/>
        </w:rPr>
        <w:t>d)试验消火栓设置位置应与设计文件相符，且栓口处应设置压力表；（C</w:t>
      </w:r>
      <w:r>
        <w:rPr>
          <w:rFonts w:hint="eastAsia"/>
          <w:spacing w:val="-28"/>
        </w:rPr>
        <w:t>类</w:t>
      </w:r>
      <w:r>
        <w:rPr>
          <w:rFonts w:hint="eastAsia"/>
        </w:rPr>
        <w:t>）</w:t>
      </w:r>
    </w:p>
    <w:p w14:paraId="4BEBFC28">
      <w:pPr>
        <w:pStyle w:val="32"/>
        <w:keepNext w:val="0"/>
        <w:keepLines w:val="0"/>
        <w:pageBreakBefore w:val="0"/>
        <w:kinsoku/>
        <w:wordWrap/>
        <w:overflowPunct/>
        <w:topLinePunct w:val="0"/>
        <w:bidi w:val="0"/>
        <w:ind w:left="0" w:leftChars="0" w:right="0" w:firstLine="560" w:firstLineChars="200"/>
        <w:textAlignment w:val="auto"/>
        <w:rPr>
          <w:rFonts w:hint="eastAsia" w:eastAsia="仿宋"/>
          <w:spacing w:val="-3"/>
          <w:lang w:eastAsia="zh-CN"/>
        </w:rPr>
      </w:pPr>
      <w:r>
        <w:rPr>
          <w:rFonts w:hint="eastAsia"/>
        </w:rPr>
        <w:t>e)屋顶设有直升机停机坪的建筑，消火栓距停机坪机位边缘的距离不应小于5.0m</w:t>
      </w:r>
      <w:r>
        <w:rPr>
          <w:rFonts w:hint="eastAsia"/>
          <w:spacing w:val="-3"/>
        </w:rPr>
        <w:t>。</w:t>
      </w:r>
      <w:r>
        <w:rPr>
          <w:rFonts w:hint="eastAsia"/>
        </w:rPr>
        <w:t>（B</w:t>
      </w:r>
      <w:r>
        <w:rPr>
          <w:rFonts w:hint="eastAsia"/>
          <w:spacing w:val="-24"/>
        </w:rPr>
        <w:t>类</w:t>
      </w:r>
      <w:r>
        <w:rPr>
          <w:rFonts w:hint="eastAsia"/>
          <w:spacing w:val="-3"/>
        </w:rPr>
        <w:t>）</w:t>
      </w:r>
    </w:p>
    <w:p w14:paraId="57D6E11B">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检测数量：按实际安装数量的100%检测。</w:t>
      </w:r>
    </w:p>
    <w:p w14:paraId="3D18C91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263F990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a)～c）对照设计文件，核对消火栓规格及位置，查看配件、标识是否齐全，尺量开启角度；</w:t>
      </w:r>
    </w:p>
    <w:p w14:paraId="0B04878B">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d)对照设计文件，核对试验消火栓位置，查看是否安装压力表；</w:t>
      </w:r>
    </w:p>
    <w:p w14:paraId="2FA9D6F9">
      <w:pPr>
        <w:pStyle w:val="32"/>
        <w:keepNext w:val="0"/>
        <w:keepLines w:val="0"/>
        <w:pageBreakBefore w:val="0"/>
        <w:kinsoku/>
        <w:wordWrap/>
        <w:overflowPunct/>
        <w:topLinePunct w:val="0"/>
        <w:bidi w:val="0"/>
        <w:ind w:left="0" w:leftChars="0" w:right="0" w:firstLine="560" w:firstLineChars="200"/>
        <w:textAlignment w:val="auto"/>
      </w:pPr>
      <w:r>
        <w:rPr>
          <w:rFonts w:hint="eastAsia"/>
        </w:rPr>
        <w:t>e)尺量检查。</w:t>
      </w:r>
    </w:p>
    <w:p w14:paraId="22876F4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检测器具：钢卷尺、角度尺。</w:t>
      </w:r>
    </w:p>
    <w:p w14:paraId="4EA3D472">
      <w:pPr>
        <w:pStyle w:val="32"/>
        <w:keepNext w:val="0"/>
        <w:keepLines w:val="0"/>
        <w:pageBreakBefore w:val="0"/>
        <w:kinsoku/>
        <w:wordWrap/>
        <w:overflowPunct/>
        <w:topLinePunct w:val="0"/>
        <w:bidi w:val="0"/>
        <w:ind w:left="0" w:leftChars="0" w:right="0" w:firstLine="560" w:firstLineChars="200"/>
        <w:textAlignment w:val="auto"/>
      </w:pPr>
      <w:r>
        <w:rPr>
          <w:rFonts w:hint="eastAsia"/>
        </w:rPr>
        <w:t>4.12.7.2配件</w:t>
      </w:r>
    </w:p>
    <w:p w14:paraId="6146277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131F3C9">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a)</w:t>
      </w:r>
      <w:r>
        <w:rPr>
          <w:rFonts w:hint="eastAsia"/>
        </w:rPr>
        <w:t>同一建筑物内设置的消火栓、消防软管卷盘应采用统一规格的栓口、消防水枪和水带及配件；（C类）</w:t>
      </w:r>
    </w:p>
    <w:p w14:paraId="238312BF">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b)</w:t>
      </w:r>
      <w:r>
        <w:rPr>
          <w:rFonts w:hint="eastAsia"/>
        </w:rPr>
        <w:t>室内消火栓栓口中心距地面高度宜为1.1</w:t>
      </w:r>
      <w:r>
        <w:rPr>
          <w:rFonts w:hint="eastAsia"/>
          <w:spacing w:val="-28"/>
        </w:rPr>
        <w:t>m</w:t>
      </w:r>
      <w:r>
        <w:rPr>
          <w:rFonts w:hint="eastAsia"/>
          <w:spacing w:val="-9"/>
        </w:rPr>
        <w:t>，其出水方向宜向下或与设置消火栓的墙面成</w:t>
      </w:r>
      <w:r>
        <w:rPr>
          <w:rFonts w:hint="eastAsia"/>
        </w:rPr>
        <w:t>90°</w:t>
      </w:r>
      <w:r>
        <w:rPr>
          <w:rFonts w:hint="eastAsia"/>
          <w:spacing w:val="-3"/>
        </w:rPr>
        <w:t>角，栓口不应安装在门轴侧；</w:t>
      </w:r>
      <w:r>
        <w:rPr>
          <w:rFonts w:hint="eastAsia"/>
        </w:rPr>
        <w:t>（C</w:t>
      </w:r>
      <w:r>
        <w:rPr>
          <w:rFonts w:hint="eastAsia"/>
          <w:spacing w:val="-28"/>
        </w:rPr>
        <w:t>类</w:t>
      </w:r>
      <w:r>
        <w:rPr>
          <w:rFonts w:hint="eastAsia"/>
          <w:spacing w:val="-3"/>
        </w:rPr>
        <w:t>）</w:t>
      </w:r>
    </w:p>
    <w:p w14:paraId="0923F6D9">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c)</w:t>
      </w:r>
      <w:r>
        <w:rPr>
          <w:rFonts w:hint="eastAsia"/>
          <w:spacing w:val="-15"/>
        </w:rPr>
        <w:t>应配备</w:t>
      </w:r>
      <w:r>
        <w:rPr>
          <w:rFonts w:hint="eastAsia"/>
        </w:rPr>
        <w:t>DN65</w:t>
      </w:r>
      <w:r>
        <w:rPr>
          <w:rFonts w:hint="eastAsia"/>
          <w:spacing w:val="-11"/>
        </w:rPr>
        <w:t>的有衬里消防水带，且长度不宜超过</w:t>
      </w:r>
      <w:r>
        <w:rPr>
          <w:rFonts w:hint="eastAsia"/>
        </w:rPr>
        <w:t>25.0m；（C</w:t>
      </w:r>
      <w:r>
        <w:rPr>
          <w:rFonts w:hint="eastAsia"/>
          <w:spacing w:val="-28"/>
        </w:rPr>
        <w:t>类</w:t>
      </w:r>
      <w:r>
        <w:rPr>
          <w:rFonts w:hint="eastAsia"/>
          <w:spacing w:val="-3"/>
        </w:rPr>
        <w:t>）</w:t>
      </w:r>
    </w:p>
    <w:p w14:paraId="520D9CAA">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d)</w:t>
      </w:r>
      <w:r>
        <w:rPr>
          <w:rFonts w:hint="eastAsia"/>
        </w:rPr>
        <w:t>消防软管卷盘应安装牢固，组件齐全。消防软管卷盘应配置内径不小于ф19的消防软管，其</w:t>
      </w:r>
      <w:r>
        <w:rPr>
          <w:rFonts w:hint="eastAsia"/>
          <w:spacing w:val="-12"/>
        </w:rPr>
        <w:t>长度宜为</w:t>
      </w:r>
      <w:r>
        <w:rPr>
          <w:rFonts w:hint="eastAsia"/>
        </w:rPr>
        <w:t>30.0m；（C</w:t>
      </w:r>
      <w:r>
        <w:rPr>
          <w:rFonts w:hint="eastAsia"/>
          <w:spacing w:val="-28"/>
        </w:rPr>
        <w:t>类</w:t>
      </w:r>
      <w:r>
        <w:rPr>
          <w:rFonts w:hint="eastAsia"/>
        </w:rPr>
        <w:t>）</w:t>
      </w:r>
    </w:p>
    <w:p w14:paraId="618B4169">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e)</w:t>
      </w:r>
      <w:r>
        <w:rPr>
          <w:rFonts w:hint="eastAsia"/>
          <w:spacing w:val="-10"/>
        </w:rPr>
        <w:t>轻便水龙应配置</w:t>
      </w:r>
      <w:r>
        <w:rPr>
          <w:rFonts w:hint="eastAsia"/>
        </w:rPr>
        <w:t>DN25</w:t>
      </w:r>
      <w:r>
        <w:rPr>
          <w:rFonts w:hint="eastAsia"/>
          <w:spacing w:val="-12"/>
        </w:rPr>
        <w:t>的有衬里消防水带，长度宜为</w:t>
      </w:r>
      <w:r>
        <w:rPr>
          <w:rFonts w:hint="eastAsia"/>
        </w:rPr>
        <w:t>30.0m；（C</w:t>
      </w:r>
      <w:r>
        <w:rPr>
          <w:rFonts w:hint="eastAsia"/>
          <w:spacing w:val="-28"/>
        </w:rPr>
        <w:t>类</w:t>
      </w:r>
      <w:r>
        <w:rPr>
          <w:rFonts w:hint="eastAsia"/>
          <w:spacing w:val="-3"/>
        </w:rPr>
        <w:t>）</w:t>
      </w:r>
    </w:p>
    <w:p w14:paraId="55F56823">
      <w:pPr>
        <w:pStyle w:val="32"/>
        <w:keepNext w:val="0"/>
        <w:keepLines w:val="0"/>
        <w:pageBreakBefore w:val="0"/>
        <w:kinsoku/>
        <w:wordWrap/>
        <w:overflowPunct/>
        <w:topLinePunct w:val="0"/>
        <w:bidi w:val="0"/>
        <w:ind w:left="0" w:leftChars="0" w:right="0" w:firstLine="560" w:firstLineChars="200"/>
        <w:textAlignment w:val="auto"/>
      </w:pPr>
      <w:r>
        <w:rPr>
          <w:rFonts w:hint="eastAsia"/>
          <w:kern w:val="2"/>
        </w:rPr>
        <w:t>f)</w:t>
      </w:r>
      <w:r>
        <w:rPr>
          <w:rFonts w:hint="eastAsia"/>
        </w:rPr>
        <w:t>消火栓按钮应安装牢固，不得松动，其布线应穿管保护，消火栓按钮的启泵方式应与设计文件相符。（B</w:t>
      </w:r>
      <w:r>
        <w:rPr>
          <w:rFonts w:hint="eastAsia"/>
          <w:spacing w:val="-28"/>
        </w:rPr>
        <w:t>类</w:t>
      </w:r>
      <w:r>
        <w:rPr>
          <w:rFonts w:hint="eastAsia"/>
        </w:rPr>
        <w:t>）</w:t>
      </w:r>
    </w:p>
    <w:p w14:paraId="19A7316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87F6AC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33D220B4">
      <w:pPr>
        <w:pStyle w:val="32"/>
        <w:keepNext w:val="0"/>
        <w:keepLines w:val="0"/>
        <w:pageBreakBefore w:val="0"/>
        <w:kinsoku/>
        <w:wordWrap/>
        <w:overflowPunct/>
        <w:topLinePunct w:val="0"/>
        <w:bidi w:val="0"/>
        <w:ind w:left="0" w:leftChars="0" w:right="0" w:firstLine="528" w:firstLineChars="200"/>
        <w:textAlignment w:val="auto"/>
        <w:rPr>
          <w:rFonts w:hint="eastAsia"/>
          <w:spacing w:val="-5"/>
        </w:rPr>
      </w:pPr>
      <w:r>
        <w:rPr>
          <w:rFonts w:hint="eastAsia"/>
          <w:spacing w:val="-8"/>
        </w:rPr>
        <w:t>a)</w:t>
      </w:r>
      <w:r>
        <w:rPr>
          <w:rFonts w:hint="eastAsia"/>
          <w:spacing w:val="-5"/>
        </w:rPr>
        <w:t>直观检查；</w:t>
      </w:r>
    </w:p>
    <w:p w14:paraId="7B62DF86">
      <w:pPr>
        <w:pStyle w:val="32"/>
        <w:keepNext w:val="0"/>
        <w:keepLines w:val="0"/>
        <w:pageBreakBefore w:val="0"/>
        <w:kinsoku/>
        <w:wordWrap/>
        <w:overflowPunct/>
        <w:topLinePunct w:val="0"/>
        <w:bidi w:val="0"/>
        <w:ind w:left="0" w:leftChars="0" w:right="0" w:firstLine="524" w:firstLineChars="200"/>
        <w:textAlignment w:val="auto"/>
        <w:rPr>
          <w:rFonts w:hint="eastAsia"/>
          <w:spacing w:val="-6"/>
        </w:rPr>
      </w:pPr>
      <w:r>
        <w:rPr>
          <w:rFonts w:hint="eastAsia"/>
          <w:spacing w:val="-9"/>
        </w:rPr>
        <w:t>b</w:t>
      </w:r>
      <w:r>
        <w:rPr>
          <w:rFonts w:hint="eastAsia"/>
          <w:spacing w:val="-6"/>
        </w:rPr>
        <w:t>)尺量安装高度，直观检查出水方向；</w:t>
      </w:r>
    </w:p>
    <w:p w14:paraId="6A2EA88B">
      <w:pPr>
        <w:pStyle w:val="32"/>
        <w:keepNext w:val="0"/>
        <w:keepLines w:val="0"/>
        <w:pageBreakBefore w:val="0"/>
        <w:kinsoku/>
        <w:wordWrap/>
        <w:overflowPunct/>
        <w:topLinePunct w:val="0"/>
        <w:bidi w:val="0"/>
        <w:ind w:left="0" w:leftChars="0" w:right="0" w:firstLine="540" w:firstLineChars="200"/>
        <w:textAlignment w:val="auto"/>
        <w:rPr>
          <w:rFonts w:hint="eastAsia"/>
          <w:spacing w:val="-10"/>
        </w:rPr>
      </w:pPr>
      <w:r>
        <w:rPr>
          <w:rFonts w:hint="eastAsia"/>
          <w:spacing w:val="-5"/>
        </w:rPr>
        <w:t>c)～e)</w:t>
      </w:r>
      <w:r>
        <w:rPr>
          <w:rFonts w:hint="eastAsia"/>
          <w:spacing w:val="-6"/>
        </w:rPr>
        <w:t>尺量水带、卷盘及轻便水龙</w:t>
      </w:r>
      <w:r>
        <w:rPr>
          <w:rFonts w:hint="eastAsia"/>
          <w:spacing w:val="-10"/>
        </w:rPr>
        <w:t>长度。拉动软管检查安装牢固情况，直观检查软管、喷嘴及阀门组件是否齐全；</w:t>
      </w:r>
    </w:p>
    <w:p w14:paraId="6A81628D">
      <w:pPr>
        <w:pStyle w:val="32"/>
        <w:keepNext w:val="0"/>
        <w:keepLines w:val="0"/>
        <w:pageBreakBefore w:val="0"/>
        <w:kinsoku/>
        <w:wordWrap/>
        <w:overflowPunct/>
        <w:topLinePunct w:val="0"/>
        <w:bidi w:val="0"/>
        <w:ind w:left="0" w:leftChars="0" w:right="0" w:firstLine="524" w:firstLineChars="200"/>
        <w:textAlignment w:val="auto"/>
      </w:pPr>
      <w:r>
        <w:rPr>
          <w:rFonts w:hint="eastAsia"/>
          <w:spacing w:val="-9"/>
        </w:rPr>
        <w:t>f</w:t>
      </w:r>
      <w:r>
        <w:rPr>
          <w:rFonts w:hint="eastAsia"/>
          <w:spacing w:val="-4"/>
        </w:rPr>
        <w:t>)启动消火栓按钮进行</w:t>
      </w:r>
      <w:r>
        <w:rPr>
          <w:rFonts w:hint="eastAsia"/>
        </w:rPr>
        <w:t>试验，查看消防泵启动方式是否与设计一致。</w:t>
      </w:r>
    </w:p>
    <w:p w14:paraId="2EAAFC8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5CFDDBD7">
      <w:pPr>
        <w:pStyle w:val="32"/>
        <w:keepNext w:val="0"/>
        <w:keepLines w:val="0"/>
        <w:pageBreakBefore w:val="0"/>
        <w:kinsoku/>
        <w:wordWrap/>
        <w:overflowPunct/>
        <w:topLinePunct w:val="0"/>
        <w:bidi w:val="0"/>
        <w:ind w:left="0" w:leftChars="0" w:right="0" w:firstLine="560" w:firstLineChars="200"/>
        <w:textAlignment w:val="auto"/>
      </w:pPr>
      <w:r>
        <w:rPr>
          <w:rFonts w:hint="eastAsia"/>
        </w:rPr>
        <w:t>4.12.8</w:t>
      </w:r>
      <w:r>
        <w:rPr>
          <w:rFonts w:hint="eastAsia"/>
          <w:spacing w:val="-1"/>
        </w:rPr>
        <w:t>消火栓管网</w:t>
      </w:r>
    </w:p>
    <w:p w14:paraId="289861C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AC2327F">
      <w:pPr>
        <w:pStyle w:val="32"/>
        <w:keepNext w:val="0"/>
        <w:keepLines w:val="0"/>
        <w:pageBreakBefore w:val="0"/>
        <w:kinsoku/>
        <w:wordWrap/>
        <w:overflowPunct/>
        <w:topLinePunct w:val="0"/>
        <w:bidi w:val="0"/>
        <w:ind w:left="0" w:leftChars="0" w:right="0" w:firstLine="560" w:firstLineChars="200"/>
        <w:textAlignment w:val="auto"/>
      </w:pPr>
      <w:r>
        <w:rPr>
          <w:rFonts w:hint="eastAsia"/>
        </w:rPr>
        <w:t>a)向室内环状消防给水管网供水的输水干管不应少于两条；（A</w:t>
      </w:r>
      <w:r>
        <w:rPr>
          <w:rFonts w:hint="eastAsia"/>
          <w:spacing w:val="-28"/>
        </w:rPr>
        <w:t>类</w:t>
      </w:r>
      <w:r>
        <w:rPr>
          <w:rFonts w:hint="eastAsia"/>
        </w:rPr>
        <w:t>）</w:t>
      </w:r>
    </w:p>
    <w:p w14:paraId="56A0789A">
      <w:pPr>
        <w:pStyle w:val="32"/>
        <w:keepNext w:val="0"/>
        <w:keepLines w:val="0"/>
        <w:pageBreakBefore w:val="0"/>
        <w:kinsoku/>
        <w:wordWrap/>
        <w:overflowPunct/>
        <w:topLinePunct w:val="0"/>
        <w:bidi w:val="0"/>
        <w:ind w:left="0" w:leftChars="0" w:right="0" w:firstLine="560" w:firstLineChars="200"/>
        <w:textAlignment w:val="auto"/>
      </w:pPr>
      <w:r>
        <w:rPr>
          <w:rFonts w:hint="eastAsia"/>
        </w:rPr>
        <w:t>b)室内消火栓系统管网布置应与设计文件相符；（A</w:t>
      </w:r>
      <w:r>
        <w:rPr>
          <w:rFonts w:hint="eastAsia"/>
          <w:spacing w:val="-28"/>
        </w:rPr>
        <w:t>类</w:t>
      </w:r>
      <w:r>
        <w:rPr>
          <w:rFonts w:hint="eastAsia"/>
        </w:rPr>
        <w:t>）</w:t>
      </w:r>
    </w:p>
    <w:p w14:paraId="47C335DB">
      <w:pPr>
        <w:pStyle w:val="32"/>
        <w:keepNext w:val="0"/>
        <w:keepLines w:val="0"/>
        <w:pageBreakBefore w:val="0"/>
        <w:kinsoku/>
        <w:wordWrap/>
        <w:overflowPunct/>
        <w:topLinePunct w:val="0"/>
        <w:bidi w:val="0"/>
        <w:ind w:left="0" w:leftChars="0" w:right="0" w:firstLine="560" w:firstLineChars="200"/>
        <w:textAlignment w:val="auto"/>
      </w:pPr>
      <w:r>
        <w:rPr>
          <w:rFonts w:hint="eastAsia"/>
        </w:rPr>
        <w:t>c)室内消火栓给水管网宜与自动喷水等其他水灭火系统的管网分开设置。当合用消防泵时，供</w:t>
      </w:r>
      <w:r>
        <w:rPr>
          <w:rFonts w:hint="eastAsia"/>
          <w:spacing w:val="-3"/>
        </w:rPr>
        <w:t>水管路沿水流方向应在报警阀前分开设置；</w:t>
      </w:r>
      <w:r>
        <w:rPr>
          <w:rFonts w:hint="eastAsia"/>
        </w:rPr>
        <w:t>（B</w:t>
      </w:r>
      <w:r>
        <w:rPr>
          <w:rFonts w:hint="eastAsia"/>
          <w:spacing w:val="-28"/>
        </w:rPr>
        <w:t>类</w:t>
      </w:r>
      <w:r>
        <w:rPr>
          <w:rFonts w:hint="eastAsia"/>
        </w:rPr>
        <w:t>）</w:t>
      </w:r>
    </w:p>
    <w:p w14:paraId="02F2FBEB">
      <w:pPr>
        <w:pStyle w:val="32"/>
        <w:keepNext w:val="0"/>
        <w:keepLines w:val="0"/>
        <w:pageBreakBefore w:val="0"/>
        <w:kinsoku/>
        <w:wordWrap/>
        <w:overflowPunct/>
        <w:topLinePunct w:val="0"/>
        <w:bidi w:val="0"/>
        <w:ind w:left="0" w:leftChars="0" w:right="0" w:firstLine="560" w:firstLineChars="200"/>
        <w:textAlignment w:val="auto"/>
      </w:pPr>
      <w:r>
        <w:rPr>
          <w:rFonts w:hint="eastAsia"/>
        </w:rPr>
        <w:t>d)消防给水管穿过墙体或楼板时应加设套管，套管长度不应小于墙体厚度，或应高出楼面或地</w:t>
      </w:r>
      <w:r>
        <w:rPr>
          <w:rFonts w:hint="eastAsia"/>
          <w:spacing w:val="-25"/>
        </w:rPr>
        <w:t>面</w:t>
      </w:r>
      <w:r>
        <w:rPr>
          <w:rFonts w:hint="eastAsia"/>
        </w:rPr>
        <w:t>50mm</w:t>
      </w:r>
      <w:r>
        <w:rPr>
          <w:rFonts w:hint="eastAsia"/>
          <w:spacing w:val="-3"/>
        </w:rPr>
        <w:t>。套管与管道的间隙应采用不燃材料填塞，管道的接口不应位于套管内；</w:t>
      </w:r>
      <w:r>
        <w:rPr>
          <w:rFonts w:hint="eastAsia"/>
        </w:rPr>
        <w:t>（C</w:t>
      </w:r>
      <w:r>
        <w:rPr>
          <w:rFonts w:hint="eastAsia"/>
          <w:spacing w:val="-26"/>
        </w:rPr>
        <w:t>类</w:t>
      </w:r>
      <w:r>
        <w:rPr>
          <w:rFonts w:hint="eastAsia"/>
          <w:spacing w:val="-3"/>
        </w:rPr>
        <w:t>）</w:t>
      </w:r>
    </w:p>
    <w:p w14:paraId="063B323E">
      <w:pPr>
        <w:pStyle w:val="32"/>
        <w:keepNext w:val="0"/>
        <w:keepLines w:val="0"/>
        <w:pageBreakBefore w:val="0"/>
        <w:kinsoku/>
        <w:wordWrap/>
        <w:overflowPunct/>
        <w:topLinePunct w:val="0"/>
        <w:bidi w:val="0"/>
        <w:ind w:left="0" w:leftChars="0" w:right="0" w:firstLine="560" w:firstLineChars="200"/>
        <w:textAlignment w:val="auto"/>
      </w:pPr>
      <w:r>
        <w:rPr>
          <w:rFonts w:hint="eastAsia"/>
        </w:rPr>
        <w:t>e)架空管道每段管道设置的防晃支架不应少于1个。当管道改变方向时，应增设防晃支架。立管应在其始端和终端设防晃支架或采用管卡固定；（C</w:t>
      </w:r>
      <w:r>
        <w:rPr>
          <w:rFonts w:hint="eastAsia"/>
          <w:spacing w:val="-28"/>
        </w:rPr>
        <w:t>类</w:t>
      </w:r>
      <w:r>
        <w:rPr>
          <w:rFonts w:hint="eastAsia"/>
        </w:rPr>
        <w:t>）</w:t>
      </w:r>
    </w:p>
    <w:p w14:paraId="691D6E6B">
      <w:pPr>
        <w:pStyle w:val="32"/>
        <w:keepNext w:val="0"/>
        <w:keepLines w:val="0"/>
        <w:pageBreakBefore w:val="0"/>
        <w:kinsoku/>
        <w:wordWrap/>
        <w:overflowPunct/>
        <w:topLinePunct w:val="0"/>
        <w:bidi w:val="0"/>
        <w:ind w:left="0" w:leftChars="0" w:right="0" w:firstLine="560" w:firstLineChars="200"/>
        <w:textAlignment w:val="auto"/>
      </w:pPr>
      <w:r>
        <w:rPr>
          <w:rFonts w:hint="eastAsia"/>
        </w:rPr>
        <w:t>f)架空管道外应刷红色油漆或涂红色环圈标志，并应注明管道名称和水流方向；（B</w:t>
      </w:r>
      <w:r>
        <w:rPr>
          <w:rFonts w:hint="eastAsia"/>
          <w:spacing w:val="-27"/>
        </w:rPr>
        <w:t>类</w:t>
      </w:r>
      <w:r>
        <w:rPr>
          <w:rFonts w:hint="eastAsia"/>
        </w:rPr>
        <w:t>）</w:t>
      </w:r>
    </w:p>
    <w:p w14:paraId="52840595">
      <w:pPr>
        <w:pStyle w:val="32"/>
        <w:keepNext w:val="0"/>
        <w:keepLines w:val="0"/>
        <w:pageBreakBefore w:val="0"/>
        <w:kinsoku/>
        <w:wordWrap/>
        <w:overflowPunct/>
        <w:topLinePunct w:val="0"/>
        <w:bidi w:val="0"/>
        <w:ind w:left="0" w:leftChars="0" w:right="0" w:firstLine="560" w:firstLineChars="200"/>
        <w:textAlignment w:val="auto"/>
        <w:rPr>
          <w:spacing w:val="-106"/>
        </w:rPr>
      </w:pPr>
      <w:r>
        <w:rPr>
          <w:rFonts w:hint="eastAsia"/>
        </w:rPr>
        <w:t>g)管网不同部分安装的闸阀、止回阀、减压孔板、节流管等组件均应与设计文件相符。（B</w:t>
      </w:r>
      <w:r>
        <w:rPr>
          <w:rFonts w:hint="eastAsia"/>
          <w:spacing w:val="-15"/>
        </w:rPr>
        <w:t>类</w:t>
      </w:r>
      <w:r>
        <w:rPr>
          <w:rFonts w:hint="eastAsia"/>
          <w:spacing w:val="-106"/>
        </w:rPr>
        <w:t>）</w:t>
      </w:r>
    </w:p>
    <w:p w14:paraId="6C861E9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检测数量：每个防火分区、每个楼层1处。</w:t>
      </w:r>
    </w:p>
    <w:p w14:paraId="3DFBD4AA">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00A43F58">
      <w:pPr>
        <w:pStyle w:val="32"/>
        <w:keepNext w:val="0"/>
        <w:keepLines w:val="0"/>
        <w:pageBreakBefore w:val="0"/>
        <w:kinsoku/>
        <w:wordWrap/>
        <w:overflowPunct/>
        <w:topLinePunct w:val="0"/>
        <w:bidi w:val="0"/>
        <w:ind w:left="0" w:leftChars="0" w:right="0" w:firstLine="532" w:firstLineChars="200"/>
        <w:textAlignment w:val="auto"/>
        <w:rPr>
          <w:rFonts w:hint="eastAsia"/>
          <w:spacing w:val="-5"/>
        </w:rPr>
      </w:pPr>
      <w:r>
        <w:rPr>
          <w:rFonts w:hint="eastAsia"/>
          <w:spacing w:val="-7"/>
        </w:rPr>
        <w:t>a</w:t>
      </w:r>
      <w:r>
        <w:rPr>
          <w:rFonts w:hint="eastAsia"/>
          <w:spacing w:val="-5"/>
        </w:rPr>
        <w:t>)直观检查；</w:t>
      </w:r>
    </w:p>
    <w:p w14:paraId="237567D8">
      <w:pPr>
        <w:pStyle w:val="32"/>
        <w:keepNext w:val="0"/>
        <w:keepLines w:val="0"/>
        <w:pageBreakBefore w:val="0"/>
        <w:kinsoku/>
        <w:wordWrap/>
        <w:overflowPunct/>
        <w:topLinePunct w:val="0"/>
        <w:bidi w:val="0"/>
        <w:ind w:left="0" w:leftChars="0" w:right="0" w:firstLine="540" w:firstLineChars="200"/>
        <w:textAlignment w:val="auto"/>
        <w:rPr>
          <w:rFonts w:hint="eastAsia"/>
          <w:spacing w:val="-5"/>
        </w:rPr>
      </w:pPr>
      <w:r>
        <w:rPr>
          <w:rFonts w:hint="eastAsia"/>
          <w:spacing w:val="-5"/>
        </w:rPr>
        <w:t>b)c)对照设计文件，查看管网布置；</w:t>
      </w:r>
    </w:p>
    <w:p w14:paraId="3E8CB1A7">
      <w:pPr>
        <w:pStyle w:val="32"/>
        <w:keepNext w:val="0"/>
        <w:keepLines w:val="0"/>
        <w:pageBreakBefore w:val="0"/>
        <w:kinsoku/>
        <w:wordWrap/>
        <w:overflowPunct/>
        <w:topLinePunct w:val="0"/>
        <w:bidi w:val="0"/>
        <w:ind w:left="0" w:leftChars="0" w:right="0" w:firstLine="544" w:firstLineChars="200"/>
        <w:textAlignment w:val="auto"/>
      </w:pPr>
      <w:r>
        <w:rPr>
          <w:rFonts w:hint="eastAsia"/>
          <w:spacing w:val="-4"/>
        </w:rPr>
        <w:t>d)～g</w:t>
      </w:r>
      <w:r>
        <w:rPr>
          <w:rFonts w:hint="eastAsia"/>
          <w:spacing w:val="-8"/>
        </w:rPr>
        <w:t>)直观检查支架、套管、组件安</w:t>
      </w:r>
      <w:r>
        <w:rPr>
          <w:rFonts w:hint="eastAsia"/>
          <w:spacing w:val="-5"/>
        </w:rPr>
        <w:t>装及涂色情况。</w:t>
      </w:r>
    </w:p>
    <w:p w14:paraId="3AA3633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检测器具：游标卡尺。</w:t>
      </w:r>
    </w:p>
    <w:p w14:paraId="1485D512">
      <w:pPr>
        <w:pStyle w:val="32"/>
        <w:keepNext w:val="0"/>
        <w:keepLines w:val="0"/>
        <w:pageBreakBefore w:val="0"/>
        <w:kinsoku/>
        <w:wordWrap/>
        <w:overflowPunct/>
        <w:topLinePunct w:val="0"/>
        <w:bidi w:val="0"/>
        <w:ind w:left="0" w:leftChars="0" w:right="0" w:firstLine="560" w:firstLineChars="200"/>
        <w:textAlignment w:val="auto"/>
      </w:pPr>
      <w:r>
        <w:rPr>
          <w:rFonts w:hint="eastAsia"/>
        </w:rPr>
        <w:t>4.12.9</w:t>
      </w:r>
      <w:r>
        <w:rPr>
          <w:rFonts w:hint="eastAsia"/>
          <w:spacing w:val="-1"/>
        </w:rPr>
        <w:t>分区供水</w:t>
      </w:r>
    </w:p>
    <w:p w14:paraId="497314A8">
      <w:pPr>
        <w:pStyle w:val="32"/>
        <w:keepNext w:val="0"/>
        <w:keepLines w:val="0"/>
        <w:pageBreakBefore w:val="0"/>
        <w:kinsoku/>
        <w:wordWrap/>
        <w:overflowPunct/>
        <w:topLinePunct w:val="0"/>
        <w:bidi w:val="0"/>
        <w:ind w:left="0" w:leftChars="0" w:right="0" w:firstLine="560" w:firstLineChars="200"/>
        <w:textAlignment w:val="auto"/>
      </w:pPr>
      <w:r>
        <w:rPr>
          <w:rFonts w:hint="eastAsia"/>
        </w:rPr>
        <w:t>4.12.9</w:t>
      </w:r>
      <w:r>
        <w:rPr>
          <w:rFonts w:hint="eastAsia"/>
          <w:kern w:val="2"/>
        </w:rPr>
        <w:t>.1</w:t>
      </w:r>
      <w:r>
        <w:rPr>
          <w:rFonts w:hint="eastAsia"/>
        </w:rPr>
        <w:t>消防水泵串联分区供水</w:t>
      </w:r>
    </w:p>
    <w:p w14:paraId="28D95DC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AED4DBB">
      <w:pPr>
        <w:pStyle w:val="32"/>
        <w:keepNext w:val="0"/>
        <w:keepLines w:val="0"/>
        <w:pageBreakBefore w:val="0"/>
        <w:kinsoku/>
        <w:wordWrap/>
        <w:overflowPunct/>
        <w:topLinePunct w:val="0"/>
        <w:bidi w:val="0"/>
        <w:ind w:left="0" w:leftChars="0" w:right="0" w:firstLine="560" w:firstLineChars="200"/>
        <w:textAlignment w:val="auto"/>
      </w:pPr>
      <w:r>
        <w:rPr>
          <w:rFonts w:hint="eastAsia"/>
        </w:rPr>
        <w:t>a)当采用消防水泵转输水箱串联时，转输水箱的外观尺寸及容积应与设计文件相符，转输水箱</w:t>
      </w:r>
      <w:r>
        <w:rPr>
          <w:rFonts w:hint="eastAsia"/>
          <w:spacing w:val="-3"/>
        </w:rPr>
        <w:t>可作为高位消防水箱,串联转输水箱的溢流管宜连接到消防水池；</w:t>
      </w:r>
      <w:r>
        <w:rPr>
          <w:rFonts w:hint="eastAsia"/>
        </w:rPr>
        <w:t>（B</w:t>
      </w:r>
      <w:r>
        <w:rPr>
          <w:rFonts w:hint="eastAsia"/>
          <w:spacing w:val="-28"/>
        </w:rPr>
        <w:t>类</w:t>
      </w:r>
      <w:r>
        <w:rPr>
          <w:rFonts w:hint="eastAsia"/>
        </w:rPr>
        <w:t>）</w:t>
      </w:r>
    </w:p>
    <w:p w14:paraId="5466A3BF">
      <w:pPr>
        <w:pStyle w:val="32"/>
        <w:keepNext w:val="0"/>
        <w:keepLines w:val="0"/>
        <w:pageBreakBefore w:val="0"/>
        <w:kinsoku/>
        <w:wordWrap/>
        <w:overflowPunct/>
        <w:topLinePunct w:val="0"/>
        <w:bidi w:val="0"/>
        <w:ind w:left="0" w:leftChars="0" w:right="0" w:firstLine="560" w:firstLineChars="200"/>
        <w:textAlignment w:val="auto"/>
      </w:pPr>
      <w:r>
        <w:rPr>
          <w:rFonts w:hint="eastAsia"/>
        </w:rPr>
        <w:t>b)当采用消防水泵直接串联时，应采取确保供水可靠性的措施，且消防水泵从低区到高区应能</w:t>
      </w:r>
      <w:r>
        <w:rPr>
          <w:rFonts w:hint="eastAsia"/>
          <w:spacing w:val="-3"/>
        </w:rPr>
        <w:t>依次顺序启动，并应在串联消防水泵出水管上设置减压型倒流防止器。</w:t>
      </w:r>
      <w:r>
        <w:rPr>
          <w:rFonts w:hint="eastAsia"/>
        </w:rPr>
        <w:t>（B</w:t>
      </w:r>
      <w:r>
        <w:rPr>
          <w:rFonts w:hint="eastAsia"/>
          <w:spacing w:val="-27"/>
        </w:rPr>
        <w:t>类</w:t>
      </w:r>
      <w:r>
        <w:rPr>
          <w:rFonts w:hint="eastAsia"/>
          <w:spacing w:val="-3"/>
        </w:rPr>
        <w:t>）</w:t>
      </w:r>
    </w:p>
    <w:p w14:paraId="3F23FA2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E05FD53">
      <w:pPr>
        <w:pStyle w:val="32"/>
        <w:keepNext w:val="0"/>
        <w:keepLines w:val="0"/>
        <w:pageBreakBefore w:val="0"/>
        <w:kinsoku/>
        <w:wordWrap/>
        <w:overflowPunct/>
        <w:topLinePunct w:val="0"/>
        <w:bidi w:val="0"/>
        <w:ind w:left="0" w:leftChars="0" w:right="0" w:firstLine="520" w:firstLineChars="200"/>
        <w:textAlignment w:val="auto"/>
      </w:pPr>
      <w:r>
        <w:rPr>
          <w:rFonts w:hint="eastAsia"/>
          <w:spacing w:val="-10"/>
        </w:rPr>
        <w:t>检测方法：对照设计文件，核查分区供水形式是否与设计一致。分别用出水干管上的压力开关、水</w:t>
      </w:r>
      <w:r>
        <w:rPr>
          <w:rFonts w:hint="eastAsia"/>
        </w:rPr>
        <w:t>箱出水管流量开关及消火栓按钮在自动状态下启动高区消防泵，在消防控制室观察、比对水泵启动顺序，</w:t>
      </w:r>
      <w:r>
        <w:rPr>
          <w:rFonts w:hint="eastAsia"/>
          <w:spacing w:val="-6"/>
        </w:rPr>
        <w:t>是否先启动消防水泵后启动转输泵，先启动低区消防水泵再启动高区消防水泵。</w:t>
      </w:r>
    </w:p>
    <w:p w14:paraId="149619C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检测器具：钢卷尺、游标卡尺。</w:t>
      </w:r>
    </w:p>
    <w:p w14:paraId="7A5EB58A">
      <w:pPr>
        <w:pStyle w:val="32"/>
        <w:keepNext w:val="0"/>
        <w:keepLines w:val="0"/>
        <w:pageBreakBefore w:val="0"/>
        <w:kinsoku/>
        <w:wordWrap/>
        <w:overflowPunct/>
        <w:topLinePunct w:val="0"/>
        <w:bidi w:val="0"/>
        <w:ind w:left="0" w:leftChars="0" w:right="0" w:firstLine="560" w:firstLineChars="200"/>
        <w:textAlignment w:val="auto"/>
      </w:pPr>
      <w:r>
        <w:rPr>
          <w:rFonts w:hint="eastAsia"/>
        </w:rPr>
        <w:t>4.12.9</w:t>
      </w:r>
      <w:r>
        <w:rPr>
          <w:rFonts w:hint="eastAsia"/>
          <w:kern w:val="2"/>
        </w:rPr>
        <w:t>.2</w:t>
      </w:r>
      <w:r>
        <w:rPr>
          <w:rFonts w:hint="eastAsia"/>
        </w:rPr>
        <w:t>减压阀减压分区供水</w:t>
      </w:r>
    </w:p>
    <w:p w14:paraId="5E261CA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19B9D949">
      <w:pPr>
        <w:pStyle w:val="32"/>
        <w:keepNext w:val="0"/>
        <w:keepLines w:val="0"/>
        <w:pageBreakBefore w:val="0"/>
        <w:kinsoku/>
        <w:wordWrap/>
        <w:overflowPunct/>
        <w:topLinePunct w:val="0"/>
        <w:bidi w:val="0"/>
        <w:ind w:left="0" w:leftChars="0" w:right="0" w:firstLine="560" w:firstLineChars="200"/>
        <w:textAlignment w:val="auto"/>
      </w:pPr>
      <w:r>
        <w:rPr>
          <w:rFonts w:hint="eastAsia"/>
        </w:rPr>
        <w:t>a)当采用减压阀减压分区供水时，每一供水分区应设不少于两组减压阀组，每组减压阀组宜设</w:t>
      </w:r>
      <w:r>
        <w:rPr>
          <w:rFonts w:hint="eastAsia"/>
          <w:spacing w:val="-2"/>
        </w:rPr>
        <w:t>置备用减压阀；</w:t>
      </w:r>
      <w:r>
        <w:rPr>
          <w:rFonts w:hint="eastAsia"/>
        </w:rPr>
        <w:t>（B</w:t>
      </w:r>
      <w:r>
        <w:rPr>
          <w:rFonts w:hint="eastAsia"/>
          <w:spacing w:val="-28"/>
        </w:rPr>
        <w:t>类</w:t>
      </w:r>
      <w:r>
        <w:rPr>
          <w:rFonts w:hint="eastAsia"/>
          <w:spacing w:val="-3"/>
        </w:rPr>
        <w:t>）</w:t>
      </w:r>
    </w:p>
    <w:p w14:paraId="0747337B">
      <w:pPr>
        <w:pStyle w:val="32"/>
        <w:keepNext w:val="0"/>
        <w:keepLines w:val="0"/>
        <w:pageBreakBefore w:val="0"/>
        <w:kinsoku/>
        <w:wordWrap/>
        <w:overflowPunct/>
        <w:topLinePunct w:val="0"/>
        <w:bidi w:val="0"/>
        <w:ind w:left="0" w:leftChars="0" w:right="0" w:firstLine="560" w:firstLineChars="200"/>
        <w:textAlignment w:val="auto"/>
      </w:pPr>
      <w:r>
        <w:rPr>
          <w:rFonts w:hint="eastAsia"/>
        </w:rPr>
        <w:t>b)减压阀仅应设置在单向流动的供水管上，不应设置在有双向流动的输水干管上。（B</w:t>
      </w:r>
      <w:r>
        <w:rPr>
          <w:rFonts w:hint="eastAsia"/>
          <w:spacing w:val="-22"/>
        </w:rPr>
        <w:t>类</w:t>
      </w:r>
      <w:r>
        <w:rPr>
          <w:rFonts w:hint="eastAsia"/>
        </w:rPr>
        <w:t>）检测数量：按实际安装数量的100%检测。</w:t>
      </w:r>
    </w:p>
    <w:p w14:paraId="7714E35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3C3BD0CE">
      <w:pPr>
        <w:pStyle w:val="32"/>
        <w:keepNext w:val="0"/>
        <w:keepLines w:val="0"/>
        <w:pageBreakBefore w:val="0"/>
        <w:kinsoku/>
        <w:wordWrap/>
        <w:overflowPunct/>
        <w:topLinePunct w:val="0"/>
        <w:bidi w:val="0"/>
        <w:ind w:left="0" w:leftChars="0" w:right="0" w:firstLine="512" w:firstLineChars="200"/>
        <w:textAlignment w:val="auto"/>
        <w:rPr>
          <w:rFonts w:hint="eastAsia"/>
        </w:rPr>
      </w:pPr>
      <w:r>
        <w:rPr>
          <w:rFonts w:hint="eastAsia"/>
          <w:spacing w:val="-12"/>
        </w:rPr>
        <w:t>a</w:t>
      </w:r>
      <w:r>
        <w:rPr>
          <w:rFonts w:hint="eastAsia"/>
          <w:spacing w:val="-9"/>
        </w:rPr>
        <w:t>)对照设计文件，核查分区供水形式是否与设计一致，直观检查减压阀设置数量是否符</w:t>
      </w:r>
      <w:r>
        <w:rPr>
          <w:rFonts w:hint="eastAsia"/>
          <w:spacing w:val="-5"/>
        </w:rPr>
        <w:t>合要求，组件是否齐全</w:t>
      </w:r>
      <w:r>
        <w:rPr>
          <w:rFonts w:hint="eastAsia"/>
        </w:rPr>
        <w:t>；</w:t>
      </w:r>
    </w:p>
    <w:p w14:paraId="4C08D7EC">
      <w:pPr>
        <w:pStyle w:val="32"/>
        <w:keepNext w:val="0"/>
        <w:keepLines w:val="0"/>
        <w:pageBreakBefore w:val="0"/>
        <w:kinsoku/>
        <w:wordWrap/>
        <w:overflowPunct/>
        <w:topLinePunct w:val="0"/>
        <w:bidi w:val="0"/>
        <w:ind w:left="0" w:leftChars="0" w:right="0" w:firstLine="560" w:firstLineChars="200"/>
        <w:textAlignment w:val="auto"/>
      </w:pPr>
      <w:r>
        <w:rPr>
          <w:rFonts w:hint="eastAsia"/>
        </w:rPr>
        <w:t>b)核对减压阀设置位置是否符合要求。</w:t>
      </w:r>
    </w:p>
    <w:p w14:paraId="03617B51">
      <w:pPr>
        <w:pStyle w:val="32"/>
        <w:keepNext w:val="0"/>
        <w:keepLines w:val="0"/>
        <w:pageBreakBefore w:val="0"/>
        <w:kinsoku/>
        <w:wordWrap/>
        <w:overflowPunct/>
        <w:topLinePunct w:val="0"/>
        <w:bidi w:val="0"/>
        <w:ind w:left="0" w:leftChars="0" w:right="0" w:firstLine="560" w:firstLineChars="200"/>
        <w:textAlignment w:val="auto"/>
      </w:pPr>
      <w:r>
        <w:rPr>
          <w:rFonts w:hint="eastAsia"/>
        </w:rPr>
        <w:t>4.12.9</w:t>
      </w:r>
      <w:r>
        <w:rPr>
          <w:rFonts w:hint="eastAsia"/>
          <w:kern w:val="2"/>
        </w:rPr>
        <w:t>.3</w:t>
      </w:r>
      <w:r>
        <w:rPr>
          <w:rFonts w:hint="eastAsia"/>
        </w:rPr>
        <w:t>减压水箱减压分区供水</w:t>
      </w:r>
    </w:p>
    <w:p w14:paraId="1B0EB99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0526718">
      <w:pPr>
        <w:pStyle w:val="32"/>
        <w:keepNext w:val="0"/>
        <w:keepLines w:val="0"/>
        <w:pageBreakBefore w:val="0"/>
        <w:kinsoku/>
        <w:wordWrap/>
        <w:overflowPunct/>
        <w:topLinePunct w:val="0"/>
        <w:bidi w:val="0"/>
        <w:ind w:left="0" w:leftChars="0" w:right="0" w:firstLine="560" w:firstLineChars="200"/>
        <w:textAlignment w:val="auto"/>
      </w:pPr>
      <w:r>
        <w:rPr>
          <w:rFonts w:hint="eastAsia"/>
        </w:rPr>
        <w:t>a)当采用减压水箱减压分区供水时，减压水箱的外观尺寸及容积应与设计文件相符；（B</w:t>
      </w:r>
      <w:r>
        <w:rPr>
          <w:rFonts w:hint="eastAsia"/>
          <w:spacing w:val="-6"/>
        </w:rPr>
        <w:t>类</w:t>
      </w:r>
      <w:r>
        <w:rPr>
          <w:rFonts w:hint="eastAsia"/>
        </w:rPr>
        <w:t>）</w:t>
      </w:r>
    </w:p>
    <w:p w14:paraId="7BA47252">
      <w:pPr>
        <w:pStyle w:val="32"/>
        <w:keepNext w:val="0"/>
        <w:keepLines w:val="0"/>
        <w:pageBreakBefore w:val="0"/>
        <w:kinsoku/>
        <w:wordWrap/>
        <w:overflowPunct/>
        <w:topLinePunct w:val="0"/>
        <w:bidi w:val="0"/>
        <w:ind w:left="0" w:leftChars="0" w:right="0" w:firstLine="560" w:firstLineChars="200"/>
        <w:textAlignment w:val="auto"/>
      </w:pPr>
      <w:r>
        <w:rPr>
          <w:rFonts w:hint="eastAsia"/>
        </w:rPr>
        <w:t>b)减压水箱应有两条进、出水管，且每条进、出水管的管径应与设计文件相符；（B</w:t>
      </w:r>
      <w:r>
        <w:rPr>
          <w:rFonts w:hint="eastAsia"/>
          <w:spacing w:val="-6"/>
        </w:rPr>
        <w:t>类</w:t>
      </w:r>
      <w:r>
        <w:rPr>
          <w:rFonts w:hint="eastAsia"/>
        </w:rPr>
        <w:t>）</w:t>
      </w:r>
    </w:p>
    <w:p w14:paraId="38C4F773">
      <w:pPr>
        <w:pStyle w:val="32"/>
        <w:keepNext w:val="0"/>
        <w:keepLines w:val="0"/>
        <w:pageBreakBefore w:val="0"/>
        <w:kinsoku/>
        <w:wordWrap/>
        <w:overflowPunct/>
        <w:topLinePunct w:val="0"/>
        <w:bidi w:val="0"/>
        <w:ind w:left="0" w:leftChars="0" w:right="0" w:firstLine="560" w:firstLineChars="200"/>
        <w:textAlignment w:val="auto"/>
      </w:pPr>
      <w:r>
        <w:rPr>
          <w:rFonts w:hint="eastAsia"/>
        </w:rPr>
        <w:t>c)减压水箱进水管的水位控制应可靠，宜采用水位控制阀；（B</w:t>
      </w:r>
      <w:r>
        <w:rPr>
          <w:rFonts w:hint="eastAsia"/>
          <w:spacing w:val="-28"/>
        </w:rPr>
        <w:t>类</w:t>
      </w:r>
      <w:r>
        <w:rPr>
          <w:rFonts w:hint="eastAsia"/>
        </w:rPr>
        <w:t>）</w:t>
      </w:r>
    </w:p>
    <w:p w14:paraId="315F24BD">
      <w:pPr>
        <w:pStyle w:val="32"/>
        <w:keepNext w:val="0"/>
        <w:keepLines w:val="0"/>
        <w:pageBreakBefore w:val="0"/>
        <w:kinsoku/>
        <w:wordWrap/>
        <w:overflowPunct/>
        <w:topLinePunct w:val="0"/>
        <w:bidi w:val="0"/>
        <w:ind w:left="0" w:leftChars="0" w:right="0" w:firstLine="560" w:firstLineChars="200"/>
        <w:textAlignment w:val="auto"/>
      </w:pPr>
      <w:r>
        <w:rPr>
          <w:rFonts w:hint="eastAsia"/>
        </w:rPr>
        <w:t>d)减压水箱进水管应设置防冲击和溢水的技术措施，并宜在进水管上设置紧急关闭阀门，溢流</w:t>
      </w:r>
      <w:r>
        <w:rPr>
          <w:rFonts w:hint="eastAsia"/>
          <w:spacing w:val="-3"/>
        </w:rPr>
        <w:t>水宜回流到消防水池。</w:t>
      </w:r>
      <w:r>
        <w:rPr>
          <w:rFonts w:hint="eastAsia"/>
        </w:rPr>
        <w:t>（B</w:t>
      </w:r>
      <w:r>
        <w:rPr>
          <w:rFonts w:hint="eastAsia"/>
          <w:spacing w:val="-27"/>
        </w:rPr>
        <w:t>类</w:t>
      </w:r>
      <w:r>
        <w:rPr>
          <w:rFonts w:hint="eastAsia"/>
          <w:spacing w:val="-3"/>
        </w:rPr>
        <w:t>）</w:t>
      </w:r>
    </w:p>
    <w:p w14:paraId="04AB763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4A43E71D">
      <w:pPr>
        <w:pStyle w:val="32"/>
        <w:keepNext w:val="0"/>
        <w:keepLines w:val="0"/>
        <w:pageBreakBefore w:val="0"/>
        <w:kinsoku/>
        <w:wordWrap/>
        <w:overflowPunct/>
        <w:topLinePunct w:val="0"/>
        <w:bidi w:val="0"/>
        <w:ind w:left="0" w:leftChars="0" w:right="0" w:firstLine="548" w:firstLineChars="200"/>
        <w:textAlignment w:val="auto"/>
        <w:rPr>
          <w:rFonts w:hint="eastAsia"/>
          <w:spacing w:val="-3"/>
        </w:rPr>
      </w:pPr>
      <w:r>
        <w:rPr>
          <w:rFonts w:hint="eastAsia"/>
          <w:spacing w:val="-3"/>
        </w:rPr>
        <w:t>检测方法：</w:t>
      </w:r>
    </w:p>
    <w:p w14:paraId="1B15A49C">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a)对照设计文件，核查分区供水形式是否与设计一致。尺量检查减压水箱长、宽及有效水深，核对水箱容积是否符合设计要求；</w:t>
      </w:r>
    </w:p>
    <w:p w14:paraId="364CD96E">
      <w:pPr>
        <w:pStyle w:val="32"/>
        <w:keepNext w:val="0"/>
        <w:keepLines w:val="0"/>
        <w:pageBreakBefore w:val="0"/>
        <w:kinsoku/>
        <w:wordWrap/>
        <w:overflowPunct/>
        <w:topLinePunct w:val="0"/>
        <w:bidi w:val="0"/>
        <w:ind w:left="0" w:leftChars="0" w:right="0" w:firstLine="560" w:firstLineChars="200"/>
        <w:textAlignment w:val="auto"/>
        <w:rPr>
          <w:rFonts w:hint="eastAsia"/>
          <w:spacing w:val="-7"/>
        </w:rPr>
      </w:pPr>
      <w:r>
        <w:rPr>
          <w:rFonts w:hint="eastAsia"/>
        </w:rPr>
        <w:t>b)</w:t>
      </w:r>
      <w:r>
        <w:rPr>
          <w:rFonts w:hint="eastAsia"/>
          <w:spacing w:val="-7"/>
        </w:rPr>
        <w:t>尺量进、出水管管径是否与设计一致；</w:t>
      </w:r>
    </w:p>
    <w:p w14:paraId="6EB95ED4">
      <w:pPr>
        <w:pStyle w:val="32"/>
        <w:keepNext w:val="0"/>
        <w:keepLines w:val="0"/>
        <w:pageBreakBefore w:val="0"/>
        <w:kinsoku/>
        <w:wordWrap/>
        <w:overflowPunct/>
        <w:topLinePunct w:val="0"/>
        <w:bidi w:val="0"/>
        <w:ind w:left="0" w:leftChars="0" w:right="0" w:firstLine="536" w:firstLineChars="200"/>
        <w:textAlignment w:val="auto"/>
      </w:pPr>
      <w:r>
        <w:rPr>
          <w:rFonts w:hint="eastAsia"/>
          <w:spacing w:val="-6"/>
        </w:rPr>
        <w:t>c)d</w:t>
      </w:r>
      <w:r>
        <w:rPr>
          <w:rFonts w:hint="eastAsia"/>
          <w:spacing w:val="-3"/>
        </w:rPr>
        <w:t>)直观检查水位控制措施是否可靠。查看紧急关闭阀门及溢流管的设置。</w:t>
      </w:r>
    </w:p>
    <w:p w14:paraId="6B9340B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62B43094">
      <w:pPr>
        <w:pStyle w:val="32"/>
        <w:keepNext w:val="0"/>
        <w:keepLines w:val="0"/>
        <w:pageBreakBefore w:val="0"/>
        <w:kinsoku/>
        <w:wordWrap/>
        <w:overflowPunct/>
        <w:topLinePunct w:val="0"/>
        <w:bidi w:val="0"/>
        <w:ind w:left="0" w:leftChars="0" w:right="0" w:firstLine="560" w:firstLineChars="200"/>
        <w:textAlignment w:val="auto"/>
      </w:pPr>
      <w:r>
        <w:rPr>
          <w:rFonts w:hint="eastAsia"/>
        </w:rPr>
        <w:t>4.12.10湿式消火栓系统功能</w:t>
      </w:r>
    </w:p>
    <w:p w14:paraId="718B511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7B492738">
      <w:pPr>
        <w:pStyle w:val="32"/>
        <w:keepNext w:val="0"/>
        <w:keepLines w:val="0"/>
        <w:pageBreakBefore w:val="0"/>
        <w:kinsoku/>
        <w:wordWrap/>
        <w:overflowPunct/>
        <w:topLinePunct w:val="0"/>
        <w:bidi w:val="0"/>
        <w:ind w:left="0" w:leftChars="0" w:right="0" w:firstLine="560" w:firstLineChars="200"/>
        <w:textAlignment w:val="auto"/>
      </w:pPr>
      <w:r>
        <w:rPr>
          <w:rFonts w:hint="eastAsia"/>
        </w:rPr>
        <w:t>a)消防水泵出水管上的低压压力开关、高位消防水箱出水管上的流量开关动作信号应能直接联</w:t>
      </w:r>
      <w:r>
        <w:rPr>
          <w:rFonts w:hint="eastAsia"/>
          <w:spacing w:val="-3"/>
        </w:rPr>
        <w:t>锁启动消防水泵，流量开关动作及水泵启动信号应能反馈至消防控制室；</w:t>
      </w:r>
      <w:r>
        <w:rPr>
          <w:rFonts w:hint="eastAsia"/>
        </w:rPr>
        <w:t>（A</w:t>
      </w:r>
      <w:r>
        <w:rPr>
          <w:rFonts w:hint="eastAsia"/>
          <w:spacing w:val="-26"/>
        </w:rPr>
        <w:t>类</w:t>
      </w:r>
      <w:r>
        <w:rPr>
          <w:rFonts w:hint="eastAsia"/>
          <w:spacing w:val="-3"/>
        </w:rPr>
        <w:t>）</w:t>
      </w:r>
    </w:p>
    <w:p w14:paraId="1174FC0F">
      <w:pPr>
        <w:pStyle w:val="32"/>
        <w:keepNext w:val="0"/>
        <w:keepLines w:val="0"/>
        <w:pageBreakBefore w:val="0"/>
        <w:kinsoku/>
        <w:wordWrap/>
        <w:overflowPunct/>
        <w:topLinePunct w:val="0"/>
        <w:bidi w:val="0"/>
        <w:ind w:left="0" w:leftChars="0" w:right="0" w:firstLine="560" w:firstLineChars="200"/>
        <w:textAlignment w:val="auto"/>
      </w:pPr>
      <w:r>
        <w:rPr>
          <w:rFonts w:hint="eastAsia"/>
        </w:rPr>
        <w:t>b)临时高压系统最不利点应符合以下要求：</w:t>
      </w:r>
    </w:p>
    <w:p w14:paraId="40EF57B3">
      <w:pPr>
        <w:pStyle w:val="32"/>
        <w:keepNext w:val="0"/>
        <w:keepLines w:val="0"/>
        <w:pageBreakBefore w:val="0"/>
        <w:kinsoku/>
        <w:wordWrap/>
        <w:overflowPunct/>
        <w:topLinePunct w:val="0"/>
        <w:bidi w:val="0"/>
        <w:ind w:left="0" w:leftChars="0" w:right="0" w:firstLine="560" w:firstLineChars="200"/>
        <w:textAlignment w:val="auto"/>
      </w:pPr>
      <w:r>
        <w:rPr>
          <w:rFonts w:hint="eastAsia"/>
        </w:rPr>
        <w:t>1)</w:t>
      </w:r>
      <w:r>
        <w:rPr>
          <w:rFonts w:hint="eastAsia"/>
          <w:spacing w:val="-2"/>
        </w:rPr>
        <w:t>最不利点静压</w:t>
      </w:r>
      <w:r>
        <w:rPr>
          <w:rFonts w:hint="eastAsia"/>
          <w:spacing w:val="-3"/>
        </w:rPr>
        <w:t>（当建筑高度</w:t>
      </w:r>
      <w:r>
        <w:rPr>
          <w:rFonts w:hint="eastAsia"/>
        </w:rPr>
        <w:t>＞100m</w:t>
      </w:r>
      <w:r>
        <w:rPr>
          <w:rFonts w:hint="eastAsia"/>
          <w:spacing w:val="-28"/>
        </w:rPr>
        <w:t>时</w:t>
      </w:r>
      <w:r>
        <w:rPr>
          <w:rFonts w:hint="eastAsia"/>
        </w:rPr>
        <w:t>）</w:t>
      </w:r>
      <w:r>
        <w:rPr>
          <w:rFonts w:hint="eastAsia"/>
          <w:spacing w:val="-12"/>
        </w:rPr>
        <w:t>，不应低于</w:t>
      </w:r>
      <w:r>
        <w:rPr>
          <w:rFonts w:hint="eastAsia"/>
        </w:rPr>
        <w:t>0.15MPa；（A</w:t>
      </w:r>
      <w:r>
        <w:rPr>
          <w:rFonts w:hint="eastAsia"/>
          <w:spacing w:val="-28"/>
        </w:rPr>
        <w:t>类</w:t>
      </w:r>
      <w:r>
        <w:rPr>
          <w:rFonts w:hint="eastAsia"/>
        </w:rPr>
        <w:t>）</w:t>
      </w:r>
    </w:p>
    <w:p w14:paraId="2CA95716">
      <w:pPr>
        <w:pStyle w:val="32"/>
        <w:keepNext w:val="0"/>
        <w:keepLines w:val="0"/>
        <w:pageBreakBefore w:val="0"/>
        <w:kinsoku/>
        <w:wordWrap/>
        <w:overflowPunct/>
        <w:topLinePunct w:val="0"/>
        <w:bidi w:val="0"/>
        <w:ind w:left="0" w:leftChars="0" w:right="0" w:firstLine="560" w:firstLineChars="200"/>
        <w:textAlignment w:val="auto"/>
      </w:pPr>
      <w:r>
        <w:rPr>
          <w:rFonts w:hint="eastAsia"/>
        </w:rPr>
        <w:t>2)</w:t>
      </w:r>
      <w:r>
        <w:rPr>
          <w:rFonts w:hint="eastAsia"/>
          <w:spacing w:val="-11"/>
        </w:rPr>
        <w:t>最不利点静压</w:t>
      </w:r>
      <w:r>
        <w:rPr>
          <w:rFonts w:hint="eastAsia"/>
          <w:spacing w:val="-3"/>
        </w:rPr>
        <w:t>（建筑高度</w:t>
      </w:r>
      <w:r>
        <w:rPr>
          <w:rFonts w:hint="eastAsia"/>
        </w:rPr>
        <w:t>≤100m</w:t>
      </w:r>
      <w:r>
        <w:rPr>
          <w:rFonts w:hint="eastAsia"/>
          <w:spacing w:val="-13"/>
        </w:rPr>
        <w:t>的一类高层公共建筑、工业建筑</w:t>
      </w:r>
      <w:r>
        <w:rPr>
          <w:rFonts w:hint="eastAsia"/>
          <w:spacing w:val="-56"/>
        </w:rPr>
        <w:t>），</w:t>
      </w:r>
      <w:r>
        <w:rPr>
          <w:rFonts w:hint="eastAsia"/>
          <w:spacing w:val="-12"/>
        </w:rPr>
        <w:t>不应低于</w:t>
      </w:r>
      <w:r>
        <w:rPr>
          <w:rFonts w:hint="eastAsia"/>
        </w:rPr>
        <w:t>0.10MPa；</w:t>
      </w:r>
      <w:r>
        <w:rPr>
          <w:rFonts w:hint="eastAsia"/>
          <w:spacing w:val="-8"/>
        </w:rPr>
        <w:t>设置稳压泵时，不应低于</w:t>
      </w:r>
      <w:r>
        <w:rPr>
          <w:rFonts w:hint="eastAsia"/>
        </w:rPr>
        <w:t>0.15MPa；（A</w:t>
      </w:r>
      <w:r>
        <w:rPr>
          <w:rFonts w:hint="eastAsia"/>
          <w:spacing w:val="-28"/>
        </w:rPr>
        <w:t>类</w:t>
      </w:r>
      <w:r>
        <w:rPr>
          <w:rFonts w:hint="eastAsia"/>
          <w:spacing w:val="-3"/>
        </w:rPr>
        <w:t>）</w:t>
      </w:r>
    </w:p>
    <w:p w14:paraId="7BB14337">
      <w:pPr>
        <w:pStyle w:val="32"/>
        <w:keepNext w:val="0"/>
        <w:keepLines w:val="0"/>
        <w:pageBreakBefore w:val="0"/>
        <w:kinsoku/>
        <w:wordWrap/>
        <w:overflowPunct/>
        <w:topLinePunct w:val="0"/>
        <w:bidi w:val="0"/>
        <w:ind w:left="0" w:leftChars="0" w:right="0" w:firstLine="560" w:firstLineChars="200"/>
        <w:textAlignment w:val="auto"/>
      </w:pPr>
      <w:r>
        <w:rPr>
          <w:rFonts w:hint="eastAsia"/>
        </w:rPr>
        <w:t>3)最不利点静压(多、高层住宅、二类高层公共建筑、多层公共建筑)，不应低于0.07MPa；</w:t>
      </w:r>
      <w:r>
        <w:rPr>
          <w:rFonts w:hint="eastAsia"/>
          <w:spacing w:val="-8"/>
        </w:rPr>
        <w:t>设置稳压泵时，不应低于</w:t>
      </w:r>
      <w:r>
        <w:rPr>
          <w:rFonts w:hint="eastAsia"/>
        </w:rPr>
        <w:t>0.15MPa；（A</w:t>
      </w:r>
      <w:r>
        <w:rPr>
          <w:rFonts w:hint="eastAsia"/>
          <w:spacing w:val="-28"/>
        </w:rPr>
        <w:t>类</w:t>
      </w:r>
      <w:r>
        <w:rPr>
          <w:rFonts w:hint="eastAsia"/>
          <w:spacing w:val="-3"/>
        </w:rPr>
        <w:t>）</w:t>
      </w:r>
    </w:p>
    <w:p w14:paraId="647C5A85">
      <w:pPr>
        <w:pStyle w:val="32"/>
        <w:keepNext w:val="0"/>
        <w:keepLines w:val="0"/>
        <w:pageBreakBefore w:val="0"/>
        <w:kinsoku/>
        <w:wordWrap/>
        <w:overflowPunct/>
        <w:topLinePunct w:val="0"/>
        <w:bidi w:val="0"/>
        <w:ind w:left="0" w:leftChars="0" w:right="0" w:firstLine="560" w:firstLineChars="200"/>
        <w:textAlignment w:val="auto"/>
        <w:rPr>
          <w:spacing w:val="-3"/>
        </w:rPr>
      </w:pPr>
      <w:r>
        <w:rPr>
          <w:rFonts w:hint="eastAsia"/>
        </w:rPr>
        <w:t>4)</w:t>
      </w:r>
      <w:r>
        <w:rPr>
          <w:rFonts w:hint="eastAsia"/>
          <w:spacing w:val="-3"/>
        </w:rPr>
        <w:t>最不利点充实水柱（</w:t>
      </w:r>
      <w:r>
        <w:rPr>
          <w:rFonts w:hint="eastAsia"/>
          <w:spacing w:val="-5"/>
        </w:rPr>
        <w:t>高层建筑、厂房、库房和室内净空高度超过</w:t>
      </w:r>
      <w:r>
        <w:rPr>
          <w:rFonts w:hint="eastAsia"/>
        </w:rPr>
        <w:t>8m</w:t>
      </w:r>
      <w:r>
        <w:rPr>
          <w:rFonts w:hint="eastAsia"/>
          <w:spacing w:val="-7"/>
        </w:rPr>
        <w:t>的民用建筑等场所</w:t>
      </w:r>
      <w:r>
        <w:rPr>
          <w:rFonts w:hint="eastAsia"/>
        </w:rPr>
        <w:t>）≥13m；（A</w:t>
      </w:r>
      <w:r>
        <w:rPr>
          <w:rFonts w:hint="eastAsia"/>
          <w:spacing w:val="-28"/>
        </w:rPr>
        <w:t>类</w:t>
      </w:r>
      <w:r>
        <w:rPr>
          <w:rFonts w:hint="eastAsia"/>
          <w:spacing w:val="-3"/>
        </w:rPr>
        <w:t>）</w:t>
      </w:r>
    </w:p>
    <w:p w14:paraId="788E9A2D">
      <w:pPr>
        <w:pStyle w:val="32"/>
        <w:keepNext w:val="0"/>
        <w:keepLines w:val="0"/>
        <w:pageBreakBefore w:val="0"/>
        <w:kinsoku/>
        <w:wordWrap/>
        <w:overflowPunct/>
        <w:topLinePunct w:val="0"/>
        <w:bidi w:val="0"/>
        <w:ind w:left="0" w:leftChars="0" w:right="0" w:firstLine="560" w:firstLineChars="200"/>
        <w:textAlignment w:val="auto"/>
      </w:pPr>
      <w:r>
        <w:rPr>
          <w:rFonts w:cs="宋体"/>
        </w:rPr>
        <w:t>5)</w:t>
      </w:r>
      <w:r>
        <w:rPr>
          <w:rFonts w:hint="eastAsia"/>
        </w:rPr>
        <w:t>最不利点充实水柱（</w:t>
      </w:r>
      <w:r>
        <w:rPr>
          <w:rFonts w:hint="eastAsia"/>
          <w:spacing w:val="-2"/>
        </w:rPr>
        <w:t>其他场所</w:t>
      </w:r>
      <w:r>
        <w:rPr>
          <w:rFonts w:hint="eastAsia"/>
        </w:rPr>
        <w:t>）≥10m。（A</w:t>
      </w:r>
      <w:r>
        <w:rPr>
          <w:rFonts w:hint="eastAsia"/>
          <w:spacing w:val="-28"/>
        </w:rPr>
        <w:t>类</w:t>
      </w:r>
      <w:r>
        <w:rPr>
          <w:rFonts w:hint="eastAsia"/>
        </w:rPr>
        <w:t>）</w:t>
      </w:r>
    </w:p>
    <w:p w14:paraId="767AE13C">
      <w:pPr>
        <w:pStyle w:val="32"/>
        <w:keepNext w:val="0"/>
        <w:keepLines w:val="0"/>
        <w:pageBreakBefore w:val="0"/>
        <w:kinsoku/>
        <w:wordWrap/>
        <w:overflowPunct/>
        <w:topLinePunct w:val="0"/>
        <w:bidi w:val="0"/>
        <w:ind w:left="0" w:leftChars="0" w:right="0" w:firstLine="560" w:firstLineChars="200"/>
        <w:textAlignment w:val="auto"/>
      </w:pPr>
      <w:r>
        <w:rPr>
          <w:rFonts w:cs="宋体"/>
        </w:rPr>
        <w:t>c)</w:t>
      </w:r>
      <w:r>
        <w:rPr>
          <w:rFonts w:hint="eastAsia"/>
        </w:rPr>
        <w:t>临时高压系统最有利点应符合以下要求：</w:t>
      </w:r>
    </w:p>
    <w:p w14:paraId="204CDAAA">
      <w:pPr>
        <w:pStyle w:val="32"/>
        <w:keepNext w:val="0"/>
        <w:keepLines w:val="0"/>
        <w:pageBreakBefore w:val="0"/>
        <w:kinsoku/>
        <w:wordWrap/>
        <w:overflowPunct/>
        <w:topLinePunct w:val="0"/>
        <w:bidi w:val="0"/>
        <w:ind w:left="0" w:leftChars="0" w:right="0" w:firstLine="560" w:firstLineChars="200"/>
        <w:textAlignment w:val="auto"/>
      </w:pPr>
      <w:r>
        <w:rPr>
          <w:rFonts w:cs="宋体"/>
        </w:rPr>
        <w:t>1)</w:t>
      </w:r>
      <w:r>
        <w:rPr>
          <w:rFonts w:hint="eastAsia"/>
          <w:spacing w:val="-3"/>
        </w:rPr>
        <w:t>最有利点静压应</w:t>
      </w:r>
      <w:r>
        <w:rPr>
          <w:rFonts w:hint="eastAsia"/>
        </w:rPr>
        <w:t>≤1.0MPa；（A</w:t>
      </w:r>
      <w:r>
        <w:rPr>
          <w:rFonts w:hint="eastAsia"/>
          <w:spacing w:val="-25"/>
        </w:rPr>
        <w:t>类</w:t>
      </w:r>
      <w:r>
        <w:rPr>
          <w:rFonts w:hint="eastAsia"/>
          <w:spacing w:val="-3"/>
        </w:rPr>
        <w:t>）</w:t>
      </w:r>
    </w:p>
    <w:p w14:paraId="50452A9E">
      <w:pPr>
        <w:pStyle w:val="32"/>
        <w:keepNext w:val="0"/>
        <w:keepLines w:val="0"/>
        <w:pageBreakBefore w:val="0"/>
        <w:kinsoku/>
        <w:wordWrap/>
        <w:overflowPunct/>
        <w:topLinePunct w:val="0"/>
        <w:bidi w:val="0"/>
        <w:ind w:left="0" w:leftChars="0" w:right="0" w:firstLine="560" w:firstLineChars="200"/>
        <w:textAlignment w:val="auto"/>
      </w:pPr>
      <w:r>
        <w:rPr>
          <w:rFonts w:cs="宋体"/>
        </w:rPr>
        <w:t>2)</w:t>
      </w:r>
      <w:r>
        <w:rPr>
          <w:rFonts w:hint="eastAsia"/>
          <w:spacing w:val="-3"/>
        </w:rPr>
        <w:t>最有利点动压应</w:t>
      </w:r>
      <w:r>
        <w:rPr>
          <w:rFonts w:hint="eastAsia"/>
        </w:rPr>
        <w:t>≤0.5MPa。（A</w:t>
      </w:r>
      <w:r>
        <w:rPr>
          <w:rFonts w:hint="eastAsia"/>
          <w:spacing w:val="-25"/>
        </w:rPr>
        <w:t>类</w:t>
      </w:r>
      <w:r>
        <w:rPr>
          <w:rFonts w:hint="eastAsia"/>
          <w:spacing w:val="-3"/>
        </w:rPr>
        <w:t>）</w:t>
      </w:r>
    </w:p>
    <w:p w14:paraId="037E0882">
      <w:pPr>
        <w:pStyle w:val="32"/>
        <w:keepNext w:val="0"/>
        <w:keepLines w:val="0"/>
        <w:pageBreakBefore w:val="0"/>
        <w:kinsoku/>
        <w:wordWrap/>
        <w:overflowPunct/>
        <w:topLinePunct w:val="0"/>
        <w:bidi w:val="0"/>
        <w:ind w:left="0" w:leftChars="0" w:right="0" w:firstLine="560" w:firstLineChars="200"/>
        <w:textAlignment w:val="auto"/>
        <w:rPr>
          <w:rFonts w:hint="eastAsia" w:eastAsia="仿宋"/>
          <w:lang w:eastAsia="zh-CN"/>
        </w:rPr>
      </w:pPr>
      <w:r>
        <w:rPr>
          <w:rFonts w:hint="eastAsia"/>
        </w:rPr>
        <w:t>检测数量：a)按实际安装数量的100%检测。</w:t>
      </w:r>
    </w:p>
    <w:p w14:paraId="4C986ACA">
      <w:pPr>
        <w:pStyle w:val="32"/>
        <w:keepNext w:val="0"/>
        <w:keepLines w:val="0"/>
        <w:pageBreakBefore w:val="0"/>
        <w:kinsoku/>
        <w:wordWrap/>
        <w:overflowPunct/>
        <w:topLinePunct w:val="0"/>
        <w:bidi w:val="0"/>
        <w:ind w:left="0" w:leftChars="0" w:right="0" w:firstLine="544" w:firstLineChars="200"/>
        <w:textAlignment w:val="auto"/>
        <w:rPr>
          <w:rFonts w:hint="eastAsia"/>
          <w:spacing w:val="-4"/>
        </w:rPr>
      </w:pPr>
      <w:r>
        <w:rPr>
          <w:rFonts w:hint="eastAsia"/>
          <w:spacing w:val="-4"/>
        </w:rPr>
        <w:t>检测方法：</w:t>
      </w:r>
    </w:p>
    <w:p w14:paraId="1355E837">
      <w:pPr>
        <w:pStyle w:val="32"/>
        <w:keepNext w:val="0"/>
        <w:keepLines w:val="0"/>
        <w:pageBreakBefore w:val="0"/>
        <w:kinsoku/>
        <w:wordWrap/>
        <w:overflowPunct/>
        <w:topLinePunct w:val="0"/>
        <w:bidi w:val="0"/>
        <w:ind w:left="0" w:leftChars="0" w:right="0" w:firstLine="512" w:firstLineChars="200"/>
        <w:textAlignment w:val="auto"/>
        <w:rPr>
          <w:rFonts w:hint="eastAsia"/>
          <w:spacing w:val="-6"/>
        </w:rPr>
      </w:pPr>
      <w:r>
        <w:rPr>
          <w:rFonts w:hint="eastAsia"/>
          <w:spacing w:val="-12"/>
        </w:rPr>
        <w:t>a</w:t>
      </w:r>
      <w:r>
        <w:rPr>
          <w:rFonts w:hint="eastAsia"/>
          <w:spacing w:val="-8"/>
        </w:rPr>
        <w:t>)在泵房通过试验管或放水阀门放水，使管网压力持续降低，查看消防水泵出水干管上</w:t>
      </w:r>
      <w:r>
        <w:rPr>
          <w:rFonts w:hint="eastAsia"/>
          <w:spacing w:val="-10"/>
        </w:rPr>
        <w:t>压力开关能否自动启动消防水泵。模拟流量开关动作信号，查看流量开关能否自动启动消防水泵。查看</w:t>
      </w:r>
      <w:r>
        <w:rPr>
          <w:rFonts w:hint="eastAsia"/>
          <w:spacing w:val="-6"/>
        </w:rPr>
        <w:t>在消防控制室是否收到报警信息；</w:t>
      </w:r>
    </w:p>
    <w:p w14:paraId="62624A94">
      <w:pPr>
        <w:pStyle w:val="32"/>
        <w:keepNext w:val="0"/>
        <w:keepLines w:val="0"/>
        <w:pageBreakBefore w:val="0"/>
        <w:kinsoku/>
        <w:wordWrap/>
        <w:overflowPunct/>
        <w:topLinePunct w:val="0"/>
        <w:bidi w:val="0"/>
        <w:ind w:left="0" w:leftChars="0" w:right="0" w:firstLine="512" w:firstLineChars="200"/>
        <w:textAlignment w:val="auto"/>
        <w:rPr>
          <w:rFonts w:hint="eastAsia"/>
          <w:spacing w:val="-5"/>
        </w:rPr>
      </w:pPr>
      <w:r>
        <w:rPr>
          <w:rFonts w:hint="eastAsia"/>
          <w:spacing w:val="-12"/>
        </w:rPr>
        <w:t>b)</w:t>
      </w:r>
      <w:r>
        <w:rPr>
          <w:rFonts w:hint="eastAsia"/>
        </w:rPr>
        <w:t>用消火栓测压接头测量最不利点静压。接好水带水枪，同时开启两台消火栓，待水枪出水稳定后，查看消火栓测压接头压力显示，如果压力显示≥0.216Mpa</w:t>
      </w:r>
      <w:r>
        <w:rPr>
          <w:rFonts w:hint="eastAsia"/>
          <w:spacing w:val="-3"/>
        </w:rPr>
        <w:t>，视为最不</w:t>
      </w:r>
      <w:r>
        <w:rPr>
          <w:rFonts w:hint="eastAsia"/>
          <w:spacing w:val="-2"/>
        </w:rPr>
        <w:t>利点充实水柱≥</w:t>
      </w:r>
      <w:r>
        <w:rPr>
          <w:rFonts w:hint="eastAsia"/>
        </w:rPr>
        <w:t>10</w:t>
      </w:r>
      <w:r>
        <w:rPr>
          <w:rFonts w:hint="eastAsia"/>
          <w:spacing w:val="-9"/>
        </w:rPr>
        <w:t>m</w:t>
      </w:r>
      <w:r>
        <w:rPr>
          <w:rFonts w:hint="eastAsia"/>
          <w:spacing w:val="-4"/>
        </w:rPr>
        <w:t>；压力显示≥</w:t>
      </w:r>
      <w:r>
        <w:rPr>
          <w:rFonts w:hint="eastAsia"/>
        </w:rPr>
        <w:t>0.309</w:t>
      </w:r>
      <w:r>
        <w:rPr>
          <w:rFonts w:hint="eastAsia"/>
          <w:spacing w:val="-6"/>
        </w:rPr>
        <w:t>Mpa</w:t>
      </w:r>
      <w:r>
        <w:rPr>
          <w:rFonts w:hint="eastAsia"/>
          <w:spacing w:val="-3"/>
        </w:rPr>
        <w:t>，视为最不利点充实水柱</w:t>
      </w:r>
      <w:r>
        <w:rPr>
          <w:rFonts w:hint="eastAsia"/>
        </w:rPr>
        <w:t>≥13</w:t>
      </w:r>
      <w:r>
        <w:rPr>
          <w:rFonts w:hint="eastAsia"/>
          <w:spacing w:val="-5"/>
        </w:rPr>
        <w:t>m；</w:t>
      </w:r>
    </w:p>
    <w:p w14:paraId="7D771BF6">
      <w:pPr>
        <w:pStyle w:val="32"/>
        <w:keepNext w:val="0"/>
        <w:keepLines w:val="0"/>
        <w:pageBreakBefore w:val="0"/>
        <w:kinsoku/>
        <w:wordWrap/>
        <w:overflowPunct/>
        <w:topLinePunct w:val="0"/>
        <w:bidi w:val="0"/>
        <w:ind w:left="0" w:leftChars="0" w:right="0" w:firstLine="540" w:firstLineChars="200"/>
        <w:textAlignment w:val="auto"/>
      </w:pPr>
      <w:r>
        <w:rPr>
          <w:rFonts w:hint="eastAsia"/>
          <w:spacing w:val="-5"/>
        </w:rPr>
        <w:t>c</w:t>
      </w:r>
      <w:r>
        <w:rPr>
          <w:rFonts w:hint="eastAsia"/>
          <w:spacing w:val="-3"/>
        </w:rPr>
        <w:t>)用消火栓测压接头测量最有利点静压，开启一台消火栓，待出水稳定后，查看消火栓测压接头压力显示。</w:t>
      </w:r>
    </w:p>
    <w:p w14:paraId="09172F1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检测器具：钢卷尺、消火栓测压接头。</w:t>
      </w:r>
    </w:p>
    <w:p w14:paraId="3CC07A5E">
      <w:pPr>
        <w:pStyle w:val="32"/>
        <w:keepNext w:val="0"/>
        <w:keepLines w:val="0"/>
        <w:pageBreakBefore w:val="0"/>
        <w:kinsoku/>
        <w:wordWrap/>
        <w:overflowPunct/>
        <w:topLinePunct w:val="0"/>
        <w:bidi w:val="0"/>
        <w:ind w:left="0" w:leftChars="0" w:right="0" w:firstLine="548" w:firstLineChars="200"/>
        <w:textAlignment w:val="auto"/>
      </w:pPr>
      <w:r>
        <w:rPr>
          <w:rFonts w:hint="eastAsia"/>
          <w:spacing w:val="-3"/>
        </w:rPr>
        <w:t>4.12.11</w:t>
      </w:r>
      <w:r>
        <w:rPr>
          <w:rFonts w:hint="eastAsia"/>
        </w:rPr>
        <w:t>消火栓按钮功能</w:t>
      </w:r>
    </w:p>
    <w:p w14:paraId="1DE1FD1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13F1AC2A">
      <w:pPr>
        <w:pStyle w:val="32"/>
        <w:keepNext w:val="0"/>
        <w:keepLines w:val="0"/>
        <w:pageBreakBefore w:val="0"/>
        <w:kinsoku/>
        <w:wordWrap/>
        <w:overflowPunct/>
        <w:topLinePunct w:val="0"/>
        <w:bidi w:val="0"/>
        <w:ind w:left="0" w:leftChars="0" w:right="0" w:firstLine="560" w:firstLineChars="200"/>
        <w:textAlignment w:val="auto"/>
      </w:pPr>
      <w:r>
        <w:rPr>
          <w:rFonts w:hint="eastAsia"/>
        </w:rPr>
        <w:t>a)当建筑内无火灾自动报警系统、消防设计文件有要求的，启动消火栓按钮，消防水泵应直接启动；（A</w:t>
      </w:r>
      <w:r>
        <w:rPr>
          <w:rFonts w:hint="eastAsia"/>
          <w:spacing w:val="-28"/>
        </w:rPr>
        <w:t>类</w:t>
      </w:r>
      <w:r>
        <w:rPr>
          <w:rFonts w:hint="eastAsia"/>
          <w:spacing w:val="-3"/>
        </w:rPr>
        <w:t>）</w:t>
      </w:r>
    </w:p>
    <w:p w14:paraId="47FCF109">
      <w:pPr>
        <w:pStyle w:val="32"/>
        <w:keepNext w:val="0"/>
        <w:keepLines w:val="0"/>
        <w:pageBreakBefore w:val="0"/>
        <w:kinsoku/>
        <w:wordWrap/>
        <w:overflowPunct/>
        <w:topLinePunct w:val="0"/>
        <w:bidi w:val="0"/>
        <w:ind w:left="0" w:leftChars="0" w:right="0" w:firstLine="560" w:firstLineChars="200"/>
        <w:textAlignment w:val="auto"/>
      </w:pPr>
      <w:r>
        <w:rPr>
          <w:rFonts w:hint="eastAsia"/>
        </w:rPr>
        <w:t>b)当有火灾自动报警系统时，启动消火栓按钮，消防控制室应收到报警信号，显示报警部位并</w:t>
      </w:r>
      <w:r>
        <w:rPr>
          <w:rFonts w:hint="eastAsia"/>
          <w:spacing w:val="-3"/>
        </w:rPr>
        <w:t>联动启动消防水泵，不受火灾报警联动控制柜手动或自动状态的影响；</w:t>
      </w:r>
      <w:r>
        <w:rPr>
          <w:rFonts w:hint="eastAsia"/>
        </w:rPr>
        <w:t>（A</w:t>
      </w:r>
      <w:r>
        <w:rPr>
          <w:rFonts w:hint="eastAsia"/>
          <w:spacing w:val="-27"/>
        </w:rPr>
        <w:t>类</w:t>
      </w:r>
      <w:r>
        <w:rPr>
          <w:rFonts w:hint="eastAsia"/>
          <w:spacing w:val="-3"/>
        </w:rPr>
        <w:t>）</w:t>
      </w:r>
    </w:p>
    <w:p w14:paraId="26E483E5">
      <w:pPr>
        <w:pStyle w:val="32"/>
        <w:keepNext w:val="0"/>
        <w:keepLines w:val="0"/>
        <w:pageBreakBefore w:val="0"/>
        <w:kinsoku/>
        <w:wordWrap/>
        <w:overflowPunct/>
        <w:topLinePunct w:val="0"/>
        <w:bidi w:val="0"/>
        <w:ind w:left="0" w:leftChars="0" w:right="0" w:firstLine="560" w:firstLineChars="200"/>
        <w:textAlignment w:val="auto"/>
      </w:pPr>
      <w:r>
        <w:rPr>
          <w:rFonts w:hint="eastAsia"/>
        </w:rPr>
        <w:t>c)消防水泵启动后，消火栓按钮处应有消防泵启动信号。（C</w:t>
      </w:r>
      <w:r>
        <w:rPr>
          <w:rFonts w:hint="eastAsia"/>
          <w:spacing w:val="-28"/>
        </w:rPr>
        <w:t>类</w:t>
      </w:r>
      <w:r>
        <w:rPr>
          <w:rFonts w:hint="eastAsia"/>
        </w:rPr>
        <w:t>）</w:t>
      </w:r>
    </w:p>
    <w:p w14:paraId="2C91537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2F37EB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检测方法：启动消火栓按钮，在控制室查看报警信号并观察消防泵启动情况。</w:t>
      </w:r>
    </w:p>
    <w:p w14:paraId="3549E762">
      <w:pPr>
        <w:pStyle w:val="32"/>
        <w:keepNext w:val="0"/>
        <w:keepLines w:val="0"/>
        <w:pageBreakBefore w:val="0"/>
        <w:kinsoku/>
        <w:wordWrap/>
        <w:overflowPunct/>
        <w:topLinePunct w:val="0"/>
        <w:bidi w:val="0"/>
        <w:ind w:left="0" w:leftChars="0" w:right="0" w:firstLine="560" w:firstLineChars="200"/>
        <w:textAlignment w:val="auto"/>
      </w:pPr>
      <w:r>
        <w:rPr>
          <w:rFonts w:hint="eastAsia" w:cs="黑体"/>
          <w:lang w:val="en-US" w:eastAsia="zh-CN"/>
        </w:rPr>
        <w:t>4</w:t>
      </w:r>
      <w:r>
        <w:rPr>
          <w:rFonts w:cs="黑体"/>
        </w:rPr>
        <w:t>.</w:t>
      </w:r>
      <w:r>
        <w:rPr>
          <w:rFonts w:hint="eastAsia" w:cs="黑体"/>
        </w:rPr>
        <w:t>12.12</w:t>
      </w:r>
      <w:r>
        <w:rPr>
          <w:rFonts w:hint="eastAsia"/>
        </w:rPr>
        <w:t>湿式消火栓系统功能</w:t>
      </w:r>
    </w:p>
    <w:p w14:paraId="4B128C8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9A2BDE6">
      <w:pPr>
        <w:pStyle w:val="32"/>
        <w:keepNext w:val="0"/>
        <w:keepLines w:val="0"/>
        <w:pageBreakBefore w:val="0"/>
        <w:kinsoku/>
        <w:wordWrap/>
        <w:overflowPunct/>
        <w:topLinePunct w:val="0"/>
        <w:bidi w:val="0"/>
        <w:ind w:left="0" w:leftChars="0" w:right="0" w:firstLine="560" w:firstLineChars="200"/>
        <w:textAlignment w:val="auto"/>
      </w:pPr>
      <w:r>
        <w:rPr>
          <w:rFonts w:cs="宋体"/>
        </w:rPr>
        <w:t>a)</w:t>
      </w:r>
      <w:r>
        <w:rPr>
          <w:rFonts w:hint="eastAsia"/>
        </w:rPr>
        <w:t>消防水泵出水管上的低压压力开关、高位消防水箱出水管上的流量开关动作信号应能直接联</w:t>
      </w:r>
      <w:r>
        <w:rPr>
          <w:rFonts w:hint="eastAsia"/>
          <w:spacing w:val="-3"/>
        </w:rPr>
        <w:t>锁启动消防水泵，流量开关动作及水泵启动信号应能反馈至消防控制室；</w:t>
      </w:r>
      <w:r>
        <w:rPr>
          <w:rFonts w:hint="eastAsia"/>
        </w:rPr>
        <w:t>（A</w:t>
      </w:r>
      <w:r>
        <w:rPr>
          <w:rFonts w:hint="eastAsia"/>
          <w:spacing w:val="-26"/>
        </w:rPr>
        <w:t>类</w:t>
      </w:r>
      <w:r>
        <w:rPr>
          <w:rFonts w:hint="eastAsia"/>
          <w:spacing w:val="-3"/>
        </w:rPr>
        <w:t>）</w:t>
      </w:r>
    </w:p>
    <w:p w14:paraId="07BEC76D">
      <w:pPr>
        <w:pStyle w:val="32"/>
        <w:keepNext w:val="0"/>
        <w:keepLines w:val="0"/>
        <w:pageBreakBefore w:val="0"/>
        <w:kinsoku/>
        <w:wordWrap/>
        <w:overflowPunct/>
        <w:topLinePunct w:val="0"/>
        <w:bidi w:val="0"/>
        <w:ind w:left="0" w:leftChars="0" w:right="0" w:firstLine="560" w:firstLineChars="200"/>
        <w:textAlignment w:val="auto"/>
      </w:pPr>
      <w:r>
        <w:rPr>
          <w:rFonts w:cs="宋体"/>
        </w:rPr>
        <w:t>b)</w:t>
      </w:r>
      <w:r>
        <w:rPr>
          <w:rFonts w:hint="eastAsia"/>
        </w:rPr>
        <w:t>临时高压系统最不利点应符合以下要求：</w:t>
      </w:r>
    </w:p>
    <w:p w14:paraId="16FBAE8A">
      <w:pPr>
        <w:pStyle w:val="32"/>
        <w:keepNext w:val="0"/>
        <w:keepLines w:val="0"/>
        <w:pageBreakBefore w:val="0"/>
        <w:kinsoku/>
        <w:wordWrap/>
        <w:overflowPunct/>
        <w:topLinePunct w:val="0"/>
        <w:bidi w:val="0"/>
        <w:ind w:left="0" w:leftChars="0" w:right="0" w:firstLine="560" w:firstLineChars="200"/>
        <w:textAlignment w:val="auto"/>
      </w:pPr>
      <w:r>
        <w:rPr>
          <w:rFonts w:cs="宋体"/>
        </w:rPr>
        <w:t>1)</w:t>
      </w:r>
      <w:r>
        <w:rPr>
          <w:rFonts w:hint="eastAsia"/>
          <w:spacing w:val="-2"/>
        </w:rPr>
        <w:t>最不利点静压</w:t>
      </w:r>
      <w:r>
        <w:rPr>
          <w:rFonts w:hint="eastAsia"/>
          <w:spacing w:val="-3"/>
        </w:rPr>
        <w:t>（当建筑高度</w:t>
      </w:r>
      <w:r>
        <w:rPr>
          <w:rFonts w:hint="eastAsia"/>
        </w:rPr>
        <w:t>＞100m</w:t>
      </w:r>
      <w:r>
        <w:rPr>
          <w:rFonts w:hint="eastAsia"/>
          <w:spacing w:val="-28"/>
        </w:rPr>
        <w:t>时</w:t>
      </w:r>
      <w:r>
        <w:rPr>
          <w:rFonts w:hint="eastAsia"/>
        </w:rPr>
        <w:t>）</w:t>
      </w:r>
      <w:r>
        <w:rPr>
          <w:rFonts w:hint="eastAsia"/>
          <w:spacing w:val="-12"/>
        </w:rPr>
        <w:t>，不应低于</w:t>
      </w:r>
      <w:r>
        <w:rPr>
          <w:rFonts w:hint="eastAsia"/>
        </w:rPr>
        <w:t>0.15MPa；（A</w:t>
      </w:r>
      <w:r>
        <w:rPr>
          <w:rFonts w:hint="eastAsia"/>
          <w:spacing w:val="-28"/>
        </w:rPr>
        <w:t>类</w:t>
      </w:r>
      <w:r>
        <w:rPr>
          <w:rFonts w:hint="eastAsia"/>
        </w:rPr>
        <w:t>）</w:t>
      </w:r>
    </w:p>
    <w:p w14:paraId="7FA0F9E0">
      <w:pPr>
        <w:pStyle w:val="32"/>
        <w:keepNext w:val="0"/>
        <w:keepLines w:val="0"/>
        <w:pageBreakBefore w:val="0"/>
        <w:kinsoku/>
        <w:wordWrap/>
        <w:overflowPunct/>
        <w:topLinePunct w:val="0"/>
        <w:bidi w:val="0"/>
        <w:ind w:left="0" w:leftChars="0" w:right="0" w:firstLine="560" w:firstLineChars="200"/>
        <w:textAlignment w:val="auto"/>
      </w:pPr>
      <w:r>
        <w:rPr>
          <w:rFonts w:cs="宋体"/>
        </w:rPr>
        <w:t>2)</w:t>
      </w:r>
      <w:r>
        <w:rPr>
          <w:rFonts w:hint="eastAsia"/>
          <w:spacing w:val="-11"/>
        </w:rPr>
        <w:t>最不利点静压</w:t>
      </w:r>
      <w:r>
        <w:rPr>
          <w:rFonts w:hint="eastAsia"/>
          <w:spacing w:val="-3"/>
        </w:rPr>
        <w:t>（建筑高度</w:t>
      </w:r>
      <w:r>
        <w:rPr>
          <w:rFonts w:hint="eastAsia"/>
        </w:rPr>
        <w:t>≤100m</w:t>
      </w:r>
      <w:r>
        <w:rPr>
          <w:rFonts w:hint="eastAsia"/>
          <w:spacing w:val="-13"/>
        </w:rPr>
        <w:t>的一类高层公共建筑、工业建筑</w:t>
      </w:r>
      <w:r>
        <w:rPr>
          <w:rFonts w:hint="eastAsia"/>
          <w:spacing w:val="-56"/>
        </w:rPr>
        <w:t>），</w:t>
      </w:r>
      <w:r>
        <w:rPr>
          <w:rFonts w:hint="eastAsia"/>
          <w:spacing w:val="-12"/>
        </w:rPr>
        <w:t>不应低于</w:t>
      </w:r>
      <w:r>
        <w:rPr>
          <w:rFonts w:hint="eastAsia"/>
        </w:rPr>
        <w:t>0.10MPa；</w:t>
      </w:r>
      <w:r>
        <w:rPr>
          <w:rFonts w:hint="eastAsia"/>
          <w:spacing w:val="-8"/>
        </w:rPr>
        <w:t>设置稳压泵时，不应低于</w:t>
      </w:r>
      <w:r>
        <w:rPr>
          <w:rFonts w:hint="eastAsia"/>
        </w:rPr>
        <w:t>0.15MPa；（A</w:t>
      </w:r>
      <w:r>
        <w:rPr>
          <w:rFonts w:hint="eastAsia"/>
          <w:spacing w:val="-28"/>
        </w:rPr>
        <w:t>类</w:t>
      </w:r>
      <w:r>
        <w:rPr>
          <w:rFonts w:hint="eastAsia"/>
          <w:spacing w:val="-3"/>
        </w:rPr>
        <w:t>）</w:t>
      </w:r>
    </w:p>
    <w:p w14:paraId="7B933DBD">
      <w:pPr>
        <w:pStyle w:val="32"/>
        <w:keepNext w:val="0"/>
        <w:keepLines w:val="0"/>
        <w:pageBreakBefore w:val="0"/>
        <w:kinsoku/>
        <w:wordWrap/>
        <w:overflowPunct/>
        <w:topLinePunct w:val="0"/>
        <w:bidi w:val="0"/>
        <w:ind w:left="0" w:leftChars="0" w:right="0" w:firstLine="560" w:firstLineChars="200"/>
        <w:textAlignment w:val="auto"/>
      </w:pPr>
      <w:r>
        <w:rPr>
          <w:rFonts w:cs="宋体"/>
        </w:rPr>
        <w:t>3)</w:t>
      </w:r>
      <w:r>
        <w:rPr>
          <w:rFonts w:hint="eastAsia"/>
        </w:rPr>
        <w:t>最不利点静压(多、高层住宅、二类高层公共建筑、多层公共建筑)，不应低于0.07MPa；</w:t>
      </w:r>
      <w:r>
        <w:rPr>
          <w:rFonts w:hint="eastAsia"/>
          <w:spacing w:val="-8"/>
        </w:rPr>
        <w:t>设置稳压泵时，不应低于</w:t>
      </w:r>
      <w:r>
        <w:rPr>
          <w:rFonts w:hint="eastAsia"/>
        </w:rPr>
        <w:t>0.15MPa；（A</w:t>
      </w:r>
      <w:r>
        <w:rPr>
          <w:rFonts w:hint="eastAsia"/>
          <w:spacing w:val="-28"/>
        </w:rPr>
        <w:t>类</w:t>
      </w:r>
      <w:r>
        <w:rPr>
          <w:rFonts w:hint="eastAsia"/>
          <w:spacing w:val="-3"/>
        </w:rPr>
        <w:t>）</w:t>
      </w:r>
    </w:p>
    <w:p w14:paraId="6DC2D591">
      <w:pPr>
        <w:pStyle w:val="32"/>
        <w:keepNext w:val="0"/>
        <w:keepLines w:val="0"/>
        <w:pageBreakBefore w:val="0"/>
        <w:kinsoku/>
        <w:wordWrap/>
        <w:overflowPunct/>
        <w:topLinePunct w:val="0"/>
        <w:bidi w:val="0"/>
        <w:ind w:left="0" w:leftChars="0" w:right="0" w:firstLine="560" w:firstLineChars="200"/>
        <w:textAlignment w:val="auto"/>
      </w:pPr>
      <w:r>
        <w:rPr>
          <w:rFonts w:cs="宋体"/>
        </w:rPr>
        <w:t>4)</w:t>
      </w:r>
      <w:r>
        <w:rPr>
          <w:rFonts w:hint="eastAsia"/>
        </w:rPr>
        <w:t>最不利点充实水柱（高层建筑、厂房、库房和室内净空高度超过8m</w:t>
      </w:r>
      <w:r>
        <w:rPr>
          <w:rFonts w:hint="eastAsia"/>
          <w:spacing w:val="-7"/>
        </w:rPr>
        <w:t>的民用建筑等场所</w:t>
      </w:r>
      <w:r>
        <w:rPr>
          <w:rFonts w:hint="eastAsia"/>
        </w:rPr>
        <w:t>）≥13m；（A</w:t>
      </w:r>
      <w:r>
        <w:rPr>
          <w:rFonts w:hint="eastAsia"/>
          <w:spacing w:val="-28"/>
        </w:rPr>
        <w:t>类</w:t>
      </w:r>
      <w:r>
        <w:rPr>
          <w:rFonts w:hint="eastAsia"/>
          <w:spacing w:val="-3"/>
        </w:rPr>
        <w:t>）</w:t>
      </w:r>
    </w:p>
    <w:p w14:paraId="28EBC81F">
      <w:pPr>
        <w:pStyle w:val="32"/>
        <w:keepNext w:val="0"/>
        <w:keepLines w:val="0"/>
        <w:pageBreakBefore w:val="0"/>
        <w:kinsoku/>
        <w:wordWrap/>
        <w:overflowPunct/>
        <w:topLinePunct w:val="0"/>
        <w:bidi w:val="0"/>
        <w:ind w:left="0" w:leftChars="0" w:right="0" w:firstLine="560" w:firstLineChars="200"/>
        <w:textAlignment w:val="auto"/>
      </w:pPr>
      <w:r>
        <w:rPr>
          <w:rFonts w:cs="宋体"/>
        </w:rPr>
        <w:t>5)</w:t>
      </w:r>
      <w:r>
        <w:rPr>
          <w:rFonts w:hint="eastAsia"/>
        </w:rPr>
        <w:t>最不利点充实水柱（</w:t>
      </w:r>
      <w:r>
        <w:rPr>
          <w:rFonts w:hint="eastAsia"/>
          <w:spacing w:val="-2"/>
        </w:rPr>
        <w:t>其他场所</w:t>
      </w:r>
      <w:r>
        <w:rPr>
          <w:rFonts w:hint="eastAsia"/>
        </w:rPr>
        <w:t>）≥10m。（A</w:t>
      </w:r>
      <w:r>
        <w:rPr>
          <w:rFonts w:hint="eastAsia"/>
          <w:spacing w:val="-28"/>
        </w:rPr>
        <w:t>类</w:t>
      </w:r>
      <w:r>
        <w:rPr>
          <w:rFonts w:hint="eastAsia"/>
        </w:rPr>
        <w:t>）</w:t>
      </w:r>
    </w:p>
    <w:p w14:paraId="0BCED95F">
      <w:pPr>
        <w:pStyle w:val="32"/>
        <w:keepNext w:val="0"/>
        <w:keepLines w:val="0"/>
        <w:pageBreakBefore w:val="0"/>
        <w:kinsoku/>
        <w:wordWrap/>
        <w:overflowPunct/>
        <w:topLinePunct w:val="0"/>
        <w:bidi w:val="0"/>
        <w:ind w:left="0" w:leftChars="0" w:right="0" w:firstLine="560" w:firstLineChars="200"/>
        <w:textAlignment w:val="auto"/>
      </w:pPr>
      <w:r>
        <w:rPr>
          <w:rFonts w:cs="宋体"/>
        </w:rPr>
        <w:t>c)</w:t>
      </w:r>
      <w:r>
        <w:rPr>
          <w:rFonts w:hint="eastAsia"/>
        </w:rPr>
        <w:t>临时高压系统最有利点应符合以下要求：</w:t>
      </w:r>
    </w:p>
    <w:p w14:paraId="6A76FD29">
      <w:pPr>
        <w:pStyle w:val="32"/>
        <w:keepNext w:val="0"/>
        <w:keepLines w:val="0"/>
        <w:pageBreakBefore w:val="0"/>
        <w:kinsoku/>
        <w:wordWrap/>
        <w:overflowPunct/>
        <w:topLinePunct w:val="0"/>
        <w:bidi w:val="0"/>
        <w:ind w:left="0" w:leftChars="0" w:right="0" w:firstLine="560" w:firstLineChars="200"/>
        <w:textAlignment w:val="auto"/>
      </w:pPr>
      <w:r>
        <w:rPr>
          <w:rFonts w:cs="宋体"/>
        </w:rPr>
        <w:t>1)</w:t>
      </w:r>
      <w:r>
        <w:rPr>
          <w:rFonts w:hint="eastAsia"/>
          <w:spacing w:val="-3"/>
        </w:rPr>
        <w:t>最有利点静压应</w:t>
      </w:r>
      <w:r>
        <w:rPr>
          <w:rFonts w:hint="eastAsia"/>
        </w:rPr>
        <w:t>≤1.0MPa；（A</w:t>
      </w:r>
      <w:r>
        <w:rPr>
          <w:rFonts w:hint="eastAsia"/>
          <w:spacing w:val="-25"/>
        </w:rPr>
        <w:t>类</w:t>
      </w:r>
      <w:r>
        <w:rPr>
          <w:rFonts w:hint="eastAsia"/>
          <w:spacing w:val="-3"/>
        </w:rPr>
        <w:t>）</w:t>
      </w:r>
    </w:p>
    <w:p w14:paraId="110BAE57">
      <w:pPr>
        <w:pStyle w:val="32"/>
        <w:keepNext w:val="0"/>
        <w:keepLines w:val="0"/>
        <w:pageBreakBefore w:val="0"/>
        <w:kinsoku/>
        <w:wordWrap/>
        <w:overflowPunct/>
        <w:topLinePunct w:val="0"/>
        <w:bidi w:val="0"/>
        <w:ind w:left="0" w:leftChars="0" w:right="0" w:firstLine="560" w:firstLineChars="200"/>
        <w:textAlignment w:val="auto"/>
      </w:pPr>
      <w:r>
        <w:rPr>
          <w:rFonts w:cs="宋体"/>
        </w:rPr>
        <w:t>2)</w:t>
      </w:r>
      <w:r>
        <w:rPr>
          <w:rFonts w:hint="eastAsia"/>
          <w:spacing w:val="-3"/>
        </w:rPr>
        <w:t>最有利点动压应</w:t>
      </w:r>
      <w:r>
        <w:rPr>
          <w:rFonts w:hint="eastAsia"/>
        </w:rPr>
        <w:t>≤0.5MPa。（A</w:t>
      </w:r>
      <w:r>
        <w:rPr>
          <w:rFonts w:hint="eastAsia"/>
          <w:spacing w:val="-25"/>
        </w:rPr>
        <w:t>类</w:t>
      </w:r>
      <w:r>
        <w:rPr>
          <w:rFonts w:hint="eastAsia"/>
          <w:spacing w:val="-3"/>
        </w:rPr>
        <w:t>）</w:t>
      </w:r>
    </w:p>
    <w:p w14:paraId="7250488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0A198C29">
      <w:pPr>
        <w:pStyle w:val="32"/>
        <w:keepNext w:val="0"/>
        <w:keepLines w:val="0"/>
        <w:pageBreakBefore w:val="0"/>
        <w:kinsoku/>
        <w:wordWrap/>
        <w:overflowPunct/>
        <w:topLinePunct w:val="0"/>
        <w:bidi w:val="0"/>
        <w:ind w:left="0" w:leftChars="0" w:right="0" w:firstLine="544" w:firstLineChars="200"/>
        <w:textAlignment w:val="auto"/>
        <w:rPr>
          <w:rFonts w:hint="eastAsia"/>
          <w:spacing w:val="-4"/>
        </w:rPr>
      </w:pPr>
      <w:r>
        <w:rPr>
          <w:rFonts w:hint="eastAsia"/>
          <w:spacing w:val="-4"/>
        </w:rPr>
        <w:t>检测方法：</w:t>
      </w:r>
    </w:p>
    <w:p w14:paraId="24B6305E">
      <w:pPr>
        <w:pStyle w:val="32"/>
        <w:keepNext w:val="0"/>
        <w:keepLines w:val="0"/>
        <w:pageBreakBefore w:val="0"/>
        <w:kinsoku/>
        <w:wordWrap/>
        <w:overflowPunct/>
        <w:topLinePunct w:val="0"/>
        <w:bidi w:val="0"/>
        <w:ind w:left="0" w:leftChars="0" w:right="0" w:firstLine="512" w:firstLineChars="200"/>
        <w:textAlignment w:val="auto"/>
        <w:rPr>
          <w:rFonts w:hint="eastAsia"/>
          <w:spacing w:val="-6"/>
        </w:rPr>
      </w:pPr>
      <w:r>
        <w:rPr>
          <w:rFonts w:hint="eastAsia"/>
          <w:spacing w:val="-12"/>
        </w:rPr>
        <w:t>a</w:t>
      </w:r>
      <w:r>
        <w:rPr>
          <w:rFonts w:hint="eastAsia"/>
          <w:spacing w:val="-8"/>
        </w:rPr>
        <w:t>)在泵房通过试验管或放水阀门放水，使管网压力持续降低，查看消防水泵出水干管上</w:t>
      </w:r>
      <w:r>
        <w:rPr>
          <w:rFonts w:hint="eastAsia"/>
          <w:spacing w:val="-10"/>
        </w:rPr>
        <w:t>压力开关能否自动启动消防水泵。模拟流量开关动作信号，查看流量开关能否自动启动消防水泵。查看</w:t>
      </w:r>
      <w:r>
        <w:rPr>
          <w:rFonts w:hint="eastAsia"/>
          <w:spacing w:val="-6"/>
        </w:rPr>
        <w:t>在消防控制室是否收到报警信息；</w:t>
      </w:r>
    </w:p>
    <w:p w14:paraId="1FFDA051">
      <w:pPr>
        <w:pStyle w:val="32"/>
        <w:keepNext w:val="0"/>
        <w:keepLines w:val="0"/>
        <w:pageBreakBefore w:val="0"/>
        <w:kinsoku/>
        <w:wordWrap/>
        <w:overflowPunct/>
        <w:topLinePunct w:val="0"/>
        <w:bidi w:val="0"/>
        <w:ind w:left="0" w:leftChars="0" w:right="0" w:firstLine="512" w:firstLineChars="200"/>
        <w:textAlignment w:val="auto"/>
        <w:rPr>
          <w:rFonts w:hint="eastAsia"/>
          <w:spacing w:val="-5"/>
        </w:rPr>
      </w:pPr>
      <w:r>
        <w:rPr>
          <w:rFonts w:hint="eastAsia"/>
          <w:spacing w:val="-12"/>
        </w:rPr>
        <w:t>b)</w:t>
      </w:r>
      <w:r>
        <w:rPr>
          <w:rFonts w:hint="eastAsia"/>
        </w:rPr>
        <w:t>用消火栓测压接头测量最不利点静压。接好水带水枪，同时开启两台消火栓，待水枪出水稳定后，查看消火栓测压接头压力显示，如果压力显示≥0.216Mpa</w:t>
      </w:r>
      <w:r>
        <w:rPr>
          <w:rFonts w:hint="eastAsia"/>
          <w:spacing w:val="-3"/>
        </w:rPr>
        <w:t>，视为最不</w:t>
      </w:r>
      <w:r>
        <w:rPr>
          <w:rFonts w:hint="eastAsia"/>
          <w:spacing w:val="-2"/>
        </w:rPr>
        <w:t>利点充实水柱≥</w:t>
      </w:r>
      <w:r>
        <w:rPr>
          <w:rFonts w:hint="eastAsia"/>
        </w:rPr>
        <w:t>10</w:t>
      </w:r>
      <w:r>
        <w:rPr>
          <w:rFonts w:hint="eastAsia"/>
          <w:spacing w:val="-9"/>
        </w:rPr>
        <w:t>m</w:t>
      </w:r>
      <w:r>
        <w:rPr>
          <w:rFonts w:hint="eastAsia"/>
          <w:spacing w:val="-4"/>
        </w:rPr>
        <w:t>；压力显示≥</w:t>
      </w:r>
      <w:r>
        <w:rPr>
          <w:rFonts w:hint="eastAsia"/>
        </w:rPr>
        <w:t>0.309</w:t>
      </w:r>
      <w:r>
        <w:rPr>
          <w:rFonts w:hint="eastAsia"/>
          <w:spacing w:val="-6"/>
        </w:rPr>
        <w:t>Mpa</w:t>
      </w:r>
      <w:r>
        <w:rPr>
          <w:rFonts w:hint="eastAsia"/>
          <w:spacing w:val="-3"/>
        </w:rPr>
        <w:t>，视为最不利点充实水柱</w:t>
      </w:r>
      <w:r>
        <w:rPr>
          <w:rFonts w:hint="eastAsia"/>
        </w:rPr>
        <w:t>≥13</w:t>
      </w:r>
      <w:r>
        <w:rPr>
          <w:rFonts w:hint="eastAsia"/>
          <w:spacing w:val="-5"/>
        </w:rPr>
        <w:t>m；</w:t>
      </w:r>
    </w:p>
    <w:p w14:paraId="1736DF1B">
      <w:pPr>
        <w:pStyle w:val="32"/>
        <w:keepNext w:val="0"/>
        <w:keepLines w:val="0"/>
        <w:pageBreakBefore w:val="0"/>
        <w:kinsoku/>
        <w:wordWrap/>
        <w:overflowPunct/>
        <w:topLinePunct w:val="0"/>
        <w:bidi w:val="0"/>
        <w:ind w:left="0" w:leftChars="0" w:right="0" w:firstLine="540" w:firstLineChars="200"/>
        <w:textAlignment w:val="auto"/>
      </w:pPr>
      <w:r>
        <w:rPr>
          <w:rFonts w:hint="eastAsia"/>
          <w:spacing w:val="-5"/>
        </w:rPr>
        <w:t>c</w:t>
      </w:r>
      <w:r>
        <w:rPr>
          <w:rFonts w:hint="eastAsia"/>
          <w:spacing w:val="-3"/>
        </w:rPr>
        <w:t>)用消火栓测压接头测量最有利点静压，开启一台消火栓，待出水稳定后，查看消火栓测压接头压力显示。</w:t>
      </w:r>
    </w:p>
    <w:p w14:paraId="6569A02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检测器具：钢卷尺、消火栓测压接头。</w:t>
      </w:r>
    </w:p>
    <w:p w14:paraId="654728FF">
      <w:pPr>
        <w:pStyle w:val="32"/>
        <w:keepNext w:val="0"/>
        <w:keepLines w:val="0"/>
        <w:pageBreakBefore w:val="0"/>
        <w:kinsoku/>
        <w:wordWrap/>
        <w:overflowPunct/>
        <w:topLinePunct w:val="0"/>
        <w:bidi w:val="0"/>
        <w:ind w:left="0" w:leftChars="0" w:right="0" w:firstLine="560" w:firstLineChars="200"/>
        <w:textAlignment w:val="auto"/>
      </w:pPr>
      <w:r>
        <w:rPr>
          <w:rFonts w:hint="eastAsia"/>
          <w:lang w:val="en-US" w:eastAsia="zh-CN"/>
        </w:rPr>
        <w:t>4</w:t>
      </w:r>
      <w:r>
        <w:t>.</w:t>
      </w:r>
      <w:r>
        <w:rPr>
          <w:rFonts w:hint="eastAsia"/>
        </w:rPr>
        <w:t>12.13室外消火栓</w:t>
      </w:r>
    </w:p>
    <w:p w14:paraId="54B42C0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75E6565">
      <w:pPr>
        <w:pStyle w:val="32"/>
        <w:keepNext w:val="0"/>
        <w:keepLines w:val="0"/>
        <w:pageBreakBefore w:val="0"/>
        <w:kinsoku/>
        <w:wordWrap/>
        <w:overflowPunct/>
        <w:topLinePunct w:val="0"/>
        <w:bidi w:val="0"/>
        <w:ind w:left="0" w:leftChars="0" w:right="0" w:firstLine="560" w:firstLineChars="200"/>
        <w:textAlignment w:val="auto"/>
      </w:pPr>
      <w:r>
        <w:rPr>
          <w:rFonts w:hint="eastAsia"/>
        </w:rPr>
        <w:t>a)室外消火栓的设置场所、规格、型号应与设计文件相符；（A类）</w:t>
      </w:r>
    </w:p>
    <w:p w14:paraId="23923EBA">
      <w:pPr>
        <w:pStyle w:val="32"/>
        <w:keepNext w:val="0"/>
        <w:keepLines w:val="0"/>
        <w:pageBreakBefore w:val="0"/>
        <w:kinsoku/>
        <w:wordWrap/>
        <w:overflowPunct/>
        <w:topLinePunct w:val="0"/>
        <w:bidi w:val="0"/>
        <w:ind w:left="0" w:leftChars="0" w:right="0" w:firstLine="560" w:firstLineChars="200"/>
        <w:textAlignment w:val="auto"/>
      </w:pPr>
      <w:r>
        <w:rPr>
          <w:rFonts w:hint="eastAsia"/>
        </w:rPr>
        <w:t>b)室外消火栓距路边不宜小于0.5m，并不应大于2.0m；（C类）</w:t>
      </w:r>
    </w:p>
    <w:p w14:paraId="247074B2">
      <w:pPr>
        <w:pStyle w:val="32"/>
        <w:keepNext w:val="0"/>
        <w:keepLines w:val="0"/>
        <w:pageBreakBefore w:val="0"/>
        <w:kinsoku/>
        <w:wordWrap/>
        <w:overflowPunct/>
        <w:topLinePunct w:val="0"/>
        <w:bidi w:val="0"/>
        <w:ind w:left="0" w:leftChars="0" w:right="0" w:firstLine="560" w:firstLineChars="200"/>
        <w:textAlignment w:val="auto"/>
      </w:pPr>
      <w:r>
        <w:rPr>
          <w:rFonts w:hint="eastAsia"/>
        </w:rPr>
        <w:t>c)室外消火栓距建筑外墙或外墙边缘不宜小于5.0m；（C类）</w:t>
      </w:r>
    </w:p>
    <w:p w14:paraId="6FDA40B8">
      <w:pPr>
        <w:pStyle w:val="32"/>
        <w:keepNext w:val="0"/>
        <w:keepLines w:val="0"/>
        <w:pageBreakBefore w:val="0"/>
        <w:kinsoku/>
        <w:wordWrap/>
        <w:overflowPunct/>
        <w:topLinePunct w:val="0"/>
        <w:bidi w:val="0"/>
        <w:ind w:left="0" w:leftChars="0" w:right="0" w:firstLine="560" w:firstLineChars="200"/>
        <w:textAlignment w:val="auto"/>
      </w:pPr>
      <w:r>
        <w:rPr>
          <w:rFonts w:hint="eastAsia"/>
        </w:rPr>
        <w:t>d)室外消火栓宜沿建筑周围均匀布置，且不宜集中布置在建筑一侧。建筑消防扑救面一侧的室外消火栓数量不宜少于2个；（C类）</w:t>
      </w:r>
    </w:p>
    <w:p w14:paraId="2FE8BFBC">
      <w:pPr>
        <w:pStyle w:val="32"/>
        <w:keepNext w:val="0"/>
        <w:keepLines w:val="0"/>
        <w:pageBreakBefore w:val="0"/>
        <w:kinsoku/>
        <w:wordWrap/>
        <w:overflowPunct/>
        <w:topLinePunct w:val="0"/>
        <w:bidi w:val="0"/>
        <w:ind w:left="0" w:leftChars="0" w:right="0" w:firstLine="560" w:firstLineChars="200"/>
        <w:textAlignment w:val="auto"/>
      </w:pPr>
      <w:r>
        <w:rPr>
          <w:rFonts w:hint="eastAsia"/>
        </w:rPr>
        <w:t>e)地下式室外消火栓井的直径不宜小于1.5m，且应有明显的永久性标志；（B类）</w:t>
      </w:r>
    </w:p>
    <w:p w14:paraId="27A725C8">
      <w:pPr>
        <w:pStyle w:val="32"/>
        <w:keepNext w:val="0"/>
        <w:keepLines w:val="0"/>
        <w:pageBreakBefore w:val="0"/>
        <w:kinsoku/>
        <w:wordWrap/>
        <w:overflowPunct/>
        <w:topLinePunct w:val="0"/>
        <w:bidi w:val="0"/>
        <w:ind w:left="0" w:leftChars="0" w:right="0" w:firstLine="560" w:firstLineChars="200"/>
        <w:textAlignment w:val="auto"/>
      </w:pPr>
      <w:r>
        <w:rPr>
          <w:rFonts w:hint="eastAsia"/>
        </w:rPr>
        <w:t>f)地下式室外消火栓井的砌筑应有防水和排水措施。（B类）</w:t>
      </w:r>
    </w:p>
    <w:p w14:paraId="3078A4E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02DF431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18E7F75A">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a)对照设计文件，直观检查规格型号；</w:t>
      </w:r>
    </w:p>
    <w:p w14:paraId="28496516">
      <w:pPr>
        <w:pStyle w:val="32"/>
        <w:keepNext w:val="0"/>
        <w:keepLines w:val="0"/>
        <w:pageBreakBefore w:val="0"/>
        <w:kinsoku/>
        <w:wordWrap/>
        <w:overflowPunct/>
        <w:topLinePunct w:val="0"/>
        <w:bidi w:val="0"/>
        <w:ind w:left="0" w:leftChars="0" w:right="0" w:firstLine="560" w:firstLineChars="200"/>
        <w:textAlignment w:val="auto"/>
      </w:pPr>
      <w:r>
        <w:rPr>
          <w:rFonts w:hint="eastAsia"/>
        </w:rPr>
        <w:t>b)～f)尺量安装间距，直观检查安装位置、标识及防排水措施。</w:t>
      </w:r>
    </w:p>
    <w:p w14:paraId="30CC699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6E03C8CD">
      <w:pPr>
        <w:pStyle w:val="32"/>
        <w:keepNext w:val="0"/>
        <w:keepLines w:val="0"/>
        <w:pageBreakBefore w:val="0"/>
        <w:kinsoku/>
        <w:wordWrap/>
        <w:overflowPunct/>
        <w:topLinePunct w:val="0"/>
        <w:bidi w:val="0"/>
        <w:ind w:left="0" w:leftChars="0" w:right="0" w:firstLine="560" w:firstLineChars="200"/>
        <w:textAlignment w:val="auto"/>
      </w:pPr>
      <w:r>
        <w:rPr>
          <w:rFonts w:hint="eastAsia"/>
        </w:rPr>
        <w:t>系统功能</w:t>
      </w:r>
    </w:p>
    <w:p w14:paraId="073BCDB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检测要求：室外消火栓栓口出水压力应与设计文件相符，且不应小于0.14MPa，火灾时水力最不利消火栓的供水压力从地面算起不应小于0.10MPa。（A类）</w:t>
      </w:r>
    </w:p>
    <w:p w14:paraId="029F747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检测数量：水力条件最不利处消火栓,不应少于总数50%。</w:t>
      </w:r>
    </w:p>
    <w:p w14:paraId="3E84C01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检测方法：用消火栓测压接头测试栓口静压。开启消火栓，待出水稳定后，查看消火栓测压接头压力显示。</w:t>
      </w:r>
    </w:p>
    <w:p w14:paraId="3514619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检测器具：消火栓试压接头。</w:t>
      </w:r>
    </w:p>
    <w:p w14:paraId="122EBD60">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w:t>
      </w:r>
      <w:r>
        <w:rPr>
          <w:rFonts w:hint="eastAsia"/>
        </w:rPr>
        <w:t>自动喷水灭火系统</w:t>
      </w:r>
    </w:p>
    <w:p w14:paraId="69F477DC">
      <w:pPr>
        <w:pStyle w:val="32"/>
        <w:keepNext w:val="0"/>
        <w:keepLines w:val="0"/>
        <w:pageBreakBefore w:val="0"/>
        <w:kinsoku/>
        <w:wordWrap/>
        <w:overflowPunct/>
        <w:topLinePunct w:val="0"/>
        <w:bidi w:val="0"/>
        <w:ind w:left="0" w:leftChars="0" w:right="0" w:firstLine="560" w:firstLineChars="200"/>
        <w:textAlignment w:val="auto"/>
      </w:pPr>
      <w:r>
        <w:rPr>
          <w:rFonts w:hint="eastAsia"/>
        </w:rPr>
        <w:t>一般规定</w:t>
      </w:r>
    </w:p>
    <w:p w14:paraId="2BDBA7D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检测要求：自动喷水灭火系统所选择的形式应与设计文件相符。(A类)</w:t>
      </w:r>
    </w:p>
    <w:p w14:paraId="105D82A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229FFBC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检测方法：查看设计文件结合现场查看。</w:t>
      </w:r>
    </w:p>
    <w:p w14:paraId="52BEB1C8">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湿式自动喷水灭火系统</w:t>
      </w:r>
    </w:p>
    <w:p w14:paraId="0C0E0C25">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.1供水设施</w:t>
      </w:r>
    </w:p>
    <w:p w14:paraId="28DB762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903A745">
      <w:pPr>
        <w:pStyle w:val="32"/>
        <w:keepNext w:val="0"/>
        <w:keepLines w:val="0"/>
        <w:pageBreakBefore w:val="0"/>
        <w:kinsoku/>
        <w:wordWrap/>
        <w:overflowPunct/>
        <w:topLinePunct w:val="0"/>
        <w:bidi w:val="0"/>
        <w:ind w:left="0" w:leftChars="0" w:right="0" w:firstLine="560" w:firstLineChars="200"/>
        <w:textAlignment w:val="auto"/>
      </w:pPr>
      <w:r>
        <w:rPr>
          <w:rFonts w:hint="eastAsia"/>
        </w:rPr>
        <w:t>a)消防水泵的设置应符合以下要求：</w:t>
      </w:r>
    </w:p>
    <w:p w14:paraId="13EA5002">
      <w:pPr>
        <w:pStyle w:val="32"/>
        <w:keepNext w:val="0"/>
        <w:keepLines w:val="0"/>
        <w:pageBreakBefore w:val="0"/>
        <w:kinsoku/>
        <w:wordWrap/>
        <w:overflowPunct/>
        <w:topLinePunct w:val="0"/>
        <w:bidi w:val="0"/>
        <w:ind w:left="0" w:leftChars="0" w:right="0" w:firstLine="560" w:firstLineChars="200"/>
        <w:textAlignment w:val="auto"/>
      </w:pPr>
      <w:r>
        <w:rPr>
          <w:rFonts w:hint="eastAsia"/>
        </w:rPr>
        <w:t>1)消防水泵的规格型号、数量及性能指标应与设计文件相符；（A类）</w:t>
      </w:r>
    </w:p>
    <w:p w14:paraId="23832DA8">
      <w:pPr>
        <w:pStyle w:val="32"/>
        <w:keepNext w:val="0"/>
        <w:keepLines w:val="0"/>
        <w:pageBreakBefore w:val="0"/>
        <w:kinsoku/>
        <w:wordWrap/>
        <w:overflowPunct/>
        <w:topLinePunct w:val="0"/>
        <w:bidi w:val="0"/>
        <w:ind w:left="0" w:leftChars="0" w:right="0" w:firstLine="560" w:firstLineChars="200"/>
        <w:textAlignment w:val="auto"/>
      </w:pPr>
      <w:r>
        <w:rPr>
          <w:rFonts w:hint="eastAsia"/>
        </w:rPr>
        <w:t>2)消防水泵应有注明系统名称和供水范围的标志牌；(B类)</w:t>
      </w:r>
    </w:p>
    <w:p w14:paraId="41873ED9">
      <w:pPr>
        <w:pStyle w:val="32"/>
        <w:keepNext w:val="0"/>
        <w:keepLines w:val="0"/>
        <w:pageBreakBefore w:val="0"/>
        <w:kinsoku/>
        <w:wordWrap/>
        <w:overflowPunct/>
        <w:topLinePunct w:val="0"/>
        <w:bidi w:val="0"/>
        <w:ind w:left="0" w:leftChars="0" w:right="0" w:firstLine="560" w:firstLineChars="200"/>
        <w:textAlignment w:val="auto"/>
      </w:pPr>
      <w:r>
        <w:rPr>
          <w:rFonts w:hint="eastAsia"/>
        </w:rPr>
        <w:t>3)消防水泵设置备用泵的，其性能应与工作泵性能一致。当主泵故障时，备用泵应能切换运行。（A类）</w:t>
      </w:r>
    </w:p>
    <w:p w14:paraId="5648DE3A">
      <w:pPr>
        <w:pStyle w:val="32"/>
        <w:keepNext w:val="0"/>
        <w:keepLines w:val="0"/>
        <w:pageBreakBefore w:val="0"/>
        <w:kinsoku/>
        <w:wordWrap/>
        <w:overflowPunct/>
        <w:topLinePunct w:val="0"/>
        <w:bidi w:val="0"/>
        <w:ind w:left="0" w:leftChars="0" w:right="0" w:firstLine="560" w:firstLineChars="200"/>
        <w:textAlignment w:val="auto"/>
      </w:pPr>
      <w:r>
        <w:rPr>
          <w:rFonts w:hint="eastAsia"/>
        </w:rPr>
        <w:t>b)消防水泵的控制与操作应符合以下要求：</w:t>
      </w:r>
    </w:p>
    <w:p w14:paraId="6A987B3C">
      <w:pPr>
        <w:pStyle w:val="32"/>
        <w:keepNext w:val="0"/>
        <w:keepLines w:val="0"/>
        <w:pageBreakBefore w:val="0"/>
        <w:kinsoku/>
        <w:wordWrap/>
        <w:overflowPunct/>
        <w:topLinePunct w:val="0"/>
        <w:bidi w:val="0"/>
        <w:ind w:left="0" w:leftChars="0" w:right="0" w:firstLine="560" w:firstLineChars="200"/>
        <w:textAlignment w:val="auto"/>
      </w:pPr>
      <w:r>
        <w:rPr>
          <w:rFonts w:hint="eastAsia"/>
        </w:rPr>
        <w:t>1)当主泵故障时，备用泵应能切换运行；（A类）</w:t>
      </w:r>
    </w:p>
    <w:p w14:paraId="4531CC06">
      <w:pPr>
        <w:pStyle w:val="32"/>
        <w:keepNext w:val="0"/>
        <w:keepLines w:val="0"/>
        <w:pageBreakBefore w:val="0"/>
        <w:kinsoku/>
        <w:wordWrap/>
        <w:overflowPunct/>
        <w:topLinePunct w:val="0"/>
        <w:bidi w:val="0"/>
        <w:ind w:left="0" w:leftChars="0" w:right="0" w:firstLine="560" w:firstLineChars="200"/>
        <w:textAlignment w:val="auto"/>
      </w:pPr>
      <w:r>
        <w:rPr>
          <w:rFonts w:hint="eastAsia"/>
        </w:rPr>
        <w:t>2)消防水泵应能手动启停和自动启动，且不应设置自动停泵的控制功能；（A类）</w:t>
      </w:r>
    </w:p>
    <w:p w14:paraId="29157533">
      <w:pPr>
        <w:pStyle w:val="32"/>
        <w:keepNext w:val="0"/>
        <w:keepLines w:val="0"/>
        <w:pageBreakBefore w:val="0"/>
        <w:kinsoku/>
        <w:wordWrap/>
        <w:overflowPunct/>
        <w:topLinePunct w:val="0"/>
        <w:bidi w:val="0"/>
        <w:ind w:left="0" w:leftChars="0" w:right="0" w:firstLine="560" w:firstLineChars="200"/>
        <w:textAlignment w:val="auto"/>
      </w:pPr>
      <w:r>
        <w:rPr>
          <w:rFonts w:hint="eastAsia"/>
        </w:rPr>
        <w:t>3)消防控制柜或控制盘应设置专用线路连接的手动直接启泵按扭；（A类）</w:t>
      </w:r>
    </w:p>
    <w:p w14:paraId="38C6AFD6">
      <w:pPr>
        <w:pStyle w:val="32"/>
        <w:keepNext w:val="0"/>
        <w:keepLines w:val="0"/>
        <w:pageBreakBefore w:val="0"/>
        <w:kinsoku/>
        <w:wordWrap/>
        <w:overflowPunct/>
        <w:topLinePunct w:val="0"/>
        <w:bidi w:val="0"/>
        <w:ind w:left="0" w:leftChars="0" w:right="0" w:firstLine="560" w:firstLineChars="200"/>
        <w:textAlignment w:val="auto"/>
      </w:pPr>
      <w:r>
        <w:rPr>
          <w:rFonts w:hint="eastAsia"/>
        </w:rPr>
        <w:t>4)消防水泵应确保从接到启泵信号到水泵正常运转的自动启动时间不应大于2min；（B类）</w:t>
      </w:r>
    </w:p>
    <w:p w14:paraId="322EC59B">
      <w:pPr>
        <w:pStyle w:val="32"/>
        <w:keepNext w:val="0"/>
        <w:keepLines w:val="0"/>
        <w:pageBreakBefore w:val="0"/>
        <w:kinsoku/>
        <w:wordWrap/>
        <w:overflowPunct/>
        <w:topLinePunct w:val="0"/>
        <w:bidi w:val="0"/>
        <w:ind w:left="0" w:leftChars="0" w:right="0" w:firstLine="560" w:firstLineChars="200"/>
        <w:textAlignment w:val="auto"/>
      </w:pPr>
      <w:r>
        <w:rPr>
          <w:rFonts w:hint="eastAsia"/>
        </w:rPr>
        <w:t>5)消防水泵的启动、停止及故障信号应反馈至消防联动控制器。（B类）</w:t>
      </w:r>
    </w:p>
    <w:p w14:paraId="3F338785">
      <w:pPr>
        <w:pStyle w:val="32"/>
        <w:keepNext w:val="0"/>
        <w:keepLines w:val="0"/>
        <w:pageBreakBefore w:val="0"/>
        <w:kinsoku/>
        <w:wordWrap/>
        <w:overflowPunct/>
        <w:topLinePunct w:val="0"/>
        <w:bidi w:val="0"/>
        <w:ind w:left="0" w:leftChars="0" w:right="0" w:firstLine="560" w:firstLineChars="200"/>
        <w:textAlignment w:val="auto"/>
      </w:pPr>
      <w:r>
        <w:rPr>
          <w:rFonts w:hint="eastAsia"/>
        </w:rPr>
        <w:t>c)消防水泵吸水应符合下列规定：</w:t>
      </w:r>
    </w:p>
    <w:p w14:paraId="5716E38A">
      <w:pPr>
        <w:pStyle w:val="32"/>
        <w:keepNext w:val="0"/>
        <w:keepLines w:val="0"/>
        <w:pageBreakBefore w:val="0"/>
        <w:kinsoku/>
        <w:wordWrap/>
        <w:overflowPunct/>
        <w:topLinePunct w:val="0"/>
        <w:bidi w:val="0"/>
        <w:ind w:left="0" w:leftChars="0" w:right="0" w:firstLine="560" w:firstLineChars="200"/>
        <w:textAlignment w:val="auto"/>
      </w:pPr>
      <w:r>
        <w:rPr>
          <w:rFonts w:hint="eastAsia"/>
        </w:rPr>
        <w:t>1)消防水泵应采取自灌式吸水；（A类）</w:t>
      </w:r>
    </w:p>
    <w:p w14:paraId="30326474">
      <w:pPr>
        <w:pStyle w:val="32"/>
        <w:keepNext w:val="0"/>
        <w:keepLines w:val="0"/>
        <w:pageBreakBefore w:val="0"/>
        <w:kinsoku/>
        <w:wordWrap/>
        <w:overflowPunct/>
        <w:topLinePunct w:val="0"/>
        <w:bidi w:val="0"/>
        <w:ind w:left="0" w:leftChars="0" w:right="0" w:firstLine="560" w:firstLineChars="200"/>
        <w:textAlignment w:val="auto"/>
      </w:pPr>
      <w:r>
        <w:rPr>
          <w:rFonts w:hint="eastAsia"/>
        </w:rPr>
        <w:t>2)消防水泵从市政管网直接抽水时，应在消防水泵出水管上设置有空气隔断的倒流防止器。（A类）</w:t>
      </w:r>
    </w:p>
    <w:p w14:paraId="18E309DB">
      <w:pPr>
        <w:pStyle w:val="32"/>
        <w:keepNext w:val="0"/>
        <w:keepLines w:val="0"/>
        <w:pageBreakBefore w:val="0"/>
        <w:kinsoku/>
        <w:wordWrap/>
        <w:overflowPunct/>
        <w:topLinePunct w:val="0"/>
        <w:bidi w:val="0"/>
        <w:ind w:left="0" w:leftChars="0" w:right="0" w:firstLine="560" w:firstLineChars="200"/>
        <w:textAlignment w:val="auto"/>
      </w:pPr>
      <w:r>
        <w:rPr>
          <w:rFonts w:hint="eastAsia"/>
        </w:rPr>
        <w:t>d)消防水泵进、出水管及附件应符合以下要求：</w:t>
      </w:r>
    </w:p>
    <w:p w14:paraId="7D137043">
      <w:pPr>
        <w:pStyle w:val="32"/>
        <w:keepNext w:val="0"/>
        <w:keepLines w:val="0"/>
        <w:pageBreakBefore w:val="0"/>
        <w:kinsoku/>
        <w:wordWrap/>
        <w:overflowPunct/>
        <w:topLinePunct w:val="0"/>
        <w:bidi w:val="0"/>
        <w:ind w:left="0" w:leftChars="0" w:right="0" w:firstLine="560" w:firstLineChars="200"/>
        <w:textAlignment w:val="auto"/>
      </w:pPr>
      <w:r>
        <w:rPr>
          <w:rFonts w:hint="eastAsia"/>
        </w:rPr>
        <w:t>1)消防水泵吸水管和出水管的管径应与设计文件相符,一组消防水泵吸水管不应少于2条，出水管应设不少于2条的输水干管与消防给水环状管网连接；（B类）</w:t>
      </w:r>
    </w:p>
    <w:p w14:paraId="1F70F014">
      <w:pPr>
        <w:pStyle w:val="32"/>
        <w:keepNext w:val="0"/>
        <w:keepLines w:val="0"/>
        <w:pageBreakBefore w:val="0"/>
        <w:kinsoku/>
        <w:wordWrap/>
        <w:overflowPunct/>
        <w:topLinePunct w:val="0"/>
        <w:bidi w:val="0"/>
        <w:ind w:left="0" w:leftChars="0" w:right="0" w:firstLine="560" w:firstLineChars="200"/>
        <w:textAlignment w:val="auto"/>
      </w:pPr>
      <w:r>
        <w:rPr>
          <w:rFonts w:hint="eastAsia"/>
        </w:rPr>
        <w:t>2)消防水泵的吸水管上应设置明杆闸阀或带自锁装置的蝶阀，但当设置暗杆阀门时应设有开启刻度和标志。变径连接处，应采用偏心异径管件并应采用管顶平接；(C类)</w:t>
      </w:r>
    </w:p>
    <w:p w14:paraId="15D51CC5">
      <w:pPr>
        <w:pStyle w:val="32"/>
        <w:keepNext w:val="0"/>
        <w:keepLines w:val="0"/>
        <w:pageBreakBefore w:val="0"/>
        <w:kinsoku/>
        <w:wordWrap/>
        <w:overflowPunct/>
        <w:topLinePunct w:val="0"/>
        <w:bidi w:val="0"/>
        <w:ind w:left="0" w:leftChars="0" w:right="0" w:firstLine="560" w:firstLineChars="200"/>
        <w:textAlignment w:val="auto"/>
      </w:pPr>
      <w:r>
        <w:rPr>
          <w:rFonts w:hint="eastAsia"/>
        </w:rPr>
        <w:t>3)消防水泵的出水管上应设止回阀、明杆闸阀或带自锁装置的蝶阀、试验和检查用压力表、放水阀门；（A类）</w:t>
      </w:r>
    </w:p>
    <w:p w14:paraId="12F56AD7">
      <w:pPr>
        <w:pStyle w:val="32"/>
        <w:keepNext w:val="0"/>
        <w:keepLines w:val="0"/>
        <w:pageBreakBefore w:val="0"/>
        <w:kinsoku/>
        <w:wordWrap/>
        <w:overflowPunct/>
        <w:topLinePunct w:val="0"/>
        <w:bidi w:val="0"/>
        <w:ind w:left="0" w:leftChars="0" w:right="0" w:firstLine="560" w:firstLineChars="200"/>
        <w:textAlignment w:val="auto"/>
      </w:pPr>
      <w:r>
        <w:rPr>
          <w:rFonts w:hint="eastAsia"/>
        </w:rPr>
        <w:t>4)当系统存在超压可能时，出水管上应设置防超压设施；（A类）</w:t>
      </w:r>
    </w:p>
    <w:p w14:paraId="58906888">
      <w:pPr>
        <w:pStyle w:val="32"/>
        <w:keepNext w:val="0"/>
        <w:keepLines w:val="0"/>
        <w:pageBreakBefore w:val="0"/>
        <w:kinsoku/>
        <w:wordWrap/>
        <w:overflowPunct/>
        <w:topLinePunct w:val="0"/>
        <w:bidi w:val="0"/>
        <w:ind w:left="0" w:leftChars="0" w:right="0" w:firstLine="560" w:firstLineChars="200"/>
        <w:textAlignment w:val="auto"/>
      </w:pPr>
      <w:r>
        <w:rPr>
          <w:rFonts w:hint="eastAsia"/>
        </w:rPr>
        <w:t>5)消防水泵出水干管上应设置低压压力开关，压力设定值应与设计文件相符。（A类）</w:t>
      </w:r>
    </w:p>
    <w:p w14:paraId="452E2BE7">
      <w:pPr>
        <w:pStyle w:val="32"/>
        <w:keepNext w:val="0"/>
        <w:keepLines w:val="0"/>
        <w:pageBreakBefore w:val="0"/>
        <w:kinsoku/>
        <w:wordWrap/>
        <w:overflowPunct/>
        <w:topLinePunct w:val="0"/>
        <w:bidi w:val="0"/>
        <w:ind w:left="0" w:leftChars="0" w:right="0" w:firstLine="560" w:firstLineChars="200"/>
        <w:textAlignment w:val="auto"/>
      </w:pPr>
      <w:r>
        <w:rPr>
          <w:rFonts w:hint="eastAsia"/>
        </w:rPr>
        <w:t>e)消防水泵控制柜应符合下列要求：</w:t>
      </w:r>
    </w:p>
    <w:p w14:paraId="36FEEFE8">
      <w:pPr>
        <w:pStyle w:val="32"/>
        <w:keepNext w:val="0"/>
        <w:keepLines w:val="0"/>
        <w:pageBreakBefore w:val="0"/>
        <w:kinsoku/>
        <w:wordWrap/>
        <w:overflowPunct/>
        <w:topLinePunct w:val="0"/>
        <w:bidi w:val="0"/>
        <w:ind w:left="0" w:leftChars="0" w:right="0" w:firstLine="560" w:firstLineChars="200"/>
        <w:textAlignment w:val="auto"/>
      </w:pPr>
      <w:r>
        <w:rPr>
          <w:rFonts w:hint="eastAsia"/>
        </w:rPr>
        <w:t>1)消防水泵控制柜应注明所属系统，并在平时处于“自动”状态，其电源信息应反馈至消防控制室；（A类）</w:t>
      </w:r>
    </w:p>
    <w:p w14:paraId="6D700E06">
      <w:pPr>
        <w:pStyle w:val="32"/>
        <w:keepNext w:val="0"/>
        <w:keepLines w:val="0"/>
        <w:pageBreakBefore w:val="0"/>
        <w:kinsoku/>
        <w:wordWrap/>
        <w:overflowPunct/>
        <w:topLinePunct w:val="0"/>
        <w:bidi w:val="0"/>
        <w:ind w:left="0" w:leftChars="0" w:right="0" w:firstLine="560" w:firstLineChars="200"/>
        <w:textAlignment w:val="auto"/>
      </w:pPr>
      <w:r>
        <w:rPr>
          <w:rFonts w:hint="eastAsia"/>
        </w:rPr>
        <w:t>2)按钮、指示灯及仪表应正常；（C类）</w:t>
      </w:r>
    </w:p>
    <w:p w14:paraId="6D2CEC2B">
      <w:pPr>
        <w:pStyle w:val="32"/>
        <w:keepNext w:val="0"/>
        <w:keepLines w:val="0"/>
        <w:pageBreakBefore w:val="0"/>
        <w:kinsoku/>
        <w:wordWrap/>
        <w:overflowPunct/>
        <w:topLinePunct w:val="0"/>
        <w:bidi w:val="0"/>
        <w:ind w:left="0" w:leftChars="0" w:right="0" w:firstLine="560" w:firstLineChars="200"/>
        <w:textAlignment w:val="auto"/>
      </w:pPr>
      <w:r>
        <w:rPr>
          <w:rFonts w:hint="eastAsia"/>
        </w:rPr>
        <w:t>3)消防水泵控制柜应采取防止被水淹没的措施；（C类）</w:t>
      </w:r>
    </w:p>
    <w:p w14:paraId="275F58B5">
      <w:pPr>
        <w:pStyle w:val="32"/>
        <w:keepNext w:val="0"/>
        <w:keepLines w:val="0"/>
        <w:pageBreakBefore w:val="0"/>
        <w:kinsoku/>
        <w:wordWrap/>
        <w:overflowPunct/>
        <w:topLinePunct w:val="0"/>
        <w:bidi w:val="0"/>
        <w:ind w:left="0" w:leftChars="0" w:right="0" w:firstLine="560" w:firstLineChars="200"/>
        <w:textAlignment w:val="auto"/>
      </w:pPr>
      <w:r>
        <w:rPr>
          <w:rFonts w:hint="eastAsia"/>
        </w:rPr>
        <w:t>4)消防水泵控制柜应设置机械应急启泵功能。（A类）</w:t>
      </w:r>
    </w:p>
    <w:p w14:paraId="31B5126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462B0F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w:t>
      </w:r>
    </w:p>
    <w:p w14:paraId="68824D7D">
      <w:pPr>
        <w:pStyle w:val="32"/>
        <w:keepNext w:val="0"/>
        <w:keepLines w:val="0"/>
        <w:pageBreakBefore w:val="0"/>
        <w:kinsoku/>
        <w:wordWrap/>
        <w:overflowPunct/>
        <w:topLinePunct w:val="0"/>
        <w:bidi w:val="0"/>
        <w:ind w:left="0" w:leftChars="0" w:right="0" w:firstLine="560" w:firstLineChars="200"/>
        <w:textAlignment w:val="auto"/>
      </w:pPr>
      <w:r>
        <w:rPr>
          <w:rFonts w:hint="eastAsia"/>
        </w:rPr>
        <w:t>a)直观检查消防水泵数量，查验其铭牌，核对设计要求。直观检查水泵是否标明所属系统及供水范围；</w:t>
      </w:r>
    </w:p>
    <w:p w14:paraId="51D7A601">
      <w:pPr>
        <w:pStyle w:val="32"/>
        <w:keepNext w:val="0"/>
        <w:keepLines w:val="0"/>
        <w:pageBreakBefore w:val="0"/>
        <w:kinsoku/>
        <w:wordWrap/>
        <w:overflowPunct/>
        <w:topLinePunct w:val="0"/>
        <w:bidi w:val="0"/>
        <w:ind w:left="0" w:leftChars="0" w:right="0" w:firstLine="560" w:firstLineChars="200"/>
        <w:textAlignment w:val="auto"/>
      </w:pPr>
      <w:r>
        <w:rPr>
          <w:rFonts w:hint="eastAsia"/>
        </w:rPr>
        <w:t>b)在自动状态启动消防泵，模拟主泵故障，检查系统能否自动转入备泵运行。通过手动、自动、机械应急等方式对消防泵进行启停试验，查看是否存在自动停泵现象。直观检查在消防控制室中是否安装了独立于火灾自动报警系统的专用硬拉线路直接启泵装置。用秒表测量从接收到启泵信号到水泵正常运行的时间（含备泵投入）；进行消防水泵启停试验，查看控制室反馈信号；</w:t>
      </w:r>
    </w:p>
    <w:p w14:paraId="6CB2AC6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c)直观检查消防水泵吸水方式。从市政管网吸水时，观察是否安装倒流防止器；</w:t>
      </w:r>
    </w:p>
    <w:p w14:paraId="0F34BEDC">
      <w:pPr>
        <w:pStyle w:val="32"/>
        <w:keepNext w:val="0"/>
        <w:keepLines w:val="0"/>
        <w:pageBreakBefore w:val="0"/>
        <w:kinsoku/>
        <w:wordWrap/>
        <w:overflowPunct/>
        <w:topLinePunct w:val="0"/>
        <w:bidi w:val="0"/>
        <w:ind w:left="0" w:leftChars="0" w:right="0" w:firstLine="560" w:firstLineChars="200"/>
        <w:textAlignment w:val="auto"/>
      </w:pPr>
      <w:r>
        <w:rPr>
          <w:rFonts w:hint="eastAsia"/>
        </w:rPr>
        <w:t>d)直观检查进水管和出水管数量。查看吸水管上的检修阀门是否有锁定措施和标志。直观检查吸水管布置和水平段变径处理。直观检查是否按设计设置防超压设施，核对设定压力。消防水泵启动正常供水后观察出水干管上压力表的压力值，应与设计文件相符；</w:t>
      </w:r>
    </w:p>
    <w:p w14:paraId="2074152B">
      <w:pPr>
        <w:pStyle w:val="32"/>
        <w:keepNext w:val="0"/>
        <w:keepLines w:val="0"/>
        <w:pageBreakBefore w:val="0"/>
        <w:kinsoku/>
        <w:wordWrap/>
        <w:overflowPunct/>
        <w:topLinePunct w:val="0"/>
        <w:bidi w:val="0"/>
        <w:ind w:left="0" w:leftChars="0" w:right="0" w:firstLine="560" w:firstLineChars="200"/>
        <w:textAlignment w:val="auto"/>
      </w:pPr>
      <w:r>
        <w:rPr>
          <w:rFonts w:hint="eastAsia"/>
        </w:rPr>
        <w:t>e)直观检查系统标识、指示灯及仪表。直观检查控制柜是否在“自动”状态。切断消防水泵的供电电源，查看消防控制室是否收到报警信息。</w:t>
      </w:r>
    </w:p>
    <w:p w14:paraId="6F35AC7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检测器具：秒表、游标卡尺。</w:t>
      </w:r>
    </w:p>
    <w:p w14:paraId="5CAB1124">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.2报警阀组</w:t>
      </w:r>
    </w:p>
    <w:p w14:paraId="4DD7B821">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.2.1安装</w:t>
      </w:r>
    </w:p>
    <w:p w14:paraId="7438D38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06DE3D9">
      <w:pPr>
        <w:pStyle w:val="32"/>
        <w:keepNext w:val="0"/>
        <w:keepLines w:val="0"/>
        <w:pageBreakBefore w:val="0"/>
        <w:kinsoku/>
        <w:wordWrap/>
        <w:overflowPunct/>
        <w:topLinePunct w:val="0"/>
        <w:bidi w:val="0"/>
        <w:ind w:left="0" w:leftChars="0" w:right="0" w:firstLine="560" w:firstLineChars="200"/>
        <w:textAlignment w:val="auto"/>
      </w:pPr>
      <w:r>
        <w:rPr>
          <w:rFonts w:hint="eastAsia"/>
        </w:rPr>
        <w:t>a)报警阀组应外观完好、组件齐全，型号规格应与设计文件相符；（A类）</w:t>
      </w:r>
    </w:p>
    <w:p w14:paraId="7A00DF3D">
      <w:pPr>
        <w:pStyle w:val="32"/>
        <w:keepNext w:val="0"/>
        <w:keepLines w:val="0"/>
        <w:pageBreakBefore w:val="0"/>
        <w:kinsoku/>
        <w:wordWrap/>
        <w:overflowPunct/>
        <w:topLinePunct w:val="0"/>
        <w:bidi w:val="0"/>
        <w:ind w:left="0" w:leftChars="0" w:right="0" w:firstLine="560" w:firstLineChars="200"/>
        <w:textAlignment w:val="auto"/>
      </w:pPr>
      <w:r>
        <w:rPr>
          <w:rFonts w:hint="eastAsia"/>
        </w:rPr>
        <w:t>b)报警阀组应垂直安装在配水干管上，水源控制阀、报警阀组水流标识与系统水流方向一致；（A类）</w:t>
      </w:r>
    </w:p>
    <w:p w14:paraId="6519C5F8">
      <w:pPr>
        <w:pStyle w:val="32"/>
        <w:keepNext w:val="0"/>
        <w:keepLines w:val="0"/>
        <w:pageBreakBefore w:val="0"/>
        <w:kinsoku/>
        <w:wordWrap/>
        <w:overflowPunct/>
        <w:topLinePunct w:val="0"/>
        <w:bidi w:val="0"/>
        <w:ind w:left="0" w:leftChars="0" w:right="0" w:firstLine="560" w:firstLineChars="200"/>
        <w:textAlignment w:val="auto"/>
      </w:pPr>
      <w:r>
        <w:rPr>
          <w:rFonts w:hint="eastAsia"/>
        </w:rPr>
        <w:t>c)报警阀组安装的位置应与设计文件相符；当无设计要求时，报警阀组应安装在便于操作的明显位置，距室内地面高度宜为1.2m；两侧与墙的距离不应小于0.5m；正面与墙的距离不应小于1.2m；报警阀组凸出部位之间的距离不应小于0.5m；（C类）</w:t>
      </w:r>
    </w:p>
    <w:p w14:paraId="174FE92B">
      <w:pPr>
        <w:pStyle w:val="32"/>
        <w:keepNext w:val="0"/>
        <w:keepLines w:val="0"/>
        <w:pageBreakBefore w:val="0"/>
        <w:kinsoku/>
        <w:wordWrap/>
        <w:overflowPunct/>
        <w:topLinePunct w:val="0"/>
        <w:bidi w:val="0"/>
        <w:ind w:left="0" w:leftChars="0" w:right="0" w:firstLine="560" w:firstLineChars="200"/>
        <w:textAlignment w:val="auto"/>
      </w:pPr>
      <w:r>
        <w:rPr>
          <w:rFonts w:hint="eastAsia"/>
        </w:rPr>
        <w:t>d)报警阀组应有注明系统名称和保护区域的标志牌；（B类）</w:t>
      </w:r>
    </w:p>
    <w:p w14:paraId="333DDCE6">
      <w:pPr>
        <w:pStyle w:val="32"/>
        <w:keepNext w:val="0"/>
        <w:keepLines w:val="0"/>
        <w:pageBreakBefore w:val="0"/>
        <w:kinsoku/>
        <w:wordWrap/>
        <w:overflowPunct/>
        <w:topLinePunct w:val="0"/>
        <w:bidi w:val="0"/>
        <w:ind w:left="0" w:leftChars="0" w:right="0" w:firstLine="560" w:firstLineChars="200"/>
        <w:textAlignment w:val="auto"/>
      </w:pPr>
      <w:r>
        <w:rPr>
          <w:rFonts w:hint="eastAsia"/>
        </w:rPr>
        <w:t>e)压力开关、信号阀的引出线应用防水套管锁定；（C类）</w:t>
      </w:r>
    </w:p>
    <w:p w14:paraId="08EC778E">
      <w:pPr>
        <w:pStyle w:val="32"/>
        <w:keepNext w:val="0"/>
        <w:keepLines w:val="0"/>
        <w:pageBreakBefore w:val="0"/>
        <w:kinsoku/>
        <w:wordWrap/>
        <w:overflowPunct/>
        <w:topLinePunct w:val="0"/>
        <w:bidi w:val="0"/>
        <w:ind w:left="0" w:leftChars="0" w:right="0" w:firstLine="560" w:firstLineChars="200"/>
        <w:textAlignment w:val="auto"/>
      </w:pPr>
      <w:r>
        <w:rPr>
          <w:rFonts w:hint="eastAsia"/>
        </w:rPr>
        <w:t>f)压力开关应竖直安装在通往水力警铃的管道上，水力警铃应安装在公共通道或值班室附近的外墙上；（B类）</w:t>
      </w:r>
    </w:p>
    <w:p w14:paraId="1685ED0C">
      <w:pPr>
        <w:pStyle w:val="32"/>
        <w:keepNext w:val="0"/>
        <w:keepLines w:val="0"/>
        <w:pageBreakBefore w:val="0"/>
        <w:kinsoku/>
        <w:wordWrap/>
        <w:overflowPunct/>
        <w:topLinePunct w:val="0"/>
        <w:bidi w:val="0"/>
        <w:ind w:left="0" w:leftChars="0" w:right="0" w:firstLine="560" w:firstLineChars="200"/>
        <w:textAlignment w:val="auto"/>
      </w:pPr>
      <w:r>
        <w:rPr>
          <w:rFonts w:hint="eastAsia"/>
        </w:rPr>
        <w:t>g)设置报警阀组的部位应设有排水设施；（B类）</w:t>
      </w:r>
    </w:p>
    <w:p w14:paraId="6628580C">
      <w:pPr>
        <w:pStyle w:val="32"/>
        <w:keepNext w:val="0"/>
        <w:keepLines w:val="0"/>
        <w:pageBreakBefore w:val="0"/>
        <w:kinsoku/>
        <w:wordWrap/>
        <w:overflowPunct/>
        <w:topLinePunct w:val="0"/>
        <w:bidi w:val="0"/>
        <w:ind w:left="0" w:leftChars="0" w:right="0" w:firstLine="560" w:firstLineChars="200"/>
        <w:textAlignment w:val="auto"/>
      </w:pPr>
      <w:r>
        <w:rPr>
          <w:rFonts w:hint="eastAsia"/>
        </w:rPr>
        <w:t>h)水源控制阀安装应便于操作，且应有明显开闭标志和可靠的锁定设施；（B类）</w:t>
      </w:r>
    </w:p>
    <w:p w14:paraId="34760A1B">
      <w:pPr>
        <w:pStyle w:val="32"/>
        <w:keepNext w:val="0"/>
        <w:keepLines w:val="0"/>
        <w:pageBreakBefore w:val="0"/>
        <w:kinsoku/>
        <w:wordWrap/>
        <w:overflowPunct/>
        <w:topLinePunct w:val="0"/>
        <w:bidi w:val="0"/>
        <w:ind w:left="0" w:leftChars="0" w:right="0" w:firstLine="560" w:firstLineChars="200"/>
        <w:textAlignment w:val="auto"/>
      </w:pPr>
      <w:r>
        <w:rPr>
          <w:rFonts w:hint="eastAsia"/>
        </w:rPr>
        <w:t>i)连接报警阀进出口的控制阀应采用信号阀。当不采用信号阀时，控制阀应设锁定阀位的锁具；（B类）</w:t>
      </w:r>
    </w:p>
    <w:p w14:paraId="074B56FC">
      <w:pPr>
        <w:pStyle w:val="32"/>
        <w:keepNext w:val="0"/>
        <w:keepLines w:val="0"/>
        <w:pageBreakBefore w:val="0"/>
        <w:kinsoku/>
        <w:wordWrap/>
        <w:overflowPunct/>
        <w:topLinePunct w:val="0"/>
        <w:bidi w:val="0"/>
        <w:ind w:left="0" w:leftChars="0" w:right="0" w:firstLine="560" w:firstLineChars="200"/>
        <w:textAlignment w:val="auto"/>
      </w:pPr>
      <w:r>
        <w:rPr>
          <w:rFonts w:hint="eastAsia"/>
        </w:rPr>
        <w:t>j)压力表应安装在报警阀上便于观测的部位；（C类）</w:t>
      </w:r>
    </w:p>
    <w:p w14:paraId="0D271790">
      <w:pPr>
        <w:pStyle w:val="32"/>
        <w:keepNext w:val="0"/>
        <w:keepLines w:val="0"/>
        <w:pageBreakBefore w:val="0"/>
        <w:kinsoku/>
        <w:wordWrap/>
        <w:overflowPunct/>
        <w:topLinePunct w:val="0"/>
        <w:bidi w:val="0"/>
        <w:ind w:left="0" w:leftChars="0" w:right="0" w:firstLine="560" w:firstLineChars="200"/>
        <w:textAlignment w:val="auto"/>
      </w:pPr>
      <w:r>
        <w:rPr>
          <w:rFonts w:hint="eastAsia"/>
        </w:rPr>
        <w:t>k)报警水流通路上的过滤器应安装在延迟器前，且便于排渣操作的位置。（B类）</w:t>
      </w:r>
    </w:p>
    <w:p w14:paraId="3842BB8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05EDA7A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检测方法：尺量、直观检查。</w:t>
      </w:r>
    </w:p>
    <w:p w14:paraId="75FC759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检测器具：钢卷尺、游标卡尺。</w:t>
      </w:r>
    </w:p>
    <w:p w14:paraId="4418B5EB">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.2.2功能试验</w:t>
      </w:r>
    </w:p>
    <w:p w14:paraId="247E57A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BF2A1F7">
      <w:pPr>
        <w:pStyle w:val="32"/>
        <w:keepNext w:val="0"/>
        <w:keepLines w:val="0"/>
        <w:pageBreakBefore w:val="0"/>
        <w:kinsoku/>
        <w:wordWrap/>
        <w:overflowPunct/>
        <w:topLinePunct w:val="0"/>
        <w:bidi w:val="0"/>
        <w:ind w:left="0" w:leftChars="0" w:right="0" w:firstLine="560" w:firstLineChars="200"/>
        <w:textAlignment w:val="auto"/>
      </w:pPr>
      <w:r>
        <w:rPr>
          <w:rFonts w:hint="eastAsia"/>
        </w:rPr>
        <w:t>a)报警阀试验时，带延迟器的报警阀，水力警铃应在5s～90s内发出报警铃声；不带延迟器的报警阀，水力警铃应在15s内发出报警铃声，距水力警铃3m远处警铃声强度不应小于70dB（A）；（B类）</w:t>
      </w:r>
    </w:p>
    <w:p w14:paraId="0A1E7D09">
      <w:pPr>
        <w:pStyle w:val="32"/>
        <w:keepNext w:val="0"/>
        <w:keepLines w:val="0"/>
        <w:pageBreakBefore w:val="0"/>
        <w:kinsoku/>
        <w:wordWrap/>
        <w:overflowPunct/>
        <w:topLinePunct w:val="0"/>
        <w:bidi w:val="0"/>
        <w:ind w:left="0" w:leftChars="0" w:right="0" w:firstLine="560" w:firstLineChars="200"/>
        <w:textAlignment w:val="auto"/>
      </w:pPr>
      <w:r>
        <w:rPr>
          <w:rFonts w:hint="eastAsia"/>
        </w:rPr>
        <w:t>b)压力开关及时动作并连锁启动喷淋泵，消防联动控制器准确接收并显示压力开关及消防水泵的反馈信号；（A类）</w:t>
      </w:r>
    </w:p>
    <w:p w14:paraId="56087409">
      <w:pPr>
        <w:pStyle w:val="32"/>
        <w:keepNext w:val="0"/>
        <w:keepLines w:val="0"/>
        <w:pageBreakBefore w:val="0"/>
        <w:kinsoku/>
        <w:wordWrap/>
        <w:overflowPunct/>
        <w:topLinePunct w:val="0"/>
        <w:bidi w:val="0"/>
        <w:ind w:left="0" w:leftChars="0" w:right="0" w:firstLine="560" w:firstLineChars="200"/>
        <w:textAlignment w:val="auto"/>
      </w:pPr>
      <w:r>
        <w:rPr>
          <w:rFonts w:hint="eastAsia"/>
        </w:rPr>
        <w:t>c)延迟器应能自动排水。（B类）</w:t>
      </w:r>
    </w:p>
    <w:p w14:paraId="26D8B10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75D739FC">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7F61BDB2">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a)开启报警阀试验管路阀门，用秒表测量从开启阀门到水力警铃报警的时间；</w:t>
      </w:r>
    </w:p>
    <w:p w14:paraId="5A7C3B9F">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b)在距离水力警铃3m处，采用数字声级计测量水力警铃声强值；</w:t>
      </w:r>
    </w:p>
    <w:p w14:paraId="60AE26CD">
      <w:pPr>
        <w:pStyle w:val="32"/>
        <w:keepNext w:val="0"/>
        <w:keepLines w:val="0"/>
        <w:pageBreakBefore w:val="0"/>
        <w:kinsoku/>
        <w:wordWrap/>
        <w:overflowPunct/>
        <w:topLinePunct w:val="0"/>
        <w:bidi w:val="0"/>
        <w:ind w:left="0" w:leftChars="0" w:right="0" w:firstLine="560" w:firstLineChars="200"/>
        <w:textAlignment w:val="auto"/>
      </w:pPr>
      <w:r>
        <w:rPr>
          <w:rFonts w:hint="eastAsia"/>
        </w:rPr>
        <w:t>c)查看喷淋泵现场启动情况，查看消防联动控制器显示的压力开关和消防水泵的动作情况以及信号反馈情况。直观检查延迟器能否自动排水。</w:t>
      </w:r>
    </w:p>
    <w:p w14:paraId="0231783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检测器具：数字声级计、秒表、钢卷尺。</w:t>
      </w:r>
    </w:p>
    <w:p w14:paraId="4DF61866">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.3水流指示器</w:t>
      </w:r>
    </w:p>
    <w:p w14:paraId="02B9C3C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EB6867E">
      <w:pPr>
        <w:pStyle w:val="32"/>
        <w:keepNext w:val="0"/>
        <w:keepLines w:val="0"/>
        <w:pageBreakBefore w:val="0"/>
        <w:kinsoku/>
        <w:wordWrap/>
        <w:overflowPunct/>
        <w:topLinePunct w:val="0"/>
        <w:bidi w:val="0"/>
        <w:ind w:left="0" w:leftChars="0" w:right="0" w:firstLine="560" w:firstLineChars="200"/>
        <w:textAlignment w:val="auto"/>
      </w:pPr>
      <w:r>
        <w:rPr>
          <w:rFonts w:hint="eastAsia"/>
        </w:rPr>
        <w:t>a)水流指示器的引出线应用防水套管锁定；（C类）</w:t>
      </w:r>
    </w:p>
    <w:p w14:paraId="28C7B985">
      <w:pPr>
        <w:pStyle w:val="32"/>
        <w:keepNext w:val="0"/>
        <w:keepLines w:val="0"/>
        <w:pageBreakBefore w:val="0"/>
        <w:kinsoku/>
        <w:wordWrap/>
        <w:overflowPunct/>
        <w:topLinePunct w:val="0"/>
        <w:bidi w:val="0"/>
        <w:ind w:left="0" w:leftChars="0" w:right="0" w:firstLine="560" w:firstLineChars="200"/>
        <w:textAlignment w:val="auto"/>
      </w:pPr>
      <w:r>
        <w:rPr>
          <w:rFonts w:hint="eastAsia"/>
        </w:rPr>
        <w:t>b)水流指示器的规格、型号及安装位置应与设计文件相符；（B类）</w:t>
      </w:r>
    </w:p>
    <w:p w14:paraId="0C398351">
      <w:pPr>
        <w:pStyle w:val="32"/>
        <w:keepNext w:val="0"/>
        <w:keepLines w:val="0"/>
        <w:pageBreakBefore w:val="0"/>
        <w:kinsoku/>
        <w:wordWrap/>
        <w:overflowPunct/>
        <w:topLinePunct w:val="0"/>
        <w:bidi w:val="0"/>
        <w:ind w:left="0" w:leftChars="0" w:right="0" w:firstLine="560" w:firstLineChars="200"/>
        <w:textAlignment w:val="auto"/>
      </w:pPr>
      <w:r>
        <w:rPr>
          <w:rFonts w:hint="eastAsia"/>
        </w:rPr>
        <w:t>c)信号阀应安装在水流指示器前的管道上，与水流指示器之间的距离不宜小于300mm。（C类）</w:t>
      </w:r>
    </w:p>
    <w:p w14:paraId="45064BE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F6D7AB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检测方法：尺量、直观检查。</w:t>
      </w:r>
    </w:p>
    <w:p w14:paraId="6F38C29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3123D247">
      <w:pPr>
        <w:pStyle w:val="32"/>
        <w:keepNext w:val="0"/>
        <w:keepLines w:val="0"/>
        <w:pageBreakBefore w:val="0"/>
        <w:kinsoku/>
        <w:wordWrap/>
        <w:overflowPunct/>
        <w:topLinePunct w:val="0"/>
        <w:bidi w:val="0"/>
        <w:ind w:left="0" w:leftChars="0" w:right="0" w:firstLine="560" w:firstLineChars="200"/>
        <w:textAlignment w:val="auto"/>
      </w:pPr>
      <w:r>
        <w:rPr>
          <w:rFonts w:hint="eastAsia"/>
          <w:lang w:val="en-US" w:eastAsia="zh-CN"/>
        </w:rPr>
        <w:t>4</w:t>
      </w:r>
      <w:r>
        <w:t>.</w:t>
      </w:r>
      <w:r>
        <w:rPr>
          <w:rFonts w:hint="eastAsia"/>
        </w:rPr>
        <w:t>13.1.4管网</w:t>
      </w:r>
    </w:p>
    <w:p w14:paraId="078A84B8">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.4.1基本要求</w:t>
      </w:r>
    </w:p>
    <w:p w14:paraId="4675104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E82CB9D">
      <w:pPr>
        <w:pStyle w:val="32"/>
        <w:keepNext w:val="0"/>
        <w:keepLines w:val="0"/>
        <w:pageBreakBefore w:val="0"/>
        <w:kinsoku/>
        <w:wordWrap/>
        <w:overflowPunct/>
        <w:topLinePunct w:val="0"/>
        <w:bidi w:val="0"/>
        <w:ind w:left="0" w:leftChars="0" w:right="0" w:firstLine="560" w:firstLineChars="200"/>
        <w:textAlignment w:val="auto"/>
      </w:pPr>
      <w:r>
        <w:rPr>
          <w:rFonts w:hint="eastAsia"/>
        </w:rPr>
        <w:t>a)配水管道的材质应与设计文件相符；(A类)</w:t>
      </w:r>
    </w:p>
    <w:p w14:paraId="2ECAAE44">
      <w:pPr>
        <w:pStyle w:val="32"/>
        <w:keepNext w:val="0"/>
        <w:keepLines w:val="0"/>
        <w:pageBreakBefore w:val="0"/>
        <w:kinsoku/>
        <w:wordWrap/>
        <w:overflowPunct/>
        <w:topLinePunct w:val="0"/>
        <w:bidi w:val="0"/>
        <w:ind w:left="0" w:leftChars="0" w:right="0" w:firstLine="560" w:firstLineChars="200"/>
        <w:textAlignment w:val="auto"/>
      </w:pPr>
      <w:r>
        <w:rPr>
          <w:rFonts w:hint="eastAsia"/>
        </w:rPr>
        <w:t>b)报警阀出口后的管道上不应设置其他用水设施；（B类）</w:t>
      </w:r>
    </w:p>
    <w:p w14:paraId="61BEC316">
      <w:pPr>
        <w:pStyle w:val="32"/>
        <w:keepNext w:val="0"/>
        <w:keepLines w:val="0"/>
        <w:pageBreakBefore w:val="0"/>
        <w:kinsoku/>
        <w:wordWrap/>
        <w:overflowPunct/>
        <w:topLinePunct w:val="0"/>
        <w:bidi w:val="0"/>
        <w:ind w:left="0" w:leftChars="0" w:right="0" w:firstLine="560" w:firstLineChars="200"/>
        <w:textAlignment w:val="auto"/>
      </w:pPr>
      <w:r>
        <w:rPr>
          <w:rFonts w:hint="eastAsia"/>
        </w:rPr>
        <w:t>c)当报警阀入口前管道采用不防腐的钢管时，应在报警阀前设置过滤器；（B类）</w:t>
      </w:r>
    </w:p>
    <w:p w14:paraId="5FA8F151">
      <w:pPr>
        <w:pStyle w:val="32"/>
        <w:keepNext w:val="0"/>
        <w:keepLines w:val="0"/>
        <w:pageBreakBefore w:val="0"/>
        <w:kinsoku/>
        <w:wordWrap/>
        <w:overflowPunct/>
        <w:topLinePunct w:val="0"/>
        <w:bidi w:val="0"/>
        <w:ind w:left="0" w:leftChars="0" w:right="0" w:firstLine="560" w:firstLineChars="200"/>
        <w:textAlignment w:val="auto"/>
      </w:pPr>
      <w:r>
        <w:rPr>
          <w:rFonts w:hint="eastAsia"/>
        </w:rPr>
        <w:t>d)管道穿过建筑物的变形缝时，应采取抗变形措施；(B类)</w:t>
      </w:r>
    </w:p>
    <w:p w14:paraId="1E48DABF">
      <w:pPr>
        <w:pStyle w:val="32"/>
        <w:keepNext w:val="0"/>
        <w:keepLines w:val="0"/>
        <w:pageBreakBefore w:val="0"/>
        <w:kinsoku/>
        <w:wordWrap/>
        <w:overflowPunct/>
        <w:topLinePunct w:val="0"/>
        <w:bidi w:val="0"/>
        <w:ind w:left="0" w:leftChars="0" w:right="0" w:firstLine="560" w:firstLineChars="200"/>
        <w:textAlignment w:val="auto"/>
      </w:pPr>
      <w:r>
        <w:rPr>
          <w:rFonts w:hint="eastAsia"/>
        </w:rPr>
        <w:t>e)穿过墙体或楼板时应加设套管，套管长度不得小于墙体厚度，穿过楼板的套管其顶部应高出装饰地面20mm；穿过卫生间或厨房楼板的套管，其顶部应高出装饰地面50mm，且套管底部应与楼板底面相平。套管与管道的间隙应采用不燃材料填塞密实；（B类）</w:t>
      </w:r>
    </w:p>
    <w:p w14:paraId="69978A3D">
      <w:pPr>
        <w:pStyle w:val="32"/>
        <w:keepNext w:val="0"/>
        <w:keepLines w:val="0"/>
        <w:pageBreakBefore w:val="0"/>
        <w:kinsoku/>
        <w:wordWrap/>
        <w:overflowPunct/>
        <w:topLinePunct w:val="0"/>
        <w:bidi w:val="0"/>
        <w:ind w:left="0" w:leftChars="0" w:right="0" w:firstLine="560" w:firstLineChars="200"/>
        <w:textAlignment w:val="auto"/>
      </w:pPr>
      <w:r>
        <w:rPr>
          <w:rFonts w:hint="eastAsia"/>
        </w:rPr>
        <w:t>f)自动排气阀应安装在配水干管顶部、配水管的末端，且应无渗漏。（B类）</w:t>
      </w:r>
    </w:p>
    <w:p w14:paraId="59819B5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检测数量：每个防火分区、每个楼层抽检一处。</w:t>
      </w:r>
    </w:p>
    <w:p w14:paraId="07B2D1D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检测方法：对照设计文件，尺量、直观检查。</w:t>
      </w:r>
    </w:p>
    <w:p w14:paraId="4772420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检测器具：钢直尺。</w:t>
      </w:r>
    </w:p>
    <w:p w14:paraId="25576849">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.4.2消防洒水软管</w:t>
      </w:r>
    </w:p>
    <w:p w14:paraId="7A3DD1C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4123127">
      <w:pPr>
        <w:pStyle w:val="32"/>
        <w:keepNext w:val="0"/>
        <w:keepLines w:val="0"/>
        <w:pageBreakBefore w:val="0"/>
        <w:kinsoku/>
        <w:wordWrap/>
        <w:overflowPunct/>
        <w:topLinePunct w:val="0"/>
        <w:bidi w:val="0"/>
        <w:ind w:left="0" w:leftChars="0" w:right="0" w:firstLine="560" w:firstLineChars="200"/>
        <w:textAlignment w:val="auto"/>
      </w:pPr>
      <w:r>
        <w:rPr>
          <w:rFonts w:hint="eastAsia"/>
        </w:rPr>
        <w:t>a)消防洒水软管应安装相应的支架系统进行固定；（C类）</w:t>
      </w:r>
    </w:p>
    <w:p w14:paraId="34040CEE">
      <w:pPr>
        <w:pStyle w:val="32"/>
        <w:keepNext w:val="0"/>
        <w:keepLines w:val="0"/>
        <w:pageBreakBefore w:val="0"/>
        <w:kinsoku/>
        <w:wordWrap/>
        <w:overflowPunct/>
        <w:topLinePunct w:val="0"/>
        <w:bidi w:val="0"/>
        <w:ind w:left="0" w:leftChars="0" w:right="0" w:firstLine="560" w:firstLineChars="200"/>
        <w:textAlignment w:val="auto"/>
      </w:pPr>
      <w:r>
        <w:rPr>
          <w:rFonts w:hint="eastAsia"/>
        </w:rPr>
        <w:t>b)消防洒水软管的长度不应超过1.8m。（C类）</w:t>
      </w:r>
    </w:p>
    <w:p w14:paraId="41E55C8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C70EB0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检测方法：对照设计文件，尺量、直观检查。</w:t>
      </w:r>
    </w:p>
    <w:p w14:paraId="2CE564E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1B144F5C">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.4.3管道连接方式</w:t>
      </w:r>
    </w:p>
    <w:p w14:paraId="2CD8F51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71EE78E4">
      <w:pPr>
        <w:pStyle w:val="32"/>
        <w:keepNext w:val="0"/>
        <w:keepLines w:val="0"/>
        <w:pageBreakBefore w:val="0"/>
        <w:kinsoku/>
        <w:wordWrap/>
        <w:overflowPunct/>
        <w:topLinePunct w:val="0"/>
        <w:bidi w:val="0"/>
        <w:ind w:left="0" w:leftChars="0" w:right="0" w:firstLine="560" w:firstLineChars="200"/>
        <w:textAlignment w:val="auto"/>
      </w:pPr>
      <w:r>
        <w:rPr>
          <w:rFonts w:hint="eastAsia"/>
        </w:rPr>
        <w:t>a)热镀锌钢管、涂覆钢管安装应采用螺纹、沟槽式管件或法兰连接；（B类）</w:t>
      </w:r>
    </w:p>
    <w:p w14:paraId="0E68922B">
      <w:pPr>
        <w:pStyle w:val="32"/>
        <w:keepNext w:val="0"/>
        <w:keepLines w:val="0"/>
        <w:pageBreakBefore w:val="0"/>
        <w:kinsoku/>
        <w:wordWrap/>
        <w:overflowPunct/>
        <w:topLinePunct w:val="0"/>
        <w:bidi w:val="0"/>
        <w:ind w:left="0" w:leftChars="0" w:right="0" w:firstLine="560" w:firstLineChars="200"/>
        <w:textAlignment w:val="auto"/>
      </w:pPr>
      <w:r>
        <w:rPr>
          <w:rFonts w:hint="eastAsia"/>
        </w:rPr>
        <w:t>b)薄壁不锈钢管安装应采用环压、卡凸式、卡压、沟槽式、法兰等连接；（B类）</w:t>
      </w:r>
    </w:p>
    <w:p w14:paraId="119A35FD">
      <w:pPr>
        <w:pStyle w:val="32"/>
        <w:keepNext w:val="0"/>
        <w:keepLines w:val="0"/>
        <w:pageBreakBefore w:val="0"/>
        <w:kinsoku/>
        <w:wordWrap/>
        <w:overflowPunct/>
        <w:topLinePunct w:val="0"/>
        <w:bidi w:val="0"/>
        <w:ind w:left="0" w:leftChars="0" w:right="0" w:firstLine="560" w:firstLineChars="200"/>
        <w:textAlignment w:val="auto"/>
      </w:pPr>
      <w:r>
        <w:rPr>
          <w:rFonts w:hint="eastAsia"/>
        </w:rPr>
        <w:t>c)铜管安装应采用钎焊、卡套、卡压、沟槽式等连接；（B类）</w:t>
      </w:r>
    </w:p>
    <w:p w14:paraId="1770F708">
      <w:pPr>
        <w:pStyle w:val="32"/>
        <w:keepNext w:val="0"/>
        <w:keepLines w:val="0"/>
        <w:pageBreakBefore w:val="0"/>
        <w:kinsoku/>
        <w:wordWrap/>
        <w:overflowPunct/>
        <w:topLinePunct w:val="0"/>
        <w:bidi w:val="0"/>
        <w:ind w:left="0" w:leftChars="0" w:right="0" w:firstLine="560" w:firstLineChars="200"/>
        <w:textAlignment w:val="auto"/>
      </w:pPr>
      <w:r>
        <w:rPr>
          <w:rFonts w:hint="eastAsia"/>
        </w:rPr>
        <w:t>d)配水干管（立管）与配水管（水平管）连接，应采用沟槽式管件，不应采用机械三通。（B类）</w:t>
      </w:r>
    </w:p>
    <w:p w14:paraId="35B9D0F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检测数量：按实际安装数量的20%抽检，且不少于5处，少于5处的全数检测。</w:t>
      </w:r>
    </w:p>
    <w:p w14:paraId="5A8CB14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3B0DAEA4">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.4.4管道支吊架安装</w:t>
      </w:r>
    </w:p>
    <w:p w14:paraId="7E382FD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AC686CD">
      <w:pPr>
        <w:pStyle w:val="32"/>
        <w:keepNext w:val="0"/>
        <w:keepLines w:val="0"/>
        <w:pageBreakBefore w:val="0"/>
        <w:kinsoku/>
        <w:wordWrap/>
        <w:overflowPunct/>
        <w:topLinePunct w:val="0"/>
        <w:bidi w:val="0"/>
        <w:ind w:left="0" w:leftChars="0" w:right="0" w:firstLine="560" w:firstLineChars="200"/>
        <w:textAlignment w:val="auto"/>
      </w:pPr>
      <w:r>
        <w:rPr>
          <w:rFonts w:hint="eastAsia"/>
        </w:rPr>
        <w:t>a)管道支架、吊架的安装位置不应妨碍喷头的喷水效果；管道支架、吊架与喷头之间的距离不宜小于300mm；与末端喷头之间的距离不宜大于750mm；（B类）</w:t>
      </w:r>
    </w:p>
    <w:p w14:paraId="667901E5">
      <w:pPr>
        <w:pStyle w:val="32"/>
        <w:keepNext w:val="0"/>
        <w:keepLines w:val="0"/>
        <w:pageBreakBefore w:val="0"/>
        <w:kinsoku/>
        <w:wordWrap/>
        <w:overflowPunct/>
        <w:topLinePunct w:val="0"/>
        <w:bidi w:val="0"/>
        <w:ind w:left="0" w:leftChars="0" w:right="0" w:firstLine="560" w:firstLineChars="200"/>
        <w:textAlignment w:val="auto"/>
      </w:pPr>
      <w:r>
        <w:rPr>
          <w:rFonts w:hint="eastAsia"/>
        </w:rPr>
        <w:t>b)当管道大于或等于DN50时，每段配水干管或配水管设置防晃支架不应少于1个，且防晃支架的间距不宜大于15m；当管道改变方向时，应增设防晃支架；（B类）</w:t>
      </w:r>
    </w:p>
    <w:p w14:paraId="3AB7342C">
      <w:pPr>
        <w:pStyle w:val="32"/>
        <w:keepNext w:val="0"/>
        <w:keepLines w:val="0"/>
        <w:pageBreakBefore w:val="0"/>
        <w:kinsoku/>
        <w:wordWrap/>
        <w:overflowPunct/>
        <w:topLinePunct w:val="0"/>
        <w:bidi w:val="0"/>
        <w:ind w:left="0" w:leftChars="0" w:right="0" w:firstLine="560" w:firstLineChars="200"/>
        <w:textAlignment w:val="auto"/>
      </w:pPr>
      <w:r>
        <w:rPr>
          <w:rFonts w:hint="eastAsia"/>
        </w:rPr>
        <w:t>c)竖直安装的配水干管除中间用管卡固定外，还应在其始端和终端设防晃支架或采用管卡固定，其安装位置距地面或楼面的距离宜为1.5m～1.8m；（B类）</w:t>
      </w:r>
    </w:p>
    <w:p w14:paraId="574760C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458A51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检测方法：尺量、直观检查。</w:t>
      </w:r>
    </w:p>
    <w:p w14:paraId="2549EE7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07AC59B7">
      <w:pPr>
        <w:pStyle w:val="32"/>
        <w:keepNext w:val="0"/>
        <w:keepLines w:val="0"/>
        <w:pageBreakBefore w:val="0"/>
        <w:kinsoku/>
        <w:wordWrap/>
        <w:overflowPunct/>
        <w:topLinePunct w:val="0"/>
        <w:bidi w:val="0"/>
        <w:ind w:left="0" w:leftChars="0" w:right="0" w:firstLine="560" w:firstLineChars="200"/>
        <w:textAlignment w:val="auto"/>
      </w:pPr>
      <w:r>
        <w:rPr>
          <w:rFonts w:hint="eastAsia"/>
          <w:lang w:val="en-US" w:eastAsia="zh-CN"/>
        </w:rPr>
        <w:t>4</w:t>
      </w:r>
      <w:r>
        <w:t>.</w:t>
      </w:r>
      <w:r>
        <w:rPr>
          <w:rFonts w:hint="eastAsia"/>
        </w:rPr>
        <w:t>13.1.4喷头</w:t>
      </w:r>
    </w:p>
    <w:p w14:paraId="101FE91B">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.4.1安装</w:t>
      </w:r>
    </w:p>
    <w:p w14:paraId="78A75F9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6C70C37">
      <w:pPr>
        <w:pStyle w:val="32"/>
        <w:keepNext w:val="0"/>
        <w:keepLines w:val="0"/>
        <w:pageBreakBefore w:val="0"/>
        <w:kinsoku/>
        <w:wordWrap/>
        <w:overflowPunct/>
        <w:topLinePunct w:val="0"/>
        <w:bidi w:val="0"/>
        <w:ind w:left="0" w:leftChars="0" w:right="0" w:firstLine="560" w:firstLineChars="200"/>
        <w:textAlignment w:val="auto"/>
      </w:pPr>
      <w:r>
        <w:rPr>
          <w:rFonts w:hint="eastAsia"/>
        </w:rPr>
        <w:t>a)喷头的设置场所、规格、型号、安装位置应与设计文件相符；（A类）</w:t>
      </w:r>
    </w:p>
    <w:p w14:paraId="3ADFB77C">
      <w:pPr>
        <w:pStyle w:val="32"/>
        <w:keepNext w:val="0"/>
        <w:keepLines w:val="0"/>
        <w:pageBreakBefore w:val="0"/>
        <w:kinsoku/>
        <w:wordWrap/>
        <w:overflowPunct/>
        <w:topLinePunct w:val="0"/>
        <w:bidi w:val="0"/>
        <w:ind w:left="0" w:leftChars="0" w:right="0" w:firstLine="560" w:firstLineChars="200"/>
        <w:textAlignment w:val="auto"/>
      </w:pPr>
      <w:r>
        <w:rPr>
          <w:rFonts w:hint="eastAsia"/>
        </w:rPr>
        <w:t>b)严禁给喷头、隐蔽式喷头的装饰盖板附加任何装饰性涂层；（A类）</w:t>
      </w:r>
    </w:p>
    <w:p w14:paraId="3BD7FDC5">
      <w:pPr>
        <w:pStyle w:val="32"/>
        <w:keepNext w:val="0"/>
        <w:keepLines w:val="0"/>
        <w:pageBreakBefore w:val="0"/>
        <w:kinsoku/>
        <w:wordWrap/>
        <w:overflowPunct/>
        <w:topLinePunct w:val="0"/>
        <w:bidi w:val="0"/>
        <w:ind w:left="0" w:leftChars="0" w:right="0" w:firstLine="560" w:firstLineChars="200"/>
        <w:textAlignment w:val="auto"/>
      </w:pPr>
      <w:r>
        <w:rPr>
          <w:rFonts w:hint="eastAsia"/>
        </w:rPr>
        <w:t>c)当喷头的公称直径小于10mm时，应在配水干管或配水管上安装过滤器；（B类）</w:t>
      </w:r>
    </w:p>
    <w:p w14:paraId="1B05D1EC">
      <w:pPr>
        <w:pStyle w:val="32"/>
        <w:keepNext w:val="0"/>
        <w:keepLines w:val="0"/>
        <w:pageBreakBefore w:val="0"/>
        <w:kinsoku/>
        <w:wordWrap/>
        <w:overflowPunct/>
        <w:topLinePunct w:val="0"/>
        <w:bidi w:val="0"/>
        <w:ind w:left="0" w:leftChars="0" w:right="0" w:firstLine="560" w:firstLineChars="200"/>
        <w:textAlignment w:val="auto"/>
      </w:pPr>
      <w:r>
        <w:rPr>
          <w:rFonts w:hint="eastAsia"/>
        </w:rPr>
        <w:t>d)当梁、通风管道、排管、桥架宽度大于1.2m时，增设的喷头应安装在其腹面以下部位。（B类）</w:t>
      </w:r>
    </w:p>
    <w:p w14:paraId="3AB7968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241753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检测方法：尺量、直观检查。</w:t>
      </w:r>
    </w:p>
    <w:p w14:paraId="49BAC3C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69D9CB04">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.4.2防护措施</w:t>
      </w:r>
    </w:p>
    <w:p w14:paraId="60E1119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A775992">
      <w:pPr>
        <w:pStyle w:val="32"/>
        <w:keepNext w:val="0"/>
        <w:keepLines w:val="0"/>
        <w:pageBreakBefore w:val="0"/>
        <w:kinsoku/>
        <w:wordWrap/>
        <w:overflowPunct/>
        <w:topLinePunct w:val="0"/>
        <w:bidi w:val="0"/>
        <w:ind w:left="0" w:leftChars="0" w:right="0" w:firstLine="560" w:firstLineChars="200"/>
        <w:textAlignment w:val="auto"/>
      </w:pPr>
      <w:r>
        <w:rPr>
          <w:rFonts w:hint="eastAsia"/>
        </w:rPr>
        <w:t>a)有腐蚀性气体的环境和有冰冻危险场所安装的喷头，应采取防护措施；（B类）</w:t>
      </w:r>
    </w:p>
    <w:p w14:paraId="4ECFE733">
      <w:pPr>
        <w:pStyle w:val="32"/>
        <w:keepNext w:val="0"/>
        <w:keepLines w:val="0"/>
        <w:pageBreakBefore w:val="0"/>
        <w:kinsoku/>
        <w:wordWrap/>
        <w:overflowPunct/>
        <w:topLinePunct w:val="0"/>
        <w:bidi w:val="0"/>
        <w:ind w:left="0" w:leftChars="0" w:right="0" w:firstLine="560" w:firstLineChars="200"/>
        <w:textAlignment w:val="auto"/>
      </w:pPr>
      <w:r>
        <w:rPr>
          <w:rFonts w:hint="eastAsia"/>
        </w:rPr>
        <w:t>b)安装在易受机械损伤处（车库、货架中间、高架仓库等）的喷头，应加设喷头防护罩。（B类）</w:t>
      </w:r>
    </w:p>
    <w:p w14:paraId="4D01F22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23CAB14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6EEA34B9">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.4.3末端试水装置及试水阀</w:t>
      </w:r>
    </w:p>
    <w:p w14:paraId="37AEEDF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785F75BE">
      <w:pPr>
        <w:pStyle w:val="32"/>
        <w:keepNext w:val="0"/>
        <w:keepLines w:val="0"/>
        <w:pageBreakBefore w:val="0"/>
        <w:kinsoku/>
        <w:wordWrap/>
        <w:overflowPunct/>
        <w:topLinePunct w:val="0"/>
        <w:bidi w:val="0"/>
        <w:ind w:left="0" w:leftChars="0" w:right="0" w:firstLine="560" w:firstLineChars="200"/>
        <w:textAlignment w:val="auto"/>
      </w:pPr>
      <w:r>
        <w:rPr>
          <w:rFonts w:hint="eastAsia"/>
        </w:rPr>
        <w:t>a)每个报警阀组控制的最不利点洒水喷头处应设末端试水装置，其他防火分区、楼层均应设直径为25mm的试水阀；（A类）</w:t>
      </w:r>
    </w:p>
    <w:p w14:paraId="6F34D710">
      <w:pPr>
        <w:pStyle w:val="32"/>
        <w:keepNext w:val="0"/>
        <w:keepLines w:val="0"/>
        <w:pageBreakBefore w:val="0"/>
        <w:kinsoku/>
        <w:wordWrap/>
        <w:overflowPunct/>
        <w:topLinePunct w:val="0"/>
        <w:bidi w:val="0"/>
        <w:ind w:left="0" w:leftChars="0" w:right="0" w:firstLine="560" w:firstLineChars="200"/>
        <w:textAlignment w:val="auto"/>
      </w:pPr>
      <w:r>
        <w:rPr>
          <w:rFonts w:hint="eastAsia"/>
        </w:rPr>
        <w:t>b)末端试水装置应由试水阀、压力表以及试水接头组成。末端试水装置的出水，应采取孔口出流的方式排入排水管道，且排水管道管径不应小于75mm；（B类）</w:t>
      </w:r>
    </w:p>
    <w:p w14:paraId="5BD7A2B3">
      <w:pPr>
        <w:pStyle w:val="32"/>
        <w:keepNext w:val="0"/>
        <w:keepLines w:val="0"/>
        <w:pageBreakBefore w:val="0"/>
        <w:kinsoku/>
        <w:wordWrap/>
        <w:overflowPunct/>
        <w:topLinePunct w:val="0"/>
        <w:bidi w:val="0"/>
        <w:ind w:left="0" w:leftChars="0" w:right="0" w:firstLine="560" w:firstLineChars="200"/>
        <w:textAlignment w:val="auto"/>
      </w:pPr>
      <w:r>
        <w:rPr>
          <w:rFonts w:hint="eastAsia"/>
        </w:rPr>
        <w:t>c)末端试水装置应有标识，距地面的高度宜为1.5m；（B类）</w:t>
      </w:r>
    </w:p>
    <w:p w14:paraId="3B170C93">
      <w:pPr>
        <w:pStyle w:val="32"/>
        <w:keepNext w:val="0"/>
        <w:keepLines w:val="0"/>
        <w:pageBreakBefore w:val="0"/>
        <w:kinsoku/>
        <w:wordWrap/>
        <w:overflowPunct/>
        <w:topLinePunct w:val="0"/>
        <w:bidi w:val="0"/>
        <w:ind w:left="0" w:leftChars="0" w:right="0" w:firstLine="560" w:firstLineChars="200"/>
        <w:textAlignment w:val="auto"/>
      </w:pPr>
      <w:r>
        <w:rPr>
          <w:rFonts w:hint="eastAsia"/>
        </w:rPr>
        <w:t>d)末端试水装置的安装位置应便于检查、试验，并应有相应排水能力的排水设施。（B类）</w:t>
      </w:r>
    </w:p>
    <w:p w14:paraId="64FB870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7D73FD2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检测方法：尺量、直观检查。</w:t>
      </w:r>
    </w:p>
    <w:p w14:paraId="5FB3F0F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检测器具：钢卷尺、游标卡尺。</w:t>
      </w:r>
    </w:p>
    <w:p w14:paraId="4462190E">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13.1</w:t>
      </w:r>
      <w:r>
        <w:rPr>
          <w:rFonts w:hint="eastAsia"/>
        </w:rPr>
        <w:t>.4.4系统功能</w:t>
      </w:r>
    </w:p>
    <w:p w14:paraId="75A6852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77F47DCB">
      <w:pPr>
        <w:pStyle w:val="32"/>
        <w:keepNext w:val="0"/>
        <w:keepLines w:val="0"/>
        <w:pageBreakBefore w:val="0"/>
        <w:kinsoku/>
        <w:wordWrap/>
        <w:overflowPunct/>
        <w:topLinePunct w:val="0"/>
        <w:bidi w:val="0"/>
        <w:ind w:left="0" w:leftChars="0" w:right="0" w:firstLine="560" w:firstLineChars="200"/>
        <w:textAlignment w:val="auto"/>
      </w:pPr>
      <w:r>
        <w:rPr>
          <w:rFonts w:hint="eastAsia"/>
        </w:rPr>
        <w:t>a)从末端试水装置处放水时，水流指示器、报警阀、压力开关、水力警铃和消防水泵等应及时动作，并发出相应的信号；（A类）</w:t>
      </w:r>
    </w:p>
    <w:p w14:paraId="3EE87B43">
      <w:pPr>
        <w:pStyle w:val="32"/>
        <w:keepNext w:val="0"/>
        <w:keepLines w:val="0"/>
        <w:pageBreakBefore w:val="0"/>
        <w:kinsoku/>
        <w:wordWrap/>
        <w:overflowPunct/>
        <w:topLinePunct w:val="0"/>
        <w:bidi w:val="0"/>
        <w:ind w:left="0" w:leftChars="0" w:right="0" w:firstLine="560" w:firstLineChars="200"/>
        <w:textAlignment w:val="auto"/>
      </w:pPr>
      <w:r>
        <w:rPr>
          <w:rFonts w:hint="eastAsia"/>
        </w:rPr>
        <w:t>b)湿式自动喷水灭火系统的最不利点做末端放水试验时，自放水开始至水泵启动时间不应超过5min。(A类)</w:t>
      </w:r>
    </w:p>
    <w:p w14:paraId="6773B1A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06E0E74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1C3977A5">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a)开启系统末端试水装置，查看消防控制装置显示的水流指示器、压力开关、消防水泵的动作情况以及信号反馈情况，检查水力警铃是否报警；</w:t>
      </w:r>
    </w:p>
    <w:p w14:paraId="57B6144C">
      <w:pPr>
        <w:pStyle w:val="32"/>
        <w:keepNext w:val="0"/>
        <w:keepLines w:val="0"/>
        <w:pageBreakBefore w:val="0"/>
        <w:kinsoku/>
        <w:wordWrap/>
        <w:overflowPunct/>
        <w:topLinePunct w:val="0"/>
        <w:bidi w:val="0"/>
        <w:ind w:left="0" w:leftChars="0" w:right="0" w:firstLine="560" w:firstLineChars="200"/>
        <w:textAlignment w:val="auto"/>
      </w:pPr>
      <w:r>
        <w:rPr>
          <w:rFonts w:hint="eastAsia"/>
        </w:rPr>
        <w:t>b)用秒表测试自开启末端试水装置至消防水泵投入运行的时间。</w:t>
      </w:r>
    </w:p>
    <w:p w14:paraId="0D9A326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检测器具：秒表、喷水末端试水接头。</w:t>
      </w:r>
    </w:p>
    <w:p w14:paraId="67EEDCD3">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13.2</w:t>
      </w:r>
      <w:r>
        <w:rPr>
          <w:rFonts w:hint="eastAsia"/>
        </w:rPr>
        <w:t>预作用自动喷水灭火系统</w:t>
      </w:r>
    </w:p>
    <w:p w14:paraId="524A98E6">
      <w:pPr>
        <w:pStyle w:val="32"/>
        <w:keepNext w:val="0"/>
        <w:keepLines w:val="0"/>
        <w:pageBreakBefore w:val="0"/>
        <w:kinsoku/>
        <w:wordWrap/>
        <w:overflowPunct/>
        <w:topLinePunct w:val="0"/>
        <w:bidi w:val="0"/>
        <w:ind w:left="0" w:leftChars="0" w:right="0" w:firstLine="548" w:firstLineChars="200"/>
        <w:textAlignment w:val="auto"/>
      </w:pPr>
      <w:r>
        <w:rPr>
          <w:rFonts w:hint="eastAsia" w:cs="黑体"/>
          <w:spacing w:val="-3"/>
          <w:lang w:val="en-US" w:eastAsia="zh-CN"/>
        </w:rPr>
        <w:t>4</w:t>
      </w:r>
      <w:r>
        <w:rPr>
          <w:rFonts w:cs="黑体"/>
          <w:spacing w:val="-3"/>
        </w:rPr>
        <w:t>.</w:t>
      </w:r>
      <w:r>
        <w:rPr>
          <w:rFonts w:hint="eastAsia" w:cs="黑体"/>
          <w:spacing w:val="-3"/>
        </w:rPr>
        <w:t>13.2.</w:t>
      </w:r>
      <w:r>
        <w:rPr>
          <w:rFonts w:hint="eastAsia"/>
        </w:rPr>
        <w:t>1预作用装置安装</w:t>
      </w:r>
    </w:p>
    <w:p w14:paraId="2D613D5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BCFDB17">
      <w:pPr>
        <w:pStyle w:val="32"/>
        <w:keepNext w:val="0"/>
        <w:keepLines w:val="0"/>
        <w:pageBreakBefore w:val="0"/>
        <w:kinsoku/>
        <w:wordWrap/>
        <w:overflowPunct/>
        <w:topLinePunct w:val="0"/>
        <w:bidi w:val="0"/>
        <w:ind w:left="0" w:leftChars="0" w:right="0" w:firstLine="560" w:firstLineChars="200"/>
        <w:textAlignment w:val="auto"/>
      </w:pPr>
      <w:r>
        <w:rPr>
          <w:rFonts w:hint="eastAsia"/>
        </w:rPr>
        <w:t>a)报警阀组应外观完好、组件齐全，型号规格应与设计文件相符；（A类）</w:t>
      </w:r>
    </w:p>
    <w:p w14:paraId="7F35E357">
      <w:pPr>
        <w:pStyle w:val="32"/>
        <w:keepNext w:val="0"/>
        <w:keepLines w:val="0"/>
        <w:pageBreakBefore w:val="0"/>
        <w:kinsoku/>
        <w:wordWrap/>
        <w:overflowPunct/>
        <w:topLinePunct w:val="0"/>
        <w:bidi w:val="0"/>
        <w:ind w:left="0" w:leftChars="0" w:right="0" w:firstLine="560" w:firstLineChars="200"/>
        <w:textAlignment w:val="auto"/>
      </w:pPr>
      <w:r>
        <w:rPr>
          <w:rFonts w:hint="eastAsia"/>
        </w:rPr>
        <w:t>b)报警阀组安装的位置应与设计文件相符；当无设计要求时，报警阀组应安装在便于操作的明显位置，距室内地面高度宜为1.2m；两侧与墙的距离不应小于0.5m；正面与墙的距离不应小于1.2m；报警阀组凸出部位之间的距离不应小于0.5m；（C类）</w:t>
      </w:r>
    </w:p>
    <w:p w14:paraId="6C4D6C7F">
      <w:pPr>
        <w:pStyle w:val="32"/>
        <w:keepNext w:val="0"/>
        <w:keepLines w:val="0"/>
        <w:pageBreakBefore w:val="0"/>
        <w:kinsoku/>
        <w:wordWrap/>
        <w:overflowPunct/>
        <w:topLinePunct w:val="0"/>
        <w:bidi w:val="0"/>
        <w:ind w:left="0" w:leftChars="0" w:right="0" w:firstLine="560" w:firstLineChars="200"/>
        <w:textAlignment w:val="auto"/>
      </w:pPr>
      <w:r>
        <w:rPr>
          <w:rFonts w:hint="eastAsia"/>
        </w:rPr>
        <w:t>c)压力开关应竖直安装在通往水力警铃的管道上，水力警铃应安装在公共通道或值班室附近的外墙上；（B类）</w:t>
      </w:r>
    </w:p>
    <w:p w14:paraId="449AE666">
      <w:pPr>
        <w:pStyle w:val="32"/>
        <w:keepNext w:val="0"/>
        <w:keepLines w:val="0"/>
        <w:pageBreakBefore w:val="0"/>
        <w:kinsoku/>
        <w:wordWrap/>
        <w:overflowPunct/>
        <w:topLinePunct w:val="0"/>
        <w:bidi w:val="0"/>
        <w:ind w:left="0" w:leftChars="0" w:right="0" w:firstLine="560" w:firstLineChars="200"/>
        <w:textAlignment w:val="auto"/>
      </w:pPr>
      <w:r>
        <w:rPr>
          <w:rFonts w:hint="eastAsia"/>
        </w:rPr>
        <w:t>d)压力开关、信号阀的引出线应用防水套管锁定；（C类）</w:t>
      </w:r>
    </w:p>
    <w:p w14:paraId="25B4EFC2">
      <w:pPr>
        <w:pStyle w:val="32"/>
        <w:keepNext w:val="0"/>
        <w:keepLines w:val="0"/>
        <w:pageBreakBefore w:val="0"/>
        <w:kinsoku/>
        <w:wordWrap/>
        <w:overflowPunct/>
        <w:topLinePunct w:val="0"/>
        <w:bidi w:val="0"/>
        <w:ind w:left="0" w:leftChars="0" w:right="0" w:firstLine="560" w:firstLineChars="200"/>
        <w:textAlignment w:val="auto"/>
      </w:pPr>
      <w:r>
        <w:rPr>
          <w:rFonts w:hint="eastAsia"/>
        </w:rPr>
        <w:t>e)预作用装置应有注明系统名称和保护区域的标志牌；（B类）</w:t>
      </w:r>
    </w:p>
    <w:p w14:paraId="1F471D7A">
      <w:pPr>
        <w:pStyle w:val="32"/>
        <w:keepNext w:val="0"/>
        <w:keepLines w:val="0"/>
        <w:pageBreakBefore w:val="0"/>
        <w:kinsoku/>
        <w:wordWrap/>
        <w:overflowPunct/>
        <w:topLinePunct w:val="0"/>
        <w:bidi w:val="0"/>
        <w:ind w:left="0" w:leftChars="0" w:right="0" w:firstLine="560" w:firstLineChars="200"/>
        <w:textAlignment w:val="auto"/>
      </w:pPr>
      <w:r>
        <w:rPr>
          <w:rFonts w:hint="eastAsia"/>
        </w:rPr>
        <w:t>f)设置报警阀组的部位应设有排水设施；（B类）</w:t>
      </w:r>
    </w:p>
    <w:p w14:paraId="46B6DFDA">
      <w:pPr>
        <w:pStyle w:val="32"/>
        <w:keepNext w:val="0"/>
        <w:keepLines w:val="0"/>
        <w:pageBreakBefore w:val="0"/>
        <w:kinsoku/>
        <w:wordWrap/>
        <w:overflowPunct/>
        <w:topLinePunct w:val="0"/>
        <w:bidi w:val="0"/>
        <w:ind w:left="0" w:leftChars="0" w:right="0" w:firstLine="560" w:firstLineChars="200"/>
        <w:textAlignment w:val="auto"/>
      </w:pPr>
      <w:r>
        <w:rPr>
          <w:rFonts w:hint="eastAsia"/>
        </w:rPr>
        <w:t>g)水源控制阀安装应便于操作，且应有明显开闭标志和可靠的锁定设施；（B类）</w:t>
      </w:r>
    </w:p>
    <w:p w14:paraId="419FBE9F">
      <w:pPr>
        <w:pStyle w:val="32"/>
        <w:keepNext w:val="0"/>
        <w:keepLines w:val="0"/>
        <w:pageBreakBefore w:val="0"/>
        <w:kinsoku/>
        <w:wordWrap/>
        <w:overflowPunct/>
        <w:topLinePunct w:val="0"/>
        <w:bidi w:val="0"/>
        <w:ind w:left="0" w:leftChars="0" w:right="0" w:firstLine="560" w:firstLineChars="200"/>
        <w:textAlignment w:val="auto"/>
      </w:pPr>
      <w:r>
        <w:rPr>
          <w:rFonts w:hint="eastAsia"/>
        </w:rPr>
        <w:t>h)连接报警阀进出口的控制阀应采用信号阀；当不采用信号阀时，控制阀应设锁定阀位的锁具；（B类）</w:t>
      </w:r>
    </w:p>
    <w:p w14:paraId="3136EF82">
      <w:pPr>
        <w:pStyle w:val="32"/>
        <w:keepNext w:val="0"/>
        <w:keepLines w:val="0"/>
        <w:pageBreakBefore w:val="0"/>
        <w:kinsoku/>
        <w:wordWrap/>
        <w:overflowPunct/>
        <w:topLinePunct w:val="0"/>
        <w:bidi w:val="0"/>
        <w:ind w:left="0" w:leftChars="0" w:right="0" w:firstLine="560" w:firstLineChars="200"/>
        <w:textAlignment w:val="auto"/>
      </w:pPr>
      <w:r>
        <w:rPr>
          <w:rFonts w:hint="eastAsia"/>
        </w:rPr>
        <w:t>i)压力表应安装在报警阀上便于观测的部位；（C类）</w:t>
      </w:r>
    </w:p>
    <w:p w14:paraId="3C0384FB">
      <w:pPr>
        <w:pStyle w:val="32"/>
        <w:keepNext w:val="0"/>
        <w:keepLines w:val="0"/>
        <w:pageBreakBefore w:val="0"/>
        <w:kinsoku/>
        <w:wordWrap/>
        <w:overflowPunct/>
        <w:topLinePunct w:val="0"/>
        <w:bidi w:val="0"/>
        <w:ind w:left="0" w:leftChars="0" w:right="0" w:firstLine="560" w:firstLineChars="200"/>
        <w:textAlignment w:val="auto"/>
      </w:pPr>
      <w:r>
        <w:rPr>
          <w:rFonts w:hint="eastAsia"/>
        </w:rPr>
        <w:t>j)预作用阀组和快速排气阀入口前的电动阀的启动和停止按钮，用专用线路直接连接至设置在消防控制室内的消防联动控制器的手动控制盘。（A类）</w:t>
      </w:r>
    </w:p>
    <w:p w14:paraId="4CBAED2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333533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检测方法：尺量、直观检查。</w:t>
      </w:r>
    </w:p>
    <w:p w14:paraId="7BD422E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2CC9CA0E">
      <w:pPr>
        <w:pStyle w:val="32"/>
        <w:keepNext w:val="0"/>
        <w:keepLines w:val="0"/>
        <w:pageBreakBefore w:val="0"/>
        <w:kinsoku/>
        <w:wordWrap/>
        <w:overflowPunct/>
        <w:topLinePunct w:val="0"/>
        <w:bidi w:val="0"/>
        <w:ind w:left="0" w:leftChars="0" w:right="0" w:firstLine="560" w:firstLineChars="200"/>
        <w:textAlignment w:val="auto"/>
        <w:rPr>
          <w:highlight w:val="none"/>
        </w:rPr>
      </w:pPr>
      <w:r>
        <w:t>9.</w:t>
      </w:r>
      <w:r>
        <w:rPr>
          <w:rFonts w:hint="eastAsia"/>
        </w:rPr>
        <w:t>13.2.2</w:t>
      </w:r>
      <w:r>
        <w:rPr>
          <w:rFonts w:hint="eastAsia"/>
          <w:highlight w:val="none"/>
        </w:rPr>
        <w:t>功能试验</w:t>
      </w:r>
    </w:p>
    <w:p w14:paraId="4B045E2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65D4528">
      <w:pPr>
        <w:pStyle w:val="32"/>
        <w:keepNext w:val="0"/>
        <w:keepLines w:val="0"/>
        <w:pageBreakBefore w:val="0"/>
        <w:kinsoku/>
        <w:wordWrap/>
        <w:overflowPunct/>
        <w:topLinePunct w:val="0"/>
        <w:bidi w:val="0"/>
        <w:ind w:left="0" w:leftChars="0" w:right="0" w:firstLine="560" w:firstLineChars="200"/>
        <w:textAlignment w:val="auto"/>
      </w:pPr>
      <w:r>
        <w:rPr>
          <w:rFonts w:hint="eastAsia"/>
        </w:rPr>
        <w:t>a)预作用装置试验时，水流指示器、快速排气阀入口前电动阀应及时动作并向消防联动控制器反馈信号；（A类）</w:t>
      </w:r>
    </w:p>
    <w:p w14:paraId="5F30AAC6">
      <w:pPr>
        <w:pStyle w:val="32"/>
        <w:keepNext w:val="0"/>
        <w:keepLines w:val="0"/>
        <w:pageBreakBefore w:val="0"/>
        <w:kinsoku/>
        <w:wordWrap/>
        <w:overflowPunct/>
        <w:topLinePunct w:val="0"/>
        <w:bidi w:val="0"/>
        <w:ind w:left="0" w:leftChars="0" w:right="0" w:firstLine="560" w:firstLineChars="200"/>
        <w:textAlignment w:val="auto"/>
      </w:pPr>
      <w:r>
        <w:rPr>
          <w:rFonts w:hint="eastAsia"/>
        </w:rPr>
        <w:t>b)水力警铃应发出报警铃声，在距水力警铃3m处的声强不应小于70dB（A）；（B类）</w:t>
      </w:r>
    </w:p>
    <w:p w14:paraId="2985CDBE">
      <w:pPr>
        <w:pStyle w:val="32"/>
        <w:keepNext w:val="0"/>
        <w:keepLines w:val="0"/>
        <w:pageBreakBefore w:val="0"/>
        <w:kinsoku/>
        <w:wordWrap/>
        <w:overflowPunct/>
        <w:topLinePunct w:val="0"/>
        <w:bidi w:val="0"/>
        <w:ind w:left="0" w:leftChars="0" w:right="0" w:firstLine="560" w:firstLineChars="200"/>
        <w:textAlignment w:val="auto"/>
      </w:pPr>
      <w:r>
        <w:rPr>
          <w:rFonts w:hint="eastAsia"/>
        </w:rPr>
        <w:t>c)预作用装置电磁阀的启动和停止按钮，应直接手动控制预作用阀组的开启。（A类）</w:t>
      </w:r>
    </w:p>
    <w:p w14:paraId="49D976F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检测数量：全数检测。</w:t>
      </w:r>
    </w:p>
    <w:p w14:paraId="3F866CA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检测方法：操作手动控制盘上的预作用装置电磁阀启动按钮，查看消防联动控制器显示的水流指示器、快速排气阀入口前电动阀的信号反馈情况，用数字声级计检测水力警铃的声强值。</w:t>
      </w:r>
    </w:p>
    <w:p w14:paraId="20F38A8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检测器具：钢卷尺、数字声级计。</w:t>
      </w:r>
    </w:p>
    <w:p w14:paraId="62F1785D">
      <w:pPr>
        <w:pStyle w:val="32"/>
        <w:keepNext w:val="0"/>
        <w:keepLines w:val="0"/>
        <w:pageBreakBefore w:val="0"/>
        <w:kinsoku/>
        <w:wordWrap/>
        <w:overflowPunct/>
        <w:topLinePunct w:val="0"/>
        <w:bidi w:val="0"/>
        <w:ind w:left="0" w:leftChars="0" w:right="0" w:firstLine="560" w:firstLineChars="200"/>
        <w:textAlignment w:val="auto"/>
      </w:pPr>
      <w:r>
        <w:t>9.</w:t>
      </w:r>
      <w:r>
        <w:rPr>
          <w:rFonts w:hint="eastAsia"/>
        </w:rPr>
        <w:t>13.2.3管网</w:t>
      </w:r>
    </w:p>
    <w:p w14:paraId="0E3F679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A80379F">
      <w:pPr>
        <w:pStyle w:val="32"/>
        <w:keepNext w:val="0"/>
        <w:keepLines w:val="0"/>
        <w:pageBreakBefore w:val="0"/>
        <w:kinsoku/>
        <w:wordWrap/>
        <w:overflowPunct/>
        <w:topLinePunct w:val="0"/>
        <w:bidi w:val="0"/>
        <w:ind w:left="0" w:leftChars="0" w:right="0" w:firstLine="560" w:firstLineChars="200"/>
        <w:textAlignment w:val="auto"/>
      </w:pPr>
      <w:r>
        <w:rPr>
          <w:rFonts w:hint="eastAsia"/>
        </w:rPr>
        <w:t>a)配水管道的材质及连接方式应与设计文件相符；(A类)</w:t>
      </w:r>
    </w:p>
    <w:p w14:paraId="36B97D3C">
      <w:pPr>
        <w:pStyle w:val="32"/>
        <w:keepNext w:val="0"/>
        <w:keepLines w:val="0"/>
        <w:pageBreakBefore w:val="0"/>
        <w:kinsoku/>
        <w:wordWrap/>
        <w:overflowPunct/>
        <w:topLinePunct w:val="0"/>
        <w:bidi w:val="0"/>
        <w:ind w:left="0" w:leftChars="0" w:right="0" w:firstLine="560" w:firstLineChars="200"/>
        <w:textAlignment w:val="auto"/>
      </w:pPr>
      <w:r>
        <w:rPr>
          <w:rFonts w:hint="eastAsia"/>
        </w:rPr>
        <w:t>b)报警阀出口后的管道上不应设置其他用水设施；（B类）</w:t>
      </w:r>
    </w:p>
    <w:p w14:paraId="1895AFF2">
      <w:pPr>
        <w:pStyle w:val="32"/>
        <w:keepNext w:val="0"/>
        <w:keepLines w:val="0"/>
        <w:pageBreakBefore w:val="0"/>
        <w:kinsoku/>
        <w:wordWrap/>
        <w:overflowPunct/>
        <w:topLinePunct w:val="0"/>
        <w:bidi w:val="0"/>
        <w:ind w:left="0" w:leftChars="0" w:right="0" w:firstLine="560" w:firstLineChars="200"/>
        <w:textAlignment w:val="auto"/>
      </w:pPr>
      <w:r>
        <w:rPr>
          <w:rFonts w:hint="eastAsia"/>
        </w:rPr>
        <w:t>c)当报警阀入口前管道采用不防腐的钢管时，应在报警阀前设置过滤器；（B类）</w:t>
      </w:r>
    </w:p>
    <w:p w14:paraId="5924DE09">
      <w:pPr>
        <w:pStyle w:val="32"/>
        <w:keepNext w:val="0"/>
        <w:keepLines w:val="0"/>
        <w:pageBreakBefore w:val="0"/>
        <w:kinsoku/>
        <w:wordWrap/>
        <w:overflowPunct/>
        <w:topLinePunct w:val="0"/>
        <w:bidi w:val="0"/>
        <w:ind w:left="0" w:leftChars="0" w:right="0" w:firstLine="560" w:firstLineChars="200"/>
        <w:textAlignment w:val="auto"/>
      </w:pPr>
      <w:r>
        <w:rPr>
          <w:rFonts w:hint="eastAsia"/>
        </w:rPr>
        <w:t>d)管道穿过建筑物的变形缝时，应采取抗变形措施；(B类)</w:t>
      </w:r>
    </w:p>
    <w:p w14:paraId="146B651D">
      <w:pPr>
        <w:pStyle w:val="32"/>
        <w:keepNext w:val="0"/>
        <w:keepLines w:val="0"/>
        <w:pageBreakBefore w:val="0"/>
        <w:kinsoku/>
        <w:wordWrap/>
        <w:overflowPunct/>
        <w:topLinePunct w:val="0"/>
        <w:bidi w:val="0"/>
        <w:ind w:left="0" w:leftChars="0" w:right="0" w:firstLine="560" w:firstLineChars="200"/>
        <w:textAlignment w:val="auto"/>
      </w:pPr>
      <w:r>
        <w:rPr>
          <w:rFonts w:hint="eastAsia"/>
        </w:rPr>
        <w:t>e)穿过墙体或楼板时应加设套管，套管长度不得小于墙体厚度，穿过楼板的套管其顶部应高出装饰地面20mm；穿过卫生间或厨房楼板的套管，其顶部应高出装饰地面50mm，且套管底部应与楼板底面相平。套管与管道的间隙应采用不燃材料填塞密实；（B类）</w:t>
      </w:r>
    </w:p>
    <w:p w14:paraId="48D4454F">
      <w:pPr>
        <w:pStyle w:val="32"/>
        <w:keepNext w:val="0"/>
        <w:keepLines w:val="0"/>
        <w:pageBreakBefore w:val="0"/>
        <w:kinsoku/>
        <w:wordWrap/>
        <w:overflowPunct/>
        <w:topLinePunct w:val="0"/>
        <w:bidi w:val="0"/>
        <w:ind w:left="0" w:leftChars="0" w:right="0" w:firstLine="560" w:firstLineChars="200"/>
        <w:textAlignment w:val="auto"/>
      </w:pPr>
      <w:r>
        <w:rPr>
          <w:rFonts w:hint="eastAsia"/>
        </w:rPr>
        <w:t>f)系统的配水管道应设快速排气阀，快速排气阀入口前应设电动阀；（B类）</w:t>
      </w:r>
    </w:p>
    <w:p w14:paraId="50B6D370">
      <w:pPr>
        <w:pStyle w:val="32"/>
        <w:keepNext w:val="0"/>
        <w:keepLines w:val="0"/>
        <w:pageBreakBefore w:val="0"/>
        <w:kinsoku/>
        <w:wordWrap/>
        <w:overflowPunct/>
        <w:topLinePunct w:val="0"/>
        <w:bidi w:val="0"/>
        <w:ind w:left="0" w:leftChars="0" w:right="0" w:firstLine="560" w:firstLineChars="200"/>
        <w:textAlignment w:val="auto"/>
      </w:pPr>
      <w:r>
        <w:rPr>
          <w:rFonts w:hint="eastAsia"/>
        </w:rPr>
        <w:t>g)系统的配水管道应设快速排气阀，有压充气管道的快速排气阀入口前应设电动阀；（B类）</w:t>
      </w:r>
    </w:p>
    <w:p w14:paraId="7F513651">
      <w:pPr>
        <w:pStyle w:val="32"/>
        <w:keepNext w:val="0"/>
        <w:keepLines w:val="0"/>
        <w:pageBreakBefore w:val="0"/>
        <w:kinsoku/>
        <w:wordWrap/>
        <w:overflowPunct/>
        <w:topLinePunct w:val="0"/>
        <w:bidi w:val="0"/>
        <w:ind w:left="0" w:leftChars="0" w:right="0" w:firstLine="560" w:firstLineChars="200"/>
        <w:textAlignment w:val="auto"/>
      </w:pPr>
      <w:r>
        <w:rPr>
          <w:rFonts w:hint="eastAsia"/>
        </w:rPr>
        <w:t>h)快速排气阀应安装在配水干管顶部、配水管的末端，且应无渗漏。（B类）</w:t>
      </w:r>
    </w:p>
    <w:p w14:paraId="4AEB6DF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检测数量：每个防火分区、每个楼层抽检一处。</w:t>
      </w:r>
    </w:p>
    <w:p w14:paraId="53FBFCA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检测方法：对照设计文件，直观检查。</w:t>
      </w:r>
    </w:p>
    <w:p w14:paraId="3EBC84F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检测器具：钢直尺。</w:t>
      </w:r>
    </w:p>
    <w:p w14:paraId="3AD6CC56">
      <w:pPr>
        <w:pStyle w:val="32"/>
        <w:keepNext w:val="0"/>
        <w:keepLines w:val="0"/>
        <w:pageBreakBefore w:val="0"/>
        <w:kinsoku/>
        <w:wordWrap/>
        <w:overflowPunct/>
        <w:topLinePunct w:val="0"/>
        <w:bidi w:val="0"/>
        <w:ind w:left="0" w:leftChars="0" w:right="0" w:firstLine="560" w:firstLineChars="200"/>
        <w:textAlignment w:val="auto"/>
      </w:pPr>
      <w:r>
        <w:t>9.</w:t>
      </w:r>
      <w:r>
        <w:rPr>
          <w:rFonts w:hint="eastAsia"/>
        </w:rPr>
        <w:t>13.2.4系统功能</w:t>
      </w:r>
    </w:p>
    <w:p w14:paraId="6A2646D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51C2E23">
      <w:pPr>
        <w:pStyle w:val="32"/>
        <w:keepNext w:val="0"/>
        <w:keepLines w:val="0"/>
        <w:pageBreakBefore w:val="0"/>
        <w:kinsoku/>
        <w:wordWrap/>
        <w:overflowPunct/>
        <w:topLinePunct w:val="0"/>
        <w:bidi w:val="0"/>
        <w:ind w:left="0" w:leftChars="0" w:right="0" w:firstLine="560" w:firstLineChars="200"/>
        <w:textAlignment w:val="auto"/>
      </w:pPr>
      <w:r>
        <w:rPr>
          <w:rFonts w:hint="eastAsia"/>
        </w:rPr>
        <w:t>a)由火灾自动报警系统和充气管道上设置的压力开关开启预作用装置的预作用系统，其配水管道充水时间不宜大于1min；仅由火灾自动报警系统联动开启预作用装置的预作用系统，其配水管道充水时间不宜大于2min；（C类）</w:t>
      </w:r>
    </w:p>
    <w:p w14:paraId="64139BD3">
      <w:pPr>
        <w:pStyle w:val="32"/>
        <w:keepNext w:val="0"/>
        <w:keepLines w:val="0"/>
        <w:pageBreakBefore w:val="0"/>
        <w:kinsoku/>
        <w:wordWrap/>
        <w:overflowPunct/>
        <w:topLinePunct w:val="0"/>
        <w:bidi w:val="0"/>
        <w:ind w:left="0" w:leftChars="0" w:right="0" w:firstLine="560" w:firstLineChars="200"/>
        <w:textAlignment w:val="auto"/>
      </w:pPr>
      <w:r>
        <w:rPr>
          <w:rFonts w:hint="eastAsia"/>
        </w:rPr>
        <w:t>b)火灾报警控制器确认火灾后，应自动启动预作用装置、排气阀入口电动阀及消防水泵，水流指示器、压力开关应动作；消防控制设备应显示电动阀、水流指示器及消防水泵的反馈信号；（A类）</w:t>
      </w:r>
    </w:p>
    <w:p w14:paraId="2FF3E589">
      <w:pPr>
        <w:pStyle w:val="32"/>
        <w:keepNext w:val="0"/>
        <w:keepLines w:val="0"/>
        <w:pageBreakBefore w:val="0"/>
        <w:kinsoku/>
        <w:wordWrap/>
        <w:overflowPunct/>
        <w:topLinePunct w:val="0"/>
        <w:bidi w:val="0"/>
        <w:ind w:left="0" w:leftChars="0" w:right="0" w:firstLine="560" w:firstLineChars="200"/>
        <w:textAlignment w:val="auto"/>
      </w:pPr>
      <w:r>
        <w:rPr>
          <w:rFonts w:hint="eastAsia"/>
        </w:rPr>
        <w:t>c)消防联动控制器手动控制盘应能控制预作用阀组、排气阀前电动阀的开启和关闭。（A类）</w:t>
      </w:r>
    </w:p>
    <w:p w14:paraId="51DCF49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F029B48">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0B466232">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a）对探测器输入模拟火灾信号，待预作用装置开启后，用秒表测试配水管道的充水时间；</w:t>
      </w:r>
    </w:p>
    <w:p w14:paraId="2E1FD0C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b）对探测器输入模拟火灾信号，待预作用装置开启后，查看消防控制设备显示的电动阀、压力开关、水流指示器、消防水泵的动作情况以及信号反馈情况；</w:t>
      </w:r>
    </w:p>
    <w:p w14:paraId="59D92130">
      <w:pPr>
        <w:pStyle w:val="32"/>
        <w:keepNext w:val="0"/>
        <w:keepLines w:val="0"/>
        <w:pageBreakBefore w:val="0"/>
        <w:kinsoku/>
        <w:wordWrap/>
        <w:overflowPunct/>
        <w:topLinePunct w:val="0"/>
        <w:bidi w:val="0"/>
        <w:ind w:left="0" w:leftChars="0" w:right="0" w:firstLine="560" w:firstLineChars="200"/>
        <w:textAlignment w:val="auto"/>
      </w:pPr>
      <w:r>
        <w:rPr>
          <w:rFonts w:hint="eastAsia"/>
        </w:rPr>
        <w:t>c）手动操作消防联动控制器手动控制盘的预作用阀组、排气阀前电动阀的开启控制按钮、按键，对应的预作用阀组、排气阀前电动阀应开启；手动操作消防联动控制器手动控制盘的预作用阀组、排气阀前电动阀的关闭控制按钮、按键，对应的预作用阀组、排气阀前电动阀应关闭。</w:t>
      </w:r>
    </w:p>
    <w:p w14:paraId="012145A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检测器具：秒表、感烟探测器功能试验器、喷水末端试水接头。</w:t>
      </w:r>
    </w:p>
    <w:p w14:paraId="36974C0D">
      <w:pPr>
        <w:pStyle w:val="32"/>
        <w:keepNext w:val="0"/>
        <w:keepLines w:val="0"/>
        <w:pageBreakBefore w:val="0"/>
        <w:kinsoku/>
        <w:wordWrap/>
        <w:overflowPunct/>
        <w:topLinePunct w:val="0"/>
        <w:bidi w:val="0"/>
        <w:ind w:left="0" w:leftChars="0" w:right="0" w:firstLine="560" w:firstLineChars="200"/>
        <w:textAlignment w:val="auto"/>
      </w:pPr>
      <w:r>
        <w:rPr>
          <w:rFonts w:hint="eastAsia"/>
        </w:rPr>
        <w:t>9.14气体灭火系统</w:t>
      </w:r>
    </w:p>
    <w:p w14:paraId="201F72C9">
      <w:pPr>
        <w:pStyle w:val="32"/>
        <w:keepNext w:val="0"/>
        <w:keepLines w:val="0"/>
        <w:pageBreakBefore w:val="0"/>
        <w:kinsoku/>
        <w:wordWrap/>
        <w:overflowPunct/>
        <w:topLinePunct w:val="0"/>
        <w:bidi w:val="0"/>
        <w:ind w:left="0" w:leftChars="0" w:right="0" w:firstLine="560" w:firstLineChars="200"/>
        <w:textAlignment w:val="auto"/>
      </w:pPr>
      <w:r>
        <w:rPr>
          <w:rFonts w:hint="eastAsia"/>
        </w:rPr>
        <w:t>9.14.1一般规定</w:t>
      </w:r>
    </w:p>
    <w:p w14:paraId="54B2B64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11309D6F">
      <w:pPr>
        <w:pStyle w:val="32"/>
        <w:keepNext w:val="0"/>
        <w:keepLines w:val="0"/>
        <w:pageBreakBefore w:val="0"/>
        <w:kinsoku/>
        <w:wordWrap/>
        <w:overflowPunct/>
        <w:topLinePunct w:val="0"/>
        <w:bidi w:val="0"/>
        <w:ind w:left="0" w:leftChars="0" w:right="0" w:firstLine="560" w:firstLineChars="200"/>
        <w:textAlignment w:val="auto"/>
      </w:pPr>
      <w:r>
        <w:rPr>
          <w:rFonts w:hint="eastAsia"/>
        </w:rPr>
        <w:t>a)系统设置类型、性能参数应与设计文件相符；（A类）</w:t>
      </w:r>
    </w:p>
    <w:p w14:paraId="416359DE">
      <w:pPr>
        <w:pStyle w:val="32"/>
        <w:keepNext w:val="0"/>
        <w:keepLines w:val="0"/>
        <w:pageBreakBefore w:val="0"/>
        <w:kinsoku/>
        <w:wordWrap/>
        <w:overflowPunct/>
        <w:topLinePunct w:val="0"/>
        <w:bidi w:val="0"/>
        <w:ind w:left="0" w:leftChars="0" w:right="0" w:firstLine="560" w:firstLineChars="200"/>
        <w:textAlignment w:val="auto"/>
      </w:pPr>
      <w:r>
        <w:rPr>
          <w:rFonts w:hint="eastAsia"/>
        </w:rPr>
        <w:t>b)设有消防控制室的场所，各防护区灭火控制系统的有关信息，应传送给消防控制室；（B类）</w:t>
      </w:r>
    </w:p>
    <w:p w14:paraId="5C84A0CC">
      <w:pPr>
        <w:pStyle w:val="32"/>
        <w:keepNext w:val="0"/>
        <w:keepLines w:val="0"/>
        <w:pageBreakBefore w:val="0"/>
        <w:kinsoku/>
        <w:wordWrap/>
        <w:overflowPunct/>
        <w:topLinePunct w:val="0"/>
        <w:bidi w:val="0"/>
        <w:ind w:left="0" w:leftChars="0" w:right="0" w:firstLine="560" w:firstLineChars="200"/>
        <w:textAlignment w:val="auto"/>
      </w:pPr>
      <w:r>
        <w:rPr>
          <w:rFonts w:hint="eastAsia"/>
        </w:rPr>
        <w:t>c)管网灭火系统应设自动控制、手动控制和机械应急操作三种启动方式。预制灭火系统应设自动控制和手动控制两种启动方式；（A类）</w:t>
      </w:r>
    </w:p>
    <w:p w14:paraId="639ECC07">
      <w:pPr>
        <w:pStyle w:val="32"/>
        <w:keepNext w:val="0"/>
        <w:keepLines w:val="0"/>
        <w:pageBreakBefore w:val="0"/>
        <w:kinsoku/>
        <w:wordWrap/>
        <w:overflowPunct/>
        <w:topLinePunct w:val="0"/>
        <w:bidi w:val="0"/>
        <w:ind w:left="0" w:leftChars="0" w:right="0" w:firstLine="560" w:firstLineChars="200"/>
        <w:textAlignment w:val="auto"/>
      </w:pPr>
      <w:r>
        <w:rPr>
          <w:rFonts w:hint="eastAsia"/>
        </w:rPr>
        <w:t>d)采用自动控制启动方式时，根据人员安全撤离防护区的需要，应有不大于30s的可控延迟喷射。对于平时无人工作的防护区，可设置为无延迟的喷射；（B类）</w:t>
      </w:r>
    </w:p>
    <w:p w14:paraId="261C3BE3">
      <w:pPr>
        <w:pStyle w:val="32"/>
        <w:keepNext w:val="0"/>
        <w:keepLines w:val="0"/>
        <w:pageBreakBefore w:val="0"/>
        <w:kinsoku/>
        <w:wordWrap/>
        <w:overflowPunct/>
        <w:topLinePunct w:val="0"/>
        <w:bidi w:val="0"/>
        <w:ind w:left="0" w:leftChars="0" w:right="0" w:firstLine="560" w:firstLineChars="200"/>
        <w:textAlignment w:val="auto"/>
      </w:pPr>
      <w:r>
        <w:rPr>
          <w:rFonts w:hint="eastAsia"/>
        </w:rPr>
        <w:t>e)低压二氧化碳储瓶的制冷装置应正常运行，控制的温度和压力应与设计文件相符；（A类）</w:t>
      </w:r>
    </w:p>
    <w:p w14:paraId="22192AC1">
      <w:pPr>
        <w:pStyle w:val="32"/>
        <w:keepNext w:val="0"/>
        <w:keepLines w:val="0"/>
        <w:pageBreakBefore w:val="0"/>
        <w:kinsoku/>
        <w:wordWrap/>
        <w:overflowPunct/>
        <w:topLinePunct w:val="0"/>
        <w:bidi w:val="0"/>
        <w:ind w:left="0" w:leftChars="0" w:right="0" w:firstLine="560" w:firstLineChars="200"/>
        <w:textAlignment w:val="auto"/>
      </w:pPr>
      <w:r>
        <w:rPr>
          <w:rFonts w:hint="eastAsia"/>
        </w:rPr>
        <w:t>f)低压二氧化碳储瓶的制冷装置应采用专用供电回路供电。（B类）</w:t>
      </w:r>
    </w:p>
    <w:p w14:paraId="5CAB2ED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B107043">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62760A0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w:t>
      </w:r>
    </w:p>
    <w:p w14:paraId="3269ED67">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b)模拟火灾、灭火动作、手动自动转换、设备故障信号，查看消防控制室反馈信号；</w:t>
      </w:r>
    </w:p>
    <w:p w14:paraId="493950F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c)气体灭火控制器设置在自动状态，触发火警信号，查看启动方式是否正常。气体灭火控制器设置在手动状态触发手动控制按钮，查看启动方式是否正常。在储瓶间内直接按下驱动装置容器阀的机械机构，查看启动方式是否正常；</w:t>
      </w:r>
    </w:p>
    <w:p w14:paraId="36022F1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d)控制设定在自动状态，模拟火灾确认，用秒表测量火灾确认后到喷射的时间；</w:t>
      </w:r>
    </w:p>
    <w:p w14:paraId="2872E786">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e)对照设计文件，查看制冷装置的温度和压力是否正常；</w:t>
      </w:r>
    </w:p>
    <w:p w14:paraId="54BC3786">
      <w:pPr>
        <w:pStyle w:val="32"/>
        <w:keepNext w:val="0"/>
        <w:keepLines w:val="0"/>
        <w:pageBreakBefore w:val="0"/>
        <w:kinsoku/>
        <w:wordWrap/>
        <w:overflowPunct/>
        <w:topLinePunct w:val="0"/>
        <w:bidi w:val="0"/>
        <w:ind w:left="0" w:leftChars="0" w:right="0" w:firstLine="560" w:firstLineChars="200"/>
        <w:textAlignment w:val="auto"/>
      </w:pPr>
      <w:r>
        <w:rPr>
          <w:rFonts w:hint="eastAsia"/>
        </w:rPr>
        <w:t>f)直观检查。</w:t>
      </w:r>
    </w:p>
    <w:p w14:paraId="432C2FD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检测器具：秒表、感烟（温）探测器功能试验器。</w:t>
      </w:r>
    </w:p>
    <w:p w14:paraId="48C8F333">
      <w:pPr>
        <w:pStyle w:val="32"/>
        <w:keepNext w:val="0"/>
        <w:keepLines w:val="0"/>
        <w:pageBreakBefore w:val="0"/>
        <w:kinsoku/>
        <w:wordWrap/>
        <w:overflowPunct/>
        <w:topLinePunct w:val="0"/>
        <w:bidi w:val="0"/>
        <w:ind w:left="0" w:leftChars="0" w:right="0" w:firstLine="560" w:firstLineChars="200"/>
        <w:textAlignment w:val="auto"/>
      </w:pPr>
      <w:r>
        <w:rPr>
          <w:rFonts w:hint="eastAsia"/>
        </w:rPr>
        <w:t>9.14.2环境和温度</w:t>
      </w:r>
    </w:p>
    <w:p w14:paraId="0B00445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8738277">
      <w:pPr>
        <w:pStyle w:val="32"/>
        <w:keepNext w:val="0"/>
        <w:keepLines w:val="0"/>
        <w:pageBreakBefore w:val="0"/>
        <w:kinsoku/>
        <w:wordWrap/>
        <w:overflowPunct/>
        <w:topLinePunct w:val="0"/>
        <w:bidi w:val="0"/>
        <w:ind w:left="0" w:leftChars="0" w:right="0" w:firstLine="560" w:firstLineChars="200"/>
        <w:textAlignment w:val="auto"/>
      </w:pPr>
      <w:r>
        <w:rPr>
          <w:rFonts w:hint="eastAsia"/>
        </w:rPr>
        <w:t>a)防护区的最低环境温度不应低于-10℃；（B类）</w:t>
      </w:r>
    </w:p>
    <w:p w14:paraId="0BD151A0">
      <w:pPr>
        <w:pStyle w:val="32"/>
        <w:keepNext w:val="0"/>
        <w:keepLines w:val="0"/>
        <w:pageBreakBefore w:val="0"/>
        <w:kinsoku/>
        <w:wordWrap/>
        <w:overflowPunct/>
        <w:topLinePunct w:val="0"/>
        <w:bidi w:val="0"/>
        <w:ind w:left="0" w:leftChars="0" w:right="0" w:firstLine="560" w:firstLineChars="200"/>
        <w:textAlignment w:val="auto"/>
      </w:pPr>
      <w:r>
        <w:rPr>
          <w:rFonts w:hint="eastAsia"/>
        </w:rPr>
        <w:t>b)储瓶间和设置预制灭火系统的防护区的环境温度应为-10℃～50℃；（B类）</w:t>
      </w:r>
    </w:p>
    <w:p w14:paraId="0883E4D8">
      <w:pPr>
        <w:pStyle w:val="32"/>
        <w:keepNext w:val="0"/>
        <w:keepLines w:val="0"/>
        <w:pageBreakBefore w:val="0"/>
        <w:kinsoku/>
        <w:wordWrap/>
        <w:overflowPunct/>
        <w:topLinePunct w:val="0"/>
        <w:bidi w:val="0"/>
        <w:ind w:left="0" w:leftChars="0" w:right="0" w:firstLine="560" w:firstLineChars="200"/>
        <w:textAlignment w:val="auto"/>
      </w:pPr>
      <w:r>
        <w:rPr>
          <w:rFonts w:hint="eastAsia"/>
        </w:rPr>
        <w:t>c)高压系统二氧化碳储存装置的环境温度应为0℃～49℃。（B类）</w:t>
      </w:r>
    </w:p>
    <w:p w14:paraId="0C2EBC7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6048E8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检测方法：使用数字温湿度计测量温度。</w:t>
      </w:r>
    </w:p>
    <w:p w14:paraId="6A51831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检测器具：数字温湿度计。</w:t>
      </w:r>
    </w:p>
    <w:p w14:paraId="341D64B2">
      <w:pPr>
        <w:pStyle w:val="32"/>
        <w:keepNext w:val="0"/>
        <w:keepLines w:val="0"/>
        <w:pageBreakBefore w:val="0"/>
        <w:kinsoku/>
        <w:wordWrap/>
        <w:overflowPunct/>
        <w:topLinePunct w:val="0"/>
        <w:bidi w:val="0"/>
        <w:ind w:left="0" w:leftChars="0" w:right="0" w:firstLine="560" w:firstLineChars="200"/>
        <w:textAlignment w:val="auto"/>
      </w:pPr>
      <w:r>
        <w:rPr>
          <w:rFonts w:hint="eastAsia"/>
        </w:rPr>
        <w:t>9.14.3气体灭火控制器和组件</w:t>
      </w:r>
    </w:p>
    <w:p w14:paraId="1AB075A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6B51D07">
      <w:pPr>
        <w:pStyle w:val="32"/>
        <w:keepNext w:val="0"/>
        <w:keepLines w:val="0"/>
        <w:pageBreakBefore w:val="0"/>
        <w:kinsoku/>
        <w:wordWrap/>
        <w:overflowPunct/>
        <w:topLinePunct w:val="0"/>
        <w:bidi w:val="0"/>
        <w:ind w:left="0" w:leftChars="0" w:right="0" w:firstLine="560" w:firstLineChars="200"/>
        <w:textAlignment w:val="auto"/>
      </w:pPr>
      <w:r>
        <w:rPr>
          <w:rFonts w:hint="eastAsia"/>
        </w:rPr>
        <w:t>a)灭火剂储存容器及容器阀、单向阀、连接管、集流管、选择阀、安全泄放装置、阀驱动装置、喷嘴、信号反馈装置、检漏装置、减压装置等系统组件无碰撞变形及其他机械性损伤、表面保护涂层完好、封闭良好、铭牌清晰、牢固、方向正确；（B类）</w:t>
      </w:r>
    </w:p>
    <w:p w14:paraId="23E125B4">
      <w:pPr>
        <w:pStyle w:val="32"/>
        <w:keepNext w:val="0"/>
        <w:keepLines w:val="0"/>
        <w:pageBreakBefore w:val="0"/>
        <w:kinsoku/>
        <w:wordWrap/>
        <w:overflowPunct/>
        <w:topLinePunct w:val="0"/>
        <w:bidi w:val="0"/>
        <w:ind w:left="0" w:leftChars="0" w:right="0" w:firstLine="560" w:firstLineChars="200"/>
        <w:textAlignment w:val="auto"/>
      </w:pPr>
      <w:r>
        <w:rPr>
          <w:rFonts w:hint="eastAsia"/>
        </w:rPr>
        <w:t>b)机械应急操作装置应设在储瓶间内或防护区疏散出口门外便于操作的地方；（B类）</w:t>
      </w:r>
    </w:p>
    <w:p w14:paraId="3913A701">
      <w:pPr>
        <w:pStyle w:val="32"/>
        <w:keepNext w:val="0"/>
        <w:keepLines w:val="0"/>
        <w:pageBreakBefore w:val="0"/>
        <w:kinsoku/>
        <w:wordWrap/>
        <w:overflowPunct/>
        <w:topLinePunct w:val="0"/>
        <w:bidi w:val="0"/>
        <w:ind w:left="0" w:leftChars="0" w:right="0" w:firstLine="560" w:firstLineChars="200"/>
        <w:textAlignment w:val="auto"/>
      </w:pPr>
      <w:r>
        <w:rPr>
          <w:rFonts w:hint="eastAsia"/>
        </w:rPr>
        <w:t>c)气体喷放指示灯宜安装在防护区入口的正上方；（C类）</w:t>
      </w:r>
    </w:p>
    <w:p w14:paraId="0A813589">
      <w:pPr>
        <w:pStyle w:val="32"/>
        <w:keepNext w:val="0"/>
        <w:keepLines w:val="0"/>
        <w:pageBreakBefore w:val="0"/>
        <w:kinsoku/>
        <w:wordWrap/>
        <w:overflowPunct/>
        <w:topLinePunct w:val="0"/>
        <w:bidi w:val="0"/>
        <w:ind w:left="0" w:leftChars="0" w:right="0" w:firstLine="560" w:firstLineChars="200"/>
        <w:textAlignment w:val="auto"/>
      </w:pPr>
      <w:r>
        <w:rPr>
          <w:rFonts w:hint="eastAsia"/>
        </w:rPr>
        <w:t>d)柜式气体灭火装置、热气溶胶灭火装置等预制灭火系统及其控制器、声光报警器的安装位置应与设计文件相符，并固定牢靠；（B类）</w:t>
      </w:r>
    </w:p>
    <w:p w14:paraId="413F6ADE">
      <w:pPr>
        <w:pStyle w:val="32"/>
        <w:keepNext w:val="0"/>
        <w:keepLines w:val="0"/>
        <w:pageBreakBefore w:val="0"/>
        <w:kinsoku/>
        <w:wordWrap/>
        <w:overflowPunct/>
        <w:topLinePunct w:val="0"/>
        <w:bidi w:val="0"/>
        <w:ind w:left="0" w:leftChars="0" w:right="0" w:firstLine="560" w:firstLineChars="200"/>
        <w:textAlignment w:val="auto"/>
      </w:pPr>
      <w:r>
        <w:rPr>
          <w:rFonts w:hint="eastAsia"/>
        </w:rPr>
        <w:t>e)设置在防护区处的手动、自动转换开关应安装在防护区入口便于操作的部位，安装高度为中心点距地（楼）面1.5m；（B类）</w:t>
      </w:r>
    </w:p>
    <w:p w14:paraId="74C8A867">
      <w:pPr>
        <w:pStyle w:val="32"/>
        <w:keepNext w:val="0"/>
        <w:keepLines w:val="0"/>
        <w:pageBreakBefore w:val="0"/>
        <w:kinsoku/>
        <w:wordWrap/>
        <w:overflowPunct/>
        <w:topLinePunct w:val="0"/>
        <w:bidi w:val="0"/>
        <w:ind w:left="0" w:leftChars="0" w:right="0" w:firstLine="560" w:firstLineChars="200"/>
        <w:textAlignment w:val="auto"/>
      </w:pPr>
      <w:r>
        <w:rPr>
          <w:rFonts w:hint="eastAsia"/>
        </w:rPr>
        <w:t>f)手动启动、停止按钮应安装在防护区入口便于操作的部位，安装高度为中心点距地（楼）面1.5m，并应安装牢固，不得倾斜；（B类）</w:t>
      </w:r>
    </w:p>
    <w:p w14:paraId="15202E16">
      <w:pPr>
        <w:pStyle w:val="32"/>
        <w:keepNext w:val="0"/>
        <w:keepLines w:val="0"/>
        <w:pageBreakBefore w:val="0"/>
        <w:kinsoku/>
        <w:wordWrap/>
        <w:overflowPunct/>
        <w:topLinePunct w:val="0"/>
        <w:bidi w:val="0"/>
        <w:ind w:left="0" w:leftChars="0" w:right="0" w:firstLine="560" w:firstLineChars="200"/>
        <w:textAlignment w:val="auto"/>
      </w:pPr>
      <w:r>
        <w:rPr>
          <w:rFonts w:hint="eastAsia"/>
        </w:rPr>
        <w:t>g)热气溶胶预制灭火系统一台以上灭火装置之间的电启动线路应采用串联连接；（B类）</w:t>
      </w:r>
    </w:p>
    <w:p w14:paraId="4240C361">
      <w:pPr>
        <w:pStyle w:val="32"/>
        <w:keepNext w:val="0"/>
        <w:keepLines w:val="0"/>
        <w:pageBreakBefore w:val="0"/>
        <w:kinsoku/>
        <w:wordWrap/>
        <w:overflowPunct/>
        <w:topLinePunct w:val="0"/>
        <w:bidi w:val="0"/>
        <w:ind w:left="0" w:leftChars="0" w:right="0" w:firstLine="560" w:firstLineChars="200"/>
        <w:textAlignment w:val="auto"/>
      </w:pPr>
      <w:r>
        <w:rPr>
          <w:rFonts w:hint="eastAsia"/>
        </w:rPr>
        <w:t>h)热气溶胶预制灭火系统每台灭火装置均应具备启动反馈功能。（B类）</w:t>
      </w:r>
    </w:p>
    <w:p w14:paraId="53A5118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DC35CC9">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3EEE707E">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a)～c)直观检查；</w:t>
      </w:r>
    </w:p>
    <w:p w14:paraId="10AFA17E">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d)对照设计文件，直观检查；</w:t>
      </w:r>
    </w:p>
    <w:p w14:paraId="7D07159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e)f)尺量；</w:t>
      </w:r>
    </w:p>
    <w:p w14:paraId="435B5469">
      <w:pPr>
        <w:pStyle w:val="32"/>
        <w:keepNext w:val="0"/>
        <w:keepLines w:val="0"/>
        <w:pageBreakBefore w:val="0"/>
        <w:kinsoku/>
        <w:wordWrap/>
        <w:overflowPunct/>
        <w:topLinePunct w:val="0"/>
        <w:bidi w:val="0"/>
        <w:ind w:left="0" w:leftChars="0" w:right="0" w:firstLine="560" w:firstLineChars="200"/>
        <w:textAlignment w:val="auto"/>
      </w:pPr>
      <w:r>
        <w:rPr>
          <w:rFonts w:hint="eastAsia"/>
        </w:rPr>
        <w:t>g)h)直观检查。</w:t>
      </w:r>
    </w:p>
    <w:p w14:paraId="7DEE87F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31CF701D">
      <w:pPr>
        <w:pStyle w:val="32"/>
        <w:keepNext w:val="0"/>
        <w:keepLines w:val="0"/>
        <w:pageBreakBefore w:val="0"/>
        <w:kinsoku/>
        <w:wordWrap/>
        <w:overflowPunct/>
        <w:topLinePunct w:val="0"/>
        <w:bidi w:val="0"/>
        <w:ind w:left="0" w:leftChars="0" w:right="0" w:firstLine="560" w:firstLineChars="200"/>
        <w:textAlignment w:val="auto"/>
      </w:pPr>
      <w:r>
        <w:rPr>
          <w:rFonts w:hint="eastAsia"/>
        </w:rPr>
        <w:t>9.14.4防护区</w:t>
      </w:r>
    </w:p>
    <w:p w14:paraId="0ECC3E9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检测要求：防护区的大小、设置位置应与设计文件相符。（A类）</w:t>
      </w:r>
    </w:p>
    <w:p w14:paraId="29D6329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7A825EB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w:t>
      </w:r>
    </w:p>
    <w:p w14:paraId="3D79328F">
      <w:pPr>
        <w:pStyle w:val="32"/>
        <w:keepNext w:val="0"/>
        <w:keepLines w:val="0"/>
        <w:pageBreakBefore w:val="0"/>
        <w:kinsoku/>
        <w:wordWrap/>
        <w:overflowPunct/>
        <w:topLinePunct w:val="0"/>
        <w:bidi w:val="0"/>
        <w:ind w:left="0" w:leftChars="0" w:right="0" w:firstLine="560" w:firstLineChars="200"/>
        <w:textAlignment w:val="auto"/>
      </w:pPr>
      <w:r>
        <w:rPr>
          <w:rFonts w:hint="eastAsia"/>
        </w:rPr>
        <w:t>9.14.5储存装置间</w:t>
      </w:r>
    </w:p>
    <w:p w14:paraId="4B9DADD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E9BAB91">
      <w:pPr>
        <w:pStyle w:val="32"/>
        <w:keepNext w:val="0"/>
        <w:keepLines w:val="0"/>
        <w:pageBreakBefore w:val="0"/>
        <w:kinsoku/>
        <w:wordWrap/>
        <w:overflowPunct/>
        <w:topLinePunct w:val="0"/>
        <w:bidi w:val="0"/>
        <w:ind w:left="0" w:leftChars="0" w:right="0" w:firstLine="560" w:firstLineChars="200"/>
        <w:textAlignment w:val="auto"/>
      </w:pPr>
      <w:r>
        <w:rPr>
          <w:rFonts w:hint="eastAsia"/>
        </w:rPr>
        <w:t>a)储瓶间的门应向外开启；（B类）</w:t>
      </w:r>
    </w:p>
    <w:p w14:paraId="287F8EC1">
      <w:pPr>
        <w:pStyle w:val="32"/>
        <w:keepNext w:val="0"/>
        <w:keepLines w:val="0"/>
        <w:pageBreakBefore w:val="0"/>
        <w:kinsoku/>
        <w:wordWrap/>
        <w:overflowPunct/>
        <w:topLinePunct w:val="0"/>
        <w:bidi w:val="0"/>
        <w:ind w:left="0" w:leftChars="0" w:right="0" w:firstLine="560" w:firstLineChars="200"/>
        <w:textAlignment w:val="auto"/>
      </w:pPr>
      <w:r>
        <w:rPr>
          <w:rFonts w:hint="eastAsia"/>
        </w:rPr>
        <w:t>b)储瓶间内应设应急照明，且最低照度不低于正常照明的照度；（B类）</w:t>
      </w:r>
    </w:p>
    <w:p w14:paraId="1FEB243F">
      <w:pPr>
        <w:pStyle w:val="32"/>
        <w:keepNext w:val="0"/>
        <w:keepLines w:val="0"/>
        <w:pageBreakBefore w:val="0"/>
        <w:kinsoku/>
        <w:wordWrap/>
        <w:overflowPunct/>
        <w:topLinePunct w:val="0"/>
        <w:bidi w:val="0"/>
        <w:ind w:left="0" w:leftChars="0" w:right="0" w:firstLine="560" w:firstLineChars="200"/>
        <w:textAlignment w:val="auto"/>
      </w:pPr>
      <w:r>
        <w:rPr>
          <w:rFonts w:hint="eastAsia"/>
        </w:rPr>
        <w:t>c)管网灭火系统的储存装置宜设在专用储瓶间内。（C类）</w:t>
      </w:r>
    </w:p>
    <w:p w14:paraId="6BD47BF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49BA1B5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5FC9A3D4">
      <w:pPr>
        <w:pStyle w:val="32"/>
        <w:keepNext w:val="0"/>
        <w:keepLines w:val="0"/>
        <w:pageBreakBefore w:val="0"/>
        <w:kinsoku/>
        <w:wordWrap/>
        <w:overflowPunct/>
        <w:topLinePunct w:val="0"/>
        <w:bidi w:val="0"/>
        <w:ind w:left="0" w:leftChars="0" w:right="0" w:firstLine="560" w:firstLineChars="200"/>
        <w:textAlignment w:val="auto"/>
      </w:pPr>
      <w:r>
        <w:rPr>
          <w:rFonts w:hint="eastAsia"/>
        </w:rPr>
        <w:t>9.14.6储存装置</w:t>
      </w:r>
    </w:p>
    <w:p w14:paraId="4AE35A0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914685F">
      <w:pPr>
        <w:pStyle w:val="32"/>
        <w:keepNext w:val="0"/>
        <w:keepLines w:val="0"/>
        <w:pageBreakBefore w:val="0"/>
        <w:kinsoku/>
        <w:wordWrap/>
        <w:overflowPunct/>
        <w:topLinePunct w:val="0"/>
        <w:bidi w:val="0"/>
        <w:ind w:left="0" w:leftChars="0" w:right="0" w:firstLine="560" w:firstLineChars="200"/>
        <w:textAlignment w:val="auto"/>
      </w:pPr>
      <w:r>
        <w:rPr>
          <w:rFonts w:hint="eastAsia"/>
        </w:rPr>
        <w:t>a)灭火剂储存装置不能超出设计使用年限，其数量、设置位置应与设计文件相符；（A类）</w:t>
      </w:r>
    </w:p>
    <w:p w14:paraId="1F2ABB31">
      <w:pPr>
        <w:pStyle w:val="32"/>
        <w:keepNext w:val="0"/>
        <w:keepLines w:val="0"/>
        <w:pageBreakBefore w:val="0"/>
        <w:kinsoku/>
        <w:wordWrap/>
        <w:overflowPunct/>
        <w:topLinePunct w:val="0"/>
        <w:bidi w:val="0"/>
        <w:ind w:left="0" w:leftChars="0" w:right="0" w:firstLine="560" w:firstLineChars="200"/>
        <w:textAlignment w:val="auto"/>
      </w:pPr>
      <w:r>
        <w:rPr>
          <w:rFonts w:hint="eastAsia"/>
        </w:rPr>
        <w:t>b)储存装置的布置，应便于操作、维修及避免阳光照射。操作面距墙面或两操作面之间的距离，不宜小于1.0m，且不应小于储存容器外径的1.5倍；（B类）</w:t>
      </w:r>
    </w:p>
    <w:p w14:paraId="09EFADC9">
      <w:pPr>
        <w:pStyle w:val="32"/>
        <w:keepNext w:val="0"/>
        <w:keepLines w:val="0"/>
        <w:pageBreakBefore w:val="0"/>
        <w:kinsoku/>
        <w:wordWrap/>
        <w:overflowPunct/>
        <w:topLinePunct w:val="0"/>
        <w:bidi w:val="0"/>
        <w:ind w:left="0" w:leftChars="0" w:right="0" w:firstLine="560" w:firstLineChars="200"/>
        <w:textAlignment w:val="auto"/>
      </w:pPr>
      <w:r>
        <w:rPr>
          <w:rFonts w:hint="eastAsia"/>
        </w:rPr>
        <w:t>c)同一规格的灭火剂储存容器，其高度差不宜超过20mm；（C类）</w:t>
      </w:r>
    </w:p>
    <w:p w14:paraId="30F1F579">
      <w:pPr>
        <w:pStyle w:val="32"/>
        <w:keepNext w:val="0"/>
        <w:keepLines w:val="0"/>
        <w:pageBreakBefore w:val="0"/>
        <w:kinsoku/>
        <w:wordWrap/>
        <w:overflowPunct/>
        <w:topLinePunct w:val="0"/>
        <w:bidi w:val="0"/>
        <w:ind w:left="0" w:leftChars="0" w:right="0" w:firstLine="560" w:firstLineChars="200"/>
        <w:textAlignment w:val="auto"/>
      </w:pPr>
      <w:r>
        <w:rPr>
          <w:rFonts w:hint="eastAsia"/>
        </w:rPr>
        <w:t>d)同一集流管上的储存容器，其规格、充压压力和充装量应相同；（B类）</w:t>
      </w:r>
    </w:p>
    <w:p w14:paraId="66A3CE6C">
      <w:pPr>
        <w:pStyle w:val="32"/>
        <w:keepNext w:val="0"/>
        <w:keepLines w:val="0"/>
        <w:pageBreakBefore w:val="0"/>
        <w:kinsoku/>
        <w:wordWrap/>
        <w:overflowPunct/>
        <w:topLinePunct w:val="0"/>
        <w:bidi w:val="0"/>
        <w:ind w:left="0" w:leftChars="0" w:right="0" w:firstLine="560" w:firstLineChars="200"/>
        <w:textAlignment w:val="auto"/>
      </w:pPr>
      <w:r>
        <w:rPr>
          <w:rFonts w:hint="eastAsia"/>
        </w:rPr>
        <w:t>e)容器阀和集流管之间应采用挠性连接。储存容器和集流管应采用支架固定；（B类）</w:t>
      </w:r>
    </w:p>
    <w:p w14:paraId="7208BA2F">
      <w:pPr>
        <w:pStyle w:val="32"/>
        <w:keepNext w:val="0"/>
        <w:keepLines w:val="0"/>
        <w:pageBreakBefore w:val="0"/>
        <w:kinsoku/>
        <w:wordWrap/>
        <w:overflowPunct/>
        <w:topLinePunct w:val="0"/>
        <w:bidi w:val="0"/>
        <w:ind w:left="0" w:leftChars="0" w:right="0" w:firstLine="560" w:firstLineChars="200"/>
        <w:textAlignment w:val="auto"/>
      </w:pPr>
      <w:r>
        <w:rPr>
          <w:rFonts w:hint="eastAsia"/>
        </w:rPr>
        <w:t>f)储存装置上应设耐久的固定铭牌，并应标明每个容器的编号、容积、皮重、灭火剂名称、充装量、充装日期和充压压力等，储存容器宜涂红色油漆；（B类）</w:t>
      </w:r>
    </w:p>
    <w:p w14:paraId="143ED11D">
      <w:pPr>
        <w:pStyle w:val="32"/>
        <w:keepNext w:val="0"/>
        <w:keepLines w:val="0"/>
        <w:pageBreakBefore w:val="0"/>
        <w:kinsoku/>
        <w:wordWrap/>
        <w:overflowPunct/>
        <w:topLinePunct w:val="0"/>
        <w:bidi w:val="0"/>
        <w:ind w:left="0" w:leftChars="0" w:right="0" w:firstLine="560" w:firstLineChars="200"/>
        <w:textAlignment w:val="auto"/>
      </w:pPr>
      <w:r>
        <w:rPr>
          <w:rFonts w:hint="eastAsia"/>
        </w:rPr>
        <w:t>g)在储存容器或容器阀上，应设安全泄压装置和压力表（外储压七氟丙烷灭火系统、高压二氧化碳灭火系统不设压力表）；（A类）</w:t>
      </w:r>
    </w:p>
    <w:p w14:paraId="0176575B">
      <w:pPr>
        <w:pStyle w:val="32"/>
        <w:keepNext w:val="0"/>
        <w:keepLines w:val="0"/>
        <w:pageBreakBefore w:val="0"/>
        <w:kinsoku/>
        <w:wordWrap/>
        <w:overflowPunct/>
        <w:topLinePunct w:val="0"/>
        <w:bidi w:val="0"/>
        <w:ind w:left="0" w:leftChars="0" w:right="0" w:firstLine="560" w:firstLineChars="200"/>
        <w:textAlignment w:val="auto"/>
      </w:pPr>
      <w:r>
        <w:rPr>
          <w:rFonts w:hint="eastAsia"/>
        </w:rPr>
        <w:t>h)七氟丙烷灭火系统在容器阀和集流管之间的管道上应设单向阀；（B类）</w:t>
      </w:r>
    </w:p>
    <w:p w14:paraId="1B1A36C0">
      <w:pPr>
        <w:pStyle w:val="32"/>
        <w:keepNext w:val="0"/>
        <w:keepLines w:val="0"/>
        <w:pageBreakBefore w:val="0"/>
        <w:kinsoku/>
        <w:wordWrap/>
        <w:overflowPunct/>
        <w:topLinePunct w:val="0"/>
        <w:bidi w:val="0"/>
        <w:ind w:left="0" w:leftChars="0" w:right="0" w:firstLine="560" w:firstLineChars="200"/>
        <w:textAlignment w:val="auto"/>
      </w:pPr>
      <w:r>
        <w:rPr>
          <w:rFonts w:hint="eastAsia"/>
        </w:rPr>
        <w:t>i)储存装置上压力计、液位计、称重显示装置的安装位置应便于人员观察和操作；（B类）</w:t>
      </w:r>
    </w:p>
    <w:p w14:paraId="14FA8063">
      <w:pPr>
        <w:pStyle w:val="32"/>
        <w:keepNext w:val="0"/>
        <w:keepLines w:val="0"/>
        <w:pageBreakBefore w:val="0"/>
        <w:kinsoku/>
        <w:wordWrap/>
        <w:overflowPunct/>
        <w:topLinePunct w:val="0"/>
        <w:bidi w:val="0"/>
        <w:ind w:left="0" w:leftChars="0" w:right="0" w:firstLine="560" w:firstLineChars="200"/>
        <w:textAlignment w:val="auto"/>
      </w:pPr>
      <w:r>
        <w:rPr>
          <w:rFonts w:hint="eastAsia"/>
        </w:rPr>
        <w:t>j)储存容器的支、框架应固定牢靠；（B类）</w:t>
      </w:r>
    </w:p>
    <w:p w14:paraId="2C0E0343">
      <w:pPr>
        <w:pStyle w:val="32"/>
        <w:keepNext w:val="0"/>
        <w:keepLines w:val="0"/>
        <w:pageBreakBefore w:val="0"/>
        <w:kinsoku/>
        <w:wordWrap/>
        <w:overflowPunct/>
        <w:topLinePunct w:val="0"/>
        <w:bidi w:val="0"/>
        <w:ind w:left="0" w:leftChars="0" w:right="0" w:firstLine="560" w:firstLineChars="200"/>
        <w:textAlignment w:val="auto"/>
      </w:pPr>
      <w:r>
        <w:rPr>
          <w:rFonts w:hint="eastAsia"/>
        </w:rPr>
        <w:t>k)低压二氧化碳灭火系统的安全阀应通过专用的泄压管接到室外；（A类）</w:t>
      </w:r>
    </w:p>
    <w:p w14:paraId="174337C5">
      <w:pPr>
        <w:pStyle w:val="32"/>
        <w:keepNext w:val="0"/>
        <w:keepLines w:val="0"/>
        <w:pageBreakBefore w:val="0"/>
        <w:kinsoku/>
        <w:wordWrap/>
        <w:overflowPunct/>
        <w:topLinePunct w:val="0"/>
        <w:bidi w:val="0"/>
        <w:ind w:left="0" w:leftChars="0" w:right="0" w:firstLine="560" w:firstLineChars="200"/>
        <w:textAlignment w:val="auto"/>
      </w:pPr>
      <w:r>
        <w:rPr>
          <w:rFonts w:hint="eastAsia"/>
        </w:rPr>
        <w:t>l)热气溶胶设置多台装置时，其相互间的距离不得大于10m。（B类）</w:t>
      </w:r>
    </w:p>
    <w:p w14:paraId="3799ACE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4E6550E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46A6196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w:t>
      </w:r>
    </w:p>
    <w:p w14:paraId="0DD8BB9A">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b)c)l)尺量；</w:t>
      </w:r>
    </w:p>
    <w:p w14:paraId="61D2172F">
      <w:pPr>
        <w:pStyle w:val="32"/>
        <w:keepNext w:val="0"/>
        <w:keepLines w:val="0"/>
        <w:pageBreakBefore w:val="0"/>
        <w:kinsoku/>
        <w:wordWrap/>
        <w:overflowPunct/>
        <w:topLinePunct w:val="0"/>
        <w:bidi w:val="0"/>
        <w:ind w:left="0" w:leftChars="0" w:right="0" w:firstLine="560" w:firstLineChars="200"/>
        <w:textAlignment w:val="auto"/>
      </w:pPr>
      <w:r>
        <w:rPr>
          <w:rFonts w:hint="eastAsia"/>
        </w:rPr>
        <w:t>d)～k)直观检查。</w:t>
      </w:r>
    </w:p>
    <w:p w14:paraId="73DD5C3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检测器具：钢直尺、钢卷尺。</w:t>
      </w:r>
    </w:p>
    <w:p w14:paraId="2AD0E63D">
      <w:pPr>
        <w:pStyle w:val="32"/>
        <w:keepNext w:val="0"/>
        <w:keepLines w:val="0"/>
        <w:pageBreakBefore w:val="0"/>
        <w:kinsoku/>
        <w:wordWrap/>
        <w:overflowPunct/>
        <w:topLinePunct w:val="0"/>
        <w:bidi w:val="0"/>
        <w:ind w:left="0" w:leftChars="0" w:right="0" w:firstLine="560" w:firstLineChars="200"/>
        <w:textAlignment w:val="auto"/>
      </w:pPr>
      <w:r>
        <w:rPr>
          <w:rFonts w:hint="eastAsia"/>
        </w:rPr>
        <w:t>9.14.7驱动装置</w:t>
      </w:r>
    </w:p>
    <w:p w14:paraId="40FD8CE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B7BC53F">
      <w:pPr>
        <w:pStyle w:val="32"/>
        <w:keepNext w:val="0"/>
        <w:keepLines w:val="0"/>
        <w:pageBreakBefore w:val="0"/>
        <w:kinsoku/>
        <w:wordWrap/>
        <w:overflowPunct/>
        <w:topLinePunct w:val="0"/>
        <w:bidi w:val="0"/>
        <w:ind w:left="0" w:leftChars="0" w:right="0" w:firstLine="560" w:firstLineChars="200"/>
        <w:textAlignment w:val="auto"/>
      </w:pPr>
      <w:r>
        <w:rPr>
          <w:rFonts w:hint="eastAsia"/>
        </w:rPr>
        <w:t>a)驱动装置类型应与设计文件相符；（A类）</w:t>
      </w:r>
    </w:p>
    <w:p w14:paraId="7F6F5F90">
      <w:pPr>
        <w:pStyle w:val="32"/>
        <w:keepNext w:val="0"/>
        <w:keepLines w:val="0"/>
        <w:pageBreakBefore w:val="0"/>
        <w:kinsoku/>
        <w:wordWrap/>
        <w:overflowPunct/>
        <w:topLinePunct w:val="0"/>
        <w:bidi w:val="0"/>
        <w:ind w:left="0" w:leftChars="0" w:right="0" w:firstLine="560" w:firstLineChars="200"/>
        <w:textAlignment w:val="auto"/>
      </w:pPr>
      <w:r>
        <w:rPr>
          <w:rFonts w:hint="eastAsia"/>
        </w:rPr>
        <w:t>b)电磁驱动装置驱动器的电气连接线应沿固定灭火剂储存容器的支架、框架或墙面固定；（B类）</w:t>
      </w:r>
    </w:p>
    <w:p w14:paraId="17F650F7">
      <w:pPr>
        <w:pStyle w:val="32"/>
        <w:keepNext w:val="0"/>
        <w:keepLines w:val="0"/>
        <w:pageBreakBefore w:val="0"/>
        <w:kinsoku/>
        <w:wordWrap/>
        <w:overflowPunct/>
        <w:topLinePunct w:val="0"/>
        <w:bidi w:val="0"/>
        <w:ind w:left="0" w:leftChars="0" w:right="0" w:firstLine="560" w:firstLineChars="200"/>
        <w:textAlignment w:val="auto"/>
      </w:pPr>
      <w:r>
        <w:rPr>
          <w:rFonts w:hint="eastAsia"/>
        </w:rPr>
        <w:t>c)气动驱动装置的安装应符合下列规定：</w:t>
      </w:r>
    </w:p>
    <w:p w14:paraId="4DA847EA">
      <w:pPr>
        <w:pStyle w:val="32"/>
        <w:keepNext w:val="0"/>
        <w:keepLines w:val="0"/>
        <w:pageBreakBefore w:val="0"/>
        <w:kinsoku/>
        <w:wordWrap/>
        <w:overflowPunct/>
        <w:topLinePunct w:val="0"/>
        <w:bidi w:val="0"/>
        <w:ind w:left="0" w:leftChars="0" w:right="0" w:firstLine="560" w:firstLineChars="200"/>
        <w:textAlignment w:val="auto"/>
      </w:pPr>
      <w:r>
        <w:rPr>
          <w:rFonts w:hint="eastAsia"/>
        </w:rPr>
        <w:t>1)驱动气瓶的支、框架或箱体应固定牢靠，并做防腐处理；（B类）</w:t>
      </w:r>
    </w:p>
    <w:p w14:paraId="086EB34B">
      <w:pPr>
        <w:pStyle w:val="32"/>
        <w:keepNext w:val="0"/>
        <w:keepLines w:val="0"/>
        <w:pageBreakBefore w:val="0"/>
        <w:kinsoku/>
        <w:wordWrap/>
        <w:overflowPunct/>
        <w:topLinePunct w:val="0"/>
        <w:bidi w:val="0"/>
        <w:ind w:left="0" w:leftChars="0" w:right="0" w:firstLine="560" w:firstLineChars="200"/>
        <w:textAlignment w:val="auto"/>
      </w:pPr>
      <w:r>
        <w:rPr>
          <w:rFonts w:hint="eastAsia"/>
        </w:rPr>
        <w:t>2)驱动气瓶上应有标明驱动介质名称、对应防护区或保护对象名称或编号的永久性标志，并应便于观察。（B类）</w:t>
      </w:r>
    </w:p>
    <w:p w14:paraId="498CADDC">
      <w:pPr>
        <w:pStyle w:val="32"/>
        <w:keepNext w:val="0"/>
        <w:keepLines w:val="0"/>
        <w:pageBreakBefore w:val="0"/>
        <w:kinsoku/>
        <w:wordWrap/>
        <w:overflowPunct/>
        <w:topLinePunct w:val="0"/>
        <w:bidi w:val="0"/>
        <w:ind w:left="0" w:leftChars="0" w:right="0" w:firstLine="560" w:firstLineChars="200"/>
        <w:textAlignment w:val="auto"/>
      </w:pPr>
      <w:r>
        <w:rPr>
          <w:rFonts w:hint="eastAsia"/>
        </w:rPr>
        <w:t>d)气动驱动装置的管道安装应符合下列规定：</w:t>
      </w:r>
    </w:p>
    <w:p w14:paraId="29DDC1DB">
      <w:pPr>
        <w:pStyle w:val="32"/>
        <w:keepNext w:val="0"/>
        <w:keepLines w:val="0"/>
        <w:pageBreakBefore w:val="0"/>
        <w:kinsoku/>
        <w:wordWrap/>
        <w:overflowPunct/>
        <w:topLinePunct w:val="0"/>
        <w:bidi w:val="0"/>
        <w:ind w:left="0" w:leftChars="0" w:right="0" w:firstLine="560" w:firstLineChars="200"/>
        <w:textAlignment w:val="auto"/>
      </w:pPr>
      <w:r>
        <w:rPr>
          <w:rFonts w:hint="eastAsia"/>
        </w:rPr>
        <w:t>1)竖直管道应在其始端和终端设防晃支架或采用管卡固定；（B类）</w:t>
      </w:r>
    </w:p>
    <w:p w14:paraId="4C16FEAC">
      <w:pPr>
        <w:pStyle w:val="32"/>
        <w:keepNext w:val="0"/>
        <w:keepLines w:val="0"/>
        <w:pageBreakBefore w:val="0"/>
        <w:kinsoku/>
        <w:wordWrap/>
        <w:overflowPunct/>
        <w:topLinePunct w:val="0"/>
        <w:bidi w:val="0"/>
        <w:ind w:left="0" w:leftChars="0" w:right="0" w:firstLine="560" w:firstLineChars="200"/>
        <w:textAlignment w:val="auto"/>
      </w:pPr>
      <w:r>
        <w:rPr>
          <w:rFonts w:hint="eastAsia"/>
        </w:rPr>
        <w:t>2)水平管道应采用管卡固定。管卡的间距不宜大于0.6m。转弯处应增设1个管卡。（B类）</w:t>
      </w:r>
    </w:p>
    <w:p w14:paraId="2C06385A">
      <w:pPr>
        <w:pStyle w:val="32"/>
        <w:keepNext w:val="0"/>
        <w:keepLines w:val="0"/>
        <w:pageBreakBefore w:val="0"/>
        <w:kinsoku/>
        <w:wordWrap/>
        <w:overflowPunct/>
        <w:topLinePunct w:val="0"/>
        <w:bidi w:val="0"/>
        <w:ind w:left="0" w:leftChars="0" w:right="0" w:firstLine="560" w:firstLineChars="200"/>
        <w:textAlignment w:val="auto"/>
      </w:pPr>
      <w:r>
        <w:rPr>
          <w:rFonts w:hint="eastAsia"/>
        </w:rPr>
        <w:t>e)同一规格的驱动气体储存容器，其高度差不宜超过10mm；（C类）</w:t>
      </w:r>
    </w:p>
    <w:p w14:paraId="21127F76">
      <w:pPr>
        <w:pStyle w:val="32"/>
        <w:keepNext w:val="0"/>
        <w:keepLines w:val="0"/>
        <w:pageBreakBefore w:val="0"/>
        <w:kinsoku/>
        <w:wordWrap/>
        <w:overflowPunct/>
        <w:topLinePunct w:val="0"/>
        <w:bidi w:val="0"/>
        <w:ind w:left="0" w:leftChars="0" w:right="0" w:firstLine="560" w:firstLineChars="200"/>
        <w:textAlignment w:val="auto"/>
      </w:pPr>
      <w:r>
        <w:rPr>
          <w:rFonts w:hint="eastAsia"/>
        </w:rPr>
        <w:t>f)输送启动气体的管道，宜采用铜管。（C类）</w:t>
      </w:r>
    </w:p>
    <w:p w14:paraId="1253C07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B497BA2">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26C5215C">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w:t>
      </w:r>
    </w:p>
    <w:p w14:paraId="2CD2A4CE">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b)c)f)直观检查；</w:t>
      </w:r>
    </w:p>
    <w:p w14:paraId="54964113">
      <w:pPr>
        <w:pStyle w:val="32"/>
        <w:keepNext w:val="0"/>
        <w:keepLines w:val="0"/>
        <w:pageBreakBefore w:val="0"/>
        <w:kinsoku/>
        <w:wordWrap/>
        <w:overflowPunct/>
        <w:topLinePunct w:val="0"/>
        <w:bidi w:val="0"/>
        <w:ind w:left="0" w:leftChars="0" w:right="0" w:firstLine="560" w:firstLineChars="200"/>
        <w:textAlignment w:val="auto"/>
      </w:pPr>
      <w:r>
        <w:rPr>
          <w:rFonts w:hint="eastAsia"/>
        </w:rPr>
        <w:t>d)e)尺量、直观检查。</w:t>
      </w:r>
    </w:p>
    <w:p w14:paraId="4EA660D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检测器具：钢直尺、钢卷尺。</w:t>
      </w:r>
    </w:p>
    <w:p w14:paraId="3768073D">
      <w:pPr>
        <w:pStyle w:val="32"/>
        <w:keepNext w:val="0"/>
        <w:keepLines w:val="0"/>
        <w:pageBreakBefore w:val="0"/>
        <w:kinsoku/>
        <w:wordWrap/>
        <w:overflowPunct/>
        <w:topLinePunct w:val="0"/>
        <w:bidi w:val="0"/>
        <w:ind w:left="0" w:leftChars="0" w:right="0" w:firstLine="560" w:firstLineChars="200"/>
        <w:textAlignment w:val="auto"/>
      </w:pPr>
      <w:r>
        <w:rPr>
          <w:rFonts w:hint="eastAsia"/>
        </w:rPr>
        <w:t>9.14.8集流管</w:t>
      </w:r>
    </w:p>
    <w:p w14:paraId="128C507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C358067">
      <w:pPr>
        <w:pStyle w:val="32"/>
        <w:keepNext w:val="0"/>
        <w:keepLines w:val="0"/>
        <w:pageBreakBefore w:val="0"/>
        <w:kinsoku/>
        <w:wordWrap/>
        <w:overflowPunct/>
        <w:topLinePunct w:val="0"/>
        <w:bidi w:val="0"/>
        <w:ind w:left="0" w:leftChars="0" w:right="0" w:firstLine="560" w:firstLineChars="200"/>
        <w:textAlignment w:val="auto"/>
      </w:pPr>
      <w:r>
        <w:rPr>
          <w:rFonts w:hint="eastAsia"/>
        </w:rPr>
        <w:t>a)集流管应设安全泄压装置，泄压装置的泄压方向不应朝向操作面；（A类）</w:t>
      </w:r>
    </w:p>
    <w:p w14:paraId="3637F9A3">
      <w:pPr>
        <w:pStyle w:val="32"/>
        <w:keepNext w:val="0"/>
        <w:keepLines w:val="0"/>
        <w:pageBreakBefore w:val="0"/>
        <w:kinsoku/>
        <w:wordWrap/>
        <w:overflowPunct/>
        <w:topLinePunct w:val="0"/>
        <w:bidi w:val="0"/>
        <w:ind w:left="0" w:leftChars="0" w:right="0" w:firstLine="560" w:firstLineChars="200"/>
        <w:textAlignment w:val="auto"/>
      </w:pPr>
      <w:r>
        <w:rPr>
          <w:rFonts w:hint="eastAsia"/>
        </w:rPr>
        <w:t>b)同一防护区，当设计两套或三套管网时，集流管可分别设置，系统启动装置必须共用；（B类）</w:t>
      </w:r>
    </w:p>
    <w:p w14:paraId="1CEC24FB">
      <w:pPr>
        <w:pStyle w:val="32"/>
        <w:keepNext w:val="0"/>
        <w:keepLines w:val="0"/>
        <w:pageBreakBefore w:val="0"/>
        <w:kinsoku/>
        <w:wordWrap/>
        <w:overflowPunct/>
        <w:topLinePunct w:val="0"/>
        <w:bidi w:val="0"/>
        <w:ind w:left="0" w:leftChars="0" w:right="0" w:firstLine="560" w:firstLineChars="200"/>
        <w:textAlignment w:val="auto"/>
      </w:pPr>
      <w:r>
        <w:rPr>
          <w:rFonts w:hint="eastAsia"/>
        </w:rPr>
        <w:t>c)集流管应固定在支、框架上。支架、框架应固定牢靠，并做防腐处理，外表面宜涂红色油漆。（B类）</w:t>
      </w:r>
    </w:p>
    <w:p w14:paraId="5120595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6EC81D3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检测方法：a)对照设计文件，直观检查；b)c)直观检查。</w:t>
      </w:r>
    </w:p>
    <w:p w14:paraId="056A6333">
      <w:pPr>
        <w:pStyle w:val="32"/>
        <w:keepNext w:val="0"/>
        <w:keepLines w:val="0"/>
        <w:pageBreakBefore w:val="0"/>
        <w:kinsoku/>
        <w:wordWrap/>
        <w:overflowPunct/>
        <w:topLinePunct w:val="0"/>
        <w:bidi w:val="0"/>
        <w:ind w:left="0" w:leftChars="0" w:right="0" w:firstLine="560" w:firstLineChars="200"/>
        <w:textAlignment w:val="auto"/>
      </w:pPr>
      <w:r>
        <w:rPr>
          <w:rFonts w:hint="eastAsia"/>
        </w:rPr>
        <w:t>9.14.9选择阀</w:t>
      </w:r>
    </w:p>
    <w:p w14:paraId="5CE9BFB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A006A83">
      <w:pPr>
        <w:pStyle w:val="32"/>
        <w:keepNext w:val="0"/>
        <w:keepLines w:val="0"/>
        <w:pageBreakBefore w:val="0"/>
        <w:kinsoku/>
        <w:wordWrap/>
        <w:overflowPunct/>
        <w:topLinePunct w:val="0"/>
        <w:bidi w:val="0"/>
        <w:ind w:left="0" w:leftChars="0" w:right="0" w:firstLine="560" w:firstLineChars="200"/>
        <w:textAlignment w:val="auto"/>
      </w:pPr>
      <w:r>
        <w:rPr>
          <w:rFonts w:hint="eastAsia"/>
        </w:rPr>
        <w:t>a)组合分配系统中的每个防护区应设置控制灭火剂流向的选择阀，选择阀的位置应靠近储存容器且便于操作；（B类）</w:t>
      </w:r>
    </w:p>
    <w:p w14:paraId="4FC6849F">
      <w:pPr>
        <w:pStyle w:val="32"/>
        <w:keepNext w:val="0"/>
        <w:keepLines w:val="0"/>
        <w:pageBreakBefore w:val="0"/>
        <w:kinsoku/>
        <w:wordWrap/>
        <w:overflowPunct/>
        <w:topLinePunct w:val="0"/>
        <w:bidi w:val="0"/>
        <w:ind w:left="0" w:leftChars="0" w:right="0" w:firstLine="560" w:firstLineChars="200"/>
        <w:textAlignment w:val="auto"/>
      </w:pPr>
      <w:r>
        <w:rPr>
          <w:rFonts w:hint="eastAsia"/>
        </w:rPr>
        <w:t>b)选择阀操作手柄应安装在操作面一侧，当安装高度超过1.7m时应采取便于操作的措施；（B类）</w:t>
      </w:r>
    </w:p>
    <w:p w14:paraId="05371186">
      <w:pPr>
        <w:pStyle w:val="32"/>
        <w:keepNext w:val="0"/>
        <w:keepLines w:val="0"/>
        <w:pageBreakBefore w:val="0"/>
        <w:kinsoku/>
        <w:wordWrap/>
        <w:overflowPunct/>
        <w:topLinePunct w:val="0"/>
        <w:bidi w:val="0"/>
        <w:ind w:left="0" w:leftChars="0" w:right="0" w:firstLine="560" w:firstLineChars="200"/>
        <w:textAlignment w:val="auto"/>
      </w:pPr>
      <w:r>
        <w:rPr>
          <w:rFonts w:hint="eastAsia"/>
        </w:rPr>
        <w:t>c)采用螺纹连接的选择阀，其与管网连接处宜采用活接；（C类）</w:t>
      </w:r>
    </w:p>
    <w:p w14:paraId="1DCC15E9">
      <w:pPr>
        <w:pStyle w:val="32"/>
        <w:keepNext w:val="0"/>
        <w:keepLines w:val="0"/>
        <w:pageBreakBefore w:val="0"/>
        <w:kinsoku/>
        <w:wordWrap/>
        <w:overflowPunct/>
        <w:topLinePunct w:val="0"/>
        <w:bidi w:val="0"/>
        <w:ind w:left="0" w:leftChars="0" w:right="0" w:firstLine="560" w:firstLineChars="200"/>
        <w:textAlignment w:val="auto"/>
      </w:pPr>
      <w:r>
        <w:rPr>
          <w:rFonts w:hint="eastAsia"/>
        </w:rPr>
        <w:t>d)选择阀的流向指示箭头应指向介质流动方向；（B类）</w:t>
      </w:r>
    </w:p>
    <w:p w14:paraId="72E5C600">
      <w:pPr>
        <w:pStyle w:val="32"/>
        <w:keepNext w:val="0"/>
        <w:keepLines w:val="0"/>
        <w:pageBreakBefore w:val="0"/>
        <w:kinsoku/>
        <w:wordWrap/>
        <w:overflowPunct/>
        <w:topLinePunct w:val="0"/>
        <w:bidi w:val="0"/>
        <w:ind w:left="0" w:leftChars="0" w:right="0" w:firstLine="560" w:firstLineChars="200"/>
        <w:textAlignment w:val="auto"/>
      </w:pPr>
      <w:r>
        <w:rPr>
          <w:rFonts w:hint="eastAsia"/>
        </w:rPr>
        <w:t>e)选择阀上应设置标明防护区或保护对象名称或编号的永久性标志牌，并应便于观察；（B类）</w:t>
      </w:r>
    </w:p>
    <w:p w14:paraId="0B0FEE3E">
      <w:pPr>
        <w:pStyle w:val="32"/>
        <w:keepNext w:val="0"/>
        <w:keepLines w:val="0"/>
        <w:pageBreakBefore w:val="0"/>
        <w:kinsoku/>
        <w:wordWrap/>
        <w:overflowPunct/>
        <w:topLinePunct w:val="0"/>
        <w:bidi w:val="0"/>
        <w:ind w:left="0" w:leftChars="0" w:right="0" w:firstLine="560" w:firstLineChars="200"/>
        <w:textAlignment w:val="auto"/>
      </w:pPr>
      <w:r>
        <w:rPr>
          <w:rFonts w:hint="eastAsia"/>
        </w:rPr>
        <w:t>f)组合分配系统启动时，选择阀应在容器阀开启前或同时打开。（B类）</w:t>
      </w:r>
    </w:p>
    <w:p w14:paraId="45F4892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0C27311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检测方法：a)直观检查；b)尺量；c)～f)直观检查。</w:t>
      </w:r>
    </w:p>
    <w:p w14:paraId="1C0ED32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008E37B7">
      <w:pPr>
        <w:pStyle w:val="32"/>
        <w:keepNext w:val="0"/>
        <w:keepLines w:val="0"/>
        <w:pageBreakBefore w:val="0"/>
        <w:kinsoku/>
        <w:wordWrap/>
        <w:overflowPunct/>
        <w:topLinePunct w:val="0"/>
        <w:bidi w:val="0"/>
        <w:ind w:left="0" w:leftChars="0" w:right="0" w:firstLine="560" w:firstLineChars="200"/>
        <w:textAlignment w:val="auto"/>
      </w:pPr>
      <w:r>
        <w:rPr>
          <w:rFonts w:hint="eastAsia"/>
        </w:rPr>
        <w:t>9.14.10灭火剂传输管道及附件</w:t>
      </w:r>
    </w:p>
    <w:p w14:paraId="241F19A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FA2756A">
      <w:pPr>
        <w:pStyle w:val="32"/>
        <w:keepNext w:val="0"/>
        <w:keepLines w:val="0"/>
        <w:pageBreakBefore w:val="0"/>
        <w:kinsoku/>
        <w:wordWrap/>
        <w:overflowPunct/>
        <w:topLinePunct w:val="0"/>
        <w:bidi w:val="0"/>
        <w:ind w:left="0" w:leftChars="0" w:right="0" w:firstLine="560" w:firstLineChars="200"/>
        <w:textAlignment w:val="auto"/>
      </w:pPr>
      <w:r>
        <w:rPr>
          <w:rFonts w:hint="eastAsia"/>
        </w:rPr>
        <w:t>a)管道的连接，当公称直径小于或等于80mm时，宜采用螺纹连接。大于80mm时，宜采用法兰连接。使用在腐蚀性较大的环境里，应采用不锈钢的管道附件；（B类）</w:t>
      </w:r>
    </w:p>
    <w:p w14:paraId="2D4DB10B">
      <w:pPr>
        <w:pStyle w:val="32"/>
        <w:keepNext w:val="0"/>
        <w:keepLines w:val="0"/>
        <w:pageBreakBefore w:val="0"/>
        <w:kinsoku/>
        <w:wordWrap/>
        <w:overflowPunct/>
        <w:topLinePunct w:val="0"/>
        <w:bidi w:val="0"/>
        <w:ind w:left="0" w:leftChars="0" w:right="0" w:firstLine="560" w:firstLineChars="200"/>
        <w:textAlignment w:val="auto"/>
      </w:pPr>
      <w:r>
        <w:rPr>
          <w:rFonts w:hint="eastAsia"/>
        </w:rPr>
        <w:t>b)灭火剂输送管道的外表面宜涂红色油漆；（B类）</w:t>
      </w:r>
    </w:p>
    <w:p w14:paraId="4D040566">
      <w:pPr>
        <w:pStyle w:val="32"/>
        <w:keepNext w:val="0"/>
        <w:keepLines w:val="0"/>
        <w:pageBreakBefore w:val="0"/>
        <w:kinsoku/>
        <w:wordWrap/>
        <w:overflowPunct/>
        <w:topLinePunct w:val="0"/>
        <w:bidi w:val="0"/>
        <w:ind w:left="0" w:leftChars="0" w:right="0" w:firstLine="560" w:firstLineChars="200"/>
        <w:textAlignment w:val="auto"/>
      </w:pPr>
      <w:r>
        <w:rPr>
          <w:rFonts w:hint="eastAsia"/>
        </w:rPr>
        <w:t>c)管网上不应采用四通管件进行分流；（B类）</w:t>
      </w:r>
    </w:p>
    <w:p w14:paraId="08DB24B8">
      <w:pPr>
        <w:pStyle w:val="32"/>
        <w:keepNext w:val="0"/>
        <w:keepLines w:val="0"/>
        <w:pageBreakBefore w:val="0"/>
        <w:kinsoku/>
        <w:wordWrap/>
        <w:overflowPunct/>
        <w:topLinePunct w:val="0"/>
        <w:bidi w:val="0"/>
        <w:ind w:left="0" w:leftChars="0" w:right="0" w:firstLine="560" w:firstLineChars="200"/>
        <w:textAlignment w:val="auto"/>
      </w:pPr>
      <w:r>
        <w:rPr>
          <w:rFonts w:hint="eastAsia"/>
        </w:rPr>
        <w:t>d)在通向每个防护区的灭火系统主管道上，应设压力讯号器或流量讯号器；（B类）</w:t>
      </w:r>
    </w:p>
    <w:p w14:paraId="0A14CFC6">
      <w:pPr>
        <w:pStyle w:val="32"/>
        <w:keepNext w:val="0"/>
        <w:keepLines w:val="0"/>
        <w:pageBreakBefore w:val="0"/>
        <w:kinsoku/>
        <w:wordWrap/>
        <w:overflowPunct/>
        <w:topLinePunct w:val="0"/>
        <w:bidi w:val="0"/>
        <w:ind w:left="0" w:leftChars="0" w:right="0" w:firstLine="560" w:firstLineChars="200"/>
        <w:textAlignment w:val="auto"/>
      </w:pPr>
      <w:r>
        <w:rPr>
          <w:rFonts w:hint="eastAsia"/>
        </w:rPr>
        <w:t>e)输送气体灭火剂的管道应采用无缝钢管，二氧化碳系统对镀锌层有腐蚀的环境，管道可采用不锈钢管、铜管或其他抗腐蚀的材料；（B类）</w:t>
      </w:r>
    </w:p>
    <w:p w14:paraId="2EBF85E5">
      <w:pPr>
        <w:pStyle w:val="32"/>
        <w:keepNext w:val="0"/>
        <w:keepLines w:val="0"/>
        <w:pageBreakBefore w:val="0"/>
        <w:kinsoku/>
        <w:wordWrap/>
        <w:overflowPunct/>
        <w:topLinePunct w:val="0"/>
        <w:bidi w:val="0"/>
        <w:ind w:left="0" w:leftChars="0" w:right="0" w:firstLine="560" w:firstLineChars="200"/>
        <w:textAlignment w:val="auto"/>
      </w:pPr>
      <w:r>
        <w:rPr>
          <w:rFonts w:hint="eastAsia"/>
        </w:rPr>
        <w:t>f)输送气体灭火剂的管道安装在腐蚀性较大的环境里，宜采用不锈钢管；（C类）</w:t>
      </w:r>
    </w:p>
    <w:p w14:paraId="674C694D">
      <w:pPr>
        <w:pStyle w:val="32"/>
        <w:keepNext w:val="0"/>
        <w:keepLines w:val="0"/>
        <w:pageBreakBefore w:val="0"/>
        <w:kinsoku/>
        <w:wordWrap/>
        <w:overflowPunct/>
        <w:topLinePunct w:val="0"/>
        <w:bidi w:val="0"/>
        <w:ind w:left="0" w:leftChars="0" w:right="0" w:firstLine="560" w:firstLineChars="200"/>
        <w:textAlignment w:val="auto"/>
      </w:pPr>
      <w:r>
        <w:rPr>
          <w:rFonts w:hint="eastAsia"/>
        </w:rPr>
        <w:t>g)连接储存容器与集流管间的单向阀的流向指示箭头应指向介质流动方向；（B类）</w:t>
      </w:r>
    </w:p>
    <w:p w14:paraId="422A7004">
      <w:pPr>
        <w:pStyle w:val="32"/>
        <w:keepNext w:val="0"/>
        <w:keepLines w:val="0"/>
        <w:pageBreakBefore w:val="0"/>
        <w:kinsoku/>
        <w:wordWrap/>
        <w:overflowPunct/>
        <w:topLinePunct w:val="0"/>
        <w:bidi w:val="0"/>
        <w:ind w:left="0" w:leftChars="0" w:right="0" w:firstLine="560" w:firstLineChars="200"/>
        <w:textAlignment w:val="auto"/>
      </w:pPr>
      <w:r>
        <w:rPr>
          <w:rFonts w:hint="eastAsia"/>
        </w:rPr>
        <w:t>h)管道支架、吊架的安装应符合下列规定：</w:t>
      </w:r>
    </w:p>
    <w:p w14:paraId="53736CC5">
      <w:pPr>
        <w:pStyle w:val="32"/>
        <w:keepNext w:val="0"/>
        <w:keepLines w:val="0"/>
        <w:pageBreakBefore w:val="0"/>
        <w:kinsoku/>
        <w:wordWrap/>
        <w:overflowPunct/>
        <w:topLinePunct w:val="0"/>
        <w:bidi w:val="0"/>
        <w:ind w:left="0" w:leftChars="0" w:right="0" w:firstLine="560" w:firstLineChars="200"/>
        <w:textAlignment w:val="auto"/>
      </w:pPr>
      <w:r>
        <w:rPr>
          <w:rFonts w:hint="eastAsia"/>
        </w:rPr>
        <w:t>1)管道应固定牢靠，管道支、吊架的最大间距应与设计文件相符；（B类）</w:t>
      </w:r>
    </w:p>
    <w:p w14:paraId="3BD42E90">
      <w:pPr>
        <w:pStyle w:val="32"/>
        <w:keepNext w:val="0"/>
        <w:keepLines w:val="0"/>
        <w:pageBreakBefore w:val="0"/>
        <w:kinsoku/>
        <w:wordWrap/>
        <w:overflowPunct/>
        <w:topLinePunct w:val="0"/>
        <w:bidi w:val="0"/>
        <w:ind w:left="0" w:leftChars="0" w:right="0" w:firstLine="560" w:firstLineChars="200"/>
        <w:textAlignment w:val="auto"/>
      </w:pPr>
      <w:r>
        <w:rPr>
          <w:rFonts w:hint="eastAsia"/>
        </w:rPr>
        <w:t>2)管道末端应采用防晃支架固定，支架与末端喷嘴间的距离不应大于500mm；（B类）</w:t>
      </w:r>
    </w:p>
    <w:p w14:paraId="40AE60EB">
      <w:pPr>
        <w:pStyle w:val="32"/>
        <w:keepNext w:val="0"/>
        <w:keepLines w:val="0"/>
        <w:pageBreakBefore w:val="0"/>
        <w:kinsoku/>
        <w:wordWrap/>
        <w:overflowPunct/>
        <w:topLinePunct w:val="0"/>
        <w:bidi w:val="0"/>
        <w:ind w:left="0" w:leftChars="0" w:right="0" w:firstLine="560" w:firstLineChars="200"/>
        <w:textAlignment w:val="auto"/>
      </w:pPr>
      <w:r>
        <w:rPr>
          <w:rFonts w:hint="eastAsia"/>
        </w:rPr>
        <w:t>3)公称直径大于或等于50mm的主干管道，垂直方向和水平方向至少应各安装1个防晃支架，当穿过建筑物楼层时，每层应设1个防晃支架。当水平管道改变方向时，应增设防晃支架。（B类）</w:t>
      </w:r>
    </w:p>
    <w:p w14:paraId="3038A36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23AF5CF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484A529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a)尺量；</w:t>
      </w:r>
    </w:p>
    <w:p w14:paraId="44F038DE">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b)～g)直观检查；</w:t>
      </w:r>
    </w:p>
    <w:p w14:paraId="63417489">
      <w:pPr>
        <w:pStyle w:val="32"/>
        <w:keepNext w:val="0"/>
        <w:keepLines w:val="0"/>
        <w:pageBreakBefore w:val="0"/>
        <w:kinsoku/>
        <w:wordWrap/>
        <w:overflowPunct/>
        <w:topLinePunct w:val="0"/>
        <w:bidi w:val="0"/>
        <w:ind w:left="0" w:leftChars="0" w:right="0" w:firstLine="560" w:firstLineChars="200"/>
        <w:textAlignment w:val="auto"/>
      </w:pPr>
      <w:r>
        <w:rPr>
          <w:rFonts w:hint="eastAsia"/>
        </w:rPr>
        <w:t>h)尺量。</w:t>
      </w:r>
    </w:p>
    <w:p w14:paraId="13D80C3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检测器具：游标卡尺、钢卷尺。</w:t>
      </w:r>
    </w:p>
    <w:p w14:paraId="222449DD">
      <w:pPr>
        <w:pStyle w:val="32"/>
        <w:keepNext w:val="0"/>
        <w:keepLines w:val="0"/>
        <w:pageBreakBefore w:val="0"/>
        <w:kinsoku/>
        <w:wordWrap/>
        <w:overflowPunct/>
        <w:topLinePunct w:val="0"/>
        <w:bidi w:val="0"/>
        <w:ind w:left="0" w:leftChars="0" w:right="0" w:firstLine="560" w:firstLineChars="200"/>
        <w:textAlignment w:val="auto"/>
      </w:pPr>
      <w:r>
        <w:rPr>
          <w:rFonts w:hint="eastAsia"/>
        </w:rPr>
        <w:t>9.14.11喷嘴</w:t>
      </w:r>
    </w:p>
    <w:p w14:paraId="5BD2402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9E532A0">
      <w:pPr>
        <w:pStyle w:val="32"/>
        <w:keepNext w:val="0"/>
        <w:keepLines w:val="0"/>
        <w:pageBreakBefore w:val="0"/>
        <w:kinsoku/>
        <w:wordWrap/>
        <w:overflowPunct/>
        <w:topLinePunct w:val="0"/>
        <w:bidi w:val="0"/>
        <w:ind w:left="0" w:leftChars="0" w:right="0" w:firstLine="560" w:firstLineChars="200"/>
        <w:textAlignment w:val="auto"/>
      </w:pPr>
      <w:r>
        <w:rPr>
          <w:rFonts w:hint="eastAsia"/>
        </w:rPr>
        <w:t>a)喷嘴的规格、型号、设置位置应与设计文件相符；（A类）</w:t>
      </w:r>
    </w:p>
    <w:p w14:paraId="672B5FFC">
      <w:pPr>
        <w:pStyle w:val="32"/>
        <w:keepNext w:val="0"/>
        <w:keepLines w:val="0"/>
        <w:pageBreakBefore w:val="0"/>
        <w:kinsoku/>
        <w:wordWrap/>
        <w:overflowPunct/>
        <w:topLinePunct w:val="0"/>
        <w:bidi w:val="0"/>
        <w:ind w:left="0" w:leftChars="0" w:right="0" w:firstLine="560" w:firstLineChars="200"/>
        <w:textAlignment w:val="auto"/>
      </w:pPr>
      <w:r>
        <w:rPr>
          <w:rFonts w:hint="eastAsia"/>
        </w:rPr>
        <w:t>b)安装在吊顶下的不带装饰罩的喷嘴，其连接管管端螺纹不应露出吊顶。安装在吊顶下的带装饰罩的喷嘴，其装饰罩应紧贴吊顶；（B类）</w:t>
      </w:r>
    </w:p>
    <w:p w14:paraId="74FA51CA">
      <w:pPr>
        <w:pStyle w:val="32"/>
        <w:keepNext w:val="0"/>
        <w:keepLines w:val="0"/>
        <w:pageBreakBefore w:val="0"/>
        <w:kinsoku/>
        <w:wordWrap/>
        <w:overflowPunct/>
        <w:topLinePunct w:val="0"/>
        <w:bidi w:val="0"/>
        <w:ind w:left="0" w:leftChars="0" w:right="0" w:firstLine="560" w:firstLineChars="200"/>
        <w:textAlignment w:val="auto"/>
      </w:pPr>
      <w:r>
        <w:rPr>
          <w:rFonts w:hint="eastAsia"/>
        </w:rPr>
        <w:t>c)二氧化碳灭火系统设置在有粉尘或喷漆作业等场所的喷头，应增设不影响喷射效果的防尘罩；（B类）</w:t>
      </w:r>
    </w:p>
    <w:p w14:paraId="740E122A">
      <w:pPr>
        <w:pStyle w:val="32"/>
        <w:keepNext w:val="0"/>
        <w:keepLines w:val="0"/>
        <w:pageBreakBefore w:val="0"/>
        <w:kinsoku/>
        <w:wordWrap/>
        <w:overflowPunct/>
        <w:topLinePunct w:val="0"/>
        <w:bidi w:val="0"/>
        <w:ind w:left="0" w:leftChars="0" w:right="0" w:firstLine="560" w:firstLineChars="200"/>
        <w:textAlignment w:val="auto"/>
      </w:pPr>
      <w:r>
        <w:rPr>
          <w:rFonts w:hint="eastAsia"/>
        </w:rPr>
        <w:t>d)热气溶胶预制灭火系统装置的喷口宜高于防护区地面2.0m；（C类）</w:t>
      </w:r>
    </w:p>
    <w:p w14:paraId="511715DB">
      <w:pPr>
        <w:pStyle w:val="32"/>
        <w:keepNext w:val="0"/>
        <w:keepLines w:val="0"/>
        <w:pageBreakBefore w:val="0"/>
        <w:kinsoku/>
        <w:wordWrap/>
        <w:overflowPunct/>
        <w:topLinePunct w:val="0"/>
        <w:bidi w:val="0"/>
        <w:ind w:left="0" w:leftChars="0" w:right="0" w:firstLine="560" w:firstLineChars="200"/>
        <w:textAlignment w:val="auto"/>
      </w:pPr>
      <w:r>
        <w:rPr>
          <w:rFonts w:hint="eastAsia"/>
        </w:rPr>
        <w:t>e)热气溶胶灭火系统装置的喷口前1.0m内。装置的背面、侧面、顶部0.2m内不应设置或存放设备、器具等。（A类）</w:t>
      </w:r>
    </w:p>
    <w:p w14:paraId="08DB698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782B6F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778B4C45">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w:t>
      </w:r>
    </w:p>
    <w:p w14:paraId="7EA357D9">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b)c)直观检查；</w:t>
      </w:r>
    </w:p>
    <w:p w14:paraId="128FEE09">
      <w:pPr>
        <w:pStyle w:val="32"/>
        <w:keepNext w:val="0"/>
        <w:keepLines w:val="0"/>
        <w:pageBreakBefore w:val="0"/>
        <w:kinsoku/>
        <w:wordWrap/>
        <w:overflowPunct/>
        <w:topLinePunct w:val="0"/>
        <w:bidi w:val="0"/>
        <w:ind w:left="0" w:leftChars="0" w:right="0" w:firstLine="560" w:firstLineChars="200"/>
        <w:textAlignment w:val="auto"/>
      </w:pPr>
      <w:r>
        <w:rPr>
          <w:rFonts w:hint="eastAsia"/>
        </w:rPr>
        <w:t>d)e)尺量。</w:t>
      </w:r>
    </w:p>
    <w:p w14:paraId="501C8F9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0F9C156C">
      <w:pPr>
        <w:pStyle w:val="32"/>
        <w:keepNext w:val="0"/>
        <w:keepLines w:val="0"/>
        <w:pageBreakBefore w:val="0"/>
        <w:kinsoku/>
        <w:wordWrap/>
        <w:overflowPunct/>
        <w:topLinePunct w:val="0"/>
        <w:bidi w:val="0"/>
        <w:ind w:left="0" w:leftChars="0" w:right="0" w:firstLine="560" w:firstLineChars="200"/>
        <w:textAlignment w:val="auto"/>
      </w:pPr>
      <w:r>
        <w:rPr>
          <w:rFonts w:hint="eastAsia"/>
        </w:rPr>
        <w:t>9.14.12模拟启动实验</w:t>
      </w:r>
    </w:p>
    <w:p w14:paraId="6B70C998">
      <w:pPr>
        <w:pStyle w:val="32"/>
        <w:keepNext w:val="0"/>
        <w:keepLines w:val="0"/>
        <w:pageBreakBefore w:val="0"/>
        <w:kinsoku/>
        <w:wordWrap/>
        <w:overflowPunct/>
        <w:topLinePunct w:val="0"/>
        <w:bidi w:val="0"/>
        <w:ind w:left="0" w:leftChars="0" w:right="0" w:firstLine="560" w:firstLineChars="200"/>
        <w:textAlignment w:val="auto"/>
      </w:pPr>
      <w:r>
        <w:rPr>
          <w:rFonts w:hint="eastAsia"/>
        </w:rPr>
        <w:t>9.14.12.1自动模拟启动试验</w:t>
      </w:r>
    </w:p>
    <w:p w14:paraId="29CCA7B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B246B19">
      <w:pPr>
        <w:pStyle w:val="32"/>
        <w:keepNext w:val="0"/>
        <w:keepLines w:val="0"/>
        <w:pageBreakBefore w:val="0"/>
        <w:kinsoku/>
        <w:wordWrap/>
        <w:overflowPunct/>
        <w:topLinePunct w:val="0"/>
        <w:bidi w:val="0"/>
        <w:ind w:left="0" w:leftChars="0" w:right="0" w:firstLine="560" w:firstLineChars="200"/>
        <w:textAlignment w:val="auto"/>
      </w:pPr>
      <w:r>
        <w:rPr>
          <w:rFonts w:hint="eastAsia"/>
        </w:rPr>
        <w:t>a)自动控制应在接到两个独立的火灾信号并延迟一定时间后才能启动；（A类）</w:t>
      </w:r>
    </w:p>
    <w:p w14:paraId="4A1704AC">
      <w:pPr>
        <w:pStyle w:val="32"/>
        <w:keepNext w:val="0"/>
        <w:keepLines w:val="0"/>
        <w:pageBreakBefore w:val="0"/>
        <w:kinsoku/>
        <w:wordWrap/>
        <w:overflowPunct/>
        <w:topLinePunct w:val="0"/>
        <w:bidi w:val="0"/>
        <w:ind w:left="0" w:leftChars="0" w:right="0" w:firstLine="560" w:firstLineChars="200"/>
        <w:textAlignment w:val="auto"/>
      </w:pPr>
      <w:r>
        <w:rPr>
          <w:rFonts w:hint="eastAsia"/>
        </w:rPr>
        <w:t>b)灭火系统接到灭火指令后能正常启动、喷射；（A类）</w:t>
      </w:r>
    </w:p>
    <w:p w14:paraId="1101873F">
      <w:pPr>
        <w:pStyle w:val="32"/>
        <w:keepNext w:val="0"/>
        <w:keepLines w:val="0"/>
        <w:pageBreakBefore w:val="0"/>
        <w:kinsoku/>
        <w:wordWrap/>
        <w:overflowPunct/>
        <w:topLinePunct w:val="0"/>
        <w:bidi w:val="0"/>
        <w:ind w:left="0" w:leftChars="0" w:right="0" w:firstLine="560" w:firstLineChars="200"/>
        <w:textAlignment w:val="auto"/>
      </w:pPr>
      <w:r>
        <w:rPr>
          <w:rFonts w:hint="eastAsia"/>
        </w:rPr>
        <w:t>c)有关的声、光报警装置均能发出符合设计要求的正常信号；（A类）</w:t>
      </w:r>
    </w:p>
    <w:p w14:paraId="2D0DAEC3">
      <w:pPr>
        <w:pStyle w:val="32"/>
        <w:keepNext w:val="0"/>
        <w:keepLines w:val="0"/>
        <w:pageBreakBefore w:val="0"/>
        <w:kinsoku/>
        <w:wordWrap/>
        <w:overflowPunct/>
        <w:topLinePunct w:val="0"/>
        <w:bidi w:val="0"/>
        <w:ind w:left="0" w:leftChars="0" w:right="0" w:firstLine="560" w:firstLineChars="200"/>
        <w:textAlignment w:val="auto"/>
      </w:pPr>
      <w:r>
        <w:rPr>
          <w:rFonts w:hint="eastAsia"/>
        </w:rPr>
        <w:t>d)有关联动设备动作正确；（A类）</w:t>
      </w:r>
    </w:p>
    <w:p w14:paraId="6B1A126B">
      <w:pPr>
        <w:pStyle w:val="32"/>
        <w:keepNext w:val="0"/>
        <w:keepLines w:val="0"/>
        <w:pageBreakBefore w:val="0"/>
        <w:kinsoku/>
        <w:wordWrap/>
        <w:overflowPunct/>
        <w:topLinePunct w:val="0"/>
        <w:bidi w:val="0"/>
        <w:ind w:left="0" w:leftChars="0" w:right="0" w:firstLine="560" w:firstLineChars="200"/>
        <w:textAlignment w:val="auto"/>
      </w:pPr>
      <w:r>
        <w:rPr>
          <w:rFonts w:hint="eastAsia"/>
        </w:rPr>
        <w:t>e)手动紧急停止装置应能在规定的延时时间内可靠的停止系统的启动。（A类）</w:t>
      </w:r>
    </w:p>
    <w:p w14:paraId="6BA1D99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24F4E76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将灭火控制器的启动输出端与灭火系统相应防护区驱动装置连接。驱动装置应与阀门的动作机构脱离。也可以用1个启动电压、电流与驱动装置的启动电压、电流相同的负载代替。人工模拟火警使防护区内任意1个火灾探测器动作，观察单一火警信号输出后，相关报警设备动作是否正常,如警铃、蜂鸣器发出报警声等。人工模拟火警使该防护区内另一个火灾探测器动作，观察复合火警信号输出</w:t>
      </w:r>
    </w:p>
    <w:p w14:paraId="6B64E887">
      <w:pPr>
        <w:pStyle w:val="32"/>
        <w:keepNext w:val="0"/>
        <w:keepLines w:val="0"/>
        <w:pageBreakBefore w:val="0"/>
        <w:kinsoku/>
        <w:wordWrap/>
        <w:overflowPunct/>
        <w:topLinePunct w:val="0"/>
        <w:bidi w:val="0"/>
        <w:ind w:left="0" w:leftChars="0" w:right="0" w:firstLine="0" w:firstLineChars="0"/>
        <w:textAlignment w:val="auto"/>
      </w:pPr>
      <w:r>
        <w:rPr>
          <w:rFonts w:hint="eastAsia"/>
        </w:rPr>
        <w:t>后，相关动作信号及联动设备动作是否正常，如发出声、光报警，启动输出端的负载响应，关闭通风空调、防火阀等。</w:t>
      </w:r>
    </w:p>
    <w:p w14:paraId="066FD73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检测器具：数字万用表、感烟（温）探测器功能试验器。</w:t>
      </w:r>
    </w:p>
    <w:p w14:paraId="5DB2FE72">
      <w:pPr>
        <w:pStyle w:val="32"/>
        <w:keepNext w:val="0"/>
        <w:keepLines w:val="0"/>
        <w:pageBreakBefore w:val="0"/>
        <w:kinsoku/>
        <w:wordWrap/>
        <w:overflowPunct/>
        <w:topLinePunct w:val="0"/>
        <w:bidi w:val="0"/>
        <w:ind w:left="0" w:leftChars="0" w:right="0" w:firstLine="560" w:firstLineChars="200"/>
        <w:textAlignment w:val="auto"/>
      </w:pPr>
      <w:r>
        <w:rPr>
          <w:rFonts w:hint="eastAsia"/>
        </w:rPr>
        <w:t>9.14.12.2手动模拟启动试验</w:t>
      </w:r>
    </w:p>
    <w:p w14:paraId="4800B1B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ABFA67D">
      <w:pPr>
        <w:pStyle w:val="32"/>
        <w:keepNext w:val="0"/>
        <w:keepLines w:val="0"/>
        <w:pageBreakBefore w:val="0"/>
        <w:kinsoku/>
        <w:wordWrap/>
        <w:overflowPunct/>
        <w:topLinePunct w:val="0"/>
        <w:bidi w:val="0"/>
        <w:ind w:left="0" w:leftChars="0" w:right="0" w:firstLine="560" w:firstLineChars="200"/>
        <w:textAlignment w:val="auto"/>
      </w:pPr>
      <w:r>
        <w:rPr>
          <w:rFonts w:hint="eastAsia"/>
        </w:rPr>
        <w:t>a)灭火系统接到灭火指令并延迟一定时间后才能正常启动、喷射；（A类）</w:t>
      </w:r>
    </w:p>
    <w:p w14:paraId="52AA3F84">
      <w:pPr>
        <w:pStyle w:val="32"/>
        <w:keepNext w:val="0"/>
        <w:keepLines w:val="0"/>
        <w:pageBreakBefore w:val="0"/>
        <w:kinsoku/>
        <w:wordWrap/>
        <w:overflowPunct/>
        <w:topLinePunct w:val="0"/>
        <w:bidi w:val="0"/>
        <w:ind w:left="0" w:leftChars="0" w:right="0" w:firstLine="560" w:firstLineChars="200"/>
        <w:textAlignment w:val="auto"/>
      </w:pPr>
      <w:r>
        <w:rPr>
          <w:rFonts w:hint="eastAsia"/>
        </w:rPr>
        <w:t>b)有关的声、光报警装置均能发出符合设计要求的正常信号；（A类）</w:t>
      </w:r>
    </w:p>
    <w:p w14:paraId="736D9D4C">
      <w:pPr>
        <w:pStyle w:val="32"/>
        <w:keepNext w:val="0"/>
        <w:keepLines w:val="0"/>
        <w:pageBreakBefore w:val="0"/>
        <w:kinsoku/>
        <w:wordWrap/>
        <w:overflowPunct/>
        <w:topLinePunct w:val="0"/>
        <w:bidi w:val="0"/>
        <w:ind w:left="0" w:leftChars="0" w:right="0" w:firstLine="560" w:firstLineChars="200"/>
        <w:textAlignment w:val="auto"/>
      </w:pPr>
      <w:r>
        <w:rPr>
          <w:rFonts w:hint="eastAsia"/>
        </w:rPr>
        <w:t>c)有关联动设备动作正确；（A类）</w:t>
      </w:r>
    </w:p>
    <w:p w14:paraId="097076E3">
      <w:pPr>
        <w:pStyle w:val="32"/>
        <w:keepNext w:val="0"/>
        <w:keepLines w:val="0"/>
        <w:pageBreakBefore w:val="0"/>
        <w:kinsoku/>
        <w:wordWrap/>
        <w:overflowPunct/>
        <w:topLinePunct w:val="0"/>
        <w:bidi w:val="0"/>
        <w:ind w:left="0" w:leftChars="0" w:right="0" w:firstLine="560" w:firstLineChars="200"/>
        <w:textAlignment w:val="auto"/>
      </w:pPr>
      <w:r>
        <w:rPr>
          <w:rFonts w:hint="eastAsia"/>
        </w:rPr>
        <w:t>d)手动紧急停止装置应能在规定的延时时间内可靠的停止系统的启动。（A类）</w:t>
      </w:r>
    </w:p>
    <w:p w14:paraId="61269E7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682938F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按下手动启动按钮，观察相关动作信号及联动设备动作是否正常，如发出声、光报警，启动输出端的负载响应，关闭通风空调、防火阀等。人工使压力信号反馈装置动作，观察相关防护区门外的气体喷放指示灯是否正常。</w:t>
      </w:r>
    </w:p>
    <w:p w14:paraId="080D0CD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检测器具：数字万用表。</w:t>
      </w:r>
    </w:p>
    <w:p w14:paraId="06123827">
      <w:pPr>
        <w:pStyle w:val="32"/>
        <w:keepNext w:val="0"/>
        <w:keepLines w:val="0"/>
        <w:pageBreakBefore w:val="0"/>
        <w:kinsoku/>
        <w:wordWrap/>
        <w:overflowPunct/>
        <w:topLinePunct w:val="0"/>
        <w:bidi w:val="0"/>
        <w:ind w:left="0" w:leftChars="0" w:right="0" w:firstLine="560" w:firstLineChars="200"/>
        <w:textAlignment w:val="auto"/>
      </w:pPr>
      <w:r>
        <w:rPr>
          <w:rFonts w:hint="eastAsia"/>
        </w:rPr>
        <w:t>9.15防烟排烟系统</w:t>
      </w:r>
    </w:p>
    <w:p w14:paraId="246BC2AE">
      <w:pPr>
        <w:pStyle w:val="32"/>
        <w:keepNext w:val="0"/>
        <w:keepLines w:val="0"/>
        <w:pageBreakBefore w:val="0"/>
        <w:kinsoku/>
        <w:wordWrap/>
        <w:overflowPunct/>
        <w:topLinePunct w:val="0"/>
        <w:bidi w:val="0"/>
        <w:ind w:left="0" w:leftChars="0" w:right="0" w:firstLine="560" w:firstLineChars="200"/>
        <w:textAlignment w:val="auto"/>
      </w:pPr>
      <w:r>
        <w:rPr>
          <w:rFonts w:hint="eastAsia"/>
        </w:rPr>
        <w:t>9.15.1一般要求</w:t>
      </w:r>
    </w:p>
    <w:p w14:paraId="055887E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DC0DFD0">
      <w:pPr>
        <w:pStyle w:val="32"/>
        <w:keepNext w:val="0"/>
        <w:keepLines w:val="0"/>
        <w:pageBreakBefore w:val="0"/>
        <w:kinsoku/>
        <w:wordWrap/>
        <w:overflowPunct/>
        <w:topLinePunct w:val="0"/>
        <w:bidi w:val="0"/>
        <w:ind w:left="0" w:leftChars="0" w:right="0" w:firstLine="560" w:firstLineChars="200"/>
        <w:textAlignment w:val="auto"/>
      </w:pPr>
      <w:r>
        <w:rPr>
          <w:rFonts w:hint="eastAsia"/>
        </w:rPr>
        <w:t>a)防烟排烟系统设计应与设计文件相符；（A类）</w:t>
      </w:r>
    </w:p>
    <w:p w14:paraId="5E3EFB59">
      <w:pPr>
        <w:pStyle w:val="32"/>
        <w:keepNext w:val="0"/>
        <w:keepLines w:val="0"/>
        <w:pageBreakBefore w:val="0"/>
        <w:kinsoku/>
        <w:wordWrap/>
        <w:overflowPunct/>
        <w:topLinePunct w:val="0"/>
        <w:bidi w:val="0"/>
        <w:ind w:left="0" w:leftChars="0" w:right="0" w:firstLine="560" w:firstLineChars="200"/>
        <w:textAlignment w:val="auto"/>
      </w:pPr>
      <w:r>
        <w:rPr>
          <w:rFonts w:hint="eastAsia"/>
        </w:rPr>
        <w:t>b)正压送风机、排烟风机应设置在专用机房内；（A类）</w:t>
      </w:r>
    </w:p>
    <w:p w14:paraId="7C79A3F6">
      <w:pPr>
        <w:pStyle w:val="32"/>
        <w:keepNext w:val="0"/>
        <w:keepLines w:val="0"/>
        <w:pageBreakBefore w:val="0"/>
        <w:kinsoku/>
        <w:wordWrap/>
        <w:overflowPunct/>
        <w:topLinePunct w:val="0"/>
        <w:bidi w:val="0"/>
        <w:ind w:left="0" w:leftChars="0" w:right="0" w:firstLine="560" w:firstLineChars="200"/>
        <w:textAlignment w:val="auto"/>
      </w:pPr>
      <w:r>
        <w:rPr>
          <w:rFonts w:hint="eastAsia"/>
        </w:rPr>
        <w:t>c)正压送风机、排烟机铭牌标志应清晰，标注的风量、风压应与设计文件相符；（A类）</w:t>
      </w:r>
    </w:p>
    <w:p w14:paraId="0EA87327">
      <w:pPr>
        <w:pStyle w:val="32"/>
        <w:keepNext w:val="0"/>
        <w:keepLines w:val="0"/>
        <w:pageBreakBefore w:val="0"/>
        <w:kinsoku/>
        <w:wordWrap/>
        <w:overflowPunct/>
        <w:topLinePunct w:val="0"/>
        <w:bidi w:val="0"/>
        <w:ind w:left="0" w:leftChars="0" w:right="0" w:firstLine="560" w:firstLineChars="200"/>
        <w:textAlignment w:val="auto"/>
      </w:pPr>
      <w:r>
        <w:rPr>
          <w:rFonts w:hint="eastAsia"/>
        </w:rPr>
        <w:t>d)挡烟垂壁的设置位置应与设计文件相符；（A类）</w:t>
      </w:r>
    </w:p>
    <w:p w14:paraId="10111A39">
      <w:pPr>
        <w:pStyle w:val="32"/>
        <w:keepNext w:val="0"/>
        <w:keepLines w:val="0"/>
        <w:pageBreakBefore w:val="0"/>
        <w:kinsoku/>
        <w:wordWrap/>
        <w:overflowPunct/>
        <w:topLinePunct w:val="0"/>
        <w:bidi w:val="0"/>
        <w:ind w:left="0" w:leftChars="0" w:right="0" w:firstLine="560" w:firstLineChars="200"/>
        <w:textAlignment w:val="auto"/>
      </w:pPr>
      <w:r>
        <w:rPr>
          <w:rFonts w:hint="eastAsia"/>
        </w:rPr>
        <w:t>e)消防控制室应能显示风机电源的工作状态；（A类）</w:t>
      </w:r>
    </w:p>
    <w:p w14:paraId="5AF9FD94">
      <w:pPr>
        <w:pStyle w:val="32"/>
        <w:keepNext w:val="0"/>
        <w:keepLines w:val="0"/>
        <w:pageBreakBefore w:val="0"/>
        <w:kinsoku/>
        <w:wordWrap/>
        <w:overflowPunct/>
        <w:topLinePunct w:val="0"/>
        <w:bidi w:val="0"/>
        <w:ind w:left="0" w:leftChars="0" w:right="0" w:firstLine="560" w:firstLineChars="200"/>
        <w:textAlignment w:val="auto"/>
      </w:pPr>
      <w:r>
        <w:rPr>
          <w:rFonts w:hint="eastAsia"/>
        </w:rPr>
        <w:t>f)消防控制室应能显示正压送风机、排烟风机、补风机、送风阀、排烟阀、电动防火阀、排烟防火阀、电动排烟窗、电动挡烟垂壁的正常工作状态和动作状态。（A类）</w:t>
      </w:r>
    </w:p>
    <w:p w14:paraId="36C29C7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F3DBFE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检测方法：对照设计文件，直观检查。</w:t>
      </w:r>
    </w:p>
    <w:p w14:paraId="621EEE38">
      <w:pPr>
        <w:pStyle w:val="32"/>
        <w:keepNext w:val="0"/>
        <w:keepLines w:val="0"/>
        <w:pageBreakBefore w:val="0"/>
        <w:kinsoku/>
        <w:wordWrap/>
        <w:overflowPunct/>
        <w:topLinePunct w:val="0"/>
        <w:bidi w:val="0"/>
        <w:ind w:left="0" w:leftChars="0" w:right="0" w:firstLine="560" w:firstLineChars="200"/>
        <w:textAlignment w:val="auto"/>
      </w:pPr>
      <w:r>
        <w:rPr>
          <w:rFonts w:hint="eastAsia"/>
        </w:rPr>
        <w:t>9.15.2机械加压送风系统</w:t>
      </w:r>
    </w:p>
    <w:p w14:paraId="7EBAAC3C">
      <w:pPr>
        <w:pStyle w:val="32"/>
        <w:keepNext w:val="0"/>
        <w:keepLines w:val="0"/>
        <w:pageBreakBefore w:val="0"/>
        <w:kinsoku/>
        <w:wordWrap/>
        <w:overflowPunct/>
        <w:topLinePunct w:val="0"/>
        <w:bidi w:val="0"/>
        <w:ind w:left="0" w:leftChars="0" w:right="0" w:firstLine="560" w:firstLineChars="200"/>
        <w:textAlignment w:val="auto"/>
      </w:pPr>
      <w:r>
        <w:rPr>
          <w:rFonts w:hint="eastAsia"/>
        </w:rPr>
        <w:t>9.15.2.1送风机</w:t>
      </w:r>
    </w:p>
    <w:p w14:paraId="4B14610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B234FC3">
      <w:pPr>
        <w:pStyle w:val="32"/>
        <w:keepNext w:val="0"/>
        <w:keepLines w:val="0"/>
        <w:pageBreakBefore w:val="0"/>
        <w:kinsoku/>
        <w:wordWrap/>
        <w:overflowPunct/>
        <w:topLinePunct w:val="0"/>
        <w:bidi w:val="0"/>
        <w:ind w:left="0" w:leftChars="0" w:right="0" w:firstLine="560" w:firstLineChars="200"/>
        <w:textAlignment w:val="auto"/>
      </w:pPr>
      <w:r>
        <w:rPr>
          <w:rFonts w:hint="eastAsia"/>
        </w:rPr>
        <w:t>a)送风机安装位置应与设计文件相符；（A类）</w:t>
      </w:r>
    </w:p>
    <w:p w14:paraId="09CD7559">
      <w:pPr>
        <w:pStyle w:val="32"/>
        <w:keepNext w:val="0"/>
        <w:keepLines w:val="0"/>
        <w:pageBreakBefore w:val="0"/>
        <w:kinsoku/>
        <w:wordWrap/>
        <w:overflowPunct/>
        <w:topLinePunct w:val="0"/>
        <w:bidi w:val="0"/>
        <w:ind w:left="0" w:leftChars="0" w:right="0" w:firstLine="560" w:firstLineChars="200"/>
        <w:textAlignment w:val="auto"/>
      </w:pPr>
      <w:r>
        <w:rPr>
          <w:rFonts w:hint="eastAsia"/>
        </w:rPr>
        <w:t>b)送风机的进风口不应与排烟风机的出风口设在同一面上。当确有困难时，送风机的进风口与排烟风机的出风口应分开布置，且竖向布置时，送风机的进风口应设置在排烟出口的下方，其两者边缘最小垂直距离不应小于6.0m。水平布置时，两者边缘最小水平距离不应小于20.0m；（B类）</w:t>
      </w:r>
    </w:p>
    <w:p w14:paraId="0933BC32">
      <w:pPr>
        <w:pStyle w:val="32"/>
        <w:keepNext w:val="0"/>
        <w:keepLines w:val="0"/>
        <w:pageBreakBefore w:val="0"/>
        <w:kinsoku/>
        <w:wordWrap/>
        <w:overflowPunct/>
        <w:topLinePunct w:val="0"/>
        <w:bidi w:val="0"/>
        <w:ind w:left="0" w:leftChars="0" w:right="0" w:firstLine="560" w:firstLineChars="200"/>
        <w:textAlignment w:val="auto"/>
      </w:pPr>
      <w:r>
        <w:rPr>
          <w:rFonts w:hint="eastAsia"/>
        </w:rPr>
        <w:t>c)机械加压送风机宜采用轴流风机或中、低压离心风机，且风机叶轮旋转方向应正确；（A类）</w:t>
      </w:r>
    </w:p>
    <w:p w14:paraId="4E498792">
      <w:pPr>
        <w:pStyle w:val="32"/>
        <w:keepNext w:val="0"/>
        <w:keepLines w:val="0"/>
        <w:pageBreakBefore w:val="0"/>
        <w:kinsoku/>
        <w:wordWrap/>
        <w:overflowPunct/>
        <w:topLinePunct w:val="0"/>
        <w:bidi w:val="0"/>
        <w:ind w:left="0" w:leftChars="0" w:right="0" w:firstLine="560" w:firstLineChars="200"/>
        <w:textAlignment w:val="auto"/>
      </w:pPr>
      <w:r>
        <w:rPr>
          <w:rFonts w:hint="eastAsia"/>
        </w:rPr>
        <w:t>d)传动皮带型风机的防护罩应完好，新风入口的防护网应完好；（C类）</w:t>
      </w:r>
    </w:p>
    <w:p w14:paraId="61A541BE">
      <w:pPr>
        <w:pStyle w:val="32"/>
        <w:keepNext w:val="0"/>
        <w:keepLines w:val="0"/>
        <w:pageBreakBefore w:val="0"/>
        <w:kinsoku/>
        <w:wordWrap/>
        <w:overflowPunct/>
        <w:topLinePunct w:val="0"/>
        <w:bidi w:val="0"/>
        <w:ind w:left="0" w:leftChars="0" w:right="0" w:firstLine="560" w:firstLineChars="200"/>
        <w:textAlignment w:val="auto"/>
      </w:pPr>
      <w:r>
        <w:rPr>
          <w:rFonts w:hint="eastAsia"/>
        </w:rPr>
        <w:t>e)风机启动后运转平稳，无异常振动与声响。（B类）</w:t>
      </w:r>
    </w:p>
    <w:p w14:paraId="69F4529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33344F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检测方法：直观检查。结合启动风机，检查风机运行状态。</w:t>
      </w:r>
    </w:p>
    <w:p w14:paraId="1B1C093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698D02C0">
      <w:pPr>
        <w:pStyle w:val="32"/>
        <w:keepNext w:val="0"/>
        <w:keepLines w:val="0"/>
        <w:pageBreakBefore w:val="0"/>
        <w:kinsoku/>
        <w:wordWrap/>
        <w:overflowPunct/>
        <w:topLinePunct w:val="0"/>
        <w:bidi w:val="0"/>
        <w:ind w:left="0" w:leftChars="0" w:right="0" w:firstLine="560" w:firstLineChars="200"/>
        <w:textAlignment w:val="auto"/>
      </w:pPr>
      <w:r>
        <w:rPr>
          <w:rFonts w:hint="eastAsia"/>
        </w:rPr>
        <w:t>9.15.2.2送风机控制柜</w:t>
      </w:r>
    </w:p>
    <w:p w14:paraId="0453A16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1F1C31C">
      <w:pPr>
        <w:pStyle w:val="32"/>
        <w:keepNext w:val="0"/>
        <w:keepLines w:val="0"/>
        <w:pageBreakBefore w:val="0"/>
        <w:kinsoku/>
        <w:wordWrap/>
        <w:overflowPunct/>
        <w:topLinePunct w:val="0"/>
        <w:bidi w:val="0"/>
        <w:ind w:left="0" w:leftChars="0" w:right="0" w:firstLine="560" w:firstLineChars="200"/>
        <w:textAlignment w:val="auto"/>
      </w:pPr>
      <w:r>
        <w:rPr>
          <w:rFonts w:hint="eastAsia"/>
        </w:rPr>
        <w:t>a)风机电源应采用专用消防电源；（A类）</w:t>
      </w:r>
    </w:p>
    <w:p w14:paraId="68695E01">
      <w:pPr>
        <w:pStyle w:val="32"/>
        <w:keepNext w:val="0"/>
        <w:keepLines w:val="0"/>
        <w:pageBreakBefore w:val="0"/>
        <w:kinsoku/>
        <w:wordWrap/>
        <w:overflowPunct/>
        <w:topLinePunct w:val="0"/>
        <w:bidi w:val="0"/>
        <w:ind w:left="0" w:leftChars="0" w:right="0" w:firstLine="560" w:firstLineChars="200"/>
        <w:textAlignment w:val="auto"/>
      </w:pPr>
      <w:r>
        <w:rPr>
          <w:rFonts w:hint="eastAsia"/>
        </w:rPr>
        <w:t>b)应有明确的标识标明所控制的相应风机，且应有手动、自动转换装置；（B类）</w:t>
      </w:r>
    </w:p>
    <w:p w14:paraId="0BBF3288">
      <w:pPr>
        <w:pStyle w:val="32"/>
        <w:keepNext w:val="0"/>
        <w:keepLines w:val="0"/>
        <w:pageBreakBefore w:val="0"/>
        <w:kinsoku/>
        <w:wordWrap/>
        <w:overflowPunct/>
        <w:topLinePunct w:val="0"/>
        <w:bidi w:val="0"/>
        <w:ind w:left="0" w:leftChars="0" w:right="0" w:firstLine="560" w:firstLineChars="200"/>
        <w:textAlignment w:val="auto"/>
      </w:pPr>
      <w:r>
        <w:rPr>
          <w:rFonts w:hint="eastAsia"/>
        </w:rPr>
        <w:t>c)应能可靠地现场操作和接收远程指令启动、停止风机；（A类）</w:t>
      </w:r>
    </w:p>
    <w:p w14:paraId="1D8674F8">
      <w:pPr>
        <w:pStyle w:val="32"/>
        <w:keepNext w:val="0"/>
        <w:keepLines w:val="0"/>
        <w:pageBreakBefore w:val="0"/>
        <w:kinsoku/>
        <w:wordWrap/>
        <w:overflowPunct/>
        <w:topLinePunct w:val="0"/>
        <w:bidi w:val="0"/>
        <w:ind w:left="0" w:leftChars="0" w:right="0" w:firstLine="560" w:firstLineChars="200"/>
        <w:textAlignment w:val="auto"/>
      </w:pPr>
      <w:r>
        <w:rPr>
          <w:rFonts w:hint="eastAsia"/>
        </w:rPr>
        <w:t>d)仪表、指示灯显示应正常，开关及控制按钮应灵活可靠。（C类）</w:t>
      </w:r>
    </w:p>
    <w:p w14:paraId="5DF2B8F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68188E6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检测方法：直观检查，结合启动风机，操作检查对风机的控制功能。</w:t>
      </w:r>
    </w:p>
    <w:p w14:paraId="06D06B9C">
      <w:pPr>
        <w:pStyle w:val="32"/>
        <w:keepNext w:val="0"/>
        <w:keepLines w:val="0"/>
        <w:pageBreakBefore w:val="0"/>
        <w:kinsoku/>
        <w:wordWrap/>
        <w:overflowPunct/>
        <w:topLinePunct w:val="0"/>
        <w:bidi w:val="0"/>
        <w:ind w:left="0" w:leftChars="0" w:right="0" w:firstLine="560" w:firstLineChars="200"/>
        <w:textAlignment w:val="auto"/>
      </w:pPr>
      <w:r>
        <w:rPr>
          <w:rFonts w:hint="eastAsia"/>
        </w:rPr>
        <w:t>9.15.2.3风道</w:t>
      </w:r>
    </w:p>
    <w:p w14:paraId="092E386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检测要求：机械加压送风系统应采用管道送风，且不应采用土建风道，应采用不燃材料制作且内壁光滑。（A类）</w:t>
      </w:r>
    </w:p>
    <w:p w14:paraId="3796AAD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检测数量：每个防火分区、每个楼层抽检一处。</w:t>
      </w:r>
    </w:p>
    <w:p w14:paraId="53A1645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3700B77A">
      <w:pPr>
        <w:pStyle w:val="32"/>
        <w:keepNext w:val="0"/>
        <w:keepLines w:val="0"/>
        <w:pageBreakBefore w:val="0"/>
        <w:kinsoku/>
        <w:wordWrap/>
        <w:overflowPunct/>
        <w:topLinePunct w:val="0"/>
        <w:bidi w:val="0"/>
        <w:ind w:left="0" w:leftChars="0" w:right="0" w:firstLine="560" w:firstLineChars="200"/>
        <w:textAlignment w:val="auto"/>
      </w:pPr>
      <w:r>
        <w:rPr>
          <w:rFonts w:hint="eastAsia"/>
        </w:rPr>
        <w:t>9.15.2.4送风口</w:t>
      </w:r>
    </w:p>
    <w:p w14:paraId="3C0E775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1162D9F8">
      <w:pPr>
        <w:pStyle w:val="32"/>
        <w:keepNext w:val="0"/>
        <w:keepLines w:val="0"/>
        <w:pageBreakBefore w:val="0"/>
        <w:kinsoku/>
        <w:wordWrap/>
        <w:overflowPunct/>
        <w:topLinePunct w:val="0"/>
        <w:bidi w:val="0"/>
        <w:ind w:left="0" w:leftChars="0" w:right="0" w:firstLine="560" w:firstLineChars="200"/>
        <w:textAlignment w:val="auto"/>
      </w:pPr>
      <w:r>
        <w:rPr>
          <w:rFonts w:hint="eastAsia"/>
        </w:rPr>
        <w:t>a)正压送风口的规格型号、设置位置应与设计文件相符；（A类）</w:t>
      </w:r>
    </w:p>
    <w:p w14:paraId="05A44BB5">
      <w:pPr>
        <w:pStyle w:val="32"/>
        <w:keepNext w:val="0"/>
        <w:keepLines w:val="0"/>
        <w:pageBreakBefore w:val="0"/>
        <w:kinsoku/>
        <w:wordWrap/>
        <w:overflowPunct/>
        <w:topLinePunct w:val="0"/>
        <w:bidi w:val="0"/>
        <w:ind w:left="0" w:leftChars="0" w:right="0" w:firstLine="560" w:firstLineChars="200"/>
        <w:textAlignment w:val="auto"/>
      </w:pPr>
      <w:r>
        <w:rPr>
          <w:rFonts w:hint="eastAsia"/>
        </w:rPr>
        <w:t>b)除直灌式加压送风方式外，防烟楼梯间宜每隔2～3层设置一个常开式百叶送风口；（B类）</w:t>
      </w:r>
    </w:p>
    <w:p w14:paraId="02870574">
      <w:pPr>
        <w:pStyle w:val="32"/>
        <w:keepNext w:val="0"/>
        <w:keepLines w:val="0"/>
        <w:pageBreakBefore w:val="0"/>
        <w:kinsoku/>
        <w:wordWrap/>
        <w:overflowPunct/>
        <w:topLinePunct w:val="0"/>
        <w:bidi w:val="0"/>
        <w:ind w:left="0" w:leftChars="0" w:right="0" w:firstLine="560" w:firstLineChars="200"/>
        <w:textAlignment w:val="auto"/>
      </w:pPr>
      <w:r>
        <w:rPr>
          <w:rFonts w:hint="eastAsia"/>
        </w:rPr>
        <w:t>c)前室应每层设置一个常闭式加压送风口，并应设手动开启装置；（A类）</w:t>
      </w:r>
    </w:p>
    <w:p w14:paraId="260579B5">
      <w:pPr>
        <w:pStyle w:val="32"/>
        <w:keepNext w:val="0"/>
        <w:keepLines w:val="0"/>
        <w:pageBreakBefore w:val="0"/>
        <w:kinsoku/>
        <w:wordWrap/>
        <w:overflowPunct/>
        <w:topLinePunct w:val="0"/>
        <w:bidi w:val="0"/>
        <w:ind w:left="0" w:leftChars="0" w:right="0" w:firstLine="560" w:firstLineChars="200"/>
        <w:textAlignment w:val="auto"/>
      </w:pPr>
      <w:r>
        <w:rPr>
          <w:rFonts w:hint="eastAsia"/>
        </w:rPr>
        <w:t>d)风口安装应牢固可靠，且不宜设置在被门挡住的部位；（C类）</w:t>
      </w:r>
    </w:p>
    <w:p w14:paraId="552DD1BA">
      <w:pPr>
        <w:pStyle w:val="32"/>
        <w:keepNext w:val="0"/>
        <w:keepLines w:val="0"/>
        <w:pageBreakBefore w:val="0"/>
        <w:kinsoku/>
        <w:wordWrap/>
        <w:overflowPunct/>
        <w:topLinePunct w:val="0"/>
        <w:bidi w:val="0"/>
        <w:ind w:left="0" w:leftChars="0" w:right="0" w:firstLine="560" w:firstLineChars="200"/>
        <w:textAlignment w:val="auto"/>
      </w:pPr>
      <w:r>
        <w:rPr>
          <w:rFonts w:hint="eastAsia"/>
        </w:rPr>
        <w:t>e)手动及控制室开启风阀正常，手动复位正常，关闭时应严密，反馈信号应正确。（A类）</w:t>
      </w:r>
    </w:p>
    <w:p w14:paraId="5E1437A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检测数量：每防火分区、每楼层抽检一处。</w:t>
      </w:r>
    </w:p>
    <w:p w14:paraId="12C616E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检测方法：对照设计文件，直观检查。</w:t>
      </w:r>
    </w:p>
    <w:p w14:paraId="62947370">
      <w:pPr>
        <w:pStyle w:val="32"/>
        <w:keepNext w:val="0"/>
        <w:keepLines w:val="0"/>
        <w:pageBreakBefore w:val="0"/>
        <w:kinsoku/>
        <w:wordWrap/>
        <w:overflowPunct/>
        <w:topLinePunct w:val="0"/>
        <w:bidi w:val="0"/>
        <w:ind w:left="0" w:leftChars="0" w:right="0" w:firstLine="560" w:firstLineChars="200"/>
        <w:textAlignment w:val="auto"/>
      </w:pPr>
      <w:r>
        <w:rPr>
          <w:rFonts w:hint="eastAsia"/>
        </w:rPr>
        <w:t>9.15.2.5系统功能</w:t>
      </w:r>
    </w:p>
    <w:p w14:paraId="17AAAF5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824D529">
      <w:pPr>
        <w:pStyle w:val="32"/>
        <w:keepNext w:val="0"/>
        <w:keepLines w:val="0"/>
        <w:pageBreakBefore w:val="0"/>
        <w:kinsoku/>
        <w:wordWrap/>
        <w:overflowPunct/>
        <w:topLinePunct w:val="0"/>
        <w:bidi w:val="0"/>
        <w:ind w:left="0" w:leftChars="0" w:right="0" w:firstLine="560" w:firstLineChars="200"/>
        <w:textAlignment w:val="auto"/>
      </w:pPr>
      <w:r>
        <w:rPr>
          <w:rFonts w:hint="eastAsia"/>
        </w:rPr>
        <w:t>a)火灾确认后能自动和手动启动相应区域的送风阀、送风机，并向消防控制室反馈信号；（A类）</w:t>
      </w:r>
    </w:p>
    <w:p w14:paraId="22002AF6">
      <w:pPr>
        <w:pStyle w:val="32"/>
        <w:keepNext w:val="0"/>
        <w:keepLines w:val="0"/>
        <w:pageBreakBefore w:val="0"/>
        <w:kinsoku/>
        <w:wordWrap/>
        <w:overflowPunct/>
        <w:topLinePunct w:val="0"/>
        <w:bidi w:val="0"/>
        <w:ind w:left="0" w:leftChars="0" w:right="0" w:firstLine="560" w:firstLineChars="200"/>
        <w:textAlignment w:val="auto"/>
      </w:pPr>
      <w:r>
        <w:rPr>
          <w:rFonts w:hint="eastAsia"/>
        </w:rPr>
        <w:t>b)系统中任一常闭加压风口开启时，加压风机应能自动启动；（A类）</w:t>
      </w:r>
    </w:p>
    <w:p w14:paraId="2ECEABF3">
      <w:pPr>
        <w:pStyle w:val="32"/>
        <w:keepNext w:val="0"/>
        <w:keepLines w:val="0"/>
        <w:pageBreakBefore w:val="0"/>
        <w:kinsoku/>
        <w:wordWrap/>
        <w:overflowPunct/>
        <w:topLinePunct w:val="0"/>
        <w:bidi w:val="0"/>
        <w:ind w:left="0" w:leftChars="0" w:right="0" w:firstLine="560" w:firstLineChars="200"/>
        <w:textAlignment w:val="auto"/>
      </w:pPr>
      <w:r>
        <w:rPr>
          <w:rFonts w:hint="eastAsia"/>
        </w:rPr>
        <w:t>c)送风口风速不宜大于7m/s。（B类）</w:t>
      </w:r>
    </w:p>
    <w:p w14:paraId="1EE1F19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检测数量：每防火分区、每楼层抽检一处。</w:t>
      </w:r>
    </w:p>
    <w:p w14:paraId="1E2CC50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测量风口风速，结合联动试验检查系统的控制功能。对常开风口的系统，按照附录C用数字风速计测量各风口风速，计算送风量；对于常闭送风口的系统，打开系统末端相邻三层正压送风口，按附录C用数字风速计测量各风风速，计算送风量。</w:t>
      </w:r>
    </w:p>
    <w:p w14:paraId="087C2F4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检测器具：数字风速计。</w:t>
      </w:r>
    </w:p>
    <w:p w14:paraId="29E0BADB">
      <w:pPr>
        <w:pStyle w:val="32"/>
        <w:keepNext w:val="0"/>
        <w:keepLines w:val="0"/>
        <w:pageBreakBefore w:val="0"/>
        <w:kinsoku/>
        <w:wordWrap/>
        <w:overflowPunct/>
        <w:topLinePunct w:val="0"/>
        <w:bidi w:val="0"/>
        <w:ind w:left="0" w:leftChars="0" w:right="0" w:firstLine="560" w:firstLineChars="200"/>
        <w:textAlignment w:val="auto"/>
      </w:pPr>
      <w:r>
        <w:rPr>
          <w:rFonts w:hint="eastAsia"/>
        </w:rPr>
        <w:t>9.15.3机械排烟系统</w:t>
      </w:r>
    </w:p>
    <w:p w14:paraId="7B9BF52B">
      <w:pPr>
        <w:pStyle w:val="32"/>
        <w:keepNext w:val="0"/>
        <w:keepLines w:val="0"/>
        <w:pageBreakBefore w:val="0"/>
        <w:kinsoku/>
        <w:wordWrap/>
        <w:overflowPunct/>
        <w:topLinePunct w:val="0"/>
        <w:bidi w:val="0"/>
        <w:ind w:left="0" w:leftChars="0" w:right="0" w:firstLine="560" w:firstLineChars="200"/>
        <w:textAlignment w:val="auto"/>
      </w:pPr>
      <w:r>
        <w:rPr>
          <w:rFonts w:hint="eastAsia"/>
        </w:rPr>
        <w:t>9.15.3.1风机</w:t>
      </w:r>
    </w:p>
    <w:p w14:paraId="0D8F98A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B45C205">
      <w:pPr>
        <w:pStyle w:val="32"/>
        <w:keepNext w:val="0"/>
        <w:keepLines w:val="0"/>
        <w:pageBreakBefore w:val="0"/>
        <w:kinsoku/>
        <w:wordWrap/>
        <w:overflowPunct/>
        <w:topLinePunct w:val="0"/>
        <w:bidi w:val="0"/>
        <w:ind w:left="0" w:leftChars="0" w:right="0" w:firstLine="560" w:firstLineChars="200"/>
        <w:textAlignment w:val="auto"/>
      </w:pPr>
      <w:r>
        <w:rPr>
          <w:rFonts w:hint="eastAsia"/>
        </w:rPr>
        <w:t>a)排烟风机安装位置应与设计文件相符；（A类）</w:t>
      </w:r>
    </w:p>
    <w:p w14:paraId="039CB79C">
      <w:pPr>
        <w:pStyle w:val="32"/>
        <w:keepNext w:val="0"/>
        <w:keepLines w:val="0"/>
        <w:pageBreakBefore w:val="0"/>
        <w:kinsoku/>
        <w:wordWrap/>
        <w:overflowPunct/>
        <w:topLinePunct w:val="0"/>
        <w:bidi w:val="0"/>
        <w:ind w:left="0" w:leftChars="0" w:right="0" w:firstLine="560" w:firstLineChars="200"/>
        <w:textAlignment w:val="auto"/>
      </w:pPr>
      <w:r>
        <w:rPr>
          <w:rFonts w:hint="eastAsia"/>
        </w:rPr>
        <w:t>b)排烟风机的烟气出口宜朝上，并应高于加压送风机和补风机的进风口；（A类）</w:t>
      </w:r>
    </w:p>
    <w:p w14:paraId="19855DFF">
      <w:pPr>
        <w:pStyle w:val="32"/>
        <w:keepNext w:val="0"/>
        <w:keepLines w:val="0"/>
        <w:pageBreakBefore w:val="0"/>
        <w:kinsoku/>
        <w:wordWrap/>
        <w:overflowPunct/>
        <w:topLinePunct w:val="0"/>
        <w:bidi w:val="0"/>
        <w:ind w:left="0" w:leftChars="0" w:right="0" w:firstLine="560" w:firstLineChars="200"/>
        <w:textAlignment w:val="auto"/>
      </w:pPr>
      <w:r>
        <w:rPr>
          <w:rFonts w:hint="eastAsia"/>
        </w:rPr>
        <w:t>c)传动皮带型风机的防护罩应完好，且风机出口的防护网应完好；（C类）</w:t>
      </w:r>
    </w:p>
    <w:p w14:paraId="30B88A60">
      <w:pPr>
        <w:pStyle w:val="32"/>
        <w:keepNext w:val="0"/>
        <w:keepLines w:val="0"/>
        <w:pageBreakBefore w:val="0"/>
        <w:kinsoku/>
        <w:wordWrap/>
        <w:overflowPunct/>
        <w:topLinePunct w:val="0"/>
        <w:bidi w:val="0"/>
        <w:ind w:left="0" w:leftChars="0" w:right="0" w:firstLine="560" w:firstLineChars="200"/>
        <w:textAlignment w:val="auto"/>
      </w:pPr>
      <w:r>
        <w:rPr>
          <w:rFonts w:hint="eastAsia"/>
        </w:rPr>
        <w:t>d)风机启动后运转平稳，无异常振动与声响；（B类）</w:t>
      </w:r>
    </w:p>
    <w:p w14:paraId="336B34F2">
      <w:pPr>
        <w:pStyle w:val="32"/>
        <w:keepNext w:val="0"/>
        <w:keepLines w:val="0"/>
        <w:pageBreakBefore w:val="0"/>
        <w:kinsoku/>
        <w:wordWrap/>
        <w:overflowPunct/>
        <w:topLinePunct w:val="0"/>
        <w:bidi w:val="0"/>
        <w:ind w:left="0" w:leftChars="0" w:right="0" w:firstLine="560" w:firstLineChars="200"/>
        <w:textAlignment w:val="auto"/>
      </w:pPr>
      <w:r>
        <w:rPr>
          <w:rFonts w:hint="eastAsia"/>
        </w:rPr>
        <w:t>e)风机叶轮旋转方向正确。（A类）</w:t>
      </w:r>
    </w:p>
    <w:p w14:paraId="1776AE8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8BBC37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检测方法：对照设计文件，直观检查。结合启动风机，检查风机运行状态。</w:t>
      </w:r>
    </w:p>
    <w:p w14:paraId="69139C67">
      <w:pPr>
        <w:pStyle w:val="32"/>
        <w:keepNext w:val="0"/>
        <w:keepLines w:val="0"/>
        <w:pageBreakBefore w:val="0"/>
        <w:kinsoku/>
        <w:wordWrap/>
        <w:overflowPunct/>
        <w:topLinePunct w:val="0"/>
        <w:bidi w:val="0"/>
        <w:ind w:left="0" w:leftChars="0" w:right="0" w:firstLine="560" w:firstLineChars="200"/>
        <w:textAlignment w:val="auto"/>
      </w:pPr>
      <w:r>
        <w:rPr>
          <w:rFonts w:hint="eastAsia"/>
        </w:rPr>
        <w:t>9.15.3.2风机控制柜</w:t>
      </w:r>
    </w:p>
    <w:p w14:paraId="1C54B9F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7874F3A">
      <w:pPr>
        <w:pStyle w:val="32"/>
        <w:keepNext w:val="0"/>
        <w:keepLines w:val="0"/>
        <w:pageBreakBefore w:val="0"/>
        <w:kinsoku/>
        <w:wordWrap/>
        <w:overflowPunct/>
        <w:topLinePunct w:val="0"/>
        <w:bidi w:val="0"/>
        <w:ind w:left="0" w:leftChars="0" w:right="0" w:firstLine="560" w:firstLineChars="200"/>
        <w:textAlignment w:val="auto"/>
      </w:pPr>
      <w:r>
        <w:rPr>
          <w:rFonts w:hint="eastAsia"/>
        </w:rPr>
        <w:t>a)风机电源应采用专用消防电源；（A类）</w:t>
      </w:r>
    </w:p>
    <w:p w14:paraId="77749CC7">
      <w:pPr>
        <w:pStyle w:val="32"/>
        <w:keepNext w:val="0"/>
        <w:keepLines w:val="0"/>
        <w:pageBreakBefore w:val="0"/>
        <w:kinsoku/>
        <w:wordWrap/>
        <w:overflowPunct/>
        <w:topLinePunct w:val="0"/>
        <w:bidi w:val="0"/>
        <w:ind w:left="0" w:leftChars="0" w:right="0" w:firstLine="560" w:firstLineChars="200"/>
        <w:textAlignment w:val="auto"/>
      </w:pPr>
      <w:r>
        <w:rPr>
          <w:rFonts w:hint="eastAsia"/>
        </w:rPr>
        <w:t>b)风机控制柜应有明确的标识标明所控制的相应风机，且应有手动、自动转换装置；（C类）</w:t>
      </w:r>
    </w:p>
    <w:p w14:paraId="1491A8D4">
      <w:pPr>
        <w:pStyle w:val="32"/>
        <w:keepNext w:val="0"/>
        <w:keepLines w:val="0"/>
        <w:pageBreakBefore w:val="0"/>
        <w:kinsoku/>
        <w:wordWrap/>
        <w:overflowPunct/>
        <w:topLinePunct w:val="0"/>
        <w:bidi w:val="0"/>
        <w:ind w:left="0" w:leftChars="0" w:right="0" w:firstLine="560" w:firstLineChars="200"/>
        <w:textAlignment w:val="auto"/>
      </w:pPr>
      <w:r>
        <w:rPr>
          <w:rFonts w:hint="eastAsia"/>
        </w:rPr>
        <w:t>c)应能可靠地现场操作和接收远程指令启动、停止风机；（A类）</w:t>
      </w:r>
    </w:p>
    <w:p w14:paraId="03CB1308">
      <w:pPr>
        <w:pStyle w:val="32"/>
        <w:keepNext w:val="0"/>
        <w:keepLines w:val="0"/>
        <w:pageBreakBefore w:val="0"/>
        <w:kinsoku/>
        <w:wordWrap/>
        <w:overflowPunct/>
        <w:topLinePunct w:val="0"/>
        <w:bidi w:val="0"/>
        <w:ind w:left="0" w:leftChars="0" w:right="0" w:firstLine="560" w:firstLineChars="200"/>
        <w:textAlignment w:val="auto"/>
      </w:pPr>
      <w:r>
        <w:rPr>
          <w:rFonts w:hint="eastAsia"/>
        </w:rPr>
        <w:t>d)仪表、指示灯显示应正常，开关及控制按钮应灵活可靠。（B类）</w:t>
      </w:r>
    </w:p>
    <w:p w14:paraId="660CD60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7783F73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检测方法：直观检查，结合操作检查对风机的控制功能。</w:t>
      </w:r>
    </w:p>
    <w:p w14:paraId="181F6241">
      <w:pPr>
        <w:pStyle w:val="32"/>
        <w:keepNext w:val="0"/>
        <w:keepLines w:val="0"/>
        <w:pageBreakBefore w:val="0"/>
        <w:kinsoku/>
        <w:wordWrap/>
        <w:overflowPunct/>
        <w:topLinePunct w:val="0"/>
        <w:bidi w:val="0"/>
        <w:ind w:left="0" w:leftChars="0" w:right="0" w:firstLine="560" w:firstLineChars="200"/>
        <w:textAlignment w:val="auto"/>
      </w:pPr>
      <w:r>
        <w:rPr>
          <w:rFonts w:hint="eastAsia"/>
        </w:rPr>
        <w:t>9.15.3.3风道</w:t>
      </w:r>
    </w:p>
    <w:p w14:paraId="52EB43F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检测要求：风道设置位置应与设计文件相符，且不应采用土建风道。排烟管道应采用不燃材料制作</w:t>
      </w:r>
    </w:p>
    <w:p w14:paraId="353AAF9F">
      <w:pPr>
        <w:pStyle w:val="32"/>
        <w:keepNext w:val="0"/>
        <w:keepLines w:val="0"/>
        <w:pageBreakBefore w:val="0"/>
        <w:kinsoku/>
        <w:wordWrap/>
        <w:overflowPunct/>
        <w:topLinePunct w:val="0"/>
        <w:bidi w:val="0"/>
        <w:ind w:left="0" w:leftChars="0" w:right="0" w:firstLine="560" w:firstLineChars="200"/>
        <w:textAlignment w:val="auto"/>
      </w:pPr>
      <w:r>
        <w:rPr>
          <w:rFonts w:hint="eastAsia"/>
        </w:rPr>
        <w:t>且内壁应光滑。（A类）</w:t>
      </w:r>
    </w:p>
    <w:p w14:paraId="6C9EB98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检测数量：每个防火分区、每个楼层抽检一处。</w:t>
      </w:r>
    </w:p>
    <w:p w14:paraId="0715D37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w:t>
      </w:r>
    </w:p>
    <w:p w14:paraId="1B22FD9D">
      <w:pPr>
        <w:pStyle w:val="32"/>
        <w:keepNext w:val="0"/>
        <w:keepLines w:val="0"/>
        <w:pageBreakBefore w:val="0"/>
        <w:kinsoku/>
        <w:wordWrap/>
        <w:overflowPunct/>
        <w:topLinePunct w:val="0"/>
        <w:bidi w:val="0"/>
        <w:ind w:left="0" w:leftChars="0" w:right="0" w:firstLine="560" w:firstLineChars="200"/>
        <w:textAlignment w:val="auto"/>
      </w:pPr>
      <w:r>
        <w:rPr>
          <w:rFonts w:hint="eastAsia"/>
        </w:rPr>
        <w:t>9.15.3.4排烟口</w:t>
      </w:r>
    </w:p>
    <w:p w14:paraId="3ED1D8E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FE85288">
      <w:pPr>
        <w:pStyle w:val="32"/>
        <w:keepNext w:val="0"/>
        <w:keepLines w:val="0"/>
        <w:pageBreakBefore w:val="0"/>
        <w:kinsoku/>
        <w:wordWrap/>
        <w:overflowPunct/>
        <w:topLinePunct w:val="0"/>
        <w:bidi w:val="0"/>
        <w:ind w:left="0" w:leftChars="0" w:right="0" w:firstLine="560" w:firstLineChars="200"/>
        <w:textAlignment w:val="auto"/>
      </w:pPr>
      <w:r>
        <w:rPr>
          <w:rFonts w:hint="eastAsia"/>
        </w:rPr>
        <w:t>a)风口的规格、型号应与设计文件相符；（A类）</w:t>
      </w:r>
    </w:p>
    <w:p w14:paraId="7AAB243C">
      <w:pPr>
        <w:pStyle w:val="32"/>
        <w:keepNext w:val="0"/>
        <w:keepLines w:val="0"/>
        <w:pageBreakBefore w:val="0"/>
        <w:kinsoku/>
        <w:wordWrap/>
        <w:overflowPunct/>
        <w:topLinePunct w:val="0"/>
        <w:bidi w:val="0"/>
        <w:ind w:left="0" w:leftChars="0" w:right="0" w:firstLine="560" w:firstLineChars="200"/>
        <w:textAlignment w:val="auto"/>
      </w:pPr>
      <w:r>
        <w:rPr>
          <w:rFonts w:hint="eastAsia"/>
        </w:rPr>
        <w:t>b)排烟口宜设置在顶棚或靠近顶棚的墙面上；（B类）</w:t>
      </w:r>
    </w:p>
    <w:p w14:paraId="5F9DD356">
      <w:pPr>
        <w:pStyle w:val="32"/>
        <w:keepNext w:val="0"/>
        <w:keepLines w:val="0"/>
        <w:pageBreakBefore w:val="0"/>
        <w:kinsoku/>
        <w:wordWrap/>
        <w:overflowPunct/>
        <w:topLinePunct w:val="0"/>
        <w:bidi w:val="0"/>
        <w:ind w:left="0" w:leftChars="0" w:right="0" w:firstLine="560" w:firstLineChars="200"/>
        <w:textAlignment w:val="auto"/>
      </w:pPr>
      <w:r>
        <w:rPr>
          <w:rFonts w:hint="eastAsia"/>
        </w:rPr>
        <w:t>c)火灾时由火灾自动报警系统联动开启排烟区域的排烟阀或排烟口，应在现场设置手动开启装置，设置在墙面上时，距地面宜为0.8m～1.5m。设置在顶棚下时，距地面宜为1.8m；（B类）</w:t>
      </w:r>
    </w:p>
    <w:p w14:paraId="4D9891A0">
      <w:pPr>
        <w:pStyle w:val="32"/>
        <w:keepNext w:val="0"/>
        <w:keepLines w:val="0"/>
        <w:pageBreakBefore w:val="0"/>
        <w:kinsoku/>
        <w:wordWrap/>
        <w:overflowPunct/>
        <w:topLinePunct w:val="0"/>
        <w:bidi w:val="0"/>
        <w:ind w:left="0" w:leftChars="0" w:right="0" w:firstLine="560" w:firstLineChars="200"/>
        <w:textAlignment w:val="auto"/>
      </w:pPr>
      <w:r>
        <w:rPr>
          <w:rFonts w:hint="eastAsia"/>
        </w:rPr>
        <w:t>d)风口安装应牢固可靠；（C类）</w:t>
      </w:r>
    </w:p>
    <w:p w14:paraId="7082FD02">
      <w:pPr>
        <w:pStyle w:val="32"/>
        <w:keepNext w:val="0"/>
        <w:keepLines w:val="0"/>
        <w:pageBreakBefore w:val="0"/>
        <w:kinsoku/>
        <w:wordWrap/>
        <w:overflowPunct/>
        <w:topLinePunct w:val="0"/>
        <w:bidi w:val="0"/>
        <w:ind w:left="0" w:leftChars="0" w:right="0" w:firstLine="560" w:firstLineChars="200"/>
        <w:textAlignment w:val="auto"/>
      </w:pPr>
      <w:r>
        <w:rPr>
          <w:rFonts w:hint="eastAsia"/>
        </w:rPr>
        <w:t>e)手动及控制室开启风阀正常，手动复位正常，关闭时应严密，反馈信号应正确；（A类）</w:t>
      </w:r>
    </w:p>
    <w:p w14:paraId="622A41DF">
      <w:pPr>
        <w:pStyle w:val="32"/>
        <w:keepNext w:val="0"/>
        <w:keepLines w:val="0"/>
        <w:pageBreakBefore w:val="0"/>
        <w:kinsoku/>
        <w:wordWrap/>
        <w:overflowPunct/>
        <w:topLinePunct w:val="0"/>
        <w:bidi w:val="0"/>
        <w:ind w:left="0" w:leftChars="0" w:right="0" w:firstLine="560" w:firstLineChars="200"/>
        <w:textAlignment w:val="auto"/>
      </w:pPr>
      <w:r>
        <w:rPr>
          <w:rFonts w:hint="eastAsia"/>
        </w:rPr>
        <w:t>f)排烟口与排风口合并设置时，应在排烟口或排风口所在的支管设置自动阀门，该阀门必须具有防火功能，并应与火灾自动报警系统联动。（A类）</w:t>
      </w:r>
    </w:p>
    <w:p w14:paraId="5CFA0BF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检测数量：每防火分区、每楼层抽检1处。</w:t>
      </w:r>
    </w:p>
    <w:p w14:paraId="116506B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检测方法：对照设计文件，尺量、直观检查。</w:t>
      </w:r>
    </w:p>
    <w:p w14:paraId="6A143BA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591786ED">
      <w:pPr>
        <w:pStyle w:val="32"/>
        <w:keepNext w:val="0"/>
        <w:keepLines w:val="0"/>
        <w:pageBreakBefore w:val="0"/>
        <w:kinsoku/>
        <w:wordWrap/>
        <w:overflowPunct/>
        <w:topLinePunct w:val="0"/>
        <w:bidi w:val="0"/>
        <w:ind w:left="0" w:leftChars="0" w:right="0" w:firstLine="560" w:firstLineChars="200"/>
        <w:textAlignment w:val="auto"/>
      </w:pPr>
      <w:r>
        <w:rPr>
          <w:rFonts w:hint="eastAsia"/>
        </w:rPr>
        <w:t>9.15.3.5排烟防火阀</w:t>
      </w:r>
    </w:p>
    <w:p w14:paraId="3B25D87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2F1B40D">
      <w:pPr>
        <w:pStyle w:val="32"/>
        <w:keepNext w:val="0"/>
        <w:keepLines w:val="0"/>
        <w:pageBreakBefore w:val="0"/>
        <w:kinsoku/>
        <w:wordWrap/>
        <w:overflowPunct/>
        <w:topLinePunct w:val="0"/>
        <w:bidi w:val="0"/>
        <w:ind w:left="0" w:leftChars="0" w:right="0" w:firstLine="560" w:firstLineChars="200"/>
        <w:textAlignment w:val="auto"/>
      </w:pPr>
      <w:r>
        <w:rPr>
          <w:rFonts w:hint="eastAsia"/>
        </w:rPr>
        <w:t>a)排烟防火阀的设置位置应与设计文件相符，平时处于开启状态；（A类）</w:t>
      </w:r>
    </w:p>
    <w:p w14:paraId="59BA850B">
      <w:pPr>
        <w:pStyle w:val="32"/>
        <w:keepNext w:val="0"/>
        <w:keepLines w:val="0"/>
        <w:pageBreakBefore w:val="0"/>
        <w:kinsoku/>
        <w:wordWrap/>
        <w:overflowPunct/>
        <w:topLinePunct w:val="0"/>
        <w:bidi w:val="0"/>
        <w:ind w:left="0" w:leftChars="0" w:right="0" w:firstLine="560" w:firstLineChars="200"/>
        <w:textAlignment w:val="auto"/>
      </w:pPr>
      <w:r>
        <w:rPr>
          <w:rFonts w:hint="eastAsia"/>
        </w:rPr>
        <w:t>b)手动/电动关闭时，能将关闭信号传到消防控制室。（A类）</w:t>
      </w:r>
    </w:p>
    <w:p w14:paraId="606D4CC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检测数量：排烟机入口处全数检测，其他位置按实际安装数量的80%抽检，且不应少于5处，少于5处的全数检测。</w:t>
      </w:r>
    </w:p>
    <w:p w14:paraId="2C36AA0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检测方法：对照设计文件，直观检查，结合操作检查信号反馈功能。</w:t>
      </w:r>
    </w:p>
    <w:p w14:paraId="75C82B99">
      <w:pPr>
        <w:pStyle w:val="32"/>
        <w:keepNext w:val="0"/>
        <w:keepLines w:val="0"/>
        <w:pageBreakBefore w:val="0"/>
        <w:kinsoku/>
        <w:wordWrap/>
        <w:overflowPunct/>
        <w:topLinePunct w:val="0"/>
        <w:bidi w:val="0"/>
        <w:ind w:left="0" w:leftChars="0" w:right="0" w:firstLine="560" w:firstLineChars="200"/>
        <w:textAlignment w:val="auto"/>
      </w:pPr>
      <w:r>
        <w:rPr>
          <w:rFonts w:hint="eastAsia"/>
        </w:rPr>
        <w:t>9.15.3.6电动排烟窗</w:t>
      </w:r>
    </w:p>
    <w:p w14:paraId="2DE7DC0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19AB0ED0">
      <w:pPr>
        <w:pStyle w:val="32"/>
        <w:keepNext w:val="0"/>
        <w:keepLines w:val="0"/>
        <w:pageBreakBefore w:val="0"/>
        <w:kinsoku/>
        <w:wordWrap/>
        <w:overflowPunct/>
        <w:topLinePunct w:val="0"/>
        <w:bidi w:val="0"/>
        <w:ind w:left="0" w:leftChars="0" w:right="0" w:firstLine="560" w:firstLineChars="200"/>
        <w:textAlignment w:val="auto"/>
      </w:pPr>
      <w:r>
        <w:rPr>
          <w:rFonts w:hint="eastAsia"/>
        </w:rPr>
        <w:t>a)电动排烟窗的设置位置、规格、数量应与设计文件相符；（A类）</w:t>
      </w:r>
    </w:p>
    <w:p w14:paraId="591C4CD5">
      <w:pPr>
        <w:pStyle w:val="32"/>
        <w:keepNext w:val="0"/>
        <w:keepLines w:val="0"/>
        <w:pageBreakBefore w:val="0"/>
        <w:kinsoku/>
        <w:wordWrap/>
        <w:overflowPunct/>
        <w:topLinePunct w:val="0"/>
        <w:bidi w:val="0"/>
        <w:ind w:left="0" w:leftChars="0" w:right="0" w:firstLine="560" w:firstLineChars="200"/>
        <w:textAlignment w:val="auto"/>
      </w:pPr>
      <w:r>
        <w:rPr>
          <w:rFonts w:hint="eastAsia"/>
        </w:rPr>
        <w:t>b)排烟窗安装应牢固可靠；（C类）</w:t>
      </w:r>
    </w:p>
    <w:p w14:paraId="086FFA26">
      <w:pPr>
        <w:pStyle w:val="32"/>
        <w:keepNext w:val="0"/>
        <w:keepLines w:val="0"/>
        <w:pageBreakBefore w:val="0"/>
        <w:kinsoku/>
        <w:wordWrap/>
        <w:overflowPunct/>
        <w:topLinePunct w:val="0"/>
        <w:bidi w:val="0"/>
        <w:ind w:left="0" w:leftChars="0" w:right="0" w:firstLine="560" w:firstLineChars="200"/>
        <w:textAlignment w:val="auto"/>
      </w:pPr>
      <w:r>
        <w:rPr>
          <w:rFonts w:hint="eastAsia"/>
        </w:rPr>
        <w:t>c)手动及控制室开启正常，手动复位正常，关闭时应严密，反馈信号应正确。（A类）</w:t>
      </w:r>
    </w:p>
    <w:p w14:paraId="10ACB1B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检测数量：按实际安装数量的80%抽检，且不应少于5处，少于5处的全数检测。</w:t>
      </w:r>
    </w:p>
    <w:p w14:paraId="7DF27B0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检测方法：直观检查，结合操作检查动作性能及信号反馈功能。</w:t>
      </w:r>
    </w:p>
    <w:p w14:paraId="5047F08C">
      <w:pPr>
        <w:pStyle w:val="32"/>
        <w:keepNext w:val="0"/>
        <w:keepLines w:val="0"/>
        <w:pageBreakBefore w:val="0"/>
        <w:kinsoku/>
        <w:wordWrap/>
        <w:overflowPunct/>
        <w:topLinePunct w:val="0"/>
        <w:bidi w:val="0"/>
        <w:ind w:left="0" w:leftChars="0" w:right="0" w:firstLine="560" w:firstLineChars="200"/>
        <w:textAlignment w:val="auto"/>
      </w:pPr>
      <w:r>
        <w:rPr>
          <w:rFonts w:hint="eastAsia"/>
        </w:rPr>
        <w:t>9.15.3.7系统功能</w:t>
      </w:r>
    </w:p>
    <w:p w14:paraId="45BF755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E988B89">
      <w:pPr>
        <w:pStyle w:val="32"/>
        <w:keepNext w:val="0"/>
        <w:keepLines w:val="0"/>
        <w:pageBreakBefore w:val="0"/>
        <w:kinsoku/>
        <w:wordWrap/>
        <w:overflowPunct/>
        <w:topLinePunct w:val="0"/>
        <w:bidi w:val="0"/>
        <w:ind w:left="0" w:leftChars="0" w:right="0" w:firstLine="560" w:firstLineChars="200"/>
        <w:textAlignment w:val="auto"/>
      </w:pPr>
      <w:r>
        <w:rPr>
          <w:rFonts w:hint="eastAsia"/>
        </w:rPr>
        <w:t>a)能自动和手动启动相应区域的排烟阀、排烟风机，并反馈信号；（A类）</w:t>
      </w:r>
    </w:p>
    <w:p w14:paraId="7531FAEB">
      <w:pPr>
        <w:pStyle w:val="32"/>
        <w:keepNext w:val="0"/>
        <w:keepLines w:val="0"/>
        <w:pageBreakBefore w:val="0"/>
        <w:kinsoku/>
        <w:wordWrap/>
        <w:overflowPunct/>
        <w:topLinePunct w:val="0"/>
        <w:bidi w:val="0"/>
        <w:ind w:left="0" w:leftChars="0" w:right="0" w:firstLine="560" w:firstLineChars="200"/>
        <w:textAlignment w:val="auto"/>
      </w:pPr>
      <w:r>
        <w:rPr>
          <w:rFonts w:hint="eastAsia"/>
        </w:rPr>
        <w:t>b)排烟口或排烟阀应能与排烟风机联锁，当任一排烟口或排烟阀开启时，排烟风机应能自行启动，且应在启动排烟风机的同时启动补风风机；（A类）</w:t>
      </w:r>
    </w:p>
    <w:p w14:paraId="1D44AA2A">
      <w:pPr>
        <w:pStyle w:val="32"/>
        <w:keepNext w:val="0"/>
        <w:keepLines w:val="0"/>
        <w:pageBreakBefore w:val="0"/>
        <w:kinsoku/>
        <w:wordWrap/>
        <w:overflowPunct/>
        <w:topLinePunct w:val="0"/>
        <w:bidi w:val="0"/>
        <w:ind w:left="0" w:leftChars="0" w:right="0" w:firstLine="560" w:firstLineChars="200"/>
        <w:textAlignment w:val="auto"/>
      </w:pPr>
      <w:r>
        <w:rPr>
          <w:rFonts w:hint="eastAsia"/>
        </w:rPr>
        <w:t>c)当通风与排烟合用风机时，应能自动将风机切换到高速运行状态；（A类）</w:t>
      </w:r>
    </w:p>
    <w:p w14:paraId="3456B28D">
      <w:pPr>
        <w:pStyle w:val="32"/>
        <w:keepNext w:val="0"/>
        <w:keepLines w:val="0"/>
        <w:pageBreakBefore w:val="0"/>
        <w:kinsoku/>
        <w:wordWrap/>
        <w:overflowPunct/>
        <w:topLinePunct w:val="0"/>
        <w:bidi w:val="0"/>
        <w:ind w:left="0" w:leftChars="0" w:right="0" w:firstLine="560" w:firstLineChars="200"/>
        <w:textAlignment w:val="auto"/>
      </w:pPr>
      <w:r>
        <w:rPr>
          <w:rFonts w:hint="eastAsia"/>
        </w:rPr>
        <w:t>d)电动排烟窗应能正常开启；（A类）</w:t>
      </w:r>
    </w:p>
    <w:p w14:paraId="0761AD74">
      <w:pPr>
        <w:pStyle w:val="32"/>
        <w:keepNext w:val="0"/>
        <w:keepLines w:val="0"/>
        <w:pageBreakBefore w:val="0"/>
        <w:kinsoku/>
        <w:wordWrap/>
        <w:overflowPunct/>
        <w:topLinePunct w:val="0"/>
        <w:bidi w:val="0"/>
        <w:ind w:left="0" w:leftChars="0" w:right="0" w:firstLine="560" w:firstLineChars="200"/>
        <w:textAlignment w:val="auto"/>
      </w:pPr>
      <w:r>
        <w:rPr>
          <w:rFonts w:hint="eastAsia"/>
        </w:rPr>
        <w:t>e)排烟口风速不宜大于10m/s；（B类）</w:t>
      </w:r>
    </w:p>
    <w:p w14:paraId="4FD892C8">
      <w:pPr>
        <w:pStyle w:val="32"/>
        <w:keepNext w:val="0"/>
        <w:keepLines w:val="0"/>
        <w:pageBreakBefore w:val="0"/>
        <w:kinsoku/>
        <w:wordWrap/>
        <w:overflowPunct/>
        <w:topLinePunct w:val="0"/>
        <w:bidi w:val="0"/>
        <w:ind w:left="0" w:leftChars="0" w:right="0" w:firstLine="560" w:firstLineChars="200"/>
        <w:textAlignment w:val="auto"/>
      </w:pPr>
      <w:r>
        <w:rPr>
          <w:rFonts w:hint="eastAsia"/>
        </w:rPr>
        <w:t>f)排烟风机应随设置于风机入口处排烟防火阀的关闭而自动停止。（A类）</w:t>
      </w:r>
    </w:p>
    <w:p w14:paraId="6F30A51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检测数量：每个防火分区、每个楼层抽检一处。电动排烟窗按实际安装数量的80%抽检，且不应少于5处，少于5处的全数检测。</w:t>
      </w:r>
    </w:p>
    <w:p w14:paraId="2455190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检测方法：测量风口风速，结合联动试验检查系统的控制功能。对常开风口的系统，按照附录C用数字风速计测量各风口风速，计算送风量；对于常闭送风口的系统，打开系统末端相邻三层正压送风口，</w:t>
      </w:r>
    </w:p>
    <w:p w14:paraId="01B77A78">
      <w:pPr>
        <w:pStyle w:val="32"/>
        <w:keepNext w:val="0"/>
        <w:keepLines w:val="0"/>
        <w:pageBreakBefore w:val="0"/>
        <w:kinsoku/>
        <w:wordWrap/>
        <w:overflowPunct/>
        <w:topLinePunct w:val="0"/>
        <w:bidi w:val="0"/>
        <w:ind w:left="0" w:leftChars="0" w:right="0" w:firstLine="560" w:firstLineChars="200"/>
        <w:textAlignment w:val="auto"/>
      </w:pPr>
      <w:r>
        <w:rPr>
          <w:rFonts w:hint="eastAsia"/>
        </w:rPr>
        <w:t>按附录C用数字风速计测量各风风速，计算送风量。</w:t>
      </w:r>
    </w:p>
    <w:p w14:paraId="135FF03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检测器具：数字风速计。</w:t>
      </w:r>
    </w:p>
    <w:p w14:paraId="600F0BEA">
      <w:pPr>
        <w:pStyle w:val="32"/>
        <w:keepNext w:val="0"/>
        <w:keepLines w:val="0"/>
        <w:pageBreakBefore w:val="0"/>
        <w:kinsoku/>
        <w:wordWrap/>
        <w:overflowPunct/>
        <w:topLinePunct w:val="0"/>
        <w:bidi w:val="0"/>
        <w:ind w:left="0" w:leftChars="0" w:right="0" w:firstLine="560" w:firstLineChars="200"/>
        <w:textAlignment w:val="auto"/>
      </w:pPr>
      <w:r>
        <w:rPr>
          <w:rFonts w:hint="eastAsia"/>
        </w:rPr>
        <w:t>9.15.4电动挡烟垂壁</w:t>
      </w:r>
    </w:p>
    <w:p w14:paraId="315E6D29">
      <w:pPr>
        <w:pStyle w:val="32"/>
        <w:keepNext w:val="0"/>
        <w:keepLines w:val="0"/>
        <w:pageBreakBefore w:val="0"/>
        <w:kinsoku/>
        <w:wordWrap/>
        <w:overflowPunct/>
        <w:topLinePunct w:val="0"/>
        <w:bidi w:val="0"/>
        <w:ind w:left="0" w:leftChars="0" w:right="0" w:firstLine="560" w:firstLineChars="200"/>
        <w:textAlignment w:val="auto"/>
      </w:pPr>
      <w:r>
        <w:rPr>
          <w:rFonts w:hint="eastAsia"/>
        </w:rPr>
        <w:t>9.15.4.1基本要求</w:t>
      </w:r>
    </w:p>
    <w:p w14:paraId="0034F28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055614E">
      <w:pPr>
        <w:pStyle w:val="32"/>
        <w:keepNext w:val="0"/>
        <w:keepLines w:val="0"/>
        <w:pageBreakBefore w:val="0"/>
        <w:kinsoku/>
        <w:wordWrap/>
        <w:overflowPunct/>
        <w:topLinePunct w:val="0"/>
        <w:bidi w:val="0"/>
        <w:ind w:left="0" w:leftChars="0" w:right="0" w:firstLine="560" w:firstLineChars="200"/>
        <w:textAlignment w:val="auto"/>
      </w:pPr>
      <w:r>
        <w:rPr>
          <w:rFonts w:hint="eastAsia"/>
        </w:rPr>
        <w:t>a)挡烟垂壁的标牌应牢固，标识应清楚；（C类）</w:t>
      </w:r>
    </w:p>
    <w:p w14:paraId="36BA4DC5">
      <w:pPr>
        <w:pStyle w:val="32"/>
        <w:keepNext w:val="0"/>
        <w:keepLines w:val="0"/>
        <w:pageBreakBefore w:val="0"/>
        <w:kinsoku/>
        <w:wordWrap/>
        <w:overflowPunct/>
        <w:topLinePunct w:val="0"/>
        <w:bidi w:val="0"/>
        <w:ind w:left="0" w:leftChars="0" w:right="0" w:firstLine="560" w:firstLineChars="200"/>
        <w:textAlignment w:val="auto"/>
      </w:pPr>
      <w:r>
        <w:rPr>
          <w:rFonts w:hint="eastAsia"/>
        </w:rPr>
        <w:t>b)卷帘式挡烟垂壁的挡烟部件不允许有撕裂、缺角、挖补、破洞、倾斜、跳线、断线、经纬纱密度明显不均匀及色差等缺陷；（C类）</w:t>
      </w:r>
    </w:p>
    <w:p w14:paraId="2B858ED1">
      <w:pPr>
        <w:pStyle w:val="32"/>
        <w:keepNext w:val="0"/>
        <w:keepLines w:val="0"/>
        <w:pageBreakBefore w:val="0"/>
        <w:kinsoku/>
        <w:wordWrap/>
        <w:overflowPunct/>
        <w:topLinePunct w:val="0"/>
        <w:bidi w:val="0"/>
        <w:ind w:left="0" w:leftChars="0" w:right="0" w:firstLine="560" w:firstLineChars="200"/>
        <w:textAlignment w:val="auto"/>
      </w:pPr>
      <w:r>
        <w:rPr>
          <w:rFonts w:hint="eastAsia"/>
        </w:rPr>
        <w:t>c)卷帘式挡烟垂壁的表面应平直、整洁、美观；（C类）</w:t>
      </w:r>
    </w:p>
    <w:p w14:paraId="7F8EF1D8">
      <w:pPr>
        <w:pStyle w:val="32"/>
        <w:keepNext w:val="0"/>
        <w:keepLines w:val="0"/>
        <w:pageBreakBefore w:val="0"/>
        <w:kinsoku/>
        <w:wordWrap/>
        <w:overflowPunct/>
        <w:topLinePunct w:val="0"/>
        <w:bidi w:val="0"/>
        <w:ind w:left="0" w:leftChars="0" w:right="0" w:firstLine="560" w:firstLineChars="200"/>
        <w:textAlignment w:val="auto"/>
      </w:pPr>
      <w:r>
        <w:rPr>
          <w:rFonts w:hint="eastAsia"/>
        </w:rPr>
        <w:t>d)拼接处不允许有错位。（C类）</w:t>
      </w:r>
    </w:p>
    <w:p w14:paraId="001C99F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检测数量：按实际安装数量的80%抽检，且不应少于5处，少于5处的全数检测。</w:t>
      </w:r>
    </w:p>
    <w:p w14:paraId="1A6CB77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05B2D500">
      <w:pPr>
        <w:pStyle w:val="32"/>
        <w:keepNext w:val="0"/>
        <w:keepLines w:val="0"/>
        <w:pageBreakBefore w:val="0"/>
        <w:kinsoku/>
        <w:wordWrap/>
        <w:overflowPunct/>
        <w:topLinePunct w:val="0"/>
        <w:bidi w:val="0"/>
        <w:ind w:left="0" w:leftChars="0" w:right="0" w:firstLine="560" w:firstLineChars="200"/>
        <w:textAlignment w:val="auto"/>
      </w:pPr>
      <w:r>
        <w:rPr>
          <w:rFonts w:hint="eastAsia"/>
        </w:rPr>
        <w:t>9.15.4.2安装要求</w:t>
      </w:r>
    </w:p>
    <w:p w14:paraId="6E1CD8B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9F2DEC9">
      <w:pPr>
        <w:pStyle w:val="32"/>
        <w:keepNext w:val="0"/>
        <w:keepLines w:val="0"/>
        <w:pageBreakBefore w:val="0"/>
        <w:kinsoku/>
        <w:wordWrap/>
        <w:overflowPunct/>
        <w:topLinePunct w:val="0"/>
        <w:bidi w:val="0"/>
        <w:ind w:left="0" w:leftChars="0" w:right="0" w:firstLine="560" w:firstLineChars="200"/>
        <w:textAlignment w:val="auto"/>
      </w:pPr>
      <w:r>
        <w:rPr>
          <w:rFonts w:hint="eastAsia"/>
        </w:rPr>
        <w:t>a)单节挡烟垂壁的宽度不能满足防烟分区要求时，可用多节垂壁以搭接的形式安装使用，且搭接宽度应满足：</w:t>
      </w:r>
    </w:p>
    <w:p w14:paraId="37A35AA5">
      <w:pPr>
        <w:pStyle w:val="32"/>
        <w:keepNext w:val="0"/>
        <w:keepLines w:val="0"/>
        <w:pageBreakBefore w:val="0"/>
        <w:kinsoku/>
        <w:wordWrap/>
        <w:overflowPunct/>
        <w:topLinePunct w:val="0"/>
        <w:bidi w:val="0"/>
        <w:ind w:left="0" w:leftChars="0" w:right="0" w:firstLine="560" w:firstLineChars="200"/>
        <w:textAlignment w:val="auto"/>
      </w:pPr>
      <w:r>
        <w:rPr>
          <w:rFonts w:hint="eastAsia"/>
        </w:rPr>
        <w:t>1)卷帘式挡烟垂壁应不小于100mm；（B类）</w:t>
      </w:r>
    </w:p>
    <w:p w14:paraId="27048BDB">
      <w:pPr>
        <w:pStyle w:val="32"/>
        <w:keepNext w:val="0"/>
        <w:keepLines w:val="0"/>
        <w:pageBreakBefore w:val="0"/>
        <w:kinsoku/>
        <w:wordWrap/>
        <w:overflowPunct/>
        <w:topLinePunct w:val="0"/>
        <w:bidi w:val="0"/>
        <w:ind w:left="0" w:leftChars="0" w:right="0" w:firstLine="560" w:firstLineChars="200"/>
        <w:textAlignment w:val="auto"/>
      </w:pPr>
      <w:r>
        <w:rPr>
          <w:rFonts w:hint="eastAsia"/>
        </w:rPr>
        <w:t>2)翻板式挡烟垂壁应不小于20mm。（B类）</w:t>
      </w:r>
    </w:p>
    <w:p w14:paraId="5C6F4995">
      <w:pPr>
        <w:pStyle w:val="32"/>
        <w:keepNext w:val="0"/>
        <w:keepLines w:val="0"/>
        <w:pageBreakBefore w:val="0"/>
        <w:kinsoku/>
        <w:wordWrap/>
        <w:overflowPunct/>
        <w:topLinePunct w:val="0"/>
        <w:bidi w:val="0"/>
        <w:ind w:left="0" w:leftChars="0" w:right="0" w:firstLine="560" w:firstLineChars="200"/>
        <w:textAlignment w:val="auto"/>
      </w:pPr>
      <w:r>
        <w:rPr>
          <w:rFonts w:hint="eastAsia"/>
        </w:rPr>
        <w:t>b)挡烟垂壁边沿与建筑物结构表面应保持最小距离，此距离不应大于20mm；（B类）</w:t>
      </w:r>
    </w:p>
    <w:p w14:paraId="172071AB">
      <w:pPr>
        <w:pStyle w:val="32"/>
        <w:keepNext w:val="0"/>
        <w:keepLines w:val="0"/>
        <w:pageBreakBefore w:val="0"/>
        <w:kinsoku/>
        <w:wordWrap/>
        <w:overflowPunct/>
        <w:topLinePunct w:val="0"/>
        <w:bidi w:val="0"/>
        <w:ind w:left="0" w:leftChars="0" w:right="0" w:firstLine="560" w:firstLineChars="200"/>
        <w:textAlignment w:val="auto"/>
      </w:pPr>
      <w:r>
        <w:rPr>
          <w:rFonts w:hint="eastAsia"/>
        </w:rPr>
        <w:t>c)卷帘式挡烟垂壁必须设置重量足够的底梁，以保证垂壁运行的顺利、平稳。（C类）</w:t>
      </w:r>
    </w:p>
    <w:p w14:paraId="19A9C07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检测数量：按实际安装数量的80%抽检，且不应少于5处，少于5处的全数检测。</w:t>
      </w:r>
    </w:p>
    <w:p w14:paraId="600DD5D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检测方法：尺量检查搭接宽度和距离，直观检查垂壁运行。</w:t>
      </w:r>
    </w:p>
    <w:p w14:paraId="2DEFE81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检测器具：钢直尺、钢卷尺。</w:t>
      </w:r>
    </w:p>
    <w:p w14:paraId="29A00CFC">
      <w:pPr>
        <w:pStyle w:val="32"/>
        <w:keepNext w:val="0"/>
        <w:keepLines w:val="0"/>
        <w:pageBreakBefore w:val="0"/>
        <w:kinsoku/>
        <w:wordWrap/>
        <w:overflowPunct/>
        <w:topLinePunct w:val="0"/>
        <w:bidi w:val="0"/>
        <w:ind w:left="0" w:leftChars="0" w:right="0" w:firstLine="560" w:firstLineChars="200"/>
        <w:textAlignment w:val="auto"/>
      </w:pPr>
      <w:r>
        <w:rPr>
          <w:rFonts w:hint="eastAsia"/>
        </w:rPr>
        <w:t>9.15.4.3控制与运行</w:t>
      </w:r>
    </w:p>
    <w:p w14:paraId="442D595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A31E4F8">
      <w:pPr>
        <w:pStyle w:val="32"/>
        <w:keepNext w:val="0"/>
        <w:keepLines w:val="0"/>
        <w:pageBreakBefore w:val="0"/>
        <w:kinsoku/>
        <w:wordWrap/>
        <w:overflowPunct/>
        <w:topLinePunct w:val="0"/>
        <w:bidi w:val="0"/>
        <w:ind w:left="0" w:leftChars="0" w:right="0" w:firstLine="560" w:firstLineChars="200"/>
        <w:textAlignment w:val="auto"/>
      </w:pPr>
      <w:r>
        <w:rPr>
          <w:rFonts w:hint="eastAsia"/>
        </w:rPr>
        <w:t>a)挡烟垂壁应与感烟探测器联动。当感烟探测器报警后，挡烟垂壁能自动下降至挡烟工作位置，距离顶棚的距离不应小于500mm；（A类）</w:t>
      </w:r>
    </w:p>
    <w:p w14:paraId="418E4585">
      <w:pPr>
        <w:pStyle w:val="32"/>
        <w:keepNext w:val="0"/>
        <w:keepLines w:val="0"/>
        <w:pageBreakBefore w:val="0"/>
        <w:kinsoku/>
        <w:wordWrap/>
        <w:overflowPunct/>
        <w:topLinePunct w:val="0"/>
        <w:bidi w:val="0"/>
        <w:ind w:left="0" w:leftChars="0" w:right="0" w:firstLine="560" w:firstLineChars="200"/>
        <w:textAlignment w:val="auto"/>
      </w:pPr>
      <w:r>
        <w:rPr>
          <w:rFonts w:hint="eastAsia"/>
        </w:rPr>
        <w:t>b)挡烟垂壁接收到消防控制中心的控制信号后，应能下降至挡烟工作位置；（A类）</w:t>
      </w:r>
    </w:p>
    <w:p w14:paraId="765F48CE">
      <w:pPr>
        <w:pStyle w:val="32"/>
        <w:keepNext w:val="0"/>
        <w:keepLines w:val="0"/>
        <w:pageBreakBefore w:val="0"/>
        <w:kinsoku/>
        <w:wordWrap/>
        <w:overflowPunct/>
        <w:topLinePunct w:val="0"/>
        <w:bidi w:val="0"/>
        <w:ind w:left="0" w:leftChars="0" w:right="0" w:firstLine="560" w:firstLineChars="200"/>
        <w:textAlignment w:val="auto"/>
      </w:pPr>
      <w:r>
        <w:rPr>
          <w:rFonts w:hint="eastAsia"/>
        </w:rPr>
        <w:t>c)系统断电时，挡烟垂壁能自动下降至挡烟工作位置；（B类）</w:t>
      </w:r>
    </w:p>
    <w:p w14:paraId="16F36D8E">
      <w:pPr>
        <w:pStyle w:val="32"/>
        <w:keepNext w:val="0"/>
        <w:keepLines w:val="0"/>
        <w:pageBreakBefore w:val="0"/>
        <w:kinsoku/>
        <w:wordWrap/>
        <w:overflowPunct/>
        <w:topLinePunct w:val="0"/>
        <w:bidi w:val="0"/>
        <w:ind w:left="0" w:leftChars="0" w:right="0" w:firstLine="560" w:firstLineChars="200"/>
        <w:textAlignment w:val="auto"/>
      </w:pPr>
      <w:r>
        <w:rPr>
          <w:rFonts w:hint="eastAsia"/>
        </w:rPr>
        <w:t>d)挡烟垂壁应设置限位装置，当其运行至上、下限位时，能自动停止。（A类）</w:t>
      </w:r>
    </w:p>
    <w:p w14:paraId="7D88DA1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检测数量：按实际安装数量的80%抽检，且不应少于5处，少于5处的全数检测。</w:t>
      </w:r>
    </w:p>
    <w:p w14:paraId="7357F86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检测方法：尺量检查降落高度，检查降落时间，直观检查工作状况。</w:t>
      </w:r>
    </w:p>
    <w:p w14:paraId="3C692FF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检测器具：钢卷尺、秒表。</w:t>
      </w:r>
    </w:p>
    <w:p w14:paraId="6F6257B7">
      <w:pPr>
        <w:pStyle w:val="32"/>
        <w:keepNext w:val="0"/>
        <w:keepLines w:val="0"/>
        <w:pageBreakBefore w:val="0"/>
        <w:kinsoku/>
        <w:wordWrap/>
        <w:overflowPunct/>
        <w:topLinePunct w:val="0"/>
        <w:bidi w:val="0"/>
        <w:ind w:left="0" w:leftChars="0" w:right="0" w:firstLine="560" w:firstLineChars="200"/>
        <w:textAlignment w:val="auto"/>
      </w:pPr>
      <w:r>
        <w:rPr>
          <w:rFonts w:hint="eastAsia"/>
        </w:rPr>
        <w:t>9.16消防应急照明和疏散指示系统</w:t>
      </w:r>
    </w:p>
    <w:p w14:paraId="22E7EEDA">
      <w:pPr>
        <w:pStyle w:val="32"/>
        <w:keepNext w:val="0"/>
        <w:keepLines w:val="0"/>
        <w:pageBreakBefore w:val="0"/>
        <w:kinsoku/>
        <w:wordWrap/>
        <w:overflowPunct/>
        <w:topLinePunct w:val="0"/>
        <w:bidi w:val="0"/>
        <w:ind w:left="0" w:leftChars="0" w:right="0" w:firstLine="560" w:firstLineChars="200"/>
        <w:textAlignment w:val="auto"/>
      </w:pPr>
      <w:r>
        <w:rPr>
          <w:rFonts w:hint="eastAsia"/>
        </w:rPr>
        <w:t>9.16.1一般规定</w:t>
      </w:r>
    </w:p>
    <w:p w14:paraId="0C4006C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1CB8CC03">
      <w:pPr>
        <w:pStyle w:val="32"/>
        <w:keepNext w:val="0"/>
        <w:keepLines w:val="0"/>
        <w:pageBreakBefore w:val="0"/>
        <w:kinsoku/>
        <w:wordWrap/>
        <w:overflowPunct/>
        <w:topLinePunct w:val="0"/>
        <w:bidi w:val="0"/>
        <w:ind w:left="0" w:leftChars="0" w:right="0" w:firstLine="560" w:firstLineChars="200"/>
        <w:textAlignment w:val="auto"/>
      </w:pPr>
      <w:r>
        <w:rPr>
          <w:rFonts w:hint="eastAsia"/>
        </w:rPr>
        <w:t>a)应急照明控制器、集中电源、应急照明配电箱的设置部位应与设计文件相符；（A类）</w:t>
      </w:r>
    </w:p>
    <w:p w14:paraId="273B3E30">
      <w:pPr>
        <w:pStyle w:val="32"/>
        <w:keepNext w:val="0"/>
        <w:keepLines w:val="0"/>
        <w:pageBreakBefore w:val="0"/>
        <w:kinsoku/>
        <w:wordWrap/>
        <w:overflowPunct/>
        <w:topLinePunct w:val="0"/>
        <w:bidi w:val="0"/>
        <w:ind w:left="0" w:leftChars="0" w:right="0" w:firstLine="560" w:firstLineChars="200"/>
        <w:textAlignment w:val="auto"/>
      </w:pPr>
      <w:r>
        <w:rPr>
          <w:rFonts w:hint="eastAsia"/>
        </w:rPr>
        <w:t>b)设置在距地面8m及以下的灯具的电压等级及供电方式应与设计文件相符；（B类）</w:t>
      </w:r>
    </w:p>
    <w:p w14:paraId="69ED753D">
      <w:pPr>
        <w:pStyle w:val="32"/>
        <w:keepNext w:val="0"/>
        <w:keepLines w:val="0"/>
        <w:pageBreakBefore w:val="0"/>
        <w:kinsoku/>
        <w:wordWrap/>
        <w:overflowPunct/>
        <w:topLinePunct w:val="0"/>
        <w:bidi w:val="0"/>
        <w:ind w:left="0" w:leftChars="0" w:right="0" w:firstLine="560" w:firstLineChars="200"/>
        <w:textAlignment w:val="auto"/>
      </w:pPr>
      <w:r>
        <w:rPr>
          <w:rFonts w:hint="eastAsia"/>
        </w:rPr>
        <w:t>c)应急照明控制器直接控制灯具的总数量不应大于3200个。（B类）</w:t>
      </w:r>
    </w:p>
    <w:p w14:paraId="7398766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682F49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7427B96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a）对照设计文件，核查应急照明控制器、集中电源、应急照明配电箱的设置部位；</w:t>
      </w:r>
    </w:p>
    <w:p w14:paraId="1B12CFB5">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b）对照设计文件核查灯具的电压等级是否符合以下要求：</w:t>
      </w:r>
    </w:p>
    <w:p w14:paraId="55657D49">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1）应选择A型灯具。</w:t>
      </w:r>
    </w:p>
    <w:p w14:paraId="1AE27466">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2）地面上设置的标志灯应选择集中电源A型灯具。</w:t>
      </w:r>
    </w:p>
    <w:p w14:paraId="098876F7">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3）未设置消防控制室的住宅建筑，疏散走道、楼梯间等场所可选择自带电源B型灯具；</w:t>
      </w:r>
    </w:p>
    <w:p w14:paraId="644BE1EA">
      <w:pPr>
        <w:pStyle w:val="32"/>
        <w:keepNext w:val="0"/>
        <w:keepLines w:val="0"/>
        <w:pageBreakBefore w:val="0"/>
        <w:kinsoku/>
        <w:wordWrap/>
        <w:overflowPunct/>
        <w:topLinePunct w:val="0"/>
        <w:bidi w:val="0"/>
        <w:ind w:left="0" w:leftChars="0" w:right="0" w:firstLine="560" w:firstLineChars="200"/>
        <w:textAlignment w:val="auto"/>
      </w:pPr>
      <w:r>
        <w:rPr>
          <w:rFonts w:hint="eastAsia"/>
        </w:rPr>
        <w:t>c）核查应急照明控制器连接灯具的数量。</w:t>
      </w:r>
    </w:p>
    <w:p w14:paraId="5BD009E7">
      <w:pPr>
        <w:pStyle w:val="32"/>
        <w:keepNext w:val="0"/>
        <w:keepLines w:val="0"/>
        <w:pageBreakBefore w:val="0"/>
        <w:kinsoku/>
        <w:wordWrap/>
        <w:overflowPunct/>
        <w:topLinePunct w:val="0"/>
        <w:bidi w:val="0"/>
        <w:ind w:left="0" w:leftChars="0" w:right="0" w:firstLine="560" w:firstLineChars="200"/>
        <w:textAlignment w:val="auto"/>
      </w:pPr>
      <w:r>
        <w:rPr>
          <w:rFonts w:hint="eastAsia"/>
        </w:rPr>
        <w:t>9.16.2布线</w:t>
      </w:r>
    </w:p>
    <w:p w14:paraId="525E0C3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A245DEE">
      <w:pPr>
        <w:pStyle w:val="32"/>
        <w:keepNext w:val="0"/>
        <w:keepLines w:val="0"/>
        <w:pageBreakBefore w:val="0"/>
        <w:kinsoku/>
        <w:wordWrap/>
        <w:overflowPunct/>
        <w:topLinePunct w:val="0"/>
        <w:bidi w:val="0"/>
        <w:ind w:left="0" w:leftChars="0" w:right="0" w:firstLine="560" w:firstLineChars="200"/>
        <w:textAlignment w:val="auto"/>
      </w:pPr>
      <w:r>
        <w:rPr>
          <w:rFonts w:hint="eastAsia"/>
        </w:rPr>
        <w:t>a)布线选型应与设计文件相符；（A类）</w:t>
      </w:r>
    </w:p>
    <w:p w14:paraId="4595B3B1">
      <w:pPr>
        <w:pStyle w:val="32"/>
        <w:keepNext w:val="0"/>
        <w:keepLines w:val="0"/>
        <w:pageBreakBefore w:val="0"/>
        <w:kinsoku/>
        <w:wordWrap/>
        <w:overflowPunct/>
        <w:topLinePunct w:val="0"/>
        <w:bidi w:val="0"/>
        <w:ind w:left="0" w:leftChars="0" w:right="0" w:firstLine="560" w:firstLineChars="200"/>
        <w:textAlignment w:val="auto"/>
      </w:pPr>
      <w:r>
        <w:rPr>
          <w:rFonts w:hint="eastAsia"/>
        </w:rPr>
        <w:t>b)同一工程中相同用途电线电缆的颜色应一致。线路正极“+”线应为红色，负极“-”线应为蓝色或黑色，接地线应为黄色绿色相间。（B类）</w:t>
      </w:r>
    </w:p>
    <w:p w14:paraId="21773FB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检测数量：每个防火分区、每个楼层抽检一处。</w:t>
      </w:r>
    </w:p>
    <w:p w14:paraId="2A7A83A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检测方法：对照设计文件，直观检查。</w:t>
      </w:r>
    </w:p>
    <w:p w14:paraId="6ED12D4C">
      <w:pPr>
        <w:pStyle w:val="32"/>
        <w:keepNext w:val="0"/>
        <w:keepLines w:val="0"/>
        <w:pageBreakBefore w:val="0"/>
        <w:kinsoku/>
        <w:wordWrap/>
        <w:overflowPunct/>
        <w:topLinePunct w:val="0"/>
        <w:bidi w:val="0"/>
        <w:ind w:left="0" w:leftChars="0" w:right="0" w:firstLine="560" w:firstLineChars="200"/>
        <w:textAlignment w:val="auto"/>
      </w:pPr>
      <w:r>
        <w:rPr>
          <w:rFonts w:hint="eastAsia"/>
        </w:rPr>
        <w:t>9.16.3应急照明控制器</w:t>
      </w:r>
    </w:p>
    <w:p w14:paraId="4E2C2BDE">
      <w:pPr>
        <w:pStyle w:val="32"/>
        <w:keepNext w:val="0"/>
        <w:keepLines w:val="0"/>
        <w:pageBreakBefore w:val="0"/>
        <w:kinsoku/>
        <w:wordWrap/>
        <w:overflowPunct/>
        <w:topLinePunct w:val="0"/>
        <w:bidi w:val="0"/>
        <w:ind w:left="0" w:leftChars="0" w:right="0" w:firstLine="560" w:firstLineChars="200"/>
        <w:textAlignment w:val="auto"/>
      </w:pPr>
      <w:r>
        <w:rPr>
          <w:rFonts w:hint="eastAsia"/>
        </w:rPr>
        <w:t>9.16.3.1基本要求</w:t>
      </w:r>
    </w:p>
    <w:p w14:paraId="3DBBDBD3">
      <w:pPr>
        <w:pStyle w:val="32"/>
        <w:keepNext w:val="0"/>
        <w:keepLines w:val="0"/>
        <w:pageBreakBefore w:val="0"/>
        <w:kinsoku/>
        <w:wordWrap/>
        <w:overflowPunct/>
        <w:topLinePunct w:val="0"/>
        <w:bidi w:val="0"/>
        <w:ind w:left="0" w:leftChars="0" w:right="0" w:firstLine="560" w:firstLineChars="200"/>
        <w:textAlignment w:val="auto"/>
      </w:pPr>
      <w:r>
        <w:rPr>
          <w:rFonts w:hint="eastAsia"/>
        </w:rPr>
        <w:t>应急照明控制器在消防控制室墙面上设置时，设备主显示屏高度宜为1.5m～1.8m。（C类）</w:t>
      </w:r>
    </w:p>
    <w:p w14:paraId="12424F1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7935C9E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w:t>
      </w:r>
    </w:p>
    <w:p w14:paraId="24D932D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52675777">
      <w:pPr>
        <w:pStyle w:val="32"/>
        <w:keepNext w:val="0"/>
        <w:keepLines w:val="0"/>
        <w:pageBreakBefore w:val="0"/>
        <w:kinsoku/>
        <w:wordWrap/>
        <w:overflowPunct/>
        <w:topLinePunct w:val="0"/>
        <w:bidi w:val="0"/>
        <w:ind w:left="0" w:leftChars="0" w:right="0" w:firstLine="560" w:firstLineChars="200"/>
        <w:textAlignment w:val="auto"/>
      </w:pPr>
      <w:r>
        <w:rPr>
          <w:rFonts w:hint="eastAsia"/>
        </w:rPr>
        <w:t>9.16.3.2功能要求</w:t>
      </w:r>
    </w:p>
    <w:p w14:paraId="3A4ABA1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82429A2">
      <w:pPr>
        <w:pStyle w:val="32"/>
        <w:keepNext w:val="0"/>
        <w:keepLines w:val="0"/>
        <w:pageBreakBefore w:val="0"/>
        <w:kinsoku/>
        <w:wordWrap/>
        <w:overflowPunct/>
        <w:topLinePunct w:val="0"/>
        <w:bidi w:val="0"/>
        <w:ind w:left="0" w:leftChars="0" w:right="0" w:firstLine="560" w:firstLineChars="200"/>
        <w:textAlignment w:val="auto"/>
      </w:pPr>
      <w:r>
        <w:rPr>
          <w:rFonts w:hint="eastAsia"/>
        </w:rPr>
        <w:t>a)应急照明控制器应能接收、显示、保持火灾报警控制器的火灾报警输出信号和灯具、集中电源或应急照明配电箱的工作状态信息；（A类）</w:t>
      </w:r>
    </w:p>
    <w:p w14:paraId="792A69E6">
      <w:pPr>
        <w:pStyle w:val="32"/>
        <w:keepNext w:val="0"/>
        <w:keepLines w:val="0"/>
        <w:pageBreakBefore w:val="0"/>
        <w:kinsoku/>
        <w:wordWrap/>
        <w:overflowPunct/>
        <w:topLinePunct w:val="0"/>
        <w:bidi w:val="0"/>
        <w:ind w:left="0" w:leftChars="0" w:right="0" w:firstLine="560" w:firstLineChars="200"/>
        <w:textAlignment w:val="auto"/>
      </w:pPr>
      <w:r>
        <w:rPr>
          <w:rFonts w:hint="eastAsia"/>
        </w:rPr>
        <w:t>b)应急照明控制器应有自检、消音、复位、屏蔽功能；（A类）</w:t>
      </w:r>
    </w:p>
    <w:p w14:paraId="645B1F2D">
      <w:pPr>
        <w:pStyle w:val="32"/>
        <w:keepNext w:val="0"/>
        <w:keepLines w:val="0"/>
        <w:pageBreakBefore w:val="0"/>
        <w:kinsoku/>
        <w:wordWrap/>
        <w:overflowPunct/>
        <w:topLinePunct w:val="0"/>
        <w:bidi w:val="0"/>
        <w:ind w:left="0" w:leftChars="0" w:right="0" w:firstLine="560" w:firstLineChars="200"/>
        <w:textAlignment w:val="auto"/>
      </w:pPr>
      <w:r>
        <w:rPr>
          <w:rFonts w:hint="eastAsia"/>
        </w:rPr>
        <w:t>c)应急照明控制器应设主电源和直流备用电源。当主电源断电时，能自动切换到备用电源。当主电源恢复时，能自动转换到主电源，电源的转换不应使控制器产生误动作。（A类）</w:t>
      </w:r>
    </w:p>
    <w:p w14:paraId="656DD30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B30A9CE">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36E7080C">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a）使火灾报警控制器发出火灾报警输出信号，检查应急照明控制器发出启动信号的情况。在应急照明控制器上查阅相关设备的工作状态信息；</w:t>
      </w:r>
    </w:p>
    <w:p w14:paraId="2F44E032">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触发自检键，观察控制器面板上所有指示灯、显示器和音响器件是否正常。当报警控制器处于报警状态时，触发消音键，应能消除声报警信号。触发复位键，系统应能恢复正常状态。启动屏蔽或取消屏蔽，观察地址和设备状态；</w:t>
      </w:r>
    </w:p>
    <w:p w14:paraId="23AAFEF3">
      <w:pPr>
        <w:pStyle w:val="32"/>
        <w:keepNext w:val="0"/>
        <w:keepLines w:val="0"/>
        <w:pageBreakBefore w:val="0"/>
        <w:kinsoku/>
        <w:wordWrap/>
        <w:overflowPunct/>
        <w:topLinePunct w:val="0"/>
        <w:bidi w:val="0"/>
        <w:ind w:left="0" w:leftChars="0" w:right="0" w:firstLine="560" w:firstLineChars="200"/>
        <w:textAlignment w:val="auto"/>
      </w:pPr>
      <w:r>
        <w:rPr>
          <w:rFonts w:hint="eastAsia"/>
        </w:rPr>
        <w:t>c）进行电源切换测试，直观检查。</w:t>
      </w:r>
    </w:p>
    <w:p w14:paraId="53E8BC8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检测器具：感烟（温）探测器功能试验器。</w:t>
      </w:r>
    </w:p>
    <w:p w14:paraId="7BCD4E21">
      <w:pPr>
        <w:pStyle w:val="32"/>
        <w:keepNext w:val="0"/>
        <w:keepLines w:val="0"/>
        <w:pageBreakBefore w:val="0"/>
        <w:kinsoku/>
        <w:wordWrap/>
        <w:overflowPunct/>
        <w:topLinePunct w:val="0"/>
        <w:bidi w:val="0"/>
        <w:ind w:left="0" w:leftChars="0" w:right="0" w:firstLine="560" w:firstLineChars="200"/>
        <w:textAlignment w:val="auto"/>
      </w:pPr>
      <w:r>
        <w:rPr>
          <w:rFonts w:hint="eastAsia"/>
        </w:rPr>
        <w:t>9.16.4应急照明集中电源</w:t>
      </w:r>
    </w:p>
    <w:p w14:paraId="3EC4E42C">
      <w:pPr>
        <w:pStyle w:val="32"/>
        <w:keepNext w:val="0"/>
        <w:keepLines w:val="0"/>
        <w:pageBreakBefore w:val="0"/>
        <w:kinsoku/>
        <w:wordWrap/>
        <w:overflowPunct/>
        <w:topLinePunct w:val="0"/>
        <w:bidi w:val="0"/>
        <w:ind w:left="0" w:leftChars="0" w:right="0" w:firstLine="560" w:firstLineChars="200"/>
        <w:textAlignment w:val="auto"/>
      </w:pPr>
      <w:r>
        <w:rPr>
          <w:rFonts w:hint="eastAsia"/>
        </w:rPr>
        <w:t>9.16.4.1功能要求</w:t>
      </w:r>
    </w:p>
    <w:p w14:paraId="610B6B0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检测要求：集中电源应具有自检功能、主、备电源的自动转换功能、故障报警功能、消音功能。</w:t>
      </w:r>
    </w:p>
    <w:p w14:paraId="08C6E2D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587CE5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操作控制器的自检机构，检查控制器指示灯、显示器和音响器的动作情况。切断主电源，检查备用电源自动投入情况，观察工作指示灯显示情况；恢复主电源，检查主电源自动投入情况，观察工作指示灯显示情况。使集中电源的充电器与电池组之间的连线断路，观察集中电源故障信息显示情况。操作集中电源应急输出启动按钮，使集中电源转入蓄电池电源输出，任一输入回路断开，观察集中电源故障信息显示情况。手动操作集中电源消音键，检查控制器声信号消除情况。</w:t>
      </w:r>
    </w:p>
    <w:p w14:paraId="43460B6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检测器具：数字万用表。</w:t>
      </w:r>
    </w:p>
    <w:p w14:paraId="5EBAB823">
      <w:pPr>
        <w:pStyle w:val="32"/>
        <w:keepNext w:val="0"/>
        <w:keepLines w:val="0"/>
        <w:pageBreakBefore w:val="0"/>
        <w:kinsoku/>
        <w:wordWrap/>
        <w:overflowPunct/>
        <w:topLinePunct w:val="0"/>
        <w:bidi w:val="0"/>
        <w:ind w:left="0" w:leftChars="0" w:right="0" w:firstLine="560" w:firstLineChars="200"/>
        <w:textAlignment w:val="auto"/>
      </w:pPr>
      <w:r>
        <w:rPr>
          <w:rFonts w:hint="eastAsia"/>
        </w:rPr>
        <w:t>9.16.5应急照明配电箱</w:t>
      </w:r>
    </w:p>
    <w:p w14:paraId="50E0302B">
      <w:pPr>
        <w:pStyle w:val="32"/>
        <w:keepNext w:val="0"/>
        <w:keepLines w:val="0"/>
        <w:pageBreakBefore w:val="0"/>
        <w:kinsoku/>
        <w:wordWrap/>
        <w:overflowPunct/>
        <w:topLinePunct w:val="0"/>
        <w:bidi w:val="0"/>
        <w:ind w:left="0" w:leftChars="0" w:right="0" w:firstLine="560" w:firstLineChars="200"/>
        <w:textAlignment w:val="auto"/>
      </w:pPr>
      <w:r>
        <w:rPr>
          <w:rFonts w:hint="eastAsia"/>
        </w:rPr>
        <w:t>9.16.5.1应急照明配电箱基本功能</w:t>
      </w:r>
    </w:p>
    <w:p w14:paraId="1D59973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168F7493">
      <w:pPr>
        <w:pStyle w:val="32"/>
        <w:keepNext w:val="0"/>
        <w:keepLines w:val="0"/>
        <w:pageBreakBefore w:val="0"/>
        <w:kinsoku/>
        <w:wordWrap/>
        <w:overflowPunct/>
        <w:topLinePunct w:val="0"/>
        <w:bidi w:val="0"/>
        <w:ind w:left="0" w:leftChars="0" w:right="0" w:firstLine="560" w:firstLineChars="200"/>
        <w:textAlignment w:val="auto"/>
      </w:pPr>
      <w:r>
        <w:rPr>
          <w:rFonts w:hint="eastAsia"/>
        </w:rPr>
        <w:t>a)主电源分配输出功能：应急照明配电箱的各配电回路的输出电压与设计文件相符；（A类）</w:t>
      </w:r>
    </w:p>
    <w:p w14:paraId="5F9514C2">
      <w:pPr>
        <w:pStyle w:val="32"/>
        <w:keepNext w:val="0"/>
        <w:keepLines w:val="0"/>
        <w:pageBreakBefore w:val="0"/>
        <w:kinsoku/>
        <w:wordWrap/>
        <w:overflowPunct/>
        <w:topLinePunct w:val="0"/>
        <w:bidi w:val="0"/>
        <w:ind w:left="0" w:leftChars="0" w:right="0" w:firstLine="560" w:firstLineChars="200"/>
        <w:textAlignment w:val="auto"/>
      </w:pPr>
      <w:r>
        <w:rPr>
          <w:rFonts w:hint="eastAsia"/>
        </w:rPr>
        <w:t>b)集中控制型应急照明配电箱主电源输出关断测试功能：应能手动控制应急照明配电箱切断主电源输出，并能手动控制应急照明配电箱恢复主电源输出；（A类）</w:t>
      </w:r>
    </w:p>
    <w:p w14:paraId="11AA81C6">
      <w:pPr>
        <w:pStyle w:val="32"/>
        <w:keepNext w:val="0"/>
        <w:keepLines w:val="0"/>
        <w:pageBreakBefore w:val="0"/>
        <w:kinsoku/>
        <w:wordWrap/>
        <w:overflowPunct/>
        <w:topLinePunct w:val="0"/>
        <w:bidi w:val="0"/>
        <w:ind w:left="0" w:leftChars="0" w:right="0" w:firstLine="560" w:firstLineChars="200"/>
        <w:textAlignment w:val="auto"/>
      </w:pPr>
      <w:r>
        <w:rPr>
          <w:rFonts w:hint="eastAsia"/>
        </w:rPr>
        <w:t>c)集中控制型应急照明配电箱通信故障连锁控制功能：应急照明控制器与应急照明配电箱通信中断时，应急照明配电箱配接的所有非持续型照明灯的光源应应急点亮、所有有非持续型灯具的光源由节电模式转入应急点亮模式；（A类）</w:t>
      </w:r>
    </w:p>
    <w:p w14:paraId="58739182">
      <w:pPr>
        <w:pStyle w:val="32"/>
        <w:keepNext w:val="0"/>
        <w:keepLines w:val="0"/>
        <w:pageBreakBefore w:val="0"/>
        <w:kinsoku/>
        <w:wordWrap/>
        <w:overflowPunct/>
        <w:topLinePunct w:val="0"/>
        <w:bidi w:val="0"/>
        <w:ind w:left="0" w:leftChars="0" w:right="0" w:firstLine="560" w:firstLineChars="200"/>
        <w:textAlignment w:val="auto"/>
      </w:pPr>
      <w:r>
        <w:rPr>
          <w:rFonts w:hint="eastAsia"/>
        </w:rPr>
        <w:t>d)集中控制型应急照明配电箱灯具应急状态保持功能：应急照明配电箱配接的灯具处于应急工作状态时，任一灯具回路的短路、断路不应影响该回路和其他回路灯具的应急工作状态。（A类）</w:t>
      </w:r>
    </w:p>
    <w:p w14:paraId="0831470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BEA1422">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7D4678A9">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a)处于主电源输出时，分别用万用表测量各回路输出电压，对照设计文件核对电压测量值；</w:t>
      </w:r>
    </w:p>
    <w:p w14:paraId="7CDDEC0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b)分别手动操作应急照明配电箱的主电源输出关断测试按键或开关和主电源输出恢复按键或开关检查应急照明配电箱主电源输出的状态；</w:t>
      </w:r>
    </w:p>
    <w:p w14:paraId="74A0EA0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c）使控制器与应急照明配电箱通信故障，对照设计文件和疏散指示方案检查灯具光源点亮情况；</w:t>
      </w:r>
    </w:p>
    <w:p w14:paraId="2E0A7955">
      <w:pPr>
        <w:pStyle w:val="32"/>
        <w:keepNext w:val="0"/>
        <w:keepLines w:val="0"/>
        <w:pageBreakBefore w:val="0"/>
        <w:kinsoku/>
        <w:wordWrap/>
        <w:overflowPunct/>
        <w:topLinePunct w:val="0"/>
        <w:bidi w:val="0"/>
        <w:ind w:left="0" w:leftChars="0" w:right="0" w:firstLine="560" w:firstLineChars="200"/>
        <w:textAlignment w:val="auto"/>
      </w:pPr>
      <w:r>
        <w:rPr>
          <w:rFonts w:hint="eastAsia"/>
        </w:rPr>
        <w:t>d)使应急照明配电箱配接的灯具处于应急工作状态，任意选取一个回路，分别使该回路短路、断路，观察灯具的工作状态。</w:t>
      </w:r>
    </w:p>
    <w:p w14:paraId="3FEEB08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检测器具：数字万用表。</w:t>
      </w:r>
    </w:p>
    <w:p w14:paraId="61805428">
      <w:pPr>
        <w:pStyle w:val="32"/>
        <w:keepNext w:val="0"/>
        <w:keepLines w:val="0"/>
        <w:pageBreakBefore w:val="0"/>
        <w:kinsoku/>
        <w:wordWrap/>
        <w:overflowPunct/>
        <w:topLinePunct w:val="0"/>
        <w:bidi w:val="0"/>
        <w:ind w:left="0" w:leftChars="0" w:right="0" w:firstLine="560" w:firstLineChars="200"/>
        <w:textAlignment w:val="auto"/>
      </w:pPr>
      <w:r>
        <w:rPr>
          <w:rFonts w:hint="eastAsia"/>
        </w:rPr>
        <w:t>9.16.6应急照明灯具和疏散指示标志灯具</w:t>
      </w:r>
    </w:p>
    <w:p w14:paraId="53C31F8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08D79EE">
      <w:pPr>
        <w:pStyle w:val="32"/>
        <w:keepNext w:val="0"/>
        <w:keepLines w:val="0"/>
        <w:pageBreakBefore w:val="0"/>
        <w:kinsoku/>
        <w:wordWrap/>
        <w:overflowPunct/>
        <w:topLinePunct w:val="0"/>
        <w:bidi w:val="0"/>
        <w:ind w:left="0" w:leftChars="0" w:right="0" w:firstLine="560" w:firstLineChars="200"/>
        <w:textAlignment w:val="auto"/>
      </w:pPr>
      <w:r>
        <w:rPr>
          <w:rFonts w:hint="eastAsia"/>
        </w:rPr>
        <w:t>a)灯具的设置数量和设置部位应与设计文件相符；（A类）</w:t>
      </w:r>
    </w:p>
    <w:p w14:paraId="4D4EBE68">
      <w:pPr>
        <w:pStyle w:val="32"/>
        <w:keepNext w:val="0"/>
        <w:keepLines w:val="0"/>
        <w:pageBreakBefore w:val="0"/>
        <w:kinsoku/>
        <w:wordWrap/>
        <w:overflowPunct/>
        <w:topLinePunct w:val="0"/>
        <w:bidi w:val="0"/>
        <w:ind w:left="0" w:leftChars="0" w:right="0" w:firstLine="560" w:firstLineChars="200"/>
        <w:textAlignment w:val="auto"/>
      </w:pPr>
      <w:r>
        <w:rPr>
          <w:rFonts w:hint="eastAsia"/>
        </w:rPr>
        <w:t>b)自带电源型灯具采用插头连接时，应采用专用工具方可拆卸；（B类）</w:t>
      </w:r>
    </w:p>
    <w:p w14:paraId="48159BC8">
      <w:pPr>
        <w:pStyle w:val="32"/>
        <w:keepNext w:val="0"/>
        <w:keepLines w:val="0"/>
        <w:pageBreakBefore w:val="0"/>
        <w:kinsoku/>
        <w:wordWrap/>
        <w:overflowPunct/>
        <w:topLinePunct w:val="0"/>
        <w:bidi w:val="0"/>
        <w:ind w:left="0" w:leftChars="0" w:right="0" w:firstLine="560" w:firstLineChars="200"/>
        <w:textAlignment w:val="auto"/>
      </w:pPr>
      <w:r>
        <w:rPr>
          <w:rFonts w:hint="eastAsia"/>
        </w:rPr>
        <w:t>c)照明灯不应安装在地面上；（C类）</w:t>
      </w:r>
    </w:p>
    <w:p w14:paraId="01B8C887">
      <w:pPr>
        <w:pStyle w:val="32"/>
        <w:keepNext w:val="0"/>
        <w:keepLines w:val="0"/>
        <w:pageBreakBefore w:val="0"/>
        <w:kinsoku/>
        <w:wordWrap/>
        <w:overflowPunct/>
        <w:topLinePunct w:val="0"/>
        <w:bidi w:val="0"/>
        <w:ind w:left="0" w:leftChars="0" w:right="0" w:firstLine="560" w:firstLineChars="200"/>
        <w:textAlignment w:val="auto"/>
      </w:pPr>
      <w:r>
        <w:rPr>
          <w:rFonts w:hint="eastAsia"/>
        </w:rPr>
        <w:t>d)方向标志灯箭头的指示方向应按照疏散指示方案指向疏散方向，并导向安全出口；（A类）</w:t>
      </w:r>
    </w:p>
    <w:p w14:paraId="0CF55150">
      <w:pPr>
        <w:pStyle w:val="32"/>
        <w:keepNext w:val="0"/>
        <w:keepLines w:val="0"/>
        <w:pageBreakBefore w:val="0"/>
        <w:kinsoku/>
        <w:wordWrap/>
        <w:overflowPunct/>
        <w:topLinePunct w:val="0"/>
        <w:bidi w:val="0"/>
        <w:ind w:left="0" w:leftChars="0" w:right="0" w:firstLine="560" w:firstLineChars="200"/>
        <w:textAlignment w:val="auto"/>
      </w:pPr>
      <w:r>
        <w:rPr>
          <w:rFonts w:hint="eastAsia"/>
        </w:rPr>
        <w:t>e)安装高度距地面不大于1m时，灯具表面凸出墙面或柱面的部分不应有尖锐角、毛刺等突出物，凸出墙面或柱面最大水平距离不应超过20mm。（C类）</w:t>
      </w:r>
    </w:p>
    <w:p w14:paraId="407F30F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7D6E5C08">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5DA0B7DE">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a)对照设计文件，直观检查。尺量检查灯光疏散指示标志是否符合以下要求：</w:t>
      </w:r>
    </w:p>
    <w:p w14:paraId="17CB4FD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1）灯光疏散指示标志的间距不应大于20m。</w:t>
      </w:r>
    </w:p>
    <w:p w14:paraId="21BDDD9F">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2）对于袋形走道，不应大于10m。</w:t>
      </w:r>
    </w:p>
    <w:p w14:paraId="2689AF86">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3）在走道转角区，不应大于1.0m。</w:t>
      </w:r>
    </w:p>
    <w:p w14:paraId="77EDA027">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lang w:val="en-US" w:eastAsia="zh-CN"/>
        </w:rPr>
        <w:t>b）</w:t>
      </w:r>
      <w:r>
        <w:rPr>
          <w:rFonts w:hint="eastAsia"/>
        </w:rPr>
        <w:t>对于人民防空工程应符合以下要求：</w:t>
      </w:r>
    </w:p>
    <w:p w14:paraId="6150FA33">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1）沿墙面设置的疏散标志灯距地面不应大于1.0m，间距不应大于15m。</w:t>
      </w:r>
    </w:p>
    <w:p w14:paraId="1C411EF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2）设置在疏散走道上方的疏散标志灯的方向指示应与疏散通道垂直，其大小应与建筑空间相协调。标志灯下边缘距室内地面不应大于2.5m，且应设置在风管等设备管道的下部。</w:t>
      </w:r>
    </w:p>
    <w:p w14:paraId="76E7DAE7">
      <w:pPr>
        <w:pStyle w:val="32"/>
        <w:keepNext w:val="0"/>
        <w:keepLines w:val="0"/>
        <w:pageBreakBefore w:val="0"/>
        <w:kinsoku/>
        <w:wordWrap/>
        <w:overflowPunct/>
        <w:topLinePunct w:val="0"/>
        <w:bidi w:val="0"/>
        <w:ind w:left="0" w:leftChars="0" w:right="0" w:firstLine="560" w:firstLineChars="200"/>
        <w:textAlignment w:val="auto"/>
      </w:pPr>
      <w:r>
        <w:rPr>
          <w:rFonts w:hint="eastAsia"/>
        </w:rPr>
        <w:t>3）沿地面设置的灯光型疏散方向标志的间距不宜大于3.0m，蓄光型发光标志的间距不宜大于2.0m。b）～d）直观检查；e)尺量。</w:t>
      </w:r>
    </w:p>
    <w:p w14:paraId="7636551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检测器具：钢卷尺、激光测距仪。</w:t>
      </w:r>
    </w:p>
    <w:p w14:paraId="56EF143A">
      <w:pPr>
        <w:pStyle w:val="32"/>
        <w:keepNext w:val="0"/>
        <w:keepLines w:val="0"/>
        <w:pageBreakBefore w:val="0"/>
        <w:kinsoku/>
        <w:wordWrap/>
        <w:overflowPunct/>
        <w:topLinePunct w:val="0"/>
        <w:bidi w:val="0"/>
        <w:ind w:left="0" w:leftChars="0" w:right="0" w:firstLine="560" w:firstLineChars="200"/>
        <w:textAlignment w:val="auto"/>
      </w:pPr>
      <w:r>
        <w:rPr>
          <w:rFonts w:hint="eastAsia"/>
        </w:rPr>
        <w:t>9.16.7系统功能</w:t>
      </w:r>
    </w:p>
    <w:p w14:paraId="17A735C4">
      <w:pPr>
        <w:pStyle w:val="32"/>
        <w:keepNext w:val="0"/>
        <w:keepLines w:val="0"/>
        <w:pageBreakBefore w:val="0"/>
        <w:kinsoku/>
        <w:wordWrap/>
        <w:overflowPunct/>
        <w:topLinePunct w:val="0"/>
        <w:bidi w:val="0"/>
        <w:ind w:left="0" w:leftChars="0" w:right="0" w:firstLine="560" w:firstLineChars="200"/>
        <w:textAlignment w:val="auto"/>
      </w:pPr>
      <w:r>
        <w:rPr>
          <w:rFonts w:hint="eastAsia"/>
        </w:rPr>
        <w:t>9.16.7.1集中控制型</w:t>
      </w:r>
    </w:p>
    <w:p w14:paraId="193DBA51">
      <w:pPr>
        <w:pStyle w:val="32"/>
        <w:keepNext w:val="0"/>
        <w:keepLines w:val="0"/>
        <w:pageBreakBefore w:val="0"/>
        <w:kinsoku/>
        <w:wordWrap/>
        <w:overflowPunct/>
        <w:topLinePunct w:val="0"/>
        <w:bidi w:val="0"/>
        <w:ind w:left="0" w:leftChars="0" w:right="0" w:firstLine="560" w:firstLineChars="200"/>
        <w:textAlignment w:val="auto"/>
      </w:pPr>
      <w:r>
        <w:rPr>
          <w:rFonts w:hint="eastAsia"/>
        </w:rPr>
        <w:t>9.16.7.1.1系统自动应急启动功能</w:t>
      </w:r>
    </w:p>
    <w:p w14:paraId="64262A7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84B470A">
      <w:pPr>
        <w:pStyle w:val="32"/>
        <w:keepNext w:val="0"/>
        <w:keepLines w:val="0"/>
        <w:pageBreakBefore w:val="0"/>
        <w:kinsoku/>
        <w:wordWrap/>
        <w:overflowPunct/>
        <w:topLinePunct w:val="0"/>
        <w:bidi w:val="0"/>
        <w:ind w:left="0" w:leftChars="0" w:right="0" w:firstLine="560" w:firstLineChars="200"/>
        <w:textAlignment w:val="auto"/>
      </w:pPr>
      <w:r>
        <w:rPr>
          <w:rFonts w:hint="eastAsia"/>
        </w:rPr>
        <w:t>a)系统内所有的非持续型照明灯的光源应应急点亮、持续型灯具的光源应由节电点亮模式转入应急点亮模式；（A类）</w:t>
      </w:r>
    </w:p>
    <w:p w14:paraId="483203F6">
      <w:pPr>
        <w:pStyle w:val="32"/>
        <w:keepNext w:val="0"/>
        <w:keepLines w:val="0"/>
        <w:pageBreakBefore w:val="0"/>
        <w:kinsoku/>
        <w:wordWrap/>
        <w:overflowPunct/>
        <w:topLinePunct w:val="0"/>
        <w:bidi w:val="0"/>
        <w:ind w:left="0" w:leftChars="0" w:right="0" w:firstLine="560" w:firstLineChars="200"/>
        <w:textAlignment w:val="auto"/>
      </w:pPr>
      <w:r>
        <w:rPr>
          <w:rFonts w:hint="eastAsia"/>
        </w:rPr>
        <w:t>b)B型（额定输出电压大于DC36V）集中电源应转入蓄电池电源输出、B型应急照明配电箱（注释）应切断主电源输出；（A类）</w:t>
      </w:r>
    </w:p>
    <w:p w14:paraId="2379DC92">
      <w:pPr>
        <w:pStyle w:val="32"/>
        <w:keepNext w:val="0"/>
        <w:keepLines w:val="0"/>
        <w:pageBreakBefore w:val="0"/>
        <w:kinsoku/>
        <w:wordWrap/>
        <w:overflowPunct/>
        <w:topLinePunct w:val="0"/>
        <w:bidi w:val="0"/>
        <w:ind w:left="0" w:leftChars="0" w:right="0" w:firstLine="560" w:firstLineChars="200"/>
        <w:textAlignment w:val="auto"/>
      </w:pPr>
      <w:r>
        <w:rPr>
          <w:rFonts w:hint="eastAsia"/>
        </w:rPr>
        <w:t>c)A型（额定输出电压不大于DC36V）集中电源、A型应急照明配电箱应保持主电源输出。切断集中电源的主电源，集中电源应自动转入蓄电池电源输出；（A类）</w:t>
      </w:r>
    </w:p>
    <w:p w14:paraId="0E70F379">
      <w:pPr>
        <w:pStyle w:val="32"/>
        <w:keepNext w:val="0"/>
        <w:keepLines w:val="0"/>
        <w:pageBreakBefore w:val="0"/>
        <w:kinsoku/>
        <w:wordWrap/>
        <w:overflowPunct/>
        <w:topLinePunct w:val="0"/>
        <w:bidi w:val="0"/>
        <w:ind w:left="0" w:leftChars="0" w:right="0" w:firstLine="560" w:firstLineChars="200"/>
        <w:textAlignment w:val="auto"/>
      </w:pPr>
      <w:r>
        <w:rPr>
          <w:rFonts w:hint="eastAsia"/>
        </w:rPr>
        <w:t>d)要借用相邻防火分区疏散的防火分区中标志灯指示状态的改变功能应与设计文件相符。（A类）</w:t>
      </w:r>
    </w:p>
    <w:p w14:paraId="0483F01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888F4F9">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74A43CF5">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a）按照附录B要求，使火灾报警控制器发出火灾报警输出信号，检查应急照明控制器发出启动信号的情况；</w:t>
      </w:r>
    </w:p>
    <w:p w14:paraId="60EA880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b）对照疏散指示方案，检查该区域灯具光源点亮情况。检查系统中配接B型集中电源、B型应急照明配电箱的工作状态；</w:t>
      </w:r>
    </w:p>
    <w:p w14:paraId="7DEB2BBB">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c）检查A型集中电源、A型应急照明配电箱的工作状态，切断系统的主电源供电，再次检查A型集中电源、A型应急照明配电箱的工作状态；</w:t>
      </w:r>
    </w:p>
    <w:p w14:paraId="48FFAC6E">
      <w:pPr>
        <w:pStyle w:val="32"/>
        <w:keepNext w:val="0"/>
        <w:keepLines w:val="0"/>
        <w:pageBreakBefore w:val="0"/>
        <w:kinsoku/>
        <w:wordWrap/>
        <w:overflowPunct/>
        <w:topLinePunct w:val="0"/>
        <w:bidi w:val="0"/>
        <w:ind w:left="0" w:leftChars="0" w:right="0" w:firstLine="560" w:firstLineChars="200"/>
        <w:textAlignment w:val="auto"/>
      </w:pPr>
      <w:r>
        <w:rPr>
          <w:rFonts w:hint="eastAsia"/>
        </w:rPr>
        <w:t>d）根据系统设计文件的规定，使消防联动控制器发出被借用防火分区的火灾报警区域信号，标志灯具的指示状态改变功能应符合下列规定：应急照明控制器应发出控制标志灯指示状态改变的启动信号，显示启动时间。该防火分区内，按不可借用相邻防火分区疏散工况条件对应的疏散指示方案，需要变换指示方向的方向标志灯应改变箭头指示方向，通向被借用防火分区入口的出口标志灯的“出口指示标志”的光源应熄灭、“禁止入内”指示标志的光源应应急点亮。该防火分区内其他标志灯的工作状态应保持不变。</w:t>
      </w:r>
    </w:p>
    <w:p w14:paraId="2149F13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检测器具：感烟（温）探测器功能试验器。</w:t>
      </w:r>
    </w:p>
    <w:p w14:paraId="60AF22CA">
      <w:pPr>
        <w:pStyle w:val="32"/>
        <w:keepNext w:val="0"/>
        <w:keepLines w:val="0"/>
        <w:pageBreakBefore w:val="0"/>
        <w:kinsoku/>
        <w:wordWrap/>
        <w:overflowPunct/>
        <w:topLinePunct w:val="0"/>
        <w:bidi w:val="0"/>
        <w:ind w:left="0" w:leftChars="0" w:right="0" w:firstLine="560" w:firstLineChars="200"/>
        <w:textAlignment w:val="auto"/>
      </w:pPr>
      <w:r>
        <w:rPr>
          <w:rFonts w:hint="eastAsia"/>
        </w:rPr>
        <w:t>9.16.7.1.2系统手动应急启动功能</w:t>
      </w:r>
    </w:p>
    <w:p w14:paraId="7E29A55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7E2CC1D5">
      <w:pPr>
        <w:pStyle w:val="32"/>
        <w:keepNext w:val="0"/>
        <w:keepLines w:val="0"/>
        <w:pageBreakBefore w:val="0"/>
        <w:kinsoku/>
        <w:wordWrap/>
        <w:overflowPunct/>
        <w:topLinePunct w:val="0"/>
        <w:bidi w:val="0"/>
        <w:ind w:left="0" w:leftChars="0" w:right="0" w:firstLine="560" w:firstLineChars="200"/>
        <w:textAlignment w:val="auto"/>
      </w:pPr>
      <w:r>
        <w:rPr>
          <w:rFonts w:hint="eastAsia"/>
        </w:rPr>
        <w:t>a)系统内所有的非持续型照明灯的光源应应急点亮、持续型灯具的光源应由节电点亮模式转入应急点亮模式；（A类）</w:t>
      </w:r>
    </w:p>
    <w:p w14:paraId="12B4D527">
      <w:pPr>
        <w:pStyle w:val="32"/>
        <w:keepNext w:val="0"/>
        <w:keepLines w:val="0"/>
        <w:pageBreakBefore w:val="0"/>
        <w:kinsoku/>
        <w:wordWrap/>
        <w:overflowPunct/>
        <w:topLinePunct w:val="0"/>
        <w:bidi w:val="0"/>
        <w:ind w:left="0" w:leftChars="0" w:right="0" w:firstLine="560" w:firstLineChars="200"/>
        <w:textAlignment w:val="auto"/>
      </w:pPr>
      <w:r>
        <w:rPr>
          <w:rFonts w:hint="eastAsia"/>
        </w:rPr>
        <w:t>b)集中电源应转入蓄电池电源输出、应急照明配电箱应切断主电源的输出。（A类）</w:t>
      </w:r>
    </w:p>
    <w:p w14:paraId="14812EB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F6548E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检测方法：手动操作应急照明控制器的一键启动按钮，检查应急照明控制器发出启动信号的情况。对照疏散指示方案，检查该区域灯具光源的点亮情况。检查集中电源或应急照明配电箱的工作状态。</w:t>
      </w:r>
    </w:p>
    <w:p w14:paraId="78484A71">
      <w:pPr>
        <w:pStyle w:val="32"/>
        <w:keepNext w:val="0"/>
        <w:keepLines w:val="0"/>
        <w:pageBreakBefore w:val="0"/>
        <w:kinsoku/>
        <w:wordWrap/>
        <w:overflowPunct/>
        <w:topLinePunct w:val="0"/>
        <w:bidi w:val="0"/>
        <w:ind w:left="0" w:leftChars="0" w:right="0" w:firstLine="560" w:firstLineChars="200"/>
        <w:textAlignment w:val="auto"/>
      </w:pPr>
      <w:r>
        <w:rPr>
          <w:rFonts w:hint="eastAsia"/>
        </w:rPr>
        <w:t>9.16.7.2非集中控制型</w:t>
      </w:r>
    </w:p>
    <w:p w14:paraId="25F23A9B">
      <w:pPr>
        <w:pStyle w:val="32"/>
        <w:keepNext w:val="0"/>
        <w:keepLines w:val="0"/>
        <w:pageBreakBefore w:val="0"/>
        <w:kinsoku/>
        <w:wordWrap/>
        <w:overflowPunct/>
        <w:topLinePunct w:val="0"/>
        <w:bidi w:val="0"/>
        <w:ind w:left="0" w:leftChars="0" w:right="0" w:firstLine="560" w:firstLineChars="200"/>
        <w:textAlignment w:val="auto"/>
      </w:pPr>
      <w:r>
        <w:rPr>
          <w:rFonts w:hint="eastAsia"/>
        </w:rPr>
        <w:t>9.16.7.2.1系统自动应急启动功能</w:t>
      </w:r>
    </w:p>
    <w:p w14:paraId="34E6A81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检测要求：在设置区域火灾报警系统的场所，系统的自动应急启动功能应符合下列规定：</w:t>
      </w:r>
    </w:p>
    <w:p w14:paraId="39837CD6">
      <w:pPr>
        <w:pStyle w:val="32"/>
        <w:keepNext w:val="0"/>
        <w:keepLines w:val="0"/>
        <w:pageBreakBefore w:val="0"/>
        <w:kinsoku/>
        <w:wordWrap/>
        <w:overflowPunct/>
        <w:topLinePunct w:val="0"/>
        <w:bidi w:val="0"/>
        <w:ind w:left="0" w:leftChars="0" w:right="0" w:firstLine="560" w:firstLineChars="200"/>
        <w:textAlignment w:val="auto"/>
      </w:pPr>
      <w:r>
        <w:rPr>
          <w:rFonts w:hint="eastAsia"/>
        </w:rPr>
        <w:t>a)灯具采用集中电源供电时，集中电源应转入蓄电池电源输出，其所配接的所有非持续型照明灯的光源应应急点亮、持续型灯具的光源应由节电点亮模式转入应急点亮模式；（B类）</w:t>
      </w:r>
    </w:p>
    <w:p w14:paraId="3AD18484">
      <w:pPr>
        <w:pStyle w:val="32"/>
        <w:keepNext w:val="0"/>
        <w:keepLines w:val="0"/>
        <w:pageBreakBefore w:val="0"/>
        <w:kinsoku/>
        <w:wordWrap/>
        <w:overflowPunct/>
        <w:topLinePunct w:val="0"/>
        <w:bidi w:val="0"/>
        <w:ind w:left="0" w:leftChars="0" w:right="0" w:firstLine="560" w:firstLineChars="200"/>
        <w:textAlignment w:val="auto"/>
      </w:pPr>
      <w:r>
        <w:rPr>
          <w:rFonts w:hint="eastAsia"/>
        </w:rPr>
        <w:t>b)灯具采用自带蓄电池供电时，应急照明配电箱应切断主电源输出，其所配接的所有非持续型照明灯的光源应应急点亮、持续型灯具的光源应由节电点亮模式转入应急点亮模式。（B类）</w:t>
      </w:r>
    </w:p>
    <w:p w14:paraId="06A0A2D7">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38C734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检测方法：对照设计文件，使火灾报警控制器发出火灾报警输出信号，对照疏散指示方案，检查该区域灯具的点亮情况。</w:t>
      </w:r>
    </w:p>
    <w:p w14:paraId="1D4DFBDC">
      <w:pPr>
        <w:pStyle w:val="32"/>
        <w:keepNext w:val="0"/>
        <w:keepLines w:val="0"/>
        <w:pageBreakBefore w:val="0"/>
        <w:kinsoku/>
        <w:wordWrap/>
        <w:overflowPunct/>
        <w:topLinePunct w:val="0"/>
        <w:bidi w:val="0"/>
        <w:ind w:left="0" w:leftChars="0" w:right="0" w:firstLine="560" w:firstLineChars="200"/>
        <w:textAlignment w:val="auto"/>
      </w:pPr>
      <w:r>
        <w:rPr>
          <w:rFonts w:hint="eastAsia"/>
        </w:rPr>
        <w:t>9.16.7.2.2系统手动应急启动功能</w:t>
      </w:r>
    </w:p>
    <w:p w14:paraId="50D9DFB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检测要求：系统的手动应急启动功能应符合下列规定：</w:t>
      </w:r>
    </w:p>
    <w:p w14:paraId="564C1CEB">
      <w:pPr>
        <w:pStyle w:val="32"/>
        <w:keepNext w:val="0"/>
        <w:keepLines w:val="0"/>
        <w:pageBreakBefore w:val="0"/>
        <w:kinsoku/>
        <w:wordWrap/>
        <w:overflowPunct/>
        <w:topLinePunct w:val="0"/>
        <w:bidi w:val="0"/>
        <w:ind w:left="0" w:leftChars="0" w:right="0" w:firstLine="560" w:firstLineChars="200"/>
        <w:textAlignment w:val="auto"/>
      </w:pPr>
      <w:r>
        <w:rPr>
          <w:rFonts w:hint="eastAsia"/>
        </w:rPr>
        <w:t>a)灯具采用集中电源供电时，手动操作集中电源的应急启动控制按钮，集中电源应转入蓄电池电源输出，其所配接的所有非持续型照明灯的光源应应急点亮、持续型灯具的光源应由节电点亮模式转入应急点亮模式；（B类）</w:t>
      </w:r>
    </w:p>
    <w:p w14:paraId="50BB4DD2">
      <w:pPr>
        <w:pStyle w:val="32"/>
        <w:keepNext w:val="0"/>
        <w:keepLines w:val="0"/>
        <w:pageBreakBefore w:val="0"/>
        <w:kinsoku/>
        <w:wordWrap/>
        <w:overflowPunct/>
        <w:topLinePunct w:val="0"/>
        <w:bidi w:val="0"/>
        <w:ind w:left="0" w:leftChars="0" w:right="0" w:firstLine="560" w:firstLineChars="200"/>
        <w:textAlignment w:val="auto"/>
      </w:pPr>
      <w:r>
        <w:rPr>
          <w:rFonts w:hint="eastAsia"/>
        </w:rPr>
        <w:t>b)灯具采用自带蓄电池供电时，手动操作应急照明配电箱的应急启动控制按钮，应急照明配电箱应切断主电源输出，其所配接的所有非持续型照明灯的光源应应急点亮、持续型灯具的光源应由节电点亮模式转入应急点亮模式。（B类）</w:t>
      </w:r>
    </w:p>
    <w:p w14:paraId="464F5D2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8B0AEE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检测方法：手动操作集中电源或应急照明配电箱的应急启动按钮，检查集中电源或应急照明配电箱的工作状态，检查该区域灯具光源的点亮情况。</w:t>
      </w:r>
    </w:p>
    <w:p w14:paraId="38130A61">
      <w:pPr>
        <w:pStyle w:val="32"/>
        <w:keepNext w:val="0"/>
        <w:keepLines w:val="0"/>
        <w:pageBreakBefore w:val="0"/>
        <w:kinsoku/>
        <w:wordWrap/>
        <w:overflowPunct/>
        <w:topLinePunct w:val="0"/>
        <w:bidi w:val="0"/>
        <w:ind w:left="0" w:leftChars="0" w:right="0" w:firstLine="560" w:firstLineChars="200"/>
        <w:textAlignment w:val="auto"/>
      </w:pPr>
      <w:r>
        <w:rPr>
          <w:rFonts w:hint="eastAsia"/>
        </w:rPr>
        <w:t>9.17防火分隔设施</w:t>
      </w:r>
    </w:p>
    <w:p w14:paraId="25FBF8EB">
      <w:pPr>
        <w:pStyle w:val="32"/>
        <w:keepNext w:val="0"/>
        <w:keepLines w:val="0"/>
        <w:pageBreakBefore w:val="0"/>
        <w:kinsoku/>
        <w:wordWrap/>
        <w:overflowPunct/>
        <w:topLinePunct w:val="0"/>
        <w:bidi w:val="0"/>
        <w:ind w:left="0" w:leftChars="0" w:right="0" w:firstLine="560" w:firstLineChars="200"/>
        <w:textAlignment w:val="auto"/>
      </w:pPr>
      <w:r>
        <w:rPr>
          <w:rFonts w:hint="eastAsia"/>
        </w:rPr>
        <w:t>9.17.1防火门电动控制装置</w:t>
      </w:r>
    </w:p>
    <w:p w14:paraId="784F12AD">
      <w:pPr>
        <w:pStyle w:val="32"/>
        <w:keepNext w:val="0"/>
        <w:keepLines w:val="0"/>
        <w:pageBreakBefore w:val="0"/>
        <w:kinsoku/>
        <w:wordWrap/>
        <w:overflowPunct/>
        <w:topLinePunct w:val="0"/>
        <w:bidi w:val="0"/>
        <w:ind w:left="0" w:leftChars="0" w:right="0" w:firstLine="560" w:firstLineChars="200"/>
        <w:textAlignment w:val="auto"/>
      </w:pPr>
      <w:r>
        <w:rPr>
          <w:rFonts w:hint="eastAsia"/>
        </w:rPr>
        <w:t>9.17.1.1安装要求</w:t>
      </w:r>
    </w:p>
    <w:p w14:paraId="68459DD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522544C">
      <w:pPr>
        <w:pStyle w:val="32"/>
        <w:keepNext w:val="0"/>
        <w:keepLines w:val="0"/>
        <w:pageBreakBefore w:val="0"/>
        <w:kinsoku/>
        <w:wordWrap/>
        <w:overflowPunct/>
        <w:topLinePunct w:val="0"/>
        <w:bidi w:val="0"/>
        <w:ind w:left="0" w:leftChars="0" w:right="0" w:firstLine="560" w:firstLineChars="200"/>
        <w:textAlignment w:val="auto"/>
      </w:pPr>
      <w:r>
        <w:rPr>
          <w:rFonts w:hint="eastAsia"/>
        </w:rPr>
        <w:t>a)常开防火门应安装火灾时能自动关闭门扇的控制、信号反馈装置和现场手动控制装置；（A类）</w:t>
      </w:r>
    </w:p>
    <w:p w14:paraId="4967A7A9">
      <w:pPr>
        <w:pStyle w:val="32"/>
        <w:keepNext w:val="0"/>
        <w:keepLines w:val="0"/>
        <w:pageBreakBefore w:val="0"/>
        <w:kinsoku/>
        <w:wordWrap/>
        <w:overflowPunct/>
        <w:topLinePunct w:val="0"/>
        <w:bidi w:val="0"/>
        <w:ind w:left="0" w:leftChars="0" w:right="0" w:firstLine="560" w:firstLineChars="200"/>
        <w:textAlignment w:val="auto"/>
      </w:pPr>
      <w:r>
        <w:rPr>
          <w:rFonts w:hint="eastAsia"/>
        </w:rPr>
        <w:t>b)电动开门器的手动控制按钮应设置在防火门内侧墙面上，距门不宜超过0.5m，底边距地面高度宜为0.9m～1.3m。（C类）</w:t>
      </w:r>
    </w:p>
    <w:p w14:paraId="42575AB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检测数量：按实际安装数量的80%抽检，且不少于5樘，少于5樘的全数检测。</w:t>
      </w:r>
    </w:p>
    <w:p w14:paraId="2487AEFC">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4A8FEC9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a）对照设计文件，直观检查；</w:t>
      </w:r>
    </w:p>
    <w:p w14:paraId="7D5C2EAE">
      <w:pPr>
        <w:pStyle w:val="32"/>
        <w:keepNext w:val="0"/>
        <w:keepLines w:val="0"/>
        <w:pageBreakBefore w:val="0"/>
        <w:kinsoku/>
        <w:wordWrap/>
        <w:overflowPunct/>
        <w:topLinePunct w:val="0"/>
        <w:bidi w:val="0"/>
        <w:ind w:left="0" w:leftChars="0" w:right="0" w:firstLine="560" w:firstLineChars="200"/>
        <w:textAlignment w:val="auto"/>
      </w:pPr>
      <w:r>
        <w:rPr>
          <w:rFonts w:hint="eastAsia"/>
        </w:rPr>
        <w:t>b）尺量。</w:t>
      </w:r>
    </w:p>
    <w:p w14:paraId="280B54E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615759C3">
      <w:pPr>
        <w:pStyle w:val="32"/>
        <w:keepNext w:val="0"/>
        <w:keepLines w:val="0"/>
        <w:pageBreakBefore w:val="0"/>
        <w:kinsoku/>
        <w:wordWrap/>
        <w:overflowPunct/>
        <w:topLinePunct w:val="0"/>
        <w:bidi w:val="0"/>
        <w:ind w:left="0" w:leftChars="0" w:right="0" w:firstLine="560" w:firstLineChars="200"/>
        <w:textAlignment w:val="auto"/>
      </w:pPr>
      <w:r>
        <w:rPr>
          <w:rFonts w:hint="eastAsia"/>
        </w:rPr>
        <w:t>9.17.1.2基本功能</w:t>
      </w:r>
    </w:p>
    <w:p w14:paraId="04BD991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CEB4924">
      <w:pPr>
        <w:pStyle w:val="32"/>
        <w:keepNext w:val="0"/>
        <w:keepLines w:val="0"/>
        <w:pageBreakBefore w:val="0"/>
        <w:kinsoku/>
        <w:wordWrap/>
        <w:overflowPunct/>
        <w:topLinePunct w:val="0"/>
        <w:bidi w:val="0"/>
        <w:ind w:left="0" w:leftChars="0" w:right="0" w:firstLine="560" w:firstLineChars="200"/>
        <w:textAlignment w:val="auto"/>
      </w:pPr>
      <w:r>
        <w:rPr>
          <w:rFonts w:hint="eastAsia"/>
        </w:rPr>
        <w:t>a)常开防火门任意一侧的火灾探测器报警后应自动关闭，并应将关闭信号反馈至消防控制室；（B类）</w:t>
      </w:r>
    </w:p>
    <w:p w14:paraId="43A932F0">
      <w:pPr>
        <w:pStyle w:val="32"/>
        <w:keepNext w:val="0"/>
        <w:keepLines w:val="0"/>
        <w:pageBreakBefore w:val="0"/>
        <w:kinsoku/>
        <w:wordWrap/>
        <w:overflowPunct/>
        <w:topLinePunct w:val="0"/>
        <w:bidi w:val="0"/>
        <w:ind w:left="0" w:leftChars="0" w:right="0" w:firstLine="560" w:firstLineChars="200"/>
        <w:textAlignment w:val="auto"/>
      </w:pPr>
      <w:r>
        <w:rPr>
          <w:rFonts w:hint="eastAsia"/>
        </w:rPr>
        <w:t>b)常开防火门接到消防控制室手动发出的关闭指令后应自动关闭，并应将关闭信号反馈至消防控制室；（B类）</w:t>
      </w:r>
    </w:p>
    <w:p w14:paraId="4806C86E">
      <w:pPr>
        <w:pStyle w:val="32"/>
        <w:keepNext w:val="0"/>
        <w:keepLines w:val="0"/>
        <w:pageBreakBefore w:val="0"/>
        <w:kinsoku/>
        <w:wordWrap/>
        <w:overflowPunct/>
        <w:topLinePunct w:val="0"/>
        <w:bidi w:val="0"/>
        <w:ind w:left="0" w:leftChars="0" w:right="0" w:firstLine="560" w:firstLineChars="200"/>
        <w:textAlignment w:val="auto"/>
      </w:pPr>
      <w:r>
        <w:rPr>
          <w:rFonts w:hint="eastAsia"/>
        </w:rPr>
        <w:t>c)常开防火门接到现场手动发出的关闭指令后应自动关闭，并应将关闭信号反馈至消防控制室；（B类）</w:t>
      </w:r>
    </w:p>
    <w:p w14:paraId="5E101A7E">
      <w:pPr>
        <w:pStyle w:val="32"/>
        <w:keepNext w:val="0"/>
        <w:keepLines w:val="0"/>
        <w:pageBreakBefore w:val="0"/>
        <w:kinsoku/>
        <w:wordWrap/>
        <w:overflowPunct/>
        <w:topLinePunct w:val="0"/>
        <w:bidi w:val="0"/>
        <w:ind w:left="0" w:leftChars="0" w:right="0" w:firstLine="560" w:firstLineChars="200"/>
        <w:textAlignment w:val="auto"/>
      </w:pPr>
      <w:r>
        <w:rPr>
          <w:rFonts w:hint="eastAsia"/>
        </w:rPr>
        <w:t>d)设置在疏散通道上、并设有出入口控制系统的防火门，应能手动和自动解除出入口控制系统。（A类）</w:t>
      </w:r>
    </w:p>
    <w:p w14:paraId="120A184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检测数量：按实际安装数量的80%抽检，且不少于5樘，少于5樘的全数检测。</w:t>
      </w:r>
    </w:p>
    <w:p w14:paraId="1DA34F8F">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2103F22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a）模拟火灾报警信号，观察防火门动作情况及消防控制室信号显示情况；</w:t>
      </w:r>
    </w:p>
    <w:p w14:paraId="311294B8">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b）在消防控制室启动防火门关闭功能，观察防火门动作情况及消防控制室信号显示情况；</w:t>
      </w:r>
    </w:p>
    <w:p w14:paraId="27B84A4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c）现场手动启动防火门关闭装置，观察防火门动作情况及消防控制室信号显示情况；</w:t>
      </w:r>
    </w:p>
    <w:p w14:paraId="55BCF9F8">
      <w:pPr>
        <w:pStyle w:val="32"/>
        <w:keepNext w:val="0"/>
        <w:keepLines w:val="0"/>
        <w:pageBreakBefore w:val="0"/>
        <w:kinsoku/>
        <w:wordWrap/>
        <w:overflowPunct/>
        <w:topLinePunct w:val="0"/>
        <w:bidi w:val="0"/>
        <w:ind w:left="0" w:leftChars="0" w:right="0" w:firstLine="560" w:firstLineChars="200"/>
        <w:textAlignment w:val="auto"/>
      </w:pPr>
      <w:r>
        <w:rPr>
          <w:rFonts w:hint="eastAsia"/>
        </w:rPr>
        <w:t>d）对照设计及产品说明书，手动和自动测试，观察解除是否有效。</w:t>
      </w:r>
    </w:p>
    <w:p w14:paraId="66D1CC91">
      <w:pPr>
        <w:pStyle w:val="32"/>
        <w:keepNext w:val="0"/>
        <w:keepLines w:val="0"/>
        <w:pageBreakBefore w:val="0"/>
        <w:kinsoku/>
        <w:wordWrap/>
        <w:overflowPunct/>
        <w:topLinePunct w:val="0"/>
        <w:bidi w:val="0"/>
        <w:ind w:left="0" w:leftChars="0" w:right="0" w:firstLine="560" w:firstLineChars="200"/>
        <w:textAlignment w:val="auto"/>
      </w:pPr>
      <w:r>
        <w:rPr>
          <w:rFonts w:hint="eastAsia"/>
        </w:rPr>
        <w:t>9.17.2防火窗窗扇启闭控制装置</w:t>
      </w:r>
    </w:p>
    <w:p w14:paraId="09D4FC0A">
      <w:pPr>
        <w:pStyle w:val="32"/>
        <w:keepNext w:val="0"/>
        <w:keepLines w:val="0"/>
        <w:pageBreakBefore w:val="0"/>
        <w:kinsoku/>
        <w:wordWrap/>
        <w:overflowPunct/>
        <w:topLinePunct w:val="0"/>
        <w:bidi w:val="0"/>
        <w:ind w:left="0" w:leftChars="0" w:right="0" w:firstLine="560" w:firstLineChars="200"/>
        <w:textAlignment w:val="auto"/>
      </w:pPr>
      <w:r>
        <w:rPr>
          <w:rFonts w:hint="eastAsia"/>
        </w:rPr>
        <w:t>9.17.2.1安装要求</w:t>
      </w:r>
    </w:p>
    <w:p w14:paraId="640295C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检测要求：活动式防火窗应装配火灾时能控制窗扇自动关闭的温控释放装置，窗扇启闭控制装置、温控释放装置的安装应与设计文件相符，并应位置明显，便于操作。（B类）</w:t>
      </w:r>
    </w:p>
    <w:sdt>
      <w:sdtPr>
        <w:rPr>
          <w:rFonts w:ascii="宋体" w:hAnsi="宋体" w:eastAsia="宋体" w:cs="Times New Roman"/>
          <w:kern w:val="2"/>
          <w:sz w:val="21"/>
          <w:szCs w:val="24"/>
          <w:lang w:val="en-US" w:eastAsia="zh-CN" w:bidi="ar-SA"/>
        </w:rPr>
        <w:id w:val="147474991"/>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14:paraId="546A1960">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ABDC84B">
          <w:pPr>
            <w:pStyle w:val="14"/>
            <w:tabs>
              <w:tab w:val="right" w:leader="dot" w:pos="8304"/>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_Toc3766 </w:instrText>
          </w:r>
          <w:r>
            <w:rPr>
              <w:rFonts w:hint="eastAsia"/>
            </w:rPr>
            <w:fldChar w:fldCharType="separate"/>
          </w:r>
          <w:r>
            <w:rPr>
              <w:rFonts w:hint="eastAsia" w:ascii="仿宋_GB2312" w:hAnsi="华文仿宋" w:eastAsia="仿宋_GB2312"/>
            </w:rPr>
            <w:t>第一章、招标</w:t>
          </w:r>
          <w:r>
            <w:rPr>
              <w:rFonts w:hint="eastAsia" w:ascii="仿宋_GB2312" w:hAnsi="华文仿宋" w:eastAsia="仿宋_GB2312"/>
              <w:lang w:val="en-US" w:eastAsia="zh-CN"/>
            </w:rPr>
            <w:t>公告</w:t>
          </w:r>
          <w:r>
            <w:tab/>
          </w:r>
          <w:r>
            <w:fldChar w:fldCharType="begin"/>
          </w:r>
          <w:r>
            <w:instrText xml:space="preserve"> PAGEREF _Toc3766 \h </w:instrText>
          </w:r>
          <w:r>
            <w:fldChar w:fldCharType="separate"/>
          </w:r>
          <w:r>
            <w:t>2</w:t>
          </w:r>
          <w:r>
            <w:fldChar w:fldCharType="end"/>
          </w:r>
          <w:r>
            <w:rPr>
              <w:rFonts w:hint="eastAsia"/>
            </w:rPr>
            <w:fldChar w:fldCharType="end"/>
          </w:r>
        </w:p>
        <w:p w14:paraId="399550F8">
          <w:pPr>
            <w:pStyle w:val="14"/>
            <w:tabs>
              <w:tab w:val="right" w:leader="dot" w:pos="8304"/>
            </w:tabs>
          </w:pPr>
          <w:r>
            <w:rPr>
              <w:rFonts w:hint="eastAsia"/>
            </w:rPr>
            <w:fldChar w:fldCharType="begin"/>
          </w:r>
          <w:r>
            <w:rPr>
              <w:rFonts w:hint="eastAsia"/>
            </w:rPr>
            <w:instrText xml:space="preserve"> HYPERLINK \l _Toc1995 </w:instrText>
          </w:r>
          <w:r>
            <w:rPr>
              <w:rFonts w:hint="eastAsia"/>
            </w:rPr>
            <w:fldChar w:fldCharType="separate"/>
          </w:r>
          <w:r>
            <w:rPr>
              <w:rFonts w:hint="eastAsia" w:ascii="仿宋_GB2312" w:hAnsi="华文仿宋" w:eastAsia="仿宋_GB2312"/>
              <w:lang w:val="en-US" w:eastAsia="zh-CN"/>
            </w:rPr>
            <w:t>第二章、投标人须知</w:t>
          </w:r>
          <w:r>
            <w:tab/>
          </w:r>
          <w:r>
            <w:fldChar w:fldCharType="begin"/>
          </w:r>
          <w:r>
            <w:instrText xml:space="preserve"> PAGEREF _Toc1995 \h </w:instrText>
          </w:r>
          <w:r>
            <w:fldChar w:fldCharType="separate"/>
          </w:r>
          <w:r>
            <w:t>4</w:t>
          </w:r>
          <w:r>
            <w:fldChar w:fldCharType="end"/>
          </w:r>
          <w:r>
            <w:rPr>
              <w:rFonts w:hint="eastAsia"/>
            </w:rPr>
            <w:fldChar w:fldCharType="end"/>
          </w:r>
        </w:p>
        <w:p w14:paraId="0A81C726">
          <w:pPr>
            <w:pStyle w:val="14"/>
            <w:tabs>
              <w:tab w:val="right" w:leader="dot" w:pos="8304"/>
            </w:tabs>
          </w:pPr>
          <w:r>
            <w:rPr>
              <w:rFonts w:hint="eastAsia"/>
            </w:rPr>
            <w:fldChar w:fldCharType="begin"/>
          </w:r>
          <w:r>
            <w:rPr>
              <w:rFonts w:hint="eastAsia"/>
            </w:rPr>
            <w:instrText xml:space="preserve"> HYPERLINK \l _Toc17075 </w:instrText>
          </w:r>
          <w:r>
            <w:rPr>
              <w:rFonts w:hint="eastAsia"/>
            </w:rPr>
            <w:fldChar w:fldCharType="separate"/>
          </w:r>
          <w:r>
            <w:rPr>
              <w:rFonts w:hint="eastAsia" w:ascii="仿宋" w:hAnsi="仿宋" w:eastAsia="仿宋"/>
            </w:rPr>
            <w:t>第二章、 招标文件技术要求</w:t>
          </w:r>
          <w:r>
            <w:tab/>
          </w:r>
          <w:r>
            <w:fldChar w:fldCharType="begin"/>
          </w:r>
          <w:r>
            <w:instrText xml:space="preserve"> PAGEREF _Toc17075 \h </w:instrText>
          </w:r>
          <w:r>
            <w:fldChar w:fldCharType="separate"/>
          </w:r>
          <w:r>
            <w:t>25</w:t>
          </w:r>
          <w:r>
            <w:fldChar w:fldCharType="end"/>
          </w:r>
          <w:r>
            <w:rPr>
              <w:rFonts w:hint="eastAsia"/>
            </w:rPr>
            <w:fldChar w:fldCharType="end"/>
          </w:r>
        </w:p>
        <w:p w14:paraId="6DB07176">
          <w:pPr>
            <w:pStyle w:val="14"/>
            <w:tabs>
              <w:tab w:val="right" w:leader="dot" w:pos="8304"/>
            </w:tabs>
          </w:pPr>
          <w:r>
            <w:rPr>
              <w:rFonts w:hint="eastAsia"/>
            </w:rPr>
            <w:fldChar w:fldCharType="begin"/>
          </w:r>
          <w:r>
            <w:rPr>
              <w:rFonts w:hint="eastAsia"/>
            </w:rPr>
            <w:instrText xml:space="preserve"> HYPERLINK \l _Toc28278 </w:instrText>
          </w:r>
          <w:r>
            <w:rPr>
              <w:rFonts w:hint="eastAsia"/>
            </w:rPr>
            <w:fldChar w:fldCharType="separate"/>
          </w:r>
          <w:r>
            <w:rPr>
              <w:rFonts w:hint="eastAsia" w:ascii="仿宋" w:hAnsi="仿宋" w:eastAsia="仿宋" w:cs="黑体"/>
              <w:bCs/>
              <w:spacing w:val="-4"/>
              <w:szCs w:val="28"/>
            </w:rPr>
            <w:t>1</w:t>
          </w:r>
          <w:r>
            <w:rPr>
              <w:rFonts w:ascii="仿宋" w:hAnsi="仿宋" w:eastAsia="仿宋" w:cs="黑体"/>
              <w:bCs/>
              <w:spacing w:val="-4"/>
              <w:szCs w:val="28"/>
            </w:rPr>
            <w:t>.1一般规定</w:t>
          </w:r>
          <w:r>
            <w:tab/>
          </w:r>
          <w:r>
            <w:fldChar w:fldCharType="begin"/>
          </w:r>
          <w:r>
            <w:instrText xml:space="preserve"> PAGEREF _Toc28278 \h </w:instrText>
          </w:r>
          <w:r>
            <w:fldChar w:fldCharType="separate"/>
          </w:r>
          <w:r>
            <w:t>146</w:t>
          </w:r>
          <w:r>
            <w:fldChar w:fldCharType="end"/>
          </w:r>
          <w:r>
            <w:rPr>
              <w:rFonts w:hint="eastAsia"/>
            </w:rPr>
            <w:fldChar w:fldCharType="end"/>
          </w:r>
        </w:p>
        <w:p w14:paraId="0B7F800E">
          <w:pPr>
            <w:pStyle w:val="14"/>
            <w:tabs>
              <w:tab w:val="right" w:leader="dot" w:pos="8304"/>
            </w:tabs>
          </w:pPr>
          <w:r>
            <w:rPr>
              <w:rFonts w:hint="eastAsia"/>
            </w:rPr>
            <w:fldChar w:fldCharType="begin"/>
          </w:r>
          <w:r>
            <w:rPr>
              <w:rFonts w:hint="eastAsia"/>
            </w:rPr>
            <w:instrText xml:space="preserve"> HYPERLINK \l _Toc10475 </w:instrText>
          </w:r>
          <w:r>
            <w:rPr>
              <w:rFonts w:hint="eastAsia"/>
            </w:rPr>
            <w:fldChar w:fldCharType="separate"/>
          </w:r>
          <w:r>
            <w:rPr>
              <w:rFonts w:ascii="仿宋" w:hAnsi="仿宋" w:eastAsia="仿宋" w:cs="黑体"/>
              <w:bCs/>
              <w:spacing w:val="-4"/>
              <w:szCs w:val="28"/>
            </w:rPr>
            <w:t>2</w:t>
          </w:r>
          <w:r>
            <w:rPr>
              <w:rFonts w:hint="eastAsia" w:ascii="仿宋" w:hAnsi="仿宋" w:eastAsia="仿宋" w:cs="黑体"/>
              <w:bCs/>
              <w:spacing w:val="-4"/>
              <w:szCs w:val="28"/>
              <w:lang w:eastAsia="zh-CN"/>
            </w:rPr>
            <w:t>、</w:t>
          </w:r>
          <w:r>
            <w:rPr>
              <w:rFonts w:ascii="仿宋" w:hAnsi="仿宋" w:eastAsia="仿宋" w:cs="黑体"/>
              <w:bCs/>
              <w:spacing w:val="-3"/>
              <w:szCs w:val="28"/>
            </w:rPr>
            <w:t>检验项目的电气火灾危险性分类</w:t>
          </w:r>
          <w:r>
            <w:tab/>
          </w:r>
          <w:r>
            <w:fldChar w:fldCharType="begin"/>
          </w:r>
          <w:r>
            <w:instrText xml:space="preserve"> PAGEREF _Toc10475 \h </w:instrText>
          </w:r>
          <w:r>
            <w:fldChar w:fldCharType="separate"/>
          </w:r>
          <w:r>
            <w:t>147</w:t>
          </w:r>
          <w:r>
            <w:fldChar w:fldCharType="end"/>
          </w:r>
          <w:r>
            <w:rPr>
              <w:rFonts w:hint="eastAsia"/>
            </w:rPr>
            <w:fldChar w:fldCharType="end"/>
          </w:r>
        </w:p>
        <w:p w14:paraId="6FA46960">
          <w:pPr>
            <w:pStyle w:val="32"/>
            <w:keepNext w:val="0"/>
            <w:keepLines w:val="0"/>
            <w:pageBreakBefore w:val="0"/>
            <w:kinsoku/>
            <w:wordWrap/>
            <w:overflowPunct/>
            <w:topLinePunct w:val="0"/>
            <w:bidi w:val="0"/>
            <w:ind w:left="0" w:leftChars="0" w:right="0" w:firstLine="560" w:firstLineChars="200"/>
            <w:textAlignment w:val="auto"/>
            <w:rPr>
              <w:rFonts w:hint="eastAsia" w:ascii="仿宋" w:hAnsi="仿宋" w:eastAsia="仿宋" w:cs="仿宋"/>
              <w:sz w:val="28"/>
              <w:szCs w:val="28"/>
              <w:lang w:val="en-US" w:eastAsia="zh-CN" w:bidi="ar-SA"/>
            </w:rPr>
            <w:sectPr>
              <w:pgSz w:w="11910" w:h="16840"/>
              <w:pgMar w:top="1440" w:right="1803" w:bottom="1440" w:left="1803" w:header="720" w:footer="720" w:gutter="0"/>
              <w:cols w:space="720" w:num="1"/>
            </w:sectPr>
          </w:pPr>
          <w:r>
            <w:rPr>
              <w:rFonts w:hint="eastAsia"/>
            </w:rPr>
            <w:fldChar w:fldCharType="end"/>
          </w:r>
        </w:p>
      </w:sdtContent>
    </w:sdt>
    <w:p w14:paraId="68BC4AB4">
      <w:pPr>
        <w:pStyle w:val="32"/>
        <w:keepNext w:val="0"/>
        <w:keepLines w:val="0"/>
        <w:pageBreakBefore w:val="0"/>
        <w:kinsoku/>
        <w:wordWrap/>
        <w:overflowPunct/>
        <w:topLinePunct w:val="0"/>
        <w:bidi w:val="0"/>
        <w:ind w:left="0" w:leftChars="0" w:right="0" w:firstLine="560" w:firstLineChars="200"/>
        <w:textAlignment w:val="auto"/>
        <w:rPr>
          <w:rFonts w:hint="eastAsia" w:ascii="仿宋" w:hAnsi="仿宋" w:eastAsia="仿宋" w:cs="仿宋"/>
          <w:sz w:val="28"/>
          <w:szCs w:val="28"/>
          <w:lang w:val="en-US" w:eastAsia="zh-CN" w:bidi="ar-SA"/>
        </w:rPr>
      </w:pPr>
    </w:p>
    <w:p w14:paraId="29A5B0B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检测数量：按实际安装数量的80%抽检，且不少于5处，少于5处的全数检测。</w:t>
      </w:r>
    </w:p>
    <w:p w14:paraId="7DC80F8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检测方法：对照设计，直观检查。</w:t>
      </w:r>
    </w:p>
    <w:p w14:paraId="6957101D">
      <w:pPr>
        <w:pStyle w:val="32"/>
        <w:keepNext w:val="0"/>
        <w:keepLines w:val="0"/>
        <w:pageBreakBefore w:val="0"/>
        <w:kinsoku/>
        <w:wordWrap/>
        <w:overflowPunct/>
        <w:topLinePunct w:val="0"/>
        <w:bidi w:val="0"/>
        <w:ind w:left="0" w:leftChars="0" w:right="0" w:firstLine="560" w:firstLineChars="200"/>
        <w:textAlignment w:val="auto"/>
      </w:pPr>
      <w:r>
        <w:rPr>
          <w:rFonts w:hint="eastAsia"/>
        </w:rPr>
        <w:t>9.17.2.2基本功能</w:t>
      </w:r>
    </w:p>
    <w:p w14:paraId="4BE6FCC8">
      <w:pPr>
        <w:pStyle w:val="32"/>
        <w:keepNext w:val="0"/>
        <w:keepLines w:val="0"/>
        <w:pageBreakBefore w:val="0"/>
        <w:kinsoku/>
        <w:wordWrap/>
        <w:overflowPunct/>
        <w:topLinePunct w:val="0"/>
        <w:bidi w:val="0"/>
        <w:ind w:left="0" w:leftChars="0" w:right="0" w:firstLine="560" w:firstLineChars="200"/>
        <w:textAlignment w:val="auto"/>
      </w:pPr>
      <w:r>
        <w:rPr>
          <w:rFonts w:hint="eastAsia"/>
        </w:rPr>
        <w:t>9.17.2.2.1现场手动控制功能</w:t>
      </w:r>
    </w:p>
    <w:p w14:paraId="3D4E1B8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检测要求：现场手动启动防火窗窗扇启闭控制装置时，活动窗扇应启、闭灵活，关闭严密，无卡阻现象。（A类）</w:t>
      </w:r>
    </w:p>
    <w:p w14:paraId="1A808D7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检测数量：按实际安装数量的80%抽检，且不少于5处。少于5处的全数检测。</w:t>
      </w:r>
    </w:p>
    <w:p w14:paraId="722A5BB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7EBA63B5">
      <w:pPr>
        <w:pStyle w:val="32"/>
        <w:keepNext w:val="0"/>
        <w:keepLines w:val="0"/>
        <w:pageBreakBefore w:val="0"/>
        <w:kinsoku/>
        <w:wordWrap/>
        <w:overflowPunct/>
        <w:topLinePunct w:val="0"/>
        <w:bidi w:val="0"/>
        <w:ind w:left="0" w:leftChars="0" w:right="0" w:firstLine="560" w:firstLineChars="200"/>
        <w:textAlignment w:val="auto"/>
      </w:pPr>
      <w:r>
        <w:rPr>
          <w:rFonts w:hint="eastAsia"/>
        </w:rPr>
        <w:t>9.17.2.2.2温控释放装置控制功能</w:t>
      </w:r>
    </w:p>
    <w:p w14:paraId="69B0C93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检测要求：安装在活动式防火窗上的温控释放装置动作后，活动式防火窗应在60s内自动关闭。（A类）</w:t>
      </w:r>
    </w:p>
    <w:p w14:paraId="7B45875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检测数量：同一类温控释放装置抽检1～2个。</w:t>
      </w:r>
    </w:p>
    <w:p w14:paraId="6F9C45B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检测方法：切断电源，加热温控释放装置，使其热敏感元件动作，观察防火窗动作情况，用秒表测试关闭时间。试验前，应准备备用的温控释放装置，试验后，应重新安装。</w:t>
      </w:r>
    </w:p>
    <w:p w14:paraId="4851177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w:t>
      </w:r>
    </w:p>
    <w:p w14:paraId="494427AB">
      <w:pPr>
        <w:pStyle w:val="32"/>
        <w:keepNext w:val="0"/>
        <w:keepLines w:val="0"/>
        <w:pageBreakBefore w:val="0"/>
        <w:kinsoku/>
        <w:wordWrap/>
        <w:overflowPunct/>
        <w:topLinePunct w:val="0"/>
        <w:bidi w:val="0"/>
        <w:ind w:left="0" w:leftChars="0" w:right="0" w:firstLine="560" w:firstLineChars="200"/>
        <w:textAlignment w:val="auto"/>
      </w:pPr>
      <w:r>
        <w:rPr>
          <w:rFonts w:hint="eastAsia"/>
        </w:rPr>
        <w:t>9.17.2.2.3远程手动控制功能</w:t>
      </w:r>
    </w:p>
    <w:p w14:paraId="2C9B4D5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检测要求：活动式防火窗，接到消防控制室发出的关闭指令后，应自动关闭，并应将关闭信号反馈至消防控制室。（A类）</w:t>
      </w:r>
    </w:p>
    <w:p w14:paraId="6A16220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检测数量：按实际安装数量的80%抽检，且不少于5处，少于5处的全数检测。</w:t>
      </w:r>
    </w:p>
    <w:p w14:paraId="5EB066B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检测方法：在消防控制室启动防火窗关闭功能，观察防火窗动作情况及消防控制室信号显示情况。</w:t>
      </w:r>
    </w:p>
    <w:p w14:paraId="2BDC5D8A">
      <w:pPr>
        <w:pStyle w:val="32"/>
        <w:keepNext w:val="0"/>
        <w:keepLines w:val="0"/>
        <w:pageBreakBefore w:val="0"/>
        <w:kinsoku/>
        <w:wordWrap/>
        <w:overflowPunct/>
        <w:topLinePunct w:val="0"/>
        <w:bidi w:val="0"/>
        <w:ind w:left="0" w:leftChars="0" w:right="0" w:firstLine="560" w:firstLineChars="200"/>
        <w:textAlignment w:val="auto"/>
      </w:pPr>
      <w:r>
        <w:rPr>
          <w:rFonts w:hint="eastAsia"/>
        </w:rPr>
        <w:t>9.17.2.2.4自动控制功能</w:t>
      </w:r>
    </w:p>
    <w:p w14:paraId="5D6A32D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检测要求：活动式防火窗，其任意一侧的火灾探测器报警后，应自动关闭，并应将关闭信号反馈至消防控制室。（A类）</w:t>
      </w:r>
    </w:p>
    <w:p w14:paraId="2606C2A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检测数量：按实际安装数量的80%抽检，且不少于5处，少于5处的全数检测。</w:t>
      </w:r>
    </w:p>
    <w:p w14:paraId="351EC86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检测方法：模拟火灾报警信号，观察防火窗动作情况及消防控制室信号显示情况。</w:t>
      </w:r>
    </w:p>
    <w:p w14:paraId="76D9577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检测器具：感烟（温）探测器功能试验器。</w:t>
      </w:r>
    </w:p>
    <w:p w14:paraId="55D67425">
      <w:pPr>
        <w:pStyle w:val="32"/>
        <w:keepNext w:val="0"/>
        <w:keepLines w:val="0"/>
        <w:pageBreakBefore w:val="0"/>
        <w:kinsoku/>
        <w:wordWrap/>
        <w:overflowPunct/>
        <w:topLinePunct w:val="0"/>
        <w:bidi w:val="0"/>
        <w:ind w:left="0" w:leftChars="0" w:right="0" w:firstLine="560" w:firstLineChars="200"/>
        <w:textAlignment w:val="auto"/>
      </w:pPr>
      <w:r>
        <w:rPr>
          <w:rFonts w:hint="eastAsia"/>
        </w:rPr>
        <w:t>9.17.3电动防火阀</w:t>
      </w:r>
    </w:p>
    <w:p w14:paraId="50A37E9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F76D888">
      <w:pPr>
        <w:pStyle w:val="32"/>
        <w:keepNext w:val="0"/>
        <w:keepLines w:val="0"/>
        <w:pageBreakBefore w:val="0"/>
        <w:kinsoku/>
        <w:wordWrap/>
        <w:overflowPunct/>
        <w:topLinePunct w:val="0"/>
        <w:bidi w:val="0"/>
        <w:ind w:left="0" w:leftChars="0" w:right="0" w:firstLine="560" w:firstLineChars="200"/>
        <w:textAlignment w:val="auto"/>
      </w:pPr>
      <w:r>
        <w:rPr>
          <w:rFonts w:hint="eastAsia"/>
        </w:rPr>
        <w:t>a)电动防火阀手动关闭和复位应操作方便、灵活、可靠；（A类）</w:t>
      </w:r>
    </w:p>
    <w:p w14:paraId="3A2E0E98">
      <w:pPr>
        <w:pStyle w:val="32"/>
        <w:keepNext w:val="0"/>
        <w:keepLines w:val="0"/>
        <w:pageBreakBefore w:val="0"/>
        <w:kinsoku/>
        <w:wordWrap/>
        <w:overflowPunct/>
        <w:topLinePunct w:val="0"/>
        <w:bidi w:val="0"/>
        <w:ind w:left="0" w:leftChars="0" w:right="0" w:firstLine="560" w:firstLineChars="200"/>
        <w:textAlignment w:val="auto"/>
      </w:pPr>
      <w:r>
        <w:rPr>
          <w:rFonts w:hint="eastAsia"/>
        </w:rPr>
        <w:t>b)电动防火阀应能在消防控制室的远程关闭或火警时联动关闭，并将关闭信号传至消防控制室。（A类）</w:t>
      </w:r>
    </w:p>
    <w:p w14:paraId="2A28681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检测数量：按实际安装数量的80%抽检，且不少于5个，少于5个的全数检测。</w:t>
      </w:r>
    </w:p>
    <w:p w14:paraId="4A7F246B">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2CE6141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a）手动试验，直观检查；</w:t>
      </w:r>
    </w:p>
    <w:p w14:paraId="5098CA4B">
      <w:pPr>
        <w:pStyle w:val="32"/>
        <w:keepNext w:val="0"/>
        <w:keepLines w:val="0"/>
        <w:pageBreakBefore w:val="0"/>
        <w:kinsoku/>
        <w:wordWrap/>
        <w:overflowPunct/>
        <w:topLinePunct w:val="0"/>
        <w:bidi w:val="0"/>
        <w:ind w:left="0" w:leftChars="0" w:right="0" w:firstLine="560" w:firstLineChars="200"/>
        <w:textAlignment w:val="auto"/>
      </w:pPr>
      <w:r>
        <w:rPr>
          <w:rFonts w:hint="eastAsia"/>
        </w:rPr>
        <w:t>b）模拟火灾信号和在消防控制室远程手动操作，观察防火阀动作情况及消防控制室信号显示情况。</w:t>
      </w:r>
    </w:p>
    <w:p w14:paraId="31F6BCA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检测器具：感烟（温）探测器功能试验器。</w:t>
      </w:r>
    </w:p>
    <w:p w14:paraId="32CAAF7F">
      <w:pPr>
        <w:pStyle w:val="32"/>
        <w:keepNext w:val="0"/>
        <w:keepLines w:val="0"/>
        <w:pageBreakBefore w:val="0"/>
        <w:kinsoku/>
        <w:wordWrap/>
        <w:overflowPunct/>
        <w:topLinePunct w:val="0"/>
        <w:bidi w:val="0"/>
        <w:ind w:left="0" w:leftChars="0" w:right="0" w:firstLine="560" w:firstLineChars="200"/>
        <w:textAlignment w:val="auto"/>
      </w:pPr>
      <w:r>
        <w:rPr>
          <w:rFonts w:hint="eastAsia"/>
        </w:rPr>
        <w:t>9.17.4防火卷帘</w:t>
      </w:r>
    </w:p>
    <w:p w14:paraId="2787E5D4">
      <w:pPr>
        <w:pStyle w:val="32"/>
        <w:keepNext w:val="0"/>
        <w:keepLines w:val="0"/>
        <w:pageBreakBefore w:val="0"/>
        <w:kinsoku/>
        <w:wordWrap/>
        <w:overflowPunct/>
        <w:topLinePunct w:val="0"/>
        <w:bidi w:val="0"/>
        <w:ind w:left="0" w:leftChars="0" w:right="0" w:firstLine="560" w:firstLineChars="200"/>
        <w:textAlignment w:val="auto"/>
      </w:pPr>
      <w:r>
        <w:rPr>
          <w:rFonts w:hint="eastAsia"/>
        </w:rPr>
        <w:t>9.17.4.1基本要求</w:t>
      </w:r>
    </w:p>
    <w:p w14:paraId="6AA8C5D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0E3388FE">
      <w:pPr>
        <w:pStyle w:val="32"/>
        <w:keepNext w:val="0"/>
        <w:keepLines w:val="0"/>
        <w:pageBreakBefore w:val="0"/>
        <w:kinsoku/>
        <w:wordWrap/>
        <w:overflowPunct/>
        <w:topLinePunct w:val="0"/>
        <w:bidi w:val="0"/>
        <w:ind w:left="0" w:leftChars="0" w:right="0" w:firstLine="560" w:firstLineChars="200"/>
        <w:textAlignment w:val="auto"/>
      </w:pPr>
      <w:r>
        <w:rPr>
          <w:rFonts w:hint="eastAsia"/>
        </w:rPr>
        <w:t>a)组件应齐全完好，规格、型号应与设计文件相符；（B类）</w:t>
      </w:r>
    </w:p>
    <w:p w14:paraId="1BD75774">
      <w:pPr>
        <w:pStyle w:val="32"/>
        <w:keepNext w:val="0"/>
        <w:keepLines w:val="0"/>
        <w:pageBreakBefore w:val="0"/>
        <w:kinsoku/>
        <w:wordWrap/>
        <w:overflowPunct/>
        <w:topLinePunct w:val="0"/>
        <w:bidi w:val="0"/>
        <w:ind w:left="0" w:leftChars="0" w:right="0" w:firstLine="560" w:firstLineChars="200"/>
        <w:textAlignment w:val="auto"/>
      </w:pPr>
      <w:r>
        <w:rPr>
          <w:rFonts w:hint="eastAsia"/>
        </w:rPr>
        <w:t>b)钢制卷帘帘面不允许有缝隙、裂纹及明显压坑；（B类）</w:t>
      </w:r>
    </w:p>
    <w:p w14:paraId="1722E538">
      <w:pPr>
        <w:pStyle w:val="32"/>
        <w:keepNext w:val="0"/>
        <w:keepLines w:val="0"/>
        <w:pageBreakBefore w:val="0"/>
        <w:kinsoku/>
        <w:wordWrap/>
        <w:overflowPunct/>
        <w:topLinePunct w:val="0"/>
        <w:bidi w:val="0"/>
        <w:ind w:left="0" w:leftChars="0" w:right="0" w:firstLine="560" w:firstLineChars="200"/>
        <w:textAlignment w:val="auto"/>
      </w:pPr>
      <w:r>
        <w:rPr>
          <w:rFonts w:hint="eastAsia"/>
        </w:rPr>
        <w:t>c)无机纤维复合卷帘帘面不允许有撕裂、缺角、挖补、破洞、倾斜、跳线、断线、经纬纱密度明显不匀及色差等缺陷。夹板应平直，夹持应牢固，基布的经向应是帘面的受力方向，帘面应美观、平直、整洁。（B类）</w:t>
      </w:r>
    </w:p>
    <w:p w14:paraId="373850C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检测数量：按实际安装数量的80%抽检，且不少于5樘，少于5樘的全数检测。</w:t>
      </w:r>
    </w:p>
    <w:p w14:paraId="71D84310">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1A8757B5">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a)对照设计文件；</w:t>
      </w:r>
    </w:p>
    <w:p w14:paraId="513B30D4">
      <w:pPr>
        <w:pStyle w:val="32"/>
        <w:keepNext w:val="0"/>
        <w:keepLines w:val="0"/>
        <w:pageBreakBefore w:val="0"/>
        <w:kinsoku/>
        <w:wordWrap/>
        <w:overflowPunct/>
        <w:topLinePunct w:val="0"/>
        <w:bidi w:val="0"/>
        <w:ind w:left="0" w:leftChars="0" w:right="0" w:firstLine="560" w:firstLineChars="200"/>
        <w:textAlignment w:val="auto"/>
      </w:pPr>
      <w:r>
        <w:rPr>
          <w:rFonts w:hint="eastAsia"/>
        </w:rPr>
        <w:t>b)c)直观检查。</w:t>
      </w:r>
    </w:p>
    <w:p w14:paraId="6E7234F6">
      <w:pPr>
        <w:pStyle w:val="32"/>
        <w:keepNext w:val="0"/>
        <w:keepLines w:val="0"/>
        <w:pageBreakBefore w:val="0"/>
        <w:kinsoku/>
        <w:wordWrap/>
        <w:overflowPunct/>
        <w:topLinePunct w:val="0"/>
        <w:bidi w:val="0"/>
        <w:ind w:left="0" w:leftChars="0" w:right="0" w:firstLine="560" w:firstLineChars="200"/>
        <w:textAlignment w:val="auto"/>
      </w:pPr>
      <w:r>
        <w:rPr>
          <w:rFonts w:hint="eastAsia"/>
        </w:rPr>
        <w:t>9.17.4.2防火卷帘控制装置及组件</w:t>
      </w:r>
    </w:p>
    <w:p w14:paraId="5BD55D2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670A65C">
      <w:pPr>
        <w:pStyle w:val="32"/>
        <w:keepNext w:val="0"/>
        <w:keepLines w:val="0"/>
        <w:pageBreakBefore w:val="0"/>
        <w:kinsoku/>
        <w:wordWrap/>
        <w:overflowPunct/>
        <w:topLinePunct w:val="0"/>
        <w:bidi w:val="0"/>
        <w:ind w:left="0" w:leftChars="0" w:right="0" w:firstLine="560" w:firstLineChars="200"/>
        <w:textAlignment w:val="auto"/>
      </w:pPr>
      <w:r>
        <w:rPr>
          <w:rFonts w:hint="eastAsia"/>
        </w:rPr>
        <w:t>a)防火卷帘应装配温控释放装置，释放装置动作后，卷帘应依自重下降关闭；（B类）</w:t>
      </w:r>
    </w:p>
    <w:p w14:paraId="42AE5A34">
      <w:pPr>
        <w:pStyle w:val="32"/>
        <w:keepNext w:val="0"/>
        <w:keepLines w:val="0"/>
        <w:pageBreakBefore w:val="0"/>
        <w:kinsoku/>
        <w:wordWrap/>
        <w:overflowPunct/>
        <w:topLinePunct w:val="0"/>
        <w:bidi w:val="0"/>
        <w:ind w:left="0" w:leftChars="0" w:right="0" w:firstLine="560" w:firstLineChars="200"/>
        <w:textAlignment w:val="auto"/>
      </w:pPr>
      <w:r>
        <w:rPr>
          <w:rFonts w:hint="eastAsia"/>
        </w:rPr>
        <w:t>b)控制器应设主电源和直流备用电源。主、备电源转换应正常。主、备电源转换时不应使控制器发生误动作。主电源应采用专用供电回路供电；（A类）</w:t>
      </w:r>
    </w:p>
    <w:p w14:paraId="20BBADD5">
      <w:pPr>
        <w:pStyle w:val="32"/>
        <w:keepNext w:val="0"/>
        <w:keepLines w:val="0"/>
        <w:pageBreakBefore w:val="0"/>
        <w:kinsoku/>
        <w:wordWrap/>
        <w:overflowPunct/>
        <w:topLinePunct w:val="0"/>
        <w:bidi w:val="0"/>
        <w:ind w:left="0" w:leftChars="0" w:right="0" w:firstLine="560" w:firstLineChars="200"/>
        <w:textAlignment w:val="auto"/>
      </w:pPr>
      <w:r>
        <w:rPr>
          <w:rFonts w:hint="eastAsia"/>
        </w:rPr>
        <w:t>c)防火卷帘两侧均应安装火灾探测器组和手动按钮盒。当防火卷帘一侧为无人场所时，防火卷帘有人侧应安装火灾探测器组和手动按钮盒；（B类）</w:t>
      </w:r>
    </w:p>
    <w:p w14:paraId="53B72213">
      <w:pPr>
        <w:pStyle w:val="32"/>
        <w:keepNext w:val="0"/>
        <w:keepLines w:val="0"/>
        <w:pageBreakBefore w:val="0"/>
        <w:kinsoku/>
        <w:wordWrap/>
        <w:overflowPunct/>
        <w:topLinePunct w:val="0"/>
        <w:bidi w:val="0"/>
        <w:ind w:left="0" w:leftChars="0" w:right="0" w:firstLine="560" w:firstLineChars="200"/>
        <w:textAlignment w:val="auto"/>
      </w:pPr>
      <w:r>
        <w:rPr>
          <w:rFonts w:hint="eastAsia"/>
        </w:rPr>
        <w:t>d)手动按钮盒的安装应牢固可靠，其底边距地面高度宜为1.3m～1.5m；（C类）</w:t>
      </w:r>
    </w:p>
    <w:p w14:paraId="4C4E027C">
      <w:pPr>
        <w:pStyle w:val="32"/>
        <w:keepNext w:val="0"/>
        <w:keepLines w:val="0"/>
        <w:pageBreakBefore w:val="0"/>
        <w:kinsoku/>
        <w:wordWrap/>
        <w:overflowPunct/>
        <w:topLinePunct w:val="0"/>
        <w:bidi w:val="0"/>
        <w:ind w:left="0" w:leftChars="0" w:right="0" w:firstLine="560" w:firstLineChars="200"/>
        <w:textAlignment w:val="auto"/>
      </w:pPr>
      <w:r>
        <w:rPr>
          <w:rFonts w:hint="eastAsia"/>
        </w:rPr>
        <w:t>e)疏散通道上的卷帘的任一侧距卷帘纵深0.5m～5m内应设置不少于2只专门用于联动防火卷帘的感温火灾探测器。（B类）</w:t>
      </w:r>
    </w:p>
    <w:p w14:paraId="6D506CA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检测数量：按实际安装数量的80%抽检，且不少于5樘，少于5樘的全数检测。</w:t>
      </w:r>
    </w:p>
    <w:p w14:paraId="65F37236">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51E9976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a)～c)直观检查；</w:t>
      </w:r>
    </w:p>
    <w:p w14:paraId="29DE1D5B">
      <w:pPr>
        <w:pStyle w:val="32"/>
        <w:keepNext w:val="0"/>
        <w:keepLines w:val="0"/>
        <w:pageBreakBefore w:val="0"/>
        <w:kinsoku/>
        <w:wordWrap/>
        <w:overflowPunct/>
        <w:topLinePunct w:val="0"/>
        <w:bidi w:val="0"/>
        <w:ind w:left="0" w:leftChars="0" w:right="0" w:firstLine="560" w:firstLineChars="200"/>
        <w:textAlignment w:val="auto"/>
      </w:pPr>
      <w:r>
        <w:rPr>
          <w:rFonts w:hint="eastAsia"/>
        </w:rPr>
        <w:t>d)e)尺量。</w:t>
      </w:r>
    </w:p>
    <w:p w14:paraId="3E917AB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08BB1443">
      <w:pPr>
        <w:pStyle w:val="32"/>
        <w:keepNext w:val="0"/>
        <w:keepLines w:val="0"/>
        <w:pageBreakBefore w:val="0"/>
        <w:kinsoku/>
        <w:wordWrap/>
        <w:overflowPunct/>
        <w:topLinePunct w:val="0"/>
        <w:bidi w:val="0"/>
        <w:ind w:left="0" w:leftChars="0" w:right="0" w:firstLine="560" w:firstLineChars="200"/>
        <w:textAlignment w:val="auto"/>
      </w:pPr>
      <w:r>
        <w:rPr>
          <w:rFonts w:hint="eastAsia"/>
        </w:rPr>
        <w:t>9.17.4.3安装要求</w:t>
      </w:r>
    </w:p>
    <w:p w14:paraId="12B8DC6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72F4B6E3">
      <w:pPr>
        <w:pStyle w:val="32"/>
        <w:keepNext w:val="0"/>
        <w:keepLines w:val="0"/>
        <w:pageBreakBefore w:val="0"/>
        <w:kinsoku/>
        <w:wordWrap/>
        <w:overflowPunct/>
        <w:topLinePunct w:val="0"/>
        <w:bidi w:val="0"/>
        <w:ind w:left="0" w:leftChars="0" w:right="0" w:firstLine="560" w:firstLineChars="200"/>
        <w:textAlignment w:val="auto"/>
      </w:pPr>
      <w:r>
        <w:rPr>
          <w:rFonts w:hint="eastAsia"/>
        </w:rPr>
        <w:t>a)帘板嵌入导轨的深度：</w:t>
      </w:r>
    </w:p>
    <w:p w14:paraId="05915C72">
      <w:pPr>
        <w:pStyle w:val="32"/>
        <w:keepNext w:val="0"/>
        <w:keepLines w:val="0"/>
        <w:pageBreakBefore w:val="0"/>
        <w:kinsoku/>
        <w:wordWrap/>
        <w:overflowPunct/>
        <w:topLinePunct w:val="0"/>
        <w:bidi w:val="0"/>
        <w:ind w:left="0" w:leftChars="0" w:right="0" w:firstLine="560" w:firstLineChars="200"/>
        <w:textAlignment w:val="auto"/>
      </w:pPr>
      <w:r>
        <w:rPr>
          <w:rFonts w:hint="eastAsia"/>
        </w:rPr>
        <w:t>1)卷帘内幅宽小于3m时，每端嵌入轨道内最小深度为45mm；（B类）</w:t>
      </w:r>
    </w:p>
    <w:p w14:paraId="15F634D0">
      <w:pPr>
        <w:pStyle w:val="32"/>
        <w:keepNext w:val="0"/>
        <w:keepLines w:val="0"/>
        <w:pageBreakBefore w:val="0"/>
        <w:kinsoku/>
        <w:wordWrap/>
        <w:overflowPunct/>
        <w:topLinePunct w:val="0"/>
        <w:bidi w:val="0"/>
        <w:ind w:left="0" w:leftChars="0" w:right="0" w:firstLine="560" w:firstLineChars="200"/>
        <w:textAlignment w:val="auto"/>
      </w:pPr>
      <w:r>
        <w:rPr>
          <w:rFonts w:hint="eastAsia"/>
        </w:rPr>
        <w:t>2)卷帘内幅宽不小于3m且小于5m时，每端嵌入轨道内最小深度为50mm；（B类）</w:t>
      </w:r>
    </w:p>
    <w:p w14:paraId="0265528B">
      <w:pPr>
        <w:pStyle w:val="32"/>
        <w:keepNext w:val="0"/>
        <w:keepLines w:val="0"/>
        <w:pageBreakBefore w:val="0"/>
        <w:kinsoku/>
        <w:wordWrap/>
        <w:overflowPunct/>
        <w:topLinePunct w:val="0"/>
        <w:bidi w:val="0"/>
        <w:ind w:left="0" w:leftChars="0" w:right="0" w:firstLine="560" w:firstLineChars="200"/>
        <w:textAlignment w:val="auto"/>
      </w:pPr>
      <w:r>
        <w:rPr>
          <w:rFonts w:hint="eastAsia"/>
        </w:rPr>
        <w:t>3)帘板内幅宽不小于5m且小于9m时，每端嵌入轨道内最小深度为60mm；（B类）</w:t>
      </w:r>
    </w:p>
    <w:p w14:paraId="5F51F49E">
      <w:pPr>
        <w:pStyle w:val="32"/>
        <w:keepNext w:val="0"/>
        <w:keepLines w:val="0"/>
        <w:pageBreakBefore w:val="0"/>
        <w:kinsoku/>
        <w:wordWrap/>
        <w:overflowPunct/>
        <w:topLinePunct w:val="0"/>
        <w:bidi w:val="0"/>
        <w:ind w:left="0" w:leftChars="0" w:right="0" w:firstLine="560" w:firstLineChars="200"/>
        <w:textAlignment w:val="auto"/>
      </w:pPr>
      <w:r>
        <w:rPr>
          <w:rFonts w:hint="eastAsia"/>
        </w:rPr>
        <w:t>4)帘板内幅不小于9mm时，导轨间距每增加1000mm，每端嵌入深度应增加10mm，且卷帘安装后不应变形。（B类）</w:t>
      </w:r>
    </w:p>
    <w:p w14:paraId="7EE16666">
      <w:pPr>
        <w:pStyle w:val="32"/>
        <w:keepNext w:val="0"/>
        <w:keepLines w:val="0"/>
        <w:pageBreakBefore w:val="0"/>
        <w:kinsoku/>
        <w:wordWrap/>
        <w:overflowPunct/>
        <w:topLinePunct w:val="0"/>
        <w:bidi w:val="0"/>
        <w:ind w:left="0" w:leftChars="0" w:right="0" w:firstLine="560" w:firstLineChars="200"/>
        <w:textAlignment w:val="auto"/>
      </w:pPr>
      <w:r>
        <w:rPr>
          <w:rFonts w:hint="eastAsia"/>
        </w:rPr>
        <w:t>b)座板与地面应平行、接触应均匀，座板与地面间隙不大于20mm；（C类）</w:t>
      </w:r>
    </w:p>
    <w:p w14:paraId="076A8D8B">
      <w:pPr>
        <w:pStyle w:val="32"/>
        <w:keepNext w:val="0"/>
        <w:keepLines w:val="0"/>
        <w:pageBreakBefore w:val="0"/>
        <w:kinsoku/>
        <w:wordWrap/>
        <w:overflowPunct/>
        <w:topLinePunct w:val="0"/>
        <w:bidi w:val="0"/>
        <w:ind w:left="0" w:leftChars="0" w:right="0" w:firstLine="560" w:firstLineChars="200"/>
        <w:textAlignment w:val="auto"/>
      </w:pPr>
      <w:r>
        <w:rPr>
          <w:rFonts w:hint="eastAsia"/>
        </w:rPr>
        <w:t>c)防火防烟卷帘导轨和门楣内应设置防烟装置；（B类）</w:t>
      </w:r>
    </w:p>
    <w:p w14:paraId="6D545EF9">
      <w:pPr>
        <w:pStyle w:val="32"/>
        <w:keepNext w:val="0"/>
        <w:keepLines w:val="0"/>
        <w:pageBreakBefore w:val="0"/>
        <w:kinsoku/>
        <w:wordWrap/>
        <w:overflowPunct/>
        <w:topLinePunct w:val="0"/>
        <w:bidi w:val="0"/>
        <w:ind w:left="0" w:leftChars="0" w:right="0" w:firstLine="560" w:firstLineChars="200"/>
        <w:textAlignment w:val="auto"/>
      </w:pPr>
      <w:r>
        <w:rPr>
          <w:rFonts w:hint="eastAsia"/>
        </w:rPr>
        <w:t>d)防火卷帘上方应有箱体或其它能防止火灾蔓延的防火保护措施。（B类）</w:t>
      </w:r>
    </w:p>
    <w:p w14:paraId="05CAF00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检测数量：按实际安装数量的80%抽检，且不少于5樘，少于5樘的全数检测。</w:t>
      </w:r>
    </w:p>
    <w:p w14:paraId="086D98B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a)测量每樘帘面的內幅宽度，再测量嵌入导轨的深度，防火卷帘帘面嵌入导轨的深度采用直尺测量，测量点为每根导轨距其底部200mm处，取较小值，判定是否符合检测要求。测量图示见附录D；b)尺量；c)d)直观检查。</w:t>
      </w:r>
    </w:p>
    <w:p w14:paraId="1EF70FF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w:t>
      </w:r>
    </w:p>
    <w:p w14:paraId="61617752">
      <w:pPr>
        <w:pStyle w:val="32"/>
        <w:keepNext w:val="0"/>
        <w:keepLines w:val="0"/>
        <w:pageBreakBefore w:val="0"/>
        <w:kinsoku/>
        <w:wordWrap/>
        <w:overflowPunct/>
        <w:topLinePunct w:val="0"/>
        <w:bidi w:val="0"/>
        <w:ind w:left="0" w:leftChars="0" w:right="0" w:firstLine="560" w:firstLineChars="200"/>
        <w:textAlignment w:val="auto"/>
      </w:pPr>
      <w:r>
        <w:rPr>
          <w:rFonts w:hint="eastAsia"/>
        </w:rPr>
        <w:t>9.17.4.4运行性能</w:t>
      </w:r>
    </w:p>
    <w:p w14:paraId="1B02662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42B8EED">
      <w:pPr>
        <w:pStyle w:val="32"/>
        <w:keepNext w:val="0"/>
        <w:keepLines w:val="0"/>
        <w:pageBreakBefore w:val="0"/>
        <w:kinsoku/>
        <w:wordWrap/>
        <w:overflowPunct/>
        <w:topLinePunct w:val="0"/>
        <w:bidi w:val="0"/>
        <w:ind w:left="0" w:leftChars="0" w:right="0" w:firstLine="560" w:firstLineChars="200"/>
        <w:textAlignment w:val="auto"/>
      </w:pPr>
      <w:r>
        <w:rPr>
          <w:rFonts w:hint="eastAsia"/>
        </w:rPr>
        <w:t>a)卷帘应升降自如，运行时应平稳顺畅、无卡涩现象；（B类）</w:t>
      </w:r>
    </w:p>
    <w:p w14:paraId="3847041D">
      <w:pPr>
        <w:pStyle w:val="32"/>
        <w:keepNext w:val="0"/>
        <w:keepLines w:val="0"/>
        <w:pageBreakBefore w:val="0"/>
        <w:kinsoku/>
        <w:wordWrap/>
        <w:overflowPunct/>
        <w:topLinePunct w:val="0"/>
        <w:bidi w:val="0"/>
        <w:ind w:left="0" w:leftChars="0" w:right="0" w:firstLine="560" w:firstLineChars="200"/>
        <w:textAlignment w:val="auto"/>
      </w:pPr>
      <w:r>
        <w:rPr>
          <w:rFonts w:hint="eastAsia"/>
        </w:rPr>
        <w:t>b)防火卷帘控制器应具备通电功能、备用电源、火灾报警功能、故障报警功能、自动控制功能、手动控制功能和自重下降功能；（A类）</w:t>
      </w:r>
    </w:p>
    <w:p w14:paraId="5E5B58D0">
      <w:pPr>
        <w:pStyle w:val="32"/>
        <w:keepNext w:val="0"/>
        <w:keepLines w:val="0"/>
        <w:pageBreakBefore w:val="0"/>
        <w:kinsoku/>
        <w:wordWrap/>
        <w:overflowPunct/>
        <w:topLinePunct w:val="0"/>
        <w:bidi w:val="0"/>
        <w:ind w:left="0" w:leftChars="0" w:right="0" w:firstLine="560" w:firstLineChars="200"/>
        <w:textAlignment w:val="auto"/>
      </w:pPr>
      <w:r>
        <w:rPr>
          <w:rFonts w:hint="eastAsia"/>
        </w:rPr>
        <w:t>c)防火卷帘装配完成后，帘面在导轨内运行应平稳，不应有脱轨和明显的倾斜现象。双帘面卷帘的两个帘面应同时升降，两个帘面之间的高度差不应大于50mm。（B类）</w:t>
      </w:r>
    </w:p>
    <w:p w14:paraId="117A6DA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检测数量：按实际安装数量的80%抽检，且不少于5樘，少于5樘的全数检测。</w:t>
      </w:r>
    </w:p>
    <w:p w14:paraId="42CB9C9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582DF99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a)直观检查；</w:t>
      </w:r>
    </w:p>
    <w:p w14:paraId="20DDBCAD">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直观检查通电功能。备用电源功能是切断防火卷帘控制器的主电源，然后再切断卷门机主电源，观察防火卷帘动作、运行情况。火灾报警功能使火灾探测器组发出火灾报警信号，观察防火卷帘控制器的声、光报警情况。故障报警功能使任意断开电源一相或对调电源的任意两相，手动操作防火卷帘控制器按钮，观察防火卷帘动作情况及防火卷帘控制器报警情况，断开火灾探测器与防火卷帘控制器的连接线，观察防火卷帘控制器报警情况。自动控制功能分别使火灾探测器组发出半降、全降信号，观察防火卷帘控制器声、光报警和防火卷帘动作、运行情况以及消防控制室防火卷帘动作状态信号显示情况。手动试验控制功能。自重下降功能切断卷门机电源，按下防火卷帘控制器下降按钮，观察防火卷帘动作、运行情况；</w:t>
      </w:r>
    </w:p>
    <w:p w14:paraId="29B585C0">
      <w:pPr>
        <w:pStyle w:val="32"/>
        <w:keepNext w:val="0"/>
        <w:keepLines w:val="0"/>
        <w:pageBreakBefore w:val="0"/>
        <w:kinsoku/>
        <w:wordWrap/>
        <w:overflowPunct/>
        <w:topLinePunct w:val="0"/>
        <w:bidi w:val="0"/>
        <w:ind w:left="0" w:leftChars="0" w:right="0" w:firstLine="560" w:firstLineChars="200"/>
        <w:textAlignment w:val="auto"/>
      </w:pPr>
      <w:r>
        <w:rPr>
          <w:rFonts w:hint="eastAsia"/>
        </w:rPr>
        <w:t>c)手动检查，用钢卷尺测量双帘面卷帘的两个帘面之间的高度差。</w:t>
      </w:r>
    </w:p>
    <w:p w14:paraId="2A2441C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检测器具：钢直尺、钢卷尺、感烟（温）探测器功能试验器。</w:t>
      </w:r>
    </w:p>
    <w:p w14:paraId="67D93E16">
      <w:pPr>
        <w:pStyle w:val="32"/>
        <w:keepNext w:val="0"/>
        <w:keepLines w:val="0"/>
        <w:pageBreakBefore w:val="0"/>
        <w:kinsoku/>
        <w:wordWrap/>
        <w:overflowPunct/>
        <w:topLinePunct w:val="0"/>
        <w:bidi w:val="0"/>
        <w:ind w:left="0" w:leftChars="0" w:right="0" w:firstLine="560" w:firstLineChars="200"/>
        <w:textAlignment w:val="auto"/>
      </w:pPr>
      <w:r>
        <w:rPr>
          <w:rFonts w:hint="eastAsia"/>
        </w:rPr>
        <w:t>9.17.4.5系统功能</w:t>
      </w:r>
    </w:p>
    <w:p w14:paraId="4A2B2548">
      <w:pPr>
        <w:pStyle w:val="32"/>
        <w:keepNext w:val="0"/>
        <w:keepLines w:val="0"/>
        <w:pageBreakBefore w:val="0"/>
        <w:kinsoku/>
        <w:wordWrap/>
        <w:overflowPunct/>
        <w:topLinePunct w:val="0"/>
        <w:bidi w:val="0"/>
        <w:ind w:left="0" w:leftChars="0" w:right="0" w:firstLine="560" w:firstLineChars="200"/>
        <w:textAlignment w:val="auto"/>
      </w:pPr>
      <w:r>
        <w:rPr>
          <w:rFonts w:hint="eastAsia"/>
        </w:rPr>
        <w:t>9.17.4.5.1疏散通道上的卷帘控制要求</w:t>
      </w:r>
    </w:p>
    <w:p w14:paraId="5ABF8ED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AA313C8">
      <w:pPr>
        <w:pStyle w:val="32"/>
        <w:keepNext w:val="0"/>
        <w:keepLines w:val="0"/>
        <w:pageBreakBefore w:val="0"/>
        <w:kinsoku/>
        <w:wordWrap/>
        <w:overflowPunct/>
        <w:topLinePunct w:val="0"/>
        <w:bidi w:val="0"/>
        <w:ind w:left="0" w:leftChars="0" w:right="0" w:firstLine="560" w:firstLineChars="200"/>
        <w:textAlignment w:val="auto"/>
      </w:pPr>
      <w:r>
        <w:rPr>
          <w:rFonts w:hint="eastAsia"/>
        </w:rPr>
        <w:t>a)防火分区内任两只独立的感烟火灾探测器或任一只专门用于联动防火卷帘的感烟火灾探测器的报警信号应联动控制防火卷帘下降至距楼板面1.8m处，相关的火灾探测器动作后，控制卷帘下降到底；（A类）</w:t>
      </w:r>
    </w:p>
    <w:p w14:paraId="55CF3EEE">
      <w:pPr>
        <w:pStyle w:val="32"/>
        <w:keepNext w:val="0"/>
        <w:keepLines w:val="0"/>
        <w:pageBreakBefore w:val="0"/>
        <w:kinsoku/>
        <w:wordWrap/>
        <w:overflowPunct/>
        <w:topLinePunct w:val="0"/>
        <w:bidi w:val="0"/>
        <w:ind w:left="0" w:leftChars="0" w:right="0" w:firstLine="560" w:firstLineChars="200"/>
        <w:textAlignment w:val="auto"/>
      </w:pPr>
      <w:r>
        <w:rPr>
          <w:rFonts w:hint="eastAsia"/>
        </w:rPr>
        <w:t>b)任一只专门用于联动防火卷帘的感温火灾探测器的报警信号应联动控制防火卷帘下降到楼板面。（A类）</w:t>
      </w:r>
    </w:p>
    <w:p w14:paraId="4B2D2AC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7F1BD335">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32B46D82">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用于疏散通道的防火卷帘控制器应具有两步关闭的功能，并应向消防联动控制器发出反馈信号。防火卷帘控制器接收到首次火灾报警信号后，应能控制防火卷帘自动关闭到中位处停止。接收到二次报警信号后，应能控制防火卷帘继续关闭至全闭状态；</w:t>
      </w:r>
    </w:p>
    <w:p w14:paraId="55ACFB14">
      <w:pPr>
        <w:pStyle w:val="32"/>
        <w:keepNext w:val="0"/>
        <w:keepLines w:val="0"/>
        <w:pageBreakBefore w:val="0"/>
        <w:kinsoku/>
        <w:wordWrap/>
        <w:overflowPunct/>
        <w:topLinePunct w:val="0"/>
        <w:bidi w:val="0"/>
        <w:ind w:left="0" w:leftChars="0" w:right="0" w:firstLine="560" w:firstLineChars="200"/>
        <w:textAlignment w:val="auto"/>
      </w:pPr>
      <w:r>
        <w:rPr>
          <w:rFonts w:hint="eastAsia"/>
        </w:rPr>
        <w:t>b)触发一个专用于防火卷帘的感温探测器，查看防火卷帘是否下降到楼板面。</w:t>
      </w:r>
    </w:p>
    <w:p w14:paraId="6A1528E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检测器具：钢卷尺、感烟（温）探测器功能试验器。</w:t>
      </w:r>
    </w:p>
    <w:p w14:paraId="059E90E7">
      <w:pPr>
        <w:pStyle w:val="32"/>
        <w:keepNext w:val="0"/>
        <w:keepLines w:val="0"/>
        <w:pageBreakBefore w:val="0"/>
        <w:kinsoku/>
        <w:wordWrap/>
        <w:overflowPunct/>
        <w:topLinePunct w:val="0"/>
        <w:bidi w:val="0"/>
        <w:ind w:left="0" w:leftChars="0" w:right="0" w:firstLine="560" w:firstLineChars="200"/>
        <w:textAlignment w:val="auto"/>
      </w:pPr>
      <w:r>
        <w:rPr>
          <w:rFonts w:hint="eastAsia"/>
        </w:rPr>
        <w:t>9.17.4.5.2非疏散通道上卷帘控制要求</w:t>
      </w:r>
    </w:p>
    <w:p w14:paraId="57B7046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检测要求：防火卷帘所在防火分区内任两只独立的火灾探测器的报警信号，作为防火卷帘下降的联动触发信号，并应联动控制防火卷帘直接下降到楼板面。（A类）</w:t>
      </w:r>
    </w:p>
    <w:p w14:paraId="5B7258A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0392C2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检测方法：接收到防火分区内任两只独立的火灾探测器的报警信号后，应能控制防火卷帘到全关闭状态，并应向消防联动控制器发出反馈信号。</w:t>
      </w:r>
    </w:p>
    <w:p w14:paraId="2EE6A8D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检测器具：感烟（温）探测器功能试验器。</w:t>
      </w:r>
    </w:p>
    <w:p w14:paraId="4E5CC968">
      <w:pPr>
        <w:pStyle w:val="32"/>
        <w:keepNext w:val="0"/>
        <w:keepLines w:val="0"/>
        <w:pageBreakBefore w:val="0"/>
        <w:kinsoku/>
        <w:wordWrap/>
        <w:overflowPunct/>
        <w:topLinePunct w:val="0"/>
        <w:bidi w:val="0"/>
        <w:ind w:left="0" w:leftChars="0" w:right="0" w:firstLine="560" w:firstLineChars="200"/>
        <w:textAlignment w:val="auto"/>
      </w:pPr>
      <w:r>
        <w:rPr>
          <w:rFonts w:hint="eastAsia"/>
        </w:rPr>
        <w:t>9.18电气火灾监控系统</w:t>
      </w:r>
    </w:p>
    <w:p w14:paraId="1C7F596F">
      <w:pPr>
        <w:pStyle w:val="32"/>
        <w:keepNext w:val="0"/>
        <w:keepLines w:val="0"/>
        <w:pageBreakBefore w:val="0"/>
        <w:kinsoku/>
        <w:wordWrap/>
        <w:overflowPunct/>
        <w:topLinePunct w:val="0"/>
        <w:bidi w:val="0"/>
        <w:ind w:left="0" w:leftChars="0" w:right="0" w:firstLine="560" w:firstLineChars="200"/>
        <w:textAlignment w:val="auto"/>
      </w:pPr>
      <w:r>
        <w:rPr>
          <w:rFonts w:hint="eastAsia"/>
        </w:rPr>
        <w:t>9.18.1一般规定</w:t>
      </w:r>
    </w:p>
    <w:p w14:paraId="6306C39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检测要求：电气火灾报警系统的设置部位及探测器类型应与设计文件相符。（A类）</w:t>
      </w:r>
    </w:p>
    <w:p w14:paraId="3406E57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0BBF8BF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w:t>
      </w:r>
    </w:p>
    <w:p w14:paraId="178A4CBB">
      <w:pPr>
        <w:pStyle w:val="32"/>
        <w:keepNext w:val="0"/>
        <w:keepLines w:val="0"/>
        <w:pageBreakBefore w:val="0"/>
        <w:kinsoku/>
        <w:wordWrap/>
        <w:overflowPunct/>
        <w:topLinePunct w:val="0"/>
        <w:bidi w:val="0"/>
        <w:ind w:left="0" w:leftChars="0" w:right="0" w:firstLine="560" w:firstLineChars="200"/>
        <w:textAlignment w:val="auto"/>
      </w:pPr>
      <w:r>
        <w:rPr>
          <w:rFonts w:hint="eastAsia"/>
        </w:rPr>
        <w:t>9.18.2监控设备</w:t>
      </w:r>
    </w:p>
    <w:p w14:paraId="77CDD80C">
      <w:pPr>
        <w:pStyle w:val="32"/>
        <w:keepNext w:val="0"/>
        <w:keepLines w:val="0"/>
        <w:pageBreakBefore w:val="0"/>
        <w:kinsoku/>
        <w:wordWrap/>
        <w:overflowPunct/>
        <w:topLinePunct w:val="0"/>
        <w:bidi w:val="0"/>
        <w:ind w:left="0" w:leftChars="0" w:right="0" w:firstLine="560" w:firstLineChars="200"/>
        <w:textAlignment w:val="auto"/>
      </w:pPr>
      <w:r>
        <w:rPr>
          <w:rFonts w:hint="eastAsia"/>
        </w:rPr>
        <w:t>9.18.2.1监控设备功能</w:t>
      </w:r>
    </w:p>
    <w:p w14:paraId="69A7699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6F6191A0">
      <w:pPr>
        <w:pStyle w:val="32"/>
        <w:keepNext w:val="0"/>
        <w:keepLines w:val="0"/>
        <w:pageBreakBefore w:val="0"/>
        <w:kinsoku/>
        <w:wordWrap/>
        <w:overflowPunct/>
        <w:topLinePunct w:val="0"/>
        <w:bidi w:val="0"/>
        <w:ind w:left="0" w:leftChars="0" w:right="0" w:firstLine="560" w:firstLineChars="200"/>
        <w:textAlignment w:val="auto"/>
      </w:pPr>
      <w:r>
        <w:rPr>
          <w:rFonts w:hint="eastAsia"/>
        </w:rPr>
        <w:t>a)监控设备应能接收来自探测器的监控报警信号，并在30s内发出声、光报警信号，指示报警部位，记录报警时间，并予以保持，直至手动复位；（A类）</w:t>
      </w:r>
    </w:p>
    <w:p w14:paraId="3653C2E9">
      <w:pPr>
        <w:pStyle w:val="32"/>
        <w:keepNext w:val="0"/>
        <w:keepLines w:val="0"/>
        <w:pageBreakBefore w:val="0"/>
        <w:kinsoku/>
        <w:wordWrap/>
        <w:overflowPunct/>
        <w:topLinePunct w:val="0"/>
        <w:bidi w:val="0"/>
        <w:ind w:left="0" w:leftChars="0" w:right="0" w:firstLine="560" w:firstLineChars="200"/>
        <w:textAlignment w:val="auto"/>
      </w:pPr>
      <w:r>
        <w:rPr>
          <w:rFonts w:hint="eastAsia"/>
        </w:rPr>
        <w:t>b)当监控设备发生下述故障时，应能在100s内发出与监控报警信号有明显区别的声光故障信号：</w:t>
      </w:r>
    </w:p>
    <w:p w14:paraId="6AFF349E">
      <w:pPr>
        <w:pStyle w:val="32"/>
        <w:keepNext w:val="0"/>
        <w:keepLines w:val="0"/>
        <w:pageBreakBefore w:val="0"/>
        <w:kinsoku/>
        <w:wordWrap/>
        <w:overflowPunct/>
        <w:topLinePunct w:val="0"/>
        <w:bidi w:val="0"/>
        <w:ind w:left="0" w:leftChars="0" w:right="0" w:firstLine="560" w:firstLineChars="200"/>
        <w:textAlignment w:val="auto"/>
      </w:pPr>
      <w:r>
        <w:rPr>
          <w:rFonts w:hint="eastAsia"/>
        </w:rPr>
        <w:t>1)监控设备与探测器之间的连接线断路、短路；（B类）</w:t>
      </w:r>
    </w:p>
    <w:p w14:paraId="18E684F2">
      <w:pPr>
        <w:pStyle w:val="32"/>
        <w:keepNext w:val="0"/>
        <w:keepLines w:val="0"/>
        <w:pageBreakBefore w:val="0"/>
        <w:kinsoku/>
        <w:wordWrap/>
        <w:overflowPunct/>
        <w:topLinePunct w:val="0"/>
        <w:bidi w:val="0"/>
        <w:ind w:left="0" w:leftChars="0" w:right="0" w:firstLine="560" w:firstLineChars="200"/>
        <w:textAlignment w:val="auto"/>
      </w:pPr>
      <w:r>
        <w:rPr>
          <w:rFonts w:hint="eastAsia"/>
        </w:rPr>
        <w:t>2)监控设备主电源欠压；（B类）</w:t>
      </w:r>
    </w:p>
    <w:p w14:paraId="1EF2C28F">
      <w:pPr>
        <w:pStyle w:val="32"/>
        <w:keepNext w:val="0"/>
        <w:keepLines w:val="0"/>
        <w:pageBreakBefore w:val="0"/>
        <w:kinsoku/>
        <w:wordWrap/>
        <w:overflowPunct/>
        <w:topLinePunct w:val="0"/>
        <w:bidi w:val="0"/>
        <w:ind w:left="0" w:leftChars="0" w:right="0" w:firstLine="560" w:firstLineChars="200"/>
        <w:textAlignment w:val="auto"/>
      </w:pPr>
      <w:r>
        <w:rPr>
          <w:rFonts w:hint="eastAsia"/>
        </w:rPr>
        <w:t>3)给备用电源充电的充电器与备用电源间连接线的断路、短路。（B类）</w:t>
      </w:r>
    </w:p>
    <w:p w14:paraId="0790447F">
      <w:pPr>
        <w:pStyle w:val="32"/>
        <w:keepNext w:val="0"/>
        <w:keepLines w:val="0"/>
        <w:pageBreakBefore w:val="0"/>
        <w:kinsoku/>
        <w:wordWrap/>
        <w:overflowPunct/>
        <w:topLinePunct w:val="0"/>
        <w:bidi w:val="0"/>
        <w:ind w:left="0" w:leftChars="0" w:right="0" w:firstLine="560" w:firstLineChars="200"/>
        <w:textAlignment w:val="auto"/>
      </w:pPr>
      <w:r>
        <w:rPr>
          <w:rFonts w:hint="eastAsia"/>
        </w:rPr>
        <w:t>c)监控设备应有主电源和备用电源转换装置。当主电源断电时，能自动切换到备用电源。当主电源恢复时，能自动转换到主电源；（A类）</w:t>
      </w:r>
    </w:p>
    <w:p w14:paraId="350566A4">
      <w:pPr>
        <w:pStyle w:val="32"/>
        <w:keepNext w:val="0"/>
        <w:keepLines w:val="0"/>
        <w:pageBreakBefore w:val="0"/>
        <w:kinsoku/>
        <w:wordWrap/>
        <w:overflowPunct/>
        <w:topLinePunct w:val="0"/>
        <w:bidi w:val="0"/>
        <w:ind w:left="0" w:leftChars="0" w:right="0" w:firstLine="560" w:firstLineChars="200"/>
        <w:textAlignment w:val="auto"/>
      </w:pPr>
      <w:r>
        <w:rPr>
          <w:rFonts w:hint="eastAsia"/>
        </w:rPr>
        <w:t>d)主、备电源的转换不应使监控设备发出报警信号。（B类）</w:t>
      </w:r>
    </w:p>
    <w:p w14:paraId="33A968A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89E95F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检测方法：秒表检查系统响应时间，直观检查。</w:t>
      </w:r>
    </w:p>
    <w:p w14:paraId="2175328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w:t>
      </w:r>
    </w:p>
    <w:p w14:paraId="5B7C381D">
      <w:pPr>
        <w:pStyle w:val="32"/>
        <w:keepNext w:val="0"/>
        <w:keepLines w:val="0"/>
        <w:pageBreakBefore w:val="0"/>
        <w:kinsoku/>
        <w:wordWrap/>
        <w:overflowPunct/>
        <w:topLinePunct w:val="0"/>
        <w:bidi w:val="0"/>
        <w:ind w:left="0" w:leftChars="0" w:right="0" w:firstLine="560" w:firstLineChars="200"/>
        <w:textAlignment w:val="auto"/>
      </w:pPr>
      <w:r>
        <w:rPr>
          <w:rFonts w:hint="eastAsia"/>
        </w:rPr>
        <w:t>9.18.3电气火灾探测器</w:t>
      </w:r>
    </w:p>
    <w:p w14:paraId="758B3BDD">
      <w:pPr>
        <w:pStyle w:val="32"/>
        <w:keepNext w:val="0"/>
        <w:keepLines w:val="0"/>
        <w:pageBreakBefore w:val="0"/>
        <w:kinsoku/>
        <w:wordWrap/>
        <w:overflowPunct/>
        <w:topLinePunct w:val="0"/>
        <w:bidi w:val="0"/>
        <w:ind w:left="0" w:leftChars="0" w:right="0" w:firstLine="560" w:firstLineChars="200"/>
        <w:textAlignment w:val="auto"/>
      </w:pPr>
      <w:r>
        <w:rPr>
          <w:rFonts w:hint="eastAsia"/>
        </w:rPr>
        <w:t>9.18.3.1安装要求</w:t>
      </w:r>
    </w:p>
    <w:p w14:paraId="7DB078D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09F49E4">
      <w:pPr>
        <w:pStyle w:val="32"/>
        <w:keepNext w:val="0"/>
        <w:keepLines w:val="0"/>
        <w:pageBreakBefore w:val="0"/>
        <w:kinsoku/>
        <w:wordWrap/>
        <w:overflowPunct/>
        <w:topLinePunct w:val="0"/>
        <w:bidi w:val="0"/>
        <w:ind w:left="0" w:leftChars="0" w:right="0" w:firstLine="560" w:firstLineChars="200"/>
        <w:textAlignment w:val="auto"/>
      </w:pPr>
      <w:r>
        <w:rPr>
          <w:rFonts w:hint="eastAsia"/>
        </w:rPr>
        <w:t>a)探测器周围应适当留出更换与标定的作业空间；（C类）</w:t>
      </w:r>
    </w:p>
    <w:p w14:paraId="4B95BB63">
      <w:pPr>
        <w:pStyle w:val="32"/>
        <w:keepNext w:val="0"/>
        <w:keepLines w:val="0"/>
        <w:pageBreakBefore w:val="0"/>
        <w:kinsoku/>
        <w:wordWrap/>
        <w:overflowPunct/>
        <w:topLinePunct w:val="0"/>
        <w:bidi w:val="0"/>
        <w:ind w:left="0" w:leftChars="0" w:right="0" w:firstLine="560" w:firstLineChars="200"/>
        <w:textAlignment w:val="auto"/>
      </w:pPr>
      <w:r>
        <w:rPr>
          <w:rFonts w:hint="eastAsia"/>
        </w:rPr>
        <w:t>b)测温式电气火灾监控探测器应采用产品配套的固定装置固定在保护对象上。（C类）</w:t>
      </w:r>
    </w:p>
    <w:p w14:paraId="221E121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50AAB8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35A41797">
      <w:pPr>
        <w:pStyle w:val="32"/>
        <w:keepNext w:val="0"/>
        <w:keepLines w:val="0"/>
        <w:pageBreakBefore w:val="0"/>
        <w:kinsoku/>
        <w:wordWrap/>
        <w:overflowPunct/>
        <w:topLinePunct w:val="0"/>
        <w:bidi w:val="0"/>
        <w:ind w:left="0" w:leftChars="0" w:right="0" w:firstLine="560" w:firstLineChars="200"/>
        <w:textAlignment w:val="auto"/>
      </w:pPr>
      <w:r>
        <w:rPr>
          <w:rFonts w:hint="eastAsia"/>
        </w:rPr>
        <w:t>9.18.3.2剩余电流式电气火灾监控探测器</w:t>
      </w:r>
    </w:p>
    <w:p w14:paraId="11B8500B">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D12A781">
      <w:pPr>
        <w:pStyle w:val="32"/>
        <w:keepNext w:val="0"/>
        <w:keepLines w:val="0"/>
        <w:pageBreakBefore w:val="0"/>
        <w:kinsoku/>
        <w:wordWrap/>
        <w:overflowPunct/>
        <w:topLinePunct w:val="0"/>
        <w:bidi w:val="0"/>
        <w:ind w:left="0" w:leftChars="0" w:right="0" w:firstLine="560" w:firstLineChars="200"/>
        <w:textAlignment w:val="auto"/>
      </w:pPr>
      <w:r>
        <w:rPr>
          <w:rFonts w:hint="eastAsia"/>
        </w:rPr>
        <w:t>a)当被保护电路剩余电流达到报警设定值时，探测器的报警确认灯应在30s内点亮；（A类）</w:t>
      </w:r>
    </w:p>
    <w:p w14:paraId="3344E515">
      <w:pPr>
        <w:pStyle w:val="32"/>
        <w:keepNext w:val="0"/>
        <w:keepLines w:val="0"/>
        <w:pageBreakBefore w:val="0"/>
        <w:kinsoku/>
        <w:wordWrap/>
        <w:overflowPunct/>
        <w:topLinePunct w:val="0"/>
        <w:bidi w:val="0"/>
        <w:ind w:left="0" w:leftChars="0" w:right="0" w:firstLine="560" w:firstLineChars="200"/>
        <w:textAlignment w:val="auto"/>
      </w:pPr>
      <w:r>
        <w:rPr>
          <w:rFonts w:hint="eastAsia"/>
        </w:rPr>
        <w:t>b)探测器报警时应能发出声、光报警信号，并予以保持，直至手动复位。（A类）</w:t>
      </w:r>
    </w:p>
    <w:p w14:paraId="4D557CA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028272B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检测方法：连接漏电电流测试仪和探测器调节工作电流，直观检查。</w:t>
      </w:r>
    </w:p>
    <w:p w14:paraId="07367E0D">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检测器具：秒表、剩余电流发生器。</w:t>
      </w:r>
    </w:p>
    <w:p w14:paraId="682C8A63">
      <w:pPr>
        <w:pStyle w:val="32"/>
        <w:keepNext w:val="0"/>
        <w:keepLines w:val="0"/>
        <w:pageBreakBefore w:val="0"/>
        <w:kinsoku/>
        <w:wordWrap/>
        <w:overflowPunct/>
        <w:topLinePunct w:val="0"/>
        <w:bidi w:val="0"/>
        <w:ind w:left="0" w:leftChars="0" w:right="0" w:firstLine="560" w:firstLineChars="200"/>
        <w:textAlignment w:val="auto"/>
      </w:pPr>
      <w:r>
        <w:rPr>
          <w:rFonts w:hint="eastAsia"/>
        </w:rPr>
        <w:t>9.18.3.3测温式电气火灾监控探测器</w:t>
      </w:r>
    </w:p>
    <w:p w14:paraId="6B37ACA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7C69C6DF">
      <w:pPr>
        <w:pStyle w:val="32"/>
        <w:keepNext w:val="0"/>
        <w:keepLines w:val="0"/>
        <w:pageBreakBefore w:val="0"/>
        <w:kinsoku/>
        <w:wordWrap/>
        <w:overflowPunct/>
        <w:topLinePunct w:val="0"/>
        <w:bidi w:val="0"/>
        <w:ind w:left="0" w:leftChars="0" w:right="0" w:firstLine="560" w:firstLineChars="200"/>
        <w:textAlignment w:val="auto"/>
      </w:pPr>
      <w:r>
        <w:rPr>
          <w:rFonts w:hint="eastAsia"/>
        </w:rPr>
        <w:t>a)探测器的报警值应设定在55℃～140℃的范围内；（B类）</w:t>
      </w:r>
    </w:p>
    <w:p w14:paraId="5CB3029B">
      <w:pPr>
        <w:pStyle w:val="32"/>
        <w:keepNext w:val="0"/>
        <w:keepLines w:val="0"/>
        <w:pageBreakBefore w:val="0"/>
        <w:kinsoku/>
        <w:wordWrap/>
        <w:overflowPunct/>
        <w:topLinePunct w:val="0"/>
        <w:bidi w:val="0"/>
        <w:ind w:left="0" w:leftChars="0" w:right="0" w:firstLine="560" w:firstLineChars="200"/>
        <w:textAlignment w:val="auto"/>
      </w:pPr>
      <w:r>
        <w:rPr>
          <w:rFonts w:hint="eastAsia"/>
        </w:rPr>
        <w:t>b)当被监视部位温度达到报警设定值时，探测器的报警确认灯应在40s内点亮；（A类）</w:t>
      </w:r>
    </w:p>
    <w:p w14:paraId="27DEDD48">
      <w:pPr>
        <w:pStyle w:val="32"/>
        <w:keepNext w:val="0"/>
        <w:keepLines w:val="0"/>
        <w:pageBreakBefore w:val="0"/>
        <w:kinsoku/>
        <w:wordWrap/>
        <w:overflowPunct/>
        <w:topLinePunct w:val="0"/>
        <w:bidi w:val="0"/>
        <w:ind w:left="0" w:leftChars="0" w:right="0" w:firstLine="560" w:firstLineChars="200"/>
        <w:textAlignment w:val="auto"/>
      </w:pPr>
      <w:r>
        <w:rPr>
          <w:rFonts w:hint="eastAsia"/>
        </w:rPr>
        <w:t>c)探测器报警时应能发出声、光报警信号，并予以保持，直至手动复位。（B类）</w:t>
      </w:r>
    </w:p>
    <w:p w14:paraId="49A2E89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检测数量：随机选取3个非连续检测段。</w:t>
      </w:r>
    </w:p>
    <w:p w14:paraId="40E20BB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检测方法：给探测器加热，查看其动作状态。</w:t>
      </w:r>
    </w:p>
    <w:p w14:paraId="22428F8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检测器具：秒表、发热试验装置。</w:t>
      </w:r>
    </w:p>
    <w:p w14:paraId="2E0885F2">
      <w:pPr>
        <w:pStyle w:val="32"/>
        <w:keepNext w:val="0"/>
        <w:keepLines w:val="0"/>
        <w:pageBreakBefore w:val="0"/>
        <w:kinsoku/>
        <w:wordWrap/>
        <w:overflowPunct/>
        <w:topLinePunct w:val="0"/>
        <w:bidi w:val="0"/>
        <w:ind w:left="0" w:leftChars="0" w:right="0" w:firstLine="560" w:firstLineChars="200"/>
        <w:textAlignment w:val="auto"/>
      </w:pPr>
      <w:r>
        <w:rPr>
          <w:rFonts w:hint="eastAsia"/>
        </w:rPr>
        <w:t>9.18.4电气火灾报警系统功能</w:t>
      </w:r>
    </w:p>
    <w:p w14:paraId="022D2C1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检测要求：准确报出报警地址。（A类）</w:t>
      </w:r>
    </w:p>
    <w:p w14:paraId="1A51139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22E8596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检测方法：结合探测器报警功能试验，检查功能。</w:t>
      </w:r>
    </w:p>
    <w:p w14:paraId="5BEA84AD">
      <w:pPr>
        <w:pStyle w:val="32"/>
        <w:keepNext w:val="0"/>
        <w:keepLines w:val="0"/>
        <w:pageBreakBefore w:val="0"/>
        <w:kinsoku/>
        <w:wordWrap/>
        <w:overflowPunct/>
        <w:topLinePunct w:val="0"/>
        <w:bidi w:val="0"/>
        <w:ind w:left="0" w:leftChars="0" w:right="0" w:firstLine="560" w:firstLineChars="200"/>
        <w:textAlignment w:val="auto"/>
      </w:pPr>
      <w:r>
        <w:rPr>
          <w:rFonts w:hint="eastAsia"/>
        </w:rPr>
        <w:t>9.19可燃气体探测报警系统</w:t>
      </w:r>
    </w:p>
    <w:p w14:paraId="50156E9A">
      <w:pPr>
        <w:pStyle w:val="32"/>
        <w:keepNext w:val="0"/>
        <w:keepLines w:val="0"/>
        <w:pageBreakBefore w:val="0"/>
        <w:kinsoku/>
        <w:wordWrap/>
        <w:overflowPunct/>
        <w:topLinePunct w:val="0"/>
        <w:bidi w:val="0"/>
        <w:ind w:left="0" w:leftChars="0" w:right="0" w:firstLine="560" w:firstLineChars="200"/>
        <w:textAlignment w:val="auto"/>
      </w:pPr>
      <w:r>
        <w:rPr>
          <w:rFonts w:hint="eastAsia"/>
        </w:rPr>
        <w:t>9.19.1一般规定</w:t>
      </w:r>
    </w:p>
    <w:p w14:paraId="65EC8FC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检测要求：可燃气体探测报警系统应独立组成，可燃气体探测器不应接入火灾报警控制器的探测器回路。当可燃气体的报警信号需接入火灾自动报警系统时，应由可燃气体报警控制器接入。（A类）</w:t>
      </w:r>
    </w:p>
    <w:p w14:paraId="3428D8DF">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04D3AB84">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w:t>
      </w:r>
    </w:p>
    <w:p w14:paraId="1F4CEEB5">
      <w:pPr>
        <w:pStyle w:val="32"/>
        <w:keepNext w:val="0"/>
        <w:keepLines w:val="0"/>
        <w:pageBreakBefore w:val="0"/>
        <w:kinsoku/>
        <w:wordWrap/>
        <w:overflowPunct/>
        <w:topLinePunct w:val="0"/>
        <w:bidi w:val="0"/>
        <w:ind w:left="0" w:leftChars="0" w:right="0" w:firstLine="560" w:firstLineChars="200"/>
        <w:textAlignment w:val="auto"/>
      </w:pPr>
      <w:r>
        <w:rPr>
          <w:rFonts w:hint="eastAsia"/>
        </w:rPr>
        <w:t>9.19.2可燃气体报警控制器</w:t>
      </w:r>
    </w:p>
    <w:p w14:paraId="435780B1">
      <w:pPr>
        <w:pStyle w:val="32"/>
        <w:keepNext w:val="0"/>
        <w:keepLines w:val="0"/>
        <w:pageBreakBefore w:val="0"/>
        <w:kinsoku/>
        <w:wordWrap/>
        <w:overflowPunct/>
        <w:topLinePunct w:val="0"/>
        <w:bidi w:val="0"/>
        <w:ind w:left="0" w:leftChars="0" w:right="0" w:firstLine="560" w:firstLineChars="200"/>
        <w:textAlignment w:val="auto"/>
      </w:pPr>
      <w:r>
        <w:rPr>
          <w:rFonts w:hint="eastAsia"/>
        </w:rPr>
        <w:t>9.19.2.1控制器设置部位</w:t>
      </w:r>
    </w:p>
    <w:p w14:paraId="7C8C9E0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检测要求：当与火灾自动报警系统联网时，可燃气体报警控制器可设置在保护区域附近。当无消防控制室或不与火灾自动报警系统联网时，可燃气体报警控制器应设置在有人值班的场所。（A类）</w:t>
      </w:r>
    </w:p>
    <w:p w14:paraId="1CEE599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5110DC60">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w:t>
      </w:r>
    </w:p>
    <w:p w14:paraId="15077A69">
      <w:pPr>
        <w:pStyle w:val="32"/>
        <w:keepNext w:val="0"/>
        <w:keepLines w:val="0"/>
        <w:pageBreakBefore w:val="0"/>
        <w:kinsoku/>
        <w:wordWrap/>
        <w:overflowPunct/>
        <w:topLinePunct w:val="0"/>
        <w:bidi w:val="0"/>
        <w:ind w:left="0" w:leftChars="0" w:right="0" w:firstLine="560" w:firstLineChars="200"/>
        <w:textAlignment w:val="auto"/>
      </w:pPr>
      <w:r>
        <w:rPr>
          <w:rFonts w:hint="eastAsia"/>
        </w:rPr>
        <w:t>9.19.2.2控制器基本功能</w:t>
      </w:r>
    </w:p>
    <w:p w14:paraId="5993A9E3">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1F08BF58">
      <w:pPr>
        <w:pStyle w:val="32"/>
        <w:keepNext w:val="0"/>
        <w:keepLines w:val="0"/>
        <w:pageBreakBefore w:val="0"/>
        <w:kinsoku/>
        <w:wordWrap/>
        <w:overflowPunct/>
        <w:topLinePunct w:val="0"/>
        <w:bidi w:val="0"/>
        <w:ind w:left="0" w:leftChars="0" w:right="0" w:firstLine="560" w:firstLineChars="200"/>
        <w:textAlignment w:val="auto"/>
      </w:pPr>
      <w:r>
        <w:rPr>
          <w:rFonts w:hint="eastAsia"/>
        </w:rPr>
        <w:t>a)控制器应有自检、消音、复位、屏蔽功能；（A类）</w:t>
      </w:r>
    </w:p>
    <w:p w14:paraId="444A3924">
      <w:pPr>
        <w:pStyle w:val="32"/>
        <w:keepNext w:val="0"/>
        <w:keepLines w:val="0"/>
        <w:pageBreakBefore w:val="0"/>
        <w:kinsoku/>
        <w:wordWrap/>
        <w:overflowPunct/>
        <w:topLinePunct w:val="0"/>
        <w:bidi w:val="0"/>
        <w:ind w:left="0" w:leftChars="0" w:right="0" w:firstLine="560" w:firstLineChars="200"/>
        <w:textAlignment w:val="auto"/>
      </w:pPr>
      <w:r>
        <w:rPr>
          <w:rFonts w:hint="eastAsia"/>
        </w:rPr>
        <w:t>b)控制器与探测器之间或者控制器与备用电源之间的连线断路和短路时，控制器应在100s内发出故障信号；（A类）</w:t>
      </w:r>
    </w:p>
    <w:p w14:paraId="0EA77FDC">
      <w:pPr>
        <w:pStyle w:val="32"/>
        <w:keepNext w:val="0"/>
        <w:keepLines w:val="0"/>
        <w:pageBreakBefore w:val="0"/>
        <w:kinsoku/>
        <w:wordWrap/>
        <w:overflowPunct/>
        <w:topLinePunct w:val="0"/>
        <w:bidi w:val="0"/>
        <w:ind w:left="0" w:leftChars="0" w:right="0" w:firstLine="560" w:firstLineChars="200"/>
        <w:textAlignment w:val="auto"/>
      </w:pPr>
      <w:r>
        <w:rPr>
          <w:rFonts w:hint="eastAsia"/>
        </w:rPr>
        <w:t>c)在故障状态下，使任一非故障探测器发出报警信号，控制器应在1min内发出报警信号，并应记录报警时间。再使其他探测器发出报警信号，检查控制器的再次报警功能；（A类）</w:t>
      </w:r>
    </w:p>
    <w:p w14:paraId="75A1CE32">
      <w:pPr>
        <w:pStyle w:val="32"/>
        <w:keepNext w:val="0"/>
        <w:keepLines w:val="0"/>
        <w:pageBreakBefore w:val="0"/>
        <w:kinsoku/>
        <w:wordWrap/>
        <w:overflowPunct/>
        <w:topLinePunct w:val="0"/>
        <w:bidi w:val="0"/>
        <w:ind w:left="0" w:leftChars="0" w:right="0" w:firstLine="560" w:firstLineChars="200"/>
        <w:textAlignment w:val="auto"/>
      </w:pPr>
      <w:r>
        <w:rPr>
          <w:rFonts w:hint="eastAsia"/>
        </w:rPr>
        <w:t>d)主、备电源的自动转换功能。（A类）</w:t>
      </w:r>
    </w:p>
    <w:p w14:paraId="35FDB40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0F6EFD5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检测方法：</w:t>
      </w:r>
    </w:p>
    <w:p w14:paraId="60485343">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a）触发自检键，观察控制器面板上所有指示灯、显示器和音响器件是否正常。当报警控制器处于报警状态时，触发消音键，应能消除声报警信号。触发复位键，系统应能恢复正常状态。启动屏蔽或取消屏蔽，观察地址和设备状态；</w:t>
      </w:r>
    </w:p>
    <w:p w14:paraId="4EB11A04">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b）模拟部件故障，用秒表记录故障报警时间；</w:t>
      </w:r>
    </w:p>
    <w:p w14:paraId="087142B1">
      <w:pPr>
        <w:pStyle w:val="32"/>
        <w:keepNext w:val="0"/>
        <w:keepLines w:val="0"/>
        <w:pageBreakBefore w:val="0"/>
        <w:kinsoku/>
        <w:wordWrap/>
        <w:overflowPunct/>
        <w:topLinePunct w:val="0"/>
        <w:bidi w:val="0"/>
        <w:ind w:left="0" w:leftChars="0" w:right="0" w:firstLine="560" w:firstLineChars="200"/>
        <w:textAlignment w:val="auto"/>
        <w:rPr>
          <w:rFonts w:hint="eastAsia"/>
        </w:rPr>
      </w:pPr>
      <w:r>
        <w:rPr>
          <w:rFonts w:hint="eastAsia"/>
        </w:rPr>
        <w:t>c）手动消音后，再次模拟一个报警信号，查看控制器显示情况；</w:t>
      </w:r>
    </w:p>
    <w:p w14:paraId="64B46A42">
      <w:pPr>
        <w:pStyle w:val="32"/>
        <w:keepNext w:val="0"/>
        <w:keepLines w:val="0"/>
        <w:pageBreakBefore w:val="0"/>
        <w:kinsoku/>
        <w:wordWrap/>
        <w:overflowPunct/>
        <w:topLinePunct w:val="0"/>
        <w:bidi w:val="0"/>
        <w:ind w:left="0" w:leftChars="0" w:right="0" w:firstLine="560" w:firstLineChars="200"/>
        <w:textAlignment w:val="auto"/>
      </w:pPr>
      <w:r>
        <w:rPr>
          <w:rFonts w:hint="eastAsia"/>
        </w:rPr>
        <w:t>d）当主电源断电时，能自动切换到备用电源。当主电源恢复时，能自动转换到主电源，电源的转换不应使控制器产生误动作。</w:t>
      </w:r>
    </w:p>
    <w:p w14:paraId="5FC2EF4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w:t>
      </w:r>
    </w:p>
    <w:p w14:paraId="7708589D">
      <w:pPr>
        <w:pStyle w:val="32"/>
        <w:keepNext w:val="0"/>
        <w:keepLines w:val="0"/>
        <w:pageBreakBefore w:val="0"/>
        <w:kinsoku/>
        <w:wordWrap/>
        <w:overflowPunct/>
        <w:topLinePunct w:val="0"/>
        <w:bidi w:val="0"/>
        <w:ind w:left="0" w:leftChars="0" w:right="0" w:firstLine="560" w:firstLineChars="200"/>
        <w:textAlignment w:val="auto"/>
      </w:pPr>
      <w:r>
        <w:rPr>
          <w:rFonts w:hint="eastAsia"/>
        </w:rPr>
        <w:t>9.19.3可燃气体探测器</w:t>
      </w:r>
    </w:p>
    <w:p w14:paraId="3CEFB156">
      <w:pPr>
        <w:pStyle w:val="32"/>
        <w:keepNext w:val="0"/>
        <w:keepLines w:val="0"/>
        <w:pageBreakBefore w:val="0"/>
        <w:kinsoku/>
        <w:wordWrap/>
        <w:overflowPunct/>
        <w:topLinePunct w:val="0"/>
        <w:bidi w:val="0"/>
        <w:ind w:left="0" w:leftChars="0" w:right="0" w:firstLine="560" w:firstLineChars="200"/>
        <w:textAlignment w:val="auto"/>
      </w:pPr>
      <w:r>
        <w:rPr>
          <w:rFonts w:hint="eastAsia"/>
        </w:rPr>
        <w:t>9.19.3.1基本要求</w:t>
      </w:r>
    </w:p>
    <w:p w14:paraId="3B986DC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检测要求：可燃气体探测器的类型、规格应与设计文件相符。（A类）</w:t>
      </w:r>
    </w:p>
    <w:p w14:paraId="458983F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检测数量：按实际安装数量的100%检测。检测方法：对照设计文件。</w:t>
      </w:r>
    </w:p>
    <w:p w14:paraId="13FF70CD">
      <w:pPr>
        <w:pStyle w:val="32"/>
        <w:keepNext w:val="0"/>
        <w:keepLines w:val="0"/>
        <w:pageBreakBefore w:val="0"/>
        <w:kinsoku/>
        <w:wordWrap/>
        <w:overflowPunct/>
        <w:topLinePunct w:val="0"/>
        <w:bidi w:val="0"/>
        <w:ind w:left="0" w:leftChars="0" w:right="0" w:firstLine="560" w:firstLineChars="200"/>
        <w:textAlignment w:val="auto"/>
      </w:pPr>
      <w:r>
        <w:rPr>
          <w:rFonts w:hint="eastAsia"/>
        </w:rPr>
        <w:t>9.19.3.2可燃气体探测器安装</w:t>
      </w:r>
    </w:p>
    <w:p w14:paraId="1E76063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2C8A285D">
      <w:pPr>
        <w:pStyle w:val="32"/>
        <w:keepNext w:val="0"/>
        <w:keepLines w:val="0"/>
        <w:pageBreakBefore w:val="0"/>
        <w:kinsoku/>
        <w:wordWrap/>
        <w:overflowPunct/>
        <w:topLinePunct w:val="0"/>
        <w:bidi w:val="0"/>
        <w:ind w:left="0" w:leftChars="0" w:right="0" w:firstLine="560" w:firstLineChars="200"/>
        <w:textAlignment w:val="auto"/>
      </w:pPr>
      <w:r>
        <w:rPr>
          <w:rFonts w:hint="eastAsia"/>
        </w:rPr>
        <w:t>a)探测器的底座应安装牢固，与导线连接必须可靠压接或焊接；（C类）</w:t>
      </w:r>
    </w:p>
    <w:p w14:paraId="3E91E731">
      <w:pPr>
        <w:pStyle w:val="32"/>
        <w:keepNext w:val="0"/>
        <w:keepLines w:val="0"/>
        <w:pageBreakBefore w:val="0"/>
        <w:kinsoku/>
        <w:wordWrap/>
        <w:overflowPunct/>
        <w:topLinePunct w:val="0"/>
        <w:bidi w:val="0"/>
        <w:ind w:left="0" w:leftChars="0" w:right="0" w:firstLine="560" w:firstLineChars="200"/>
        <w:textAlignment w:val="auto"/>
      </w:pPr>
      <w:r>
        <w:rPr>
          <w:rFonts w:hint="eastAsia"/>
        </w:rPr>
        <w:t>b)线型可燃气体探测器在安装时，应使发射器和接收器的窗口避免日光直射，且在发射器与接收器之间不应有遮挡物，发射器和接收器的距离不宜大于60m，两组探测器之间的轴线距离不应大于1m；（C类）</w:t>
      </w:r>
    </w:p>
    <w:p w14:paraId="776C3A40">
      <w:pPr>
        <w:pStyle w:val="32"/>
        <w:keepNext w:val="0"/>
        <w:keepLines w:val="0"/>
        <w:pageBreakBefore w:val="0"/>
        <w:kinsoku/>
        <w:wordWrap/>
        <w:overflowPunct/>
        <w:topLinePunct w:val="0"/>
        <w:bidi w:val="0"/>
        <w:ind w:left="0" w:leftChars="0" w:right="0" w:firstLine="560" w:firstLineChars="200"/>
        <w:textAlignment w:val="auto"/>
      </w:pPr>
      <w:r>
        <w:rPr>
          <w:rFonts w:hint="eastAsia"/>
        </w:rPr>
        <w:t>c)在探测器周围应适当留出更换和标定的空间。（C类）</w:t>
      </w:r>
    </w:p>
    <w:p w14:paraId="678B48D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66CBFA0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检测方法：尺量、直观检查。</w:t>
      </w:r>
    </w:p>
    <w:p w14:paraId="16163A35">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检测器具：激光测距仪、钢卷尺。</w:t>
      </w:r>
    </w:p>
    <w:p w14:paraId="72FB5A7D">
      <w:pPr>
        <w:pStyle w:val="32"/>
        <w:keepNext w:val="0"/>
        <w:keepLines w:val="0"/>
        <w:pageBreakBefore w:val="0"/>
        <w:kinsoku/>
        <w:wordWrap/>
        <w:overflowPunct/>
        <w:topLinePunct w:val="0"/>
        <w:bidi w:val="0"/>
        <w:ind w:left="0" w:leftChars="0" w:right="0" w:firstLine="560" w:firstLineChars="200"/>
        <w:textAlignment w:val="auto"/>
      </w:pPr>
      <w:r>
        <w:rPr>
          <w:rFonts w:hint="eastAsia"/>
        </w:rPr>
        <w:t>9.19.3.3可燃气体探测器报警功能</w:t>
      </w:r>
    </w:p>
    <w:p w14:paraId="748D708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检测要求：探测器在被监测区域内的可燃气体浓度达到报警设定值时，应能发出报警信号。（A类）</w:t>
      </w:r>
    </w:p>
    <w:p w14:paraId="204D632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636130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检测方法：向探测器施加样本气体，查看探测器的报警功能。</w:t>
      </w:r>
    </w:p>
    <w:p w14:paraId="79CAFA22">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检测器具：便携式可燃气体检测仪。</w:t>
      </w:r>
    </w:p>
    <w:p w14:paraId="64C7004A">
      <w:pPr>
        <w:pStyle w:val="32"/>
        <w:keepNext w:val="0"/>
        <w:keepLines w:val="0"/>
        <w:pageBreakBefore w:val="0"/>
        <w:kinsoku/>
        <w:wordWrap/>
        <w:overflowPunct/>
        <w:topLinePunct w:val="0"/>
        <w:bidi w:val="0"/>
        <w:ind w:left="0" w:leftChars="0" w:right="0" w:firstLine="560" w:firstLineChars="200"/>
        <w:textAlignment w:val="auto"/>
      </w:pPr>
      <w:r>
        <w:rPr>
          <w:rFonts w:hint="eastAsia"/>
        </w:rPr>
        <w:t>9.19.3.4可燃气体探测器报警地址编码</w:t>
      </w:r>
    </w:p>
    <w:p w14:paraId="582CC211">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检测要求：探测器或探测器接口编码应与竣工图标识、控制器显示相对应。（B类）</w:t>
      </w:r>
    </w:p>
    <w:p w14:paraId="382DA50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2743BAA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检测方法：结合探测器火灾报警功能试验，检验报警地址编码是否正确。</w:t>
      </w:r>
    </w:p>
    <w:p w14:paraId="712E9F5E">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检测器具：便携式可燃气体检测仪。</w:t>
      </w:r>
    </w:p>
    <w:p w14:paraId="77CA7FCD">
      <w:pPr>
        <w:pStyle w:val="32"/>
        <w:keepNext w:val="0"/>
        <w:keepLines w:val="0"/>
        <w:pageBreakBefore w:val="0"/>
        <w:kinsoku/>
        <w:wordWrap/>
        <w:overflowPunct/>
        <w:topLinePunct w:val="0"/>
        <w:bidi w:val="0"/>
        <w:ind w:left="0" w:leftChars="0" w:right="0" w:firstLine="560" w:firstLineChars="200"/>
        <w:textAlignment w:val="auto"/>
      </w:pPr>
      <w:r>
        <w:rPr>
          <w:rFonts w:hint="eastAsia"/>
        </w:rPr>
        <w:t>9.20消防电源监控系统</w:t>
      </w:r>
    </w:p>
    <w:p w14:paraId="7A4A8000">
      <w:pPr>
        <w:pStyle w:val="32"/>
        <w:keepNext w:val="0"/>
        <w:keepLines w:val="0"/>
        <w:pageBreakBefore w:val="0"/>
        <w:kinsoku/>
        <w:wordWrap/>
        <w:overflowPunct/>
        <w:topLinePunct w:val="0"/>
        <w:bidi w:val="0"/>
        <w:ind w:left="0" w:leftChars="0" w:right="0" w:firstLine="560" w:firstLineChars="200"/>
        <w:textAlignment w:val="auto"/>
      </w:pPr>
      <w:r>
        <w:rPr>
          <w:rFonts w:hint="eastAsia"/>
        </w:rPr>
        <w:t>9.20.1一般规定</w:t>
      </w:r>
    </w:p>
    <w:p w14:paraId="072D51E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451067C2">
      <w:pPr>
        <w:pStyle w:val="32"/>
        <w:keepNext w:val="0"/>
        <w:keepLines w:val="0"/>
        <w:pageBreakBefore w:val="0"/>
        <w:kinsoku/>
        <w:wordWrap/>
        <w:overflowPunct/>
        <w:topLinePunct w:val="0"/>
        <w:bidi w:val="0"/>
        <w:ind w:left="0" w:leftChars="0" w:right="0" w:firstLine="560" w:firstLineChars="200"/>
        <w:textAlignment w:val="auto"/>
      </w:pPr>
      <w:r>
        <w:rPr>
          <w:rFonts w:hint="eastAsia"/>
        </w:rPr>
        <w:t>a)监控器应设置在消防控制室内，未设置消防控制室时，应设置在有人值班的场所；（B类）</w:t>
      </w:r>
    </w:p>
    <w:p w14:paraId="073B5BB8">
      <w:pPr>
        <w:pStyle w:val="32"/>
        <w:keepNext w:val="0"/>
        <w:keepLines w:val="0"/>
        <w:pageBreakBefore w:val="0"/>
        <w:kinsoku/>
        <w:wordWrap/>
        <w:overflowPunct/>
        <w:topLinePunct w:val="0"/>
        <w:bidi w:val="0"/>
        <w:ind w:left="0" w:leftChars="0" w:right="0" w:firstLine="560" w:firstLineChars="200"/>
        <w:textAlignment w:val="auto"/>
      </w:pPr>
      <w:r>
        <w:rPr>
          <w:rFonts w:hint="eastAsia"/>
        </w:rPr>
        <w:t>b)传感器设置数量和位置应与设计文件相符。（C类）</w:t>
      </w:r>
    </w:p>
    <w:p w14:paraId="7D73B1F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39082E5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检测方法：对照设计文件，直观检查。</w:t>
      </w:r>
    </w:p>
    <w:p w14:paraId="04006E2D">
      <w:pPr>
        <w:pStyle w:val="32"/>
        <w:keepNext w:val="0"/>
        <w:keepLines w:val="0"/>
        <w:pageBreakBefore w:val="0"/>
        <w:kinsoku/>
        <w:wordWrap/>
        <w:overflowPunct/>
        <w:topLinePunct w:val="0"/>
        <w:bidi w:val="0"/>
        <w:ind w:left="0" w:leftChars="0" w:right="0" w:firstLine="560" w:firstLineChars="200"/>
        <w:textAlignment w:val="auto"/>
      </w:pPr>
      <w:r>
        <w:rPr>
          <w:rFonts w:hint="eastAsia"/>
        </w:rPr>
        <w:t>9.20.2安装要求</w:t>
      </w:r>
    </w:p>
    <w:p w14:paraId="265C5016">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53428C3B">
      <w:pPr>
        <w:pStyle w:val="32"/>
        <w:keepNext w:val="0"/>
        <w:keepLines w:val="0"/>
        <w:pageBreakBefore w:val="0"/>
        <w:kinsoku/>
        <w:wordWrap/>
        <w:overflowPunct/>
        <w:topLinePunct w:val="0"/>
        <w:bidi w:val="0"/>
        <w:ind w:left="0" w:leftChars="0" w:right="0" w:firstLine="560" w:firstLineChars="200"/>
        <w:textAlignment w:val="auto"/>
      </w:pPr>
      <w:r>
        <w:rPr>
          <w:rFonts w:hint="eastAsia"/>
        </w:rPr>
        <w:t>a)传感器与裸带电导体应保证安全距离，金属外壳的传感器应有保护接地；（B类）</w:t>
      </w:r>
    </w:p>
    <w:p w14:paraId="7E23813A">
      <w:pPr>
        <w:pStyle w:val="32"/>
        <w:keepNext w:val="0"/>
        <w:keepLines w:val="0"/>
        <w:pageBreakBefore w:val="0"/>
        <w:kinsoku/>
        <w:wordWrap/>
        <w:overflowPunct/>
        <w:topLinePunct w:val="0"/>
        <w:bidi w:val="0"/>
        <w:ind w:left="0" w:leftChars="0" w:right="0" w:firstLine="560" w:firstLineChars="200"/>
        <w:textAlignment w:val="auto"/>
      </w:pPr>
      <w:r>
        <w:rPr>
          <w:rFonts w:hint="eastAsia"/>
        </w:rPr>
        <w:t>b)传感器应独立支撑或固定，应安装牢固，并应采取防潮、防腐蚀等措施；（C类）</w:t>
      </w:r>
    </w:p>
    <w:p w14:paraId="1C347941">
      <w:pPr>
        <w:pStyle w:val="32"/>
        <w:keepNext w:val="0"/>
        <w:keepLines w:val="0"/>
        <w:pageBreakBefore w:val="0"/>
        <w:kinsoku/>
        <w:wordWrap/>
        <w:overflowPunct/>
        <w:topLinePunct w:val="0"/>
        <w:bidi w:val="0"/>
        <w:ind w:left="0" w:leftChars="0" w:right="0" w:firstLine="560" w:firstLineChars="200"/>
        <w:textAlignment w:val="auto"/>
      </w:pPr>
      <w:r>
        <w:rPr>
          <w:rFonts w:hint="eastAsia"/>
        </w:rPr>
        <w:t>c)传感器输出回路的连接线应留有不小于150mm的余量，其端部应设置明显的永久性标识；（C类）</w:t>
      </w:r>
    </w:p>
    <w:p w14:paraId="126B931D">
      <w:pPr>
        <w:pStyle w:val="32"/>
        <w:keepNext w:val="0"/>
        <w:keepLines w:val="0"/>
        <w:pageBreakBefore w:val="0"/>
        <w:kinsoku/>
        <w:wordWrap/>
        <w:overflowPunct/>
        <w:topLinePunct w:val="0"/>
        <w:bidi w:val="0"/>
        <w:ind w:left="0" w:leftChars="0" w:right="0" w:firstLine="560" w:firstLineChars="200"/>
        <w:textAlignment w:val="auto"/>
      </w:pPr>
      <w:r>
        <w:rPr>
          <w:rFonts w:hint="eastAsia"/>
        </w:rPr>
        <w:t>d)传感器的安装不应破坏被监控线路的完整性，不应增加线路接点。（C类）</w:t>
      </w:r>
    </w:p>
    <w:p w14:paraId="74D9140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15C216E9">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检测方法：直观检查。</w:t>
      </w:r>
    </w:p>
    <w:p w14:paraId="3FC21BE6">
      <w:pPr>
        <w:pStyle w:val="32"/>
        <w:keepNext w:val="0"/>
        <w:keepLines w:val="0"/>
        <w:pageBreakBefore w:val="0"/>
        <w:kinsoku/>
        <w:wordWrap/>
        <w:overflowPunct/>
        <w:topLinePunct w:val="0"/>
        <w:bidi w:val="0"/>
        <w:ind w:left="0" w:leftChars="0" w:right="0" w:firstLine="560" w:firstLineChars="200"/>
        <w:textAlignment w:val="auto"/>
      </w:pPr>
      <w:r>
        <w:rPr>
          <w:rFonts w:hint="eastAsia"/>
        </w:rPr>
        <w:t>9.20.3系统功能</w:t>
      </w:r>
    </w:p>
    <w:p w14:paraId="3BC16D9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检测要求：</w:t>
      </w:r>
    </w:p>
    <w:p w14:paraId="33889AF9">
      <w:pPr>
        <w:pStyle w:val="32"/>
        <w:keepNext w:val="0"/>
        <w:keepLines w:val="0"/>
        <w:pageBreakBefore w:val="0"/>
        <w:kinsoku/>
        <w:wordWrap/>
        <w:overflowPunct/>
        <w:topLinePunct w:val="0"/>
        <w:bidi w:val="0"/>
        <w:ind w:left="0" w:leftChars="0" w:right="0" w:firstLine="560" w:firstLineChars="200"/>
        <w:textAlignment w:val="auto"/>
      </w:pPr>
      <w:r>
        <w:rPr>
          <w:rFonts w:hint="eastAsia"/>
        </w:rPr>
        <w:t>a)监控器的电源部分应具有主电源和备用电源转换功能，并应有主、备电源工作状态指示；（C类）</w:t>
      </w:r>
    </w:p>
    <w:p w14:paraId="3D372637">
      <w:pPr>
        <w:pStyle w:val="32"/>
        <w:keepNext w:val="0"/>
        <w:keepLines w:val="0"/>
        <w:pageBreakBefore w:val="0"/>
        <w:kinsoku/>
        <w:wordWrap/>
        <w:overflowPunct/>
        <w:topLinePunct w:val="0"/>
        <w:bidi w:val="0"/>
        <w:ind w:left="0" w:leftChars="0" w:right="0" w:firstLine="560" w:firstLineChars="200"/>
        <w:textAlignment w:val="auto"/>
      </w:pPr>
      <w:r>
        <w:rPr>
          <w:rFonts w:hint="eastAsia"/>
        </w:rPr>
        <w:t>b)监控器应能接收并显示其监控的所有消防设备的主电源和备用电源的实时工作状态信息；（B类）</w:t>
      </w:r>
    </w:p>
    <w:p w14:paraId="3318966A">
      <w:pPr>
        <w:pStyle w:val="32"/>
        <w:keepNext w:val="0"/>
        <w:keepLines w:val="0"/>
        <w:pageBreakBefore w:val="0"/>
        <w:kinsoku/>
        <w:wordWrap/>
        <w:overflowPunct/>
        <w:topLinePunct w:val="0"/>
        <w:bidi w:val="0"/>
        <w:ind w:left="0" w:leftChars="0" w:right="0" w:firstLine="560" w:firstLineChars="200"/>
        <w:textAlignment w:val="auto"/>
      </w:pPr>
      <w:r>
        <w:rPr>
          <w:rFonts w:hint="eastAsia"/>
        </w:rPr>
        <w:t>c)监控器在下述状况下，应能在100s内发出故障声、光信号，显示并记录故障的部位、类型和时间：</w:t>
      </w:r>
    </w:p>
    <w:p w14:paraId="4944CB3F">
      <w:pPr>
        <w:pStyle w:val="32"/>
        <w:keepNext w:val="0"/>
        <w:keepLines w:val="0"/>
        <w:pageBreakBefore w:val="0"/>
        <w:kinsoku/>
        <w:wordWrap/>
        <w:overflowPunct/>
        <w:topLinePunct w:val="0"/>
        <w:bidi w:val="0"/>
        <w:ind w:left="0" w:leftChars="0" w:right="0" w:firstLine="560" w:firstLineChars="200"/>
        <w:textAlignment w:val="auto"/>
      </w:pPr>
      <w:r>
        <w:rPr>
          <w:rFonts w:hint="eastAsia"/>
        </w:rPr>
        <w:t>1)被监控的消防设备供电中断；（A类）</w:t>
      </w:r>
    </w:p>
    <w:p w14:paraId="48AAB5EA">
      <w:pPr>
        <w:pStyle w:val="32"/>
        <w:keepNext w:val="0"/>
        <w:keepLines w:val="0"/>
        <w:pageBreakBefore w:val="0"/>
        <w:kinsoku/>
        <w:wordWrap/>
        <w:overflowPunct/>
        <w:topLinePunct w:val="0"/>
        <w:bidi w:val="0"/>
        <w:ind w:left="0" w:leftChars="0" w:right="0" w:firstLine="560" w:firstLineChars="200"/>
        <w:textAlignment w:val="auto"/>
      </w:pPr>
      <w:r>
        <w:rPr>
          <w:rFonts w:hint="eastAsia"/>
        </w:rPr>
        <w:t>2)监控器与连接的外部部件间连接的断路、短路和影响系统功能的接地。（A类）</w:t>
      </w:r>
    </w:p>
    <w:p w14:paraId="2FBF65BC">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检测数量：按实际安装数量的100%检测。</w:t>
      </w:r>
    </w:p>
    <w:p w14:paraId="7BFDCF3A">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检测方法：结合设备部件报警功能试验，查看功能。</w:t>
      </w:r>
    </w:p>
    <w:p w14:paraId="27C79BE8">
      <w:pPr>
        <w:pStyle w:val="32"/>
        <w:keepNext w:val="0"/>
        <w:keepLines w:val="0"/>
        <w:pageBreakBefore w:val="0"/>
        <w:kinsoku/>
        <w:wordWrap/>
        <w:overflowPunct/>
        <w:topLinePunct w:val="0"/>
        <w:bidi w:val="0"/>
        <w:ind w:left="0" w:leftChars="0" w:right="0" w:firstLine="560" w:firstLineChars="200"/>
        <w:textAlignment w:val="auto"/>
      </w:pPr>
      <w:r>
        <w:rPr>
          <w:rFonts w:hint="eastAsia"/>
        </w:rPr>
        <w:t>检测器具：秒表。</w:t>
      </w:r>
    </w:p>
    <w:p w14:paraId="1A86FC55">
      <w:pPr>
        <w:pStyle w:val="32"/>
        <w:keepNext w:val="0"/>
        <w:keepLines w:val="0"/>
        <w:pageBreakBefore w:val="0"/>
        <w:kinsoku/>
        <w:wordWrap/>
        <w:overflowPunct/>
        <w:topLinePunct w:val="0"/>
        <w:bidi w:val="0"/>
        <w:ind w:left="0" w:leftChars="0" w:right="0" w:firstLine="560" w:firstLineChars="200"/>
        <w:textAlignment w:val="auto"/>
        <w:sectPr>
          <w:pgSz w:w="11910" w:h="16840"/>
          <w:pgMar w:top="1440" w:right="1803" w:bottom="1440" w:left="1803" w:header="720" w:footer="720" w:gutter="0"/>
          <w:cols w:space="720" w:num="1"/>
        </w:sectPr>
      </w:pPr>
    </w:p>
    <w:p w14:paraId="6F47245D">
      <w:pPr>
        <w:pStyle w:val="32"/>
        <w:keepNext w:val="0"/>
        <w:keepLines w:val="0"/>
        <w:pageBreakBefore w:val="0"/>
        <w:widowControl/>
        <w:numPr>
          <w:ilvl w:val="0"/>
          <w:numId w:val="12"/>
        </w:numPr>
        <w:kinsoku/>
        <w:wordWrap/>
        <w:overflowPunct/>
        <w:topLinePunct w:val="0"/>
        <w:autoSpaceDE w:val="0"/>
        <w:autoSpaceDN w:val="0"/>
        <w:bidi w:val="0"/>
        <w:adjustRightInd/>
        <w:snapToGrid/>
        <w:spacing w:line="360" w:lineRule="auto"/>
        <w:ind w:left="0" w:leftChars="0" w:right="0" w:firstLine="0" w:firstLineChars="0"/>
        <w:textAlignment w:val="auto"/>
      </w:pPr>
      <w:r>
        <w:t>建筑电气防火技术检测评定规程</w:t>
      </w:r>
    </w:p>
    <w:p w14:paraId="636D52EB">
      <w:pPr>
        <w:pStyle w:val="3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textAlignment w:val="auto"/>
      </w:pPr>
    </w:p>
    <w:tbl>
      <w:tblPr>
        <w:tblStyle w:val="17"/>
        <w:tblpPr w:leftFromText="180" w:rightFromText="180" w:vertAnchor="text" w:horzAnchor="page" w:tblpX="1498" w:tblpY="648"/>
        <w:tblOverlap w:val="never"/>
        <w:tblW w:w="8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795"/>
        <w:gridCol w:w="2329"/>
        <w:gridCol w:w="1456"/>
        <w:gridCol w:w="1456"/>
        <w:gridCol w:w="887"/>
      </w:tblGrid>
      <w:tr w14:paraId="0E25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281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01B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检测项目</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5F2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检测标准</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4EF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测试比例（%）</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0BF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实际测试比例（%）</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E26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2B43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53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79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5AF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10KV及以下建筑物内变配电设备</w:t>
            </w:r>
          </w:p>
        </w:tc>
      </w:tr>
      <w:tr w14:paraId="57A2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A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4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2.2.7变压器低压部位连接点温升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E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变压器低压部位连接点（含端子）引线接头、母线连接处、电缆终端头的温升不应超过表1、表2 的规定。</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7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4F77">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4B2">
            <w:pPr>
              <w:jc w:val="center"/>
              <w:rPr>
                <w:rFonts w:hint="eastAsia" w:ascii="宋体" w:hAnsi="宋体" w:eastAsia="宋体" w:cs="宋体"/>
                <w:i w:val="0"/>
                <w:iCs w:val="0"/>
                <w:color w:val="000000"/>
                <w:sz w:val="24"/>
                <w:szCs w:val="24"/>
                <w:u w:val="none"/>
              </w:rPr>
            </w:pPr>
          </w:p>
        </w:tc>
      </w:tr>
      <w:tr w14:paraId="0633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3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3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 变压器接地线路的接地电阻值</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A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变压器接地线路的接地电阻值应符合设计文件。</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1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2001">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B354">
            <w:pPr>
              <w:jc w:val="center"/>
              <w:rPr>
                <w:rFonts w:hint="default" w:ascii="Times New Roman" w:hAnsi="Times New Roman" w:eastAsia="宋体" w:cs="Times New Roman"/>
                <w:i w:val="0"/>
                <w:iCs w:val="0"/>
                <w:color w:val="000000"/>
                <w:sz w:val="24"/>
                <w:szCs w:val="24"/>
                <w:u w:val="none"/>
              </w:rPr>
            </w:pPr>
          </w:p>
        </w:tc>
      </w:tr>
      <w:tr w14:paraId="5E1E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F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D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2.3.7运行中的电容器打火放电检测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E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运行中的电容器应无打火放电现象。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D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2E9D">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5AA1">
            <w:pPr>
              <w:jc w:val="center"/>
              <w:rPr>
                <w:rFonts w:hint="default" w:ascii="Times New Roman" w:hAnsi="Times New Roman" w:eastAsia="宋体" w:cs="Times New Roman"/>
                <w:i w:val="0"/>
                <w:iCs w:val="0"/>
                <w:color w:val="000000"/>
                <w:sz w:val="24"/>
                <w:szCs w:val="24"/>
                <w:u w:val="none"/>
              </w:rPr>
            </w:pPr>
          </w:p>
        </w:tc>
      </w:tr>
      <w:tr w14:paraId="6DC5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7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2.3.8电容器接线端子温升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6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运行中的电容器接线端子的温升应符合本规范表2 要求。</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5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7CED">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393">
            <w:pPr>
              <w:jc w:val="center"/>
              <w:rPr>
                <w:rFonts w:hint="default" w:ascii="Times New Roman" w:hAnsi="Times New Roman" w:eastAsia="宋体" w:cs="Times New Roman"/>
                <w:i w:val="0"/>
                <w:iCs w:val="0"/>
                <w:color w:val="000000"/>
                <w:sz w:val="24"/>
                <w:szCs w:val="24"/>
                <w:u w:val="none"/>
              </w:rPr>
            </w:pPr>
          </w:p>
        </w:tc>
      </w:tr>
      <w:tr w14:paraId="5578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F5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79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29BA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10KV及以下建筑物内低压配电柜（箱）</w:t>
            </w:r>
          </w:p>
        </w:tc>
      </w:tr>
      <w:tr w14:paraId="43F8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3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9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3.1.2配电柜（箱）与杂物的距离</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8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配电柜（箱）周围0.3m 内不应堆放杂物。</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0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6F46">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6086">
            <w:pPr>
              <w:jc w:val="center"/>
              <w:rPr>
                <w:rFonts w:hint="eastAsia" w:ascii="宋体" w:hAnsi="宋体" w:eastAsia="宋体" w:cs="宋体"/>
                <w:i w:val="0"/>
                <w:iCs w:val="0"/>
                <w:color w:val="000000"/>
                <w:sz w:val="24"/>
                <w:szCs w:val="24"/>
                <w:u w:val="none"/>
              </w:rPr>
            </w:pPr>
          </w:p>
        </w:tc>
      </w:tr>
      <w:tr w14:paraId="4D97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9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6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 落地式配电柜（箱）底部高度</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F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落地式安装配电柜（箱）底部高出地面不应小于50mm。</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D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CF7C">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291A">
            <w:pPr>
              <w:jc w:val="center"/>
              <w:rPr>
                <w:rFonts w:hint="eastAsia" w:ascii="宋体" w:hAnsi="宋体" w:eastAsia="宋体" w:cs="宋体"/>
                <w:i w:val="0"/>
                <w:iCs w:val="0"/>
                <w:color w:val="000000"/>
                <w:sz w:val="24"/>
                <w:szCs w:val="24"/>
                <w:u w:val="none"/>
              </w:rPr>
            </w:pPr>
          </w:p>
        </w:tc>
      </w:tr>
      <w:tr w14:paraId="059E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4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5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3.1.21单股铜、铝芯线与器具直接连接</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2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截面积在10mm² 及以下的单股铜芯线、铝芯线应直接与设备、器具的端子连接。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8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C4D5">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462A">
            <w:pPr>
              <w:jc w:val="center"/>
              <w:rPr>
                <w:rFonts w:hint="eastAsia" w:ascii="宋体" w:hAnsi="宋体" w:eastAsia="宋体" w:cs="宋体"/>
                <w:i w:val="0"/>
                <w:iCs w:val="0"/>
                <w:color w:val="000000"/>
                <w:sz w:val="24"/>
                <w:szCs w:val="24"/>
                <w:u w:val="none"/>
              </w:rPr>
            </w:pPr>
          </w:p>
        </w:tc>
      </w:tr>
      <w:tr w14:paraId="4D98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7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3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3.1.22多股铜芯线连接</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F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截面积在2.5mm² 及以下的多股铜芯线与端子连接时应先拧紧后搪锡或接续端子后连接。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A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F051">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658D">
            <w:pPr>
              <w:jc w:val="center"/>
              <w:rPr>
                <w:rFonts w:hint="eastAsia" w:ascii="宋体" w:hAnsi="宋体" w:eastAsia="宋体" w:cs="宋体"/>
                <w:i w:val="0"/>
                <w:iCs w:val="0"/>
                <w:color w:val="000000"/>
                <w:sz w:val="24"/>
                <w:szCs w:val="24"/>
                <w:u w:val="none"/>
              </w:rPr>
            </w:pPr>
          </w:p>
        </w:tc>
      </w:tr>
      <w:tr w14:paraId="0BCA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B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1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3.3.2接触器打火、放电和过热检测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0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接触器应无打火、放电和过热现象。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1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2E05">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5C6A">
            <w:pPr>
              <w:jc w:val="center"/>
              <w:rPr>
                <w:rFonts w:hint="eastAsia" w:ascii="宋体" w:hAnsi="宋体" w:eastAsia="宋体" w:cs="宋体"/>
                <w:i w:val="0"/>
                <w:iCs w:val="0"/>
                <w:color w:val="000000"/>
                <w:sz w:val="24"/>
                <w:szCs w:val="24"/>
                <w:u w:val="none"/>
              </w:rPr>
            </w:pPr>
          </w:p>
        </w:tc>
      </w:tr>
      <w:tr w14:paraId="1BF0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3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8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3.3.3交流低压母线装置各部位温升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D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交流低压母线装置各部位的允许温升值不应超过本规范表1 的规定。</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6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A94C">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6B88">
            <w:pPr>
              <w:jc w:val="center"/>
              <w:rPr>
                <w:rFonts w:hint="eastAsia" w:ascii="宋体" w:hAnsi="宋体" w:eastAsia="宋体" w:cs="宋体"/>
                <w:i w:val="0"/>
                <w:iCs w:val="0"/>
                <w:color w:val="000000"/>
                <w:sz w:val="24"/>
                <w:szCs w:val="24"/>
                <w:u w:val="none"/>
              </w:rPr>
            </w:pPr>
          </w:p>
        </w:tc>
      </w:tr>
      <w:tr w14:paraId="6772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F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8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 低压电器各接线端子的温升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5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低压电器各接线端子的最高允许温升不应超过本规范表2 的规定。</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F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9B93">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E84C">
            <w:pPr>
              <w:jc w:val="center"/>
              <w:rPr>
                <w:rFonts w:hint="eastAsia" w:ascii="宋体" w:hAnsi="宋体" w:eastAsia="宋体" w:cs="宋体"/>
                <w:i w:val="0"/>
                <w:iCs w:val="0"/>
                <w:color w:val="000000"/>
                <w:sz w:val="24"/>
                <w:szCs w:val="24"/>
                <w:u w:val="none"/>
              </w:rPr>
            </w:pPr>
          </w:p>
        </w:tc>
      </w:tr>
      <w:tr w14:paraId="40A3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E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8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3.3.5低压电器同相上下接线端子温差</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F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低压电器设备同相（路）上下接线端子温差应少于10℃。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6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6A65">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3B9E">
            <w:pPr>
              <w:jc w:val="center"/>
              <w:rPr>
                <w:rFonts w:hint="eastAsia" w:ascii="宋体" w:hAnsi="宋体" w:eastAsia="宋体" w:cs="宋体"/>
                <w:i w:val="0"/>
                <w:iCs w:val="0"/>
                <w:color w:val="000000"/>
                <w:sz w:val="24"/>
                <w:szCs w:val="24"/>
                <w:u w:val="none"/>
              </w:rPr>
            </w:pPr>
          </w:p>
        </w:tc>
      </w:tr>
      <w:tr w14:paraId="1806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1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3.3.6各项工作电流与允许值</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9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回路中各相电流不应超过设计规定的额定值。</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3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DEB">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9665">
            <w:pPr>
              <w:jc w:val="center"/>
              <w:rPr>
                <w:rFonts w:hint="eastAsia" w:ascii="宋体" w:hAnsi="宋体" w:eastAsia="宋体" w:cs="宋体"/>
                <w:i w:val="0"/>
                <w:iCs w:val="0"/>
                <w:color w:val="000000"/>
                <w:sz w:val="24"/>
                <w:szCs w:val="24"/>
                <w:u w:val="none"/>
              </w:rPr>
            </w:pPr>
          </w:p>
        </w:tc>
      </w:tr>
      <w:tr w14:paraId="030B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D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3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3.3.7零线与接地线的异常电流</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B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回路中零线和接地线不应有异常电流。</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0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5FA6">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8A71">
            <w:pPr>
              <w:jc w:val="center"/>
              <w:rPr>
                <w:rFonts w:hint="eastAsia" w:ascii="宋体" w:hAnsi="宋体" w:eastAsia="宋体" w:cs="宋体"/>
                <w:i w:val="0"/>
                <w:iCs w:val="0"/>
                <w:color w:val="000000"/>
                <w:sz w:val="24"/>
                <w:szCs w:val="24"/>
                <w:u w:val="none"/>
              </w:rPr>
            </w:pPr>
          </w:p>
        </w:tc>
      </w:tr>
      <w:tr w14:paraId="5D5E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C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F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3.3.8接线端子打火、放电检测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B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低压电器接线端子不应有打火、放电现象。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0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5304">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965B">
            <w:pPr>
              <w:jc w:val="center"/>
              <w:rPr>
                <w:rFonts w:hint="eastAsia" w:ascii="宋体" w:hAnsi="宋体" w:eastAsia="宋体" w:cs="宋体"/>
                <w:i w:val="0"/>
                <w:iCs w:val="0"/>
                <w:color w:val="000000"/>
                <w:sz w:val="24"/>
                <w:szCs w:val="24"/>
                <w:u w:val="none"/>
              </w:rPr>
            </w:pPr>
          </w:p>
        </w:tc>
      </w:tr>
      <w:tr w14:paraId="21BD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A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02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3.3.9配电柜（箱）内开关动作及漏电保护动作的性能</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30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配电柜（箱）内开关动作应灵活可靠，带有漏电保护的回路，漏电保护装置动作电流不应大于30mA，动作时间不应大于0.1s。</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4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42C5">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4969">
            <w:pPr>
              <w:jc w:val="center"/>
              <w:rPr>
                <w:rFonts w:hint="eastAsia" w:ascii="宋体" w:hAnsi="宋体" w:eastAsia="宋体" w:cs="宋体"/>
                <w:i w:val="0"/>
                <w:iCs w:val="0"/>
                <w:color w:val="000000"/>
                <w:sz w:val="21"/>
                <w:szCs w:val="21"/>
                <w:u w:val="none"/>
              </w:rPr>
            </w:pPr>
          </w:p>
        </w:tc>
      </w:tr>
      <w:tr w14:paraId="57C1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30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79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450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10KV及以下建筑物内低压配电线路</w:t>
            </w:r>
          </w:p>
        </w:tc>
      </w:tr>
      <w:tr w14:paraId="5079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B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4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4.1.8可燃夹层配线不穿金属管保护</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5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配电线路设置在可燃装饰夹层时，若受装饰条件限制局部不能穿金属管时，必须用金属软管，其长度不宜大于2m，导线不应外露。</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4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13AD">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EC7">
            <w:pPr>
              <w:jc w:val="center"/>
              <w:rPr>
                <w:rFonts w:hint="eastAsia" w:ascii="宋体" w:hAnsi="宋体" w:eastAsia="宋体" w:cs="宋体"/>
                <w:i w:val="0"/>
                <w:iCs w:val="0"/>
                <w:color w:val="000000"/>
                <w:sz w:val="21"/>
                <w:szCs w:val="21"/>
                <w:u w:val="none"/>
              </w:rPr>
            </w:pPr>
          </w:p>
        </w:tc>
      </w:tr>
      <w:tr w14:paraId="0419E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E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3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4.1.10线缆规格型号和敷设方式</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3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线缆的规格型号和敷设方式应符合设计，且绝缘导线芯线最小截面积应满足表3 要求。</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6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AA6A">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8C91">
            <w:pPr>
              <w:jc w:val="center"/>
              <w:rPr>
                <w:rFonts w:hint="eastAsia" w:ascii="宋体" w:hAnsi="宋体" w:eastAsia="宋体" w:cs="宋体"/>
                <w:i w:val="0"/>
                <w:iCs w:val="0"/>
                <w:color w:val="000000"/>
                <w:sz w:val="21"/>
                <w:szCs w:val="21"/>
                <w:u w:val="none"/>
              </w:rPr>
            </w:pPr>
          </w:p>
        </w:tc>
      </w:tr>
      <w:tr w14:paraId="3924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E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4.3.8金属管、线槽接地及跨接线连接</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9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镀锌的钢导管、可挠性导管、金属线槽的接地应可靠，连接处应采用专用接地卡，跨接的两卡间连接线应为铜芯软导线，截面积不应小于4mm²。</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F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013F">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F3D3">
            <w:pPr>
              <w:jc w:val="center"/>
              <w:rPr>
                <w:rFonts w:hint="eastAsia" w:ascii="宋体" w:hAnsi="宋体" w:eastAsia="宋体" w:cs="宋体"/>
                <w:i w:val="0"/>
                <w:iCs w:val="0"/>
                <w:color w:val="000000"/>
                <w:sz w:val="21"/>
                <w:szCs w:val="21"/>
                <w:u w:val="none"/>
              </w:rPr>
            </w:pPr>
          </w:p>
        </w:tc>
      </w:tr>
      <w:tr w14:paraId="78E5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2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0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4.3.11刚性导管经软管与设备连接的</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B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刚性导管经柔性导管与电气设备、器具连接时，软管长度不宜大于2m，导线不应裸露。</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5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763C">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585A">
            <w:pPr>
              <w:jc w:val="center"/>
              <w:rPr>
                <w:rFonts w:hint="eastAsia" w:ascii="宋体" w:hAnsi="宋体" w:eastAsia="宋体" w:cs="宋体"/>
                <w:i w:val="0"/>
                <w:iCs w:val="0"/>
                <w:color w:val="000000"/>
                <w:sz w:val="21"/>
                <w:szCs w:val="21"/>
                <w:u w:val="none"/>
              </w:rPr>
            </w:pPr>
          </w:p>
        </w:tc>
      </w:tr>
      <w:tr w14:paraId="20D7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B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7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4.4.3非镀锌</w:t>
            </w:r>
            <w:r>
              <w:rPr>
                <w:rStyle w:val="50"/>
                <w:lang w:val="en-US" w:eastAsia="zh-CN" w:bidi="ar"/>
              </w:rPr>
              <w:t>金属线槽、金属桥架连接板两端跨接地线</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3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非镀锌金属线槽、金属电缆桥架连接板的两端应跨接铜芯接地线，其截面积不应小于4mm²。</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F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1E0">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13AE">
            <w:pPr>
              <w:jc w:val="center"/>
              <w:rPr>
                <w:rFonts w:hint="eastAsia" w:ascii="宋体" w:hAnsi="宋体" w:eastAsia="宋体" w:cs="宋体"/>
                <w:i w:val="0"/>
                <w:iCs w:val="0"/>
                <w:color w:val="000000"/>
                <w:sz w:val="21"/>
                <w:szCs w:val="21"/>
                <w:u w:val="none"/>
              </w:rPr>
            </w:pPr>
          </w:p>
        </w:tc>
      </w:tr>
      <w:tr w14:paraId="3C32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C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4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4.5.1直敷布线的导线选择</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1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直敷布线应采用护套绝缘电线，截面不应大于6mm²。</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A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21FE">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7351">
            <w:pPr>
              <w:jc w:val="center"/>
              <w:rPr>
                <w:rFonts w:hint="eastAsia" w:ascii="宋体" w:hAnsi="宋体" w:eastAsia="宋体" w:cs="宋体"/>
                <w:i w:val="0"/>
                <w:iCs w:val="0"/>
                <w:color w:val="000000"/>
                <w:sz w:val="21"/>
                <w:szCs w:val="21"/>
                <w:u w:val="none"/>
              </w:rPr>
            </w:pPr>
          </w:p>
        </w:tc>
      </w:tr>
      <w:tr w14:paraId="534B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8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E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4.5.2直敷布线时水平线路与地面距离</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D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电线水平敷设至地面的距离不应小于2.5m。</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4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666D">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8078">
            <w:pPr>
              <w:jc w:val="center"/>
              <w:rPr>
                <w:rFonts w:hint="eastAsia" w:ascii="宋体" w:hAnsi="宋体" w:eastAsia="宋体" w:cs="宋体"/>
                <w:i w:val="0"/>
                <w:iCs w:val="0"/>
                <w:color w:val="000000"/>
                <w:sz w:val="21"/>
                <w:szCs w:val="21"/>
                <w:u w:val="none"/>
              </w:rPr>
            </w:pPr>
          </w:p>
        </w:tc>
      </w:tr>
      <w:tr w14:paraId="5BD4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6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9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4.5.3直敷布线时垂直敷设线路保护</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3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垂直敷设至地面低于1.8m 部分应穿导管保护。</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E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2915">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FD55">
            <w:pPr>
              <w:jc w:val="center"/>
              <w:rPr>
                <w:rFonts w:hint="eastAsia" w:ascii="宋体" w:hAnsi="宋体" w:eastAsia="宋体" w:cs="宋体"/>
                <w:i w:val="0"/>
                <w:iCs w:val="0"/>
                <w:color w:val="000000"/>
                <w:sz w:val="21"/>
                <w:szCs w:val="21"/>
                <w:u w:val="none"/>
              </w:rPr>
            </w:pPr>
          </w:p>
        </w:tc>
      </w:tr>
      <w:tr w14:paraId="77D2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E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3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4.6.3绝缘导线交叉点绝缘保护</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C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绝缘导线交叉时，交叉点应穿绝缘管并加支持物予以固定，保护管长度不应小于100mm。</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7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6E67">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DBBA">
            <w:pPr>
              <w:jc w:val="center"/>
              <w:rPr>
                <w:rFonts w:hint="eastAsia" w:ascii="宋体" w:hAnsi="宋体" w:eastAsia="宋体" w:cs="宋体"/>
                <w:i w:val="0"/>
                <w:iCs w:val="0"/>
                <w:color w:val="000000"/>
                <w:sz w:val="21"/>
                <w:szCs w:val="21"/>
                <w:u w:val="none"/>
              </w:rPr>
            </w:pPr>
          </w:p>
        </w:tc>
      </w:tr>
      <w:tr w14:paraId="3046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C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8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4.6.6高温辐射或腐蚀场所的明敷绝缘配线线间及建筑物距离</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6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绝缘电线明敷在高温辐射或对绝缘有腐蚀的场所时，电线间及电线至建筑物表面最小净距离应符合表4 的要求。</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5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F002">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6AFF">
            <w:pPr>
              <w:jc w:val="center"/>
              <w:rPr>
                <w:rFonts w:hint="eastAsia" w:ascii="宋体" w:hAnsi="宋体" w:eastAsia="宋体" w:cs="宋体"/>
                <w:i w:val="0"/>
                <w:iCs w:val="0"/>
                <w:color w:val="000000"/>
                <w:sz w:val="21"/>
                <w:szCs w:val="21"/>
                <w:u w:val="none"/>
              </w:rPr>
            </w:pPr>
          </w:p>
        </w:tc>
      </w:tr>
      <w:tr w14:paraId="4BF2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8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A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4.8.1线缆芯线工作温度</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0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导线、电缆芯线的温度，当产品无要求时应符合表5 规定。</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A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466">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A8A3">
            <w:pPr>
              <w:jc w:val="center"/>
              <w:rPr>
                <w:rFonts w:hint="eastAsia" w:ascii="宋体" w:hAnsi="宋体" w:eastAsia="宋体" w:cs="宋体"/>
                <w:i w:val="0"/>
                <w:iCs w:val="0"/>
                <w:color w:val="000000"/>
                <w:sz w:val="21"/>
                <w:szCs w:val="21"/>
                <w:u w:val="none"/>
              </w:rPr>
            </w:pPr>
          </w:p>
        </w:tc>
      </w:tr>
      <w:tr w14:paraId="23AC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F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F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4.8.2导线、接头及接线端子温升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8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导线、导线接头、导线与设备或器具的接线端子温升应符合本规范表1 和表4 的要求。</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2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5DAF">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A7A9">
            <w:pPr>
              <w:jc w:val="center"/>
              <w:rPr>
                <w:rFonts w:hint="eastAsia" w:ascii="宋体" w:hAnsi="宋体" w:eastAsia="宋体" w:cs="宋体"/>
                <w:i w:val="0"/>
                <w:iCs w:val="0"/>
                <w:color w:val="000000"/>
                <w:sz w:val="21"/>
                <w:szCs w:val="21"/>
                <w:u w:val="none"/>
              </w:rPr>
            </w:pPr>
          </w:p>
        </w:tc>
      </w:tr>
      <w:tr w14:paraId="4198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C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1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4.8.3接头、接线端子打火、放电检测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A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导线接头、导线与设备或器具的接线端子不应有打火、放电现象。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D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3C6C">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11BF">
            <w:pPr>
              <w:jc w:val="center"/>
              <w:rPr>
                <w:rFonts w:hint="eastAsia" w:ascii="宋体" w:hAnsi="宋体" w:eastAsia="宋体" w:cs="宋体"/>
                <w:i w:val="0"/>
                <w:iCs w:val="0"/>
                <w:color w:val="000000"/>
                <w:sz w:val="21"/>
                <w:szCs w:val="21"/>
                <w:u w:val="none"/>
              </w:rPr>
            </w:pPr>
          </w:p>
        </w:tc>
      </w:tr>
      <w:tr w14:paraId="1E5E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F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A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4.8.4线路工作电流检测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4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相线电流、中性线电流和PE 线电流应无异常。</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E211">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75DE">
            <w:pPr>
              <w:jc w:val="center"/>
              <w:rPr>
                <w:rFonts w:hint="eastAsia" w:ascii="宋体" w:hAnsi="宋体" w:eastAsia="宋体" w:cs="宋体"/>
                <w:i w:val="0"/>
                <w:iCs w:val="0"/>
                <w:color w:val="000000"/>
                <w:sz w:val="21"/>
                <w:szCs w:val="21"/>
                <w:u w:val="none"/>
              </w:rPr>
            </w:pPr>
          </w:p>
        </w:tc>
      </w:tr>
      <w:tr w14:paraId="390F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0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5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4.9.4分支路绝缘导线相间、相地间的绝缘电阻值</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1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分支路绝缘导线相线间及相线对地的绝缘电阻值不应小于0.5MΩ。</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C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086D">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6539">
            <w:pPr>
              <w:jc w:val="center"/>
              <w:rPr>
                <w:rFonts w:hint="eastAsia" w:ascii="宋体" w:hAnsi="宋体" w:eastAsia="宋体" w:cs="宋体"/>
                <w:i w:val="0"/>
                <w:iCs w:val="0"/>
                <w:color w:val="000000"/>
                <w:sz w:val="21"/>
                <w:szCs w:val="21"/>
                <w:u w:val="none"/>
              </w:rPr>
            </w:pPr>
          </w:p>
        </w:tc>
      </w:tr>
      <w:tr w14:paraId="7BA2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4D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79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0364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10KV及以下建筑物内低压用电设备</w:t>
            </w:r>
          </w:p>
        </w:tc>
      </w:tr>
      <w:tr w14:paraId="4FC1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2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8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5.1.2电动机类设备安装</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电动机类设备应安装在牢固的机座上，机座周围应有适当的通道，与其他低压电气线路和设备、可燃物之间的距离不应小于1m，并应保持机座周围干燥清洁。</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C1E0">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AF41">
            <w:pPr>
              <w:jc w:val="center"/>
              <w:rPr>
                <w:rFonts w:hint="eastAsia" w:ascii="宋体" w:hAnsi="宋体" w:eastAsia="宋体" w:cs="宋体"/>
                <w:i w:val="0"/>
                <w:iCs w:val="0"/>
                <w:color w:val="000000"/>
                <w:sz w:val="21"/>
                <w:szCs w:val="21"/>
                <w:u w:val="none"/>
              </w:rPr>
            </w:pPr>
          </w:p>
        </w:tc>
      </w:tr>
      <w:tr w14:paraId="60B5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4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3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5.1.15电动机类设备的电气连接点、壳体打火、放电检测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E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电动机类设备的电气连接点、壳体等不应有打火、放电现象。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4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C42F">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31C">
            <w:pPr>
              <w:jc w:val="center"/>
              <w:rPr>
                <w:rFonts w:hint="eastAsia" w:ascii="宋体" w:hAnsi="宋体" w:eastAsia="宋体" w:cs="宋体"/>
                <w:i w:val="0"/>
                <w:iCs w:val="0"/>
                <w:color w:val="000000"/>
                <w:sz w:val="21"/>
                <w:szCs w:val="21"/>
                <w:u w:val="none"/>
              </w:rPr>
            </w:pPr>
          </w:p>
        </w:tc>
      </w:tr>
      <w:tr w14:paraId="69DD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B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1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5.1.16电动机类设备工作电流</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D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电动机类设备的工作电流，在正常情况下不应超过额定值。</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4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AD00">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2305">
            <w:pPr>
              <w:jc w:val="center"/>
              <w:rPr>
                <w:rFonts w:hint="eastAsia" w:ascii="宋体" w:hAnsi="宋体" w:eastAsia="宋体" w:cs="宋体"/>
                <w:i w:val="0"/>
                <w:iCs w:val="0"/>
                <w:color w:val="000000"/>
                <w:sz w:val="21"/>
                <w:szCs w:val="21"/>
                <w:u w:val="none"/>
              </w:rPr>
            </w:pPr>
          </w:p>
        </w:tc>
      </w:tr>
      <w:tr w14:paraId="1F7B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0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6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5.1.17电动机类设备接地线的接地电阻值</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E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电动机类设备的接地线路的接地电阻值应符合设计文件。</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5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6EA3">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05DC">
            <w:pPr>
              <w:jc w:val="center"/>
              <w:rPr>
                <w:rFonts w:hint="eastAsia" w:ascii="宋体" w:hAnsi="宋体" w:eastAsia="宋体" w:cs="宋体"/>
                <w:i w:val="0"/>
                <w:iCs w:val="0"/>
                <w:color w:val="000000"/>
                <w:sz w:val="21"/>
                <w:szCs w:val="21"/>
                <w:u w:val="none"/>
              </w:rPr>
            </w:pPr>
          </w:p>
        </w:tc>
      </w:tr>
      <w:tr w14:paraId="0225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1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F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5.2.4电热器具与可燃物间距</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C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电热器具周围0.3m 以内不应放置可燃物。</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B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BB76">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54D0">
            <w:pPr>
              <w:jc w:val="center"/>
              <w:rPr>
                <w:rFonts w:hint="eastAsia" w:ascii="宋体" w:hAnsi="宋体" w:eastAsia="宋体" w:cs="宋体"/>
                <w:i w:val="0"/>
                <w:iCs w:val="0"/>
                <w:color w:val="000000"/>
                <w:sz w:val="21"/>
                <w:szCs w:val="21"/>
                <w:u w:val="none"/>
              </w:rPr>
            </w:pPr>
          </w:p>
        </w:tc>
      </w:tr>
      <w:tr w14:paraId="59E6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A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7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5.2.6浴室内设备安装、设置与防护</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浴室内除加热蒸汽炉设备外，不得安装其他设备和线路，加热蒸汽炉距墙壁应大于0.1m，应加装隔热板。</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2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EF20">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E68C">
            <w:pPr>
              <w:jc w:val="center"/>
              <w:rPr>
                <w:rFonts w:hint="eastAsia" w:ascii="宋体" w:hAnsi="宋体" w:eastAsia="宋体" w:cs="宋体"/>
                <w:i w:val="0"/>
                <w:iCs w:val="0"/>
                <w:color w:val="000000"/>
                <w:sz w:val="21"/>
                <w:szCs w:val="21"/>
                <w:u w:val="none"/>
              </w:rPr>
            </w:pPr>
          </w:p>
        </w:tc>
      </w:tr>
      <w:tr w14:paraId="34A4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A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5.2.10桑拿浴室电线的布线与绝缘</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9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桑拿浴室内的线路应为双重绝缘，采用刚性PVC 管布线，其绝缘电阻不应小于0.5MΩ；不得采用金属外皮的电缆或普通钢管布线。</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2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E225">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AB22">
            <w:pPr>
              <w:jc w:val="center"/>
              <w:rPr>
                <w:rFonts w:hint="eastAsia" w:ascii="宋体" w:hAnsi="宋体" w:eastAsia="宋体" w:cs="宋体"/>
                <w:i w:val="0"/>
                <w:iCs w:val="0"/>
                <w:color w:val="000000"/>
                <w:sz w:val="21"/>
                <w:szCs w:val="21"/>
                <w:u w:val="none"/>
              </w:rPr>
            </w:pPr>
          </w:p>
        </w:tc>
      </w:tr>
      <w:tr w14:paraId="0C82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0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4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5.2.11电热器具连接点温升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C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各连接点（含端子）温升，不应超过本规范表2 的数值。</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5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A47F">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C44B">
            <w:pPr>
              <w:jc w:val="center"/>
              <w:rPr>
                <w:rFonts w:hint="eastAsia" w:ascii="宋体" w:hAnsi="宋体" w:eastAsia="宋体" w:cs="宋体"/>
                <w:i w:val="0"/>
                <w:iCs w:val="0"/>
                <w:color w:val="000000"/>
                <w:sz w:val="21"/>
                <w:szCs w:val="21"/>
                <w:u w:val="none"/>
              </w:rPr>
            </w:pPr>
          </w:p>
        </w:tc>
      </w:tr>
      <w:tr w14:paraId="42E5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B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5.2.12电热器具打火、放电检测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0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各种电气设备应无打火、放电现象。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F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F9B3">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7BB2">
            <w:pPr>
              <w:jc w:val="center"/>
              <w:rPr>
                <w:rFonts w:hint="eastAsia" w:ascii="宋体" w:hAnsi="宋体" w:eastAsia="宋体" w:cs="宋体"/>
                <w:i w:val="0"/>
                <w:iCs w:val="0"/>
                <w:color w:val="000000"/>
                <w:sz w:val="21"/>
                <w:szCs w:val="21"/>
                <w:u w:val="none"/>
              </w:rPr>
            </w:pPr>
          </w:p>
        </w:tc>
      </w:tr>
      <w:tr w14:paraId="442D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F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4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5.2.13加热蒸汽炉接线口、接线盒温度</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E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加热蒸汽炉接线入口和接线盒内的温度，不应高于双重绝缘导线长期工作允许的最高温度。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9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16E3">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F38A">
            <w:pPr>
              <w:jc w:val="center"/>
              <w:rPr>
                <w:rFonts w:hint="eastAsia" w:ascii="宋体" w:hAnsi="宋体" w:eastAsia="宋体" w:cs="宋体"/>
                <w:i w:val="0"/>
                <w:iCs w:val="0"/>
                <w:color w:val="000000"/>
                <w:sz w:val="21"/>
                <w:szCs w:val="21"/>
                <w:u w:val="none"/>
              </w:rPr>
            </w:pPr>
          </w:p>
        </w:tc>
      </w:tr>
      <w:tr w14:paraId="7D6B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B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4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5.2.14电热器具接地线路的接地电阻值</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E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电加热器具的接地线路的接地电阻值应符合设计文件。</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8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D180">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7C22">
            <w:pPr>
              <w:jc w:val="center"/>
              <w:rPr>
                <w:rFonts w:hint="eastAsia" w:ascii="宋体" w:hAnsi="宋体" w:eastAsia="宋体" w:cs="宋体"/>
                <w:i w:val="0"/>
                <w:iCs w:val="0"/>
                <w:color w:val="000000"/>
                <w:sz w:val="21"/>
                <w:szCs w:val="21"/>
                <w:u w:val="none"/>
              </w:rPr>
            </w:pPr>
          </w:p>
        </w:tc>
      </w:tr>
      <w:tr w14:paraId="245E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7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1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5.3.4空调器安装底衬及与可燃物间距</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3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空调器不应安装在可燃结构上，其设备与周围可燃物的距离不应小于0.1m。</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6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15B6">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9C15">
            <w:pPr>
              <w:jc w:val="center"/>
              <w:rPr>
                <w:rFonts w:hint="eastAsia" w:ascii="宋体" w:hAnsi="宋体" w:eastAsia="宋体" w:cs="宋体"/>
                <w:i w:val="0"/>
                <w:iCs w:val="0"/>
                <w:color w:val="000000"/>
                <w:sz w:val="21"/>
                <w:szCs w:val="21"/>
                <w:u w:val="none"/>
              </w:rPr>
            </w:pPr>
          </w:p>
        </w:tc>
      </w:tr>
      <w:tr w14:paraId="653B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8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C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5.3.6空调器连接点温升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0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各连接点（含端子）温升，不应超过本规范表2 的规定。</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1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CFB0">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102">
            <w:pPr>
              <w:jc w:val="center"/>
              <w:rPr>
                <w:rFonts w:hint="eastAsia" w:ascii="宋体" w:hAnsi="宋体" w:eastAsia="宋体" w:cs="宋体"/>
                <w:i w:val="0"/>
                <w:iCs w:val="0"/>
                <w:color w:val="000000"/>
                <w:sz w:val="21"/>
                <w:szCs w:val="21"/>
                <w:u w:val="none"/>
              </w:rPr>
            </w:pPr>
          </w:p>
        </w:tc>
      </w:tr>
      <w:tr w14:paraId="6E96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5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9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5.3.7空调器打火、放电检测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E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设备工作时应无打火、放电现象。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1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FFA4">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FFCC">
            <w:pPr>
              <w:jc w:val="center"/>
              <w:rPr>
                <w:rFonts w:hint="eastAsia" w:ascii="宋体" w:hAnsi="宋体" w:eastAsia="宋体" w:cs="宋体"/>
                <w:i w:val="0"/>
                <w:iCs w:val="0"/>
                <w:color w:val="000000"/>
                <w:sz w:val="21"/>
                <w:szCs w:val="21"/>
                <w:u w:val="none"/>
              </w:rPr>
            </w:pPr>
          </w:p>
        </w:tc>
      </w:tr>
      <w:tr w14:paraId="262A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E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5.5.1稳压整流设备工作电流</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3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输入稳压整流器设备的工作电流不应超过额定电流。</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E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D465">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DF4B">
            <w:pPr>
              <w:jc w:val="center"/>
              <w:rPr>
                <w:rFonts w:hint="eastAsia" w:ascii="宋体" w:hAnsi="宋体" w:eastAsia="宋体" w:cs="宋体"/>
                <w:i w:val="0"/>
                <w:iCs w:val="0"/>
                <w:color w:val="000000"/>
                <w:sz w:val="21"/>
                <w:szCs w:val="21"/>
                <w:u w:val="none"/>
              </w:rPr>
            </w:pPr>
          </w:p>
        </w:tc>
      </w:tr>
      <w:tr w14:paraId="57E0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D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F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5.5.5稳压整流设备整流变压器温升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D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整流变压器的温升应小于60K。</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F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38DB">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0E80">
            <w:pPr>
              <w:jc w:val="center"/>
              <w:rPr>
                <w:rFonts w:hint="eastAsia" w:ascii="宋体" w:hAnsi="宋体" w:eastAsia="宋体" w:cs="宋体"/>
                <w:i w:val="0"/>
                <w:iCs w:val="0"/>
                <w:color w:val="000000"/>
                <w:sz w:val="21"/>
                <w:szCs w:val="21"/>
                <w:u w:val="none"/>
              </w:rPr>
            </w:pPr>
          </w:p>
        </w:tc>
      </w:tr>
      <w:tr w14:paraId="05B7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2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8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5.5.6稳压整流设备连接点温升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B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各种导线、母线的连接点和接线端子的温升，不应超过表1 和表2 的数值。</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2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EE3B">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3A20">
            <w:pPr>
              <w:jc w:val="center"/>
              <w:rPr>
                <w:rFonts w:hint="eastAsia" w:ascii="宋体" w:hAnsi="宋体" w:eastAsia="宋体" w:cs="宋体"/>
                <w:i w:val="0"/>
                <w:iCs w:val="0"/>
                <w:color w:val="000000"/>
                <w:sz w:val="21"/>
                <w:szCs w:val="21"/>
                <w:u w:val="none"/>
              </w:rPr>
            </w:pPr>
          </w:p>
        </w:tc>
      </w:tr>
      <w:tr w14:paraId="7B85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E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8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5.5.7稳压整流设备打火、放电检测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3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电气设备连接点、壳体等不应有打火、放电现象。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1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E740">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ABE">
            <w:pPr>
              <w:jc w:val="center"/>
              <w:rPr>
                <w:rFonts w:hint="eastAsia" w:ascii="宋体" w:hAnsi="宋体" w:eastAsia="宋体" w:cs="宋体"/>
                <w:i w:val="0"/>
                <w:iCs w:val="0"/>
                <w:color w:val="000000"/>
                <w:sz w:val="21"/>
                <w:szCs w:val="21"/>
                <w:u w:val="none"/>
              </w:rPr>
            </w:pPr>
          </w:p>
        </w:tc>
      </w:tr>
      <w:tr w14:paraId="0B0F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C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B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5.5.8稳压整流设备接地线路接地电阻值</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1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稳压整流设备的接地线路的接地电阻值应符合设计文件。</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B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BA49">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25BC">
            <w:pPr>
              <w:jc w:val="center"/>
              <w:rPr>
                <w:rFonts w:hint="eastAsia" w:ascii="宋体" w:hAnsi="宋体" w:eastAsia="宋体" w:cs="宋体"/>
                <w:i w:val="0"/>
                <w:iCs w:val="0"/>
                <w:color w:val="000000"/>
                <w:sz w:val="21"/>
                <w:szCs w:val="21"/>
                <w:u w:val="none"/>
              </w:rPr>
            </w:pPr>
          </w:p>
        </w:tc>
      </w:tr>
      <w:tr w14:paraId="15A5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9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F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5.6.1吊扇扇叶安装高度</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0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吊扇扇叶距地高度不小于2.5m。</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6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058B">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16EE">
            <w:pPr>
              <w:jc w:val="center"/>
              <w:rPr>
                <w:rFonts w:hint="eastAsia" w:ascii="宋体" w:hAnsi="宋体" w:eastAsia="宋体" w:cs="宋体"/>
                <w:i w:val="0"/>
                <w:iCs w:val="0"/>
                <w:color w:val="000000"/>
                <w:sz w:val="21"/>
                <w:szCs w:val="21"/>
                <w:u w:val="none"/>
              </w:rPr>
            </w:pPr>
          </w:p>
        </w:tc>
      </w:tr>
      <w:tr w14:paraId="6E04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2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5.6.4电风扇各连接点温升</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5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各连接点（含端子）温升，不应超过本规范表2 的规定。</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E7E1">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5034">
            <w:pPr>
              <w:jc w:val="center"/>
              <w:rPr>
                <w:rFonts w:hint="eastAsia" w:ascii="宋体" w:hAnsi="宋体" w:eastAsia="宋体" w:cs="宋体"/>
                <w:i w:val="0"/>
                <w:iCs w:val="0"/>
                <w:color w:val="000000"/>
                <w:sz w:val="21"/>
                <w:szCs w:val="21"/>
                <w:u w:val="none"/>
              </w:rPr>
            </w:pPr>
          </w:p>
        </w:tc>
      </w:tr>
      <w:tr w14:paraId="5DA4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C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1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5.6.5电风扇及其附件打火、放电检测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6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设备工作时应无打火、放电现象。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6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3BDF">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1D5A">
            <w:pPr>
              <w:jc w:val="center"/>
              <w:rPr>
                <w:rFonts w:hint="eastAsia" w:ascii="宋体" w:hAnsi="宋体" w:eastAsia="宋体" w:cs="宋体"/>
                <w:i w:val="0"/>
                <w:iCs w:val="0"/>
                <w:color w:val="000000"/>
                <w:sz w:val="21"/>
                <w:szCs w:val="21"/>
                <w:u w:val="none"/>
              </w:rPr>
            </w:pPr>
          </w:p>
        </w:tc>
      </w:tr>
      <w:tr w14:paraId="4831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5E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79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EAF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10KV及以下建筑物内照明装置</w:t>
            </w:r>
          </w:p>
        </w:tc>
      </w:tr>
      <w:tr w14:paraId="0892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B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B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6.1.4嵌入顶棚内的灯具引线穿管保护</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B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嵌入顶棚内的灯具、灯头引线应用柔性金属管保护，其保护长度不宜超过1.0m。</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2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298F">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BE3C">
            <w:pPr>
              <w:jc w:val="center"/>
              <w:rPr>
                <w:rFonts w:hint="eastAsia" w:ascii="宋体" w:hAnsi="宋体" w:eastAsia="宋体" w:cs="宋体"/>
                <w:i w:val="0"/>
                <w:iCs w:val="0"/>
                <w:color w:val="000000"/>
                <w:sz w:val="21"/>
                <w:szCs w:val="21"/>
                <w:u w:val="none"/>
              </w:rPr>
            </w:pPr>
          </w:p>
        </w:tc>
      </w:tr>
      <w:tr w14:paraId="6E22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B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B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6.1.10库房内灯具垂直下方与物品水平间距</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9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库房内照明灯具垂直下方与储存物品水平间距不应小于0.5m。</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9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E81">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472C">
            <w:pPr>
              <w:jc w:val="center"/>
              <w:rPr>
                <w:rFonts w:hint="eastAsia" w:ascii="宋体" w:hAnsi="宋体" w:eastAsia="宋体" w:cs="宋体"/>
                <w:i w:val="0"/>
                <w:iCs w:val="0"/>
                <w:color w:val="000000"/>
                <w:sz w:val="21"/>
                <w:szCs w:val="21"/>
                <w:u w:val="none"/>
              </w:rPr>
            </w:pPr>
          </w:p>
        </w:tc>
      </w:tr>
      <w:tr w14:paraId="7717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2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7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6.1.14I类灯具的防护</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F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当I 类灯具距地面高度小于2.4m 时，灯具的可接近裸露导体应接地。</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7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67EF">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67F6">
            <w:pPr>
              <w:jc w:val="center"/>
              <w:rPr>
                <w:rFonts w:hint="eastAsia" w:ascii="宋体" w:hAnsi="宋体" w:eastAsia="宋体" w:cs="宋体"/>
                <w:i w:val="0"/>
                <w:iCs w:val="0"/>
                <w:color w:val="000000"/>
                <w:sz w:val="21"/>
                <w:szCs w:val="21"/>
                <w:u w:val="none"/>
              </w:rPr>
            </w:pPr>
          </w:p>
        </w:tc>
      </w:tr>
      <w:tr w14:paraId="1E18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8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FC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6.3.1照明灯具与可燃物之间的安全距离</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5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普通灯具不应小于0.3m，当安全距离不够时，应采取隔热、散热措施。</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F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838">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B5DB">
            <w:pPr>
              <w:jc w:val="center"/>
              <w:rPr>
                <w:rFonts w:hint="eastAsia" w:ascii="宋体" w:hAnsi="宋体" w:eastAsia="宋体" w:cs="宋体"/>
                <w:i w:val="0"/>
                <w:iCs w:val="0"/>
                <w:color w:val="000000"/>
                <w:sz w:val="21"/>
                <w:szCs w:val="21"/>
                <w:u w:val="none"/>
              </w:rPr>
            </w:pPr>
          </w:p>
        </w:tc>
      </w:tr>
      <w:tr w14:paraId="778C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A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5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6.3.2日光灯镇流器线圈温度</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4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日光灯镇流器线圈的最高允许温度不应超过给定温度标定Tw 值。</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C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52EE">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16C3">
            <w:pPr>
              <w:jc w:val="center"/>
              <w:rPr>
                <w:rFonts w:hint="eastAsia" w:ascii="宋体" w:hAnsi="宋体" w:eastAsia="宋体" w:cs="宋体"/>
                <w:i w:val="0"/>
                <w:iCs w:val="0"/>
                <w:color w:val="000000"/>
                <w:sz w:val="21"/>
                <w:szCs w:val="21"/>
                <w:u w:val="none"/>
              </w:rPr>
            </w:pPr>
          </w:p>
        </w:tc>
      </w:tr>
      <w:tr w14:paraId="16AD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6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D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 日光灯电容器外壳温度</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4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日光灯电容器外壳的最高允许温度不应超过TC 值。</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6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834A">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04FA">
            <w:pPr>
              <w:jc w:val="center"/>
              <w:rPr>
                <w:rFonts w:hint="eastAsia" w:ascii="宋体" w:hAnsi="宋体" w:eastAsia="宋体" w:cs="宋体"/>
                <w:i w:val="0"/>
                <w:iCs w:val="0"/>
                <w:color w:val="000000"/>
                <w:sz w:val="21"/>
                <w:szCs w:val="21"/>
                <w:u w:val="none"/>
              </w:rPr>
            </w:pPr>
          </w:p>
        </w:tc>
      </w:tr>
      <w:tr w14:paraId="7957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7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5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6.3.4灯具带电导体打火、放电检测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C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灯具的带电导体对地（外壳）不应有打火、放电现象。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5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C485">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C44C">
            <w:pPr>
              <w:jc w:val="center"/>
              <w:rPr>
                <w:rFonts w:hint="eastAsia" w:ascii="宋体" w:hAnsi="宋体" w:eastAsia="宋体" w:cs="宋体"/>
                <w:i w:val="0"/>
                <w:iCs w:val="0"/>
                <w:color w:val="000000"/>
                <w:sz w:val="21"/>
                <w:szCs w:val="21"/>
                <w:u w:val="none"/>
              </w:rPr>
            </w:pPr>
          </w:p>
        </w:tc>
      </w:tr>
      <w:tr w14:paraId="73DB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24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79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53A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10KV及以下建筑物内插座与开关</w:t>
            </w:r>
          </w:p>
        </w:tc>
      </w:tr>
      <w:tr w14:paraId="756A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1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7.1.5插座电路的漏电保护装置设置</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9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除壁挂式空调电源插座外，其他电源插座电路应设漏电保护装置。</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C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F0EA">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810">
            <w:pPr>
              <w:jc w:val="center"/>
              <w:rPr>
                <w:rFonts w:hint="eastAsia" w:ascii="宋体" w:hAnsi="宋体" w:eastAsia="宋体" w:cs="宋体"/>
                <w:i w:val="0"/>
                <w:iCs w:val="0"/>
                <w:color w:val="000000"/>
                <w:sz w:val="21"/>
                <w:szCs w:val="21"/>
                <w:u w:val="none"/>
              </w:rPr>
            </w:pPr>
          </w:p>
        </w:tc>
      </w:tr>
      <w:tr w14:paraId="1D3C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C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C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7.1.9儿童活动场所插座安装要求</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8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托儿所、幼儿园、小学等儿童活动场所插座安装高度不应小于1.8m。</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9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6278">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78AD">
            <w:pPr>
              <w:jc w:val="center"/>
              <w:rPr>
                <w:rFonts w:hint="eastAsia" w:ascii="宋体" w:hAnsi="宋体" w:eastAsia="宋体" w:cs="宋体"/>
                <w:i w:val="0"/>
                <w:iCs w:val="0"/>
                <w:color w:val="000000"/>
                <w:sz w:val="21"/>
                <w:szCs w:val="21"/>
                <w:u w:val="none"/>
              </w:rPr>
            </w:pPr>
          </w:p>
        </w:tc>
      </w:tr>
      <w:tr w14:paraId="32D2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F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6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7.1.10照明开关与门框距离要求</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E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照明开关边缘距门框边缘的距离应为0.15m～0.20m。</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B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1338">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E60C">
            <w:pPr>
              <w:jc w:val="center"/>
              <w:rPr>
                <w:rFonts w:hint="eastAsia" w:ascii="宋体" w:hAnsi="宋体" w:eastAsia="宋体" w:cs="宋体"/>
                <w:i w:val="0"/>
                <w:iCs w:val="0"/>
                <w:color w:val="000000"/>
                <w:sz w:val="21"/>
                <w:szCs w:val="21"/>
                <w:u w:val="none"/>
              </w:rPr>
            </w:pPr>
          </w:p>
        </w:tc>
      </w:tr>
      <w:tr w14:paraId="6688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F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F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7.2.1单相两孔插座接线要求</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3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单相两孔插座面对插座的右孔或上孔应与相线连接，左孔或下孔应与中性线连接。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C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A82F">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9E67">
            <w:pPr>
              <w:jc w:val="center"/>
              <w:rPr>
                <w:rFonts w:hint="eastAsia" w:ascii="宋体" w:hAnsi="宋体" w:eastAsia="宋体" w:cs="宋体"/>
                <w:i w:val="0"/>
                <w:iCs w:val="0"/>
                <w:color w:val="000000"/>
                <w:sz w:val="21"/>
                <w:szCs w:val="21"/>
                <w:u w:val="none"/>
              </w:rPr>
            </w:pPr>
          </w:p>
        </w:tc>
      </w:tr>
      <w:tr w14:paraId="49A2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8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7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7.2.2单相三孔插座接线要求</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6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单相三孔插座面对插座的右孔应与相线连接，左孔应与中性线连接。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9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8966">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A9AB">
            <w:pPr>
              <w:jc w:val="center"/>
              <w:rPr>
                <w:rFonts w:hint="eastAsia" w:ascii="宋体" w:hAnsi="宋体" w:eastAsia="宋体" w:cs="宋体"/>
                <w:i w:val="0"/>
                <w:iCs w:val="0"/>
                <w:color w:val="000000"/>
                <w:sz w:val="21"/>
                <w:szCs w:val="21"/>
                <w:u w:val="none"/>
              </w:rPr>
            </w:pPr>
          </w:p>
        </w:tc>
      </w:tr>
      <w:tr w14:paraId="6C5F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4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4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7.2.3同一场所三相插座线序要求</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2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同一场所的三相插座，接线的相序应一致。</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8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5E1B">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6A67">
            <w:pPr>
              <w:jc w:val="center"/>
              <w:rPr>
                <w:rFonts w:hint="eastAsia" w:ascii="宋体" w:hAnsi="宋体" w:eastAsia="宋体" w:cs="宋体"/>
                <w:i w:val="0"/>
                <w:iCs w:val="0"/>
                <w:color w:val="000000"/>
                <w:sz w:val="21"/>
                <w:szCs w:val="21"/>
                <w:u w:val="none"/>
              </w:rPr>
            </w:pPr>
          </w:p>
        </w:tc>
      </w:tr>
      <w:tr w14:paraId="2B00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8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C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7.3.1插座工作时打火、放电检测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E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有插头工作的插座，在工作时不应有过热或打火、放电现象。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6D71">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37AC">
            <w:pPr>
              <w:jc w:val="center"/>
              <w:rPr>
                <w:rFonts w:hint="eastAsia" w:ascii="宋体" w:hAnsi="宋体" w:eastAsia="宋体" w:cs="宋体"/>
                <w:i w:val="0"/>
                <w:iCs w:val="0"/>
                <w:color w:val="000000"/>
                <w:sz w:val="21"/>
                <w:szCs w:val="21"/>
                <w:u w:val="none"/>
              </w:rPr>
            </w:pPr>
          </w:p>
        </w:tc>
      </w:tr>
      <w:tr w14:paraId="5ABB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5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6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7.3.2开关工作时过热、打火、放电检测</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9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开关在工作时不应有过热或打火、放电现象。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5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2B8C">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4187">
            <w:pPr>
              <w:jc w:val="center"/>
              <w:rPr>
                <w:rFonts w:hint="eastAsia" w:ascii="宋体" w:hAnsi="宋体" w:eastAsia="宋体" w:cs="宋体"/>
                <w:i w:val="0"/>
                <w:iCs w:val="0"/>
                <w:color w:val="000000"/>
                <w:sz w:val="21"/>
                <w:szCs w:val="21"/>
                <w:u w:val="none"/>
              </w:rPr>
            </w:pPr>
          </w:p>
        </w:tc>
      </w:tr>
      <w:tr w14:paraId="44C1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3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2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7.3.3插座接地电阻要求</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C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插座的接地线路的接地电阻值应符合设计文件。</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2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6A6F">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BE5">
            <w:pPr>
              <w:jc w:val="center"/>
              <w:rPr>
                <w:rFonts w:hint="eastAsia" w:ascii="宋体" w:hAnsi="宋体" w:eastAsia="宋体" w:cs="宋体"/>
                <w:i w:val="0"/>
                <w:iCs w:val="0"/>
                <w:color w:val="000000"/>
                <w:sz w:val="21"/>
                <w:szCs w:val="21"/>
                <w:u w:val="none"/>
              </w:rPr>
            </w:pPr>
          </w:p>
        </w:tc>
      </w:tr>
      <w:tr w14:paraId="46E7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5F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w:t>
            </w:r>
          </w:p>
        </w:tc>
        <w:tc>
          <w:tcPr>
            <w:tcW w:w="79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C78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10KV及以下建筑物内等电位联结</w:t>
            </w:r>
          </w:p>
        </w:tc>
      </w:tr>
      <w:tr w14:paraId="75A5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3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B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8.5等电位联结线路的截面积</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0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等电位联结的线路最小允许截面应符合设计文件并满足表7 的要求。</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6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3076">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9AAE">
            <w:pPr>
              <w:jc w:val="center"/>
              <w:rPr>
                <w:rFonts w:hint="eastAsia" w:ascii="宋体" w:hAnsi="宋体" w:eastAsia="宋体" w:cs="宋体"/>
                <w:i w:val="0"/>
                <w:iCs w:val="0"/>
                <w:color w:val="000000"/>
                <w:sz w:val="21"/>
                <w:szCs w:val="21"/>
                <w:u w:val="none"/>
              </w:rPr>
            </w:pPr>
          </w:p>
        </w:tc>
      </w:tr>
    </w:tbl>
    <w:p w14:paraId="65D98EB8">
      <w:pPr>
        <w:pStyle w:val="3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textAlignment w:val="auto"/>
      </w:pPr>
    </w:p>
    <w:p w14:paraId="1D4AA690">
      <w:pPr>
        <w:pStyle w:val="3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textAlignment w:val="auto"/>
      </w:pPr>
    </w:p>
    <w:p w14:paraId="38057AAF">
      <w:pPr>
        <w:keepNext w:val="0"/>
        <w:keepLines w:val="0"/>
        <w:pageBreakBefore w:val="0"/>
        <w:kinsoku/>
        <w:wordWrap/>
        <w:overflowPunct/>
        <w:topLinePunct w:val="0"/>
        <w:bidi w:val="0"/>
        <w:adjustRightInd/>
        <w:snapToGrid/>
        <w:spacing w:before="69" w:line="360" w:lineRule="auto"/>
        <w:ind w:right="0"/>
        <w:textAlignment w:val="auto"/>
        <w:rPr>
          <w:rFonts w:ascii="仿宋" w:hAnsi="仿宋" w:eastAsia="仿宋" w:cs="黑体"/>
          <w:sz w:val="28"/>
          <w:szCs w:val="28"/>
        </w:rPr>
      </w:pPr>
      <w:r>
        <w:rPr>
          <w:rFonts w:hint="eastAsia" w:ascii="仿宋" w:hAnsi="仿宋" w:eastAsia="仿宋" w:cs="黑体"/>
          <w:bCs/>
          <w:spacing w:val="-7"/>
          <w:sz w:val="28"/>
          <w:szCs w:val="28"/>
          <w:lang w:val="en-US" w:eastAsia="zh-CN"/>
        </w:rPr>
        <w:t>1.</w:t>
      </w:r>
      <w:r>
        <w:rPr>
          <w:rFonts w:ascii="仿宋" w:hAnsi="仿宋" w:eastAsia="仿宋" w:cs="黑体"/>
          <w:bCs/>
          <w:spacing w:val="-7"/>
          <w:sz w:val="28"/>
          <w:szCs w:val="28"/>
        </w:rPr>
        <w:t>检测一般要求</w:t>
      </w:r>
    </w:p>
    <w:p w14:paraId="2B1F625D">
      <w:pPr>
        <w:keepNext w:val="0"/>
        <w:keepLines w:val="0"/>
        <w:pageBreakBefore w:val="0"/>
        <w:widowControl w:val="0"/>
        <w:kinsoku/>
        <w:wordWrap/>
        <w:overflowPunct/>
        <w:topLinePunct w:val="0"/>
        <w:autoSpaceDE/>
        <w:autoSpaceDN/>
        <w:bidi w:val="0"/>
        <w:adjustRightInd/>
        <w:snapToGrid/>
        <w:spacing w:line="360" w:lineRule="auto"/>
        <w:ind w:left="0" w:leftChars="0" w:right="0" w:firstLine="544" w:firstLineChars="200"/>
        <w:textAlignment w:val="auto"/>
        <w:outlineLvl w:val="0"/>
        <w:rPr>
          <w:rFonts w:ascii="仿宋" w:hAnsi="仿宋" w:eastAsia="仿宋" w:cs="黑体"/>
          <w:sz w:val="28"/>
          <w:szCs w:val="28"/>
        </w:rPr>
      </w:pPr>
      <w:bookmarkStart w:id="42" w:name="_Toc28278"/>
      <w:r>
        <w:rPr>
          <w:rFonts w:hint="eastAsia" w:ascii="仿宋" w:hAnsi="仿宋" w:eastAsia="仿宋" w:cs="黑体"/>
          <w:bCs/>
          <w:spacing w:val="-4"/>
          <w:sz w:val="28"/>
          <w:szCs w:val="28"/>
        </w:rPr>
        <w:t>1</w:t>
      </w:r>
      <w:r>
        <w:rPr>
          <w:rFonts w:ascii="仿宋" w:hAnsi="仿宋" w:eastAsia="仿宋" w:cs="黑体"/>
          <w:bCs/>
          <w:spacing w:val="-4"/>
          <w:sz w:val="28"/>
          <w:szCs w:val="28"/>
        </w:rPr>
        <w:t>.1一般规定</w:t>
      </w:r>
      <w:bookmarkEnd w:id="42"/>
    </w:p>
    <w:p w14:paraId="0BE53678">
      <w:pPr>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textAlignment w:val="auto"/>
        <w:rPr>
          <w:rFonts w:ascii="仿宋" w:hAnsi="仿宋" w:eastAsia="仿宋" w:cs="宋体"/>
          <w:sz w:val="28"/>
          <w:szCs w:val="28"/>
        </w:rPr>
      </w:pPr>
      <w:r>
        <w:rPr>
          <w:rFonts w:hint="eastAsia" w:ascii="仿宋" w:hAnsi="仿宋" w:eastAsia="仿宋"/>
          <w:bCs/>
          <w:sz w:val="28"/>
          <w:szCs w:val="28"/>
        </w:rPr>
        <w:t>1</w:t>
      </w:r>
      <w:r>
        <w:rPr>
          <w:rFonts w:ascii="仿宋" w:hAnsi="仿宋" w:eastAsia="仿宋"/>
          <w:bCs/>
          <w:sz w:val="28"/>
          <w:szCs w:val="28"/>
        </w:rPr>
        <w:t>.1.1</w:t>
      </w:r>
      <w:r>
        <w:rPr>
          <w:rFonts w:ascii="仿宋" w:hAnsi="仿宋" w:eastAsia="仿宋" w:cs="宋体"/>
          <w:sz w:val="28"/>
          <w:szCs w:val="28"/>
        </w:rPr>
        <w:t>检测仪器应经过法定计量检定机构检定、</w:t>
      </w:r>
      <w:r>
        <w:rPr>
          <w:rFonts w:ascii="仿宋" w:hAnsi="仿宋" w:eastAsia="仿宋" w:cs="宋体"/>
          <w:spacing w:val="-1"/>
          <w:sz w:val="28"/>
          <w:szCs w:val="28"/>
        </w:rPr>
        <w:t>校验合格并在有效期内。</w:t>
      </w:r>
    </w:p>
    <w:p w14:paraId="2C682886">
      <w:pPr>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textAlignment w:val="auto"/>
        <w:rPr>
          <w:rFonts w:ascii="仿宋" w:hAnsi="仿宋" w:eastAsia="仿宋" w:cs="宋体"/>
          <w:sz w:val="28"/>
          <w:szCs w:val="28"/>
        </w:rPr>
      </w:pPr>
      <w:r>
        <w:rPr>
          <w:rFonts w:hint="eastAsia" w:ascii="仿宋" w:hAnsi="仿宋" w:eastAsia="仿宋"/>
          <w:bCs/>
          <w:sz w:val="28"/>
          <w:szCs w:val="28"/>
        </w:rPr>
        <w:t>1</w:t>
      </w:r>
      <w:r>
        <w:rPr>
          <w:rFonts w:ascii="仿宋" w:hAnsi="仿宋" w:eastAsia="仿宋"/>
          <w:bCs/>
          <w:sz w:val="28"/>
          <w:szCs w:val="28"/>
        </w:rPr>
        <w:t>.1.2</w:t>
      </w:r>
      <w:r>
        <w:rPr>
          <w:rFonts w:ascii="仿宋" w:hAnsi="仿宋" w:eastAsia="仿宋" w:cs="宋体"/>
          <w:sz w:val="28"/>
          <w:szCs w:val="28"/>
        </w:rPr>
        <w:t>检测仪器的最低配置和主要技术性能参数见附录</w:t>
      </w:r>
      <w:r>
        <w:rPr>
          <w:rFonts w:ascii="仿宋" w:hAnsi="仿宋" w:eastAsia="仿宋"/>
          <w:sz w:val="28"/>
          <w:szCs w:val="28"/>
        </w:rPr>
        <w:t>A</w:t>
      </w:r>
      <w:r>
        <w:rPr>
          <w:rFonts w:ascii="仿宋" w:hAnsi="仿宋" w:eastAsia="仿宋" w:cs="宋体"/>
          <w:sz w:val="28"/>
          <w:szCs w:val="28"/>
        </w:rPr>
        <w:t>(</w:t>
      </w:r>
      <w:r>
        <w:rPr>
          <w:rFonts w:ascii="仿宋" w:hAnsi="仿宋" w:eastAsia="仿宋" w:cs="宋体"/>
          <w:spacing w:val="-1"/>
          <w:sz w:val="28"/>
          <w:szCs w:val="28"/>
        </w:rPr>
        <w:t>规范性附录)。</w:t>
      </w:r>
    </w:p>
    <w:p w14:paraId="1FD5C7B7">
      <w:pPr>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textAlignment w:val="auto"/>
        <w:rPr>
          <w:rFonts w:ascii="仿宋" w:hAnsi="仿宋" w:eastAsia="仿宋" w:cs="宋体"/>
          <w:sz w:val="28"/>
          <w:szCs w:val="28"/>
        </w:rPr>
      </w:pPr>
      <w:r>
        <w:rPr>
          <w:rFonts w:hint="eastAsia" w:ascii="仿宋" w:hAnsi="仿宋" w:eastAsia="仿宋"/>
          <w:bCs/>
          <w:sz w:val="28"/>
          <w:szCs w:val="28"/>
        </w:rPr>
        <w:t>1</w:t>
      </w:r>
      <w:r>
        <w:rPr>
          <w:rFonts w:ascii="仿宋" w:hAnsi="仿宋" w:eastAsia="仿宋"/>
          <w:bCs/>
          <w:sz w:val="28"/>
          <w:szCs w:val="28"/>
        </w:rPr>
        <w:t>.1.3</w:t>
      </w:r>
      <w:r>
        <w:rPr>
          <w:rFonts w:ascii="仿宋" w:hAnsi="仿宋" w:eastAsia="仿宋" w:cs="宋体"/>
          <w:sz w:val="28"/>
          <w:szCs w:val="28"/>
        </w:rPr>
        <w:t>检测人员在现场进行检测时，应与被测目标保持一定的安全距</w:t>
      </w:r>
      <w:r>
        <w:rPr>
          <w:rFonts w:ascii="仿宋" w:hAnsi="仿宋" w:eastAsia="仿宋" w:cs="宋体"/>
          <w:spacing w:val="-1"/>
          <w:sz w:val="28"/>
          <w:szCs w:val="28"/>
        </w:rPr>
        <w:t>离，并应遵守带电作业安全的有</w:t>
      </w:r>
      <w:r>
        <w:rPr>
          <w:rFonts w:ascii="仿宋" w:hAnsi="仿宋" w:eastAsia="仿宋" w:cs="宋体"/>
          <w:spacing w:val="-8"/>
          <w:sz w:val="28"/>
          <w:szCs w:val="28"/>
        </w:rPr>
        <w:t>关规定。</w:t>
      </w:r>
    </w:p>
    <w:p w14:paraId="4A09D74F">
      <w:pPr>
        <w:keepNext w:val="0"/>
        <w:keepLines w:val="0"/>
        <w:pageBreakBefore w:val="0"/>
        <w:widowControl w:val="0"/>
        <w:kinsoku/>
        <w:wordWrap/>
        <w:overflowPunct/>
        <w:topLinePunct w:val="0"/>
        <w:autoSpaceDE/>
        <w:autoSpaceDN/>
        <w:bidi w:val="0"/>
        <w:adjustRightInd/>
        <w:snapToGrid/>
        <w:spacing w:line="360" w:lineRule="auto"/>
        <w:ind w:left="0" w:leftChars="0" w:right="0" w:firstLine="556" w:firstLineChars="200"/>
        <w:textAlignment w:val="auto"/>
        <w:rPr>
          <w:rFonts w:ascii="仿宋" w:hAnsi="仿宋" w:eastAsia="仿宋" w:cs="宋体"/>
          <w:sz w:val="28"/>
          <w:szCs w:val="28"/>
        </w:rPr>
      </w:pPr>
      <w:r>
        <w:rPr>
          <w:rFonts w:hint="eastAsia" w:ascii="仿宋" w:hAnsi="仿宋" w:eastAsia="仿宋"/>
          <w:bCs/>
          <w:spacing w:val="-1"/>
          <w:sz w:val="28"/>
          <w:szCs w:val="28"/>
        </w:rPr>
        <w:t>1</w:t>
      </w:r>
      <w:r>
        <w:rPr>
          <w:rFonts w:ascii="仿宋" w:hAnsi="仿宋" w:eastAsia="仿宋"/>
          <w:bCs/>
          <w:spacing w:val="-1"/>
          <w:sz w:val="28"/>
          <w:szCs w:val="28"/>
        </w:rPr>
        <w:t>.1.4</w:t>
      </w:r>
      <w:r>
        <w:rPr>
          <w:rFonts w:ascii="仿宋" w:hAnsi="仿宋" w:eastAsia="仿宋" w:cs="宋体"/>
          <w:spacing w:val="-1"/>
          <w:sz w:val="28"/>
          <w:szCs w:val="28"/>
        </w:rPr>
        <w:t>隐蔽工程及材料的阻燃性能可由监</w:t>
      </w:r>
      <w:r>
        <w:rPr>
          <w:rFonts w:ascii="仿宋" w:hAnsi="仿宋" w:eastAsia="仿宋" w:cs="宋体"/>
          <w:spacing w:val="-2"/>
          <w:sz w:val="28"/>
          <w:szCs w:val="28"/>
        </w:rPr>
        <w:t>理方提供签单或受检测方提供合格证明。</w:t>
      </w:r>
    </w:p>
    <w:p w14:paraId="10C43BA7">
      <w:pPr>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textAlignment w:val="auto"/>
        <w:rPr>
          <w:rFonts w:ascii="仿宋" w:hAnsi="仿宋" w:eastAsia="仿宋" w:cs="宋体"/>
          <w:sz w:val="28"/>
          <w:szCs w:val="28"/>
        </w:rPr>
      </w:pPr>
      <w:r>
        <w:rPr>
          <w:rFonts w:hint="eastAsia" w:ascii="仿宋" w:hAnsi="仿宋" w:eastAsia="仿宋"/>
          <w:bCs/>
          <w:sz w:val="28"/>
          <w:szCs w:val="28"/>
        </w:rPr>
        <w:t>1</w:t>
      </w:r>
      <w:r>
        <w:rPr>
          <w:rFonts w:ascii="仿宋" w:hAnsi="仿宋" w:eastAsia="仿宋"/>
          <w:bCs/>
          <w:sz w:val="28"/>
          <w:szCs w:val="28"/>
        </w:rPr>
        <w:t>.1.</w:t>
      </w:r>
      <w:r>
        <w:rPr>
          <w:rFonts w:hint="eastAsia" w:ascii="仿宋" w:hAnsi="仿宋" w:eastAsia="仿宋"/>
          <w:bCs/>
          <w:sz w:val="28"/>
          <w:szCs w:val="28"/>
        </w:rPr>
        <w:t>5</w:t>
      </w:r>
      <w:r>
        <w:rPr>
          <w:rFonts w:ascii="仿宋" w:hAnsi="仿宋" w:eastAsia="仿宋" w:cs="宋体"/>
          <w:sz w:val="28"/>
          <w:szCs w:val="28"/>
        </w:rPr>
        <w:t>检测时所依据的设计文件必须合法，</w:t>
      </w:r>
      <w:r>
        <w:rPr>
          <w:rFonts w:ascii="仿宋" w:hAnsi="仿宋" w:eastAsia="仿宋" w:cs="宋体"/>
          <w:spacing w:val="-1"/>
          <w:sz w:val="28"/>
          <w:szCs w:val="28"/>
        </w:rPr>
        <w:t>检测前检测人员应充分熟悉设计文件的要求。</w:t>
      </w:r>
    </w:p>
    <w:p w14:paraId="647A6019">
      <w:pPr>
        <w:keepNext w:val="0"/>
        <w:keepLines w:val="0"/>
        <w:pageBreakBefore w:val="0"/>
        <w:widowControl w:val="0"/>
        <w:kinsoku/>
        <w:wordWrap/>
        <w:overflowPunct/>
        <w:topLinePunct w:val="0"/>
        <w:autoSpaceDE/>
        <w:autoSpaceDN/>
        <w:bidi w:val="0"/>
        <w:adjustRightInd/>
        <w:snapToGrid/>
        <w:spacing w:line="360" w:lineRule="auto"/>
        <w:ind w:left="0" w:leftChars="0" w:right="0" w:firstLine="544" w:firstLineChars="200"/>
        <w:textAlignment w:val="auto"/>
        <w:outlineLvl w:val="0"/>
        <w:rPr>
          <w:rFonts w:ascii="仿宋" w:hAnsi="仿宋" w:eastAsia="仿宋" w:cs="黑体"/>
          <w:sz w:val="28"/>
          <w:szCs w:val="28"/>
        </w:rPr>
      </w:pPr>
      <w:bookmarkStart w:id="43" w:name="_Toc10475"/>
      <w:r>
        <w:rPr>
          <w:rFonts w:ascii="仿宋" w:hAnsi="仿宋" w:eastAsia="仿宋" w:cs="黑体"/>
          <w:bCs/>
          <w:spacing w:val="-4"/>
          <w:sz w:val="28"/>
          <w:szCs w:val="28"/>
        </w:rPr>
        <w:t>2</w:t>
      </w:r>
      <w:r>
        <w:rPr>
          <w:rFonts w:hint="eastAsia" w:ascii="仿宋" w:hAnsi="仿宋" w:eastAsia="仿宋" w:cs="黑体"/>
          <w:bCs/>
          <w:spacing w:val="-4"/>
          <w:sz w:val="28"/>
          <w:szCs w:val="28"/>
          <w:lang w:eastAsia="zh-CN"/>
        </w:rPr>
        <w:t>、</w:t>
      </w:r>
      <w:r>
        <w:rPr>
          <w:rFonts w:ascii="仿宋" w:hAnsi="仿宋" w:eastAsia="仿宋" w:cs="黑体"/>
          <w:bCs/>
          <w:spacing w:val="-3"/>
          <w:sz w:val="28"/>
          <w:szCs w:val="28"/>
        </w:rPr>
        <w:t>检验项目的电气火灾危险性分类</w:t>
      </w:r>
      <w:bookmarkEnd w:id="43"/>
    </w:p>
    <w:p w14:paraId="372D9B87">
      <w:pPr>
        <w:keepNext w:val="0"/>
        <w:keepLines w:val="0"/>
        <w:pageBreakBefore w:val="0"/>
        <w:widowControl w:val="0"/>
        <w:kinsoku/>
        <w:wordWrap/>
        <w:overflowPunct/>
        <w:topLinePunct w:val="0"/>
        <w:autoSpaceDE/>
        <w:autoSpaceDN/>
        <w:bidi w:val="0"/>
        <w:adjustRightInd/>
        <w:snapToGrid/>
        <w:spacing w:line="360" w:lineRule="auto"/>
        <w:ind w:left="0" w:leftChars="0" w:right="0" w:firstLine="540" w:firstLineChars="200"/>
        <w:textAlignment w:val="auto"/>
        <w:rPr>
          <w:rFonts w:ascii="仿宋" w:hAnsi="仿宋" w:eastAsia="仿宋" w:cs="宋体"/>
          <w:sz w:val="28"/>
          <w:szCs w:val="28"/>
        </w:rPr>
      </w:pPr>
      <w:r>
        <w:rPr>
          <w:rFonts w:hint="eastAsia" w:ascii="仿宋" w:hAnsi="仿宋" w:eastAsia="仿宋" w:cs="宋体"/>
          <w:bCs/>
          <w:spacing w:val="-5"/>
          <w:sz w:val="28"/>
          <w:szCs w:val="28"/>
        </w:rPr>
        <w:t>1.3</w:t>
      </w:r>
      <w:r>
        <w:rPr>
          <w:rFonts w:ascii="仿宋" w:hAnsi="仿宋" w:eastAsia="仿宋" w:cs="宋体"/>
          <w:bCs/>
          <w:spacing w:val="-5"/>
          <w:sz w:val="28"/>
          <w:szCs w:val="28"/>
        </w:rPr>
        <w:t>.1</w:t>
      </w:r>
      <w:r>
        <w:rPr>
          <w:rFonts w:ascii="仿宋" w:hAnsi="仿宋" w:eastAsia="仿宋" w:cs="宋体"/>
          <w:spacing w:val="21"/>
          <w:sz w:val="28"/>
          <w:szCs w:val="28"/>
        </w:rPr>
        <w:t>A类项(关键项)</w:t>
      </w:r>
      <w:r>
        <w:rPr>
          <w:rFonts w:ascii="仿宋" w:hAnsi="仿宋" w:eastAsia="仿宋" w:cs="宋体"/>
          <w:sz w:val="28"/>
          <w:szCs w:val="28"/>
        </w:rPr>
        <w:t>Thekeyitems</w:t>
      </w:r>
    </w:p>
    <w:p w14:paraId="0A149CA7">
      <w:pPr>
        <w:keepNext w:val="0"/>
        <w:keepLines w:val="0"/>
        <w:pageBreakBefore w:val="0"/>
        <w:widowControl w:val="0"/>
        <w:kinsoku/>
        <w:wordWrap/>
        <w:overflowPunct/>
        <w:topLinePunct w:val="0"/>
        <w:autoSpaceDE/>
        <w:autoSpaceDN/>
        <w:bidi w:val="0"/>
        <w:adjustRightInd/>
        <w:snapToGrid/>
        <w:spacing w:line="360" w:lineRule="auto"/>
        <w:ind w:left="0" w:leftChars="0" w:right="0" w:firstLine="552" w:firstLineChars="200"/>
        <w:textAlignment w:val="auto"/>
        <w:rPr>
          <w:rFonts w:ascii="仿宋" w:hAnsi="仿宋" w:eastAsia="仿宋" w:cs="宋体"/>
          <w:sz w:val="28"/>
          <w:szCs w:val="28"/>
        </w:rPr>
      </w:pPr>
      <w:r>
        <w:rPr>
          <w:rFonts w:ascii="仿宋" w:hAnsi="仿宋" w:eastAsia="仿宋" w:cs="宋体"/>
          <w:spacing w:val="-2"/>
          <w:sz w:val="28"/>
          <w:szCs w:val="28"/>
        </w:rPr>
        <w:t>存在严重火灾危险，若不及时整改可能引发火灾。</w:t>
      </w:r>
    </w:p>
    <w:p w14:paraId="28EEEF89">
      <w:pPr>
        <w:keepNext w:val="0"/>
        <w:keepLines w:val="0"/>
        <w:pageBreakBefore w:val="0"/>
        <w:widowControl w:val="0"/>
        <w:kinsoku/>
        <w:wordWrap/>
        <w:overflowPunct/>
        <w:topLinePunct w:val="0"/>
        <w:autoSpaceDE/>
        <w:autoSpaceDN/>
        <w:bidi w:val="0"/>
        <w:adjustRightInd/>
        <w:snapToGrid/>
        <w:spacing w:line="360" w:lineRule="auto"/>
        <w:ind w:left="0" w:leftChars="0" w:right="0" w:firstLine="540" w:firstLineChars="200"/>
        <w:textAlignment w:val="auto"/>
        <w:rPr>
          <w:rFonts w:ascii="仿宋" w:hAnsi="仿宋" w:eastAsia="仿宋" w:cs="宋体"/>
          <w:sz w:val="28"/>
          <w:szCs w:val="28"/>
        </w:rPr>
      </w:pPr>
      <w:r>
        <w:rPr>
          <w:rFonts w:hint="eastAsia" w:ascii="仿宋" w:hAnsi="仿宋" w:eastAsia="仿宋" w:cs="宋体"/>
          <w:bCs/>
          <w:spacing w:val="-5"/>
          <w:sz w:val="28"/>
          <w:szCs w:val="28"/>
        </w:rPr>
        <w:t>1.3</w:t>
      </w:r>
      <w:r>
        <w:rPr>
          <w:rFonts w:ascii="仿宋" w:hAnsi="仿宋" w:eastAsia="仿宋" w:cs="宋体"/>
          <w:bCs/>
          <w:spacing w:val="-5"/>
          <w:sz w:val="28"/>
          <w:szCs w:val="28"/>
        </w:rPr>
        <w:t>.2</w:t>
      </w:r>
      <w:r>
        <w:rPr>
          <w:rFonts w:ascii="仿宋" w:hAnsi="仿宋" w:eastAsia="仿宋" w:cs="宋体"/>
          <w:spacing w:val="21"/>
          <w:sz w:val="28"/>
          <w:szCs w:val="28"/>
        </w:rPr>
        <w:t>B类项(主要项)</w:t>
      </w:r>
      <w:r>
        <w:rPr>
          <w:rFonts w:ascii="仿宋" w:hAnsi="仿宋" w:eastAsia="仿宋" w:cs="宋体"/>
          <w:sz w:val="28"/>
          <w:szCs w:val="28"/>
        </w:rPr>
        <w:t>Themainitems</w:t>
      </w:r>
    </w:p>
    <w:p w14:paraId="0DE56AEE">
      <w:pPr>
        <w:keepNext w:val="0"/>
        <w:keepLines w:val="0"/>
        <w:pageBreakBefore w:val="0"/>
        <w:widowControl w:val="0"/>
        <w:kinsoku/>
        <w:wordWrap/>
        <w:overflowPunct/>
        <w:topLinePunct w:val="0"/>
        <w:autoSpaceDE/>
        <w:autoSpaceDN/>
        <w:bidi w:val="0"/>
        <w:adjustRightInd/>
        <w:snapToGrid/>
        <w:spacing w:line="360" w:lineRule="auto"/>
        <w:ind w:left="0" w:leftChars="0" w:right="0" w:firstLine="552" w:firstLineChars="200"/>
        <w:textAlignment w:val="auto"/>
        <w:rPr>
          <w:rFonts w:ascii="仿宋" w:hAnsi="仿宋" w:eastAsia="仿宋" w:cs="宋体"/>
          <w:sz w:val="28"/>
          <w:szCs w:val="28"/>
        </w:rPr>
      </w:pPr>
      <w:r>
        <w:rPr>
          <w:rFonts w:ascii="仿宋" w:hAnsi="仿宋" w:eastAsia="仿宋" w:cs="宋体"/>
          <w:spacing w:val="-2"/>
          <w:sz w:val="28"/>
          <w:szCs w:val="28"/>
        </w:rPr>
        <w:t>存在较严重火灾危险，引发火灾的可能性较大。</w:t>
      </w:r>
    </w:p>
    <w:p w14:paraId="35659411">
      <w:pPr>
        <w:keepNext w:val="0"/>
        <w:keepLines w:val="0"/>
        <w:pageBreakBefore w:val="0"/>
        <w:widowControl w:val="0"/>
        <w:kinsoku/>
        <w:wordWrap/>
        <w:overflowPunct/>
        <w:topLinePunct w:val="0"/>
        <w:autoSpaceDE/>
        <w:autoSpaceDN/>
        <w:bidi w:val="0"/>
        <w:adjustRightInd/>
        <w:snapToGrid/>
        <w:spacing w:line="360" w:lineRule="auto"/>
        <w:ind w:left="0" w:leftChars="0" w:right="0" w:firstLine="540" w:firstLineChars="200"/>
        <w:textAlignment w:val="auto"/>
        <w:rPr>
          <w:rFonts w:ascii="仿宋" w:hAnsi="仿宋" w:eastAsia="仿宋" w:cs="宋体"/>
          <w:sz w:val="28"/>
          <w:szCs w:val="28"/>
        </w:rPr>
      </w:pPr>
      <w:r>
        <w:rPr>
          <w:rFonts w:hint="eastAsia" w:ascii="仿宋" w:hAnsi="仿宋" w:eastAsia="仿宋" w:cs="宋体"/>
          <w:bCs/>
          <w:spacing w:val="-5"/>
          <w:sz w:val="28"/>
          <w:szCs w:val="28"/>
        </w:rPr>
        <w:t>1.3</w:t>
      </w:r>
      <w:r>
        <w:rPr>
          <w:rFonts w:ascii="仿宋" w:hAnsi="仿宋" w:eastAsia="仿宋" w:cs="宋体"/>
          <w:bCs/>
          <w:spacing w:val="-5"/>
          <w:sz w:val="28"/>
          <w:szCs w:val="28"/>
        </w:rPr>
        <w:t>.3</w:t>
      </w:r>
      <w:r>
        <w:rPr>
          <w:rFonts w:ascii="仿宋" w:hAnsi="仿宋" w:eastAsia="仿宋" w:cs="宋体"/>
          <w:spacing w:val="16"/>
          <w:sz w:val="28"/>
          <w:szCs w:val="28"/>
        </w:rPr>
        <w:t>C类项(一般项)</w:t>
      </w:r>
      <w:r>
        <w:rPr>
          <w:rFonts w:ascii="仿宋" w:hAnsi="仿宋" w:eastAsia="仿宋" w:cs="宋体"/>
          <w:sz w:val="28"/>
          <w:szCs w:val="28"/>
        </w:rPr>
        <w:t>Generalitems</w:t>
      </w:r>
    </w:p>
    <w:p w14:paraId="74D6F9AD">
      <w:pPr>
        <w:keepNext w:val="0"/>
        <w:keepLines w:val="0"/>
        <w:pageBreakBefore w:val="0"/>
        <w:widowControl w:val="0"/>
        <w:kinsoku/>
        <w:wordWrap/>
        <w:overflowPunct/>
        <w:topLinePunct w:val="0"/>
        <w:autoSpaceDE/>
        <w:autoSpaceDN/>
        <w:bidi w:val="0"/>
        <w:adjustRightInd/>
        <w:snapToGrid/>
        <w:spacing w:line="360" w:lineRule="auto"/>
        <w:ind w:left="0" w:leftChars="0" w:right="0" w:firstLine="548" w:firstLineChars="200"/>
        <w:textAlignment w:val="auto"/>
        <w:rPr>
          <w:rFonts w:ascii="仿宋" w:hAnsi="仿宋" w:eastAsia="仿宋" w:cs="宋体"/>
          <w:sz w:val="28"/>
          <w:szCs w:val="28"/>
        </w:rPr>
      </w:pPr>
      <w:r>
        <w:rPr>
          <w:rFonts w:ascii="仿宋" w:hAnsi="仿宋" w:eastAsia="仿宋" w:cs="宋体"/>
          <w:spacing w:val="-3"/>
          <w:sz w:val="28"/>
          <w:szCs w:val="28"/>
        </w:rPr>
        <w:t>存在一般火灾危险，长时间运行可能引发火灾。</w:t>
      </w:r>
    </w:p>
    <w:p w14:paraId="6BFB5081">
      <w:pPr>
        <w:keepNext w:val="0"/>
        <w:keepLines w:val="0"/>
        <w:widowControl/>
        <w:suppressLineNumbers w:val="0"/>
        <w:jc w:val="left"/>
        <w:rPr>
          <w:rFonts w:hint="eastAsia" w:ascii="仿宋_GB2312" w:hAnsi="仿宋_GB2312" w:eastAsia="仿宋_GB2312" w:cs="仿宋_GB2312"/>
          <w:sz w:val="28"/>
          <w:szCs w:val="28"/>
        </w:rPr>
      </w:pPr>
      <w:bookmarkStart w:id="44" w:name="_Toc449097082"/>
      <w:r>
        <w:rPr>
          <w:rFonts w:hint="eastAsia" w:ascii="仿宋_GB2312" w:hAnsi="仿宋_GB2312" w:eastAsia="仿宋_GB2312" w:cs="仿宋_GB2312"/>
          <w:color w:val="000000"/>
          <w:kern w:val="0"/>
          <w:sz w:val="28"/>
          <w:szCs w:val="28"/>
          <w:lang w:val="en-US" w:eastAsia="zh-CN" w:bidi="ar"/>
        </w:rPr>
        <w:t xml:space="preserve"> 变配电设备、低压配电柜（箱）以及功率不小于 10kW 的用电设备应全部检测；一般用电电器如低压用电设备、照明装置、开关、插座等抽检率不低于 30%；规模较小场所内所有电气设备全部检测。 </w:t>
      </w:r>
    </w:p>
    <w:p w14:paraId="468B45F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3.2.2 电气线路的敷设应按照楼层或防火分区进行，每楼层、防火分区至少抽检 1 处。 </w:t>
      </w:r>
    </w:p>
    <w:p w14:paraId="1A13BCB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3.3 检测前的准备 </w:t>
      </w:r>
    </w:p>
    <w:p w14:paraId="5451234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3.3.1 受检的电气线路和设备运行时，其负载率应大于 30％。 </w:t>
      </w:r>
    </w:p>
    <w:p w14:paraId="267FEEBA">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3.3.2 受检的电气线路和设备，应经过 1h 以上时间的运行，达到正常的热稳定状态，其温度变化率应小于 1℃／h。</w:t>
      </w:r>
    </w:p>
    <w:p w14:paraId="1672A7C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 </w:t>
      </w:r>
    </w:p>
    <w:p w14:paraId="6038B30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 变配电设备 </w:t>
      </w:r>
    </w:p>
    <w:p w14:paraId="2C2FE68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4.1 变配电所的设置 </w:t>
      </w:r>
    </w:p>
    <w:p w14:paraId="1F56D0D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4.1.1 变配电所设置位置应符合设计文件。 </w:t>
      </w:r>
    </w:p>
    <w:p w14:paraId="770B2B3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4.1.2 高、低压配电室和变压器室、电容器室、控制室内不应有与其无关的管道和线路通过。 </w:t>
      </w:r>
    </w:p>
    <w:p w14:paraId="7B82565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4.1.3 变压器室、电容器室采用机械通风时，通风管道应采用非燃烧材料制作。 </w:t>
      </w:r>
    </w:p>
    <w:p w14:paraId="7D91AAD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4.1.4 变压器室、配电室、电容器室等应设置防止雨、雪和蛇、鼠类小动物从采光窗、通风窗、门、 电缆沟等进入室内的设施。 </w:t>
      </w:r>
    </w:p>
    <w:p w14:paraId="59ABF76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4.1.5 在配电室内裸导体正上方，不应布置灯具和明敷线路。 </w:t>
      </w:r>
    </w:p>
    <w:p w14:paraId="5158180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4.1.6 在配电室内裸导体上方布置灯具时，灯具与裸导体的水平间距不应小于 1.0m，灯具不得采用吊链和软线吊装。 </w:t>
      </w:r>
    </w:p>
    <w:p w14:paraId="0E80739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 变压器的设置 </w:t>
      </w:r>
    </w:p>
    <w:p w14:paraId="1E04624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4.2.1 变压器的安装位置应符合设计文件。 </w:t>
      </w:r>
    </w:p>
    <w:p w14:paraId="7FCBDBB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4.2.2 变压器应无锈蚀及机械损伤。 </w:t>
      </w:r>
    </w:p>
    <w:p w14:paraId="2D781A6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4.2.3 油浸变压器的吸湿器与储油柜间的连接管的密封应良好。 </w:t>
      </w:r>
    </w:p>
    <w:p w14:paraId="4B676AA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4.2.4 油浸变压器的吸湿剂应干燥。 </w:t>
      </w:r>
    </w:p>
    <w:p w14:paraId="46477AE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4.2.5 油量为 1000kg 及以上的油浸电力变压器下面应设置储存变压器全部油量的事故储油设施。 </w:t>
      </w:r>
    </w:p>
    <w:p w14:paraId="2B60CF0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4.2.6 油浸变压器油位正常，无渗油现象。 </w:t>
      </w:r>
    </w:p>
    <w:p w14:paraId="60D1D6C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4.2.7 变压器低压部位连接点（含端子）引线接头、母线连接处、电缆终端头的温升不应超过表 1、表 2 的规定。 </w:t>
      </w:r>
    </w:p>
    <w:p w14:paraId="32E876DF">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表1 交流低压母线装置各部位的允许温升值 </w:t>
      </w:r>
    </w:p>
    <w:tbl>
      <w:tblPr>
        <w:tblStyle w:val="47"/>
        <w:tblpPr w:leftFromText="180" w:rightFromText="180" w:vertAnchor="text" w:horzAnchor="page" w:tblpX="1805" w:tblpY="184"/>
        <w:tblOverlap w:val="never"/>
        <w:tblW w:w="94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3"/>
        <w:gridCol w:w="2717"/>
        <w:gridCol w:w="4656"/>
      </w:tblGrid>
      <w:tr w14:paraId="50E5D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790" w:type="dxa"/>
            <w:gridSpan w:val="2"/>
            <w:noWrap w:val="0"/>
            <w:vAlign w:val="top"/>
          </w:tcPr>
          <w:p w14:paraId="089FBE67">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部位</w:t>
            </w:r>
          </w:p>
        </w:tc>
        <w:tc>
          <w:tcPr>
            <w:tcW w:w="4656" w:type="dxa"/>
            <w:noWrap w:val="0"/>
            <w:vAlign w:val="top"/>
          </w:tcPr>
          <w:p w14:paraId="7A6C0D8C">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周围空气温度为40℃的允许温升(K)</w:t>
            </w:r>
          </w:p>
        </w:tc>
      </w:tr>
      <w:tr w14:paraId="0A12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073" w:type="dxa"/>
            <w:vMerge w:val="restart"/>
            <w:tcBorders>
              <w:bottom w:val="nil"/>
            </w:tcBorders>
            <w:noWrap w:val="0"/>
            <w:vAlign w:val="top"/>
          </w:tcPr>
          <w:p w14:paraId="453D56DC">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p w14:paraId="22D24649">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母线上插接式</w:t>
            </w:r>
          </w:p>
          <w:p w14:paraId="66969756">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触点</w:t>
            </w:r>
          </w:p>
        </w:tc>
        <w:tc>
          <w:tcPr>
            <w:tcW w:w="2717" w:type="dxa"/>
            <w:noWrap w:val="0"/>
            <w:vAlign w:val="top"/>
          </w:tcPr>
          <w:p w14:paraId="0DA7D1DB">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铜母线</w:t>
            </w:r>
          </w:p>
        </w:tc>
        <w:tc>
          <w:tcPr>
            <w:tcW w:w="4656" w:type="dxa"/>
            <w:noWrap w:val="0"/>
            <w:vAlign w:val="top"/>
          </w:tcPr>
          <w:p w14:paraId="6DF57BA2">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60</w:t>
            </w:r>
          </w:p>
        </w:tc>
      </w:tr>
      <w:tr w14:paraId="0BBC4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073" w:type="dxa"/>
            <w:vMerge w:val="continue"/>
            <w:tcBorders>
              <w:top w:val="nil"/>
            </w:tcBorders>
            <w:noWrap w:val="0"/>
            <w:vAlign w:val="top"/>
          </w:tcPr>
          <w:p w14:paraId="14BE5AC6">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tc>
        <w:tc>
          <w:tcPr>
            <w:tcW w:w="2717" w:type="dxa"/>
            <w:noWrap w:val="0"/>
            <w:vAlign w:val="top"/>
          </w:tcPr>
          <w:p w14:paraId="20FCCF4D">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注：镀锡铝母线</w:t>
            </w:r>
          </w:p>
        </w:tc>
        <w:tc>
          <w:tcPr>
            <w:tcW w:w="4656" w:type="dxa"/>
            <w:noWrap w:val="0"/>
            <w:vAlign w:val="top"/>
          </w:tcPr>
          <w:p w14:paraId="7F2E8843">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22</w:t>
            </w:r>
          </w:p>
        </w:tc>
      </w:tr>
      <w:tr w14:paraId="4C905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073" w:type="dxa"/>
            <w:vMerge w:val="restart"/>
            <w:tcBorders>
              <w:bottom w:val="nil"/>
            </w:tcBorders>
            <w:noWrap w:val="0"/>
            <w:vAlign w:val="top"/>
          </w:tcPr>
          <w:p w14:paraId="74332BC5">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p w14:paraId="5206F6C6">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p w14:paraId="230CAB45">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p w14:paraId="60EE7D35">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p w14:paraId="44F240B3">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p w14:paraId="2CD29D8F">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母线相互连接处</w:t>
            </w:r>
          </w:p>
        </w:tc>
        <w:tc>
          <w:tcPr>
            <w:tcW w:w="2717" w:type="dxa"/>
            <w:noWrap w:val="0"/>
            <w:vAlign w:val="top"/>
          </w:tcPr>
          <w:p w14:paraId="0C36C702">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铜-铜</w:t>
            </w:r>
          </w:p>
        </w:tc>
        <w:tc>
          <w:tcPr>
            <w:tcW w:w="4656" w:type="dxa"/>
            <w:noWrap w:val="0"/>
            <w:vAlign w:val="top"/>
          </w:tcPr>
          <w:p w14:paraId="5B11E4ED">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20</w:t>
            </w:r>
          </w:p>
        </w:tc>
      </w:tr>
      <w:tr w14:paraId="21EEE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073" w:type="dxa"/>
            <w:vMerge w:val="continue"/>
            <w:tcBorders>
              <w:top w:val="nil"/>
              <w:bottom w:val="nil"/>
            </w:tcBorders>
            <w:noWrap w:val="0"/>
            <w:vAlign w:val="top"/>
          </w:tcPr>
          <w:p w14:paraId="2948E0F1">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tc>
        <w:tc>
          <w:tcPr>
            <w:tcW w:w="2717" w:type="dxa"/>
            <w:noWrap w:val="0"/>
            <w:vAlign w:val="top"/>
          </w:tcPr>
          <w:p w14:paraId="22106FB6">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铜搪锡--铜搪锡</w:t>
            </w:r>
          </w:p>
        </w:tc>
        <w:tc>
          <w:tcPr>
            <w:tcW w:w="4656" w:type="dxa"/>
            <w:noWrap w:val="0"/>
            <w:vAlign w:val="top"/>
          </w:tcPr>
          <w:p w14:paraId="5C4464F3">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60</w:t>
            </w:r>
          </w:p>
        </w:tc>
      </w:tr>
      <w:tr w14:paraId="2E6CF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073" w:type="dxa"/>
            <w:vMerge w:val="continue"/>
            <w:tcBorders>
              <w:top w:val="nil"/>
              <w:bottom w:val="nil"/>
            </w:tcBorders>
            <w:noWrap w:val="0"/>
            <w:vAlign w:val="top"/>
          </w:tcPr>
          <w:p w14:paraId="381F41F2">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tc>
        <w:tc>
          <w:tcPr>
            <w:tcW w:w="2717" w:type="dxa"/>
            <w:noWrap w:val="0"/>
            <w:vAlign w:val="top"/>
          </w:tcPr>
          <w:p w14:paraId="573FC8EF">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铜镀银--铝搪银</w:t>
            </w:r>
          </w:p>
        </w:tc>
        <w:tc>
          <w:tcPr>
            <w:tcW w:w="4656" w:type="dxa"/>
            <w:noWrap w:val="0"/>
            <w:vAlign w:val="top"/>
          </w:tcPr>
          <w:p w14:paraId="021E8018">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80</w:t>
            </w:r>
          </w:p>
        </w:tc>
      </w:tr>
      <w:tr w14:paraId="5849A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073" w:type="dxa"/>
            <w:vMerge w:val="continue"/>
            <w:tcBorders>
              <w:top w:val="nil"/>
              <w:bottom w:val="nil"/>
            </w:tcBorders>
            <w:noWrap w:val="0"/>
            <w:vAlign w:val="top"/>
          </w:tcPr>
          <w:p w14:paraId="5540CDB2">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tc>
        <w:tc>
          <w:tcPr>
            <w:tcW w:w="2717" w:type="dxa"/>
            <w:noWrap w:val="0"/>
            <w:vAlign w:val="top"/>
          </w:tcPr>
          <w:p w14:paraId="3EFC43C1">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铝搪锡--铝搪锡</w:t>
            </w:r>
          </w:p>
        </w:tc>
        <w:tc>
          <w:tcPr>
            <w:tcW w:w="4656" w:type="dxa"/>
            <w:noWrap w:val="0"/>
            <w:vAlign w:val="top"/>
          </w:tcPr>
          <w:p w14:paraId="3A0B600F">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22</w:t>
            </w:r>
          </w:p>
        </w:tc>
      </w:tr>
      <w:tr w14:paraId="320DA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073" w:type="dxa"/>
            <w:vMerge w:val="continue"/>
            <w:tcBorders>
              <w:top w:val="nil"/>
            </w:tcBorders>
            <w:noWrap w:val="0"/>
            <w:vAlign w:val="top"/>
          </w:tcPr>
          <w:p w14:paraId="01D5D857">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p>
        </w:tc>
        <w:tc>
          <w:tcPr>
            <w:tcW w:w="2717" w:type="dxa"/>
            <w:noWrap w:val="0"/>
            <w:vAlign w:val="top"/>
          </w:tcPr>
          <w:p w14:paraId="088889B6">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铝搪锡--铜搪锡</w:t>
            </w:r>
          </w:p>
        </w:tc>
        <w:tc>
          <w:tcPr>
            <w:tcW w:w="4656" w:type="dxa"/>
            <w:noWrap w:val="0"/>
            <w:vAlign w:val="top"/>
          </w:tcPr>
          <w:p w14:paraId="36794498">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22</w:t>
            </w:r>
          </w:p>
        </w:tc>
      </w:tr>
    </w:tbl>
    <w:p w14:paraId="30CBBAA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表2 低压电器与外部连接的接线端子的允许温升值</w:t>
      </w:r>
    </w:p>
    <w:p w14:paraId="569BB870">
      <w:pPr>
        <w:keepNext w:val="0"/>
        <w:keepLines w:val="0"/>
        <w:pageBreakBefore w:val="0"/>
        <w:kinsoku/>
        <w:wordWrap/>
        <w:overflowPunct/>
        <w:topLinePunct w:val="0"/>
        <w:bidi w:val="0"/>
        <w:spacing w:line="157" w:lineRule="exact"/>
        <w:ind w:left="0" w:leftChars="0" w:right="0" w:firstLine="560" w:firstLineChars="200"/>
        <w:textAlignment w:val="auto"/>
        <w:rPr>
          <w:rFonts w:hint="eastAsia" w:ascii="仿宋_GB2312" w:hAnsi="仿宋_GB2312" w:eastAsia="仿宋_GB2312" w:cs="仿宋_GB2312"/>
          <w:sz w:val="28"/>
          <w:szCs w:val="28"/>
        </w:rPr>
      </w:pPr>
    </w:p>
    <w:tbl>
      <w:tblPr>
        <w:tblStyle w:val="47"/>
        <w:tblW w:w="95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0"/>
        <w:gridCol w:w="4790"/>
      </w:tblGrid>
      <w:tr w14:paraId="5DD41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4780" w:type="dxa"/>
            <w:noWrap w:val="0"/>
            <w:vAlign w:val="top"/>
          </w:tcPr>
          <w:p w14:paraId="68B08663">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接线端子材料</w:t>
            </w:r>
          </w:p>
        </w:tc>
        <w:tc>
          <w:tcPr>
            <w:tcW w:w="4790" w:type="dxa"/>
            <w:noWrap w:val="0"/>
            <w:vAlign w:val="top"/>
          </w:tcPr>
          <w:p w14:paraId="6C99AF50">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周围空气温度为40℃的允许温升(K)</w:t>
            </w:r>
          </w:p>
        </w:tc>
      </w:tr>
      <w:tr w14:paraId="71BC7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780" w:type="dxa"/>
            <w:noWrap w:val="0"/>
            <w:vAlign w:val="top"/>
          </w:tcPr>
          <w:p w14:paraId="341A6B8C">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裸铜</w:t>
            </w:r>
          </w:p>
        </w:tc>
        <w:tc>
          <w:tcPr>
            <w:tcW w:w="4790" w:type="dxa"/>
            <w:noWrap w:val="0"/>
            <w:vAlign w:val="top"/>
          </w:tcPr>
          <w:p w14:paraId="5A835C0F">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60</w:t>
            </w:r>
          </w:p>
        </w:tc>
      </w:tr>
      <w:tr w14:paraId="03703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780" w:type="dxa"/>
            <w:noWrap w:val="0"/>
            <w:vAlign w:val="top"/>
          </w:tcPr>
          <w:p w14:paraId="7C3EC2C8">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裸黄铜</w:t>
            </w:r>
          </w:p>
        </w:tc>
        <w:tc>
          <w:tcPr>
            <w:tcW w:w="4790" w:type="dxa"/>
            <w:noWrap w:val="0"/>
            <w:vAlign w:val="top"/>
          </w:tcPr>
          <w:p w14:paraId="5BBDAA8F">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62</w:t>
            </w:r>
          </w:p>
        </w:tc>
      </w:tr>
    </w:tbl>
    <w:p w14:paraId="49F93A91">
      <w:pPr>
        <w:keepNext w:val="0"/>
        <w:keepLines w:val="0"/>
        <w:pageBreakBefore w:val="0"/>
        <w:kinsoku/>
        <w:wordWrap/>
        <w:overflowPunct/>
        <w:topLinePunct w:val="0"/>
        <w:bidi w:val="0"/>
        <w:spacing w:before="212" w:line="219" w:lineRule="auto"/>
        <w:ind w:right="0"/>
        <w:jc w:val="both"/>
        <w:textAlignment w:val="auto"/>
        <w:rPr>
          <w:rFonts w:hint="eastAsia" w:ascii="仿宋_GB2312" w:hAnsi="仿宋_GB2312" w:eastAsia="仿宋_GB2312" w:cs="仿宋_GB2312"/>
          <w:spacing w:val="-3"/>
          <w:sz w:val="28"/>
          <w:szCs w:val="28"/>
        </w:rPr>
      </w:pPr>
    </w:p>
    <w:tbl>
      <w:tblPr>
        <w:tblStyle w:val="47"/>
        <w:tblW w:w="9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0"/>
        <w:gridCol w:w="4770"/>
      </w:tblGrid>
      <w:tr w14:paraId="00FA4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790" w:type="dxa"/>
            <w:noWrap w:val="0"/>
            <w:vAlign w:val="top"/>
          </w:tcPr>
          <w:p w14:paraId="1B15BBC2">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铜(或黄铜)镀锡</w:t>
            </w:r>
          </w:p>
        </w:tc>
        <w:tc>
          <w:tcPr>
            <w:tcW w:w="4770" w:type="dxa"/>
            <w:noWrap w:val="0"/>
            <w:vAlign w:val="top"/>
          </w:tcPr>
          <w:p w14:paraId="5CA0C09F">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62</w:t>
            </w:r>
          </w:p>
        </w:tc>
      </w:tr>
      <w:tr w14:paraId="0441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790" w:type="dxa"/>
            <w:noWrap w:val="0"/>
            <w:vAlign w:val="top"/>
          </w:tcPr>
          <w:p w14:paraId="6A6860CB">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注：铜(或黄铜)镀银或镀镍</w:t>
            </w:r>
          </w:p>
        </w:tc>
        <w:tc>
          <w:tcPr>
            <w:tcW w:w="4770" w:type="dxa"/>
            <w:noWrap w:val="0"/>
            <w:vAlign w:val="top"/>
          </w:tcPr>
          <w:p w14:paraId="19518265">
            <w:pPr>
              <w:keepNext w:val="0"/>
              <w:keepLines w:val="0"/>
              <w:pageBreakBefore w:val="0"/>
              <w:kinsoku/>
              <w:wordWrap/>
              <w:overflowPunct/>
              <w:topLinePunct w:val="0"/>
              <w:bidi w:val="0"/>
              <w:spacing w:before="212" w:line="219"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70</w:t>
            </w:r>
          </w:p>
        </w:tc>
      </w:tr>
    </w:tbl>
    <w:p w14:paraId="3CBDB70E">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p>
    <w:p w14:paraId="61ECAEA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4.2.8 各部位接地应可靠，紧固件及防松零件应齐全。 </w:t>
      </w:r>
    </w:p>
    <w:p w14:paraId="7A35458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4.2.9 变压器接地线路的接地电阻值应符合设计文件。 </w:t>
      </w:r>
    </w:p>
    <w:p w14:paraId="3BE91FB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4.3 并联低压电容器装置设置 </w:t>
      </w:r>
    </w:p>
    <w:p w14:paraId="79342E7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4.3.1 电容器装置的设置位置应符合设计文件。 </w:t>
      </w:r>
    </w:p>
    <w:p w14:paraId="386BB0E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4.3.2 电容器外表应无锈蚀，所有接缝不应有裂缝或渗油。 </w:t>
      </w:r>
    </w:p>
    <w:p w14:paraId="1B4F53D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4.3.3 电容器外壳应无凹凸或渗油现象。 </w:t>
      </w:r>
    </w:p>
    <w:p w14:paraId="5925EC4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4.3.4 引出端子连接应牢固，垫圈、螺母应齐全。 </w:t>
      </w:r>
    </w:p>
    <w:p w14:paraId="16EBA77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4.3.5 回路中熔断器熔体的额定电流应符合设计文件。 </w:t>
      </w:r>
    </w:p>
    <w:p w14:paraId="2167866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4.3.6 电容器外壳及构架的接地应可靠。 </w:t>
      </w:r>
    </w:p>
    <w:p w14:paraId="145D719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4.3.7 运行中的电容器应无打火放电现象。 </w:t>
      </w:r>
    </w:p>
    <w:p w14:paraId="7D11DD1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4.3.8 运行中的电容器接线端子的温升应符合本规范表 2 要求。 DB37/ 655—2011 </w:t>
      </w:r>
    </w:p>
    <w:p w14:paraId="7370D5A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 低压配电柜（箱） </w:t>
      </w:r>
    </w:p>
    <w:p w14:paraId="7D12AE4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 一般技术要求 </w:t>
      </w:r>
    </w:p>
    <w:p w14:paraId="595E343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 配电柜（箱）不应采用可燃材料制作。 </w:t>
      </w:r>
    </w:p>
    <w:p w14:paraId="6CE18C7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5.1.2 配电柜（箱）周围 0.3m 内不应堆放杂物。 </w:t>
      </w:r>
    </w:p>
    <w:p w14:paraId="5E7CAB6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5.1.3 配电柜（箱）箱体不应直接安装在低于 B1 级的装修材料上。 </w:t>
      </w:r>
    </w:p>
    <w:p w14:paraId="03C4E86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5.1.4 配电柜（箱）的金属框架及基础型钢应接地可靠。 </w:t>
      </w:r>
    </w:p>
    <w:p w14:paraId="3E99A31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5.1.5 装有电器的可开启门，门和框架的接地端子间应用铜线连接，且应有标识。 </w:t>
      </w:r>
    </w:p>
    <w:p w14:paraId="2840417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5.1.6 落地式安装配电柜（箱）底部高出地面不应小于 50mm。 </w:t>
      </w:r>
    </w:p>
    <w:p w14:paraId="64082A9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5.1.7 落地式安装配电柜（箱）底座周围应采取密封措施，并应能防止鼠、蛇类等小动物进入箱内。 </w:t>
      </w:r>
    </w:p>
    <w:p w14:paraId="7BB3276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5.1.8 导线进出柜（箱）孔处，进出线孔应光滑无刺，并应装设绝缘护线套。 </w:t>
      </w:r>
    </w:p>
    <w:p w14:paraId="2B711E6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5.1.9 配电柜（箱）内的控制开关与进线、出线的规格、型号应符合设计文件。 </w:t>
      </w:r>
    </w:p>
    <w:p w14:paraId="3C26BF0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5.1.10 设备（含母线）的各部位连接点应无锈蚀、烧伤、熔接等痕迹。 </w:t>
      </w:r>
    </w:p>
    <w:p w14:paraId="326D07A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5.1.11 低压电气设备的灭弧装置，如灭弧栅、灭弧触头、灭弧罩、灭弧用绝缘板应完好无损。 </w:t>
      </w:r>
    </w:p>
    <w:p w14:paraId="7D60A42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5.1.12 熔断器的熔丝不应用金属丝代替；熔体应符合规格要求，不得削小或合股使用。 </w:t>
      </w:r>
    </w:p>
    <w:p w14:paraId="2AFCE19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5.1.13 熔体应有保护罩，管型熔断器不应无管使用，有填充材料的熔断器不应改装使用。 </w:t>
      </w:r>
    </w:p>
    <w:p w14:paraId="1085757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5.1.14 敷设于隔离用的挡板或隔板应无破损。 </w:t>
      </w:r>
    </w:p>
    <w:p w14:paraId="73B1F38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5.1.15 配电柜（箱）内安装的接触器、刀开关等电气设备，应动作灵活，接触良好可靠，触头无烧蚀痕迹。 </w:t>
      </w:r>
    </w:p>
    <w:p w14:paraId="556A3B0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5.1.16 配电柜（箱）内的导线应绝缘良好，排列整齐，固定牢固，导线不应有接头。 </w:t>
      </w:r>
    </w:p>
    <w:p w14:paraId="1CC47C4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5.1.17 配电柜（箱）内配线应整齐，无铰接现象。 </w:t>
      </w:r>
    </w:p>
    <w:p w14:paraId="4524FA2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5.1.18 配电柜（箱）内导线连接应紧密，不伤芯线，不应断股。 </w:t>
      </w:r>
    </w:p>
    <w:p w14:paraId="0CC1E4B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5.1.19 配电柜（箱）内垫圈下螺丝两侧压的导线截面积应相同，防松垫圈等零件应齐全。 </w:t>
      </w:r>
    </w:p>
    <w:p w14:paraId="719F6B3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5.1.20 配电柜（箱）进线与出线侧的端子中，同一端子上连接导线数量不应多于 2 根。 </w:t>
      </w:r>
    </w:p>
    <w:p w14:paraId="50D954E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5.1.21 截面积在 10mm2 及以下的单股铜芯线、铝芯线应直接与设备、器具的端子连接。 </w:t>
      </w:r>
    </w:p>
    <w:p w14:paraId="718067F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5.1.22 截面积在 2.5mm2 及以下的多股铜芯线与端子连接时应先拧紧后搪锡或接续端子后连接。 </w:t>
      </w:r>
    </w:p>
    <w:p w14:paraId="5AD96EF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5.1.23 电线、电缆的芯线连接金具，规格应与芯线适配。 </w:t>
      </w:r>
    </w:p>
    <w:p w14:paraId="6FDAADB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5.1.24 防爆环境的配电柜（箱）应符合设计所确定的环境分区条件要求。 </w:t>
      </w:r>
    </w:p>
    <w:p w14:paraId="7D943EB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5.1.25 配电柜（箱）内分别设置零线和接地线汇流排，零线和接地线经汇流排配出。 </w:t>
      </w:r>
    </w:p>
    <w:p w14:paraId="53CA191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5.2 防火用漏电保护器 </w:t>
      </w:r>
    </w:p>
    <w:p w14:paraId="54DF254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5.2.1 防火用漏电保护器应安装在电源进线端。 </w:t>
      </w:r>
    </w:p>
    <w:p w14:paraId="4877B6A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5.2.2 漏电保护器的接线方法参见附录 C（规范性附录），并符合下列规定： </w:t>
      </w:r>
    </w:p>
    <w:p w14:paraId="1A39FB6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a) 漏电保护器的接线应与低压配电系统保护接地型式相对应； </w:t>
      </w:r>
    </w:p>
    <w:p w14:paraId="603DD33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b) 漏电保护器负载侧的中性线不得与其他回路共用； </w:t>
      </w:r>
    </w:p>
    <w:p w14:paraId="250A131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c) 漏电保护器标有负载侧和电源侧的接线端子，应按规定接线，不得接反； </w:t>
      </w:r>
    </w:p>
    <w:p w14:paraId="444B9EC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d) 严禁 PEN 线穿过漏电保护器的零序电流互感器，漏电保护器及其与之配套使用的短路保护电器在任何情况下不应单独切断 N 线； </w:t>
      </w:r>
    </w:p>
    <w:p w14:paraId="2AFB01D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e) 漏电保护器所保护的设备外露导电部分应接地； </w:t>
      </w:r>
    </w:p>
    <w:p w14:paraId="7321B88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f) 严禁把漏电保护器电源测和负载侧直接跨接。 </w:t>
      </w:r>
    </w:p>
    <w:p w14:paraId="07F9CDA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 运行安全要求 </w:t>
      </w:r>
    </w:p>
    <w:p w14:paraId="0490214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5.3.1 各种显示、测量仪表、器具应工作正常。 </w:t>
      </w:r>
    </w:p>
    <w:p w14:paraId="76041E4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5.3.2 接触器应无打火、放电和过热现象。 </w:t>
      </w:r>
    </w:p>
    <w:p w14:paraId="4F4F2B6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5.3.3 交流低压母线装置各部位的允许温升值不应超过本规范表 1 的规定。 </w:t>
      </w:r>
    </w:p>
    <w:p w14:paraId="6448910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5.3.4 低压电器各接线端子的最高允许温升不应超过本规范表 2 的规定。 </w:t>
      </w:r>
    </w:p>
    <w:p w14:paraId="30313B5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5.3.5 低压电器设备同相（路）上下接线端子温差应少于 10℃。 </w:t>
      </w:r>
    </w:p>
    <w:p w14:paraId="5C3402A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5.3.6 回路中各相电流不应超过设计规定的额定值。 </w:t>
      </w:r>
    </w:p>
    <w:p w14:paraId="4E9BC35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5.3.7 回路中零线和接地线不应有异常电流。 </w:t>
      </w:r>
    </w:p>
    <w:p w14:paraId="6D2EEFD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5.3.8 低压电器接线端子不应有打火、放电现象。 </w:t>
      </w:r>
    </w:p>
    <w:p w14:paraId="15FF75F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5.3.9 配电柜（箱）内开关动作应灵活可靠，带有漏电保护的回路，漏电保护装置动作电流不应大于30mA，动作时间不应大于 0.1s。 </w:t>
      </w:r>
    </w:p>
    <w:p w14:paraId="5274E5D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 低压配电线路 </w:t>
      </w:r>
    </w:p>
    <w:p w14:paraId="3EECDEA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 配电线路敷设一般要求 </w:t>
      </w:r>
    </w:p>
    <w:p w14:paraId="51ACCD1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6.1.1 闷顶内有可燃物时，应穿金属管保护。 </w:t>
      </w:r>
    </w:p>
    <w:p w14:paraId="7DA5F02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6.1.2 闷顶内无可燃物时可穿难燃刚性塑料管保护。 </w:t>
      </w:r>
    </w:p>
    <w:p w14:paraId="45ECD11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6.1.3 建筑物顶棚内，墙体及顶棚的抹灰层、保温层及装饰面板内，严禁采用直敷方式布线。 </w:t>
      </w:r>
    </w:p>
    <w:p w14:paraId="1C0897C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6.1.4 有腐蚀的场所采用金属管配线时应采取防腐措施。 </w:t>
      </w:r>
    </w:p>
    <w:p w14:paraId="2C69A73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6.1.5 敷设在潮湿场所的管路，应采用镀锌钢管，干燥场所的管路可采用电线管。 </w:t>
      </w:r>
    </w:p>
    <w:p w14:paraId="76AC9B8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6.1.6 配电线路穿越可燃或难燃装饰材料时，应穿金属保护管，且应采用玻璃棉、岩棉等不燃材料作 </w:t>
      </w:r>
    </w:p>
    <w:p w14:paraId="7E5635E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隔热阻燃保护。 </w:t>
      </w:r>
    </w:p>
    <w:p w14:paraId="78DC810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6.1.7 配电线路设置在可燃装饰夹层时，应穿金属管保护。 </w:t>
      </w:r>
    </w:p>
    <w:p w14:paraId="38636FF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6.1.8 配电线路设置在可燃装饰夹层时，若受装饰条件限制局部不能穿金属管时，必须用金属软管， </w:t>
      </w:r>
    </w:p>
    <w:p w14:paraId="566BC52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其长度不宜大于 2m，导线不应外露。 </w:t>
      </w:r>
    </w:p>
    <w:p w14:paraId="4079D9F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6.1.9 腐蚀性场所配线，应采用耐腐蚀性全塑制品，所有接头应密封。 </w:t>
      </w:r>
    </w:p>
    <w:p w14:paraId="102D5B4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6.1.10 线缆的规格型号和敷设方式应符合设计，且绝缘导线芯线最小截面积应满足表 3 要求。 </w:t>
      </w:r>
    </w:p>
    <w:p w14:paraId="6C66C02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 爆炸危险环境的电气线路敷设方式 </w:t>
      </w:r>
    </w:p>
    <w:p w14:paraId="22F9BC4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6.2.1 应在爆炸危险性较小的环境或远离释放源的地方敷设。 </w:t>
      </w:r>
    </w:p>
    <w:p w14:paraId="0C95678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6.2.2 当易燃物比空气重时，电气线路应在较高处敷设。 </w:t>
      </w:r>
    </w:p>
    <w:p w14:paraId="3B3452F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表3 绝缘导线芯线最小截面 </w:t>
      </w:r>
    </w:p>
    <w:p w14:paraId="292E1FC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 </w:t>
      </w:r>
    </w:p>
    <w:tbl>
      <w:tblPr>
        <w:tblStyle w:val="47"/>
        <w:tblW w:w="95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3"/>
        <w:gridCol w:w="3656"/>
        <w:gridCol w:w="3881"/>
      </w:tblGrid>
      <w:tr w14:paraId="41A5E903">
        <w:tblPrEx>
          <w:tblCellMar>
            <w:top w:w="0" w:type="dxa"/>
            <w:left w:w="0" w:type="dxa"/>
            <w:bottom w:w="0" w:type="dxa"/>
            <w:right w:w="0" w:type="dxa"/>
          </w:tblCellMar>
        </w:tblPrEx>
        <w:trPr>
          <w:trHeight w:val="484" w:hRule="atLeast"/>
        </w:trPr>
        <w:tc>
          <w:tcPr>
            <w:tcW w:w="5689" w:type="dxa"/>
            <w:gridSpan w:val="2"/>
            <w:noWrap w:val="0"/>
            <w:vAlign w:val="top"/>
          </w:tcPr>
          <w:p w14:paraId="600EAF4A">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敷设方式</w:t>
            </w:r>
          </w:p>
        </w:tc>
        <w:tc>
          <w:tcPr>
            <w:tcW w:w="3881" w:type="dxa"/>
            <w:noWrap w:val="0"/>
            <w:vAlign w:val="top"/>
          </w:tcPr>
          <w:p w14:paraId="41F4D4B7">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铜芯最小截面(mm²)</w:t>
            </w:r>
          </w:p>
        </w:tc>
      </w:tr>
      <w:tr w14:paraId="3805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033" w:type="dxa"/>
            <w:vMerge w:val="restart"/>
            <w:tcBorders>
              <w:bottom w:val="nil"/>
            </w:tcBorders>
            <w:noWrap w:val="0"/>
            <w:vAlign w:val="top"/>
          </w:tcPr>
          <w:p w14:paraId="4F7773A9">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p>
          <w:p w14:paraId="4511C383">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p>
          <w:p w14:paraId="023F3C51">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p>
          <w:p w14:paraId="52F19559">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室内绝缘导线敷设于绝缘子上</w:t>
            </w:r>
          </w:p>
        </w:tc>
        <w:tc>
          <w:tcPr>
            <w:tcW w:w="3656" w:type="dxa"/>
            <w:noWrap w:val="0"/>
            <w:vAlign w:val="top"/>
          </w:tcPr>
          <w:p w14:paraId="398D406A">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L≤2m</w:t>
            </w:r>
          </w:p>
        </w:tc>
        <w:tc>
          <w:tcPr>
            <w:tcW w:w="3881" w:type="dxa"/>
            <w:noWrap w:val="0"/>
            <w:vAlign w:val="top"/>
          </w:tcPr>
          <w:p w14:paraId="7F05AA3F">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1.0</w:t>
            </w:r>
          </w:p>
        </w:tc>
      </w:tr>
      <w:tr w14:paraId="58F1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033" w:type="dxa"/>
            <w:vMerge w:val="continue"/>
            <w:tcBorders>
              <w:top w:val="nil"/>
              <w:bottom w:val="nil"/>
            </w:tcBorders>
            <w:noWrap w:val="0"/>
            <w:vAlign w:val="top"/>
          </w:tcPr>
          <w:p w14:paraId="6BF88B6E">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p>
        </w:tc>
        <w:tc>
          <w:tcPr>
            <w:tcW w:w="3656" w:type="dxa"/>
            <w:noWrap w:val="0"/>
            <w:vAlign w:val="top"/>
          </w:tcPr>
          <w:p w14:paraId="7B4E0788">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2&lt;L≤6m</w:t>
            </w:r>
          </w:p>
        </w:tc>
        <w:tc>
          <w:tcPr>
            <w:tcW w:w="3881" w:type="dxa"/>
            <w:noWrap w:val="0"/>
            <w:vAlign w:val="top"/>
          </w:tcPr>
          <w:p w14:paraId="7C18D882">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2.2</w:t>
            </w:r>
          </w:p>
        </w:tc>
      </w:tr>
      <w:tr w14:paraId="14C0C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033" w:type="dxa"/>
            <w:vMerge w:val="continue"/>
            <w:tcBorders>
              <w:top w:val="nil"/>
              <w:bottom w:val="nil"/>
            </w:tcBorders>
            <w:noWrap w:val="0"/>
            <w:vAlign w:val="top"/>
          </w:tcPr>
          <w:p w14:paraId="0A10BFE8">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p>
        </w:tc>
        <w:tc>
          <w:tcPr>
            <w:tcW w:w="3656" w:type="dxa"/>
            <w:noWrap w:val="0"/>
            <w:vAlign w:val="top"/>
          </w:tcPr>
          <w:p w14:paraId="3125C90E">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6&lt;L≤16m</w:t>
            </w:r>
          </w:p>
        </w:tc>
        <w:tc>
          <w:tcPr>
            <w:tcW w:w="3881" w:type="dxa"/>
            <w:noWrap w:val="0"/>
            <w:vAlign w:val="top"/>
          </w:tcPr>
          <w:p w14:paraId="22E340C0">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4.0</w:t>
            </w:r>
          </w:p>
        </w:tc>
      </w:tr>
      <w:tr w14:paraId="74D6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033" w:type="dxa"/>
            <w:vMerge w:val="continue"/>
            <w:tcBorders>
              <w:top w:val="nil"/>
            </w:tcBorders>
            <w:noWrap w:val="0"/>
            <w:vAlign w:val="top"/>
          </w:tcPr>
          <w:p w14:paraId="3B2B6056">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p>
        </w:tc>
        <w:tc>
          <w:tcPr>
            <w:tcW w:w="3656" w:type="dxa"/>
            <w:noWrap w:val="0"/>
            <w:vAlign w:val="top"/>
          </w:tcPr>
          <w:p w14:paraId="54D8A9F7">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16&lt;L≤22m</w:t>
            </w:r>
          </w:p>
        </w:tc>
        <w:tc>
          <w:tcPr>
            <w:tcW w:w="3881" w:type="dxa"/>
            <w:noWrap w:val="0"/>
            <w:vAlign w:val="top"/>
          </w:tcPr>
          <w:p w14:paraId="0137C347">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6.0</w:t>
            </w:r>
          </w:p>
        </w:tc>
      </w:tr>
      <w:tr w14:paraId="0AEEF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689" w:type="dxa"/>
            <w:gridSpan w:val="2"/>
            <w:noWrap w:val="0"/>
            <w:vAlign w:val="top"/>
          </w:tcPr>
          <w:p w14:paraId="599C9A41">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绝缘导线穿管敷设</w:t>
            </w:r>
          </w:p>
        </w:tc>
        <w:tc>
          <w:tcPr>
            <w:tcW w:w="3881" w:type="dxa"/>
            <w:noWrap w:val="0"/>
            <w:vAlign w:val="top"/>
          </w:tcPr>
          <w:p w14:paraId="2E4FCC26">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1.0</w:t>
            </w:r>
          </w:p>
        </w:tc>
      </w:tr>
      <w:tr w14:paraId="13AFF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689" w:type="dxa"/>
            <w:gridSpan w:val="2"/>
            <w:noWrap w:val="0"/>
            <w:vAlign w:val="top"/>
          </w:tcPr>
          <w:p w14:paraId="6926E78D">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绝缘导线槽板敷设</w:t>
            </w:r>
          </w:p>
        </w:tc>
        <w:tc>
          <w:tcPr>
            <w:tcW w:w="3881" w:type="dxa"/>
            <w:noWrap w:val="0"/>
            <w:vAlign w:val="top"/>
          </w:tcPr>
          <w:p w14:paraId="0E75ACA9">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1.0</w:t>
            </w:r>
          </w:p>
        </w:tc>
      </w:tr>
      <w:tr w14:paraId="40C7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689" w:type="dxa"/>
            <w:gridSpan w:val="2"/>
            <w:noWrap w:val="0"/>
            <w:vAlign w:val="top"/>
          </w:tcPr>
          <w:p w14:paraId="66315717">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绝缘导线线槽敷设</w:t>
            </w:r>
          </w:p>
        </w:tc>
        <w:tc>
          <w:tcPr>
            <w:tcW w:w="3881" w:type="dxa"/>
            <w:noWrap w:val="0"/>
            <w:vAlign w:val="top"/>
          </w:tcPr>
          <w:p w14:paraId="52A74DA1">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0.42</w:t>
            </w:r>
          </w:p>
        </w:tc>
      </w:tr>
      <w:tr w14:paraId="18717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689" w:type="dxa"/>
            <w:gridSpan w:val="2"/>
            <w:noWrap w:val="0"/>
            <w:vAlign w:val="top"/>
          </w:tcPr>
          <w:p w14:paraId="7F536A1E">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塑料绝缘护套线直接敷设</w:t>
            </w:r>
          </w:p>
        </w:tc>
        <w:tc>
          <w:tcPr>
            <w:tcW w:w="3881" w:type="dxa"/>
            <w:noWrap w:val="0"/>
            <w:vAlign w:val="top"/>
          </w:tcPr>
          <w:p w14:paraId="28849655">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1.0</w:t>
            </w:r>
          </w:p>
        </w:tc>
      </w:tr>
      <w:tr w14:paraId="5F12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570" w:type="dxa"/>
            <w:gridSpan w:val="3"/>
            <w:noWrap w:val="0"/>
            <w:vAlign w:val="top"/>
          </w:tcPr>
          <w:p w14:paraId="42A65024">
            <w:pPr>
              <w:keepNext w:val="0"/>
              <w:keepLines w:val="0"/>
              <w:pageBreakBefore w:val="0"/>
              <w:kinsoku/>
              <w:wordWrap/>
              <w:overflowPunct/>
              <w:topLinePunct w:val="0"/>
              <w:bidi w:val="0"/>
              <w:spacing w:before="143" w:line="219" w:lineRule="auto"/>
              <w:ind w:right="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注：L为绝缘子支持点间距。</w:t>
            </w:r>
          </w:p>
        </w:tc>
      </w:tr>
    </w:tbl>
    <w:p w14:paraId="508822B3">
      <w:pPr>
        <w:keepNext w:val="0"/>
        <w:keepLines w:val="0"/>
        <w:widowControl/>
        <w:suppressLineNumbers w:val="0"/>
        <w:jc w:val="left"/>
        <w:rPr>
          <w:rFonts w:hint="eastAsia" w:ascii="仿宋_GB2312" w:hAnsi="仿宋_GB2312" w:eastAsia="仿宋_GB2312" w:cs="仿宋_GB2312"/>
          <w:sz w:val="28"/>
          <w:szCs w:val="28"/>
        </w:rPr>
      </w:pPr>
    </w:p>
    <w:p w14:paraId="0E8F4DE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6.2.3 当易燃物质比空气轻时，宜在较低处或电缆沟内敷设。 </w:t>
      </w:r>
    </w:p>
    <w:p w14:paraId="160F153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6.2.4 当电气线路沿输送可燃气体或易燃液体的管道栈桥敷设时，管道内的易燃物质比空气重时，电 </w:t>
      </w:r>
    </w:p>
    <w:p w14:paraId="651ED16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气线路应敷在管道的上方。 </w:t>
      </w:r>
    </w:p>
    <w:p w14:paraId="2C244A2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6.2.5 当管道内的易燃物质比空气轻时，电气线路应敷在管道的正下方的两侧。 </w:t>
      </w:r>
    </w:p>
    <w:p w14:paraId="1BE86CC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6.2.6 防爆环境内电缆线路穿过不同危险区域或界壁时，应充沙、填阻火堵料或加设防火隔墙。 </w:t>
      </w:r>
    </w:p>
    <w:p w14:paraId="1BE68DC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6.2.7 汽车加油站内采用电缆沟敷设电缆时，沟内应充沙填实。 </w:t>
      </w:r>
    </w:p>
    <w:p w14:paraId="080F24B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6.2.8 汽车加油站内不应将电缆与油品、液化石油气和天然气管道、热力管道敷设在同一沟内。 </w:t>
      </w:r>
    </w:p>
    <w:p w14:paraId="26EF0AA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6.2.9 爆炸危险环境照明线路的电线应穿于钢导管内。 </w:t>
      </w:r>
    </w:p>
    <w:p w14:paraId="2D6A012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 导管敷设线路要求 </w:t>
      </w:r>
    </w:p>
    <w:p w14:paraId="7C80F74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6.3.1 金属导管严禁对口熔焊连接，镀锌和壁厚不大于 2mm 的钢导管不应套管熔焊连接。 </w:t>
      </w:r>
    </w:p>
    <w:p w14:paraId="3FC615E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6.3.2 TN-S、TN-C-S 系统中的金属电线保护管，金属盒（箱），塑料电线保护管，塑料盒（箱）等不 </w:t>
      </w:r>
    </w:p>
    <w:p w14:paraId="5E994D3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应混合使用。 </w:t>
      </w:r>
    </w:p>
    <w:p w14:paraId="7DCE4F5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6.3.3 电线、电缆在配线管内不应有接头。 </w:t>
      </w:r>
    </w:p>
    <w:p w14:paraId="5A09599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6.3.4 导线连接应牢固可靠，接触良好。 </w:t>
      </w:r>
    </w:p>
    <w:p w14:paraId="6D793C3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6.3.5 导线穿入钢管时，管口处应装设护线套保护。 </w:t>
      </w:r>
    </w:p>
    <w:p w14:paraId="29EDA04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6.3.6 敷设的接线盒、灯头盒、开关盒的敲落孔，除对实装管孔敲落外，其它备用的不应敲掉。 </w:t>
      </w:r>
    </w:p>
    <w:p w14:paraId="114A3C2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6.3.7 金属管和柔性金属管应有可靠接地，并不应作为电气设备的接地导体。 </w:t>
      </w:r>
    </w:p>
    <w:p w14:paraId="4653AD8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6.3.8 镀锌的钢导管、可挠性导管、金属线槽的接地应可靠，连接处应采用专用接地卡，跨接的两卡间连接线应为铜芯软导线，截面积不应小于 4mm2 。 </w:t>
      </w:r>
    </w:p>
    <w:p w14:paraId="040E70C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6.3.9 非镀锌钢导管采用螺纹连接时，连接处的两端应焊接跨接地线，焊接点应采取防锈措施。 </w:t>
      </w:r>
    </w:p>
    <w:p w14:paraId="3D46FA2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6.3.10 绝缘导管用插入法连接时，连接处结合面应涂专用胶合剂，以保证接口牢固密封。 </w:t>
      </w:r>
    </w:p>
    <w:p w14:paraId="284BC55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6.3.11 刚性导管经柔性导管与电气设备、器具连接时，软管长度不宜大于 2m，导线不应裸露。 </w:t>
      </w:r>
    </w:p>
    <w:p w14:paraId="0CE85DB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6.4 电缆桥架与线槽敷设线路要求 DB37/ 655—2011 </w:t>
      </w:r>
    </w:p>
    <w:p w14:paraId="574E7D6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6.4.1 电缆桥架、金属线槽应敷设在腐蚀性气体管道和热力管道的下方及腐蚀性液体管道的上方。 </w:t>
      </w:r>
    </w:p>
    <w:p w14:paraId="668FFEF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6.4.2 电缆桥架、金属线槽敷设在腐蚀性气体管道和热力管道的上方及腐蚀性液体管道的下方时，应采取防腐、隔热措施。 </w:t>
      </w:r>
    </w:p>
    <w:p w14:paraId="025EA8F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6.4.3 非镀锌金属线槽、金属电缆桥架连接板的两端应跨接铜芯接地线，其截面积不应小于 4mm2 。 </w:t>
      </w:r>
    </w:p>
    <w:p w14:paraId="5666691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6.4.4 镀锌金属线槽、电缆桥架、连接板的两端不跨接地线时，连接板两端应有不少于 2 个有防松螺帽或防松垫圈的连接固定螺栓。 </w:t>
      </w:r>
    </w:p>
    <w:p w14:paraId="7DBEAFA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6.4.5 金属线槽和电缆桥架不应作设备的接地导体，当设计无要求时，金属线槽和电缆桥架全长应有不少于 2 处与接地干线连接。 </w:t>
      </w:r>
    </w:p>
    <w:p w14:paraId="4856738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6.5 直敷方式布线要求 </w:t>
      </w:r>
    </w:p>
    <w:p w14:paraId="123BA59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6.5.1 直敷布线应采用护套绝缘电线，截面不应大于 6mm2 。 </w:t>
      </w:r>
    </w:p>
    <w:p w14:paraId="61C0CA0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6.5.2 电线水平敷设至地面的距离不应小于 2.5m。 </w:t>
      </w:r>
    </w:p>
    <w:p w14:paraId="36E2FE4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6.5.3 垂直敷设至地面低于 1.8m 部分应穿导管保护。 </w:t>
      </w:r>
    </w:p>
    <w:p w14:paraId="14FBC78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6.6 瓷（塑料）夹、瓷柱、瓷瓶配线 </w:t>
      </w:r>
    </w:p>
    <w:p w14:paraId="084EBF3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6.6.1 瓷（塑料）夹配线一般适用于正常环境室内场所和挑檐下室外场所；瓷柱、瓷瓶配线一般适用于室内外场所。 </w:t>
      </w:r>
    </w:p>
    <w:p w14:paraId="104ECE6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6.6.2 在闷顶内，不应采用瓷（塑料）夹、瓷柱、瓷瓶配线。 </w:t>
      </w:r>
    </w:p>
    <w:p w14:paraId="58289AC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6.6.3 绝缘导线交叉时，交叉点应穿绝缘管并加支持物予以固定，保护管长度不应小于 100mm。 </w:t>
      </w:r>
    </w:p>
    <w:p w14:paraId="6168482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6.6.4 绝缘导线的绑扎线应有绝缘层，绑扎时不得损伤绝缘导线的绝缘层。 </w:t>
      </w:r>
    </w:p>
    <w:p w14:paraId="021B280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6.6.5 瓷（塑料）夹、瓷柱或瓷瓶应完好无损，表面清洁，安装牢固可靠。 </w:t>
      </w:r>
    </w:p>
    <w:p w14:paraId="453B05B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6.6.6 绝缘电线明敷在高温辐射或对绝缘有腐蚀的场所时，电线间及电线至建筑物表面最小净距离应符合表 4 的要求。 </w:t>
      </w:r>
    </w:p>
    <w:p w14:paraId="752ADBB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6.7 低压线路配线防火要求 </w:t>
      </w:r>
    </w:p>
    <w:p w14:paraId="5AD3F37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6.7.1 三相或单相的交流单芯导线、电缆不应单独穿于钢导管内。 </w:t>
      </w:r>
    </w:p>
    <w:p w14:paraId="58F66B0B">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表4 高温或腐蚀性场所，电线间及电线至建筑物表面最小净距 </w:t>
      </w:r>
    </w:p>
    <w:tbl>
      <w:tblPr>
        <w:tblStyle w:val="47"/>
        <w:tblW w:w="9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0"/>
        <w:gridCol w:w="4780"/>
      </w:tblGrid>
      <w:tr w14:paraId="6110B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780" w:type="dxa"/>
            <w:noWrap w:val="0"/>
            <w:vAlign w:val="top"/>
          </w:tcPr>
          <w:p w14:paraId="6DCE98F4">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电线固定点间距L(m)</w:t>
            </w:r>
          </w:p>
        </w:tc>
        <w:tc>
          <w:tcPr>
            <w:tcW w:w="4780" w:type="dxa"/>
            <w:noWrap w:val="0"/>
            <w:vAlign w:val="top"/>
          </w:tcPr>
          <w:p w14:paraId="00608561">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最小净距(mm)</w:t>
            </w:r>
          </w:p>
        </w:tc>
      </w:tr>
      <w:tr w14:paraId="3709F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780" w:type="dxa"/>
            <w:noWrap w:val="0"/>
            <w:vAlign w:val="top"/>
          </w:tcPr>
          <w:p w14:paraId="482A6CFB">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L≤2</w:t>
            </w:r>
          </w:p>
        </w:tc>
        <w:tc>
          <w:tcPr>
            <w:tcW w:w="4780" w:type="dxa"/>
            <w:noWrap w:val="0"/>
            <w:vAlign w:val="top"/>
          </w:tcPr>
          <w:p w14:paraId="32FC1129">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42</w:t>
            </w:r>
          </w:p>
        </w:tc>
      </w:tr>
      <w:tr w14:paraId="46036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4780" w:type="dxa"/>
            <w:noWrap w:val="0"/>
            <w:vAlign w:val="top"/>
          </w:tcPr>
          <w:p w14:paraId="3F92C2C5">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2&lt;L≤4</w:t>
            </w:r>
          </w:p>
        </w:tc>
        <w:tc>
          <w:tcPr>
            <w:tcW w:w="4780" w:type="dxa"/>
            <w:noWrap w:val="0"/>
            <w:vAlign w:val="top"/>
          </w:tcPr>
          <w:p w14:paraId="1F60E445">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100</w:t>
            </w:r>
          </w:p>
        </w:tc>
      </w:tr>
      <w:tr w14:paraId="7D7A0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80" w:type="dxa"/>
            <w:noWrap w:val="0"/>
            <w:vAlign w:val="top"/>
          </w:tcPr>
          <w:p w14:paraId="25D364DC">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4&lt;L≤6</w:t>
            </w:r>
          </w:p>
        </w:tc>
        <w:tc>
          <w:tcPr>
            <w:tcW w:w="4780" w:type="dxa"/>
            <w:noWrap w:val="0"/>
            <w:vAlign w:val="top"/>
          </w:tcPr>
          <w:p w14:paraId="30070685">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120</w:t>
            </w:r>
          </w:p>
        </w:tc>
      </w:tr>
      <w:tr w14:paraId="3F42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780" w:type="dxa"/>
            <w:noWrap w:val="0"/>
            <w:vAlign w:val="top"/>
          </w:tcPr>
          <w:p w14:paraId="5879F3A2">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6&lt;L≤10</w:t>
            </w:r>
          </w:p>
        </w:tc>
        <w:tc>
          <w:tcPr>
            <w:tcW w:w="4780" w:type="dxa"/>
            <w:noWrap w:val="0"/>
            <w:vAlign w:val="top"/>
          </w:tcPr>
          <w:p w14:paraId="67FCBE1E">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200</w:t>
            </w:r>
          </w:p>
        </w:tc>
      </w:tr>
    </w:tbl>
    <w:p w14:paraId="60EB7284">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p>
    <w:p w14:paraId="5FB8928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6.7.2 同一交流回路的相线和中性线应穿在同一金属导管和线槽内。 </w:t>
      </w:r>
    </w:p>
    <w:p w14:paraId="24D829C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6.7.3 布线用电缆、电缆桥架、金属线槽等在穿越防火分区楼板、隔墙时，其空隙应采用相当于建筑 </w:t>
      </w:r>
    </w:p>
    <w:p w14:paraId="40CB14B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构件耐火极限的不燃烧材料填塞密实。 </w:t>
      </w:r>
    </w:p>
    <w:p w14:paraId="346558F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6.7.4 电缆沟进入建筑物处应设防火墙。 </w:t>
      </w:r>
    </w:p>
    <w:p w14:paraId="5B132D7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6.8 导体通电安全运行要求 </w:t>
      </w:r>
    </w:p>
    <w:p w14:paraId="59916B2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6.8.1 导线、电缆芯线的温度，当产品无要求时应符合表 5 规定。 DB37/ 655—2011 </w:t>
      </w:r>
    </w:p>
    <w:p w14:paraId="15083F6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 </w:t>
      </w:r>
    </w:p>
    <w:p w14:paraId="549684F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表5 导线芯线长期工作最高允许温度 </w:t>
      </w:r>
    </w:p>
    <w:tbl>
      <w:tblPr>
        <w:tblStyle w:val="47"/>
        <w:tblW w:w="95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0"/>
        <w:gridCol w:w="4780"/>
      </w:tblGrid>
      <w:tr w14:paraId="7E883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790" w:type="dxa"/>
            <w:noWrap w:val="0"/>
            <w:vAlign w:val="top"/>
          </w:tcPr>
          <w:p w14:paraId="622ABD4E">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类型</w:t>
            </w:r>
          </w:p>
        </w:tc>
        <w:tc>
          <w:tcPr>
            <w:tcW w:w="4780" w:type="dxa"/>
            <w:noWrap w:val="0"/>
            <w:vAlign w:val="top"/>
          </w:tcPr>
          <w:p w14:paraId="19AC74C8">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长期工作最高允许温度(℃)</w:t>
            </w:r>
          </w:p>
        </w:tc>
      </w:tr>
      <w:tr w14:paraId="2FFEF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4790" w:type="dxa"/>
            <w:noWrap w:val="0"/>
            <w:vAlign w:val="top"/>
          </w:tcPr>
          <w:p w14:paraId="3CF027A9">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塑料电线</w:t>
            </w:r>
          </w:p>
        </w:tc>
        <w:tc>
          <w:tcPr>
            <w:tcW w:w="4780" w:type="dxa"/>
            <w:noWrap w:val="0"/>
            <w:vAlign w:val="top"/>
          </w:tcPr>
          <w:p w14:paraId="0DA90A59">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40</w:t>
            </w:r>
          </w:p>
        </w:tc>
      </w:tr>
      <w:tr w14:paraId="7507F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790" w:type="dxa"/>
            <w:noWrap w:val="0"/>
            <w:vAlign w:val="top"/>
          </w:tcPr>
          <w:p w14:paraId="79BD1985">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橡皮电线</w:t>
            </w:r>
          </w:p>
        </w:tc>
        <w:tc>
          <w:tcPr>
            <w:tcW w:w="4780" w:type="dxa"/>
            <w:noWrap w:val="0"/>
            <w:vAlign w:val="top"/>
          </w:tcPr>
          <w:p w14:paraId="5DC2E378">
            <w:pPr>
              <w:keepNext w:val="0"/>
              <w:keepLines w:val="0"/>
              <w:pageBreakBefore w:val="0"/>
              <w:kinsoku/>
              <w:wordWrap/>
              <w:overflowPunct/>
              <w:topLinePunct w:val="0"/>
              <w:bidi w:val="0"/>
              <w:spacing w:before="153" w:line="220" w:lineRule="auto"/>
              <w:ind w:right="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62</w:t>
            </w:r>
          </w:p>
        </w:tc>
      </w:tr>
    </w:tbl>
    <w:p w14:paraId="148E8DE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6.8.2 导线、导线接头、导线与设备或器具的接线端子温升应符合本规范表 1 和表 4 的要求。 </w:t>
      </w:r>
    </w:p>
    <w:p w14:paraId="55E6A6E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6.8.3 导线接头、导线与设备或器具的接线端子不应有打火、放电现象。 </w:t>
      </w:r>
    </w:p>
    <w:p w14:paraId="4696A9B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6.8.4 相线电流、中性线电流和 PE 线电流应无异常。 </w:t>
      </w:r>
    </w:p>
    <w:p w14:paraId="3E99B67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6.9 绝缘导体的绝缘强度 </w:t>
      </w:r>
    </w:p>
    <w:p w14:paraId="4CCE8B0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6.9.1 绝缘导线芯线连接后，应用绝缘带均匀紧密包缠。 </w:t>
      </w:r>
    </w:p>
    <w:p w14:paraId="7046BFD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6.9.2 接线端子的根部与绝缘层间的空隙处，应用绝缘带严密包缠。 </w:t>
      </w:r>
    </w:p>
    <w:p w14:paraId="0FCC983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6.9.3 导线绝缘体不应有严重老化、龟裂、碳化、腐蚀和机械损伤等现象。 </w:t>
      </w:r>
    </w:p>
    <w:p w14:paraId="37A969A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6.9.4 分支路绝缘导线相线间及相线对地的绝缘电阻值不应小于 0.5MΩ。 </w:t>
      </w:r>
    </w:p>
    <w:p w14:paraId="4B88EC6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 低压用电设备 </w:t>
      </w:r>
    </w:p>
    <w:p w14:paraId="2EC1F55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 电动机类设备 </w:t>
      </w:r>
    </w:p>
    <w:p w14:paraId="69EB33C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7.1.1 电动机类设备的规格型号应符合设计文件。 </w:t>
      </w:r>
    </w:p>
    <w:p w14:paraId="31E1895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7.1.2 电动机类设备应安装在牢固的机座上，机座周围应有适当的通道，与其他低压电气线路和设备、可燃物之间的距离不应小于 1m，并应保持机座周围干燥清洁。 </w:t>
      </w:r>
    </w:p>
    <w:p w14:paraId="5ACFCB5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7.1.3 电气元件外观应整洁，外壳应无破裂，零部件应齐全，接线端子及紧固件应无缺损、锈蚀现象。 </w:t>
      </w:r>
    </w:p>
    <w:p w14:paraId="7D916BA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7.1.4 电气元件的触头应无熔焊粘连变形和严重氧化锈蚀等痕迹。 </w:t>
      </w:r>
    </w:p>
    <w:p w14:paraId="725D597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7.1.5 接线端子上的所有接线应压接牢固，接触良好，不应有松动、脱落现象。 </w:t>
      </w:r>
    </w:p>
    <w:p w14:paraId="576CC0A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7.1.6 电动机类设备应装设短路、过载、失压与欠压保护和接地故障保护。 </w:t>
      </w:r>
    </w:p>
    <w:p w14:paraId="772DBF4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7.1.7 轴承应润滑，对使用滑动轴承的设施，油环应滑动，油腔内的油面应到油面计所指示的位置。 </w:t>
      </w:r>
    </w:p>
    <w:p w14:paraId="7421270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7.1.8 电动机类设备空气冷却装置运转应正常。 </w:t>
      </w:r>
    </w:p>
    <w:p w14:paraId="18ABDB9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7.1.9 电动机类设备和附属设备应清洁，附近不应堆放可燃物和其他杂物。 </w:t>
      </w:r>
    </w:p>
    <w:p w14:paraId="04B7F6A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7.1.10 设备外壳接地应牢固可靠，完好无损。 </w:t>
      </w:r>
    </w:p>
    <w:p w14:paraId="2688E53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7.1.11 电动机类设备的可接近裸导体应接地。 </w:t>
      </w:r>
    </w:p>
    <w:p w14:paraId="5A09033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7.1.12 电动机类设备应在额定电压值的（-10%～-15%）误差范围内正常运行。 </w:t>
      </w:r>
    </w:p>
    <w:p w14:paraId="17B1A97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7.1.13 电动机类设备各部分的最高允许温度和允许温升不应超过制造商的要求，制造商无规定时参照表 6 的要求。 </w:t>
      </w:r>
    </w:p>
    <w:p w14:paraId="2CA5B81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7.1.14 滑动轴承温度不应超过 80℃，滚动轴承温度不应超过 95℃。 </w:t>
      </w:r>
    </w:p>
    <w:p w14:paraId="13D93D4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7.1.15 电动机类设备的电气连接点、壳体等不应有打火、放电现象。 DB37/ 655—2011 </w:t>
      </w:r>
    </w:p>
    <w:p w14:paraId="7E36C86D">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表6 电动机最高允许温度（t）与温升（K）（环境温度 Te=35℃） </w:t>
      </w:r>
    </w:p>
    <w:tbl>
      <w:tblPr>
        <w:tblStyle w:val="47"/>
        <w:tblpPr w:leftFromText="180" w:rightFromText="180" w:vertAnchor="text" w:horzAnchor="page" w:tblpX="761" w:tblpY="364"/>
        <w:tblOverlap w:val="never"/>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3"/>
        <w:gridCol w:w="769"/>
        <w:gridCol w:w="750"/>
        <w:gridCol w:w="769"/>
        <w:gridCol w:w="769"/>
        <w:gridCol w:w="750"/>
        <w:gridCol w:w="769"/>
        <w:gridCol w:w="759"/>
        <w:gridCol w:w="759"/>
        <w:gridCol w:w="769"/>
        <w:gridCol w:w="764"/>
      </w:tblGrid>
      <w:tr w14:paraId="48439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43" w:type="dxa"/>
            <w:vMerge w:val="restart"/>
            <w:tcBorders>
              <w:bottom w:val="nil"/>
            </w:tcBorders>
            <w:noWrap w:val="0"/>
            <w:vAlign w:val="top"/>
          </w:tcPr>
          <w:p w14:paraId="689FB9BF">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p>
          <w:p w14:paraId="02156C93">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温度与温升</w:t>
            </w:r>
          </w:p>
          <w:p w14:paraId="4A302188">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(T,k)</w:t>
            </w:r>
          </w:p>
        </w:tc>
        <w:tc>
          <w:tcPr>
            <w:tcW w:w="7627" w:type="dxa"/>
            <w:gridSpan w:val="10"/>
            <w:noWrap w:val="0"/>
            <w:vAlign w:val="top"/>
          </w:tcPr>
          <w:p w14:paraId="5C69E63C">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注：绝缘等级</w:t>
            </w:r>
          </w:p>
        </w:tc>
      </w:tr>
      <w:tr w14:paraId="59745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43" w:type="dxa"/>
            <w:vMerge w:val="continue"/>
            <w:tcBorders>
              <w:top w:val="nil"/>
              <w:bottom w:val="nil"/>
            </w:tcBorders>
            <w:noWrap w:val="0"/>
            <w:vAlign w:val="top"/>
          </w:tcPr>
          <w:p w14:paraId="57E6E15C">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p>
        </w:tc>
        <w:tc>
          <w:tcPr>
            <w:tcW w:w="1519" w:type="dxa"/>
            <w:gridSpan w:val="2"/>
            <w:noWrap w:val="0"/>
            <w:vAlign w:val="top"/>
          </w:tcPr>
          <w:p w14:paraId="7631396B">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A级</w:t>
            </w:r>
          </w:p>
        </w:tc>
        <w:tc>
          <w:tcPr>
            <w:tcW w:w="1538" w:type="dxa"/>
            <w:gridSpan w:val="2"/>
            <w:noWrap w:val="0"/>
            <w:vAlign w:val="top"/>
          </w:tcPr>
          <w:p w14:paraId="43F92078">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E级</w:t>
            </w:r>
          </w:p>
        </w:tc>
        <w:tc>
          <w:tcPr>
            <w:tcW w:w="1519" w:type="dxa"/>
            <w:gridSpan w:val="2"/>
            <w:noWrap w:val="0"/>
            <w:vAlign w:val="top"/>
          </w:tcPr>
          <w:p w14:paraId="1F250AA0">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B级</w:t>
            </w:r>
          </w:p>
        </w:tc>
        <w:tc>
          <w:tcPr>
            <w:tcW w:w="1518" w:type="dxa"/>
            <w:gridSpan w:val="2"/>
            <w:noWrap w:val="0"/>
            <w:vAlign w:val="top"/>
          </w:tcPr>
          <w:p w14:paraId="336F8DAD">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F级</w:t>
            </w:r>
          </w:p>
        </w:tc>
        <w:tc>
          <w:tcPr>
            <w:tcW w:w="1533" w:type="dxa"/>
            <w:gridSpan w:val="2"/>
            <w:noWrap w:val="0"/>
            <w:vAlign w:val="top"/>
          </w:tcPr>
          <w:p w14:paraId="6ECC8BB4">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H级</w:t>
            </w:r>
          </w:p>
        </w:tc>
      </w:tr>
      <w:tr w14:paraId="5290F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43" w:type="dxa"/>
            <w:vMerge w:val="continue"/>
            <w:tcBorders>
              <w:top w:val="nil"/>
            </w:tcBorders>
            <w:noWrap w:val="0"/>
            <w:vAlign w:val="top"/>
          </w:tcPr>
          <w:p w14:paraId="7034273E">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p>
        </w:tc>
        <w:tc>
          <w:tcPr>
            <w:tcW w:w="769" w:type="dxa"/>
            <w:noWrap w:val="0"/>
            <w:vAlign w:val="top"/>
          </w:tcPr>
          <w:p w14:paraId="240DE880">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T</w:t>
            </w:r>
          </w:p>
        </w:tc>
        <w:tc>
          <w:tcPr>
            <w:tcW w:w="750" w:type="dxa"/>
            <w:noWrap w:val="0"/>
            <w:vAlign w:val="top"/>
          </w:tcPr>
          <w:p w14:paraId="3F9980E5">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k</w:t>
            </w:r>
          </w:p>
        </w:tc>
        <w:tc>
          <w:tcPr>
            <w:tcW w:w="769" w:type="dxa"/>
            <w:noWrap w:val="0"/>
            <w:vAlign w:val="top"/>
          </w:tcPr>
          <w:p w14:paraId="1774F273">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T</w:t>
            </w:r>
          </w:p>
        </w:tc>
        <w:tc>
          <w:tcPr>
            <w:tcW w:w="769" w:type="dxa"/>
            <w:noWrap w:val="0"/>
            <w:vAlign w:val="top"/>
          </w:tcPr>
          <w:p w14:paraId="488D1EEC">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k</w:t>
            </w:r>
          </w:p>
        </w:tc>
        <w:tc>
          <w:tcPr>
            <w:tcW w:w="750" w:type="dxa"/>
            <w:noWrap w:val="0"/>
            <w:vAlign w:val="top"/>
          </w:tcPr>
          <w:p w14:paraId="723C39DA">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T</w:t>
            </w:r>
          </w:p>
        </w:tc>
        <w:tc>
          <w:tcPr>
            <w:tcW w:w="769" w:type="dxa"/>
            <w:noWrap w:val="0"/>
            <w:vAlign w:val="top"/>
          </w:tcPr>
          <w:p w14:paraId="7FA1499D">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k</w:t>
            </w:r>
          </w:p>
        </w:tc>
        <w:tc>
          <w:tcPr>
            <w:tcW w:w="759" w:type="dxa"/>
            <w:noWrap w:val="0"/>
            <w:vAlign w:val="top"/>
          </w:tcPr>
          <w:p w14:paraId="6C19E873">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T</w:t>
            </w:r>
          </w:p>
        </w:tc>
        <w:tc>
          <w:tcPr>
            <w:tcW w:w="759" w:type="dxa"/>
            <w:noWrap w:val="0"/>
            <w:vAlign w:val="top"/>
          </w:tcPr>
          <w:p w14:paraId="3FC44E15">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k</w:t>
            </w:r>
          </w:p>
        </w:tc>
        <w:tc>
          <w:tcPr>
            <w:tcW w:w="769" w:type="dxa"/>
            <w:noWrap w:val="0"/>
            <w:vAlign w:val="top"/>
          </w:tcPr>
          <w:p w14:paraId="42A7C160">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T</w:t>
            </w:r>
          </w:p>
        </w:tc>
        <w:tc>
          <w:tcPr>
            <w:tcW w:w="764" w:type="dxa"/>
            <w:noWrap w:val="0"/>
            <w:vAlign w:val="top"/>
          </w:tcPr>
          <w:p w14:paraId="7053199B">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k</w:t>
            </w:r>
          </w:p>
        </w:tc>
      </w:tr>
      <w:tr w14:paraId="5337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43" w:type="dxa"/>
            <w:noWrap w:val="0"/>
            <w:vAlign w:val="top"/>
          </w:tcPr>
          <w:p w14:paraId="152B6268">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定子、转子绕组</w:t>
            </w:r>
          </w:p>
        </w:tc>
        <w:tc>
          <w:tcPr>
            <w:tcW w:w="769" w:type="dxa"/>
            <w:noWrap w:val="0"/>
            <w:vAlign w:val="top"/>
          </w:tcPr>
          <w:p w14:paraId="68FADCAD">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102</w:t>
            </w:r>
          </w:p>
        </w:tc>
        <w:tc>
          <w:tcPr>
            <w:tcW w:w="750" w:type="dxa"/>
            <w:noWrap w:val="0"/>
            <w:vAlign w:val="top"/>
          </w:tcPr>
          <w:p w14:paraId="267A42D1">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70</w:t>
            </w:r>
          </w:p>
        </w:tc>
        <w:tc>
          <w:tcPr>
            <w:tcW w:w="769" w:type="dxa"/>
            <w:noWrap w:val="0"/>
            <w:vAlign w:val="top"/>
          </w:tcPr>
          <w:p w14:paraId="7915A393">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120</w:t>
            </w:r>
          </w:p>
        </w:tc>
        <w:tc>
          <w:tcPr>
            <w:tcW w:w="769" w:type="dxa"/>
            <w:noWrap w:val="0"/>
            <w:vAlign w:val="top"/>
          </w:tcPr>
          <w:p w14:paraId="0C073282">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82</w:t>
            </w:r>
          </w:p>
        </w:tc>
        <w:tc>
          <w:tcPr>
            <w:tcW w:w="750" w:type="dxa"/>
            <w:noWrap w:val="0"/>
            <w:vAlign w:val="top"/>
          </w:tcPr>
          <w:p w14:paraId="2E1E4040">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130</w:t>
            </w:r>
          </w:p>
        </w:tc>
        <w:tc>
          <w:tcPr>
            <w:tcW w:w="769" w:type="dxa"/>
            <w:noWrap w:val="0"/>
            <w:vAlign w:val="top"/>
          </w:tcPr>
          <w:p w14:paraId="757B0D79">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92</w:t>
            </w:r>
          </w:p>
        </w:tc>
        <w:tc>
          <w:tcPr>
            <w:tcW w:w="759" w:type="dxa"/>
            <w:noWrap w:val="0"/>
            <w:vAlign w:val="top"/>
          </w:tcPr>
          <w:p w14:paraId="76F3029C">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140</w:t>
            </w:r>
          </w:p>
        </w:tc>
        <w:tc>
          <w:tcPr>
            <w:tcW w:w="759" w:type="dxa"/>
            <w:noWrap w:val="0"/>
            <w:vAlign w:val="top"/>
          </w:tcPr>
          <w:p w14:paraId="2408D300">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102</w:t>
            </w:r>
          </w:p>
        </w:tc>
        <w:tc>
          <w:tcPr>
            <w:tcW w:w="769" w:type="dxa"/>
            <w:noWrap w:val="0"/>
            <w:vAlign w:val="top"/>
          </w:tcPr>
          <w:p w14:paraId="2BC3139B">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162</w:t>
            </w:r>
          </w:p>
        </w:tc>
        <w:tc>
          <w:tcPr>
            <w:tcW w:w="764" w:type="dxa"/>
            <w:noWrap w:val="0"/>
            <w:vAlign w:val="top"/>
          </w:tcPr>
          <w:p w14:paraId="2F7F3094">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130</w:t>
            </w:r>
          </w:p>
        </w:tc>
      </w:tr>
      <w:tr w14:paraId="1AB27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943" w:type="dxa"/>
            <w:noWrap w:val="0"/>
            <w:vAlign w:val="top"/>
          </w:tcPr>
          <w:p w14:paraId="73A02DFB">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定子铁芯</w:t>
            </w:r>
          </w:p>
        </w:tc>
        <w:tc>
          <w:tcPr>
            <w:tcW w:w="769" w:type="dxa"/>
            <w:noWrap w:val="0"/>
            <w:vAlign w:val="top"/>
          </w:tcPr>
          <w:p w14:paraId="4BB0BC8C">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102</w:t>
            </w:r>
          </w:p>
        </w:tc>
        <w:tc>
          <w:tcPr>
            <w:tcW w:w="750" w:type="dxa"/>
            <w:noWrap w:val="0"/>
            <w:vAlign w:val="top"/>
          </w:tcPr>
          <w:p w14:paraId="45E69029">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70</w:t>
            </w:r>
          </w:p>
        </w:tc>
        <w:tc>
          <w:tcPr>
            <w:tcW w:w="769" w:type="dxa"/>
            <w:noWrap w:val="0"/>
            <w:vAlign w:val="top"/>
          </w:tcPr>
          <w:p w14:paraId="1B329E26">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120</w:t>
            </w:r>
          </w:p>
        </w:tc>
        <w:tc>
          <w:tcPr>
            <w:tcW w:w="769" w:type="dxa"/>
            <w:noWrap w:val="0"/>
            <w:vAlign w:val="top"/>
          </w:tcPr>
          <w:p w14:paraId="10AB6AD2">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82</w:t>
            </w:r>
          </w:p>
        </w:tc>
        <w:tc>
          <w:tcPr>
            <w:tcW w:w="750" w:type="dxa"/>
            <w:noWrap w:val="0"/>
            <w:vAlign w:val="top"/>
          </w:tcPr>
          <w:p w14:paraId="6AEFD2EB">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130</w:t>
            </w:r>
          </w:p>
        </w:tc>
        <w:tc>
          <w:tcPr>
            <w:tcW w:w="769" w:type="dxa"/>
            <w:noWrap w:val="0"/>
            <w:vAlign w:val="top"/>
          </w:tcPr>
          <w:p w14:paraId="63D7495B">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92</w:t>
            </w:r>
          </w:p>
        </w:tc>
        <w:tc>
          <w:tcPr>
            <w:tcW w:w="759" w:type="dxa"/>
            <w:noWrap w:val="0"/>
            <w:vAlign w:val="top"/>
          </w:tcPr>
          <w:p w14:paraId="437E568F">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140</w:t>
            </w:r>
          </w:p>
        </w:tc>
        <w:tc>
          <w:tcPr>
            <w:tcW w:w="759" w:type="dxa"/>
            <w:noWrap w:val="0"/>
            <w:vAlign w:val="top"/>
          </w:tcPr>
          <w:p w14:paraId="0B9288FF">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102</w:t>
            </w:r>
          </w:p>
        </w:tc>
        <w:tc>
          <w:tcPr>
            <w:tcW w:w="769" w:type="dxa"/>
            <w:noWrap w:val="0"/>
            <w:vAlign w:val="top"/>
          </w:tcPr>
          <w:p w14:paraId="77AFD08A">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162</w:t>
            </w:r>
          </w:p>
        </w:tc>
        <w:tc>
          <w:tcPr>
            <w:tcW w:w="764" w:type="dxa"/>
            <w:noWrap w:val="0"/>
            <w:vAlign w:val="top"/>
          </w:tcPr>
          <w:p w14:paraId="3061F165">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130</w:t>
            </w:r>
          </w:p>
        </w:tc>
      </w:tr>
      <w:tr w14:paraId="3D84C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943" w:type="dxa"/>
            <w:noWrap w:val="0"/>
            <w:vAlign w:val="top"/>
          </w:tcPr>
          <w:p w14:paraId="07CC0C09">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滑环</w:t>
            </w:r>
          </w:p>
        </w:tc>
        <w:tc>
          <w:tcPr>
            <w:tcW w:w="7627" w:type="dxa"/>
            <w:gridSpan w:val="10"/>
            <w:noWrap w:val="0"/>
            <w:vAlign w:val="top"/>
          </w:tcPr>
          <w:p w14:paraId="61592241">
            <w:pPr>
              <w:keepNext w:val="0"/>
              <w:keepLines w:val="0"/>
              <w:pageBreakBefore w:val="0"/>
              <w:kinsoku/>
              <w:wordWrap/>
              <w:overflowPunct/>
              <w:topLinePunct w:val="0"/>
              <w:bidi w:val="0"/>
              <w:spacing w:before="132" w:line="219" w:lineRule="auto"/>
              <w:ind w:right="0"/>
              <w:jc w:val="center"/>
              <w:textAlignment w:val="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T=102k=70</w:t>
            </w:r>
          </w:p>
        </w:tc>
      </w:tr>
    </w:tbl>
    <w:p w14:paraId="631AF40F">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p>
    <w:p w14:paraId="4452DAD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7.1.16 电动机类设备的工作电流，在正常情况下不应超过额定值。 </w:t>
      </w:r>
    </w:p>
    <w:p w14:paraId="00628D2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7.1.17 电动机类设备的接地线路的接地电阻值应符合设计文件。 </w:t>
      </w:r>
    </w:p>
    <w:p w14:paraId="47B9DCD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 电热器具防火要求 </w:t>
      </w:r>
    </w:p>
    <w:p w14:paraId="35AE5D8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7.2.1 电热器具应采用专用插座和单独回路供电。 </w:t>
      </w:r>
    </w:p>
    <w:p w14:paraId="7AC7E97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7.2.2 电源线应装设隔离电器和短路、过载及接地故障保护电器。 </w:t>
      </w:r>
    </w:p>
    <w:p w14:paraId="2D4EAB2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7.2.3 导线和热元件的接线应紧固，电热器具引入线处应采用石棉、瓷管等耐高温的绝缘材料予以保护。 </w:t>
      </w:r>
    </w:p>
    <w:p w14:paraId="1EE1CC8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7.2.4 电热器具周围 0.3m 以内不应放置可燃物。 </w:t>
      </w:r>
    </w:p>
    <w:p w14:paraId="07DF353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7.2.5 电热器具的外露导体应接地。 </w:t>
      </w:r>
    </w:p>
    <w:p w14:paraId="4B884F4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7.2.6 浴室内除加热蒸汽炉设备外，不得安装其他设备和线路，加热蒸汽炉距墙壁应大于 0.1m，应加装隔热板。 </w:t>
      </w:r>
    </w:p>
    <w:p w14:paraId="670A93B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7.2.7 电气线路和设备的接线入口及接线盒盖、管口应密封，外护物和遮栏均应具有 IP24 的防护等级。 </w:t>
      </w:r>
    </w:p>
    <w:p w14:paraId="18D574B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7.2.8 除加热蒸汽炉用的开关外，其他开关均应安装在桑拿浴室墙外，加热蒸汽炉可接近裸露导体应接地。 </w:t>
      </w:r>
    </w:p>
    <w:p w14:paraId="2F5D0EF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7.2.9 桑拿浴室内严禁装设电源插座。 </w:t>
      </w:r>
    </w:p>
    <w:p w14:paraId="00177CF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7.2.10 桑拿浴室内的线路应为双重绝缘，采用刚性 PVC 管布线，其绝缘电阻不应小于 0.5MΩ；不得采用金属外皮的电缆或普通钢管布线。 </w:t>
      </w:r>
    </w:p>
    <w:p w14:paraId="6A4A903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7.2.11 各连接点（含端子）温升，不应超过本规范表 2 的数值。 </w:t>
      </w:r>
    </w:p>
    <w:p w14:paraId="4DB6FB6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7.2.12 各种电气设备应无打火、放电现象。 </w:t>
      </w:r>
    </w:p>
    <w:p w14:paraId="3B1CCAD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7.2.13 加热蒸汽炉接线入口和接线盒内的温度，不应高于双重绝缘导线长期工作允许的最高温度。 </w:t>
      </w:r>
    </w:p>
    <w:p w14:paraId="3D7369B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7.2.14 电加热器具的接地线路的接地电阻值应符合设计文件。 </w:t>
      </w:r>
    </w:p>
    <w:p w14:paraId="2EF7E86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7.3 空调器的安装要求 </w:t>
      </w:r>
    </w:p>
    <w:p w14:paraId="1A1908F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7.3.1 空调器应采用单独回路供电。 </w:t>
      </w:r>
    </w:p>
    <w:p w14:paraId="1F103AD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7.3.2 空调器电源采用插座时，应设带有保护地线触头的插座。 </w:t>
      </w:r>
    </w:p>
    <w:p w14:paraId="250FDF4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7.3.3 空调电源线应设置短路、过载保护。 </w:t>
      </w:r>
    </w:p>
    <w:p w14:paraId="24864B5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7.3.4 空调器不应安装在可燃结构上，其设备与周围可燃物的距离不应小于 0.1m。 </w:t>
      </w:r>
    </w:p>
    <w:p w14:paraId="2E24ADA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7.3.5 分体式空调穿墙管路应有套管保护，室内机体接线端子板处接线应牢固、整齐、正确。 </w:t>
      </w:r>
    </w:p>
    <w:p w14:paraId="353FE73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7.3.6 各连接点（含端子）温升，不应超过本规范表 2 的规定。 </w:t>
      </w:r>
    </w:p>
    <w:p w14:paraId="70F74BA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7.3.7 设备工作时应无打火、放电现象。 </w:t>
      </w:r>
    </w:p>
    <w:p w14:paraId="6DC4331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7.4 防爆环境电气设备设置要求 DB37/ 655—2011 </w:t>
      </w:r>
    </w:p>
    <w:p w14:paraId="7A4262B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防爆环境场所电气设备防爆标志应符合爆炸与火灾危险分区要求。 </w:t>
      </w:r>
    </w:p>
    <w:p w14:paraId="6B9FC96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7.5 稳压整流设备防火要求 </w:t>
      </w:r>
    </w:p>
    <w:p w14:paraId="637CE24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7.5.1 输入稳压整流器设备的工作电流不应超过额定电流。 </w:t>
      </w:r>
    </w:p>
    <w:p w14:paraId="1D0AACF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7.5.2 柜体内螺栓连接的导线应无松动，专用端子压接应牢固无开裂，焊接连接的导线应无脱焊、虚焊、碰壳及短路现象。 </w:t>
      </w:r>
    </w:p>
    <w:p w14:paraId="59309E1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7.5.3 快速熔断器的型号、规格，应符合设计文件。 </w:t>
      </w:r>
    </w:p>
    <w:p w14:paraId="6B67027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7.5.4 稳压整流设备的冷却系统运转应正常。 </w:t>
      </w:r>
    </w:p>
    <w:p w14:paraId="27BD34A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7.5.5 整流变压器的温升应小于 60K。 </w:t>
      </w:r>
    </w:p>
    <w:p w14:paraId="60B8809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7.5.6 各种导线、母线的连接点和接线端子的温升，不应超过表 1 和表 2 的数值。 </w:t>
      </w:r>
    </w:p>
    <w:p w14:paraId="3DF51A0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7.5.7 电气设备连接点、壳体等不应有打火、放电现象。 </w:t>
      </w:r>
    </w:p>
    <w:p w14:paraId="0979EF3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7.5.8 稳压整流设备的接地线路的接地电阻值应符合设计文件。 </w:t>
      </w:r>
    </w:p>
    <w:p w14:paraId="5179C2B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7.6 电风扇的安装要求 </w:t>
      </w:r>
    </w:p>
    <w:p w14:paraId="2861207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7.6.1 吊扇扇叶距地高度不小于 2.5m。 </w:t>
      </w:r>
    </w:p>
    <w:p w14:paraId="6D9FFC2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7.6.2 电扇扇叶角度不应改变，扇叶的固定螺栓防松零件应齐全。 </w:t>
      </w:r>
    </w:p>
    <w:p w14:paraId="232292A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7.6.3 电扇接线正确，电扇运转时应无明显颤动。 </w:t>
      </w:r>
    </w:p>
    <w:p w14:paraId="2FDA84B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7.6.4 各连接点（含端子）温升，不应超过本规范表 2 的规定。 </w:t>
      </w:r>
    </w:p>
    <w:p w14:paraId="5833660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7.6.5 设备工作时应无打火、放电现象。 </w:t>
      </w:r>
    </w:p>
    <w:p w14:paraId="5497889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 照明装置 </w:t>
      </w:r>
    </w:p>
    <w:p w14:paraId="5ABB5E7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 照明装置的选用与安装 </w:t>
      </w:r>
    </w:p>
    <w:p w14:paraId="41117BD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8.1.1 超过 60W 的白炽灯、卤钨灯、荧光高压汞灯、聚光灯、回光灯、炭精灯等照明灯具（含镇流器） </w:t>
      </w:r>
    </w:p>
    <w:p w14:paraId="12AA811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不应直接安装在可燃材料或可燃构件上，聚光灯的聚光点不应落在可燃物上。 </w:t>
      </w:r>
    </w:p>
    <w:p w14:paraId="3F9A05B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8.1.2 当灯具的高温部位靠近除不燃性（A 级）以外的装修材料时，应采取隔热（如用玻璃丝、石膏板、石棉板等加以隔热防护）散热（如在灯具上增加散热空隙或加强顶棚内通风降温，与可燃物保持一定距离）等防火保护措施。 </w:t>
      </w:r>
    </w:p>
    <w:p w14:paraId="7798ED7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8.1.3 灯饰所用材料的燃烧性能等级不应低于难燃性（B1 级）等级。 </w:t>
      </w:r>
    </w:p>
    <w:p w14:paraId="478F31B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8.1.4 嵌入顶棚内的灯具、灯头引线应用柔性金属管保护，其保护长度不宜超过 1.0m。 </w:t>
      </w:r>
    </w:p>
    <w:p w14:paraId="5C82FF4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8.1.5 聚光灯、回光灯、炭精灯不应安装在可燃基座上，灯头的尾线应用高温线或瓷套管保护。 </w:t>
      </w:r>
    </w:p>
    <w:p w14:paraId="5872788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8.1.6 照明灯具配线接点应设在金属接线盒内。 </w:t>
      </w:r>
    </w:p>
    <w:p w14:paraId="7E986C7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8.1.7 库房内不应装设碘钨灯、卤钨灯、60W 以上的白炽灯等高温照明灯具。 </w:t>
      </w:r>
    </w:p>
    <w:p w14:paraId="7B9FE04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8.1.8 人防工程内潮湿场所、厨房、开水间、洗衣间、卫生间应采用防潮灯具。 </w:t>
      </w:r>
    </w:p>
    <w:p w14:paraId="78AF76D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8.1.9 库房内照明灯具下方不应堆放可燃物品。 </w:t>
      </w:r>
    </w:p>
    <w:p w14:paraId="0DFEF5E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8.1.10 库房内照明灯具垂直下方与储存物品水平间距不应小于 0.5m。 </w:t>
      </w:r>
    </w:p>
    <w:p w14:paraId="5805DE2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8.1.11 库房内不应设置移动式照明灯具。 </w:t>
      </w:r>
    </w:p>
    <w:p w14:paraId="6F37D9C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8.1.12 住宅公寓卫生间的灯具位置不应安装在座便器或浴缸的上面及其背后。 </w:t>
      </w:r>
    </w:p>
    <w:p w14:paraId="20BC3D6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8.1.13 安装在重要场所的大型灯具的玻璃罩，应采取防止玻璃罩碎裂后向下溅落的措施。 </w:t>
      </w:r>
    </w:p>
    <w:p w14:paraId="326A425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8.1.14 当 I 类灯具距地面高度小于 2.4m 时，灯具的可接近裸露导体应接地。 </w:t>
      </w:r>
    </w:p>
    <w:p w14:paraId="6F9E56A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8.1.15 照明灯具上所装的灯泡，不应超过灯具的额定功率。 </w:t>
      </w:r>
    </w:p>
    <w:p w14:paraId="22FD893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8.1.16 灯具配件齐全，应无机械损伤，涂层剥落与灯罩破裂等缺陷。 </w:t>
      </w:r>
    </w:p>
    <w:p w14:paraId="30999AF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8.2 防爆环境范围的固定式灯具安装要求 </w:t>
      </w:r>
    </w:p>
    <w:p w14:paraId="22D2E64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8.2.1 防爆环境照明灯具的类别、级别和温度组别应符合设计文件。 </w:t>
      </w:r>
    </w:p>
    <w:p w14:paraId="092E215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8.2.2 汽车加油站内爆炸危险区域以外的站房，罩棚等建筑物内的照明灯具可选用非防爆型，但罩棚下的灯具应选用防护等级不低于 IP44 级的节能型照明灯具。 </w:t>
      </w:r>
    </w:p>
    <w:p w14:paraId="42FE786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 照明灯具的工作安全防火要求 </w:t>
      </w:r>
    </w:p>
    <w:p w14:paraId="508519E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8.3.1 照明灯具与可燃物之间的安全距离： </w:t>
      </w:r>
    </w:p>
    <w:p w14:paraId="5EE3312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8.3.1.1 普通灯具不应小于 0.3m，当安全距离不够时，应采取隔热、散热措施。 </w:t>
      </w:r>
    </w:p>
    <w:p w14:paraId="55BF0B5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8.3.1.2 高温灯具（聚光灯、碘钨灯等）不应小于 0.5m，当安全距离不够时，应采取隔热、散热措施。 </w:t>
      </w:r>
    </w:p>
    <w:p w14:paraId="0A818DC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8.3.1.3 影剧院、礼堂用的面光灯、耳光灯不应小于 0.5m，当安全距离不够时，应采取隔热、散热措施。 </w:t>
      </w:r>
    </w:p>
    <w:p w14:paraId="6D0B08B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8.3.1.4 功率为 100W～500W 的灯具不应小于 0.5m，当安全距离不够时，应采取隔热、散热措施。 </w:t>
      </w:r>
    </w:p>
    <w:p w14:paraId="467AB8B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8.3.1.5 功率为 501W～2000W 的灯具不应小于 0.7m，当安全距离不够时，应采取隔热、散热措施。 </w:t>
      </w:r>
    </w:p>
    <w:p w14:paraId="0EBB8C8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8.3.1.6 功率为 2000W 以上的灯具不应小于 1.2m，当安全距离不够时，应采取隔热、散热措施。 </w:t>
      </w:r>
    </w:p>
    <w:p w14:paraId="048967A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8.3.2 日光灯镇流器线圈的最高允许温度不应超过给定温度标定 Tw 值。 </w:t>
      </w:r>
    </w:p>
    <w:p w14:paraId="1030718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8.3.3 日光灯电容器外壳的最高允许温度不应超过 Tc值。 </w:t>
      </w:r>
    </w:p>
    <w:p w14:paraId="0D68210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8.3.4 灯具的带电导体对地（外壳）不应有打火、放电现象。 </w:t>
      </w:r>
    </w:p>
    <w:p w14:paraId="70380F7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 插座与开关 </w:t>
      </w:r>
    </w:p>
    <w:p w14:paraId="48A315CB">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 插座与开关安装要求 </w:t>
      </w:r>
    </w:p>
    <w:p w14:paraId="32B16EA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9.1.1 当交流、直流或不同电压等级的插座安装在同一场所时，应有明显的区别，必须选择不同结构、不同规格和不能互换的插座。 </w:t>
      </w:r>
    </w:p>
    <w:p w14:paraId="6097E9F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9.1.2 暗装的插座与开关应采用专用盒，面板紧贴墙面，四周无缝隙，安装牢固，表面光滑整洁。无碎裂、划伤，装饰帽应齐全。 </w:t>
      </w:r>
    </w:p>
    <w:p w14:paraId="06324EE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9.1.3 地插座面板与地面齐平或紧贴地面，盖板固定牢固，密封良好。 </w:t>
      </w:r>
    </w:p>
    <w:p w14:paraId="210B565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9.1.4 备用照明、疏散照明的回路上不应设置插座。 </w:t>
      </w:r>
    </w:p>
    <w:p w14:paraId="7CB838C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9.1.5 除壁挂式空调电源插座外，其他电源插座电路应设漏电保护装置。 </w:t>
      </w:r>
    </w:p>
    <w:p w14:paraId="140A89B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9.1.6 插座、开关若安装在可燃结构上或靠近可燃物时，应采取隔热、散热的保护措施。 </w:t>
      </w:r>
    </w:p>
    <w:p w14:paraId="25AD1F58">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9.1.7 潮湿场所应采用密封良好的防溅水型插座 </w:t>
      </w:r>
    </w:p>
    <w:p w14:paraId="28A1D60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9.1.8 安装在桑拿浴室时，除加热炉附着开关外，其它开关、插座均应安装在桑拿浴室外。 </w:t>
      </w:r>
    </w:p>
    <w:p w14:paraId="087CD6E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9.1.9 托儿所、幼儿园、小学等儿童活动场所插座安装高度不应小于 1.8m。 </w:t>
      </w:r>
    </w:p>
    <w:p w14:paraId="09A928B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9.1.10 照明开关边缘距门框边缘的距离应为 0.15m～0.20m。 </w:t>
      </w:r>
    </w:p>
    <w:p w14:paraId="2585013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9.1.11 在同一构、建筑物开关的通断位置应一致。 </w:t>
      </w:r>
    </w:p>
    <w:p w14:paraId="6EB6A33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9.1.12 防爆环境应采用相应的防爆型开关与插座。 </w:t>
      </w:r>
    </w:p>
    <w:p w14:paraId="4349A6C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9.2 插座接线要求 </w:t>
      </w:r>
    </w:p>
    <w:p w14:paraId="7E7C257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9.2.1 单相两孔插座面对插座的右孔或上孔应与相线连接，左孔或下孔应与中性线连接。 </w:t>
      </w:r>
    </w:p>
    <w:p w14:paraId="78AC3B4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9.2.2 单相三孔插座面对插座的右孔应与相线连接，左孔应与中性线连接。 </w:t>
      </w:r>
    </w:p>
    <w:p w14:paraId="0001799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9.2.3 同一场所的三相插座，接线的相序应一致。 </w:t>
      </w:r>
    </w:p>
    <w:p w14:paraId="638BFB4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9.2.4 插座间的接地线不得串联连接。 DB37/ 655—2011 </w:t>
      </w:r>
    </w:p>
    <w:p w14:paraId="2CA1DA25">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9.3 插座与开关工作防火要求 </w:t>
      </w:r>
    </w:p>
    <w:p w14:paraId="6904CDC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9.3.1 有插头工作的插座，在工作时不应有过热或打火、放电现象。 </w:t>
      </w:r>
    </w:p>
    <w:p w14:paraId="28E3E59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9.3.2 开关在工作时不应有过热或打火、放电现象。 </w:t>
      </w:r>
    </w:p>
    <w:p w14:paraId="6639F8B3">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9.3.3 插座的接地线路的接地电阻值应符合设计文件。 </w:t>
      </w:r>
    </w:p>
    <w:p w14:paraId="5157488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10 等电位联结 </w:t>
      </w:r>
    </w:p>
    <w:p w14:paraId="47064E7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10.1 建筑内的电气装置应采用总等电位联结。 </w:t>
      </w:r>
    </w:p>
    <w:p w14:paraId="614CDB6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10.2 建筑中等电位联结干线应从与接地装置有不少于 2 处直接连接的接地干线或总等电位箱引出。 </w:t>
      </w:r>
    </w:p>
    <w:p w14:paraId="587B40ED">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10.3 等电位联结干线或局部等电位箱间的连接线应形成环状网路。 </w:t>
      </w:r>
    </w:p>
    <w:p w14:paraId="41BB2AA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10.4 等电位联结环状网路应就近与等电位联结干线或局部等电位箱连接。 </w:t>
      </w:r>
    </w:p>
    <w:p w14:paraId="3C9358D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10.5 等电位联结的线路最小允许截面应符合设计文件并满足表 7 的要求。 </w:t>
      </w:r>
    </w:p>
    <w:p w14:paraId="230EB411">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表7 等电位联结线路的最小允许截面积 </w:t>
      </w:r>
    </w:p>
    <w:tbl>
      <w:tblPr>
        <w:tblStyle w:val="47"/>
        <w:tblW w:w="9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1"/>
        <w:gridCol w:w="3187"/>
        <w:gridCol w:w="3182"/>
      </w:tblGrid>
      <w:tr w14:paraId="2FD77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3191" w:type="dxa"/>
            <w:vMerge w:val="restart"/>
            <w:tcBorders>
              <w:bottom w:val="nil"/>
            </w:tcBorders>
            <w:noWrap w:val="0"/>
            <w:vAlign w:val="top"/>
          </w:tcPr>
          <w:p w14:paraId="69EF9B6A">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p>
          <w:p w14:paraId="16895418">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材料</w:t>
            </w:r>
          </w:p>
        </w:tc>
        <w:tc>
          <w:tcPr>
            <w:tcW w:w="6369" w:type="dxa"/>
            <w:gridSpan w:val="2"/>
            <w:noWrap w:val="0"/>
            <w:vAlign w:val="top"/>
          </w:tcPr>
          <w:p w14:paraId="282D61D7">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截面(mm²)</w:t>
            </w:r>
          </w:p>
        </w:tc>
      </w:tr>
      <w:tr w14:paraId="0D7C1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191" w:type="dxa"/>
            <w:vMerge w:val="continue"/>
            <w:tcBorders>
              <w:top w:val="nil"/>
            </w:tcBorders>
            <w:noWrap w:val="0"/>
            <w:vAlign w:val="top"/>
          </w:tcPr>
          <w:p w14:paraId="2A67388E">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p>
        </w:tc>
        <w:tc>
          <w:tcPr>
            <w:tcW w:w="3187" w:type="dxa"/>
            <w:noWrap w:val="0"/>
            <w:vAlign w:val="top"/>
          </w:tcPr>
          <w:p w14:paraId="4D76416D">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干线</w:t>
            </w:r>
          </w:p>
        </w:tc>
        <w:tc>
          <w:tcPr>
            <w:tcW w:w="3182" w:type="dxa"/>
            <w:noWrap w:val="0"/>
            <w:vAlign w:val="top"/>
          </w:tcPr>
          <w:p w14:paraId="2F84A27F">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支线</w:t>
            </w:r>
          </w:p>
        </w:tc>
      </w:tr>
      <w:tr w14:paraId="7E5C8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91" w:type="dxa"/>
            <w:noWrap w:val="0"/>
            <w:vAlign w:val="top"/>
          </w:tcPr>
          <w:p w14:paraId="647626B9">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铜</w:t>
            </w:r>
          </w:p>
        </w:tc>
        <w:tc>
          <w:tcPr>
            <w:tcW w:w="3187" w:type="dxa"/>
            <w:noWrap w:val="0"/>
            <w:vAlign w:val="top"/>
          </w:tcPr>
          <w:p w14:paraId="160CF85E">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16</w:t>
            </w:r>
          </w:p>
        </w:tc>
        <w:tc>
          <w:tcPr>
            <w:tcW w:w="3182" w:type="dxa"/>
            <w:noWrap w:val="0"/>
            <w:vAlign w:val="top"/>
          </w:tcPr>
          <w:p w14:paraId="665D1174">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6</w:t>
            </w:r>
          </w:p>
        </w:tc>
      </w:tr>
      <w:tr w14:paraId="15528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191" w:type="dxa"/>
            <w:noWrap w:val="0"/>
            <w:vAlign w:val="top"/>
          </w:tcPr>
          <w:p w14:paraId="7D0EE541">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钢</w:t>
            </w:r>
          </w:p>
        </w:tc>
        <w:tc>
          <w:tcPr>
            <w:tcW w:w="3187" w:type="dxa"/>
            <w:noWrap w:val="0"/>
            <w:vAlign w:val="top"/>
          </w:tcPr>
          <w:p w14:paraId="503891C7">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20</w:t>
            </w:r>
          </w:p>
        </w:tc>
        <w:tc>
          <w:tcPr>
            <w:tcW w:w="3182" w:type="dxa"/>
            <w:noWrap w:val="0"/>
            <w:vAlign w:val="top"/>
          </w:tcPr>
          <w:p w14:paraId="2FDA3644">
            <w:pPr>
              <w:keepNext w:val="0"/>
              <w:keepLines w:val="0"/>
              <w:pageBreakBefore w:val="0"/>
              <w:kinsoku/>
              <w:wordWrap/>
              <w:overflowPunct/>
              <w:topLinePunct w:val="0"/>
              <w:bidi w:val="0"/>
              <w:spacing w:before="163" w:line="220" w:lineRule="auto"/>
              <w:ind w:right="0"/>
              <w:jc w:val="center"/>
              <w:textAlignment w:val="auto"/>
              <w:rPr>
                <w:rFonts w:hint="eastAsia" w:ascii="仿宋_GB2312" w:hAnsi="仿宋_GB2312" w:eastAsia="仿宋_GB2312" w:cs="仿宋_GB2312"/>
                <w:spacing w:val="25"/>
                <w:sz w:val="28"/>
                <w:szCs w:val="28"/>
              </w:rPr>
            </w:pPr>
            <w:r>
              <w:rPr>
                <w:rFonts w:hint="eastAsia" w:ascii="仿宋_GB2312" w:hAnsi="仿宋_GB2312" w:eastAsia="仿宋_GB2312" w:cs="仿宋_GB2312"/>
                <w:spacing w:val="25"/>
                <w:sz w:val="28"/>
                <w:szCs w:val="28"/>
              </w:rPr>
              <w:t>16</w:t>
            </w:r>
          </w:p>
        </w:tc>
      </w:tr>
    </w:tbl>
    <w:p w14:paraId="1048E23A">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p>
    <w:p w14:paraId="7F847B1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10.6 等电位联结的可接近裸导体或其他金属部件、构件与支线连接应可靠。 </w:t>
      </w:r>
    </w:p>
    <w:p w14:paraId="7F1CDB87">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11 系统判定 </w:t>
      </w:r>
    </w:p>
    <w:p w14:paraId="4087EFD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11.1 被测部分火灾危险系数 </w:t>
      </w:r>
    </w:p>
    <w:p w14:paraId="297323B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各条款的火灾危险性分类见附录D，将被测部分的危险类别按点数代入火灾危险系数计算公式，得 </w:t>
      </w:r>
    </w:p>
    <w:p w14:paraId="3A3EF41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出被测部分的火灾危险系数。 </w:t>
      </w:r>
    </w:p>
    <w:p w14:paraId="56BC0B4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火灾危险系数计算公式： </w:t>
      </w:r>
    </w:p>
    <w:p w14:paraId="1F466609">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1438275" cy="581025"/>
            <wp:effectExtent l="0" t="0" r="952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38275" cy="581025"/>
                    </a:xfrm>
                    <a:prstGeom prst="rect">
                      <a:avLst/>
                    </a:prstGeom>
                    <a:noFill/>
                    <a:ln>
                      <a:noFill/>
                    </a:ln>
                  </pic:spPr>
                </pic:pic>
              </a:graphicData>
            </a:graphic>
          </wp:inline>
        </w:drawing>
      </w:r>
    </w:p>
    <w:p w14:paraId="68BDECE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式中： </w:t>
      </w:r>
    </w:p>
    <w:p w14:paraId="208EDFA2">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i/>
          <w:iCs/>
          <w:color w:val="000000"/>
          <w:kern w:val="0"/>
          <w:sz w:val="28"/>
          <w:szCs w:val="28"/>
          <w:lang w:val="en-US" w:eastAsia="zh-CN" w:bidi="ar"/>
        </w:rPr>
        <w:t>X</w:t>
      </w:r>
      <w:r>
        <w:rPr>
          <w:rFonts w:hint="eastAsia" w:ascii="仿宋_GB2312" w:hAnsi="仿宋_GB2312" w:eastAsia="仿宋_GB2312" w:cs="仿宋_GB2312"/>
          <w:color w:val="000000"/>
          <w:kern w:val="0"/>
          <w:sz w:val="28"/>
          <w:szCs w:val="28"/>
          <w:lang w:val="en-US" w:eastAsia="zh-CN" w:bidi="ar"/>
        </w:rPr>
        <w:t xml:space="preserve">——被测部分的火灾危险系数； </w:t>
      </w:r>
    </w:p>
    <w:p w14:paraId="14AD4864">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i/>
          <w:iCs/>
          <w:color w:val="000000"/>
          <w:kern w:val="0"/>
          <w:sz w:val="28"/>
          <w:szCs w:val="28"/>
          <w:lang w:val="en-US" w:eastAsia="zh-CN" w:bidi="ar"/>
        </w:rPr>
        <w:t>Zs</w:t>
      </w:r>
      <w:r>
        <w:rPr>
          <w:rFonts w:hint="eastAsia" w:ascii="仿宋_GB2312" w:hAnsi="仿宋_GB2312" w:eastAsia="仿宋_GB2312" w:cs="仿宋_GB2312"/>
          <w:color w:val="000000"/>
          <w:kern w:val="0"/>
          <w:sz w:val="28"/>
          <w:szCs w:val="28"/>
          <w:lang w:val="en-US" w:eastAsia="zh-CN" w:bidi="ar"/>
        </w:rPr>
        <w:t xml:space="preserve">——被测部分实际检测点数； </w:t>
      </w:r>
    </w:p>
    <w:p w14:paraId="63E0672A">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i/>
          <w:iCs/>
          <w:color w:val="000000"/>
          <w:kern w:val="0"/>
          <w:sz w:val="28"/>
          <w:szCs w:val="28"/>
          <w:lang w:val="en-US" w:eastAsia="zh-CN" w:bidi="ar"/>
        </w:rPr>
        <w:t>Cs</w:t>
      </w:r>
      <w:r>
        <w:rPr>
          <w:rFonts w:hint="eastAsia" w:ascii="仿宋_GB2312" w:hAnsi="仿宋_GB2312" w:eastAsia="仿宋_GB2312" w:cs="仿宋_GB2312"/>
          <w:color w:val="000000"/>
          <w:kern w:val="0"/>
          <w:sz w:val="28"/>
          <w:szCs w:val="28"/>
          <w:lang w:val="en-US" w:eastAsia="zh-CN" w:bidi="ar"/>
        </w:rPr>
        <w:t xml:space="preserve">——被测部分C类不符合要求点数； </w:t>
      </w:r>
    </w:p>
    <w:p w14:paraId="6BE82CD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i/>
          <w:iCs/>
          <w:color w:val="000000"/>
          <w:kern w:val="0"/>
          <w:sz w:val="28"/>
          <w:szCs w:val="28"/>
          <w:lang w:val="en-US" w:eastAsia="zh-CN" w:bidi="ar"/>
        </w:rPr>
        <w:t>Bs</w:t>
      </w:r>
      <w:r>
        <w:rPr>
          <w:rFonts w:hint="eastAsia" w:ascii="仿宋_GB2312" w:hAnsi="仿宋_GB2312" w:eastAsia="仿宋_GB2312" w:cs="仿宋_GB2312"/>
          <w:color w:val="000000"/>
          <w:kern w:val="0"/>
          <w:sz w:val="28"/>
          <w:szCs w:val="28"/>
          <w:lang w:val="en-US" w:eastAsia="zh-CN" w:bidi="ar"/>
        </w:rPr>
        <w:t xml:space="preserve">——被测部分B类不符合要求点数。 </w:t>
      </w:r>
    </w:p>
    <w:p w14:paraId="33AC733F">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11.2 被测部分电气火灾危险等级（电气防火安全等级）的评定 </w:t>
      </w:r>
    </w:p>
    <w:p w14:paraId="3C71FB8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根据火灾危险类别和火灾危险系数的大小，将建筑被测部分的电气防火技术检测判定结论划分为两类，分别为： </w:t>
      </w:r>
    </w:p>
    <w:p w14:paraId="08054580">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合格（无A类、X≤0.2）； </w:t>
      </w:r>
    </w:p>
    <w:p w14:paraId="403C4476">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不合格（存在A类或X＞0.2）。</w:t>
      </w:r>
    </w:p>
    <w:p w14:paraId="145069AE">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11.3 检验报告主要内容 </w:t>
      </w:r>
    </w:p>
    <w:p w14:paraId="6BBBF24C">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11.3.1 被检测部分不安全因素的位置或其分布的图片资料。 </w:t>
      </w:r>
    </w:p>
    <w:p w14:paraId="67A1B79A">
      <w:pPr>
        <w:pStyle w:val="10"/>
        <w:keepNext w:val="0"/>
        <w:keepLines w:val="0"/>
        <w:pageBreakBefore w:val="0"/>
        <w:kinsoku/>
        <w:wordWrap/>
        <w:overflowPunct/>
        <w:topLinePunct w:val="0"/>
        <w:bidi w:val="0"/>
        <w:adjustRightInd w:val="0"/>
        <w:snapToGrid w:val="0"/>
        <w:spacing w:line="360" w:lineRule="auto"/>
        <w:ind w:right="0"/>
        <w:jc w:val="left"/>
        <w:textAlignment w:val="auto"/>
        <w:outlineLvl w:val="1"/>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11.3.2 检验结论</w:t>
      </w:r>
    </w:p>
    <w:p w14:paraId="217FA57C">
      <w:pPr>
        <w:pStyle w:val="10"/>
        <w:keepNext w:val="0"/>
        <w:keepLines w:val="0"/>
        <w:pageBreakBefore w:val="0"/>
        <w:kinsoku/>
        <w:wordWrap/>
        <w:overflowPunct/>
        <w:topLinePunct w:val="0"/>
        <w:bidi w:val="0"/>
        <w:adjustRightInd w:val="0"/>
        <w:snapToGrid w:val="0"/>
        <w:spacing w:line="360" w:lineRule="auto"/>
        <w:ind w:right="0"/>
        <w:jc w:val="left"/>
        <w:textAlignment w:val="auto"/>
        <w:outlineLvl w:val="1"/>
        <w:rPr>
          <w:rStyle w:val="23"/>
          <w:rFonts w:ascii="仿宋" w:hAnsi="仿宋" w:eastAsia="仿宋"/>
          <w:b w:val="0"/>
          <w:color w:val="auto"/>
          <w:sz w:val="28"/>
          <w:szCs w:val="28"/>
        </w:rPr>
      </w:pPr>
      <w:r>
        <w:rPr>
          <w:rStyle w:val="23"/>
          <w:rFonts w:hint="eastAsia" w:ascii="仿宋" w:hAnsi="仿宋" w:eastAsia="仿宋"/>
          <w:b w:val="0"/>
          <w:color w:val="auto"/>
          <w:sz w:val="28"/>
          <w:szCs w:val="28"/>
        </w:rPr>
        <w:t>（</w:t>
      </w:r>
      <w:r>
        <w:rPr>
          <w:rStyle w:val="23"/>
          <w:rFonts w:hint="eastAsia" w:ascii="仿宋" w:hAnsi="仿宋" w:eastAsia="仿宋"/>
          <w:b w:val="0"/>
          <w:color w:val="auto"/>
          <w:sz w:val="28"/>
          <w:szCs w:val="28"/>
          <w:lang w:val="en-US" w:eastAsia="zh-CN"/>
        </w:rPr>
        <w:t>五</w:t>
      </w:r>
      <w:r>
        <w:rPr>
          <w:rStyle w:val="23"/>
          <w:rFonts w:hint="eastAsia" w:ascii="仿宋" w:hAnsi="仿宋" w:eastAsia="仿宋"/>
          <w:b w:val="0"/>
          <w:color w:val="auto"/>
          <w:sz w:val="28"/>
          <w:szCs w:val="28"/>
        </w:rPr>
        <w:t>）园区消防系统及消防中控室值班人员要求</w:t>
      </w:r>
      <w:bookmarkEnd w:id="44"/>
    </w:p>
    <w:p w14:paraId="0BEB8CE7">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（1）熟悉掌握建筑消防设施的工作原理及操作规程，能排除一般故障，定期做好各系统功能试验、维护等工作，保证系统正常运行；</w:t>
      </w:r>
    </w:p>
    <w:p w14:paraId="60462A4B">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(2)对消防控制室设备及通讯器材进行经常性的检查，每日检查火灾自动报警系统及消防联动控制系统功能是否正常，如发现不正常，应在日登记表中记录并及时处理或报告；</w:t>
      </w:r>
    </w:p>
    <w:p w14:paraId="732FF623">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(3)认真填写相关消防设施系统运行情况、报警情况、故障维修、日常保养等记录表，消防控制室值班记录，不得漏记、补记、代记，消防控制室值班记录应完整，字迹清晰，保存完好。</w:t>
      </w:r>
    </w:p>
    <w:p w14:paraId="7D89B9C6">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（4）消防控制室内严禁吸烟或动用明火。未</w:t>
      </w:r>
      <w:r>
        <w:rPr>
          <w:rFonts w:ascii="仿宋" w:hAnsi="仿宋" w:eastAsia="仿宋"/>
          <w:sz w:val="28"/>
          <w:szCs w:val="28"/>
        </w:rPr>
        <w:t>按照要求</w:t>
      </w:r>
      <w:r>
        <w:rPr>
          <w:rFonts w:hint="eastAsia" w:ascii="仿宋" w:hAnsi="仿宋" w:eastAsia="仿宋"/>
          <w:sz w:val="28"/>
          <w:szCs w:val="28"/>
        </w:rPr>
        <w:t>发现一次扣罚10000元。</w:t>
      </w:r>
    </w:p>
    <w:p w14:paraId="7E3A6D57">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(5)中控室值班人员应提前10分钟上岗，遵守考勤管理制度，由业主单位负责人组织每日例会，要求值班人员做好会议纪要，做好交接班工作。接班人员未到岗接班时，交班人员不得擅自离岗。</w:t>
      </w:r>
    </w:p>
    <w:p w14:paraId="155A60B4">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sz w:val="28"/>
          <w:szCs w:val="28"/>
        </w:rPr>
        <w:t>(6)在</w:t>
      </w:r>
      <w:r>
        <w:rPr>
          <w:rFonts w:ascii="仿宋" w:hAnsi="仿宋" w:eastAsia="仿宋"/>
          <w:sz w:val="28"/>
          <w:szCs w:val="28"/>
        </w:rPr>
        <w:t>值班期间</w:t>
      </w:r>
      <w:r>
        <w:rPr>
          <w:rFonts w:hint="eastAsia" w:ascii="仿宋" w:hAnsi="仿宋" w:eastAsia="仿宋"/>
          <w:sz w:val="28"/>
          <w:szCs w:val="28"/>
        </w:rPr>
        <w:t>存在</w:t>
      </w:r>
      <w:r>
        <w:rPr>
          <w:rFonts w:ascii="仿宋" w:hAnsi="仿宋" w:eastAsia="仿宋"/>
          <w:sz w:val="28"/>
          <w:szCs w:val="28"/>
        </w:rPr>
        <w:t>睡岗</w:t>
      </w:r>
      <w:r>
        <w:rPr>
          <w:rFonts w:hint="eastAsia" w:ascii="仿宋" w:hAnsi="仿宋" w:eastAsia="仿宋"/>
          <w:sz w:val="28"/>
          <w:szCs w:val="28"/>
        </w:rPr>
        <w:t>、</w:t>
      </w:r>
      <w:r>
        <w:rPr>
          <w:rFonts w:ascii="仿宋" w:hAnsi="仿宋" w:eastAsia="仿宋"/>
          <w:sz w:val="28"/>
          <w:szCs w:val="28"/>
        </w:rPr>
        <w:t>脱岗</w:t>
      </w:r>
      <w:r>
        <w:rPr>
          <w:rFonts w:hint="eastAsia" w:ascii="仿宋" w:hAnsi="仿宋" w:eastAsia="仿宋"/>
          <w:sz w:val="28"/>
          <w:szCs w:val="28"/>
        </w:rPr>
        <w:t>（离开</w:t>
      </w:r>
      <w:r>
        <w:rPr>
          <w:rFonts w:ascii="仿宋" w:hAnsi="仿宋" w:eastAsia="仿宋"/>
          <w:sz w:val="28"/>
          <w:szCs w:val="28"/>
        </w:rPr>
        <w:t>监控区域</w:t>
      </w:r>
      <w:r>
        <w:rPr>
          <w:rFonts w:hint="eastAsia" w:ascii="仿宋" w:hAnsi="仿宋" w:eastAsia="仿宋"/>
          <w:sz w:val="28"/>
          <w:szCs w:val="28"/>
        </w:rPr>
        <w:t>30分钟</w:t>
      </w:r>
      <w:r>
        <w:rPr>
          <w:rFonts w:ascii="仿宋" w:hAnsi="仿宋" w:eastAsia="仿宋"/>
          <w:sz w:val="28"/>
          <w:szCs w:val="28"/>
        </w:rPr>
        <w:t>以上视为脱岗</w:t>
      </w:r>
      <w:r>
        <w:rPr>
          <w:rFonts w:hint="eastAsia" w:ascii="仿宋" w:hAnsi="仿宋" w:eastAsia="仿宋"/>
          <w:sz w:val="28"/>
          <w:szCs w:val="28"/>
        </w:rPr>
        <w:t>）</w:t>
      </w:r>
      <w:r>
        <w:rPr>
          <w:rFonts w:ascii="仿宋" w:hAnsi="仿宋" w:eastAsia="仿宋"/>
          <w:sz w:val="28"/>
          <w:szCs w:val="28"/>
        </w:rPr>
        <w:t>现象，</w:t>
      </w:r>
      <w:r>
        <w:rPr>
          <w:rFonts w:ascii="仿宋" w:hAnsi="仿宋" w:eastAsia="仿宋" w:cs="仿宋"/>
          <w:sz w:val="28"/>
          <w:szCs w:val="28"/>
        </w:rPr>
        <w:t>视情节轻重对乙方处以</w:t>
      </w:r>
      <w:r>
        <w:rPr>
          <w:rFonts w:ascii="仿宋" w:hAnsi="仿宋" w:eastAsia="仿宋" w:cs="仿宋"/>
          <w:b/>
          <w:bCs/>
          <w:sz w:val="28"/>
          <w:szCs w:val="28"/>
        </w:rPr>
        <w:t>当月维保费用</w:t>
      </w: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5</w:t>
      </w:r>
      <w:r>
        <w:rPr>
          <w:rFonts w:ascii="仿宋" w:hAnsi="仿宋" w:eastAsia="仿宋" w:cs="仿宋"/>
          <w:b/>
          <w:bCs/>
          <w:sz w:val="28"/>
          <w:szCs w:val="28"/>
        </w:rPr>
        <w:t>%的</w:t>
      </w:r>
      <w:r>
        <w:rPr>
          <w:rFonts w:ascii="仿宋" w:hAnsi="仿宋" w:eastAsia="仿宋" w:cs="仿宋"/>
          <w:b/>
          <w:bCs/>
          <w:color w:val="FF0000"/>
          <w:sz w:val="28"/>
          <w:szCs w:val="28"/>
        </w:rPr>
        <w:t>罚款</w:t>
      </w:r>
      <w:r>
        <w:rPr>
          <w:rFonts w:hint="eastAsia" w:ascii="仿宋" w:hAnsi="仿宋" w:eastAsia="仿宋" w:cs="仿宋"/>
          <w:sz w:val="28"/>
          <w:szCs w:val="28"/>
        </w:rPr>
        <w:t>，</w:t>
      </w:r>
      <w:r>
        <w:rPr>
          <w:rFonts w:ascii="仿宋" w:hAnsi="仿宋" w:eastAsia="仿宋"/>
          <w:sz w:val="28"/>
          <w:szCs w:val="28"/>
        </w:rPr>
        <w:t>情节严重者，</w:t>
      </w:r>
      <w:r>
        <w:rPr>
          <w:rFonts w:ascii="仿宋" w:hAnsi="仿宋" w:eastAsia="仿宋" w:cs="仿宋"/>
          <w:sz w:val="28"/>
          <w:szCs w:val="28"/>
        </w:rPr>
        <w:t>甲方有权要求乙方调换</w:t>
      </w:r>
      <w:r>
        <w:rPr>
          <w:rFonts w:hint="eastAsia" w:ascii="仿宋" w:hAnsi="仿宋" w:eastAsia="仿宋" w:cs="仿宋"/>
          <w:sz w:val="28"/>
          <w:szCs w:val="28"/>
          <w:lang w:val="en-US" w:eastAsia="zh-CN"/>
        </w:rPr>
        <w:t>值班</w:t>
      </w:r>
      <w:r>
        <w:rPr>
          <w:rFonts w:ascii="仿宋" w:hAnsi="仿宋" w:eastAsia="仿宋" w:cs="仿宋"/>
          <w:sz w:val="28"/>
          <w:szCs w:val="28"/>
        </w:rPr>
        <w:t>人员</w:t>
      </w:r>
      <w:r>
        <w:rPr>
          <w:rFonts w:hint="eastAsia" w:ascii="仿宋" w:hAnsi="仿宋" w:eastAsia="仿宋" w:cs="仿宋"/>
          <w:sz w:val="28"/>
          <w:szCs w:val="28"/>
        </w:rPr>
        <w:t>。</w:t>
      </w:r>
    </w:p>
    <w:p w14:paraId="3BD7FCE8">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color w:val="auto"/>
          <w:sz w:val="28"/>
          <w:szCs w:val="28"/>
        </w:rPr>
      </w:pPr>
      <w:r>
        <w:rPr>
          <w:rFonts w:hint="eastAsia" w:ascii="仿宋" w:hAnsi="仿宋" w:eastAsia="仿宋" w:cs="仿宋"/>
          <w:sz w:val="28"/>
          <w:szCs w:val="28"/>
        </w:rPr>
        <w:t>（7）</w:t>
      </w:r>
      <w:r>
        <w:rPr>
          <w:rFonts w:hint="eastAsia" w:ascii="仿宋" w:hAnsi="仿宋" w:eastAsia="仿宋" w:cs="仿宋"/>
          <w:color w:val="auto"/>
          <w:sz w:val="28"/>
          <w:szCs w:val="28"/>
          <w:lang w:val="en-US" w:eastAsia="zh-CN"/>
        </w:rPr>
        <w:t>要求乙方配备</w:t>
      </w:r>
      <w:r>
        <w:rPr>
          <w:rFonts w:hint="eastAsia" w:ascii="仿宋" w:hAnsi="仿宋" w:eastAsia="仿宋" w:cs="仿宋"/>
          <w:color w:val="auto"/>
          <w:sz w:val="28"/>
          <w:szCs w:val="28"/>
        </w:rPr>
        <w:t>维保工</w:t>
      </w:r>
      <w:r>
        <w:rPr>
          <w:rFonts w:hint="eastAsia" w:ascii="仿宋" w:hAnsi="仿宋" w:eastAsia="仿宋" w:cs="仿宋"/>
          <w:color w:val="auto"/>
          <w:sz w:val="28"/>
          <w:szCs w:val="28"/>
          <w:highlight w:val="none"/>
        </w:rPr>
        <w:t>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电动工具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消防烟枪、消火栓压力测试枪</w:t>
      </w:r>
      <w:r>
        <w:rPr>
          <w:rFonts w:hint="eastAsia" w:ascii="仿宋" w:hAnsi="仿宋" w:eastAsia="仿宋" w:cs="仿宋"/>
          <w:color w:val="auto"/>
          <w:sz w:val="28"/>
          <w:szCs w:val="28"/>
          <w:highlight w:val="none"/>
        </w:rPr>
        <w:t>等所用设备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必须经相关部门检验合</w:t>
      </w:r>
      <w:r>
        <w:rPr>
          <w:rFonts w:hint="eastAsia" w:ascii="仿宋" w:hAnsi="仿宋" w:eastAsia="仿宋" w:cs="仿宋"/>
          <w:color w:val="auto"/>
          <w:sz w:val="28"/>
          <w:szCs w:val="28"/>
        </w:rPr>
        <w:t>格并贴合格证后方可使用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莱芜园区配备2部</w:t>
      </w:r>
      <w:r>
        <w:rPr>
          <w:rFonts w:hint="eastAsia" w:ascii="仿宋" w:hAnsi="仿宋" w:eastAsia="仿宋" w:cs="仿宋"/>
          <w:color w:val="auto"/>
          <w:sz w:val="28"/>
          <w:szCs w:val="28"/>
        </w:rPr>
        <w:t>电瓶车</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6部对讲机。</w:t>
      </w:r>
    </w:p>
    <w:p w14:paraId="31D75EA0">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）维保单位</w:t>
      </w:r>
      <w:r>
        <w:rPr>
          <w:rFonts w:hint="eastAsia" w:ascii="仿宋" w:hAnsi="仿宋" w:eastAsia="仿宋" w:cs="仿宋"/>
          <w:sz w:val="28"/>
          <w:szCs w:val="28"/>
          <w:lang w:val="en-US" w:eastAsia="zh-CN"/>
        </w:rPr>
        <w:t>人员应配备</w:t>
      </w:r>
      <w:r>
        <w:rPr>
          <w:rFonts w:hint="eastAsia" w:ascii="仿宋" w:hAnsi="仿宋" w:eastAsia="仿宋" w:cs="仿宋"/>
          <w:sz w:val="28"/>
          <w:szCs w:val="28"/>
        </w:rPr>
        <w:t>安全帽、安全带和</w:t>
      </w:r>
      <w:r>
        <w:rPr>
          <w:rFonts w:hint="eastAsia" w:ascii="仿宋" w:hAnsi="仿宋" w:eastAsia="仿宋" w:cs="仿宋"/>
          <w:sz w:val="28"/>
          <w:szCs w:val="28"/>
          <w:lang w:val="en-US" w:eastAsia="zh-CN"/>
        </w:rPr>
        <w:t>防静电</w:t>
      </w:r>
      <w:r>
        <w:rPr>
          <w:rFonts w:hint="eastAsia" w:ascii="仿宋" w:hAnsi="仿宋" w:eastAsia="仿宋" w:cs="仿宋"/>
          <w:sz w:val="28"/>
          <w:szCs w:val="28"/>
        </w:rPr>
        <w:t>工作服</w:t>
      </w:r>
      <w:r>
        <w:rPr>
          <w:rFonts w:hint="eastAsia" w:ascii="仿宋" w:hAnsi="仿宋" w:eastAsia="仿宋" w:cs="仿宋"/>
          <w:sz w:val="28"/>
          <w:szCs w:val="28"/>
          <w:lang w:eastAsia="zh-CN"/>
        </w:rPr>
        <w:t>（</w:t>
      </w:r>
      <w:r>
        <w:rPr>
          <w:rFonts w:hint="eastAsia" w:ascii="仿宋" w:hAnsi="仿宋" w:eastAsia="仿宋" w:cs="仿宋"/>
          <w:sz w:val="28"/>
          <w:szCs w:val="28"/>
        </w:rPr>
        <w:t>四季款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绝缘劳保鞋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要求乙方</w:t>
      </w:r>
      <w:r>
        <w:rPr>
          <w:rFonts w:hint="eastAsia" w:ascii="仿宋" w:hAnsi="仿宋" w:eastAsia="仿宋" w:cs="仿宋"/>
          <w:sz w:val="28"/>
          <w:szCs w:val="28"/>
        </w:rPr>
        <w:t>统一配发，样式统一齐全，保证现场人员工作安全。</w:t>
      </w:r>
    </w:p>
    <w:p w14:paraId="0C01AF73">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接到火灾警报后，消防控制室必须立即以最快方式确认值班人员应按照相应的火警处置程序进行灵活有效的处理，严格执行火灾报警制度，要迅速启动应急预案，值班人员应5分钟内到达火情现场，妥善处理火情。</w:t>
      </w:r>
    </w:p>
    <w:p w14:paraId="1E4EF10A">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）在醒目位置悬挂消防控制室值班人员职责、火警处置程序、灭火和应急疏散预案和消防安全重点部位有关人员的联系电话和证书等资料。</w:t>
      </w:r>
    </w:p>
    <w:p w14:paraId="64AE19B6">
      <w:pPr>
        <w:pStyle w:val="16"/>
        <w:keepNext w:val="0"/>
        <w:keepLines w:val="0"/>
        <w:pageBreakBefore w:val="0"/>
        <w:kinsoku/>
        <w:wordWrap/>
        <w:overflowPunct/>
        <w:topLinePunct w:val="0"/>
        <w:bidi w:val="0"/>
        <w:ind w:left="0" w:leftChars="0" w:right="0" w:firstLine="560" w:firstLineChars="200"/>
        <w:textAlignment w:val="auto"/>
        <w:rPr>
          <w:rFonts w:hint="default" w:eastAsia="仿宋"/>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遇紧急情况时，乙方应在规定的应急响应时间内到达现场处理故障，超时未到的，</w:t>
      </w:r>
      <w:r>
        <w:rPr>
          <w:rFonts w:ascii="仿宋" w:hAnsi="仿宋" w:eastAsia="仿宋" w:cs="仿宋"/>
          <w:sz w:val="28"/>
          <w:szCs w:val="28"/>
        </w:rPr>
        <w:t>乙方应承担损失责任及费用，并视情节轻重对乙方处以</w:t>
      </w:r>
      <w:r>
        <w:rPr>
          <w:rFonts w:ascii="仿宋" w:hAnsi="仿宋" w:eastAsia="仿宋" w:cs="仿宋"/>
          <w:b/>
          <w:bCs/>
          <w:sz w:val="28"/>
          <w:szCs w:val="28"/>
        </w:rPr>
        <w:t>当月维保费用5%-10%的</w:t>
      </w:r>
      <w:r>
        <w:rPr>
          <w:rFonts w:ascii="仿宋" w:hAnsi="仿宋" w:eastAsia="仿宋" w:cs="仿宋"/>
          <w:b/>
          <w:bCs/>
          <w:color w:val="FF0000"/>
          <w:sz w:val="28"/>
          <w:szCs w:val="28"/>
        </w:rPr>
        <w:t>罚款</w:t>
      </w:r>
      <w:r>
        <w:rPr>
          <w:rFonts w:hint="eastAsia" w:ascii="仿宋" w:hAnsi="仿宋" w:eastAsia="仿宋" w:cs="仿宋"/>
          <w:sz w:val="28"/>
          <w:szCs w:val="28"/>
          <w:lang w:val="en-US" w:eastAsia="zh-CN"/>
        </w:rPr>
        <w:t>。</w:t>
      </w:r>
    </w:p>
    <w:p w14:paraId="2605BBC3">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bookmarkStart w:id="45" w:name="bookmark9"/>
      <w:bookmarkEnd w:id="45"/>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需更换消防配件时，乙方应及时通知甲方购买配件，</w:t>
      </w:r>
      <w:r>
        <w:rPr>
          <w:rFonts w:ascii="仿宋" w:hAnsi="仿宋" w:eastAsia="仿宋" w:cs="仿宋"/>
          <w:sz w:val="28"/>
          <w:szCs w:val="28"/>
        </w:rPr>
        <w:t>因乙方未及时维修、更换配件所造成损失的，乙方应承担损失责任及费用，并视情节轻重对乙方处以</w:t>
      </w:r>
      <w:r>
        <w:rPr>
          <w:rFonts w:ascii="仿宋" w:hAnsi="仿宋" w:eastAsia="仿宋" w:cs="仿宋"/>
          <w:b/>
          <w:bCs/>
          <w:sz w:val="28"/>
          <w:szCs w:val="28"/>
        </w:rPr>
        <w:t>当月维保费用5%-10%的</w:t>
      </w:r>
      <w:r>
        <w:rPr>
          <w:rFonts w:ascii="仿宋" w:hAnsi="仿宋" w:eastAsia="仿宋" w:cs="仿宋"/>
          <w:b/>
          <w:bCs/>
          <w:color w:val="FF0000"/>
          <w:sz w:val="28"/>
          <w:szCs w:val="28"/>
        </w:rPr>
        <w:t>罚款</w:t>
      </w:r>
      <w:r>
        <w:rPr>
          <w:rFonts w:ascii="仿宋" w:hAnsi="仿宋" w:eastAsia="仿宋" w:cs="仿宋"/>
          <w:sz w:val="28"/>
          <w:szCs w:val="28"/>
        </w:rPr>
        <w:t>；</w:t>
      </w:r>
      <w:bookmarkStart w:id="46" w:name="bookmark10"/>
      <w:bookmarkEnd w:id="46"/>
    </w:p>
    <w:p w14:paraId="3564AF5C">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13</w:t>
      </w:r>
      <w:r>
        <w:rPr>
          <w:rFonts w:hint="eastAsia" w:ascii="仿宋" w:hAnsi="仿宋" w:eastAsia="仿宋" w:cs="仿宋"/>
          <w:sz w:val="28"/>
          <w:szCs w:val="28"/>
        </w:rPr>
        <w:t>）</w:t>
      </w:r>
      <w:r>
        <w:rPr>
          <w:rFonts w:ascii="仿宋" w:hAnsi="仿宋" w:eastAsia="仿宋" w:cs="仿宋"/>
          <w:sz w:val="28"/>
          <w:szCs w:val="28"/>
        </w:rPr>
        <w:t>甲方监督乙方按规定履行维修保养职责，乙方应按</w:t>
      </w:r>
      <w:r>
        <w:rPr>
          <w:rFonts w:hint="eastAsia" w:ascii="仿宋" w:hAnsi="仿宋" w:eastAsia="仿宋" w:cs="仿宋"/>
          <w:sz w:val="28"/>
          <w:szCs w:val="28"/>
        </w:rPr>
        <w:t>甲方</w:t>
      </w:r>
      <w:r>
        <w:rPr>
          <w:rFonts w:ascii="仿宋" w:hAnsi="仿宋" w:eastAsia="仿宋" w:cs="仿宋"/>
          <w:sz w:val="28"/>
          <w:szCs w:val="28"/>
        </w:rPr>
        <w:t>要求出具维修保养报告。若违反上述职责，视情节轻重甲方有权对乙方</w:t>
      </w:r>
      <w:r>
        <w:rPr>
          <w:rFonts w:ascii="仿宋" w:hAnsi="仿宋" w:eastAsia="仿宋" w:cs="仿宋"/>
          <w:b/>
          <w:bCs/>
          <w:sz w:val="28"/>
          <w:szCs w:val="28"/>
        </w:rPr>
        <w:t>处以合同总额2%-5%的</w:t>
      </w:r>
      <w:r>
        <w:rPr>
          <w:rFonts w:ascii="仿宋" w:hAnsi="仿宋" w:eastAsia="仿宋" w:cs="仿宋"/>
          <w:b/>
          <w:bCs/>
          <w:color w:val="FF0000"/>
          <w:sz w:val="28"/>
          <w:szCs w:val="28"/>
        </w:rPr>
        <w:t>罚款</w:t>
      </w:r>
      <w:r>
        <w:rPr>
          <w:rFonts w:ascii="仿宋" w:hAnsi="仿宋" w:eastAsia="仿宋" w:cs="仿宋"/>
          <w:sz w:val="28"/>
          <w:szCs w:val="28"/>
        </w:rPr>
        <w:t>，直至解除维修保养合同。</w:t>
      </w:r>
      <w:bookmarkStart w:id="47" w:name="bookmark13"/>
      <w:bookmarkEnd w:id="47"/>
    </w:p>
    <w:p w14:paraId="4BF0A4A0">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14</w:t>
      </w:r>
      <w:r>
        <w:rPr>
          <w:rFonts w:hint="eastAsia" w:ascii="仿宋" w:hAnsi="仿宋" w:eastAsia="仿宋" w:cs="仿宋"/>
          <w:sz w:val="28"/>
          <w:szCs w:val="28"/>
        </w:rPr>
        <w:t>)</w:t>
      </w:r>
      <w:r>
        <w:rPr>
          <w:rFonts w:ascii="仿宋" w:hAnsi="仿宋" w:eastAsia="仿宋" w:cs="仿宋"/>
          <w:sz w:val="28"/>
          <w:szCs w:val="28"/>
        </w:rPr>
        <w:t>乙方人员应遵守国家法律法规、</w:t>
      </w:r>
      <w:r>
        <w:rPr>
          <w:rFonts w:hint="eastAsia" w:ascii="仿宋" w:hAnsi="仿宋" w:eastAsia="仿宋" w:cs="仿宋"/>
          <w:sz w:val="28"/>
          <w:szCs w:val="28"/>
          <w:lang w:val="en-US" w:eastAsia="zh-CN"/>
        </w:rPr>
        <w:t>甲方</w:t>
      </w:r>
      <w:r>
        <w:rPr>
          <w:rFonts w:ascii="仿宋" w:hAnsi="仿宋" w:eastAsia="仿宋" w:cs="仿宋"/>
          <w:sz w:val="28"/>
          <w:szCs w:val="28"/>
        </w:rPr>
        <w:t>各项规章制度及合同约定内容，若违反上述内容及造成损失的，乙方应承担责任及损失所产生的相关费用，并视情节轻重处以</w:t>
      </w:r>
      <w:r>
        <w:rPr>
          <w:rFonts w:ascii="仿宋" w:hAnsi="仿宋" w:eastAsia="仿宋" w:cs="仿宋"/>
          <w:b/>
          <w:bCs/>
          <w:sz w:val="28"/>
          <w:szCs w:val="28"/>
        </w:rPr>
        <w:t>当月维保费用2%-5%的</w:t>
      </w:r>
      <w:r>
        <w:rPr>
          <w:rFonts w:ascii="仿宋" w:hAnsi="仿宋" w:eastAsia="仿宋" w:cs="仿宋"/>
          <w:b/>
          <w:bCs/>
          <w:color w:val="FF0000"/>
          <w:sz w:val="28"/>
          <w:szCs w:val="28"/>
        </w:rPr>
        <w:t>罚款</w:t>
      </w:r>
      <w:r>
        <w:rPr>
          <w:rFonts w:ascii="仿宋" w:hAnsi="仿宋" w:eastAsia="仿宋" w:cs="仿宋"/>
          <w:sz w:val="28"/>
          <w:szCs w:val="28"/>
        </w:rPr>
        <w:t>。</w:t>
      </w:r>
      <w:bookmarkStart w:id="48" w:name="bookmark15"/>
      <w:bookmarkEnd w:id="48"/>
    </w:p>
    <w:p w14:paraId="3F266F87">
      <w:pPr>
        <w:keepNext w:val="0"/>
        <w:keepLines w:val="0"/>
        <w:pageBreakBefore w:val="0"/>
        <w:kinsoku/>
        <w:wordWrap/>
        <w:overflowPunct/>
        <w:topLinePunct w:val="0"/>
        <w:bidi w:val="0"/>
        <w:adjustRightInd w:val="0"/>
        <w:snapToGrid w:val="0"/>
        <w:spacing w:line="360" w:lineRule="auto"/>
        <w:ind w:left="0" w:leftChars="0" w:right="0"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乙方未按期、按数量完成消防设施维保检测工作的，</w:t>
      </w:r>
      <w:r>
        <w:rPr>
          <w:rFonts w:ascii="仿宋" w:hAnsi="仿宋" w:eastAsia="仿宋" w:cs="仿宋"/>
          <w:sz w:val="28"/>
          <w:szCs w:val="28"/>
        </w:rPr>
        <w:t>视情节轻重处以</w:t>
      </w:r>
      <w:r>
        <w:rPr>
          <w:rFonts w:ascii="仿宋" w:hAnsi="仿宋" w:eastAsia="仿宋" w:cs="仿宋"/>
          <w:b/>
          <w:bCs/>
          <w:sz w:val="28"/>
          <w:szCs w:val="28"/>
        </w:rPr>
        <w:t>当月维保费用2%-5%的</w:t>
      </w:r>
      <w:r>
        <w:rPr>
          <w:rFonts w:ascii="仿宋" w:hAnsi="仿宋" w:eastAsia="仿宋" w:cs="仿宋"/>
          <w:b/>
          <w:bCs/>
          <w:color w:val="FF0000"/>
          <w:sz w:val="28"/>
          <w:szCs w:val="28"/>
        </w:rPr>
        <w:t>罚款</w:t>
      </w:r>
      <w:r>
        <w:rPr>
          <w:rFonts w:ascii="仿宋" w:hAnsi="仿宋" w:eastAsia="仿宋" w:cs="仿宋"/>
          <w:sz w:val="28"/>
          <w:szCs w:val="28"/>
        </w:rPr>
        <w:t>。</w:t>
      </w:r>
    </w:p>
    <w:p w14:paraId="599C7402">
      <w:pPr>
        <w:pageBreakBefore w:val="0"/>
        <w:kinsoku/>
        <w:wordWrap/>
        <w:overflowPunct/>
        <w:topLinePunct w:val="0"/>
        <w:bidi w:val="0"/>
        <w:spacing w:before="293" w:line="221" w:lineRule="auto"/>
        <w:ind w:left="0" w:leftChars="0" w:right="0"/>
        <w:outlineLvl w:val="0"/>
        <w:rPr>
          <w:rFonts w:ascii="仿宋" w:hAnsi="仿宋" w:eastAsia="仿宋" w:cs="仿宋"/>
          <w:sz w:val="28"/>
          <w:szCs w:val="28"/>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EC439">
    <w:pPr>
      <w:spacing w:line="183" w:lineRule="auto"/>
      <w:ind w:right="265"/>
      <w:jc w:val="right"/>
      <w:rPr>
        <w:rFonts w:ascii="宋体" w:hAnsi="宋体" w:cs="宋体"/>
        <w:sz w:val="13"/>
        <w:szCs w:val="13"/>
      </w:rPr>
    </w:pPr>
    <w:r>
      <w:rPr>
        <w:rFonts w:ascii="宋体" w:hAnsi="宋体" w:cs="宋体"/>
        <w:spacing w:val="-4"/>
        <w:sz w:val="13"/>
        <w:szCs w:val="13"/>
      </w:rPr>
      <w:t>10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449DC"/>
    <w:multiLevelType w:val="singleLevel"/>
    <w:tmpl w:val="88B449DC"/>
    <w:lvl w:ilvl="0" w:tentative="0">
      <w:start w:val="2"/>
      <w:numFmt w:val="chineseCounting"/>
      <w:suff w:val="nothing"/>
      <w:lvlText w:val="第%1章、"/>
      <w:lvlJc w:val="left"/>
      <w:rPr>
        <w:rFonts w:hint="eastAsia"/>
      </w:rPr>
    </w:lvl>
  </w:abstractNum>
  <w:abstractNum w:abstractNumId="1">
    <w:nsid w:val="A6EF7603"/>
    <w:multiLevelType w:val="singleLevel"/>
    <w:tmpl w:val="A6EF7603"/>
    <w:lvl w:ilvl="0" w:tentative="0">
      <w:start w:val="1"/>
      <w:numFmt w:val="decimal"/>
      <w:suff w:val="nothing"/>
      <w:lvlText w:val="（%1）"/>
      <w:lvlJc w:val="left"/>
    </w:lvl>
  </w:abstractNum>
  <w:abstractNum w:abstractNumId="2">
    <w:nsid w:val="ACE734B6"/>
    <w:multiLevelType w:val="singleLevel"/>
    <w:tmpl w:val="ACE734B6"/>
    <w:lvl w:ilvl="0" w:tentative="0">
      <w:start w:val="1"/>
      <w:numFmt w:val="decimal"/>
      <w:suff w:val="nothing"/>
      <w:lvlText w:val="%1、"/>
      <w:lvlJc w:val="left"/>
    </w:lvl>
  </w:abstractNum>
  <w:abstractNum w:abstractNumId="3">
    <w:nsid w:val="EA0E7F65"/>
    <w:multiLevelType w:val="singleLevel"/>
    <w:tmpl w:val="EA0E7F65"/>
    <w:lvl w:ilvl="0" w:tentative="0">
      <w:start w:val="5"/>
      <w:numFmt w:val="chineseCounting"/>
      <w:lvlText w:val="(%1)"/>
      <w:lvlJc w:val="left"/>
      <w:pPr>
        <w:tabs>
          <w:tab w:val="left" w:pos="312"/>
        </w:tabs>
      </w:pPr>
      <w:rPr>
        <w:rFonts w:hint="eastAsia"/>
      </w:rPr>
    </w:lvl>
  </w:abstractNum>
  <w:abstractNum w:abstractNumId="4">
    <w:nsid w:val="020825FA"/>
    <w:multiLevelType w:val="singleLevel"/>
    <w:tmpl w:val="020825FA"/>
    <w:lvl w:ilvl="0" w:tentative="0">
      <w:start w:val="2"/>
      <w:numFmt w:val="decimal"/>
      <w:suff w:val="nothing"/>
      <w:lvlText w:val="（%1）"/>
      <w:lvlJc w:val="left"/>
    </w:lvl>
  </w:abstractNum>
  <w:abstractNum w:abstractNumId="5">
    <w:nsid w:val="0D4EC362"/>
    <w:multiLevelType w:val="singleLevel"/>
    <w:tmpl w:val="0D4EC362"/>
    <w:lvl w:ilvl="0" w:tentative="0">
      <w:start w:val="2"/>
      <w:numFmt w:val="decimal"/>
      <w:suff w:val="nothing"/>
      <w:lvlText w:val="%1、"/>
      <w:lvlJc w:val="left"/>
    </w:lvl>
  </w:abstractNum>
  <w:abstractNum w:abstractNumId="6">
    <w:nsid w:val="263AD76B"/>
    <w:multiLevelType w:val="singleLevel"/>
    <w:tmpl w:val="263AD76B"/>
    <w:lvl w:ilvl="0" w:tentative="0">
      <w:start w:val="4"/>
      <w:numFmt w:val="decimal"/>
      <w:suff w:val="nothing"/>
      <w:lvlText w:val="%1、"/>
      <w:lvlJc w:val="left"/>
    </w:lvl>
  </w:abstractNum>
  <w:abstractNum w:abstractNumId="7">
    <w:nsid w:val="2C1A83C2"/>
    <w:multiLevelType w:val="singleLevel"/>
    <w:tmpl w:val="2C1A83C2"/>
    <w:lvl w:ilvl="0" w:tentative="0">
      <w:start w:val="2"/>
      <w:numFmt w:val="decimal"/>
      <w:suff w:val="nothing"/>
      <w:lvlText w:val="%1、"/>
      <w:lvlJc w:val="left"/>
    </w:lvl>
  </w:abstractNum>
  <w:abstractNum w:abstractNumId="8">
    <w:nsid w:val="44C50F90"/>
    <w:multiLevelType w:val="multilevel"/>
    <w:tmpl w:val="44C50F90"/>
    <w:lvl w:ilvl="0" w:tentative="0">
      <w:start w:val="1"/>
      <w:numFmt w:val="lowerLetter"/>
      <w:pStyle w:val="36"/>
      <w:lvlText w:val="%1)"/>
      <w:lvlJc w:val="left"/>
      <w:pPr>
        <w:tabs>
          <w:tab w:val="left" w:pos="851"/>
        </w:tabs>
        <w:ind w:left="851" w:hanging="426"/>
      </w:pPr>
      <w:rPr>
        <w:rFonts w:hint="eastAsia" w:ascii="宋体" w:hAnsi="Times New Roman" w:eastAsia="宋体"/>
        <w:sz w:val="21"/>
      </w:rPr>
    </w:lvl>
    <w:lvl w:ilvl="1" w:tentative="0">
      <w:start w:val="1"/>
      <w:numFmt w:val="decimal"/>
      <w:pStyle w:val="38"/>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DBE9C0B"/>
    <w:multiLevelType w:val="singleLevel"/>
    <w:tmpl w:val="4DBE9C0B"/>
    <w:lvl w:ilvl="0" w:tentative="0">
      <w:start w:val="5"/>
      <w:numFmt w:val="decimal"/>
      <w:suff w:val="nothing"/>
      <w:lvlText w:val="%1、"/>
      <w:lvlJc w:val="left"/>
    </w:lvl>
  </w:abstractNum>
  <w:abstractNum w:abstractNumId="10">
    <w:nsid w:val="64271289"/>
    <w:multiLevelType w:val="singleLevel"/>
    <w:tmpl w:val="64271289"/>
    <w:lvl w:ilvl="0" w:tentative="0">
      <w:start w:val="3"/>
      <w:numFmt w:val="decimal"/>
      <w:suff w:val="nothing"/>
      <w:lvlText w:val="%1、"/>
      <w:lvlJc w:val="left"/>
    </w:lvl>
  </w:abstractNum>
  <w:abstractNum w:abstractNumId="1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1"/>
  </w:num>
  <w:num w:numId="2">
    <w:abstractNumId w:val="8"/>
  </w:num>
  <w:num w:numId="3">
    <w:abstractNumId w:val="4"/>
  </w:num>
  <w:num w:numId="4">
    <w:abstractNumId w:val="6"/>
  </w:num>
  <w:num w:numId="5">
    <w:abstractNumId w:val="1"/>
  </w:num>
  <w:num w:numId="6">
    <w:abstractNumId w:val="9"/>
  </w:num>
  <w:num w:numId="7">
    <w:abstractNumId w:val="10"/>
  </w:num>
  <w:num w:numId="8">
    <w:abstractNumId w:val="2"/>
  </w:num>
  <w:num w:numId="9">
    <w:abstractNumId w:val="5"/>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ZDAzYzQ0Y2RlNTJhNGI0OTk4YWNiZjg2OTQ5OGMifQ=="/>
  </w:docVars>
  <w:rsids>
    <w:rsidRoot w:val="00DE3514"/>
    <w:rsid w:val="00003014"/>
    <w:rsid w:val="0000507A"/>
    <w:rsid w:val="00041344"/>
    <w:rsid w:val="00067B0B"/>
    <w:rsid w:val="00072C34"/>
    <w:rsid w:val="00087B0D"/>
    <w:rsid w:val="000A3B7B"/>
    <w:rsid w:val="000B4A5C"/>
    <w:rsid w:val="000F1E5C"/>
    <w:rsid w:val="000F5CF1"/>
    <w:rsid w:val="00111428"/>
    <w:rsid w:val="00141BB1"/>
    <w:rsid w:val="00142FEA"/>
    <w:rsid w:val="00163902"/>
    <w:rsid w:val="00191B94"/>
    <w:rsid w:val="001A7C2D"/>
    <w:rsid w:val="001C06F9"/>
    <w:rsid w:val="00204CA0"/>
    <w:rsid w:val="00251C38"/>
    <w:rsid w:val="002A2529"/>
    <w:rsid w:val="002B4694"/>
    <w:rsid w:val="00301925"/>
    <w:rsid w:val="003162E5"/>
    <w:rsid w:val="003546C0"/>
    <w:rsid w:val="003577B6"/>
    <w:rsid w:val="003602DA"/>
    <w:rsid w:val="0043163C"/>
    <w:rsid w:val="00440435"/>
    <w:rsid w:val="00441ACD"/>
    <w:rsid w:val="00456270"/>
    <w:rsid w:val="00466913"/>
    <w:rsid w:val="00467CDD"/>
    <w:rsid w:val="00480F2D"/>
    <w:rsid w:val="00483656"/>
    <w:rsid w:val="004A5259"/>
    <w:rsid w:val="004C4E12"/>
    <w:rsid w:val="004D6F1F"/>
    <w:rsid w:val="004E011A"/>
    <w:rsid w:val="00507211"/>
    <w:rsid w:val="00573330"/>
    <w:rsid w:val="005B57F2"/>
    <w:rsid w:val="00605FCE"/>
    <w:rsid w:val="00611546"/>
    <w:rsid w:val="0061763B"/>
    <w:rsid w:val="0065489E"/>
    <w:rsid w:val="00656773"/>
    <w:rsid w:val="00667E7E"/>
    <w:rsid w:val="006805DB"/>
    <w:rsid w:val="006A244C"/>
    <w:rsid w:val="006B5BEC"/>
    <w:rsid w:val="00724A82"/>
    <w:rsid w:val="00733F35"/>
    <w:rsid w:val="00741D1C"/>
    <w:rsid w:val="0074205B"/>
    <w:rsid w:val="00756DFB"/>
    <w:rsid w:val="00790DDB"/>
    <w:rsid w:val="00796871"/>
    <w:rsid w:val="00797939"/>
    <w:rsid w:val="007B1C85"/>
    <w:rsid w:val="007B503D"/>
    <w:rsid w:val="007F3FAB"/>
    <w:rsid w:val="00817215"/>
    <w:rsid w:val="00833C1E"/>
    <w:rsid w:val="00841327"/>
    <w:rsid w:val="00851BD7"/>
    <w:rsid w:val="008A0B8E"/>
    <w:rsid w:val="008C24AE"/>
    <w:rsid w:val="00936E97"/>
    <w:rsid w:val="009424EF"/>
    <w:rsid w:val="009500FE"/>
    <w:rsid w:val="00995810"/>
    <w:rsid w:val="009C5374"/>
    <w:rsid w:val="009F0267"/>
    <w:rsid w:val="00A14074"/>
    <w:rsid w:val="00A84BC9"/>
    <w:rsid w:val="00AC4542"/>
    <w:rsid w:val="00AD1831"/>
    <w:rsid w:val="00AD66A1"/>
    <w:rsid w:val="00AE0392"/>
    <w:rsid w:val="00AE2890"/>
    <w:rsid w:val="00B130AA"/>
    <w:rsid w:val="00B13D63"/>
    <w:rsid w:val="00B251BC"/>
    <w:rsid w:val="00B34D61"/>
    <w:rsid w:val="00B63419"/>
    <w:rsid w:val="00B6644C"/>
    <w:rsid w:val="00BB0333"/>
    <w:rsid w:val="00BC04B0"/>
    <w:rsid w:val="00BE3ACA"/>
    <w:rsid w:val="00C04C3E"/>
    <w:rsid w:val="00CD1248"/>
    <w:rsid w:val="00CD369C"/>
    <w:rsid w:val="00CF3A04"/>
    <w:rsid w:val="00D16BCC"/>
    <w:rsid w:val="00D2442B"/>
    <w:rsid w:val="00D41D23"/>
    <w:rsid w:val="00D46A35"/>
    <w:rsid w:val="00D84006"/>
    <w:rsid w:val="00DB053A"/>
    <w:rsid w:val="00DC0671"/>
    <w:rsid w:val="00DD3012"/>
    <w:rsid w:val="00DE2202"/>
    <w:rsid w:val="00DE3514"/>
    <w:rsid w:val="00E1095C"/>
    <w:rsid w:val="00E1615D"/>
    <w:rsid w:val="00E1760F"/>
    <w:rsid w:val="00E365A4"/>
    <w:rsid w:val="00E57FD8"/>
    <w:rsid w:val="00EA2DAF"/>
    <w:rsid w:val="00EC6CC6"/>
    <w:rsid w:val="00F01EAD"/>
    <w:rsid w:val="00F1187A"/>
    <w:rsid w:val="00F11C2C"/>
    <w:rsid w:val="00F15875"/>
    <w:rsid w:val="00F21EA0"/>
    <w:rsid w:val="00F34ED8"/>
    <w:rsid w:val="00F505F9"/>
    <w:rsid w:val="00F640C8"/>
    <w:rsid w:val="00F911BC"/>
    <w:rsid w:val="00FD4F59"/>
    <w:rsid w:val="00FE0B30"/>
    <w:rsid w:val="03A83381"/>
    <w:rsid w:val="043B089F"/>
    <w:rsid w:val="06AE3E0A"/>
    <w:rsid w:val="07987EC8"/>
    <w:rsid w:val="07C02047"/>
    <w:rsid w:val="08A51E07"/>
    <w:rsid w:val="09AA3A7C"/>
    <w:rsid w:val="0ACA0AE6"/>
    <w:rsid w:val="0B561090"/>
    <w:rsid w:val="0C1C0398"/>
    <w:rsid w:val="0E0B67EA"/>
    <w:rsid w:val="0E5942E5"/>
    <w:rsid w:val="0ECF2B91"/>
    <w:rsid w:val="102A1741"/>
    <w:rsid w:val="106B0F19"/>
    <w:rsid w:val="10A85A85"/>
    <w:rsid w:val="11B8651C"/>
    <w:rsid w:val="11EE155E"/>
    <w:rsid w:val="12571C41"/>
    <w:rsid w:val="13F57E43"/>
    <w:rsid w:val="14462719"/>
    <w:rsid w:val="14B7657F"/>
    <w:rsid w:val="156B5052"/>
    <w:rsid w:val="1606351E"/>
    <w:rsid w:val="164F3055"/>
    <w:rsid w:val="16D7249B"/>
    <w:rsid w:val="17117B4E"/>
    <w:rsid w:val="187A069A"/>
    <w:rsid w:val="18A6085C"/>
    <w:rsid w:val="18EF6E35"/>
    <w:rsid w:val="19B32DDB"/>
    <w:rsid w:val="1C03143C"/>
    <w:rsid w:val="1C033E58"/>
    <w:rsid w:val="1C0F70B0"/>
    <w:rsid w:val="1C332E70"/>
    <w:rsid w:val="1DBA2C3C"/>
    <w:rsid w:val="1EA5569B"/>
    <w:rsid w:val="1EB27D85"/>
    <w:rsid w:val="1F775289"/>
    <w:rsid w:val="1FB6377E"/>
    <w:rsid w:val="203935AF"/>
    <w:rsid w:val="223C0786"/>
    <w:rsid w:val="22E529F6"/>
    <w:rsid w:val="25E55BAF"/>
    <w:rsid w:val="27DB3EDB"/>
    <w:rsid w:val="27DF4850"/>
    <w:rsid w:val="28CE5ABB"/>
    <w:rsid w:val="28FB5979"/>
    <w:rsid w:val="29195CD1"/>
    <w:rsid w:val="299912A7"/>
    <w:rsid w:val="2A1619CB"/>
    <w:rsid w:val="2AC33130"/>
    <w:rsid w:val="2D99461C"/>
    <w:rsid w:val="2DDA2472"/>
    <w:rsid w:val="2E362973"/>
    <w:rsid w:val="2E9B4F0E"/>
    <w:rsid w:val="300A6B99"/>
    <w:rsid w:val="30422D49"/>
    <w:rsid w:val="34684343"/>
    <w:rsid w:val="35101668"/>
    <w:rsid w:val="35260E8C"/>
    <w:rsid w:val="35D046EC"/>
    <w:rsid w:val="36896642"/>
    <w:rsid w:val="36BC40FA"/>
    <w:rsid w:val="380F0D73"/>
    <w:rsid w:val="3A7708C8"/>
    <w:rsid w:val="3AAB15AB"/>
    <w:rsid w:val="3AAC4FF1"/>
    <w:rsid w:val="3AE07D2F"/>
    <w:rsid w:val="3CCB2319"/>
    <w:rsid w:val="3F29621D"/>
    <w:rsid w:val="40137DC2"/>
    <w:rsid w:val="407579DF"/>
    <w:rsid w:val="408856F9"/>
    <w:rsid w:val="40E45418"/>
    <w:rsid w:val="411C30D9"/>
    <w:rsid w:val="41BB295C"/>
    <w:rsid w:val="422F6EA6"/>
    <w:rsid w:val="42804E5D"/>
    <w:rsid w:val="43D9356D"/>
    <w:rsid w:val="43F0282A"/>
    <w:rsid w:val="46492C2C"/>
    <w:rsid w:val="46CC130E"/>
    <w:rsid w:val="4928155E"/>
    <w:rsid w:val="495673E8"/>
    <w:rsid w:val="49CB3379"/>
    <w:rsid w:val="4D6A33E9"/>
    <w:rsid w:val="4DF02264"/>
    <w:rsid w:val="4E095BDA"/>
    <w:rsid w:val="4EB96475"/>
    <w:rsid w:val="510E268F"/>
    <w:rsid w:val="526E67F5"/>
    <w:rsid w:val="529A5A08"/>
    <w:rsid w:val="52B71CE7"/>
    <w:rsid w:val="531503FC"/>
    <w:rsid w:val="5511700B"/>
    <w:rsid w:val="55A0038E"/>
    <w:rsid w:val="56172FD4"/>
    <w:rsid w:val="56EE6C94"/>
    <w:rsid w:val="58690331"/>
    <w:rsid w:val="59A17014"/>
    <w:rsid w:val="5A2D23CA"/>
    <w:rsid w:val="5A5C27C7"/>
    <w:rsid w:val="5AFE6FCB"/>
    <w:rsid w:val="5B871DD5"/>
    <w:rsid w:val="5B8D63E0"/>
    <w:rsid w:val="5C3504FA"/>
    <w:rsid w:val="5D251813"/>
    <w:rsid w:val="5E176D14"/>
    <w:rsid w:val="5EA6161F"/>
    <w:rsid w:val="5F1F3056"/>
    <w:rsid w:val="61DE46F4"/>
    <w:rsid w:val="62020DA2"/>
    <w:rsid w:val="629A6F6F"/>
    <w:rsid w:val="62D022B3"/>
    <w:rsid w:val="62D72C2F"/>
    <w:rsid w:val="63B7613C"/>
    <w:rsid w:val="63E40CD3"/>
    <w:rsid w:val="642E6E96"/>
    <w:rsid w:val="647B56A8"/>
    <w:rsid w:val="64E73938"/>
    <w:rsid w:val="64F95A7D"/>
    <w:rsid w:val="66B0329F"/>
    <w:rsid w:val="67586D8A"/>
    <w:rsid w:val="68087692"/>
    <w:rsid w:val="68185BEC"/>
    <w:rsid w:val="68201AEB"/>
    <w:rsid w:val="68F959C4"/>
    <w:rsid w:val="695175A7"/>
    <w:rsid w:val="69C36122"/>
    <w:rsid w:val="6B2204F0"/>
    <w:rsid w:val="6CE85806"/>
    <w:rsid w:val="6D3A6AAA"/>
    <w:rsid w:val="6DAF0F35"/>
    <w:rsid w:val="6E1F71DD"/>
    <w:rsid w:val="6E2832C0"/>
    <w:rsid w:val="6F5D5250"/>
    <w:rsid w:val="6F653D83"/>
    <w:rsid w:val="705E06D8"/>
    <w:rsid w:val="70840695"/>
    <w:rsid w:val="70AA3EA1"/>
    <w:rsid w:val="710B63CB"/>
    <w:rsid w:val="723637B5"/>
    <w:rsid w:val="727C67A5"/>
    <w:rsid w:val="72944988"/>
    <w:rsid w:val="72B83B92"/>
    <w:rsid w:val="75466D0B"/>
    <w:rsid w:val="759F4D89"/>
    <w:rsid w:val="75C64E50"/>
    <w:rsid w:val="75D95F31"/>
    <w:rsid w:val="78646B19"/>
    <w:rsid w:val="792A1003"/>
    <w:rsid w:val="7BBB6787"/>
    <w:rsid w:val="7C3E3248"/>
    <w:rsid w:val="7C465B68"/>
    <w:rsid w:val="7E7A7A70"/>
    <w:rsid w:val="7EFE5888"/>
    <w:rsid w:val="7F61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autoRedefine/>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pPr>
  </w:style>
  <w:style w:type="paragraph" w:styleId="6">
    <w:name w:val="toa heading"/>
    <w:basedOn w:val="1"/>
    <w:next w:val="1"/>
    <w:autoRedefine/>
    <w:unhideWhenUsed/>
    <w:qFormat/>
    <w:uiPriority w:val="0"/>
    <w:pPr>
      <w:spacing w:before="120"/>
    </w:pPr>
    <w:rPr>
      <w:rFonts w:ascii="Arial" w:hAnsi="Arial"/>
      <w:sz w:val="24"/>
      <w:szCs w:val="20"/>
    </w:rPr>
  </w:style>
  <w:style w:type="paragraph" w:styleId="7">
    <w:name w:val="annotation text"/>
    <w:basedOn w:val="1"/>
    <w:link w:val="45"/>
    <w:autoRedefine/>
    <w:qFormat/>
    <w:uiPriority w:val="0"/>
    <w:pPr>
      <w:jc w:val="left"/>
    </w:pPr>
  </w:style>
  <w:style w:type="paragraph" w:styleId="8">
    <w:name w:val="Body Text"/>
    <w:basedOn w:val="1"/>
    <w:link w:val="46"/>
    <w:autoRedefine/>
    <w:qFormat/>
    <w:uiPriority w:val="0"/>
    <w:pPr>
      <w:spacing w:after="120"/>
    </w:pPr>
  </w:style>
  <w:style w:type="paragraph" w:styleId="9">
    <w:name w:val="Body Text Indent"/>
    <w:basedOn w:val="1"/>
    <w:link w:val="43"/>
    <w:autoRedefine/>
    <w:qFormat/>
    <w:uiPriority w:val="0"/>
    <w:pPr>
      <w:spacing w:line="480" w:lineRule="auto"/>
      <w:ind w:left="420" w:leftChars="200" w:firstLine="480" w:firstLineChars="200"/>
    </w:pPr>
    <w:rPr>
      <w:sz w:val="24"/>
    </w:rPr>
  </w:style>
  <w:style w:type="paragraph" w:styleId="10">
    <w:name w:val="Plain Text"/>
    <w:basedOn w:val="1"/>
    <w:link w:val="31"/>
    <w:autoRedefine/>
    <w:unhideWhenUsed/>
    <w:qFormat/>
    <w:uiPriority w:val="0"/>
    <w:rPr>
      <w:rFonts w:ascii="宋体" w:hAnsi="Courier New"/>
      <w:szCs w:val="20"/>
    </w:rPr>
  </w:style>
  <w:style w:type="paragraph" w:styleId="11">
    <w:name w:val="Balloon Text"/>
    <w:basedOn w:val="1"/>
    <w:link w:val="48"/>
    <w:autoRedefine/>
    <w:unhideWhenUsed/>
    <w:qFormat/>
    <w:uiPriority w:val="99"/>
    <w:rPr>
      <w:sz w:val="18"/>
      <w:szCs w:val="18"/>
    </w:rPr>
  </w:style>
  <w:style w:type="paragraph" w:styleId="12">
    <w:name w:val="footer"/>
    <w:basedOn w:val="1"/>
    <w:link w:val="41"/>
    <w:autoRedefine/>
    <w:qFormat/>
    <w:uiPriority w:val="99"/>
    <w:pPr>
      <w:tabs>
        <w:tab w:val="center" w:pos="4153"/>
        <w:tab w:val="right" w:pos="8306"/>
      </w:tabs>
      <w:snapToGrid w:val="0"/>
      <w:jc w:val="left"/>
    </w:pPr>
    <w:rPr>
      <w:sz w:val="18"/>
      <w:szCs w:val="18"/>
    </w:rPr>
  </w:style>
  <w:style w:type="paragraph" w:styleId="13">
    <w:name w:val="header"/>
    <w:basedOn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ascii="Calibri" w:hAnsi="Calibri"/>
      <w:szCs w:val="22"/>
    </w:rPr>
  </w:style>
  <w:style w:type="paragraph" w:styleId="15">
    <w:name w:val="toc 2"/>
    <w:basedOn w:val="1"/>
    <w:next w:val="1"/>
    <w:autoRedefine/>
    <w:unhideWhenUsed/>
    <w:qFormat/>
    <w:uiPriority w:val="39"/>
    <w:pPr>
      <w:ind w:left="420" w:leftChars="200"/>
    </w:pPr>
    <w:rPr>
      <w:rFonts w:ascii="Calibri" w:hAnsi="Calibri"/>
      <w:szCs w:val="22"/>
    </w:rPr>
  </w:style>
  <w:style w:type="paragraph" w:styleId="16">
    <w:name w:val="Body Text First Indent 2"/>
    <w:basedOn w:val="9"/>
    <w:link w:val="44"/>
    <w:autoRedefine/>
    <w:qFormat/>
    <w:uiPriority w:val="0"/>
    <w:pPr>
      <w:spacing w:line="276" w:lineRule="auto"/>
      <w:ind w:firstLine="420"/>
      <w:jc w:val="left"/>
    </w:pPr>
    <w:rPr>
      <w:rFonts w:ascii="Calibri" w:hAnsi="Calibri"/>
      <w:kern w:val="0"/>
      <w:sz w:val="22"/>
      <w:lang w:eastAsia="en-U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qFormat/>
    <w:uiPriority w:val="0"/>
  </w:style>
  <w:style w:type="character" w:styleId="22">
    <w:name w:val="Hyperlink"/>
    <w:unhideWhenUsed/>
    <w:qFormat/>
    <w:uiPriority w:val="99"/>
    <w:rPr>
      <w:rFonts w:ascii="仿宋_GB2312" w:hAnsi="华文仿宋" w:eastAsia="仿宋_GB2312"/>
      <w:b/>
      <w:bCs/>
      <w:color w:val="0000FF"/>
      <w:u w:val="single"/>
    </w:rPr>
  </w:style>
  <w:style w:type="character" w:customStyle="1" w:styleId="23">
    <w:name w:val="标题 2 Char"/>
    <w:link w:val="4"/>
    <w:autoRedefine/>
    <w:qFormat/>
    <w:uiPriority w:val="9"/>
    <w:rPr>
      <w:rFonts w:ascii="Arial" w:hAnsi="Arial" w:eastAsia="黑体"/>
      <w:b/>
      <w:bCs/>
      <w:sz w:val="32"/>
      <w:szCs w:val="32"/>
    </w:rPr>
  </w:style>
  <w:style w:type="paragraph" w:customStyle="1" w:styleId="24">
    <w:name w:val="列出段落1"/>
    <w:basedOn w:val="1"/>
    <w:qFormat/>
    <w:uiPriority w:val="34"/>
    <w:pPr>
      <w:ind w:firstLine="420" w:firstLineChars="200"/>
    </w:pPr>
    <w:rPr>
      <w:rFonts w:ascii="Calibri" w:hAnsi="Calibri"/>
      <w:szCs w:val="22"/>
    </w:rPr>
  </w:style>
  <w:style w:type="paragraph" w:styleId="25">
    <w:name w:val="List Paragraph"/>
    <w:basedOn w:val="1"/>
    <w:autoRedefine/>
    <w:qFormat/>
    <w:uiPriority w:val="1"/>
    <w:pPr>
      <w:ind w:firstLine="420" w:firstLineChars="200"/>
    </w:pPr>
    <w:rPr>
      <w:rFonts w:ascii="Calibri" w:hAnsi="Calibri"/>
      <w:szCs w:val="22"/>
    </w:rPr>
  </w:style>
  <w:style w:type="paragraph" w:customStyle="1" w:styleId="2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7">
    <w:name w:val="font41"/>
    <w:basedOn w:val="19"/>
    <w:autoRedefine/>
    <w:qFormat/>
    <w:uiPriority w:val="0"/>
    <w:rPr>
      <w:rFonts w:hint="eastAsia" w:ascii="宋体" w:hAnsi="宋体" w:eastAsia="宋体" w:cs="宋体"/>
      <w:b/>
      <w:bCs/>
      <w:color w:val="000000"/>
      <w:sz w:val="24"/>
      <w:szCs w:val="24"/>
      <w:u w:val="none"/>
    </w:rPr>
  </w:style>
  <w:style w:type="character" w:customStyle="1" w:styleId="28">
    <w:name w:val="font01"/>
    <w:basedOn w:val="19"/>
    <w:autoRedefine/>
    <w:qFormat/>
    <w:uiPriority w:val="0"/>
    <w:rPr>
      <w:rFonts w:hint="default" w:ascii="Times New Roman" w:hAnsi="Times New Roman" w:cs="Times New Roman"/>
      <w:color w:val="000000"/>
      <w:sz w:val="24"/>
      <w:szCs w:val="24"/>
      <w:u w:val="none"/>
    </w:rPr>
  </w:style>
  <w:style w:type="character" w:customStyle="1" w:styleId="29">
    <w:name w:val="font31"/>
    <w:basedOn w:val="19"/>
    <w:autoRedefine/>
    <w:qFormat/>
    <w:uiPriority w:val="0"/>
    <w:rPr>
      <w:rFonts w:hint="eastAsia" w:ascii="宋体" w:hAnsi="宋体" w:eastAsia="宋体" w:cs="宋体"/>
      <w:color w:val="000000"/>
      <w:sz w:val="24"/>
      <w:szCs w:val="24"/>
      <w:u w:val="none"/>
    </w:rPr>
  </w:style>
  <w:style w:type="character" w:customStyle="1" w:styleId="30">
    <w:name w:val="font11"/>
    <w:basedOn w:val="19"/>
    <w:autoRedefine/>
    <w:qFormat/>
    <w:uiPriority w:val="0"/>
    <w:rPr>
      <w:rFonts w:hint="eastAsia" w:ascii="宋体" w:hAnsi="宋体" w:eastAsia="宋体" w:cs="宋体"/>
      <w:color w:val="000000"/>
      <w:sz w:val="24"/>
      <w:szCs w:val="24"/>
      <w:u w:val="none"/>
    </w:rPr>
  </w:style>
  <w:style w:type="character" w:customStyle="1" w:styleId="31">
    <w:name w:val="纯文本 Char"/>
    <w:link w:val="10"/>
    <w:autoRedefine/>
    <w:qFormat/>
    <w:uiPriority w:val="0"/>
    <w:rPr>
      <w:rFonts w:ascii="宋体" w:hAnsi="Courier New"/>
      <w:kern w:val="2"/>
      <w:sz w:val="21"/>
    </w:rPr>
  </w:style>
  <w:style w:type="paragraph" w:customStyle="1" w:styleId="32">
    <w:name w:val="标准文件_段"/>
    <w:basedOn w:val="26"/>
    <w:autoRedefine/>
    <w:qFormat/>
    <w:uiPriority w:val="0"/>
    <w:pPr>
      <w:spacing w:line="360" w:lineRule="auto"/>
      <w:ind w:left="840" w:leftChars="400" w:firstLine="0" w:firstLineChars="0"/>
      <w:jc w:val="left"/>
    </w:pPr>
    <w:rPr>
      <w:rFonts w:ascii="仿宋" w:hAnsi="仿宋" w:eastAsia="仿宋" w:cs="仿宋"/>
      <w:sz w:val="28"/>
      <w:szCs w:val="28"/>
    </w:rPr>
  </w:style>
  <w:style w:type="paragraph" w:customStyle="1" w:styleId="33">
    <w:name w:val="标准文件_一级条标题"/>
    <w:basedOn w:val="34"/>
    <w:next w:val="32"/>
    <w:qFormat/>
    <w:uiPriority w:val="0"/>
    <w:pPr>
      <w:numPr>
        <w:ilvl w:val="2"/>
      </w:numPr>
      <w:spacing w:beforeLines="50" w:afterLines="50"/>
      <w:outlineLvl w:val="1"/>
    </w:pPr>
  </w:style>
  <w:style w:type="paragraph" w:customStyle="1" w:styleId="34">
    <w:name w:val="标准文件_章标题"/>
    <w:next w:val="32"/>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35">
    <w:name w:val="标准文件_二级条标题"/>
    <w:basedOn w:val="32"/>
    <w:next w:val="32"/>
    <w:qFormat/>
    <w:uiPriority w:val="0"/>
    <w:rPr>
      <w:spacing w:val="-3"/>
    </w:rPr>
  </w:style>
  <w:style w:type="paragraph" w:customStyle="1" w:styleId="36">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7">
    <w:name w:val="标准文件_三级条标题"/>
    <w:basedOn w:val="35"/>
    <w:next w:val="32"/>
    <w:qFormat/>
    <w:uiPriority w:val="0"/>
    <w:pPr>
      <w:ind w:left="840" w:leftChars="400"/>
      <w:outlineLvl w:val="3"/>
    </w:pPr>
  </w:style>
  <w:style w:type="paragraph" w:customStyle="1" w:styleId="38">
    <w:name w:val="标准文件_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character" w:customStyle="1" w:styleId="39">
    <w:name w:val="标题 3 Char"/>
    <w:basedOn w:val="19"/>
    <w:link w:val="5"/>
    <w:autoRedefine/>
    <w:semiHidden/>
    <w:qFormat/>
    <w:uiPriority w:val="0"/>
    <w:rPr>
      <w:b/>
      <w:bCs/>
      <w:kern w:val="2"/>
      <w:sz w:val="32"/>
      <w:szCs w:val="32"/>
    </w:rPr>
  </w:style>
  <w:style w:type="character" w:customStyle="1" w:styleId="40">
    <w:name w:val="页眉 Char"/>
    <w:basedOn w:val="19"/>
    <w:link w:val="13"/>
    <w:qFormat/>
    <w:uiPriority w:val="99"/>
    <w:rPr>
      <w:kern w:val="2"/>
      <w:sz w:val="18"/>
      <w:szCs w:val="18"/>
    </w:rPr>
  </w:style>
  <w:style w:type="character" w:customStyle="1" w:styleId="41">
    <w:name w:val="页脚 Char"/>
    <w:basedOn w:val="19"/>
    <w:link w:val="12"/>
    <w:autoRedefine/>
    <w:qFormat/>
    <w:uiPriority w:val="99"/>
    <w:rPr>
      <w:kern w:val="2"/>
      <w:sz w:val="18"/>
      <w:szCs w:val="18"/>
    </w:rPr>
  </w:style>
  <w:style w:type="character" w:customStyle="1" w:styleId="42">
    <w:name w:val="标题 1 Char"/>
    <w:basedOn w:val="19"/>
    <w:link w:val="3"/>
    <w:autoRedefine/>
    <w:qFormat/>
    <w:uiPriority w:val="0"/>
    <w:rPr>
      <w:b/>
      <w:bCs/>
      <w:kern w:val="44"/>
      <w:sz w:val="44"/>
      <w:szCs w:val="44"/>
    </w:rPr>
  </w:style>
  <w:style w:type="character" w:customStyle="1" w:styleId="43">
    <w:name w:val="正文文本缩进 Char"/>
    <w:basedOn w:val="19"/>
    <w:link w:val="9"/>
    <w:qFormat/>
    <w:uiPriority w:val="0"/>
    <w:rPr>
      <w:kern w:val="2"/>
      <w:sz w:val="24"/>
      <w:szCs w:val="24"/>
    </w:rPr>
  </w:style>
  <w:style w:type="character" w:customStyle="1" w:styleId="44">
    <w:name w:val="正文首行缩进 2 Char"/>
    <w:basedOn w:val="43"/>
    <w:link w:val="16"/>
    <w:qFormat/>
    <w:uiPriority w:val="0"/>
    <w:rPr>
      <w:rFonts w:ascii="Calibri" w:hAnsi="Calibri"/>
      <w:sz w:val="22"/>
      <w:lang w:eastAsia="en-US"/>
    </w:rPr>
  </w:style>
  <w:style w:type="character" w:customStyle="1" w:styleId="45">
    <w:name w:val="批注文字 Char"/>
    <w:basedOn w:val="19"/>
    <w:link w:val="7"/>
    <w:qFormat/>
    <w:uiPriority w:val="0"/>
    <w:rPr>
      <w:kern w:val="2"/>
      <w:sz w:val="21"/>
      <w:szCs w:val="24"/>
    </w:rPr>
  </w:style>
  <w:style w:type="character" w:customStyle="1" w:styleId="46">
    <w:name w:val="正文文本 Char"/>
    <w:basedOn w:val="19"/>
    <w:link w:val="8"/>
    <w:autoRedefine/>
    <w:qFormat/>
    <w:uiPriority w:val="0"/>
    <w:rPr>
      <w:kern w:val="2"/>
      <w:sz w:val="21"/>
      <w:szCs w:val="24"/>
    </w:rPr>
  </w:style>
  <w:style w:type="table" w:customStyle="1" w:styleId="47">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48">
    <w:name w:val="批注框文本 Char"/>
    <w:basedOn w:val="19"/>
    <w:link w:val="11"/>
    <w:autoRedefine/>
    <w:qFormat/>
    <w:uiPriority w:val="99"/>
    <w:rPr>
      <w:kern w:val="2"/>
      <w:sz w:val="18"/>
      <w:szCs w:val="18"/>
    </w:rPr>
  </w:style>
  <w:style w:type="character" w:customStyle="1" w:styleId="49">
    <w:name w:val="标题 2 字符"/>
    <w:link w:val="4"/>
    <w:autoRedefine/>
    <w:qFormat/>
    <w:uiPriority w:val="9"/>
    <w:rPr>
      <w:rFonts w:ascii="Arial" w:hAnsi="Arial" w:eastAsia="黑体"/>
      <w:b/>
      <w:bCs/>
      <w:sz w:val="32"/>
      <w:szCs w:val="32"/>
    </w:rPr>
  </w:style>
  <w:style w:type="character" w:customStyle="1" w:styleId="50">
    <w:name w:val="font5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F83D-E58E-4EEE-9441-A938251E866F}">
  <ds:schemaRefs/>
</ds:datastoreItem>
</file>

<file path=docProps/app.xml><?xml version="1.0" encoding="utf-8"?>
<Properties xmlns="http://schemas.openxmlformats.org/officeDocument/2006/extended-properties" xmlns:vt="http://schemas.openxmlformats.org/officeDocument/2006/docPropsVTypes">
  <Template>Normal</Template>
  <Pages>175</Pages>
  <Words>4872</Words>
  <Characters>5234</Characters>
  <Lines>538</Lines>
  <Paragraphs>151</Paragraphs>
  <TotalTime>58</TotalTime>
  <ScaleCrop>false</ScaleCrop>
  <LinksUpToDate>false</LinksUpToDate>
  <CharactersWithSpaces>5243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2023-08-29T12:55:00Z</dcterms:created>
  <dc:creator>admin</dc:creator>
  <cp:lastModifiedBy>任思洋</cp:lastModifiedBy>
  <dcterms:modified xsi:type="dcterms:W3CDTF">2025-08-15T03:12:39Z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DD5C0984018B484D9116F00BAFD27A08_13</vt:lpwstr>
  </property>
  <property fmtid="{D5CDD505-2E9C-101B-9397-08002B2CF9AE}" pid="4" name="KSOTemplateDocerSaveRecord">
    <vt:lpwstr>eyJoZGlkIjoiZjdhZDViMTAwZDNhYzcyYmMzMGNmNTczMjc0MDVmOTUiLCJ1c2VySWQiOiIzNzExOTQ1NzEifQ==</vt:lpwstr>
  </property>
</Properties>
</file>