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rPr>
          <w:rFonts w:hint="eastAsia" w:ascii="Calibri" w:hAnsi="宋体" w:eastAsia="宋体" w:cs="Times New Roman"/>
          <w:b/>
          <w:bCs/>
          <w:color w:val="000000"/>
          <w:spacing w:val="-8"/>
          <w:sz w:val="48"/>
          <w:szCs w:val="44"/>
          <w:lang w:eastAsia="zh-CN"/>
        </w:rPr>
      </w:pPr>
      <w:bookmarkStart w:id="0" w:name="OLE_LINK30"/>
      <w:bookmarkStart w:id="1" w:name="OLE_LINK31"/>
    </w:p>
    <w:p>
      <w:pPr>
        <w:pStyle w:val="20"/>
        <w:rPr>
          <w:rFonts w:hint="eastAsia" w:ascii="Calibri" w:hAnsi="宋体" w:eastAsia="宋体" w:cs="Times New Roman"/>
          <w:b/>
          <w:bCs/>
          <w:color w:val="000000"/>
          <w:spacing w:val="-8"/>
          <w:sz w:val="48"/>
          <w:szCs w:val="44"/>
          <w:lang w:eastAsia="zh-CN"/>
        </w:rPr>
      </w:pPr>
    </w:p>
    <w:p>
      <w:pPr>
        <w:pStyle w:val="20"/>
        <w:rPr>
          <w:rFonts w:hint="eastAsia" w:ascii="Calibri" w:hAnsi="宋体" w:eastAsia="宋体" w:cs="Times New Roman"/>
          <w:b/>
          <w:bCs/>
          <w:color w:val="000000"/>
          <w:spacing w:val="-8"/>
          <w:sz w:val="48"/>
          <w:szCs w:val="44"/>
          <w:lang w:eastAsia="zh-CN"/>
        </w:rPr>
      </w:pPr>
    </w:p>
    <w:p>
      <w:pPr>
        <w:pStyle w:val="20"/>
        <w:rPr>
          <w:rFonts w:hint="eastAsia" w:ascii="Calibri" w:hAnsi="宋体" w:eastAsia="宋体" w:cs="Times New Roman"/>
          <w:b/>
          <w:bCs/>
          <w:color w:val="000000"/>
          <w:spacing w:val="-8"/>
          <w:sz w:val="48"/>
          <w:szCs w:val="44"/>
          <w:lang w:eastAsia="zh-CN"/>
        </w:rPr>
      </w:pPr>
    </w:p>
    <w:p>
      <w:pPr>
        <w:jc w:val="center"/>
        <w:rPr>
          <w:rFonts w:hint="eastAsia" w:ascii="Calibri" w:hAnsi="宋体" w:eastAsia="宋体" w:cs="Times New Roman"/>
          <w:b/>
          <w:bCs/>
          <w:color w:val="000000"/>
          <w:spacing w:val="-8"/>
          <w:sz w:val="48"/>
          <w:szCs w:val="44"/>
          <w:lang w:eastAsia="zh-CN"/>
        </w:rPr>
      </w:pPr>
      <w:r>
        <w:rPr>
          <w:rFonts w:hint="eastAsia" w:ascii="Calibri" w:hAnsi="宋体" w:eastAsia="宋体" w:cs="Times New Roman"/>
          <w:b/>
          <w:bCs/>
          <w:color w:val="000000"/>
          <w:spacing w:val="-8"/>
          <w:sz w:val="48"/>
          <w:szCs w:val="44"/>
          <w:lang w:eastAsia="zh-CN"/>
        </w:rPr>
        <w:t>济南成型厂废水站环保合规性改造</w:t>
      </w:r>
    </w:p>
    <w:p>
      <w:pPr>
        <w:jc w:val="center"/>
        <w:rPr>
          <w:rFonts w:hint="eastAsia" w:ascii="黑体" w:hAnsi="宋体" w:eastAsia="黑体" w:cs="Times New Roman"/>
          <w:color w:val="000000"/>
          <w:sz w:val="72"/>
          <w:szCs w:val="72"/>
        </w:rPr>
      </w:pPr>
      <w:r>
        <w:rPr>
          <w:rFonts w:hint="eastAsia" w:ascii="Calibri" w:hAnsi="宋体" w:eastAsia="宋体" w:cs="Times New Roman"/>
          <w:b/>
          <w:bCs/>
          <w:color w:val="000000"/>
          <w:spacing w:val="-8"/>
          <w:sz w:val="48"/>
          <w:szCs w:val="44"/>
          <w:lang w:eastAsia="zh-CN"/>
        </w:rPr>
        <w:t>提升技改项目</w:t>
      </w:r>
    </w:p>
    <w:p>
      <w:pPr>
        <w:jc w:val="center"/>
        <w:rPr>
          <w:rFonts w:hint="eastAsia" w:ascii="黑体" w:hAnsi="宋体" w:eastAsia="黑体" w:cs="Times New Roman"/>
          <w:color w:val="000000"/>
          <w:sz w:val="72"/>
          <w:szCs w:val="72"/>
        </w:rPr>
      </w:pPr>
    </w:p>
    <w:p>
      <w:pPr>
        <w:jc w:val="center"/>
        <w:rPr>
          <w:rFonts w:hint="eastAsia"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pPr>
        <w:spacing w:line="860" w:lineRule="exact"/>
        <w:rPr>
          <w:rFonts w:ascii="华文仿宋" w:hAnsi="华文仿宋" w:eastAsia="华文仿宋"/>
          <w:b/>
          <w:bCs/>
          <w:sz w:val="32"/>
          <w:szCs w:val="28"/>
        </w:rPr>
      </w:pPr>
    </w:p>
    <w:p>
      <w:pPr>
        <w:pStyle w:val="20"/>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keepNext/>
        <w:keepLines/>
        <w:jc w:val="center"/>
        <w:rPr>
          <w:rFonts w:hint="eastAsia" w:ascii="Calibri" w:hAnsi="Calibri" w:eastAsia="宋体" w:cs="Times New Roman"/>
          <w:b/>
          <w:bCs/>
          <w:kern w:val="44"/>
          <w:sz w:val="36"/>
          <w:szCs w:val="44"/>
          <w:lang w:eastAsia="zh-CN"/>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r>
        <w:rPr>
          <w:rFonts w:hint="eastAsia" w:ascii="Calibri" w:hAnsi="Calibri" w:eastAsia="宋体" w:cs="Times New Roman"/>
          <w:color w:val="000000"/>
          <w:sz w:val="28"/>
          <w:szCs w:val="28"/>
          <w:lang w:eastAsia="zh-CN"/>
        </w:rPr>
        <w:t>2025年</w:t>
      </w:r>
      <w:r>
        <w:rPr>
          <w:rFonts w:hint="eastAsia" w:ascii="Calibri" w:hAnsi="Calibri" w:eastAsia="宋体" w:cs="Times New Roman"/>
          <w:color w:val="000000"/>
          <w:sz w:val="28"/>
          <w:szCs w:val="28"/>
          <w:lang w:val="en-US" w:eastAsia="zh-CN"/>
        </w:rPr>
        <w:t>4</w:t>
      </w:r>
      <w:r>
        <w:rPr>
          <w:rFonts w:hint="eastAsia" w:ascii="Calibri" w:hAnsi="Calibri" w:eastAsia="宋体" w:cs="Times New Roman"/>
          <w:color w:val="000000"/>
          <w:sz w:val="28"/>
          <w:szCs w:val="28"/>
          <w:lang w:eastAsia="zh-CN"/>
        </w:rPr>
        <w:t>月</w:t>
      </w: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7"/>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7"/>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7"/>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35</w:t>
          </w:r>
        </w:p>
        <w:p>
          <w:pPr>
            <w:pStyle w:val="27"/>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53</w:t>
          </w:r>
        </w:p>
        <w:p>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20"/>
        <w:numPr>
          <w:ilvl w:val="0"/>
          <w:numId w:val="2"/>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20"/>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34"/>
                <w:rFonts w:ascii="宋体" w:hAnsi="宋体" w:eastAsia="宋体" w:cs="宋体"/>
                <w:b/>
                <w:sz w:val="28"/>
                <w:szCs w:val="28"/>
              </w:rPr>
            </w:pPr>
            <w:bookmarkStart w:id="3" w:name="_Toc346372875"/>
            <w:r>
              <w:rPr>
                <w:rStyle w:val="134"/>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34"/>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济南成型厂废水站环保合规性改造提升技改项目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color w:val="auto"/>
                <w:sz w:val="24"/>
                <w:szCs w:val="24"/>
                <w:highlight w:val="yellow"/>
                <w:u w:val="single"/>
                <w:lang w:val="en-US" w:eastAsia="zh-CN"/>
              </w:rPr>
              <w:t>CGZX2025040045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color w:val="auto"/>
                <w:sz w:val="24"/>
                <w:szCs w:val="24"/>
                <w:highlight w:val="yellow"/>
                <w:u w:val="single"/>
                <w:lang w:val="en-US" w:eastAsia="zh-CN"/>
              </w:rPr>
              <w:t>：对济南成型厂废水站改造。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lang w:eastAsia="zh-CN"/>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w:t>
            </w:r>
            <w:r>
              <w:rPr>
                <w:rFonts w:hint="eastAsia" w:ascii="宋体" w:hAnsi="宋体" w:eastAsia="宋体" w:cs="宋体"/>
                <w:sz w:val="24"/>
                <w:szCs w:val="24"/>
                <w:highlight w:val="none"/>
                <w:u w:val="none"/>
              </w:rPr>
              <w:t>市</w:t>
            </w:r>
            <w:r>
              <w:rPr>
                <w:rFonts w:hint="eastAsia" w:ascii="宋体" w:hAnsi="宋体" w:eastAsia="宋体" w:cs="宋体"/>
                <w:sz w:val="24"/>
                <w:szCs w:val="24"/>
                <w:highlight w:val="none"/>
                <w:u w:val="none"/>
                <w:lang w:val="en-US" w:eastAsia="zh-CN"/>
              </w:rPr>
              <w:t>历城区</w:t>
            </w:r>
            <w:r>
              <w:rPr>
                <w:rFonts w:hint="eastAsia" w:ascii="宋体" w:hAnsi="宋体" w:eastAsia="宋体" w:cs="宋体"/>
                <w:sz w:val="24"/>
                <w:szCs w:val="24"/>
                <w:highlight w:val="none"/>
                <w:u w:val="none"/>
              </w:rPr>
              <w:t>华奥</w:t>
            </w:r>
            <w:r>
              <w:rPr>
                <w:rFonts w:hint="eastAsia" w:ascii="宋体" w:hAnsi="宋体" w:eastAsia="宋体" w:cs="宋体"/>
                <w:sz w:val="24"/>
                <w:szCs w:val="24"/>
                <w:highlight w:val="none"/>
                <w:u w:val="single"/>
              </w:rPr>
              <w:t>路777号</w:t>
            </w:r>
            <w:r>
              <w:rPr>
                <w:rFonts w:hint="eastAsia" w:ascii="宋体" w:hAnsi="宋体" w:eastAsia="宋体" w:cs="宋体"/>
                <w:sz w:val="24"/>
                <w:szCs w:val="24"/>
                <w:highlight w:val="none"/>
              </w:rPr>
              <w:t xml:space="preserve"> </w:t>
            </w:r>
          </w:p>
          <w:p>
            <w:pPr>
              <w:ind w:firstLine="482" w:firstLineChars="200"/>
              <w:rPr>
                <w:rFonts w:hint="eastAsia"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yellow"/>
                <w:lang w:val="en-US" w:eastAsia="zh-CN"/>
              </w:rPr>
              <w:t>招标</w:t>
            </w:r>
            <w:r>
              <w:rPr>
                <w:rFonts w:hint="eastAsia" w:ascii="宋体" w:hAnsi="宋体" w:eastAsia="宋体" w:cs="宋体"/>
                <w:b/>
                <w:snapToGrid w:val="0"/>
                <w:kern w:val="0"/>
                <w:sz w:val="24"/>
                <w:szCs w:val="24"/>
                <w:highlight w:val="yellow"/>
              </w:rPr>
              <w:t>联系人：</w:t>
            </w:r>
            <w:r>
              <w:rPr>
                <w:rFonts w:hint="eastAsia" w:ascii="宋体" w:hAnsi="宋体" w:eastAsia="宋体" w:cs="宋体"/>
                <w:bCs/>
                <w:snapToGrid w:val="0"/>
                <w:kern w:val="0"/>
                <w:sz w:val="24"/>
                <w:szCs w:val="24"/>
                <w:highlight w:val="yellow"/>
                <w:lang w:val="en-US" w:eastAsia="zh-CN"/>
              </w:rPr>
              <w:t>赵翊旭</w:t>
            </w:r>
          </w:p>
          <w:p>
            <w:pPr>
              <w:pStyle w:val="20"/>
              <w:ind w:firstLine="482" w:firstLineChars="200"/>
              <w:rPr>
                <w:rFonts w:hint="default"/>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Cs/>
                <w:snapToGrid w:val="0"/>
                <w:kern w:val="0"/>
                <w:sz w:val="24"/>
                <w:szCs w:val="24"/>
                <w:highlight w:val="yellow"/>
                <w:lang w:val="en-US" w:eastAsia="zh-CN"/>
              </w:rPr>
              <w:t>15165052573</w:t>
            </w:r>
          </w:p>
          <w:p>
            <w:pPr>
              <w:ind w:firstLine="482" w:firstLineChars="200"/>
              <w:rPr>
                <w:rFonts w:hint="default" w:ascii="宋体" w:hAnsi="宋体" w:eastAsia="宋体" w:cs="宋体"/>
                <w:sz w:val="24"/>
                <w:szCs w:val="24"/>
                <w:highlight w:val="none"/>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w:t>
            </w:r>
            <w:r>
              <w:rPr>
                <w:rFonts w:hint="eastAsia" w:ascii="宋体" w:hAnsi="宋体" w:eastAsia="宋体" w:cs="宋体"/>
                <w:bCs/>
                <w:snapToGrid w:val="0"/>
                <w:kern w:val="0"/>
                <w:sz w:val="24"/>
                <w:szCs w:val="24"/>
                <w:highlight w:val="yellow"/>
                <w:lang w:val="en-US" w:eastAsia="zh-CN"/>
              </w:rPr>
              <w:t>zhaoyixu@sinotruk.com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20"/>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150</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bCs/>
                <w:color w:val="000000"/>
                <w:sz w:val="24"/>
                <w:szCs w:val="24"/>
                <w:highlight w:val="yellow"/>
                <w:u w:val="single"/>
                <w:lang w:val="en-US" w:eastAsia="zh-CN"/>
              </w:rPr>
              <w:t>500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20"/>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20"/>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6.拟投标人</w:t>
            </w:r>
            <w:r>
              <w:rPr>
                <w:rFonts w:hint="eastAsia" w:hAnsi="宋体" w:eastAsia="宋体" w:cs="宋体"/>
                <w:sz w:val="24"/>
                <w:szCs w:val="24"/>
                <w:highlight w:val="yellow"/>
              </w:rPr>
              <w:t>20</w:t>
            </w:r>
            <w:r>
              <w:rPr>
                <w:rFonts w:hint="eastAsia" w:hAnsi="宋体" w:eastAsia="宋体" w:cs="宋体"/>
                <w:sz w:val="24"/>
                <w:szCs w:val="24"/>
                <w:highlight w:val="yellow"/>
                <w:lang w:val="en-US" w:eastAsia="zh-CN"/>
              </w:rPr>
              <w:t>21</w:t>
            </w:r>
            <w:r>
              <w:rPr>
                <w:rFonts w:hint="eastAsia" w:hAnsi="宋体" w:eastAsia="宋体" w:cs="宋体"/>
                <w:sz w:val="24"/>
                <w:szCs w:val="24"/>
                <w:highlight w:val="yellow"/>
              </w:rPr>
              <w:t>年1月1日</w:t>
            </w:r>
            <w:r>
              <w:rPr>
                <w:rFonts w:hint="eastAsia" w:hAnsi="宋体" w:eastAsia="宋体" w:cs="宋体"/>
                <w:sz w:val="24"/>
                <w:szCs w:val="24"/>
                <w:highlight w:val="none"/>
              </w:rPr>
              <w:t>至今</w:t>
            </w:r>
            <w:r>
              <w:rPr>
                <w:rFonts w:hint="eastAsia" w:ascii="宋体" w:hAnsi="宋体" w:eastAsia="宋体" w:cs="宋体"/>
                <w:color w:val="000000"/>
                <w:sz w:val="24"/>
                <w:szCs w:val="24"/>
                <w:highlight w:val="none"/>
              </w:rPr>
              <w:t>经</w:t>
            </w:r>
            <w:r>
              <w:rPr>
                <w:rFonts w:hint="eastAsia" w:ascii="宋体" w:hAnsi="宋体" w:eastAsia="宋体" w:cs="宋体"/>
                <w:b/>
                <w:bCs/>
                <w:color w:val="000000"/>
                <w:sz w:val="24"/>
                <w:szCs w:val="24"/>
                <w:highlight w:val="none"/>
              </w:rPr>
              <w:t>第三方</w:t>
            </w:r>
            <w:r>
              <w:rPr>
                <w:rFonts w:hint="eastAsia" w:ascii="宋体"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pPr>
              <w:pStyle w:val="20"/>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20"/>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20"/>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20"/>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投标人信用证明材料（征信报告）未显示异常；</w:t>
            </w:r>
          </w:p>
          <w:p>
            <w:pPr>
              <w:pStyle w:val="20"/>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20"/>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rPr>
              <w:t>1</w:t>
            </w:r>
            <w:r>
              <w:rPr>
                <w:rFonts w:hint="eastAsia" w:hAnsi="宋体" w:eastAsia="宋体" w:cs="宋体"/>
                <w:color w:val="000000"/>
                <w:sz w:val="24"/>
                <w:szCs w:val="24"/>
                <w:highlight w:val="none"/>
                <w:lang w:val="en-US" w:eastAsia="zh-CN"/>
              </w:rPr>
              <w:t>3.</w:t>
            </w:r>
            <w:r>
              <w:rPr>
                <w:rFonts w:hint="eastAsia" w:ascii="宋体" w:hAnsi="宋体" w:eastAsia="宋体" w:cs="宋体"/>
                <w:color w:val="000000"/>
                <w:sz w:val="24"/>
                <w:szCs w:val="24"/>
                <w:highlight w:val="none"/>
              </w:rPr>
              <w:t>如为代理商投标，需获得生产厂家正式授权，提供授权书原件，保证提供原厂售后服务并提供原厂售后服务承诺书原件</w:t>
            </w:r>
            <w:r>
              <w:rPr>
                <w:rFonts w:hint="eastAsia" w:hAnsi="宋体" w:eastAsia="宋体" w:cs="宋体"/>
                <w:color w:val="000000"/>
                <w:sz w:val="24"/>
                <w:szCs w:val="24"/>
                <w:highlight w:val="none"/>
                <w:lang w:eastAsia="zh-CN"/>
              </w:rPr>
              <w:t>；</w:t>
            </w:r>
          </w:p>
          <w:p>
            <w:pPr>
              <w:pStyle w:val="20"/>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14.</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pPr>
              <w:pStyle w:val="20"/>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15.拟投标人应提供安全生产许可证</w:t>
            </w:r>
            <w:r>
              <w:rPr>
                <w:rFonts w:hint="default" w:hAnsi="宋体" w:eastAsia="宋体" w:cs="宋体"/>
                <w:color w:val="000000"/>
                <w:sz w:val="24"/>
                <w:szCs w:val="24"/>
                <w:highlight w:val="none"/>
                <w:lang w:val="en-US" w:eastAsia="zh-CN"/>
              </w:rPr>
              <w:t>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u w:val="single"/>
                <w:lang w:val="en-US" w:eastAsia="zh-CN"/>
              </w:rPr>
              <w:t>23</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lang w:val="en-US" w:eastAsia="zh-CN"/>
              </w:rPr>
              <w:t>4</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u w:val="single"/>
                <w:lang w:val="en-US" w:eastAsia="zh-CN"/>
              </w:rPr>
              <w:t>29</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2</w:t>
            </w:r>
            <w:r>
              <w:rPr>
                <w:rFonts w:hint="eastAsia" w:ascii="宋体" w:hAnsi="宋体" w:eastAsia="宋体" w:cs="宋体"/>
                <w:bCs/>
                <w:sz w:val="24"/>
                <w:szCs w:val="24"/>
                <w:highlight w:val="yellow"/>
              </w:rPr>
              <w:t>:00前；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2025年</w:t>
            </w:r>
            <w:r>
              <w:rPr>
                <w:rFonts w:hint="eastAsia" w:ascii="宋体" w:hAnsi="宋体" w:eastAsia="宋体" w:cs="宋体"/>
                <w:sz w:val="24"/>
                <w:szCs w:val="24"/>
                <w:highlight w:val="yellow"/>
                <w:lang w:val="en-US" w:eastAsia="zh-CN"/>
              </w:rPr>
              <w:t>4</w:t>
            </w:r>
            <w:r>
              <w:rPr>
                <w:rFonts w:hint="eastAsia" w:ascii="宋体" w:hAnsi="宋体" w:eastAsia="宋体" w:cs="宋体"/>
                <w:sz w:val="24"/>
                <w:szCs w:val="24"/>
                <w:highlight w:val="yellow"/>
                <w:lang w:eastAsia="zh-CN"/>
              </w:rPr>
              <w:t>月</w:t>
            </w:r>
            <w:r>
              <w:rPr>
                <w:rFonts w:hint="eastAsia" w:ascii="宋体" w:hAnsi="宋体" w:eastAsia="宋体" w:cs="宋体"/>
                <w:sz w:val="24"/>
                <w:szCs w:val="24"/>
                <w:highlight w:val="yellow"/>
                <w:u w:val="single"/>
                <w:lang w:val="en-US" w:eastAsia="zh-CN"/>
              </w:rPr>
              <w:t>30</w:t>
            </w:r>
            <w:r>
              <w:rPr>
                <w:rFonts w:hint="eastAsia" w:ascii="宋体" w:hAnsi="宋体" w:eastAsia="宋体" w:cs="宋体"/>
                <w:sz w:val="24"/>
                <w:szCs w:val="24"/>
                <w:highlight w:val="yellow"/>
              </w:rPr>
              <w:t>日17:00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7"/>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2025年</w:t>
            </w:r>
            <w:r>
              <w:rPr>
                <w:rFonts w:hint="eastAsia" w:eastAsia="宋体" w:cs="宋体"/>
                <w:highlight w:val="yellow"/>
                <w:lang w:val="en-US" w:eastAsia="zh-CN"/>
              </w:rPr>
              <w:t>5</w:t>
            </w:r>
            <w:r>
              <w:rPr>
                <w:rFonts w:hint="eastAsia" w:eastAsia="宋体" w:cs="宋体"/>
                <w:highlight w:val="yellow"/>
                <w:lang w:eastAsia="zh-CN"/>
              </w:rPr>
              <w:t>月</w:t>
            </w:r>
            <w:r>
              <w:rPr>
                <w:rFonts w:hint="eastAsia" w:eastAsia="宋体" w:cs="宋体"/>
                <w:highlight w:val="yellow"/>
                <w:lang w:val="en-US" w:eastAsia="zh-CN"/>
              </w:rPr>
              <w:t>7</w:t>
            </w:r>
            <w:r>
              <w:rPr>
                <w:rFonts w:hint="eastAsia" w:eastAsia="宋体" w:cs="宋体"/>
                <w:highlight w:val="yellow"/>
              </w:rPr>
              <w:t>日</w:t>
            </w:r>
            <w:r>
              <w:rPr>
                <w:rFonts w:hint="eastAsia" w:eastAsia="宋体" w:cs="宋体"/>
                <w:highlight w:val="yellow"/>
                <w:lang w:val="en-US" w:eastAsia="zh-CN"/>
              </w:rPr>
              <w:t>17时00分00秒</w:t>
            </w:r>
          </w:p>
          <w:p>
            <w:pPr>
              <w:pStyle w:val="117"/>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20"/>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20"/>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2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pStyle w:val="2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hAnsi="宋体" w:eastAsia="宋体" w:cs="Times New Roman"/>
                <w:b w:val="0"/>
                <w:bCs w:val="0"/>
                <w:color w:val="000000"/>
                <w:sz w:val="24"/>
                <w:szCs w:val="24"/>
                <w:highlight w:val="yellow"/>
                <w:lang w:val="en-US" w:eastAsia="zh-CN"/>
              </w:rPr>
              <w:t>赵翊旭</w:t>
            </w:r>
            <w:r>
              <w:rPr>
                <w:rFonts w:hint="eastAsia" w:ascii="Times New Roman" w:hAnsi="Times New Roman" w:eastAsia="宋体" w:cs="Times New Roman"/>
                <w:b w:val="0"/>
                <w:bCs w:val="0"/>
                <w:color w:val="000000"/>
                <w:sz w:val="24"/>
                <w:szCs w:val="24"/>
                <w:highlight w:val="yellow"/>
                <w:lang w:val="en-US" w:eastAsia="zh-CN"/>
              </w:rPr>
              <w:t>/15165052573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20"/>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2025年</w:t>
            </w:r>
            <w:r>
              <w:rPr>
                <w:rFonts w:hint="eastAsia" w:hAnsi="宋体" w:eastAsia="宋体" w:cs="宋体"/>
                <w:sz w:val="24"/>
                <w:szCs w:val="24"/>
                <w:highlight w:val="yellow"/>
                <w:u w:val="single"/>
                <w:lang w:val="en-US" w:eastAsia="zh-CN"/>
              </w:rPr>
              <w:t>5</w:t>
            </w:r>
            <w:r>
              <w:rPr>
                <w:rFonts w:hint="eastAsia" w:hAnsi="宋体" w:eastAsia="宋体" w:cs="宋体"/>
                <w:sz w:val="24"/>
                <w:szCs w:val="24"/>
                <w:highlight w:val="yellow"/>
                <w:u w:val="single"/>
                <w:lang w:eastAsia="zh-CN"/>
              </w:rPr>
              <w:t>月</w:t>
            </w:r>
            <w:r>
              <w:rPr>
                <w:rFonts w:hint="eastAsia" w:hAnsi="宋体" w:eastAsia="宋体" w:cs="宋体"/>
                <w:sz w:val="24"/>
                <w:szCs w:val="24"/>
                <w:highlight w:val="yellow"/>
                <w:u w:val="single"/>
                <w:lang w:val="en-US" w:eastAsia="zh-CN"/>
              </w:rPr>
              <w:t>9</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20"/>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val="en-US" w:eastAsia="zh-CN"/>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color w:val="auto"/>
                <w:sz w:val="24"/>
                <w:szCs w:val="24"/>
                <w:highlight w:val="yellow"/>
                <w:lang w:val="en-US" w:eastAsia="zh-CN"/>
              </w:rPr>
              <w:t>20000</w:t>
            </w:r>
            <w:r>
              <w:rPr>
                <w:rFonts w:hint="eastAsia" w:ascii="宋体" w:hAnsi="宋体" w:eastAsia="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b/>
                <w:bCs/>
                <w:sz w:val="24"/>
                <w:szCs w:val="24"/>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3</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2025年</w:t>
            </w:r>
            <w:r>
              <w:rPr>
                <w:rFonts w:hint="eastAsia" w:ascii="宋体" w:hAnsi="宋体" w:cs="宋体"/>
                <w:sz w:val="24"/>
                <w:szCs w:val="24"/>
                <w:highlight w:val="yellow"/>
                <w:lang w:val="en-US" w:eastAsia="zh-CN"/>
              </w:rPr>
              <w:t>4</w:t>
            </w:r>
            <w:r>
              <w:rPr>
                <w:rFonts w:hint="eastAsia" w:ascii="宋体" w:hAnsi="宋体" w:cs="宋体"/>
                <w:sz w:val="24"/>
                <w:szCs w:val="24"/>
                <w:highlight w:val="yellow"/>
                <w:lang w:eastAsia="zh-CN"/>
              </w:rPr>
              <w:t>月</w:t>
            </w:r>
            <w:r>
              <w:rPr>
                <w:rFonts w:hint="eastAsia" w:ascii="宋体" w:hAnsi="宋体" w:cs="宋体"/>
                <w:sz w:val="24"/>
                <w:szCs w:val="24"/>
                <w:highlight w:val="yellow"/>
                <w:lang w:val="en-US" w:eastAsia="zh-CN"/>
              </w:rPr>
              <w:t>30</w:t>
            </w:r>
            <w:r>
              <w:rPr>
                <w:rFonts w:hint="eastAsia" w:ascii="宋体" w:hAnsi="宋体" w:cs="宋体"/>
                <w:sz w:val="24"/>
                <w:szCs w:val="24"/>
                <w:highlight w:val="yellow"/>
              </w:rPr>
              <w:t>日1</w:t>
            </w:r>
            <w:r>
              <w:rPr>
                <w:rFonts w:ascii="宋体" w:hAnsi="宋体" w:cs="宋体"/>
                <w:sz w:val="24"/>
                <w:szCs w:val="24"/>
                <w:highlight w:val="yellow"/>
              </w:rPr>
              <w:t>7</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40"/>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4</w:t>
            </w:r>
          </w:p>
        </w:tc>
        <w:tc>
          <w:tcPr>
            <w:tcW w:w="8363" w:type="dxa"/>
            <w:tcBorders>
              <w:top w:val="single" w:color="auto" w:sz="2" w:space="0"/>
              <w:left w:val="single" w:color="auto" w:sz="2" w:space="0"/>
              <w:bottom w:val="single" w:color="auto" w:sz="2" w:space="0"/>
              <w:right w:val="single" w:color="auto" w:sz="2" w:space="0"/>
            </w:tcBorders>
            <w:vAlign w:val="center"/>
          </w:tcPr>
          <w:p>
            <w:pPr>
              <w:pStyle w:val="40"/>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2025年</w:t>
            </w:r>
            <w:r>
              <w:rPr>
                <w:rFonts w:hint="eastAsia" w:ascii="宋体" w:hAnsi="宋体" w:eastAsia="宋体" w:cs="宋体"/>
                <w:sz w:val="24"/>
                <w:szCs w:val="24"/>
                <w:highlight w:val="yellow"/>
                <w:lang w:val="en-US" w:eastAsia="zh-CN"/>
              </w:rPr>
              <w:t>5</w:t>
            </w:r>
            <w:r>
              <w:rPr>
                <w:rFonts w:hint="eastAsia" w:ascii="宋体" w:hAnsi="宋体" w:eastAsia="宋体" w:cs="宋体"/>
                <w:sz w:val="24"/>
                <w:szCs w:val="24"/>
                <w:highlight w:val="yellow"/>
                <w:lang w:eastAsia="zh-CN"/>
              </w:rPr>
              <w:t>月</w:t>
            </w:r>
            <w:r>
              <w:rPr>
                <w:rFonts w:hint="eastAsia" w:ascii="宋体" w:hAnsi="宋体" w:cs="宋体"/>
                <w:sz w:val="24"/>
                <w:szCs w:val="24"/>
                <w:highlight w:val="yellow"/>
                <w:lang w:val="en-US" w:eastAsia="zh-CN"/>
              </w:rPr>
              <w:t>9</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w:t>
            </w:r>
            <w:bookmarkStart w:id="175" w:name="_GoBack"/>
            <w:bookmarkEnd w:id="175"/>
            <w:r>
              <w:rPr>
                <w:rFonts w:hint="eastAsia" w:ascii="宋体" w:hAnsi="宋体" w:eastAsia="宋体" w:cs="宋体"/>
                <w:sz w:val="24"/>
                <w:szCs w:val="24"/>
                <w:highlight w:val="none"/>
              </w:rPr>
              <w:t>“第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自合同签定生效之日起，30个日历日之内交货至供货地点。</w:t>
            </w:r>
          </w:p>
          <w:p>
            <w:pPr>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接续60个日历日之内安装调试完毕。</w:t>
            </w:r>
          </w:p>
          <w:p>
            <w:pPr>
              <w:ind w:firstLine="480" w:firstLineChars="200"/>
              <w:rPr>
                <w:rFonts w:hint="eastAsia" w:ascii="宋体" w:hAnsi="宋体" w:eastAsia="宋体" w:cs="宋体"/>
                <w:color w:val="000000"/>
                <w:sz w:val="24"/>
                <w:szCs w:val="24"/>
                <w:highlight w:val="yellow"/>
                <w:lang w:val="en-US" w:eastAsia="zh-CN"/>
              </w:rPr>
            </w:pPr>
            <w:r>
              <w:rPr>
                <w:rFonts w:hint="eastAsia" w:ascii="宋体" w:hAnsi="宋体" w:eastAsia="宋体" w:cs="宋体"/>
                <w:color w:val="000000"/>
                <w:sz w:val="24"/>
                <w:szCs w:val="24"/>
                <w:highlight w:val="yellow"/>
                <w:lang w:val="en-US" w:eastAsia="zh-CN"/>
              </w:rPr>
              <w:t>接续90个日历日之内完成终验收。</w:t>
            </w:r>
          </w:p>
          <w:p>
            <w:pPr>
              <w:ind w:firstLine="480" w:firstLineChars="200"/>
              <w:rPr>
                <w:rFonts w:hAnsi="宋体" w:eastAsia="宋体" w:cs="宋体"/>
                <w:color w:val="000000"/>
                <w:sz w:val="24"/>
                <w:szCs w:val="24"/>
              </w:rPr>
            </w:pPr>
            <w:r>
              <w:rPr>
                <w:rFonts w:hint="eastAsia" w:ascii="宋体" w:hAnsi="宋体" w:eastAsia="宋体" w:cs="宋体"/>
                <w:color w:val="000000"/>
                <w:sz w:val="24"/>
                <w:szCs w:val="24"/>
                <w:highlight w:val="yellow"/>
                <w:lang w:val="en-US" w:eastAsia="zh-CN"/>
              </w:rPr>
              <w:t>安装调试工期超过20个日历日的，投标人应当随标书提供详细的工期计划。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spacing w:line="360" w:lineRule="auto"/>
              <w:ind w:right="238"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b w:val="0"/>
                <w:bCs w:val="0"/>
                <w:color w:val="000000" w:themeColor="text1"/>
                <w:spacing w:val="0"/>
                <w:sz w:val="24"/>
                <w:szCs w:val="24"/>
                <w:highlight w:val="none"/>
                <w:u w:val="single"/>
                <w14:textFill>
                  <w14:solidFill>
                    <w14:schemeClr w14:val="tx1"/>
                  </w14:solidFill>
                </w14:textFill>
              </w:rPr>
              <w:t>济南市章丘区圣井世纪大道6677号。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4"/>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20"/>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highlight w:val="yellow"/>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highlight w:val="yellow"/>
                <w:lang w:val="en-US" w:eastAsia="zh-CN"/>
              </w:rPr>
              <w:t>1</w:t>
            </w:r>
            <w:r>
              <w:rPr>
                <w:rFonts w:hint="eastAsia" w:ascii="宋体" w:hAnsi="宋体" w:eastAsia="宋体" w:cs="宋体"/>
                <w:color w:val="000000"/>
                <w:sz w:val="24"/>
                <w:szCs w:val="24"/>
                <w:highlight w:val="yellow"/>
              </w:rPr>
              <w:t>）合同生效设备全部到齐无质量问题通过买方初步验收后, 卖方提交金额为合同含税价款</w:t>
            </w:r>
            <w:r>
              <w:rPr>
                <w:rFonts w:hint="eastAsia" w:ascii="宋体" w:hAnsi="宋体" w:eastAsia="宋体" w:cs="宋体"/>
                <w:b/>
                <w:bCs/>
                <w:color w:val="000000"/>
                <w:sz w:val="24"/>
                <w:szCs w:val="24"/>
                <w:highlight w:val="yellow"/>
                <w:lang w:val="en-US" w:eastAsia="zh-CN"/>
              </w:rPr>
              <w:t>3</w:t>
            </w:r>
            <w:r>
              <w:rPr>
                <w:rFonts w:hint="eastAsia" w:ascii="宋体" w:hAnsi="宋体" w:eastAsia="宋体" w:cs="宋体"/>
                <w:b/>
                <w:bCs/>
                <w:color w:val="000000"/>
                <w:sz w:val="24"/>
                <w:szCs w:val="24"/>
                <w:highlight w:val="yellow"/>
              </w:rPr>
              <w:t>0%</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3</w:t>
            </w:r>
            <w:r>
              <w:rPr>
                <w:rFonts w:hint="eastAsia" w:ascii="宋体" w:hAnsi="宋体" w:eastAsia="宋体" w:cs="宋体"/>
                <w:color w:val="000000"/>
                <w:sz w:val="24"/>
                <w:szCs w:val="24"/>
                <w:highlight w:val="yellow"/>
              </w:rPr>
              <w:t>0%增值税专用发票（税率为13 %，正本一份，复印件二份），经买方依照财务制度审核无误后【30】日后支付。</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w:t>
            </w:r>
            <w:r>
              <w:rPr>
                <w:rFonts w:hint="eastAsia" w:ascii="宋体" w:hAnsi="宋体" w:eastAsia="宋体" w:cs="宋体"/>
                <w:color w:val="000000"/>
                <w:sz w:val="24"/>
                <w:szCs w:val="24"/>
                <w:highlight w:val="yellow"/>
                <w:lang w:val="en-US" w:eastAsia="zh-CN"/>
              </w:rPr>
              <w:t>2</w:t>
            </w:r>
            <w:r>
              <w:rPr>
                <w:rFonts w:hint="eastAsia" w:ascii="宋体" w:hAnsi="宋体" w:eastAsia="宋体" w:cs="宋体"/>
                <w:color w:val="000000"/>
                <w:sz w:val="24"/>
                <w:szCs w:val="24"/>
                <w:highlight w:val="yellow"/>
              </w:rPr>
              <w:t>）设备全部到齐无质量问题，经安装、调试最终验收合格后，卖方提交金额为合同含税价款</w:t>
            </w:r>
            <w:r>
              <w:rPr>
                <w:rFonts w:hint="eastAsia" w:ascii="宋体" w:hAnsi="宋体" w:eastAsia="宋体" w:cs="宋体"/>
                <w:b/>
                <w:bCs/>
                <w:color w:val="000000"/>
                <w:sz w:val="24"/>
                <w:szCs w:val="24"/>
                <w:highlight w:val="yellow"/>
                <w:lang w:val="en-US" w:eastAsia="zh-CN"/>
              </w:rPr>
              <w:t>6</w:t>
            </w:r>
            <w:r>
              <w:rPr>
                <w:rFonts w:hint="eastAsia" w:ascii="宋体" w:hAnsi="宋体" w:eastAsia="宋体" w:cs="宋体"/>
                <w:b/>
                <w:bCs/>
                <w:color w:val="000000"/>
                <w:sz w:val="24"/>
                <w:szCs w:val="24"/>
                <w:highlight w:val="yellow"/>
              </w:rPr>
              <w:t>0 %</w:t>
            </w:r>
            <w:r>
              <w:rPr>
                <w:rFonts w:hint="eastAsia" w:ascii="宋体" w:hAnsi="宋体" w:eastAsia="宋体" w:cs="宋体"/>
                <w:color w:val="000000"/>
                <w:sz w:val="24"/>
                <w:szCs w:val="24"/>
                <w:highlight w:val="yellow"/>
              </w:rPr>
              <w:t>的收据及合同全额</w:t>
            </w:r>
            <w:r>
              <w:rPr>
                <w:rFonts w:hint="eastAsia" w:ascii="宋体" w:hAnsi="宋体" w:eastAsia="宋体" w:cs="宋体"/>
                <w:color w:val="000000"/>
                <w:sz w:val="24"/>
                <w:szCs w:val="24"/>
                <w:highlight w:val="yellow"/>
                <w:lang w:val="en-US" w:eastAsia="zh-CN"/>
              </w:rPr>
              <w:t>7</w:t>
            </w:r>
            <w:r>
              <w:rPr>
                <w:rFonts w:hint="eastAsia" w:ascii="宋体" w:hAnsi="宋体" w:eastAsia="宋体" w:cs="宋体"/>
                <w:color w:val="000000"/>
                <w:sz w:val="24"/>
                <w:szCs w:val="24"/>
                <w:highlight w:val="yellow"/>
              </w:rPr>
              <w:t>0%增值税专用发票（税率为13 %，正本一份，复印件二份）并附带该套合同设备最终验收报告的原件及其复印件两份，经买方依照财务制度审核无误后【30】日后支付。</w:t>
            </w:r>
          </w:p>
          <w:p>
            <w:pPr>
              <w:ind w:firstLine="480" w:firstLineChars="200"/>
              <w:rPr>
                <w:rFonts w:ascii="宋体" w:hAnsi="宋体" w:eastAsia="宋体" w:cs="宋体"/>
                <w:sz w:val="24"/>
                <w:szCs w:val="24"/>
              </w:rPr>
            </w:pPr>
            <w:r>
              <w:rPr>
                <w:rFonts w:hint="eastAsia" w:ascii="宋体" w:hAnsi="宋体" w:eastAsia="宋体" w:cs="宋体"/>
                <w:color w:val="000000"/>
                <w:sz w:val="24"/>
                <w:szCs w:val="24"/>
                <w:highlight w:val="yellow"/>
              </w:rPr>
              <w:t>（3）合同含税总价款的</w:t>
            </w:r>
            <w:r>
              <w:rPr>
                <w:rFonts w:hint="eastAsia" w:ascii="宋体" w:hAnsi="宋体" w:eastAsia="宋体" w:cs="宋体"/>
                <w:b/>
                <w:bCs/>
                <w:color w:val="000000"/>
                <w:sz w:val="24"/>
                <w:szCs w:val="24"/>
                <w:highlight w:val="yellow"/>
              </w:rPr>
              <w:t xml:space="preserve"> 10 %</w:t>
            </w:r>
            <w:r>
              <w:rPr>
                <w:rFonts w:hint="eastAsia" w:ascii="宋体" w:hAnsi="宋体" w:eastAsia="宋体" w:cs="宋体"/>
                <w:color w:val="000000"/>
                <w:sz w:val="24"/>
                <w:szCs w:val="24"/>
                <w:highlight w:val="yellow"/>
              </w:rPr>
              <w:t>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yellow"/>
              </w:rPr>
            </w:pPr>
            <w:r>
              <w:rPr>
                <w:rFonts w:hint="eastAsia" w:ascii="宋体" w:hAnsi="宋体" w:eastAsia="宋体" w:cs="宋体"/>
                <w:b/>
                <w:color w:val="000000"/>
                <w:sz w:val="24"/>
                <w:szCs w:val="24"/>
                <w:highlight w:val="yellow"/>
              </w:rPr>
              <w:t>增值税专用发票开票信息：</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名称：中国重汽集团济南动力有限公司</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地址：章丘市圣井唐王山路北潘王路西</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纳税人识别号：91370100787411873C</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开户行：中国银行章丘支行</w:t>
            </w:r>
          </w:p>
          <w:p>
            <w:pPr>
              <w:ind w:firstLine="480" w:firstLineChars="200"/>
              <w:rPr>
                <w:rFonts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电话：0531-58062198</w:t>
            </w:r>
          </w:p>
          <w:p>
            <w:pPr>
              <w:ind w:firstLine="480" w:firstLineChars="200"/>
              <w:rPr>
                <w:rFonts w:ascii="宋体" w:hAnsi="宋体" w:cs="宋体"/>
                <w:bCs/>
                <w:sz w:val="24"/>
                <w:szCs w:val="24"/>
              </w:rPr>
            </w:pPr>
            <w:r>
              <w:rPr>
                <w:rFonts w:hint="eastAsia" w:ascii="宋体" w:hAnsi="宋体" w:eastAsia="宋体" w:cs="宋体"/>
                <w:color w:val="000000"/>
                <w:sz w:val="24"/>
                <w:szCs w:val="24"/>
                <w:highlight w:val="yellow"/>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4"/>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4"/>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4"/>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7"/>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7"/>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20"/>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2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2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20"/>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hAnsi="宋体" w:eastAsia="宋体" w:cs="宋体"/>
          <w:color w:val="000000"/>
          <w:sz w:val="24"/>
          <w:szCs w:val="24"/>
          <w:highlight w:val="yellow"/>
          <w:lang w:eastAsia="zh-CN"/>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2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0"/>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2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7"/>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7"/>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7"/>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6950"/>
      <w:bookmarkStart w:id="7" w:name="_Toc33266627"/>
      <w:bookmarkStart w:id="8" w:name="_Toc33267001"/>
      <w:bookmarkStart w:id="9" w:name="_Toc33265653"/>
      <w:bookmarkStart w:id="10" w:name="_Toc33285487"/>
      <w:bookmarkStart w:id="11" w:name="_Toc33265752"/>
      <w:bookmarkStart w:id="12" w:name="_Toc33266914"/>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65753"/>
      <w:bookmarkStart w:id="15" w:name="_Toc33266628"/>
      <w:bookmarkStart w:id="16" w:name="_Toc33266915"/>
      <w:bookmarkStart w:id="17" w:name="_Toc33285489"/>
      <w:bookmarkStart w:id="18" w:name="_Toc33267002"/>
      <w:bookmarkStart w:id="19" w:name="_Toc33265654"/>
      <w:bookmarkStart w:id="20" w:name="_Toc395116634"/>
      <w:bookmarkStart w:id="21" w:name="_Toc33266951"/>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20"/>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13准备资料，上传完毕后，等待审核</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20"/>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20"/>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）投标人报价均超过投标限价的</w:t>
      </w:r>
      <w:r>
        <w:rPr>
          <w:rFonts w:hint="eastAsia" w:hAnsi="宋体" w:eastAsia="宋体" w:cs="宋体"/>
          <w:color w:val="000000"/>
          <w:sz w:val="24"/>
          <w:szCs w:val="24"/>
          <w:lang w:eastAsia="zh-CN"/>
        </w:rPr>
        <w:t>；</w:t>
      </w:r>
    </w:p>
    <w:p>
      <w:pPr>
        <w:spacing w:line="360" w:lineRule="auto"/>
        <w:ind w:right="2" w:firstLine="480" w:firstLineChars="200"/>
        <w:rPr>
          <w:rFonts w:hint="eastAsia"/>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5"/>
      <w:bookmarkStart w:id="23" w:name="OLE_LINK26"/>
      <w:bookmarkStart w:id="24" w:name="OLE_LINK28"/>
      <w:bookmarkStart w:id="25" w:name="OLE_LINK27"/>
      <w:bookmarkStart w:id="26" w:name="OLE_LINK29"/>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2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pPr>
        <w:pStyle w:val="20"/>
        <w:spacing w:line="360" w:lineRule="auto"/>
        <w:jc w:val="center"/>
        <w:rPr>
          <w:rFonts w:hint="eastAsia" w:ascii="宋体" w:hAnsi="宋体" w:eastAsia="宋体" w:cs="宋体"/>
          <w:b/>
          <w:bCs/>
          <w:kern w:val="44"/>
          <w:sz w:val="24"/>
          <w:szCs w:val="24"/>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20"/>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auto"/>
          <w:sz w:val="24"/>
          <w:szCs w:val="24"/>
          <w:highlight w:val="yellow"/>
        </w:rPr>
        <w:t>包括所代理品牌</w:t>
      </w:r>
      <w:r>
        <w:rPr>
          <w:rFonts w:hint="eastAsia" w:hAnsi="宋体" w:eastAsia="宋体" w:cs="宋体"/>
          <w:color w:val="auto"/>
          <w:sz w:val="24"/>
          <w:szCs w:val="24"/>
          <w:highlight w:val="yellow"/>
          <w:lang w:eastAsia="zh-CN"/>
        </w:rPr>
        <w:t>针对本项目唯一</w:t>
      </w:r>
      <w:r>
        <w:rPr>
          <w:rFonts w:hint="eastAsia" w:hAnsi="宋体" w:eastAsia="宋体" w:cs="宋体"/>
          <w:color w:val="auto"/>
          <w:sz w:val="24"/>
          <w:szCs w:val="24"/>
          <w:highlight w:val="yellow"/>
        </w:rPr>
        <w:t>的授权书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w:t>
      </w:r>
      <w:r>
        <w:rPr>
          <w:rFonts w:hint="eastAsia" w:ascii="宋体" w:hAnsi="宋体" w:eastAsia="宋体" w:cs="宋体"/>
          <w:color w:val="000000"/>
          <w:sz w:val="24"/>
          <w:szCs w:val="24"/>
          <w:lang w:val="en-US" w:eastAsia="zh-CN"/>
        </w:rPr>
        <w:t>22</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四</w:t>
      </w:r>
      <w:r>
        <w:rPr>
          <w:rFonts w:hint="eastAsia" w:ascii="Calibri" w:hAnsi="Calibri" w:eastAsia="宋体" w:cs="Times New Roman"/>
          <w:b/>
          <w:bCs/>
          <w:kern w:val="44"/>
          <w:sz w:val="36"/>
          <w:szCs w:val="44"/>
        </w:rPr>
        <w:t>部分 技术标书</w:t>
      </w:r>
      <w:bookmarkEnd w:id="32"/>
    </w:p>
    <w:p>
      <w:pPr>
        <w:pStyle w:val="20"/>
      </w:pPr>
    </w:p>
    <w:p>
      <w:pPr>
        <w:spacing w:line="360" w:lineRule="auto"/>
        <w:ind w:left="239" w:leftChars="114" w:right="238" w:firstLine="723" w:firstLineChars="200"/>
        <w:jc w:val="both"/>
        <w:rPr>
          <w:rFonts w:hint="eastAsia" w:ascii="Calibri" w:hAnsi="Calibri" w:eastAsia="宋体" w:cs="Times New Roman"/>
          <w:b/>
          <w:bCs/>
          <w:kern w:val="44"/>
          <w:sz w:val="36"/>
          <w:szCs w:val="44"/>
        </w:rPr>
      </w:pPr>
    </w:p>
    <w:p>
      <w:pPr>
        <w:spacing w:line="360" w:lineRule="auto"/>
        <w:ind w:left="239" w:leftChars="114" w:right="238" w:firstLine="723" w:firstLineChars="200"/>
        <w:jc w:val="both"/>
        <w:rPr>
          <w:rFonts w:hint="eastAsia" w:ascii="Calibri" w:hAnsi="Calibri" w:eastAsia="宋体" w:cs="Times New Roman"/>
          <w:b/>
          <w:bCs/>
          <w:kern w:val="44"/>
          <w:sz w:val="36"/>
          <w:szCs w:val="44"/>
        </w:rPr>
      </w:pPr>
    </w:p>
    <w:p>
      <w:pPr>
        <w:spacing w:line="360" w:lineRule="auto"/>
        <w:ind w:left="239" w:leftChars="114" w:right="238" w:firstLine="723" w:firstLineChars="200"/>
        <w:jc w:val="both"/>
        <w:rPr>
          <w:rFonts w:hint="eastAsia" w:ascii="Calibri" w:hAnsi="Calibri" w:eastAsia="宋体" w:cs="Times New Roman"/>
          <w:b/>
          <w:bCs/>
          <w:kern w:val="44"/>
          <w:sz w:val="36"/>
          <w:szCs w:val="44"/>
        </w:rPr>
      </w:pPr>
    </w:p>
    <w:p>
      <w:pPr>
        <w:spacing w:line="360" w:lineRule="auto"/>
        <w:ind w:left="239" w:leftChars="114" w:right="238" w:firstLine="723" w:firstLineChars="200"/>
        <w:jc w:val="both"/>
        <w:rPr>
          <w:rFonts w:hint="eastAsia" w:ascii="Calibri" w:hAnsi="Calibri" w:eastAsia="宋体" w:cs="Times New Roman"/>
          <w:b/>
          <w:bCs/>
          <w:kern w:val="44"/>
          <w:sz w:val="36"/>
          <w:szCs w:val="44"/>
        </w:rPr>
      </w:pPr>
    </w:p>
    <w:p>
      <w:pPr>
        <w:spacing w:line="360" w:lineRule="auto"/>
        <w:ind w:left="239" w:leftChars="114" w:right="238" w:firstLine="723"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Calibri" w:hAnsi="Calibri" w:eastAsia="宋体" w:cs="Times New Roman"/>
          <w:b/>
          <w:bCs/>
          <w:kern w:val="44"/>
          <w:sz w:val="36"/>
          <w:szCs w:val="44"/>
        </w:rPr>
        <w:t>济南成型厂废水站环保合规性改造提升技改项目</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p>
      <w:pPr>
        <w:spacing w:line="240" w:lineRule="auto"/>
        <w:ind w:firstLine="0"/>
        <w:jc w:val="center"/>
        <w:rPr>
          <w:rFonts w:hint="eastAsia" w:ascii="黑体" w:eastAsia="黑体"/>
          <w:b w:val="0"/>
          <w:bCs w:val="0"/>
          <w:color w:val="000000" w:themeColor="text1"/>
          <w:spacing w:val="0"/>
          <w:sz w:val="72"/>
          <w:szCs w:val="72"/>
          <w:highlight w:val="none"/>
          <w14:textFill>
            <w14:solidFill>
              <w14:schemeClr w14:val="tx1"/>
            </w14:solidFill>
          </w14:textFill>
        </w:rPr>
      </w:pPr>
    </w:p>
    <w:p>
      <w:pPr>
        <w:spacing w:line="240" w:lineRule="auto"/>
        <w:ind w:firstLine="0"/>
        <w:jc w:val="center"/>
        <w:rPr>
          <w:rFonts w:hint="eastAsia" w:ascii="黑体" w:eastAsia="黑体"/>
          <w:b w:val="0"/>
          <w:bCs w:val="0"/>
          <w:color w:val="000000" w:themeColor="text1"/>
          <w:spacing w:val="0"/>
          <w:sz w:val="72"/>
          <w:szCs w:val="72"/>
          <w:highlight w:val="none"/>
          <w14:textFill>
            <w14:solidFill>
              <w14:schemeClr w14:val="tx1"/>
            </w14:solidFill>
          </w14:textFill>
        </w:rPr>
      </w:pPr>
    </w:p>
    <w:p>
      <w:pPr>
        <w:spacing w:line="240" w:lineRule="auto"/>
        <w:ind w:firstLine="0"/>
        <w:jc w:val="center"/>
        <w:rPr>
          <w:rFonts w:ascii="黑体" w:eastAsia="黑体"/>
          <w:b w:val="0"/>
          <w:bCs w:val="0"/>
          <w:color w:val="000000" w:themeColor="text1"/>
          <w:spacing w:val="0"/>
          <w:sz w:val="72"/>
          <w:szCs w:val="72"/>
          <w:highlight w:val="none"/>
          <w14:textFill>
            <w14:solidFill>
              <w14:schemeClr w14:val="tx1"/>
            </w14:solidFill>
          </w14:textFill>
        </w:rPr>
      </w:pPr>
      <w:r>
        <w:rPr>
          <w:rFonts w:hint="eastAsia" w:ascii="黑体" w:eastAsia="黑体"/>
          <w:b w:val="0"/>
          <w:bCs w:val="0"/>
          <w:color w:val="000000" w:themeColor="text1"/>
          <w:spacing w:val="0"/>
          <w:sz w:val="72"/>
          <w:szCs w:val="72"/>
          <w:highlight w:val="none"/>
          <w14:textFill>
            <w14:solidFill>
              <w14:schemeClr w14:val="tx1"/>
            </w14:solidFill>
          </w14:textFill>
        </w:rPr>
        <w:t>技术标书</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p>
      <w:pPr>
        <w:pStyle w:val="106"/>
        <w:ind w:left="274"/>
        <w:rPr>
          <w:color w:val="000000" w:themeColor="text1"/>
          <w:highlight w:val="none"/>
          <w14:textFill>
            <w14:solidFill>
              <w14:schemeClr w14:val="tx1"/>
            </w14:solidFill>
          </w14:textFill>
        </w:rPr>
      </w:pPr>
    </w:p>
    <w:p>
      <w:pPr>
        <w:spacing w:line="860" w:lineRule="exact"/>
        <w:ind w:left="274" w:firstLine="64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 xml:space="preserve">                 </w:t>
      </w:r>
      <w:r>
        <w:rPr>
          <w:rFonts w:hint="eastAsia" w:ascii="华文仿宋" w:hAnsi="华文仿宋" w:eastAsia="华文仿宋" w:cstheme="minorBidi"/>
          <w:color w:val="000000" w:themeColor="text1"/>
          <w:spacing w:val="0"/>
          <w:sz w:val="32"/>
          <w:szCs w:val="28"/>
          <w:highlight w:val="none"/>
          <w14:textFill>
            <w14:solidFill>
              <w14:schemeClr w14:val="tx1"/>
            </w14:solidFill>
          </w14:textFill>
        </w:rPr>
        <w:t xml:space="preserve">   </w:t>
      </w:r>
      <w:r>
        <w:rPr>
          <w:rFonts w:hint="eastAsia" w:ascii="宋体" w:cs="宋体"/>
          <w:b w:val="0"/>
          <w:bCs w:val="0"/>
          <w:color w:val="000000" w:themeColor="text1"/>
          <w:spacing w:val="0"/>
          <w:sz w:val="24"/>
          <w:szCs w:val="24"/>
          <w:highlight w:val="none"/>
          <w14:textFill>
            <w14:solidFill>
              <w14:schemeClr w14:val="tx1"/>
            </w14:solidFill>
          </w14:textFill>
        </w:rPr>
        <w:t xml:space="preserve">  </w:t>
      </w:r>
    </w:p>
    <w:p>
      <w:pPr>
        <w:spacing w:line="360" w:lineRule="auto"/>
        <w:ind w:left="274" w:right="238" w:firstLine="482"/>
        <w:jc w:val="both"/>
        <w:rPr>
          <w:rFonts w:ascii="宋体" w:cs="宋体"/>
          <w:b w:val="0"/>
          <w:bCs w:val="0"/>
          <w:color w:val="000000" w:themeColor="text1"/>
          <w:spacing w:val="0"/>
          <w:sz w:val="24"/>
          <w:szCs w:val="24"/>
          <w:highlight w:val="none"/>
          <w14:textFill>
            <w14:solidFill>
              <w14:schemeClr w14:val="tx1"/>
            </w14:solidFill>
          </w14:textFill>
        </w:rPr>
      </w:pPr>
    </w:p>
    <w:p>
      <w:pPr>
        <w:spacing w:line="240" w:lineRule="auto"/>
        <w:ind w:left="274" w:leftChars="0" w:hanging="274" w:firstLineChars="0"/>
        <w:jc w:val="center"/>
        <w:rPr>
          <w:rFonts w:ascii="宋体"/>
          <w:b w:val="0"/>
          <w:bCs w:val="0"/>
          <w:color w:val="000000" w:themeColor="text1"/>
          <w:spacing w:val="0"/>
          <w:sz w:val="28"/>
          <w:szCs w:val="28"/>
          <w:highlight w:val="none"/>
          <w14:textFill>
            <w14:solidFill>
              <w14:schemeClr w14:val="tx1"/>
            </w14:solidFill>
          </w14:textFill>
        </w:rPr>
      </w:pPr>
      <w:r>
        <w:rPr>
          <w:rFonts w:hint="eastAsia" w:ascii="宋体"/>
          <w:b w:val="0"/>
          <w:bCs w:val="0"/>
          <w:color w:val="000000" w:themeColor="text1"/>
          <w:spacing w:val="0"/>
          <w:sz w:val="28"/>
          <w:szCs w:val="28"/>
          <w:highlight w:val="none"/>
          <w14:textFill>
            <w14:solidFill>
              <w14:schemeClr w14:val="tx1"/>
            </w14:solidFill>
          </w14:textFill>
        </w:rPr>
        <w:t>招</w:t>
      </w:r>
      <w:r>
        <w:rPr>
          <w:rFonts w:ascii="宋体"/>
          <w:b w:val="0"/>
          <w:bCs w:val="0"/>
          <w:color w:val="000000" w:themeColor="text1"/>
          <w:spacing w:val="0"/>
          <w:sz w:val="28"/>
          <w:szCs w:val="28"/>
          <w:highlight w:val="none"/>
          <w14:textFill>
            <w14:solidFill>
              <w14:schemeClr w14:val="tx1"/>
            </w14:solidFill>
          </w14:textFill>
        </w:rPr>
        <w:t xml:space="preserve"> </w:t>
      </w:r>
      <w:r>
        <w:rPr>
          <w:rFonts w:hint="eastAsia" w:ascii="宋体"/>
          <w:b w:val="0"/>
          <w:bCs w:val="0"/>
          <w:color w:val="000000" w:themeColor="text1"/>
          <w:spacing w:val="0"/>
          <w:sz w:val="28"/>
          <w:szCs w:val="28"/>
          <w:highlight w:val="none"/>
          <w14:textFill>
            <w14:solidFill>
              <w14:schemeClr w14:val="tx1"/>
            </w14:solidFill>
          </w14:textFill>
        </w:rPr>
        <w:t>标</w:t>
      </w:r>
      <w:r>
        <w:rPr>
          <w:rFonts w:ascii="宋体"/>
          <w:b w:val="0"/>
          <w:bCs w:val="0"/>
          <w:color w:val="000000" w:themeColor="text1"/>
          <w:spacing w:val="0"/>
          <w:sz w:val="28"/>
          <w:szCs w:val="28"/>
          <w:highlight w:val="none"/>
          <w14:textFill>
            <w14:solidFill>
              <w14:schemeClr w14:val="tx1"/>
            </w14:solidFill>
          </w14:textFill>
        </w:rPr>
        <w:t xml:space="preserve"> </w:t>
      </w:r>
      <w:r>
        <w:rPr>
          <w:rFonts w:hint="eastAsia" w:ascii="宋体"/>
          <w:b w:val="0"/>
          <w:bCs w:val="0"/>
          <w:color w:val="000000" w:themeColor="text1"/>
          <w:spacing w:val="0"/>
          <w:sz w:val="28"/>
          <w:szCs w:val="28"/>
          <w:highlight w:val="none"/>
          <w14:textFill>
            <w14:solidFill>
              <w14:schemeClr w14:val="tx1"/>
            </w14:solidFill>
          </w14:textFill>
        </w:rPr>
        <w:t>人：中国重汽集团济南动力有限公司</w:t>
      </w:r>
    </w:p>
    <w:p>
      <w:pPr>
        <w:spacing w:line="240" w:lineRule="auto"/>
        <w:ind w:left="274" w:leftChars="0" w:hanging="274" w:firstLineChars="0"/>
        <w:jc w:val="center"/>
        <w:rPr>
          <w:rFonts w:hAnsi="Calibri"/>
          <w:b w:val="0"/>
          <w:bCs w:val="0"/>
          <w:color w:val="000000" w:themeColor="text1"/>
          <w:spacing w:val="0"/>
          <w:sz w:val="28"/>
          <w:szCs w:val="28"/>
          <w:highlight w:val="none"/>
          <w14:textFill>
            <w14:solidFill>
              <w14:schemeClr w14:val="tx1"/>
            </w14:solidFill>
          </w14:textFill>
        </w:rPr>
      </w:pPr>
      <w:r>
        <w:rPr>
          <w:rFonts w:hAnsi="Calibri"/>
          <w:b w:val="0"/>
          <w:bCs w:val="0"/>
          <w:color w:val="000000" w:themeColor="text1"/>
          <w:spacing w:val="0"/>
          <w:sz w:val="28"/>
          <w:szCs w:val="28"/>
          <w:highlight w:val="none"/>
          <w14:textFill>
            <w14:solidFill>
              <w14:schemeClr w14:val="tx1"/>
            </w14:solidFill>
          </w14:textFill>
        </w:rPr>
        <w:t>202</w:t>
      </w:r>
      <w:r>
        <w:rPr>
          <w:rFonts w:hint="eastAsia" w:hAnsi="Calibri"/>
          <w:b w:val="0"/>
          <w:bCs w:val="0"/>
          <w:color w:val="000000" w:themeColor="text1"/>
          <w:spacing w:val="0"/>
          <w:sz w:val="28"/>
          <w:szCs w:val="28"/>
          <w:highlight w:val="none"/>
          <w14:textFill>
            <w14:solidFill>
              <w14:schemeClr w14:val="tx1"/>
            </w14:solidFill>
          </w14:textFill>
        </w:rPr>
        <w:t>5年0</w:t>
      </w:r>
      <w:r>
        <w:rPr>
          <w:rFonts w:hint="eastAsia" w:hAnsi="Calibri"/>
          <w:b w:val="0"/>
          <w:bCs w:val="0"/>
          <w:color w:val="000000" w:themeColor="text1"/>
          <w:spacing w:val="0"/>
          <w:sz w:val="28"/>
          <w:szCs w:val="28"/>
          <w:highlight w:val="none"/>
          <w:lang w:val="en-US" w:eastAsia="zh-CN"/>
          <w14:textFill>
            <w14:solidFill>
              <w14:schemeClr w14:val="tx1"/>
            </w14:solidFill>
          </w14:textFill>
        </w:rPr>
        <w:t>4</w:t>
      </w:r>
      <w:r>
        <w:rPr>
          <w:rFonts w:hint="eastAsia" w:hAnsi="Calibri"/>
          <w:b w:val="0"/>
          <w:bCs w:val="0"/>
          <w:color w:val="000000" w:themeColor="text1"/>
          <w:spacing w:val="0"/>
          <w:sz w:val="28"/>
          <w:szCs w:val="28"/>
          <w:highlight w:val="none"/>
          <w14:textFill>
            <w14:solidFill>
              <w14:schemeClr w14:val="tx1"/>
            </w14:solidFill>
          </w14:textFill>
        </w:rPr>
        <w:t>月</w:t>
      </w:r>
    </w:p>
    <w:p>
      <w:pPr>
        <w:spacing w:line="360" w:lineRule="auto"/>
        <w:ind w:left="274" w:right="238" w:firstLine="482"/>
        <w:jc w:val="both"/>
        <w:rPr>
          <w:rFonts w:ascii="宋体" w:cs="宋体"/>
          <w:b w:val="0"/>
          <w:bCs w:val="0"/>
          <w:color w:val="000000" w:themeColor="text1"/>
          <w:spacing w:val="0"/>
          <w:sz w:val="24"/>
          <w:szCs w:val="24"/>
          <w:highlight w:val="none"/>
          <w14:textFill>
            <w14:solidFill>
              <w14:schemeClr w14:val="tx1"/>
            </w14:solidFill>
          </w14:textFill>
        </w:rPr>
      </w:pPr>
    </w:p>
    <w:p>
      <w:pPr>
        <w:ind w:left="274"/>
        <w:rPr>
          <w:rFonts w:ascii="宋体" w:cs="宋体"/>
          <w:color w:val="000000" w:themeColor="text1"/>
          <w:sz w:val="24"/>
          <w:szCs w:val="24"/>
          <w:highlight w:val="none"/>
          <w14:textFill>
            <w14:solidFill>
              <w14:schemeClr w14:val="tx1"/>
            </w14:solidFill>
          </w14:textFill>
        </w:rPr>
      </w:pPr>
    </w:p>
    <w:p>
      <w:pPr>
        <w:ind w:left="274"/>
        <w:rPr>
          <w:rFonts w:ascii="宋体" w:cs="宋体"/>
          <w:color w:val="000000" w:themeColor="text1"/>
          <w:sz w:val="24"/>
          <w:szCs w:val="24"/>
          <w:highlight w:val="none"/>
          <w14:textFill>
            <w14:solidFill>
              <w14:schemeClr w14:val="tx1"/>
            </w14:solidFill>
          </w14:textFill>
        </w:rPr>
        <w:sectPr>
          <w:footerReference r:id="rId9" w:type="default"/>
          <w:pgSz w:w="11907" w:h="16840"/>
          <w:pgMar w:top="1304" w:right="1418" w:bottom="1304" w:left="1418" w:header="724" w:footer="851" w:gutter="0"/>
          <w:cols w:space="720" w:num="1"/>
          <w:docGrid w:linePitch="290" w:charSpace="-3931"/>
        </w:sectPr>
      </w:pPr>
    </w:p>
    <w:p>
      <w:pPr>
        <w:keepNext/>
        <w:keepLines/>
        <w:spacing w:before="120" w:after="120" w:line="480" w:lineRule="exact"/>
        <w:ind w:left="274" w:leftChars="0" w:hanging="274" w:firstLineChars="0"/>
        <w:jc w:val="center"/>
        <w:outlineLvl w:val="1"/>
        <w:rPr>
          <w:rFonts w:ascii="宋体"/>
          <w:color w:val="000000" w:themeColor="text1"/>
          <w:spacing w:val="0"/>
          <w:kern w:val="44"/>
          <w:sz w:val="28"/>
          <w:szCs w:val="28"/>
          <w:highlight w:val="none"/>
          <w14:textFill>
            <w14:solidFill>
              <w14:schemeClr w14:val="tx1"/>
            </w14:solidFill>
          </w14:textFill>
        </w:rPr>
      </w:pPr>
      <w:bookmarkStart w:id="33" w:name="_Toc169605877"/>
      <w:r>
        <w:rPr>
          <w:rFonts w:hint="eastAsia" w:ascii="宋体"/>
          <w:color w:val="000000" w:themeColor="text1"/>
          <w:spacing w:val="0"/>
          <w:kern w:val="44"/>
          <w:sz w:val="28"/>
          <w:szCs w:val="28"/>
          <w:highlight w:val="none"/>
          <w14:textFill>
            <w14:solidFill>
              <w14:schemeClr w14:val="tx1"/>
            </w14:solidFill>
          </w14:textFill>
        </w:rPr>
        <w:t>第一章</w:t>
      </w:r>
      <w:r>
        <w:rPr>
          <w:rFonts w:ascii="宋体"/>
          <w:color w:val="000000" w:themeColor="text1"/>
          <w:spacing w:val="0"/>
          <w:kern w:val="44"/>
          <w:sz w:val="28"/>
          <w:szCs w:val="28"/>
          <w:highlight w:val="none"/>
          <w14:textFill>
            <w14:solidFill>
              <w14:schemeClr w14:val="tx1"/>
            </w14:solidFill>
          </w14:textFill>
        </w:rPr>
        <w:t xml:space="preserve">  </w:t>
      </w:r>
      <w:r>
        <w:rPr>
          <w:rFonts w:hint="eastAsia" w:ascii="宋体"/>
          <w:color w:val="000000" w:themeColor="text1"/>
          <w:spacing w:val="0"/>
          <w:kern w:val="44"/>
          <w:sz w:val="28"/>
          <w:szCs w:val="28"/>
          <w:highlight w:val="none"/>
          <w14:textFill>
            <w14:solidFill>
              <w14:schemeClr w14:val="tx1"/>
            </w14:solidFill>
          </w14:textFill>
        </w:rPr>
        <w:t>采购货物概况</w:t>
      </w:r>
      <w:bookmarkEnd w:id="33"/>
    </w:p>
    <w:p>
      <w:pPr>
        <w:pStyle w:val="106"/>
        <w:ind w:left="274"/>
        <w:rPr>
          <w:color w:val="000000" w:themeColor="text1"/>
          <w:highlight w:val="none"/>
          <w14:textFill>
            <w14:solidFill>
              <w14:schemeClr w14:val="tx1"/>
            </w14:solidFill>
          </w14:textFill>
        </w:rPr>
      </w:pPr>
      <w:bookmarkStart w:id="34" w:name="_Toc169605878"/>
      <w:r>
        <w:rPr>
          <w:rFonts w:hint="eastAsia"/>
          <w:color w:val="000000" w:themeColor="text1"/>
          <w:highlight w:val="none"/>
          <w14:textFill>
            <w14:solidFill>
              <w14:schemeClr w14:val="tx1"/>
            </w14:solidFill>
          </w14:textFill>
        </w:rPr>
        <w:t>第一节</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使用环境</w:t>
      </w:r>
      <w:bookmarkEnd w:id="34"/>
    </w:p>
    <w:p>
      <w:pPr>
        <w:spacing w:line="360" w:lineRule="auto"/>
        <w:ind w:left="69" w:leftChars="33" w:right="238" w:firstLine="424" w:firstLineChars="177"/>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一、项目名称：</w:t>
      </w:r>
      <w:r>
        <w:rPr>
          <w:rFonts w:hint="eastAsia" w:ascii="宋体" w:cs="宋体"/>
          <w:b w:val="0"/>
          <w:bCs w:val="0"/>
          <w:color w:val="000000" w:themeColor="text1"/>
          <w:spacing w:val="0"/>
          <w:sz w:val="24"/>
          <w:szCs w:val="24"/>
          <w:highlight w:val="none"/>
          <w:u w:val="single"/>
          <w14:textFill>
            <w14:solidFill>
              <w14:schemeClr w14:val="tx1"/>
            </w14:solidFill>
          </w14:textFill>
        </w:rPr>
        <w:t>成型厂废水站合规性改造提升招标项目</w:t>
      </w:r>
    </w:p>
    <w:p>
      <w:pPr>
        <w:spacing w:line="360" w:lineRule="auto"/>
        <w:ind w:left="69" w:leftChars="33" w:right="238" w:firstLine="424" w:firstLineChars="177"/>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二、建设地点：</w:t>
      </w:r>
      <w:r>
        <w:rPr>
          <w:rFonts w:hint="eastAsia" w:ascii="宋体" w:cs="宋体"/>
          <w:b w:val="0"/>
          <w:bCs w:val="0"/>
          <w:color w:val="000000" w:themeColor="text1"/>
          <w:spacing w:val="0"/>
          <w:sz w:val="24"/>
          <w:szCs w:val="24"/>
          <w:highlight w:val="none"/>
          <w:u w:val="single"/>
          <w14:textFill>
            <w14:solidFill>
              <w14:schemeClr w14:val="tx1"/>
            </w14:solidFill>
          </w14:textFill>
        </w:rPr>
        <w:t>济南市章丘区圣井世纪大道6677号（重汽成型厂）</w:t>
      </w:r>
    </w:p>
    <w:p>
      <w:pPr>
        <w:spacing w:line="360" w:lineRule="auto"/>
        <w:ind w:left="69" w:leftChars="33" w:right="238" w:firstLine="424" w:firstLineChars="177"/>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三、使用地点：</w:t>
      </w:r>
      <w:r>
        <w:rPr>
          <w:rFonts w:hint="eastAsia" w:ascii="宋体" w:cs="宋体"/>
          <w:b w:val="0"/>
          <w:bCs w:val="0"/>
          <w:color w:val="000000" w:themeColor="text1"/>
          <w:spacing w:val="0"/>
          <w:sz w:val="24"/>
          <w:szCs w:val="24"/>
          <w:highlight w:val="none"/>
          <w:u w:val="single"/>
          <w14:textFill>
            <w14:solidFill>
              <w14:schemeClr w14:val="tx1"/>
            </w14:solidFill>
          </w14:textFill>
        </w:rPr>
        <w:t>济南市章丘区圣井世纪大道6677号（重汽成型厂）</w:t>
      </w:r>
    </w:p>
    <w:p>
      <w:pPr>
        <w:spacing w:line="360" w:lineRule="auto"/>
        <w:ind w:left="69" w:leftChars="33" w:right="238" w:firstLine="424" w:firstLineChars="177"/>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四、工作制度：全年工作</w:t>
      </w:r>
      <w:r>
        <w:rPr>
          <w:rFonts w:hint="eastAsia" w:ascii="宋体" w:cs="宋体"/>
          <w:b w:val="0"/>
          <w:bCs w:val="0"/>
          <w:color w:val="000000" w:themeColor="text1"/>
          <w:spacing w:val="0"/>
          <w:sz w:val="24"/>
          <w:szCs w:val="24"/>
          <w:highlight w:val="none"/>
          <w:u w:val="single"/>
          <w14:textFill>
            <w14:solidFill>
              <w14:schemeClr w14:val="tx1"/>
            </w14:solidFill>
          </w14:textFill>
        </w:rPr>
        <w:t>365</w:t>
      </w:r>
      <w:r>
        <w:rPr>
          <w:rFonts w:hint="eastAsia" w:ascii="宋体" w:cs="宋体"/>
          <w:b w:val="0"/>
          <w:bCs w:val="0"/>
          <w:color w:val="000000" w:themeColor="text1"/>
          <w:spacing w:val="0"/>
          <w:sz w:val="24"/>
          <w:szCs w:val="24"/>
          <w:highlight w:val="none"/>
          <w14:textFill>
            <w14:solidFill>
              <w14:schemeClr w14:val="tx1"/>
            </w14:solidFill>
          </w14:textFill>
        </w:rPr>
        <w:t xml:space="preserve">天、 </w:t>
      </w:r>
      <w:r>
        <w:rPr>
          <w:rFonts w:hint="eastAsia" w:ascii="宋体" w:cs="宋体"/>
          <w:b w:val="0"/>
          <w:bCs w:val="0"/>
          <w:color w:val="000000" w:themeColor="text1"/>
          <w:spacing w:val="0"/>
          <w:sz w:val="24"/>
          <w:szCs w:val="24"/>
          <w:highlight w:val="none"/>
          <w:u w:val="single"/>
          <w14:textFill>
            <w14:solidFill>
              <w14:schemeClr w14:val="tx1"/>
            </w14:solidFill>
          </w14:textFill>
        </w:rPr>
        <w:t xml:space="preserve">三 </w:t>
      </w:r>
      <w:r>
        <w:rPr>
          <w:rFonts w:hint="eastAsia" w:ascii="宋体" w:cs="宋体"/>
          <w:b w:val="0"/>
          <w:bCs w:val="0"/>
          <w:color w:val="000000" w:themeColor="text1"/>
          <w:spacing w:val="0"/>
          <w:sz w:val="24"/>
          <w:szCs w:val="24"/>
          <w:highlight w:val="none"/>
          <w14:textFill>
            <w14:solidFill>
              <w14:schemeClr w14:val="tx1"/>
            </w14:solidFill>
          </w14:textFill>
        </w:rPr>
        <w:t>班制、设备年时基数</w:t>
      </w:r>
      <w:r>
        <w:rPr>
          <w:rFonts w:hint="eastAsia" w:ascii="宋体" w:cs="宋体"/>
          <w:b w:val="0"/>
          <w:bCs w:val="0"/>
          <w:color w:val="000000" w:themeColor="text1"/>
          <w:spacing w:val="0"/>
          <w:sz w:val="24"/>
          <w:szCs w:val="24"/>
          <w:highlight w:val="none"/>
          <w:u w:val="single"/>
          <w14:textFill>
            <w14:solidFill>
              <w14:schemeClr w14:val="tx1"/>
            </w14:solidFill>
          </w14:textFill>
        </w:rPr>
        <w:t>8760</w:t>
      </w:r>
      <w:r>
        <w:rPr>
          <w:rFonts w:hint="eastAsia" w:ascii="宋体" w:cs="宋体"/>
          <w:b w:val="0"/>
          <w:bCs w:val="0"/>
          <w:color w:val="000000" w:themeColor="text1"/>
          <w:spacing w:val="0"/>
          <w:sz w:val="24"/>
          <w:szCs w:val="24"/>
          <w:highlight w:val="none"/>
          <w14:textFill>
            <w14:solidFill>
              <w14:schemeClr w14:val="tx1"/>
            </w14:solidFill>
          </w14:textFill>
        </w:rPr>
        <w:t>小时</w:t>
      </w:r>
    </w:p>
    <w:p>
      <w:pPr>
        <w:spacing w:line="360" w:lineRule="auto"/>
        <w:ind w:left="69" w:leftChars="33" w:right="238" w:firstLine="424" w:firstLineChars="177"/>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五、使用地点区域自然环境：</w:t>
      </w:r>
    </w:p>
    <w:p>
      <w:pPr>
        <w:spacing w:line="360" w:lineRule="auto"/>
        <w:ind w:left="69" w:leftChars="33" w:right="238" w:firstLine="664" w:firstLineChars="277"/>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1.海拔高度：</w:t>
      </w:r>
      <w:r>
        <w:rPr>
          <w:rFonts w:ascii="宋体" w:cs="宋体"/>
          <w:b w:val="0"/>
          <w:bCs w:val="0"/>
          <w:color w:val="000000" w:themeColor="text1"/>
          <w:spacing w:val="0"/>
          <w:sz w:val="24"/>
          <w:szCs w:val="24"/>
          <w:highlight w:val="none"/>
          <w14:textFill>
            <w14:solidFill>
              <w14:schemeClr w14:val="tx1"/>
            </w14:solidFill>
          </w14:textFill>
        </w:rPr>
        <w:t>5500</w:t>
      </w:r>
      <w:r>
        <w:rPr>
          <w:rFonts w:hint="eastAsia" w:ascii="宋体" w:cs="宋体"/>
          <w:b w:val="0"/>
          <w:bCs w:val="0"/>
          <w:color w:val="000000" w:themeColor="text1"/>
          <w:spacing w:val="0"/>
          <w:sz w:val="24"/>
          <w:szCs w:val="24"/>
          <w:highlight w:val="none"/>
          <w14:textFill>
            <w14:solidFill>
              <w14:schemeClr w14:val="tx1"/>
            </w14:solidFill>
          </w14:textFill>
        </w:rPr>
        <w:t>m以下。</w:t>
      </w:r>
    </w:p>
    <w:p>
      <w:pPr>
        <w:spacing w:line="360" w:lineRule="auto"/>
        <w:ind w:left="69" w:leftChars="33" w:right="238" w:firstLine="664" w:firstLineChars="277"/>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2.环境温度：室外极端最低温度-</w:t>
      </w:r>
      <w:r>
        <w:rPr>
          <w:rFonts w:ascii="宋体" w:cs="宋体"/>
          <w:b w:val="0"/>
          <w:bCs w:val="0"/>
          <w:color w:val="000000" w:themeColor="text1"/>
          <w:spacing w:val="0"/>
          <w:sz w:val="24"/>
          <w:szCs w:val="24"/>
          <w:highlight w:val="none"/>
          <w14:textFill>
            <w14:solidFill>
              <w14:schemeClr w14:val="tx1"/>
            </w14:solidFill>
          </w14:textFill>
        </w:rPr>
        <w:t>20</w:t>
      </w:r>
      <w:r>
        <w:rPr>
          <w:rFonts w:hint="eastAsia" w:ascii="宋体" w:cs="宋体"/>
          <w:b w:val="0"/>
          <w:bCs w:val="0"/>
          <w:color w:val="000000" w:themeColor="text1"/>
          <w:spacing w:val="0"/>
          <w:sz w:val="24"/>
          <w:szCs w:val="24"/>
          <w:highlight w:val="none"/>
          <w14:textFill>
            <w14:solidFill>
              <w14:schemeClr w14:val="tx1"/>
            </w14:solidFill>
          </w14:textFill>
        </w:rPr>
        <w:t>℃、极端最高温度7</w:t>
      </w:r>
      <w:r>
        <w:rPr>
          <w:rFonts w:ascii="宋体" w:cs="宋体"/>
          <w:b w:val="0"/>
          <w:bCs w:val="0"/>
          <w:color w:val="000000" w:themeColor="text1"/>
          <w:spacing w:val="0"/>
          <w:sz w:val="24"/>
          <w:szCs w:val="24"/>
          <w:highlight w:val="none"/>
          <w14:textFill>
            <w14:solidFill>
              <w14:schemeClr w14:val="tx1"/>
            </w14:solidFill>
          </w14:textFill>
        </w:rPr>
        <w:t>0</w:t>
      </w:r>
      <w:r>
        <w:rPr>
          <w:rFonts w:hint="eastAsia" w:ascii="宋体" w:cs="宋体"/>
          <w:b w:val="0"/>
          <w:bCs w:val="0"/>
          <w:color w:val="000000" w:themeColor="text1"/>
          <w:spacing w:val="0"/>
          <w:sz w:val="24"/>
          <w:szCs w:val="24"/>
          <w:highlight w:val="none"/>
          <w14:textFill>
            <w14:solidFill>
              <w14:schemeClr w14:val="tx1"/>
            </w14:solidFill>
          </w14:textFill>
        </w:rPr>
        <w:t>℃。</w:t>
      </w:r>
    </w:p>
    <w:p>
      <w:pPr>
        <w:spacing w:line="360" w:lineRule="auto"/>
        <w:ind w:left="69" w:leftChars="33" w:right="238" w:firstLine="664" w:firstLineChars="277"/>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3.相对湿度：最大95%、最小15%。</w:t>
      </w:r>
    </w:p>
    <w:p>
      <w:pPr>
        <w:keepNext/>
        <w:keepLines/>
        <w:spacing w:before="120" w:after="120" w:line="480" w:lineRule="exact"/>
        <w:ind w:left="274" w:firstLine="480"/>
        <w:outlineLvl w:val="2"/>
        <w:rPr>
          <w:rFonts w:ascii="Arial" w:hAnsi="Arial"/>
          <w:color w:val="000000" w:themeColor="text1"/>
          <w:spacing w:val="0"/>
          <w:sz w:val="24"/>
          <w:szCs w:val="24"/>
          <w:highlight w:val="none"/>
          <w14:textFill>
            <w14:solidFill>
              <w14:schemeClr w14:val="tx1"/>
            </w14:solidFill>
          </w14:textFill>
        </w:rPr>
      </w:pPr>
      <w:r>
        <w:rPr>
          <w:rFonts w:hint="eastAsia" w:ascii="Arial" w:hAnsi="Arial"/>
          <w:color w:val="000000" w:themeColor="text1"/>
          <w:spacing w:val="0"/>
          <w:sz w:val="24"/>
          <w:szCs w:val="24"/>
          <w:highlight w:val="none"/>
          <w14:textFill>
            <w14:solidFill>
              <w14:schemeClr w14:val="tx1"/>
            </w14:solidFill>
          </w14:textFill>
        </w:rPr>
        <w:t>第二节</w:t>
      </w:r>
      <w:r>
        <w:rPr>
          <w:rFonts w:ascii="Arial" w:hAnsi="Arial"/>
          <w:color w:val="000000" w:themeColor="text1"/>
          <w:spacing w:val="0"/>
          <w:sz w:val="24"/>
          <w:szCs w:val="24"/>
          <w:highlight w:val="none"/>
          <w14:textFill>
            <w14:solidFill>
              <w14:schemeClr w14:val="tx1"/>
            </w14:solidFill>
          </w14:textFill>
        </w:rPr>
        <w:t xml:space="preserve">  </w:t>
      </w:r>
      <w:r>
        <w:rPr>
          <w:rFonts w:hint="eastAsia" w:ascii="Arial" w:hAnsi="Arial"/>
          <w:color w:val="000000" w:themeColor="text1"/>
          <w:spacing w:val="0"/>
          <w:sz w:val="24"/>
          <w:szCs w:val="24"/>
          <w:highlight w:val="none"/>
          <w14:textFill>
            <w14:solidFill>
              <w14:schemeClr w14:val="tx1"/>
            </w14:solidFill>
          </w14:textFill>
        </w:rPr>
        <w:t>采购货物概况</w:t>
      </w:r>
    </w:p>
    <w:p>
      <w:pPr>
        <w:spacing w:line="360" w:lineRule="auto"/>
        <w:ind w:left="69" w:leftChars="33" w:right="238" w:firstLine="424" w:firstLineChars="177"/>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一、货物名称：</w:t>
      </w:r>
      <w:r>
        <w:rPr>
          <w:rFonts w:hint="eastAsia" w:ascii="宋体" w:cs="宋体"/>
          <w:b w:val="0"/>
          <w:bCs w:val="0"/>
          <w:color w:val="000000" w:themeColor="text1"/>
          <w:spacing w:val="0"/>
          <w:sz w:val="24"/>
          <w:szCs w:val="24"/>
          <w:highlight w:val="none"/>
          <w:u w:val="single"/>
          <w14:textFill>
            <w14:solidFill>
              <w14:schemeClr w14:val="tx1"/>
            </w14:solidFill>
          </w14:textFill>
        </w:rPr>
        <w:t>废水站合规性改造提升</w:t>
      </w:r>
      <w:r>
        <w:rPr>
          <w:rFonts w:hint="eastAsia" w:ascii="宋体" w:cs="宋体"/>
          <w:b w:val="0"/>
          <w:bCs w:val="0"/>
          <w:color w:val="000000" w:themeColor="text1"/>
          <w:spacing w:val="0"/>
          <w:sz w:val="24"/>
          <w:szCs w:val="24"/>
          <w:highlight w:val="none"/>
          <w14:textFill>
            <w14:solidFill>
              <w14:schemeClr w14:val="tx1"/>
            </w14:solidFill>
          </w14:textFill>
        </w:rPr>
        <w:t>（详见下表）</w:t>
      </w:r>
    </w:p>
    <w:p>
      <w:pPr>
        <w:spacing w:line="360" w:lineRule="auto"/>
        <w:ind w:left="69" w:leftChars="33" w:right="238" w:firstLine="424" w:firstLineChars="177"/>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二、货物数量：</w:t>
      </w:r>
      <w:r>
        <w:rPr>
          <w:rFonts w:hint="eastAsia" w:ascii="宋体" w:cs="宋体"/>
          <w:b w:val="0"/>
          <w:bCs w:val="0"/>
          <w:color w:val="000000" w:themeColor="text1"/>
          <w:spacing w:val="0"/>
          <w:sz w:val="24"/>
          <w:szCs w:val="24"/>
          <w:highlight w:val="none"/>
          <w:u w:val="single"/>
          <w14:textFill>
            <w14:solidFill>
              <w14:schemeClr w14:val="tx1"/>
            </w14:solidFill>
          </w14:textFill>
        </w:rPr>
        <w:t>1宗</w:t>
      </w:r>
      <w:r>
        <w:rPr>
          <w:rFonts w:hint="eastAsia" w:ascii="宋体" w:cs="宋体"/>
          <w:b w:val="0"/>
          <w:bCs w:val="0"/>
          <w:color w:val="000000" w:themeColor="text1"/>
          <w:spacing w:val="0"/>
          <w:sz w:val="24"/>
          <w:szCs w:val="24"/>
          <w:highlight w:val="none"/>
          <w14:textFill>
            <w14:solidFill>
              <w14:schemeClr w14:val="tx1"/>
            </w14:solidFill>
          </w14:textFill>
        </w:rPr>
        <w:t>（详见下表）</w:t>
      </w:r>
    </w:p>
    <w:p>
      <w:pPr>
        <w:spacing w:line="360" w:lineRule="auto"/>
        <w:ind w:left="69" w:leftChars="33" w:right="238" w:firstLine="424" w:firstLineChars="177"/>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三、分投分中：</w:t>
      </w:r>
      <w:r>
        <w:rPr>
          <w:rFonts w:hint="eastAsia" w:ascii="宋体" w:cs="宋体"/>
          <w:b w:val="0"/>
          <w:bCs w:val="0"/>
          <w:color w:val="000000" w:themeColor="text1"/>
          <w:spacing w:val="0"/>
          <w:sz w:val="24"/>
          <w:szCs w:val="24"/>
          <w:highlight w:val="none"/>
          <w:u w:val="single"/>
          <w14:textFill>
            <w14:solidFill>
              <w14:schemeClr w14:val="tx1"/>
            </w14:solidFill>
          </w14:textFill>
        </w:rPr>
        <w:t>不允许</w:t>
      </w:r>
    </w:p>
    <w:p>
      <w:pPr>
        <w:spacing w:line="360" w:lineRule="auto"/>
        <w:ind w:left="69" w:leftChars="33" w:right="238" w:firstLine="424" w:firstLineChars="177"/>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采购货物主要构成一览表：</w:t>
      </w:r>
    </w:p>
    <w:tbl>
      <w:tblPr>
        <w:tblStyle w:val="41"/>
        <w:tblW w:w="9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369"/>
        <w:gridCol w:w="2884"/>
        <w:gridCol w:w="1513"/>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序号</w:t>
            </w:r>
          </w:p>
        </w:tc>
        <w:tc>
          <w:tcPr>
            <w:tcW w:w="2369" w:type="dxa"/>
            <w:vAlign w:val="center"/>
          </w:tcPr>
          <w:p>
            <w:pPr>
              <w:spacing w:line="360" w:lineRule="exact"/>
              <w:ind w:left="274" w:firstLine="48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名称</w:t>
            </w:r>
          </w:p>
        </w:tc>
        <w:tc>
          <w:tcPr>
            <w:tcW w:w="2884" w:type="dxa"/>
            <w:vAlign w:val="center"/>
          </w:tcPr>
          <w:p>
            <w:pPr>
              <w:spacing w:line="360" w:lineRule="exact"/>
              <w:ind w:left="274" w:firstLine="48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型号规格</w:t>
            </w:r>
          </w:p>
        </w:tc>
        <w:tc>
          <w:tcPr>
            <w:tcW w:w="1513"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单位</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1</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污水格栅机</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left="274" w:firstLine="48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套</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ascii="宋体" w:cs="宋体"/>
                <w:b w:val="0"/>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2</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潜水搅拌机</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left="274" w:firstLine="48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台</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ascii="宋体" w:cs="宋体"/>
                <w:b w:val="0"/>
                <w:color w:val="000000" w:themeColor="text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3</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硝化液回流泵</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left="274" w:firstLine="48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台</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ascii="宋体" w:cs="宋体"/>
                <w:b w:val="0"/>
                <w:color w:val="000000" w:themeColor="text1"/>
                <w:sz w:val="24"/>
                <w:szCs w:val="24"/>
                <w:highlight w:val="none"/>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4</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污泥回流泵</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left="274" w:firstLine="48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台</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ascii="宋体" w:cs="宋体"/>
                <w:b w:val="0"/>
                <w:color w:val="000000" w:themeColor="text1"/>
                <w:sz w:val="24"/>
                <w:szCs w:val="24"/>
                <w:highlight w:val="none"/>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5</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污泥螺杆泵</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left="274" w:firstLine="48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台</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ascii="宋体" w:cs="宋体"/>
                <w:b w:val="0"/>
                <w:color w:val="000000" w:themeColor="text1"/>
                <w:sz w:val="24"/>
                <w:szCs w:val="24"/>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6</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反应搅拌机</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left="274" w:firstLine="48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台</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ascii="宋体" w:cs="宋体"/>
                <w:b w:val="0"/>
                <w:color w:val="000000" w:themeColor="text1"/>
                <w:sz w:val="24"/>
                <w:szCs w:val="24"/>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7</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框式搅拌机</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left="274" w:firstLine="48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台</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ascii="宋体" w:cs="宋体"/>
                <w:b w:val="0"/>
                <w:color w:val="000000" w:themeColor="text1"/>
                <w:sz w:val="24"/>
                <w:szCs w:val="24"/>
                <w:highlight w:val="none"/>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8</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恒压供水辅泵及修复恒压供水控制系统</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left="274" w:firstLine="48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套</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ascii="宋体" w:cs="宋体"/>
                <w:b w:val="0"/>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9</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好氧池内填料</w:t>
            </w:r>
            <w:r>
              <w:rPr>
                <w:rFonts w:ascii="宋体" w:cs="宋体"/>
                <w:b w:val="0"/>
                <w:color w:val="000000" w:themeColor="text1"/>
                <w:sz w:val="24"/>
                <w:szCs w:val="24"/>
                <w:highlight w:val="none"/>
                <w14:textFill>
                  <w14:solidFill>
                    <w14:schemeClr w14:val="tx1"/>
                  </w14:solidFill>
                </w14:textFill>
              </w:rPr>
              <w:t>及曝气器</w:t>
            </w:r>
            <w:r>
              <w:rPr>
                <w:rFonts w:hint="eastAsia" w:ascii="宋体" w:cs="宋体"/>
                <w:b w:val="0"/>
                <w:color w:val="000000" w:themeColor="text1"/>
                <w:sz w:val="24"/>
                <w:szCs w:val="24"/>
                <w:highlight w:val="none"/>
                <w14:textFill>
                  <w14:solidFill>
                    <w14:schemeClr w14:val="tx1"/>
                  </w14:solidFill>
                </w14:textFill>
              </w:rPr>
              <w:t>更换</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left="274" w:firstLine="48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宗</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10</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曝气主管道防腐及支管更换</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left="274" w:firstLine="48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宗</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1</w:t>
            </w:r>
            <w:r>
              <w:rPr>
                <w:rFonts w:ascii="宋体" w:cs="宋体"/>
                <w:b w:val="0"/>
                <w:color w:val="000000" w:themeColor="text1"/>
                <w:sz w:val="24"/>
                <w:szCs w:val="24"/>
                <w:highlight w:val="none"/>
                <w14:textFill>
                  <w14:solidFill>
                    <w14:schemeClr w14:val="tx1"/>
                  </w14:solidFill>
                </w14:textFill>
              </w:rPr>
              <w:t>1</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污泥浓缩池清理及防腐</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left="274" w:firstLine="48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宗</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12</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通讯模块</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块</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13</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工控机及显示器</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台</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14</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流量计</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只</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15</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ascii="宋体" w:cs="宋体"/>
                <w:b w:val="0"/>
                <w:color w:val="000000" w:themeColor="text1"/>
                <w:sz w:val="24"/>
                <w:szCs w:val="24"/>
                <w:highlight w:val="none"/>
                <w14:textFill>
                  <w14:solidFill>
                    <w14:schemeClr w14:val="tx1"/>
                  </w14:solidFill>
                </w14:textFill>
              </w:rPr>
              <w:t>液位计</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只</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16</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ascii="宋体" w:cs="宋体"/>
                <w:b w:val="0"/>
                <w:color w:val="000000" w:themeColor="text1"/>
                <w:sz w:val="24"/>
                <w:szCs w:val="24"/>
                <w:highlight w:val="none"/>
                <w14:textFill>
                  <w14:solidFill>
                    <w14:schemeClr w14:val="tx1"/>
                  </w14:solidFill>
                </w14:textFill>
              </w:rPr>
              <w:t>溶氧仪</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只</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17</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ascii="宋体" w:cs="宋体"/>
                <w:b w:val="0"/>
                <w:color w:val="000000" w:themeColor="text1"/>
                <w:sz w:val="24"/>
                <w:szCs w:val="24"/>
                <w:highlight w:val="none"/>
                <w14:textFill>
                  <w14:solidFill>
                    <w14:schemeClr w14:val="tx1"/>
                  </w14:solidFill>
                </w14:textFill>
              </w:rPr>
              <w:t>PH</w:t>
            </w:r>
            <w:r>
              <w:rPr>
                <w:rFonts w:hint="eastAsia" w:ascii="宋体" w:cs="宋体"/>
                <w:b w:val="0"/>
                <w:color w:val="000000" w:themeColor="text1"/>
                <w:sz w:val="24"/>
                <w:szCs w:val="24"/>
                <w:highlight w:val="none"/>
                <w14:textFill>
                  <w14:solidFill>
                    <w14:schemeClr w14:val="tx1"/>
                  </w14:solidFill>
                </w14:textFill>
              </w:rPr>
              <w:t>仪</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只</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18</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仪表箱</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个</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19</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控制箱</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个</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20</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柜门元件更换</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套</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21</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按钮箱电缆更换</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米</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22</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电缆桥架</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米</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23</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中水主管道整体开挖及更换</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宗</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24</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次氯酸钠消毒装置</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套</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25</w:t>
            </w:r>
          </w:p>
        </w:tc>
        <w:tc>
          <w:tcPr>
            <w:tcW w:w="2369"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加药设备及管路更新</w:t>
            </w:r>
          </w:p>
        </w:tc>
        <w:tc>
          <w:tcPr>
            <w:tcW w:w="2884"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见第二章技术要求</w:t>
            </w:r>
          </w:p>
        </w:tc>
        <w:tc>
          <w:tcPr>
            <w:tcW w:w="1513"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套</w:t>
            </w:r>
          </w:p>
        </w:tc>
        <w:tc>
          <w:tcPr>
            <w:tcW w:w="1105" w:type="dxa"/>
            <w:vAlign w:val="center"/>
          </w:tcPr>
          <w:p>
            <w:pPr>
              <w:spacing w:line="360" w:lineRule="exact"/>
              <w:ind w:firstLine="0"/>
              <w:rPr>
                <w:rFonts w:ascii="宋体" w:cs="宋体"/>
                <w:b w:val="0"/>
                <w:color w:val="000000" w:themeColor="text1"/>
                <w:sz w:val="24"/>
                <w:szCs w:val="24"/>
                <w:highlight w:val="none"/>
                <w14:textFill>
                  <w14:solidFill>
                    <w14:schemeClr w14:val="tx1"/>
                  </w14:solidFill>
                </w14:textFill>
              </w:rPr>
            </w:pPr>
            <w:r>
              <w:rPr>
                <w:rFonts w:hint="eastAsia" w:ascii="宋体" w:cs="宋体"/>
                <w:b w:val="0"/>
                <w:color w:val="000000" w:themeColor="text1"/>
                <w:sz w:val="24"/>
                <w:szCs w:val="24"/>
                <w:highlight w:val="none"/>
                <w14:textFill>
                  <w14:solidFill>
                    <w14:schemeClr w14:val="tx1"/>
                  </w14:solidFill>
                </w14:textFill>
              </w:rPr>
              <w:t>1</w:t>
            </w:r>
          </w:p>
        </w:tc>
      </w:tr>
    </w:tbl>
    <w:p>
      <w:pPr>
        <w:spacing w:line="360" w:lineRule="auto"/>
        <w:ind w:left="274" w:right="238" w:firstLine="48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left="239" w:leftChars="114" w:right="238" w:firstLine="48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2.本表“供货方式”指：交钥匙方式——包括制造、运输、定点卸货、安装、调试和协助验收以及约定培训等。</w:t>
      </w:r>
    </w:p>
    <w:p>
      <w:pPr>
        <w:spacing w:line="360" w:lineRule="auto"/>
        <w:ind w:left="274" w:right="238" w:firstLine="48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主要器件品牌表（可选同等或更优质量品牌）</w:t>
      </w:r>
    </w:p>
    <w:tbl>
      <w:tblPr>
        <w:tblStyle w:val="4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694"/>
        <w:gridCol w:w="3462"/>
        <w:gridCol w:w="1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序号</w:t>
            </w:r>
          </w:p>
        </w:tc>
        <w:tc>
          <w:tcPr>
            <w:tcW w:w="2694" w:type="dxa"/>
          </w:tcPr>
          <w:p>
            <w:pPr>
              <w:spacing w:line="360" w:lineRule="auto"/>
              <w:ind w:left="274" w:right="238" w:firstLine="480"/>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器件名称</w:t>
            </w:r>
          </w:p>
        </w:tc>
        <w:tc>
          <w:tcPr>
            <w:tcW w:w="3462" w:type="dxa"/>
          </w:tcPr>
          <w:p>
            <w:pPr>
              <w:spacing w:line="360" w:lineRule="auto"/>
              <w:ind w:left="274" w:right="238" w:firstLine="480"/>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品牌</w:t>
            </w:r>
          </w:p>
        </w:tc>
        <w:tc>
          <w:tcPr>
            <w:tcW w:w="1775" w:type="dxa"/>
          </w:tcPr>
          <w:p>
            <w:pPr>
              <w:spacing w:line="360" w:lineRule="auto"/>
              <w:ind w:right="0" w:rightChars="0" w:firstLine="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品牌原产地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trPr>
        <w:tc>
          <w:tcPr>
            <w:tcW w:w="1129"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w:t>
            </w:r>
          </w:p>
        </w:tc>
        <w:tc>
          <w:tcPr>
            <w:tcW w:w="2694"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格栅</w:t>
            </w:r>
          </w:p>
        </w:tc>
        <w:tc>
          <w:tcPr>
            <w:tcW w:w="3462"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济南宏塔/潍坊国恒/林源环保/无锡灵泽（可选同等或更优质量品牌）</w:t>
            </w:r>
          </w:p>
        </w:tc>
        <w:tc>
          <w:tcPr>
            <w:tcW w:w="1775" w:type="dxa"/>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p>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p>
          <w:p>
            <w:pPr>
              <w:spacing w:line="360" w:lineRule="auto"/>
              <w:ind w:right="238" w:firstLine="0"/>
              <w:jc w:val="center"/>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中国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w:t>
            </w:r>
          </w:p>
        </w:tc>
        <w:tc>
          <w:tcPr>
            <w:tcW w:w="2694"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回流泵</w:t>
            </w:r>
          </w:p>
        </w:tc>
        <w:tc>
          <w:tcPr>
            <w:tcW w:w="3462" w:type="dxa"/>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川源/上海连成/东方泵业/上海凯泉（可选同等或更优质量品牌）</w:t>
            </w:r>
          </w:p>
        </w:tc>
        <w:tc>
          <w:tcPr>
            <w:tcW w:w="1775"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w:t>
            </w:r>
          </w:p>
        </w:tc>
        <w:tc>
          <w:tcPr>
            <w:tcW w:w="2694"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螺杆泵</w:t>
            </w:r>
          </w:p>
        </w:tc>
        <w:tc>
          <w:tcPr>
            <w:tcW w:w="3462" w:type="dxa"/>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西派克/杭州莱斯特/无锡华隆昌（可选同等或更优质量品牌）</w:t>
            </w:r>
          </w:p>
        </w:tc>
        <w:tc>
          <w:tcPr>
            <w:tcW w:w="1775"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4</w:t>
            </w:r>
          </w:p>
        </w:tc>
        <w:tc>
          <w:tcPr>
            <w:tcW w:w="2694"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搅拌机</w:t>
            </w:r>
          </w:p>
        </w:tc>
        <w:tc>
          <w:tcPr>
            <w:tcW w:w="3462" w:type="dxa"/>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广东新环/江苏晏晟/南京远蓝/林源环保/南京汇蓝（可选同等或更优质量品牌）</w:t>
            </w:r>
          </w:p>
        </w:tc>
        <w:tc>
          <w:tcPr>
            <w:tcW w:w="1775"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trPr>
        <w:tc>
          <w:tcPr>
            <w:tcW w:w="1129"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w:t>
            </w:r>
          </w:p>
        </w:tc>
        <w:tc>
          <w:tcPr>
            <w:tcW w:w="2694"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供水辅泵</w:t>
            </w:r>
          </w:p>
        </w:tc>
        <w:tc>
          <w:tcPr>
            <w:tcW w:w="3462" w:type="dxa"/>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南方泵业/上海连成/东方泵业/上海凯泉（可选同等或更优质量品牌）</w:t>
            </w:r>
          </w:p>
        </w:tc>
        <w:tc>
          <w:tcPr>
            <w:tcW w:w="1775"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6</w:t>
            </w:r>
          </w:p>
        </w:tc>
        <w:tc>
          <w:tcPr>
            <w:tcW w:w="2694"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仪表</w:t>
            </w:r>
          </w:p>
        </w:tc>
        <w:tc>
          <w:tcPr>
            <w:tcW w:w="3462" w:type="dxa"/>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天津迅尔/台湾尚捷/开封宏达/山东鲁仪/山东亿其格（可选同等或更优质量品牌）</w:t>
            </w:r>
          </w:p>
        </w:tc>
        <w:tc>
          <w:tcPr>
            <w:tcW w:w="1775"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7</w:t>
            </w:r>
          </w:p>
        </w:tc>
        <w:tc>
          <w:tcPr>
            <w:tcW w:w="2694"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计量泵</w:t>
            </w:r>
          </w:p>
        </w:tc>
        <w:tc>
          <w:tcPr>
            <w:tcW w:w="3462" w:type="dxa"/>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阿森河/济南卓日/东铠泵业（可选同等或更优质量品牌）</w:t>
            </w:r>
          </w:p>
        </w:tc>
        <w:tc>
          <w:tcPr>
            <w:tcW w:w="1775"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8</w:t>
            </w:r>
          </w:p>
        </w:tc>
        <w:tc>
          <w:tcPr>
            <w:tcW w:w="2694"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阀门</w:t>
            </w:r>
          </w:p>
        </w:tc>
        <w:tc>
          <w:tcPr>
            <w:tcW w:w="3462" w:type="dxa"/>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江苏华阀/上海阀门二厂/良工阀门（可选同等或更优质量品牌）</w:t>
            </w:r>
          </w:p>
        </w:tc>
        <w:tc>
          <w:tcPr>
            <w:tcW w:w="1775"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bl>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四、采购货物特别说明</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招标人所列货物的名称和规格型号，如为某一供应商所特有，则该名称和规格型号可作参考，但要求投标人所提供的货物必须满足本技术标书实质性要求。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br w:type="page"/>
      </w:r>
    </w:p>
    <w:p>
      <w:pPr>
        <w:keepNext/>
        <w:keepLines/>
        <w:spacing w:before="120" w:after="120" w:line="480" w:lineRule="exact"/>
        <w:ind w:left="274" w:firstLine="3360" w:firstLineChars="1200"/>
        <w:jc w:val="left"/>
        <w:outlineLvl w:val="2"/>
        <w:rPr>
          <w:rFonts w:ascii="Arial" w:hAnsi="Arial"/>
          <w:color w:val="000000" w:themeColor="text1"/>
          <w:spacing w:val="0"/>
          <w:sz w:val="28"/>
          <w:szCs w:val="28"/>
          <w:highlight w:val="none"/>
          <w14:textFill>
            <w14:solidFill>
              <w14:schemeClr w14:val="tx1"/>
            </w14:solidFill>
          </w14:textFill>
        </w:rPr>
      </w:pPr>
      <w:bookmarkStart w:id="35" w:name="_Toc169605880"/>
      <w:r>
        <w:rPr>
          <w:rFonts w:hint="eastAsia" w:ascii="Arial" w:hAnsi="Arial"/>
          <w:color w:val="000000" w:themeColor="text1"/>
          <w:spacing w:val="0"/>
          <w:sz w:val="28"/>
          <w:szCs w:val="28"/>
          <w:highlight w:val="none"/>
          <w14:textFill>
            <w14:solidFill>
              <w14:schemeClr w14:val="tx1"/>
            </w14:solidFill>
          </w14:textFill>
        </w:rPr>
        <w:t>第二章</w:t>
      </w:r>
      <w:r>
        <w:rPr>
          <w:rFonts w:ascii="Arial" w:hAnsi="Arial"/>
          <w:color w:val="000000" w:themeColor="text1"/>
          <w:spacing w:val="0"/>
          <w:sz w:val="28"/>
          <w:szCs w:val="28"/>
          <w:highlight w:val="none"/>
          <w14:textFill>
            <w14:solidFill>
              <w14:schemeClr w14:val="tx1"/>
            </w14:solidFill>
          </w14:textFill>
        </w:rPr>
        <w:t xml:space="preserve">  </w:t>
      </w:r>
      <w:r>
        <w:rPr>
          <w:rFonts w:hint="eastAsia" w:ascii="Arial" w:hAnsi="Arial"/>
          <w:color w:val="000000" w:themeColor="text1"/>
          <w:spacing w:val="0"/>
          <w:sz w:val="28"/>
          <w:szCs w:val="28"/>
          <w:highlight w:val="none"/>
          <w14:textFill>
            <w14:solidFill>
              <w14:schemeClr w14:val="tx1"/>
            </w14:solidFill>
          </w14:textFill>
        </w:rPr>
        <w:t>技术要求</w:t>
      </w:r>
      <w:bookmarkEnd w:id="35"/>
    </w:p>
    <w:p>
      <w:pPr>
        <w:pStyle w:val="118"/>
        <w:spacing w:line="360" w:lineRule="auto"/>
        <w:ind w:left="274" w:firstLine="480" w:firstLineChars="200"/>
        <w:outlineLvl w:val="2"/>
        <w:rPr>
          <w:rFonts w:eastAsia="宋体" w:cs="宋体"/>
          <w:color w:val="000000" w:themeColor="text1"/>
          <w:spacing w:val="0"/>
          <w:sz w:val="24"/>
          <w:szCs w:val="24"/>
          <w:highlight w:val="none"/>
          <w14:textFill>
            <w14:solidFill>
              <w14:schemeClr w14:val="tx1"/>
            </w14:solidFill>
          </w14:textFill>
        </w:rPr>
      </w:pPr>
      <w:r>
        <w:rPr>
          <w:rFonts w:hint="eastAsia" w:eastAsia="宋体" w:cs="宋体"/>
          <w:color w:val="000000" w:themeColor="text1"/>
          <w:spacing w:val="0"/>
          <w:sz w:val="24"/>
          <w:szCs w:val="24"/>
          <w:highlight w:val="none"/>
          <w14:textFill>
            <w14:solidFill>
              <w14:schemeClr w14:val="tx1"/>
            </w14:solidFill>
          </w14:textFill>
        </w:rPr>
        <w:t>一、特别提示</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1.本章技术要求，仅对功能、设计、结构、性能、安装和试验检验等方面，提出了最低和一般性的技术要求，并未对一切技术细节作出规定。</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2.本技术要求所使用的标准、规范等，如与投标人所执行的标准、规范不一致时，应按高于本技术要求所列的标准、规范执行。</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3</w:t>
      </w:r>
      <w:r>
        <w:rPr>
          <w:rFonts w:hint="eastAsia" w:ascii="宋体" w:cs="宋体"/>
          <w:b w:val="0"/>
          <w:bCs w:val="0"/>
          <w:color w:val="000000" w:themeColor="text1"/>
          <w:spacing w:val="0"/>
          <w:sz w:val="24"/>
          <w:szCs w:val="24"/>
          <w:highlight w:val="none"/>
          <w14:textFill>
            <w14:solidFill>
              <w14:schemeClr w14:val="tx1"/>
            </w14:solidFill>
          </w14:textFill>
        </w:rPr>
        <w:t>.投标人认为所供货物必需由招标人配备、解决或提供的其它要求，如设备基础隔振和减振设施、软化水、洁净气源等，均应在投标文件“技术偏离”中予以充分说明。</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4</w:t>
      </w:r>
      <w:r>
        <w:rPr>
          <w:rFonts w:hint="eastAsia" w:ascii="宋体" w:cs="宋体"/>
          <w:b w:val="0"/>
          <w:bCs w:val="0"/>
          <w:color w:val="000000" w:themeColor="text1"/>
          <w:spacing w:val="0"/>
          <w:sz w:val="24"/>
          <w:szCs w:val="24"/>
          <w:highlight w:val="none"/>
          <w14:textFill>
            <w14:solidFill>
              <w14:schemeClr w14:val="tx1"/>
            </w14:solidFill>
          </w14:textFill>
        </w:rPr>
        <w:t>.投标人应根据招投标货物具体要求，提出对厂房、设备基础（或安装平台）、公用设施、消防、环保等超出招标文件、投标文件、答疑文件、技术交流文件、技术协议书和合同等规定的、有特殊需要的解释、说明和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5.无论是否有技术偏离，投标人均应在投标文件“技术偏离”中明确作出有无说明。若有异议，不管是多么微小，投标人必须予以明确和详细的说明或澄清。</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6</w:t>
      </w:r>
      <w:r>
        <w:rPr>
          <w:rFonts w:hint="eastAsia" w:ascii="宋体" w:cs="宋体"/>
          <w:b w:val="0"/>
          <w:bCs w:val="0"/>
          <w:color w:val="000000" w:themeColor="text1"/>
          <w:spacing w:val="0"/>
          <w:sz w:val="24"/>
          <w:szCs w:val="24"/>
          <w:highlight w:val="none"/>
          <w14:textFill>
            <w14:solidFill>
              <w14:schemeClr w14:val="tx1"/>
            </w14:solidFill>
          </w14:textFill>
        </w:rPr>
        <w:t>.为避免投标人优势在招标评审时漏项，质保期超出本技术标书要求的，应当在投标文件“技术偏离”中特别注明。</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7</w:t>
      </w:r>
      <w:r>
        <w:rPr>
          <w:rFonts w:hint="eastAsia" w:ascii="宋体" w:cs="宋体"/>
          <w:b w:val="0"/>
          <w:bCs w:val="0"/>
          <w:color w:val="000000" w:themeColor="text1"/>
          <w:spacing w:val="0"/>
          <w:sz w:val="24"/>
          <w:szCs w:val="24"/>
          <w:highlight w:val="none"/>
          <w14:textFill>
            <w14:solidFill>
              <w14:schemeClr w14:val="tx1"/>
            </w14:solidFill>
          </w14:textFill>
        </w:rPr>
        <w:t>.投标文件中，针对“特别提示”条款所做的回应，将作为投标人能否中标的重要依据之一。</w:t>
      </w:r>
    </w:p>
    <w:p>
      <w:pPr>
        <w:pStyle w:val="118"/>
        <w:spacing w:line="360" w:lineRule="auto"/>
        <w:ind w:left="274" w:firstLine="480" w:firstLineChars="200"/>
        <w:outlineLvl w:val="2"/>
        <w:rPr>
          <w:rFonts w:eastAsia="宋体" w:cs="宋体"/>
          <w:color w:val="000000" w:themeColor="text1"/>
          <w:spacing w:val="0"/>
          <w:sz w:val="24"/>
          <w:szCs w:val="24"/>
          <w:highlight w:val="none"/>
          <w14:textFill>
            <w14:solidFill>
              <w14:schemeClr w14:val="tx1"/>
            </w14:solidFill>
          </w14:textFill>
        </w:rPr>
      </w:pPr>
      <w:r>
        <w:rPr>
          <w:rFonts w:hint="eastAsia" w:eastAsia="宋体" w:cs="宋体"/>
          <w:color w:val="000000" w:themeColor="text1"/>
          <w:spacing w:val="0"/>
          <w:sz w:val="24"/>
          <w:szCs w:val="24"/>
          <w:highlight w:val="none"/>
          <w14:textFill>
            <w14:solidFill>
              <w14:schemeClr w14:val="tx1"/>
            </w14:solidFill>
          </w14:textFill>
        </w:rPr>
        <w:t>二、基本要求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w:t>
      </w:r>
      <w:r>
        <w:rPr>
          <w:rFonts w:hint="eastAsia" w:ascii="宋体" w:cs="宋体"/>
          <w:b w:val="0"/>
          <w:bCs w:val="0"/>
          <w:color w:val="000000" w:themeColor="text1"/>
          <w:spacing w:val="0"/>
          <w:sz w:val="24"/>
          <w:szCs w:val="24"/>
          <w:highlight w:val="none"/>
          <w14:textFill>
            <w14:solidFill>
              <w14:schemeClr w14:val="tx1"/>
            </w14:solidFill>
          </w14:textFill>
        </w:rPr>
        <w:t>.投标人所供的货物，必须符合中国最新版的法律、法规和相关标准、规范的要求，符合项目所在地政府有关特殊要求。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2</w:t>
      </w:r>
      <w:r>
        <w:rPr>
          <w:rFonts w:hint="eastAsia" w:ascii="宋体" w:cs="宋体"/>
          <w:b w:val="0"/>
          <w:bCs w:val="0"/>
          <w:color w:val="000000" w:themeColor="text1"/>
          <w:spacing w:val="0"/>
          <w:sz w:val="24"/>
          <w:szCs w:val="24"/>
          <w:highlight w:val="none"/>
          <w14:textFill>
            <w14:solidFill>
              <w14:schemeClr w14:val="tx1"/>
            </w14:solidFill>
          </w14:textFill>
        </w:rPr>
        <w:t>.投标人所供货物涉及的专利权技术以及知识产权保护的其它技术等，应保证招标人不因此受到任何侵权指控以及实际损失。</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3</w:t>
      </w:r>
      <w:r>
        <w:rPr>
          <w:rFonts w:hint="eastAsia" w:ascii="宋体" w:cs="宋体"/>
          <w:b w:val="0"/>
          <w:bCs w:val="0"/>
          <w:color w:val="000000" w:themeColor="text1"/>
          <w:spacing w:val="0"/>
          <w:sz w:val="24"/>
          <w:szCs w:val="24"/>
          <w:highlight w:val="none"/>
          <w14:textFill>
            <w14:solidFill>
              <w14:schemeClr w14:val="tx1"/>
            </w14:solidFill>
          </w14:textFill>
        </w:rPr>
        <w:t>.投标人应保证所供货物的先进性、可靠性、经济性和实用性，并为全新货物（或设备）。</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4</w:t>
      </w:r>
      <w:r>
        <w:rPr>
          <w:rFonts w:hint="eastAsia" w:ascii="宋体" w:cs="宋体"/>
          <w:b w:val="0"/>
          <w:bCs w:val="0"/>
          <w:color w:val="000000" w:themeColor="text1"/>
          <w:spacing w:val="0"/>
          <w:sz w:val="24"/>
          <w:szCs w:val="24"/>
          <w:highlight w:val="none"/>
          <w14:textFill>
            <w14:solidFill>
              <w14:schemeClr w14:val="tx1"/>
            </w14:solidFill>
          </w14:textFill>
        </w:rPr>
        <w:t>.投标人应满足招标人提出的各项技术要求，必要时应当免费提供技术承诺或担保。</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5</w:t>
      </w:r>
      <w:r>
        <w:rPr>
          <w:rFonts w:hint="eastAsia" w:ascii="宋体" w:cs="宋体"/>
          <w:b w:val="0"/>
          <w:bCs w:val="0"/>
          <w:color w:val="000000" w:themeColor="text1"/>
          <w:spacing w:val="0"/>
          <w:sz w:val="24"/>
          <w:szCs w:val="24"/>
          <w:highlight w:val="none"/>
          <w14:textFill>
            <w14:solidFill>
              <w14:schemeClr w14:val="tx1"/>
            </w14:solidFill>
          </w14:textFill>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6</w:t>
      </w:r>
      <w:r>
        <w:rPr>
          <w:rFonts w:hint="eastAsia" w:ascii="宋体" w:cs="宋体"/>
          <w:b w:val="0"/>
          <w:bCs w:val="0"/>
          <w:color w:val="000000" w:themeColor="text1"/>
          <w:spacing w:val="0"/>
          <w:sz w:val="24"/>
          <w:szCs w:val="24"/>
          <w:highlight w:val="none"/>
          <w14:textFill>
            <w14:solidFill>
              <w14:schemeClr w14:val="tx1"/>
            </w14:solidFill>
          </w14:textFill>
        </w:rPr>
        <w:t>.投标人应保证所供货物的完整性和成套性，能保证货物的正常运行、使用。</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7.程序图纸要求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7.1 投标方必须提供所有设备程序的源代码，包括但不限于 PLC程序、HMI 程序、机器人程序、视觉程序、伺服等。</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7.2 投标方所提供的程序不得设置任何密码、保护等限制手段，PLC 不得设置修改下载权限，功能块不得设置密码保护。</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7.3 HMI 界面等需要密码保护的程序，投标方必须提供所有级别的用户名、密码。</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7.4 投标方需在设备入场前提供设备程序源码，HMI 界面各级用户名和密码，并保证与现场程序一致。</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7.5 投标方需在终验收前提供最新的设备程序源码和电气图纸，图纸要求为可编辑原格式（EPLAN、CAD 格式）且与实际接线一致。</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8.接口协议要求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8.1 投标方免费开放所有通讯接口，包括但不限于以太网、RS232、RS485、PROFIBUS、PROFINET、MODBUS 等常见接口，以及设备特有的专用接口。</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8.2 投标方免费提供数据交互功能，交互数据包括但不限于实时数据、历史数据、报警信息等。</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8.3 投标方在设备入场前提供接口的技术文档和参数说明，包括但不限于接口协议、通讯速率、数据格式等。</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8.4 设备使用周期内，投标方免费派遣技术人员与招标方调试团队共同进行设备通讯接口的调试工作。</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9.电机能效</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关于投标方货物中所供电机：</w:t>
      </w:r>
      <w:r>
        <w:rPr>
          <w:rFonts w:ascii="宋体" w:cs="宋体"/>
          <w:b w:val="0"/>
          <w:bCs w:val="0"/>
          <w:color w:val="000000" w:themeColor="text1"/>
          <w:spacing w:val="0"/>
          <w:sz w:val="24"/>
          <w:szCs w:val="24"/>
          <w:highlight w:val="none"/>
          <w14:textFill>
            <w14:solidFill>
              <w14:schemeClr w14:val="tx1"/>
            </w14:solidFill>
          </w14:textFill>
        </w:rPr>
        <w:t>电机功率≥7.5kW，必须选用一级能效。电机功率＜7.5kW，优先选用一级能效；其中对于能源供应类设备及年运行时间≥2000h工艺设备的电机必须选用一级能效。杜绝选用三级及以下能效。空调必须选用一级能效，变压器最低选用二级能效</w:t>
      </w:r>
      <w:r>
        <w:rPr>
          <w:rFonts w:hint="eastAsia" w:ascii="宋体" w:cs="宋体"/>
          <w:b w:val="0"/>
          <w:bCs w:val="0"/>
          <w:color w:val="000000" w:themeColor="text1"/>
          <w:spacing w:val="0"/>
          <w:sz w:val="24"/>
          <w:szCs w:val="24"/>
          <w:highlight w:val="none"/>
          <w14:textFill>
            <w14:solidFill>
              <w14:schemeClr w14:val="tx1"/>
            </w14:solidFill>
          </w14:textFill>
        </w:rPr>
        <w:t>。</w:t>
      </w:r>
    </w:p>
    <w:p>
      <w:pPr>
        <w:pStyle w:val="118"/>
        <w:spacing w:line="360" w:lineRule="auto"/>
        <w:ind w:left="274" w:firstLine="480" w:firstLineChars="200"/>
        <w:outlineLvl w:val="2"/>
        <w:rPr>
          <w:rFonts w:eastAsia="宋体" w:cs="宋体"/>
          <w:color w:val="000000" w:themeColor="text1"/>
          <w:spacing w:val="0"/>
          <w:sz w:val="24"/>
          <w:szCs w:val="24"/>
          <w:highlight w:val="none"/>
          <w14:textFill>
            <w14:solidFill>
              <w14:schemeClr w14:val="tx1"/>
            </w14:solidFill>
          </w14:textFill>
        </w:rPr>
      </w:pPr>
      <w:r>
        <w:rPr>
          <w:rFonts w:hint="eastAsia" w:eastAsia="宋体" w:cs="宋体"/>
          <w:color w:val="000000" w:themeColor="text1"/>
          <w:spacing w:val="0"/>
          <w:sz w:val="24"/>
          <w:szCs w:val="24"/>
          <w:highlight w:val="none"/>
          <w14:textFill>
            <w14:solidFill>
              <w14:schemeClr w14:val="tx1"/>
            </w14:solidFill>
          </w14:textFill>
        </w:rPr>
        <w:t>三、技术要求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  总体要求：</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bookmarkStart w:id="36" w:name="_Toc382570568"/>
      <w:bookmarkStart w:id="37" w:name="_Toc382559433"/>
      <w:r>
        <w:rPr>
          <w:rFonts w:ascii="宋体" w:cs="宋体"/>
          <w:b w:val="0"/>
          <w:bCs w:val="0"/>
          <w:color w:val="000000" w:themeColor="text1"/>
          <w:spacing w:val="0"/>
          <w:sz w:val="24"/>
          <w:szCs w:val="24"/>
          <w:highlight w:val="none"/>
          <w14:textFill>
            <w14:solidFill>
              <w14:schemeClr w14:val="tx1"/>
            </w14:solidFill>
          </w14:textFill>
        </w:rPr>
        <w:t>投标方设备必须是该类设备国际著名品牌或具有同等质量水平的国内一流品牌，并在国内同类</w:t>
      </w:r>
      <w:r>
        <w:rPr>
          <w:rFonts w:hint="eastAsia" w:ascii="宋体" w:cs="宋体"/>
          <w:b w:val="0"/>
          <w:bCs w:val="0"/>
          <w:color w:val="000000" w:themeColor="text1"/>
          <w:spacing w:val="0"/>
          <w:sz w:val="24"/>
          <w:szCs w:val="24"/>
          <w:highlight w:val="none"/>
          <w14:textFill>
            <w14:solidFill>
              <w14:schemeClr w14:val="tx1"/>
            </w14:solidFill>
          </w14:textFill>
        </w:rPr>
        <w:t>污水处理站</w:t>
      </w:r>
      <w:r>
        <w:rPr>
          <w:rFonts w:ascii="宋体" w:cs="宋体"/>
          <w:b w:val="0"/>
          <w:bCs w:val="0"/>
          <w:color w:val="000000" w:themeColor="text1"/>
          <w:spacing w:val="0"/>
          <w:sz w:val="24"/>
          <w:szCs w:val="24"/>
          <w:highlight w:val="none"/>
          <w14:textFill>
            <w14:solidFill>
              <w14:schemeClr w14:val="tx1"/>
            </w14:solidFill>
          </w14:textFill>
        </w:rPr>
        <w:t>有良好使用业绩，产品质量稳定可靠。由于该项目是原有</w:t>
      </w:r>
      <w:r>
        <w:rPr>
          <w:rFonts w:hint="eastAsia" w:ascii="宋体" w:cs="宋体"/>
          <w:b w:val="0"/>
          <w:bCs w:val="0"/>
          <w:color w:val="000000" w:themeColor="text1"/>
          <w:spacing w:val="0"/>
          <w:sz w:val="24"/>
          <w:szCs w:val="24"/>
          <w:highlight w:val="none"/>
          <w14:textFill>
            <w14:solidFill>
              <w14:schemeClr w14:val="tx1"/>
            </w14:solidFill>
          </w14:textFill>
        </w:rPr>
        <w:t>污水处理站改造提升优化</w:t>
      </w:r>
      <w:r>
        <w:rPr>
          <w:rFonts w:ascii="宋体" w:cs="宋体"/>
          <w:b w:val="0"/>
          <w:bCs w:val="0"/>
          <w:color w:val="000000" w:themeColor="text1"/>
          <w:spacing w:val="0"/>
          <w:sz w:val="24"/>
          <w:szCs w:val="24"/>
          <w:highlight w:val="none"/>
          <w14:textFill>
            <w14:solidFill>
              <w14:schemeClr w14:val="tx1"/>
            </w14:solidFill>
          </w14:textFill>
        </w:rPr>
        <w:t>，项目方案受现场条件所限，</w:t>
      </w:r>
      <w:r>
        <w:rPr>
          <w:rFonts w:ascii="宋体" w:cs="宋体"/>
          <w:color w:val="000000" w:themeColor="text1"/>
          <w:spacing w:val="0"/>
          <w:sz w:val="24"/>
          <w:szCs w:val="24"/>
          <w:highlight w:val="none"/>
          <w14:textFill>
            <w14:solidFill>
              <w14:schemeClr w14:val="tx1"/>
            </w14:solidFill>
          </w14:textFill>
        </w:rPr>
        <w:t>投标方必须到招标方</w:t>
      </w:r>
      <w:r>
        <w:rPr>
          <w:rFonts w:hint="eastAsia" w:ascii="宋体" w:cs="宋体"/>
          <w:color w:val="000000" w:themeColor="text1"/>
          <w:spacing w:val="0"/>
          <w:sz w:val="24"/>
          <w:szCs w:val="24"/>
          <w:highlight w:val="none"/>
          <w14:textFill>
            <w14:solidFill>
              <w14:schemeClr w14:val="tx1"/>
            </w14:solidFill>
          </w14:textFill>
        </w:rPr>
        <w:t>污水处理站</w:t>
      </w:r>
      <w:r>
        <w:rPr>
          <w:rFonts w:ascii="宋体" w:cs="宋体"/>
          <w:color w:val="000000" w:themeColor="text1"/>
          <w:spacing w:val="0"/>
          <w:sz w:val="24"/>
          <w:szCs w:val="24"/>
          <w:highlight w:val="none"/>
          <w14:textFill>
            <w14:solidFill>
              <w14:schemeClr w14:val="tx1"/>
            </w14:solidFill>
          </w14:textFill>
        </w:rPr>
        <w:t>现场了解</w:t>
      </w:r>
      <w:r>
        <w:rPr>
          <w:rFonts w:hint="eastAsia" w:ascii="宋体" w:cs="宋体"/>
          <w:color w:val="000000" w:themeColor="text1"/>
          <w:spacing w:val="0"/>
          <w:sz w:val="24"/>
          <w:szCs w:val="24"/>
          <w:highlight w:val="none"/>
          <w14:textFill>
            <w14:solidFill>
              <w14:schemeClr w14:val="tx1"/>
            </w14:solidFill>
          </w14:textFill>
        </w:rPr>
        <w:t>污水处理站工艺及设备的实际</w:t>
      </w:r>
      <w:r>
        <w:rPr>
          <w:rFonts w:ascii="宋体" w:cs="宋体"/>
          <w:color w:val="000000" w:themeColor="text1"/>
          <w:spacing w:val="0"/>
          <w:sz w:val="24"/>
          <w:szCs w:val="24"/>
          <w:highlight w:val="none"/>
          <w14:textFill>
            <w14:solidFill>
              <w14:schemeClr w14:val="tx1"/>
            </w14:solidFill>
          </w14:textFill>
        </w:rPr>
        <w:t>使用环境及设施条件</w:t>
      </w:r>
      <w:r>
        <w:rPr>
          <w:rFonts w:hint="eastAsia" w:ascii="宋体" w:cs="宋体"/>
          <w:color w:val="000000" w:themeColor="text1"/>
          <w:spacing w:val="0"/>
          <w:sz w:val="24"/>
          <w:szCs w:val="24"/>
          <w:highlight w:val="none"/>
          <w14:textFill>
            <w14:solidFill>
              <w14:schemeClr w14:val="tx1"/>
            </w14:solidFill>
          </w14:textFill>
        </w:rPr>
        <w:t>及实际需求</w:t>
      </w:r>
      <w:r>
        <w:rPr>
          <w:rFonts w:ascii="宋体" w:cs="宋体"/>
          <w:color w:val="000000" w:themeColor="text1"/>
          <w:spacing w:val="0"/>
          <w:sz w:val="24"/>
          <w:szCs w:val="24"/>
          <w:highlight w:val="none"/>
          <w14:textFill>
            <w14:solidFill>
              <w14:schemeClr w14:val="tx1"/>
            </w14:solidFill>
          </w14:textFill>
        </w:rPr>
        <w:t>后提出适宜的</w:t>
      </w:r>
      <w:r>
        <w:rPr>
          <w:rFonts w:hint="eastAsia" w:ascii="宋体" w:cs="宋体"/>
          <w:color w:val="000000" w:themeColor="text1"/>
          <w:spacing w:val="0"/>
          <w:sz w:val="24"/>
          <w:szCs w:val="24"/>
          <w:highlight w:val="none"/>
          <w14:textFill>
            <w14:solidFill>
              <w14:schemeClr w14:val="tx1"/>
            </w14:solidFill>
          </w14:textFill>
        </w:rPr>
        <w:t>改造提升</w:t>
      </w:r>
      <w:r>
        <w:rPr>
          <w:rFonts w:ascii="宋体" w:cs="宋体"/>
          <w:color w:val="000000" w:themeColor="text1"/>
          <w:spacing w:val="0"/>
          <w:sz w:val="24"/>
          <w:szCs w:val="24"/>
          <w:highlight w:val="none"/>
          <w14:textFill>
            <w14:solidFill>
              <w14:schemeClr w14:val="tx1"/>
            </w14:solidFill>
          </w14:textFill>
        </w:rPr>
        <w:t>投标方案。</w:t>
      </w:r>
    </w:p>
    <w:bookmarkEnd w:id="36"/>
    <w:bookmarkEnd w:id="37"/>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1.1 改造完成后确保综合污水处理站处理工艺的完整性和有效性。</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1.2 提高污水处理工艺的可靠性，最终排口稳定达标排放，满足日益提升的环保要求</w:t>
      </w:r>
      <w:r>
        <w:rPr>
          <w:rFonts w:hint="eastAsia" w:ascii="宋体" w:cs="宋体"/>
          <w:b w:val="0"/>
          <w:bCs w:val="0"/>
          <w:color w:val="000000" w:themeColor="text1"/>
          <w:spacing w:val="0"/>
          <w:sz w:val="24"/>
          <w:szCs w:val="24"/>
          <w:highlight w:val="none"/>
          <w14:textFill>
            <w14:solidFill>
              <w14:schemeClr w14:val="tx1"/>
            </w14:solidFill>
          </w14:textFill>
        </w:rPr>
        <w:t>。改造后整套系统污染物排放能够满足《污水排入城镇下水道水质标准》（</w:t>
      </w:r>
      <w:r>
        <w:rPr>
          <w:rFonts w:ascii="宋体" w:cs="宋体"/>
          <w:b w:val="0"/>
          <w:bCs w:val="0"/>
          <w:color w:val="000000" w:themeColor="text1"/>
          <w:spacing w:val="0"/>
          <w:sz w:val="24"/>
          <w:szCs w:val="24"/>
          <w:highlight w:val="none"/>
          <w14:textFill>
            <w14:solidFill>
              <w14:schemeClr w14:val="tx1"/>
            </w14:solidFill>
          </w14:textFill>
        </w:rPr>
        <w:t>GB/T31962-2015）</w:t>
      </w:r>
      <w:r>
        <w:rPr>
          <w:rFonts w:hint="eastAsia" w:ascii="宋体" w:cs="宋体"/>
          <w:b w:val="0"/>
          <w:bCs w:val="0"/>
          <w:color w:val="000000" w:themeColor="text1"/>
          <w:spacing w:val="0"/>
          <w:sz w:val="24"/>
          <w:szCs w:val="24"/>
          <w:highlight w:val="none"/>
          <w14:textFill>
            <w14:solidFill>
              <w14:schemeClr w14:val="tx1"/>
            </w14:solidFill>
          </w14:textFill>
        </w:rPr>
        <w:t>。</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1.3</w:t>
      </w:r>
      <w:r>
        <w:rPr>
          <w:rFonts w:ascii="宋体" w:cs="宋体"/>
          <w:b w:val="0"/>
          <w:bCs w:val="0"/>
          <w:color w:val="000000" w:themeColor="text1"/>
          <w:spacing w:val="0"/>
          <w:sz w:val="24"/>
          <w:szCs w:val="24"/>
          <w:highlight w:val="none"/>
          <w14:textFill>
            <w14:solidFill>
              <w14:schemeClr w14:val="tx1"/>
            </w14:solidFill>
          </w14:textFill>
        </w:rPr>
        <w:t>、</w:t>
      </w:r>
      <w:r>
        <w:rPr>
          <w:rFonts w:hint="eastAsia" w:ascii="宋体" w:cs="宋体"/>
          <w:b w:val="0"/>
          <w:bCs w:val="0"/>
          <w:color w:val="000000" w:themeColor="text1"/>
          <w:spacing w:val="0"/>
          <w:sz w:val="24"/>
          <w:szCs w:val="24"/>
          <w:highlight w:val="none"/>
          <w14:textFill>
            <w14:solidFill>
              <w14:schemeClr w14:val="tx1"/>
            </w14:solidFill>
          </w14:textFill>
        </w:rPr>
        <w:t>改造后可</w:t>
      </w:r>
      <w:r>
        <w:rPr>
          <w:rFonts w:ascii="宋体" w:cs="宋体"/>
          <w:b w:val="0"/>
          <w:bCs w:val="0"/>
          <w:color w:val="000000" w:themeColor="text1"/>
          <w:spacing w:val="0"/>
          <w:sz w:val="24"/>
          <w:szCs w:val="24"/>
          <w:highlight w:val="none"/>
          <w14:textFill>
            <w14:solidFill>
              <w14:schemeClr w14:val="tx1"/>
            </w14:solidFill>
          </w14:textFill>
        </w:rPr>
        <w:t>提高综合污水处理站的自动化水平和监测水平，减少对操作人员的依赖。</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1.4 改造原则</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 xml:space="preserve">投标应根据本项目基本污水处理工艺路线，设备实际使用情况，工艺的实际运行情况，提供污水处理项目改造的详细方案，满足招标人的实际需求，以操作管理方便、运行安全可靠和经济合理为目标。 </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bookmarkStart w:id="38" w:name="_Toc31917"/>
      <w:bookmarkStart w:id="39" w:name="_Toc18332"/>
      <w:bookmarkStart w:id="40" w:name="_Toc22743"/>
      <w:r>
        <w:rPr>
          <w:rFonts w:hint="eastAsia" w:ascii="宋体" w:cs="宋体"/>
          <w:b w:val="0"/>
          <w:bCs w:val="0"/>
          <w:color w:val="000000" w:themeColor="text1"/>
          <w:spacing w:val="0"/>
          <w:sz w:val="24"/>
          <w:szCs w:val="24"/>
          <w:highlight w:val="none"/>
          <w14:textFill>
            <w14:solidFill>
              <w14:schemeClr w14:val="tx1"/>
            </w14:solidFill>
          </w14:textFill>
        </w:rPr>
        <w:t>1.5 适用的标准</w:t>
      </w:r>
      <w:bookmarkEnd w:id="38"/>
      <w:bookmarkEnd w:id="39"/>
      <w:bookmarkEnd w:id="40"/>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使用标准已列入陈述本工程所需设备技术要求的相应章节中，当合同内没有表明或商定任何标准时，所有详细资料、材料、设备及制造工艺应符合本技术规范的规定并提交招标人认可。</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bookmarkStart w:id="41" w:name="_Toc23066"/>
      <w:bookmarkStart w:id="42" w:name="_Toc8668"/>
      <w:bookmarkStart w:id="43" w:name="_Toc8912"/>
      <w:r>
        <w:rPr>
          <w:rFonts w:hint="eastAsia" w:ascii="宋体" w:cs="宋体"/>
          <w:b w:val="0"/>
          <w:bCs w:val="0"/>
          <w:color w:val="000000" w:themeColor="text1"/>
          <w:spacing w:val="0"/>
          <w:sz w:val="24"/>
          <w:szCs w:val="24"/>
          <w:highlight w:val="none"/>
          <w14:textFill>
            <w14:solidFill>
              <w14:schemeClr w14:val="tx1"/>
            </w14:solidFill>
          </w14:textFill>
        </w:rPr>
        <w:t>1.6 使用年限</w:t>
      </w:r>
      <w:bookmarkEnd w:id="41"/>
      <w:bookmarkEnd w:id="42"/>
      <w:bookmarkEnd w:id="43"/>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设计的材料、设备的耐用性和使用寿命应符合国家或者行业标准，并应适合于长期的每天24小时的连续运转，且只须进行最少量的维修。</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bookmarkStart w:id="44" w:name="_Toc20386"/>
      <w:bookmarkStart w:id="45" w:name="_Toc3986"/>
      <w:bookmarkStart w:id="46" w:name="_Toc19344"/>
      <w:r>
        <w:rPr>
          <w:rFonts w:hint="eastAsia" w:ascii="宋体" w:cs="宋体"/>
          <w:b w:val="0"/>
          <w:bCs w:val="0"/>
          <w:color w:val="000000" w:themeColor="text1"/>
          <w:spacing w:val="0"/>
          <w:sz w:val="24"/>
          <w:szCs w:val="24"/>
          <w:highlight w:val="none"/>
          <w14:textFill>
            <w14:solidFill>
              <w14:schemeClr w14:val="tx1"/>
            </w14:solidFill>
          </w14:textFill>
        </w:rPr>
        <w:t>1.7 材料</w:t>
      </w:r>
      <w:bookmarkEnd w:id="44"/>
      <w:bookmarkEnd w:id="45"/>
      <w:bookmarkEnd w:id="46"/>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水下设备的活动部分及表面，如销、栓与心轴等，应是抗腐蚀的，防腐材料是无毒的。直接与各种化学制品接触的部件应具有对这些化学制品有完全的抗腐蚀与抗磨损的能力，并能保证这些部件不会由于时间的消逝、暴露在日光下或任何其它原因引起老化。</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bookmarkStart w:id="47" w:name="_Toc19806"/>
      <w:bookmarkStart w:id="48" w:name="_Toc19314"/>
      <w:bookmarkStart w:id="49" w:name="_Toc2047"/>
      <w:r>
        <w:rPr>
          <w:rFonts w:hint="eastAsia" w:ascii="宋体" w:cs="宋体"/>
          <w:b w:val="0"/>
          <w:bCs w:val="0"/>
          <w:color w:val="000000" w:themeColor="text1"/>
          <w:spacing w:val="0"/>
          <w:sz w:val="24"/>
          <w:szCs w:val="24"/>
          <w:highlight w:val="none"/>
          <w14:textFill>
            <w14:solidFill>
              <w14:schemeClr w14:val="tx1"/>
            </w14:solidFill>
          </w14:textFill>
        </w:rPr>
        <w:t>1.8 质量控制</w:t>
      </w:r>
      <w:bookmarkEnd w:id="47"/>
      <w:bookmarkEnd w:id="48"/>
      <w:bookmarkEnd w:id="49"/>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设备生产厂家应具有ISO9000系列质量管理控制体系或同类质量管理控制体系的认证。</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任何机械设备和钢结构件的设计与制造均必须受上述的质量管理体系控制。满足国内外相关的技术标准。</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bookmarkStart w:id="50" w:name="_Toc12531"/>
      <w:bookmarkStart w:id="51" w:name="_Toc14462"/>
      <w:bookmarkStart w:id="52" w:name="_Toc178"/>
      <w:r>
        <w:rPr>
          <w:rFonts w:hint="eastAsia" w:ascii="宋体" w:cs="宋体"/>
          <w:b w:val="0"/>
          <w:bCs w:val="0"/>
          <w:color w:val="000000" w:themeColor="text1"/>
          <w:spacing w:val="0"/>
          <w:sz w:val="24"/>
          <w:szCs w:val="24"/>
          <w:highlight w:val="none"/>
          <w14:textFill>
            <w14:solidFill>
              <w14:schemeClr w14:val="tx1"/>
            </w14:solidFill>
          </w14:textFill>
        </w:rPr>
        <w:t>1.9 平衡</w:t>
      </w:r>
      <w:bookmarkEnd w:id="50"/>
      <w:bookmarkEnd w:id="51"/>
      <w:bookmarkEnd w:id="52"/>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所有的旋转部分均应作静态与动态平衡，以使在正常的全速运转时，并在最大负荷条件时，均不应在设备本体、或在车间内、或在其周边出现剧烈振动。</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bookmarkStart w:id="53" w:name="_Toc29100"/>
      <w:bookmarkStart w:id="54" w:name="_Toc1956"/>
      <w:bookmarkStart w:id="55" w:name="_Toc26443"/>
      <w:r>
        <w:rPr>
          <w:rFonts w:hint="eastAsia" w:ascii="宋体" w:cs="宋体"/>
          <w:b w:val="0"/>
          <w:bCs w:val="0"/>
          <w:color w:val="000000" w:themeColor="text1"/>
          <w:spacing w:val="0"/>
          <w:sz w:val="24"/>
          <w:szCs w:val="24"/>
          <w:highlight w:val="none"/>
          <w14:textFill>
            <w14:solidFill>
              <w14:schemeClr w14:val="tx1"/>
            </w14:solidFill>
          </w14:textFill>
        </w:rPr>
        <w:t>1.10互换性</w:t>
      </w:r>
      <w:bookmarkEnd w:id="53"/>
      <w:bookmarkEnd w:id="54"/>
      <w:bookmarkEnd w:id="55"/>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所有相同规格的设备不论是作为一个整体或是它的有关部件均应是绝对地可以互换的。</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所提供的设备的种类必须是合乎标准化的，就这一点而论在实际上能使设备的一些部件具有最大的互换性。</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bookmarkStart w:id="56" w:name="_Toc6789"/>
      <w:bookmarkStart w:id="57" w:name="_Toc12760"/>
      <w:bookmarkStart w:id="58" w:name="_Toc32447"/>
      <w:r>
        <w:rPr>
          <w:rFonts w:hint="eastAsia" w:ascii="宋体" w:cs="宋体"/>
          <w:b w:val="0"/>
          <w:bCs w:val="0"/>
          <w:color w:val="000000" w:themeColor="text1"/>
          <w:spacing w:val="0"/>
          <w:sz w:val="24"/>
          <w:szCs w:val="24"/>
          <w:highlight w:val="none"/>
          <w14:textFill>
            <w14:solidFill>
              <w14:schemeClr w14:val="tx1"/>
            </w14:solidFill>
          </w14:textFill>
        </w:rPr>
        <w:t>1.11噪声控制</w:t>
      </w:r>
      <w:bookmarkEnd w:id="56"/>
      <w:bookmarkEnd w:id="57"/>
      <w:bookmarkEnd w:id="58"/>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投标人应注意保证所安装的设备的所有项目在运转时是无异常噪声。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如果需要的话应安装消音器以使设备在操作时在离其1m距离处不超过85dB（A）的噪声。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bookmarkStart w:id="59" w:name="_Toc4320"/>
      <w:bookmarkStart w:id="60" w:name="_Toc11773"/>
      <w:bookmarkStart w:id="61" w:name="_Toc28183"/>
      <w:r>
        <w:rPr>
          <w:rFonts w:hint="eastAsia" w:ascii="宋体" w:cs="宋体"/>
          <w:b w:val="0"/>
          <w:bCs w:val="0"/>
          <w:color w:val="000000" w:themeColor="text1"/>
          <w:spacing w:val="0"/>
          <w:sz w:val="24"/>
          <w:szCs w:val="24"/>
          <w:highlight w:val="none"/>
          <w14:textFill>
            <w14:solidFill>
              <w14:schemeClr w14:val="tx1"/>
            </w14:solidFill>
          </w14:textFill>
        </w:rPr>
        <w:t>1.12润滑和清洗</w:t>
      </w:r>
      <w:bookmarkEnd w:id="59"/>
      <w:bookmarkEnd w:id="60"/>
      <w:bookmarkEnd w:id="61"/>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投标人宜安排使整个设备中需加注润滑脂或油的那些部分使用同一个等级或类型的润滑剂。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需要周期性加注润滑脂的机械装置的所有轴承座，均应具有经批准的类型的加油嘴，如果需要的话，可将它们通过延伸管引出到一个便于到达的位置上，用于加润滑脂的必备的手动压注机或加油泵应与工具和备件同时提供。</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bookmarkStart w:id="62" w:name="_Toc23557"/>
      <w:bookmarkStart w:id="63" w:name="_Toc1359"/>
      <w:bookmarkStart w:id="64" w:name="_Toc24795"/>
      <w:r>
        <w:rPr>
          <w:rFonts w:hint="eastAsia" w:ascii="宋体" w:cs="宋体"/>
          <w:b w:val="0"/>
          <w:bCs w:val="0"/>
          <w:color w:val="000000" w:themeColor="text1"/>
          <w:spacing w:val="0"/>
          <w:sz w:val="24"/>
          <w:szCs w:val="24"/>
          <w:highlight w:val="none"/>
          <w14:textFill>
            <w14:solidFill>
              <w14:schemeClr w14:val="tx1"/>
            </w14:solidFill>
          </w14:textFill>
        </w:rPr>
        <w:t>1.13铭牌、标志与电路原理牌</w:t>
      </w:r>
      <w:bookmarkEnd w:id="62"/>
      <w:bookmarkEnd w:id="63"/>
      <w:bookmarkEnd w:id="64"/>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每台机器和所有的其它设备均应具有一个金属制铭牌板，用牢固的方式固定，以中文把制造商的名称、编号以及全部工作特性（诸如输出功率、速度、压力、制造日期等）清楚地表明在上面。</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当所提供的设备的厂铭牌可能设在一个不方便的部位时，如潜污泵，那么投标人应提供另一个含详细内容的厂铭牌，并应安装在或邻近于该设备的控制板处。</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所有的标志，电路原理牌等应以中文雕刻。</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除非另有规定，所有电气设备如绝缘器，起动装置，开关或保险熔丝以及其它等应清楚地加以标明，以示该单元的功能，而在单相设备的情况时，则表明该设备是连接到那一相的，并应以螺栓把它固定在电气箱的外表面上。</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不受气候影响的开关盘，室外绝缘器等应如上述一样固定雕刻好的标志。</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对在保险熔丝器板上的电路原理表牌的标志应在该熔丝器板上，如上述所规定的那样表明。每个电路均应加以签定和识别。</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标志上的字句雕刻，应在该工作未进行之前由招标人批准。在警告标志上的字样应以“危险”二字开始，并以红底白字用中英文书写。</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bookmarkStart w:id="65" w:name="_Toc27359"/>
      <w:bookmarkStart w:id="66" w:name="_Toc30514"/>
      <w:bookmarkStart w:id="67" w:name="_Toc8102"/>
      <w:r>
        <w:rPr>
          <w:rFonts w:hint="eastAsia" w:ascii="宋体" w:cs="宋体"/>
          <w:b w:val="0"/>
          <w:bCs w:val="0"/>
          <w:color w:val="000000" w:themeColor="text1"/>
          <w:spacing w:val="0"/>
          <w:sz w:val="24"/>
          <w:szCs w:val="24"/>
          <w:highlight w:val="none"/>
          <w14:textFill>
            <w14:solidFill>
              <w14:schemeClr w14:val="tx1"/>
            </w14:solidFill>
          </w14:textFill>
        </w:rPr>
        <w:t>1.14 防护及油漆</w:t>
      </w:r>
      <w:bookmarkEnd w:id="65"/>
      <w:bookmarkEnd w:id="66"/>
      <w:bookmarkEnd w:id="67"/>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总述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本技术规范的目的，是规定对容器、设备、管道的表面预处理，涂防护层和油漆系统，以及钢结构镀锌的要求。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本技术规范应作为准备油漆工艺、工程图和材料与劳力要求的基础。</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本技术规范涉及到对工程的镀锌和油漆的工作的总要求。这个技术规范也概述了对工程中任何需要油漆物品的油漆类型、表面预处理、底漆层修整、底漆层和罩面漆层数目，以及干膜厚度。</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投标人应提供全部劳力、材料和设备，包括合格的底油漆和溶剂。所建议的方法应根据最成功的工程经验，并应由招标人的认可。</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材料和工艺</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所有的材料和设备、采用的方法和工作质量应随时接受招标人的检查和认可。</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当招标人要按本技术规范要求的规定做必要的检查时，投标人应协助进行试验或检查。</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所有油漆工作都须取样品，并将其保存在现场，以便在油漆层损坏时作为可能的参考。被保存的样品必须至少保持到保证期满之时。</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所有在附表“油漆系统”上引用油漆膜厚度指的是干膜状态。</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无论是由采用不适当的工艺，或是由分包人供应的油漆材料引起的影响防腐效果的缺陷，必须由投标人自费进行修正。</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bookmarkStart w:id="68" w:name="_Toc25627"/>
      <w:bookmarkStart w:id="69" w:name="_Toc26388"/>
      <w:bookmarkStart w:id="70" w:name="_Toc13333"/>
      <w:r>
        <w:rPr>
          <w:rFonts w:hint="eastAsia" w:ascii="宋体" w:cs="宋体"/>
          <w:b w:val="0"/>
          <w:bCs w:val="0"/>
          <w:color w:val="000000" w:themeColor="text1"/>
          <w:spacing w:val="0"/>
          <w:sz w:val="24"/>
          <w:szCs w:val="24"/>
          <w:highlight w:val="none"/>
          <w14:textFill>
            <w14:solidFill>
              <w14:schemeClr w14:val="tx1"/>
            </w14:solidFill>
          </w14:textFill>
        </w:rPr>
        <w:t>1.15安全措施</w:t>
      </w:r>
      <w:bookmarkEnd w:id="68"/>
      <w:bookmarkEnd w:id="69"/>
      <w:bookmarkEnd w:id="70"/>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除电气系统中设备过电流和信号报警保护外，设备一般应设机械式自动复位式过扭矩或安全销保护。</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设备的所有含有危险因素的部分应加上安全罩。在正常工况条件下，温度高于60℃或小于5℃的所有零件应装有防护栏或隔温保温措施。</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所有电气传导件包括由此而形成的电器装置都应绝缘或用防护栏防护或置于安全之处以防危险。</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安全罩应用钢丝网或用钢板网制成。安全罩应设计成对轴承、润滑脂加注点、温度计、和其它检测点便利操作的型式，允许操作工在没有危险或不需要拆掉安全罩的任何部分情况下，进行日常的维护工作。在便利到达检测点的地方应设置装有锁定装置的检修门。防护罩应采用螺栓固定，不会被无意地拆除或移动。</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用于防护罩结构的所有低碳钢包括螺栓，螺母，垫圈，挡圈应热浸锌，除非有其他规定。安全罩的图纸在加工前应送交招标人批准。</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安全设计应符合GB5083《生产设备安全卫生设计总则》中的有关规定。</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带电设备接地电阻不应大于4Ω。</w:t>
      </w:r>
    </w:p>
    <w:p>
      <w:pPr>
        <w:spacing w:line="360" w:lineRule="auto"/>
        <w:ind w:left="239" w:leftChars="114" w:right="238" w:firstLine="480" w:firstLineChars="200"/>
        <w:jc w:val="both"/>
        <w:rPr>
          <w:rFonts w:ascii="宋体" w:cs="宋体"/>
          <w:bCs w:val="0"/>
          <w:color w:val="000000" w:themeColor="text1"/>
          <w:spacing w:val="0"/>
          <w:sz w:val="24"/>
          <w:szCs w:val="24"/>
          <w:highlight w:val="none"/>
          <w14:textFill>
            <w14:solidFill>
              <w14:schemeClr w14:val="tx1"/>
            </w14:solidFill>
          </w14:textFill>
        </w:rPr>
      </w:pPr>
      <w:r>
        <w:rPr>
          <w:rFonts w:hint="eastAsia" w:ascii="宋体" w:cs="宋体"/>
          <w:bCs w:val="0"/>
          <w:color w:val="000000" w:themeColor="text1"/>
          <w:spacing w:val="0"/>
          <w:sz w:val="24"/>
          <w:szCs w:val="24"/>
          <w:highlight w:val="none"/>
          <w14:textFill>
            <w14:solidFill>
              <w14:schemeClr w14:val="tx1"/>
            </w14:solidFill>
          </w14:textFill>
        </w:rPr>
        <w:t>2  技术参数和要求</w:t>
      </w:r>
      <w:bookmarkStart w:id="71" w:name="_Toc169605881"/>
    </w:p>
    <w:p>
      <w:pPr>
        <w:spacing w:line="360" w:lineRule="auto"/>
        <w:ind w:left="239" w:leftChars="114" w:right="238" w:firstLine="480" w:firstLineChars="200"/>
        <w:jc w:val="both"/>
        <w:rPr>
          <w:rFonts w:ascii="宋体" w:cs="宋体"/>
          <w:bCs w:val="0"/>
          <w:color w:val="000000" w:themeColor="text1"/>
          <w:spacing w:val="0"/>
          <w:sz w:val="24"/>
          <w:szCs w:val="24"/>
          <w:highlight w:val="none"/>
          <w14:textFill>
            <w14:solidFill>
              <w14:schemeClr w14:val="tx1"/>
            </w14:solidFill>
          </w14:textFill>
        </w:rPr>
      </w:pPr>
      <w:bookmarkStart w:id="72" w:name="_Hlk192775296"/>
      <w:r>
        <w:rPr>
          <w:rFonts w:hint="eastAsia" w:ascii="宋体" w:cs="宋体"/>
          <w:bCs w:val="0"/>
          <w:color w:val="000000" w:themeColor="text1"/>
          <w:spacing w:val="0"/>
          <w:sz w:val="24"/>
          <w:szCs w:val="24"/>
          <w:highlight w:val="none"/>
          <w14:textFill>
            <w14:solidFill>
              <w14:schemeClr w14:val="tx1"/>
            </w14:solidFill>
          </w14:textFill>
        </w:rPr>
        <w:t>2.</w:t>
      </w:r>
      <w:r>
        <w:rPr>
          <w:rFonts w:ascii="宋体" w:cs="宋体"/>
          <w:bCs w:val="0"/>
          <w:color w:val="000000" w:themeColor="text1"/>
          <w:spacing w:val="0"/>
          <w:sz w:val="24"/>
          <w:szCs w:val="24"/>
          <w:highlight w:val="none"/>
          <w14:textFill>
            <w14:solidFill>
              <w14:schemeClr w14:val="tx1"/>
            </w14:solidFill>
          </w14:textFill>
        </w:rPr>
        <w:t>1、机械格栅</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（1）设备数量</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旋转式机械格栅，</w:t>
      </w:r>
      <w:r>
        <w:rPr>
          <w:rFonts w:hint="eastAsia" w:ascii="宋体" w:cs="宋体"/>
          <w:b w:val="0"/>
          <w:bCs w:val="0"/>
          <w:color w:val="000000" w:themeColor="text1"/>
          <w:spacing w:val="0"/>
          <w:sz w:val="24"/>
          <w:szCs w:val="24"/>
          <w:highlight w:val="none"/>
          <w14:textFill>
            <w14:solidFill>
              <w14:schemeClr w14:val="tx1"/>
            </w14:solidFill>
          </w14:textFill>
        </w:rPr>
        <w:t>数量：1</w:t>
      </w:r>
      <w:r>
        <w:rPr>
          <w:rFonts w:ascii="宋体" w:cs="宋体"/>
          <w:b w:val="0"/>
          <w:bCs w:val="0"/>
          <w:color w:val="000000" w:themeColor="text1"/>
          <w:spacing w:val="0"/>
          <w:sz w:val="24"/>
          <w:szCs w:val="24"/>
          <w:highlight w:val="none"/>
          <w14:textFill>
            <w14:solidFill>
              <w14:schemeClr w14:val="tx1"/>
            </w14:solidFill>
          </w14:textFill>
        </w:rPr>
        <w:t>台。用于除去生活污水中杂物</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安装在污水处理站格栅井内。</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w:t>
      </w:r>
      <w:r>
        <w:rPr>
          <w:rFonts w:ascii="宋体" w:cs="宋体"/>
          <w:b w:val="0"/>
          <w:bCs w:val="0"/>
          <w:color w:val="000000" w:themeColor="text1"/>
          <w:spacing w:val="0"/>
          <w:sz w:val="24"/>
          <w:szCs w:val="24"/>
          <w:highlight w:val="none"/>
          <w14:textFill>
            <w14:solidFill>
              <w14:schemeClr w14:val="tx1"/>
            </w14:solidFill>
          </w14:textFill>
        </w:rPr>
        <w:t xml:space="preserve"> </w:t>
      </w:r>
      <w:r>
        <w:rPr>
          <w:rFonts w:hint="eastAsia" w:ascii="宋体" w:cs="宋体"/>
          <w:b w:val="0"/>
          <w:bCs w:val="0"/>
          <w:color w:val="000000" w:themeColor="text1"/>
          <w:spacing w:val="0"/>
          <w:sz w:val="24"/>
          <w:szCs w:val="24"/>
          <w:highlight w:val="none"/>
          <w14:textFill>
            <w14:solidFill>
              <w14:schemeClr w14:val="tx1"/>
            </w14:solidFill>
          </w14:textFill>
        </w:rPr>
        <w:t>设备参数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渠宽1.0m，渠深5.0m，栅条间隙＜5mm，安装角度75°，栅渣高度1000mm。具体尺寸需投标方自行到现场勘察，需与原系统匹配</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（3）设备材质</w:t>
      </w:r>
    </w:p>
    <w:tbl>
      <w:tblPr>
        <w:tblStyle w:val="140"/>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78"/>
        <w:gridCol w:w="6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8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部</w:t>
            </w:r>
            <w:r>
              <w:rPr>
                <w:rFonts w:ascii="宋体" w:cs="宋体"/>
                <w:b w:val="0"/>
                <w:bCs w:val="0"/>
                <w:color w:val="000000" w:themeColor="text1"/>
                <w:spacing w:val="0"/>
                <w:sz w:val="24"/>
                <w:szCs w:val="24"/>
                <w:highlight w:val="none"/>
                <w14:textFill>
                  <w14:solidFill>
                    <w14:schemeClr w14:val="tx1"/>
                  </w14:solidFill>
                </w14:textFill>
              </w:rPr>
              <w:t xml:space="preserve">   </w:t>
            </w:r>
            <w:r>
              <w:rPr>
                <w:rFonts w:hint="eastAsia" w:ascii="宋体" w:cs="宋体"/>
                <w:b w:val="0"/>
                <w:bCs w:val="0"/>
                <w:color w:val="000000" w:themeColor="text1"/>
                <w:spacing w:val="0"/>
                <w:sz w:val="24"/>
                <w:szCs w:val="24"/>
                <w:highlight w:val="none"/>
                <w14:textFill>
                  <w14:solidFill>
                    <w14:schemeClr w14:val="tx1"/>
                  </w14:solidFill>
                </w14:textFill>
              </w:rPr>
              <w:t>件</w:t>
            </w:r>
          </w:p>
        </w:tc>
        <w:tc>
          <w:tcPr>
            <w:tcW w:w="3415" w:type="pct"/>
            <w:vAlign w:val="center"/>
          </w:tcPr>
          <w:p>
            <w:pPr>
              <w:spacing w:line="360" w:lineRule="auto"/>
              <w:ind w:left="239" w:leftChars="114" w:right="238" w:firstLine="1680" w:firstLineChars="7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材</w:t>
            </w:r>
            <w:r>
              <w:rPr>
                <w:rFonts w:ascii="宋体" w:cs="宋体"/>
                <w:b w:val="0"/>
                <w:bCs w:val="0"/>
                <w:color w:val="000000" w:themeColor="text1"/>
                <w:spacing w:val="0"/>
                <w:sz w:val="24"/>
                <w:szCs w:val="24"/>
                <w:highlight w:val="none"/>
                <w14:textFill>
                  <w14:solidFill>
                    <w14:schemeClr w14:val="tx1"/>
                  </w14:solidFill>
                </w14:textFill>
              </w:rPr>
              <w:t xml:space="preserve">    </w:t>
            </w:r>
            <w:r>
              <w:rPr>
                <w:rFonts w:hint="eastAsia" w:ascii="宋体" w:cs="宋体"/>
                <w:b w:val="0"/>
                <w:bCs w:val="0"/>
                <w:color w:val="000000" w:themeColor="text1"/>
                <w:spacing w:val="0"/>
                <w:sz w:val="24"/>
                <w:szCs w:val="24"/>
                <w:highlight w:val="none"/>
                <w14:textFill>
                  <w14:solidFill>
                    <w14:schemeClr w14:val="tx1"/>
                  </w14:solidFill>
                </w14:textFill>
              </w:rPr>
              <w:t>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8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机架</w:t>
            </w:r>
          </w:p>
        </w:tc>
        <w:tc>
          <w:tcPr>
            <w:tcW w:w="3415" w:type="pct"/>
            <w:vAlign w:val="center"/>
          </w:tcPr>
          <w:p>
            <w:pPr>
              <w:spacing w:line="360" w:lineRule="auto"/>
              <w:ind w:left="274" w:right="238" w:firstLine="48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不锈钢</w:t>
            </w:r>
            <w:r>
              <w:rPr>
                <w:rFonts w:ascii="宋体" w:cs="宋体"/>
                <w:b w:val="0"/>
                <w:bCs w:val="0"/>
                <w:color w:val="000000" w:themeColor="text1"/>
                <w:spacing w:val="0"/>
                <w:sz w:val="24"/>
                <w:szCs w:val="24"/>
                <w:highlight w:val="none"/>
                <w14:textFill>
                  <w14:solidFill>
                    <w14:schemeClr w14:val="tx1"/>
                  </w14:solidFill>
                </w14:textFill>
              </w:rPr>
              <w:t>304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8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栅条</w:t>
            </w:r>
          </w:p>
        </w:tc>
        <w:tc>
          <w:tcPr>
            <w:tcW w:w="3415" w:type="pct"/>
            <w:vAlign w:val="center"/>
          </w:tcPr>
          <w:p>
            <w:pPr>
              <w:spacing w:line="360" w:lineRule="auto"/>
              <w:ind w:left="274" w:right="238" w:firstLine="48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不锈钢</w:t>
            </w:r>
            <w:r>
              <w:rPr>
                <w:rFonts w:ascii="宋体" w:cs="宋体"/>
                <w:b w:val="0"/>
                <w:bCs w:val="0"/>
                <w:color w:val="000000" w:themeColor="text1"/>
                <w:spacing w:val="0"/>
                <w:sz w:val="24"/>
                <w:szCs w:val="24"/>
                <w:highlight w:val="none"/>
                <w14:textFill>
                  <w14:solidFill>
                    <w14:schemeClr w14:val="tx1"/>
                  </w14:solidFill>
                </w14:textFill>
              </w:rPr>
              <w:t>304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8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挡板</w:t>
            </w:r>
          </w:p>
        </w:tc>
        <w:tc>
          <w:tcPr>
            <w:tcW w:w="3415" w:type="pct"/>
            <w:vAlign w:val="center"/>
          </w:tcPr>
          <w:p>
            <w:pPr>
              <w:spacing w:line="360" w:lineRule="auto"/>
              <w:ind w:left="274" w:right="238" w:firstLine="48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不锈钢</w:t>
            </w:r>
            <w:r>
              <w:rPr>
                <w:rFonts w:ascii="宋体" w:cs="宋体"/>
                <w:b w:val="0"/>
                <w:bCs w:val="0"/>
                <w:color w:val="000000" w:themeColor="text1"/>
                <w:spacing w:val="0"/>
                <w:sz w:val="24"/>
                <w:szCs w:val="24"/>
                <w:highlight w:val="none"/>
                <w14:textFill>
                  <w14:solidFill>
                    <w14:schemeClr w14:val="tx1"/>
                  </w14:solidFill>
                </w14:textFill>
              </w:rPr>
              <w:t>304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8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链轮与导轮</w:t>
            </w:r>
          </w:p>
        </w:tc>
        <w:tc>
          <w:tcPr>
            <w:tcW w:w="3415" w:type="pct"/>
            <w:vAlign w:val="center"/>
          </w:tcPr>
          <w:p>
            <w:pPr>
              <w:spacing w:line="360" w:lineRule="auto"/>
              <w:ind w:left="274" w:right="238" w:firstLine="48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不锈钢</w:t>
            </w:r>
            <w:r>
              <w:rPr>
                <w:rFonts w:ascii="宋体" w:cs="宋体"/>
                <w:b w:val="0"/>
                <w:bCs w:val="0"/>
                <w:color w:val="000000" w:themeColor="text1"/>
                <w:spacing w:val="0"/>
                <w:sz w:val="24"/>
                <w:szCs w:val="24"/>
                <w:highlight w:val="none"/>
                <w14:textFill>
                  <w14:solidFill>
                    <w14:schemeClr w14:val="tx1"/>
                  </w14:solidFill>
                </w14:textFill>
              </w:rPr>
              <w:t>304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8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传动链</w:t>
            </w:r>
          </w:p>
        </w:tc>
        <w:tc>
          <w:tcPr>
            <w:tcW w:w="3415" w:type="pct"/>
            <w:vAlign w:val="center"/>
          </w:tcPr>
          <w:p>
            <w:pPr>
              <w:spacing w:line="360" w:lineRule="auto"/>
              <w:ind w:left="274" w:right="238" w:firstLine="48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不锈钢</w:t>
            </w:r>
            <w:r>
              <w:rPr>
                <w:rFonts w:ascii="宋体" w:cs="宋体"/>
                <w:b w:val="0"/>
                <w:bCs w:val="0"/>
                <w:color w:val="000000" w:themeColor="text1"/>
                <w:spacing w:val="0"/>
                <w:sz w:val="24"/>
                <w:szCs w:val="24"/>
                <w:highlight w:val="none"/>
                <w14:textFill>
                  <w14:solidFill>
                    <w14:schemeClr w14:val="tx1"/>
                  </w14:solidFill>
                </w14:textFill>
              </w:rPr>
              <w:t>304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8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传动轴</w:t>
            </w:r>
          </w:p>
        </w:tc>
        <w:tc>
          <w:tcPr>
            <w:tcW w:w="3415" w:type="pct"/>
            <w:vAlign w:val="center"/>
          </w:tcPr>
          <w:p>
            <w:pPr>
              <w:spacing w:line="360" w:lineRule="auto"/>
              <w:ind w:left="274" w:right="238" w:firstLine="48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不锈钢</w:t>
            </w:r>
            <w:r>
              <w:rPr>
                <w:rFonts w:ascii="宋体" w:cs="宋体"/>
                <w:b w:val="0"/>
                <w:bCs w:val="0"/>
                <w:color w:val="000000" w:themeColor="text1"/>
                <w:spacing w:val="0"/>
                <w:sz w:val="24"/>
                <w:szCs w:val="24"/>
                <w:highlight w:val="none"/>
                <w14:textFill>
                  <w14:solidFill>
                    <w14:schemeClr w14:val="tx1"/>
                  </w14:solidFill>
                </w14:textFill>
              </w:rPr>
              <w:t>304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58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耙</w:t>
            </w:r>
          </w:p>
        </w:tc>
        <w:tc>
          <w:tcPr>
            <w:tcW w:w="3415" w:type="pct"/>
            <w:vAlign w:val="center"/>
          </w:tcPr>
          <w:p>
            <w:pPr>
              <w:spacing w:line="360" w:lineRule="auto"/>
              <w:ind w:left="274" w:right="238" w:firstLine="48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不锈钢</w:t>
            </w:r>
            <w:r>
              <w:rPr>
                <w:rFonts w:ascii="宋体" w:cs="宋体"/>
                <w:b w:val="0"/>
                <w:bCs w:val="0"/>
                <w:color w:val="000000" w:themeColor="text1"/>
                <w:spacing w:val="0"/>
                <w:sz w:val="24"/>
                <w:szCs w:val="24"/>
                <w:highlight w:val="none"/>
                <w14:textFill>
                  <w14:solidFill>
                    <w14:schemeClr w14:val="tx1"/>
                  </w14:solidFill>
                </w14:textFill>
              </w:rPr>
              <w:t>304</w:t>
            </w:r>
          </w:p>
        </w:tc>
      </w:tr>
    </w:tbl>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w:t>
      </w:r>
      <w:r>
        <w:rPr>
          <w:rFonts w:hint="eastAsia" w:ascii="宋体" w:cs="宋体"/>
          <w:b w:val="0"/>
          <w:bCs w:val="0"/>
          <w:color w:val="000000" w:themeColor="text1"/>
          <w:spacing w:val="0"/>
          <w:sz w:val="24"/>
          <w:szCs w:val="24"/>
          <w:highlight w:val="none"/>
          <w14:textFill>
            <w14:solidFill>
              <w14:schemeClr w14:val="tx1"/>
            </w14:solidFill>
          </w14:textFill>
        </w:rPr>
        <w:t>4</w:t>
      </w:r>
      <w:r>
        <w:rPr>
          <w:rFonts w:ascii="宋体" w:cs="宋体"/>
          <w:b w:val="0"/>
          <w:bCs w:val="0"/>
          <w:color w:val="000000" w:themeColor="text1"/>
          <w:spacing w:val="0"/>
          <w:sz w:val="24"/>
          <w:szCs w:val="24"/>
          <w:highlight w:val="none"/>
          <w14:textFill>
            <w14:solidFill>
              <w14:schemeClr w14:val="tx1"/>
            </w14:solidFill>
          </w14:textFill>
        </w:rPr>
        <w:t>)设备各部件</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格栅清污机为整体结构，在驱动装置作用下，回转牵引链由下向上作回转运动，当牵引链上的齿耙轴运转至栅条的迎水面时，齿耙即插入栅条的缝隙中作清捞动作，将栅条上所截留的杂物刮入耙中。齿耙可清除较大的垃圾</w:t>
      </w:r>
      <w:r>
        <w:rPr>
          <w:rFonts w:ascii="宋体" w:cs="宋体"/>
          <w:b w:val="0"/>
          <w:bCs w:val="0"/>
          <w:color w:val="000000" w:themeColor="text1"/>
          <w:spacing w:val="0"/>
          <w:sz w:val="24"/>
          <w:szCs w:val="24"/>
          <w:highlight w:val="none"/>
          <w14:textFill>
            <w14:solidFill>
              <w14:schemeClr w14:val="tx1"/>
            </w14:solidFill>
          </w14:textFill>
        </w:rPr>
        <w:t>(青草、树枝、塑料薄膜)及杂物，清捞率达90%以上。</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①机架及机架护罩：</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a.格栅除污机的机架及两侧墙板，两墙板间隔一定距离设置槽钢横撑，</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在格栅中间槽钢上设置栅条和挡渣板，焊接后的格栅机架形成一刚性整体。具有很高的强度和刚度，格栅机架在栅前栅后较大水位差的条件下以及在运输安装阶段均不会发生扭曲变形现象。</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b.两墙板间隔一定距离设置槽钢横撑，在格栅中间槽钢上设置栅条和挡渣板。焊接后的格栅机架为一整体，并具有足够的强度和钢度，格栅机架有栅前栅后1.0米水位差的条件下以及在运输安装阶段均不会发生扭曲变形现象。</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c.机架平台处的二侧设置连接支座，与基础平台之间通过安装槽钢联接，安装槽钢的上端与机架用螺栓连接。</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d.格栅两侧导轨截面为矩形并能防止栅渣的侵入而影响除污机的工作，机架采用型钢和钢板制成，形成一个刚性支承结构。</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②驱动装置：</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a、电机驱动装置与格栅除污机为一体，电机与减速机应为同一生产制造商。</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b、回转减速机应传动效率高，设备运行噪声</w:t>
      </w:r>
      <w:r>
        <w:rPr>
          <w:rFonts w:hint="eastAsia" w:ascii="宋体" w:cs="宋体"/>
          <w:b w:val="0"/>
          <w:bCs w:val="0"/>
          <w:color w:val="000000" w:themeColor="text1"/>
          <w:spacing w:val="0"/>
          <w:sz w:val="24"/>
          <w:szCs w:val="24"/>
          <w:highlight w:val="none"/>
          <w14:textFill>
            <w14:solidFill>
              <w14:schemeClr w14:val="tx1"/>
            </w14:solidFill>
          </w14:textFill>
        </w:rPr>
        <w:t>低</w:t>
      </w:r>
      <w:r>
        <w:rPr>
          <w:rFonts w:ascii="宋体" w:cs="宋体"/>
          <w:b w:val="0"/>
          <w:bCs w:val="0"/>
          <w:color w:val="000000" w:themeColor="text1"/>
          <w:spacing w:val="0"/>
          <w:sz w:val="24"/>
          <w:szCs w:val="24"/>
          <w:highlight w:val="none"/>
          <w14:textFill>
            <w14:solidFill>
              <w14:schemeClr w14:val="tx1"/>
            </w14:solidFill>
          </w14:textFill>
        </w:rPr>
        <w:t>，运行平稳可靠。为避免冲击负荷对设备的损坏，除设有过载保护装置外，还设有电气过载保护系统，设备的所有转动部位的润滑可方便进行。</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c、电机防护等级为IP55,绝缘等级为F级，驱动装置设有防护罩，其结构形式便于维护检查，并满足室外安装的要求。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d、传动轴的设计具有足够的强度和刚度，以承受弯矩和扭矩同时作用的载荷。</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e、电机适合于380V,3相，50Hz,电机额定功率比格栅机实耗功率大10%,电机转速不超过1500r/min,电机符合相关条款的规定。</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f、驱动装置安装在机架上部，设有机械过扭矩保护装置，采用碟簧和顶杆及接近开关(常开),当机械发生过载时，接近开关闭合，电机立即断电并发出报警，该装置动作精确可靠，可有效防止因超负荷对电机减速机造成损伤。并配置张紧轮装置，拆装方便，外形精</w:t>
      </w:r>
      <w:r>
        <w:rPr>
          <w:rFonts w:hint="eastAsia" w:ascii="宋体" w:cs="宋体"/>
          <w:b w:val="0"/>
          <w:bCs w:val="0"/>
          <w:color w:val="000000" w:themeColor="text1"/>
          <w:spacing w:val="0"/>
          <w:sz w:val="24"/>
          <w:szCs w:val="24"/>
          <w:highlight w:val="none"/>
          <w14:textFill>
            <w14:solidFill>
              <w14:schemeClr w14:val="tx1"/>
            </w14:solidFill>
          </w14:textFill>
        </w:rPr>
        <w:t>巧美观。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g、电器过载保护装置采用热继电器，当机械发生故障或超负荷时会自动停机并发出报警，该装置动作灵敏可靠。</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h、减速机轴承具有良好的润滑，驱动轴的设计具有足够的强度和刚度，以承受弯矩和扭矩同时工作的载荷。</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③格栅本体：</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a、整个格栅部件直接安装在渠道上，水中的固体物由栅条拦截，通过耙齿送到格栅驱动装置后部的较高位置后排放。</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b、格栅的栅条采用扁钢制作，厚度不小于10mm,材质为不锈钢304,栅条迎水面无锐角，以避免在栅条上的挂结垃圾。</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c、格栅采用间距相等的直线型栅条，以倾斜方式安装，布置在整个宽度范围内，牢固地固定在栅条架上。</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d、栅条与格栅面垂直，固定牢固、可靠，具有足够的强度和刚度，在运输、安装、运行过程中无扭曲变形。</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e、栅条迎水面无锐角，以方便去除堆积在栅条上垃圾，栅条高出水位线300mm,并在栅前采用循环链牵引的前置耙式机构进行清污。</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f、回转式格栅的链条直线度偏差全长不超过1/1000,栅条迎水面无锐角，以方便去除堆积在栅条上的垃圾，栅条上部为拦污挡板。</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g、栅框与渠壁间的空缝采用橡胶板挡住防止废水从格栅旁边流过，橡胶板与栅框连接在一起。在栅框的两侧各有一个环链带动齿耙，齿耙从格栅背面落下，从正面升起。环链与直、反面上部和下部齿轮相咬合，在进水面处，下部导轨和齿轮用钢板在导向装置间保护起来。</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h、当耙齿与栅条啮合时，耙齿与栅条垂直方向有一定的夹角，以防止污水内较低小的污物积聚。</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④拦污挡板</w:t>
      </w:r>
    </w:p>
    <w:p>
      <w:pPr>
        <w:tabs>
          <w:tab w:val="left" w:pos="2968"/>
        </w:tabs>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a、拦污挡板位置从格栅本体的顶部起直至齿耙排污处为止，拦污挡板</w:t>
      </w:r>
      <w:r>
        <w:rPr>
          <w:rFonts w:hint="eastAsia" w:ascii="宋体" w:cs="宋体"/>
          <w:b w:val="0"/>
          <w:bCs w:val="0"/>
          <w:color w:val="000000" w:themeColor="text1"/>
          <w:spacing w:val="0"/>
          <w:sz w:val="24"/>
          <w:szCs w:val="24"/>
          <w:highlight w:val="none"/>
          <w14:textFill>
            <w14:solidFill>
              <w14:schemeClr w14:val="tx1"/>
            </w14:solidFill>
          </w14:textFill>
        </w:rPr>
        <w:t>的设计保证齿耙在运行时落下的物料全部重新挡回格栅上游。</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b、排污卸料装置伸出一定长度，并保证物料卸入接渣装置。</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c、卸料板采用可拆卸的，设置机械装置方便人工清除。</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⑤耙栅装置</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a、耙栅装置的水下轴承采用自润滑结构型式，格栅链条侧向设置挡片，以防止垃圾进入链条，避免故障发生。</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b、齿耙上设有两边带斜度的齿，插入格栅的栅条，并清除栅条的前表面及侧边的垃圾，齿耙为刚性连接，采用链条在格栅二侧导轨内移动的方式，将齿耙沿栅条前面向上牵引，齿耙的运行速度约为3m/min。</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c、除污耙齿采用线切割加工成形，齿形精度高，与栅条啮合准确，除渣干净彻底。</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d、上部链轮设计成防磨损和防腐蚀，同时链轮下挡板保证链轮不被污物卡死。</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e、头部的主驱动轴可调节，以拉紧耙的链条，链条和链轮相互匹配，</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以减少传动时的磨损。</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f、清污机的栅条放置于齿耙索引链的中间位置，以避免硬物带入底部将齿耙及牵引链卡死造成故障。</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⑥传动装置</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a、齿耙传动运行平稳，无噪音。</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b、格栅清污机采用封闭式牵引链设计，以防止杂物进入牵引链中将牵引链卡死。牵引链主要由链板、链销和滚子组成，运行时由机架上的导轨作导向，滚子在导轨上作滚动运动。</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c、传动链条带动链轮旋转保证两侧受力均衡，平行向上运动，并把设于两根牵引链条上的耙齿缓慢地向上耙污。</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d、传动链强度满足运行要求，全部的链销子、套筒等经过渗碳淬火处理。</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e、链条采用特制的宽链板不锈钢链条，链条的安全系数不小于6,并设有链轮张紧调节装置。在链槽中运转时，无其他阻渣装置，可有效防止栅渣缠入链槽，避免了卡阻现象。</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f、链槽内装设特殊材料垫层，既减小了运行时的磨擦阻力，又减小了运行噪声。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⑦导向装置</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格栅的导向装置由</w:t>
      </w:r>
      <w:r>
        <w:rPr>
          <w:rFonts w:ascii="宋体" w:cs="宋体"/>
          <w:b w:val="0"/>
          <w:bCs w:val="0"/>
          <w:color w:val="000000" w:themeColor="text1"/>
          <w:spacing w:val="0"/>
          <w:sz w:val="24"/>
          <w:szCs w:val="24"/>
          <w:highlight w:val="none"/>
          <w14:textFill>
            <w14:solidFill>
              <w14:schemeClr w14:val="tx1"/>
            </w14:solidFill>
          </w14:textFill>
        </w:rPr>
        <w:t>4组导向轮组成，分别置于机架两侧的上部和下部，主要作用是改变格栅齿耙的运行方向。</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⑧轴承</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水下轴承采用水润滑滑动轴承，不需加油脂润滑。</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⑨水底拦栅</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格栅底部设有一个可以活动的可有效防止底部污物通过格栅的水底拦栅，当格栅齿耙通过时推动其转动使齿耙顺利通过并耙走污物，齿耙通过后水底拦栅依靠重力自由落下，为减少其自由落下对格栅栅体碰撞冲击，在水底拦栅上设有橡胶防震片。</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清污机底部设有防止脱链的保护措施及装置，水下轴组采用不锈钢材料。</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w:t>
      </w:r>
      <w:r>
        <w:rPr>
          <w:rFonts w:hint="eastAsia" w:ascii="宋体" w:cs="宋体"/>
          <w:b w:val="0"/>
          <w:bCs w:val="0"/>
          <w:color w:val="000000" w:themeColor="text1"/>
          <w:spacing w:val="0"/>
          <w:sz w:val="24"/>
          <w:szCs w:val="24"/>
          <w:highlight w:val="none"/>
          <w14:textFill>
            <w14:solidFill>
              <w14:schemeClr w14:val="tx1"/>
            </w14:solidFill>
          </w14:textFill>
        </w:rPr>
        <w:t>4</w:t>
      </w:r>
      <w:r>
        <w:rPr>
          <w:rFonts w:ascii="宋体" w:cs="宋体"/>
          <w:b w:val="0"/>
          <w:bCs w:val="0"/>
          <w:color w:val="000000" w:themeColor="text1"/>
          <w:spacing w:val="0"/>
          <w:sz w:val="24"/>
          <w:szCs w:val="24"/>
          <w:highlight w:val="none"/>
          <w14:textFill>
            <w14:solidFill>
              <w14:schemeClr w14:val="tx1"/>
            </w14:solidFill>
          </w14:textFill>
        </w:rPr>
        <w:t>)焊接</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整机为连续焊接，各部件焊缝平整光滑，无任何虚焊、假焊、裂缝及未溶合焊透缺陷。</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w:t>
      </w:r>
      <w:r>
        <w:rPr>
          <w:rFonts w:hint="eastAsia" w:ascii="宋体" w:cs="宋体"/>
          <w:b w:val="0"/>
          <w:bCs w:val="0"/>
          <w:color w:val="000000" w:themeColor="text1"/>
          <w:spacing w:val="0"/>
          <w:sz w:val="24"/>
          <w:szCs w:val="24"/>
          <w:highlight w:val="none"/>
          <w14:textFill>
            <w14:solidFill>
              <w14:schemeClr w14:val="tx1"/>
            </w14:solidFill>
          </w14:textFill>
        </w:rPr>
        <w:t>5</w:t>
      </w:r>
      <w:r>
        <w:rPr>
          <w:rFonts w:ascii="宋体" w:cs="宋体"/>
          <w:b w:val="0"/>
          <w:bCs w:val="0"/>
          <w:color w:val="000000" w:themeColor="text1"/>
          <w:spacing w:val="0"/>
          <w:sz w:val="24"/>
          <w:szCs w:val="24"/>
          <w:highlight w:val="none"/>
          <w14:textFill>
            <w14:solidFill>
              <w14:schemeClr w14:val="tx1"/>
            </w14:solidFill>
          </w14:textFill>
        </w:rPr>
        <w:t>)保护功能</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驱动装置具有机械和电气双重过载保护及紧急停车装置，设备过负荷时采用双重保护，一是在传动链中设安全销，在过载的情况下可瞬间切断输出动力；二是从电器上实现过电流自保和热过载保护措施，一旦出现电机过载现象即切断供电电源。</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（6）</w:t>
      </w:r>
      <w:r>
        <w:rPr>
          <w:rFonts w:ascii="宋体" w:cs="宋体"/>
          <w:b w:val="0"/>
          <w:bCs w:val="0"/>
          <w:color w:val="000000" w:themeColor="text1"/>
          <w:spacing w:val="0"/>
          <w:sz w:val="24"/>
          <w:szCs w:val="24"/>
          <w:highlight w:val="none"/>
          <w14:textFill>
            <w14:solidFill>
              <w14:schemeClr w14:val="tx1"/>
            </w14:solidFill>
          </w14:textFill>
        </w:rPr>
        <w:t>抗腐蚀</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制造机械格栅的全部材料适用于污水或水面上的腐蚀性气体，格栅的整体结构、紧固件和传动部件全部采用不锈钢制成。</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（7）</w:t>
      </w:r>
      <w:r>
        <w:rPr>
          <w:rFonts w:ascii="宋体" w:cs="宋体"/>
          <w:b w:val="0"/>
          <w:bCs w:val="0"/>
          <w:color w:val="000000" w:themeColor="text1"/>
          <w:spacing w:val="0"/>
          <w:sz w:val="24"/>
          <w:szCs w:val="24"/>
          <w:highlight w:val="none"/>
          <w14:textFill>
            <w14:solidFill>
              <w14:schemeClr w14:val="tx1"/>
            </w14:solidFill>
          </w14:textFill>
        </w:rPr>
        <w:t>控制箱</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格栅系统随工艺设备配套提供格栅控制箱</w:t>
      </w:r>
      <w:r>
        <w:rPr>
          <w:rFonts w:ascii="宋体" w:cs="宋体"/>
          <w:b w:val="0"/>
          <w:bCs w:val="0"/>
          <w:color w:val="000000" w:themeColor="text1"/>
          <w:spacing w:val="0"/>
          <w:sz w:val="24"/>
          <w:szCs w:val="24"/>
          <w:highlight w:val="none"/>
          <w14:textFill>
            <w14:solidFill>
              <w14:schemeClr w14:val="tx1"/>
            </w14:solidFill>
          </w14:textFill>
        </w:rPr>
        <w:t>1台。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主要技术参数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三相四线</w:t>
      </w:r>
      <w:r>
        <w:rPr>
          <w:rFonts w:ascii="宋体" w:cs="宋体"/>
          <w:b w:val="0"/>
          <w:bCs w:val="0"/>
          <w:color w:val="000000" w:themeColor="text1"/>
          <w:spacing w:val="0"/>
          <w:sz w:val="24"/>
          <w:szCs w:val="24"/>
          <w:highlight w:val="none"/>
          <w14:textFill>
            <w14:solidFill>
              <w14:schemeClr w14:val="tx1"/>
            </w14:solidFill>
          </w14:textFill>
        </w:rPr>
        <w:t>TN-S系统；额定工作电压：0.4kV;额定工作频率：50Hz;额定绝缘电压：660VAC 主母线最大工作电流：根据受控设备容量定；环境温度：-5℃-- 40℃;</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相对湿度：小于</w:t>
      </w:r>
      <w:r>
        <w:rPr>
          <w:rFonts w:ascii="宋体" w:cs="宋体"/>
          <w:b w:val="0"/>
          <w:bCs w:val="0"/>
          <w:color w:val="000000" w:themeColor="text1"/>
          <w:spacing w:val="0"/>
          <w:sz w:val="24"/>
          <w:szCs w:val="24"/>
          <w:highlight w:val="none"/>
          <w14:textFill>
            <w14:solidFill>
              <w14:schemeClr w14:val="tx1"/>
            </w14:solidFill>
          </w14:textFill>
        </w:rPr>
        <w:t>40℃条件下，最大95%;保护等级：IP55</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主要技术要求：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1)箱体外壳箱体外壳采用不锈钢材质SS304。</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2)主要元器件</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箱内母线全部采用符合</w:t>
      </w:r>
      <w:r>
        <w:rPr>
          <w:rFonts w:ascii="宋体" w:cs="宋体"/>
          <w:b w:val="0"/>
          <w:bCs w:val="0"/>
          <w:color w:val="000000" w:themeColor="text1"/>
          <w:spacing w:val="0"/>
          <w:sz w:val="24"/>
          <w:szCs w:val="24"/>
          <w:highlight w:val="none"/>
          <w14:textFill>
            <w14:solidFill>
              <w14:schemeClr w14:val="tx1"/>
            </w14:solidFill>
          </w14:textFill>
        </w:rPr>
        <w:t>IEC及国标的含铜量为99.7%的铜质母排，全部母线用热塑绝缘套管覆盖。配线采用铜绝缘导线；</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箱面应安装急停按钮，事故时对整个粗格栅系统紧急停车以防人身伤亡事故的发生；</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箱面应安装“手动——停——自动”转换开关用以选择操作方式且所有点击应同时随转换开关改变操作方式；</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箱面应安装</w:t>
      </w:r>
      <w:r>
        <w:rPr>
          <w:rFonts w:ascii="宋体" w:cs="宋体"/>
          <w:b w:val="0"/>
          <w:bCs w:val="0"/>
          <w:color w:val="000000" w:themeColor="text1"/>
          <w:spacing w:val="0"/>
          <w:sz w:val="24"/>
          <w:szCs w:val="24"/>
          <w:highlight w:val="none"/>
          <w14:textFill>
            <w14:solidFill>
              <w14:schemeClr w14:val="tx1"/>
            </w14:solidFill>
          </w14:textFill>
        </w:rPr>
        <w:t>1只电源指示灯；</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对于每台电机应在箱面安装启动、停止按钮及运行、停止、故障指示灯；箱内安装断路器、接触器、热继电器及中间继电器等元件以实现对设备的供电与控制。</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3)控制要求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格栅应配有现场控制箱，</w:t>
      </w:r>
      <w:r>
        <w:rPr>
          <w:rFonts w:ascii="宋体" w:cs="宋体"/>
          <w:b w:val="0"/>
          <w:bCs w:val="0"/>
          <w:color w:val="000000" w:themeColor="text1"/>
          <w:spacing w:val="0"/>
          <w:sz w:val="24"/>
          <w:szCs w:val="24"/>
          <w:highlight w:val="none"/>
          <w14:textFill>
            <w14:solidFill>
              <w14:schemeClr w14:val="tx1"/>
            </w14:solidFill>
          </w14:textFill>
        </w:rPr>
        <w:t>集中控制间和现场同时控制，电机功率1.1kw。</w:t>
      </w:r>
      <w:r>
        <w:rPr>
          <w:rFonts w:hint="eastAsia" w:ascii="宋体" w:cs="宋体"/>
          <w:b w:val="0"/>
          <w:bCs w:val="0"/>
          <w:color w:val="000000" w:themeColor="text1"/>
          <w:spacing w:val="0"/>
          <w:sz w:val="24"/>
          <w:szCs w:val="24"/>
          <w:highlight w:val="none"/>
          <w14:textFill>
            <w14:solidFill>
              <w14:schemeClr w14:val="tx1"/>
            </w14:solidFill>
          </w14:textFill>
        </w:rPr>
        <w:t>其功能有：运行指示灯，启、停控制按钮，紧急停车按钮，维护用插座，就地</w:t>
      </w:r>
      <w:r>
        <w:rPr>
          <w:rFonts w:ascii="宋体" w:cs="宋体"/>
          <w:b w:val="0"/>
          <w:bCs w:val="0"/>
          <w:color w:val="000000" w:themeColor="text1"/>
          <w:spacing w:val="0"/>
          <w:sz w:val="24"/>
          <w:szCs w:val="24"/>
          <w:highlight w:val="none"/>
          <w14:textFill>
            <w14:solidFill>
              <w14:schemeClr w14:val="tx1"/>
            </w14:solidFill>
          </w14:textFill>
        </w:rPr>
        <w:t>/远控转换开关等功能。并且各功能有PLC接口，防护等级IP55,支架式安装。格栅能由时间控制开停。</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（8）</w:t>
      </w:r>
      <w:r>
        <w:rPr>
          <w:rFonts w:ascii="宋体" w:cs="宋体"/>
          <w:b w:val="0"/>
          <w:bCs w:val="0"/>
          <w:color w:val="000000" w:themeColor="text1"/>
          <w:spacing w:val="0"/>
          <w:sz w:val="24"/>
          <w:szCs w:val="24"/>
          <w:highlight w:val="none"/>
          <w14:textFill>
            <w14:solidFill>
              <w14:schemeClr w14:val="tx1"/>
            </w14:solidFill>
          </w14:textFill>
        </w:rPr>
        <w:t xml:space="preserve"> 要求随机附产品样本、说明书、合格证各</w:t>
      </w:r>
      <w:r>
        <w:rPr>
          <w:rFonts w:hint="eastAsia" w:ascii="宋体" w:cs="宋体"/>
          <w:b w:val="0"/>
          <w:bCs w:val="0"/>
          <w:color w:val="000000" w:themeColor="text1"/>
          <w:spacing w:val="0"/>
          <w:sz w:val="24"/>
          <w:szCs w:val="24"/>
          <w:highlight w:val="none"/>
          <w14:textFill>
            <w14:solidFill>
              <w14:schemeClr w14:val="tx1"/>
            </w14:solidFill>
          </w14:textFill>
        </w:rPr>
        <w:t>一</w:t>
      </w:r>
      <w:r>
        <w:rPr>
          <w:rFonts w:ascii="宋体" w:cs="宋体"/>
          <w:b w:val="0"/>
          <w:bCs w:val="0"/>
          <w:color w:val="000000" w:themeColor="text1"/>
          <w:spacing w:val="0"/>
          <w:sz w:val="24"/>
          <w:szCs w:val="24"/>
          <w:highlight w:val="none"/>
          <w14:textFill>
            <w14:solidFill>
              <w14:schemeClr w14:val="tx1"/>
            </w14:solidFill>
          </w14:textFill>
        </w:rPr>
        <w:t>份。</w:t>
      </w:r>
    </w:p>
    <w:p>
      <w:pPr>
        <w:spacing w:line="360" w:lineRule="auto"/>
        <w:ind w:left="239" w:leftChars="114" w:right="238" w:firstLine="480" w:firstLineChars="200"/>
        <w:jc w:val="both"/>
        <w:rPr>
          <w:rFonts w:ascii="宋体" w:cs="宋体"/>
          <w:bCs w:val="0"/>
          <w:color w:val="000000" w:themeColor="text1"/>
          <w:spacing w:val="0"/>
          <w:sz w:val="24"/>
          <w:szCs w:val="24"/>
          <w:highlight w:val="none"/>
          <w14:textFill>
            <w14:solidFill>
              <w14:schemeClr w14:val="tx1"/>
            </w14:solidFill>
          </w14:textFill>
        </w:rPr>
      </w:pPr>
      <w:r>
        <w:rPr>
          <w:rFonts w:hint="eastAsia" w:ascii="宋体" w:cs="宋体"/>
          <w:bCs w:val="0"/>
          <w:color w:val="000000" w:themeColor="text1"/>
          <w:spacing w:val="0"/>
          <w:sz w:val="24"/>
          <w:szCs w:val="24"/>
          <w:highlight w:val="none"/>
          <w14:textFill>
            <w14:solidFill>
              <w14:schemeClr w14:val="tx1"/>
            </w14:solidFill>
          </w14:textFill>
        </w:rPr>
        <w:t>2.2</w:t>
      </w:r>
      <w:r>
        <w:rPr>
          <w:rFonts w:ascii="宋体" w:cs="宋体"/>
          <w:bCs w:val="0"/>
          <w:color w:val="000000" w:themeColor="text1"/>
          <w:spacing w:val="0"/>
          <w:sz w:val="24"/>
          <w:szCs w:val="24"/>
          <w:highlight w:val="none"/>
          <w14:textFill>
            <w14:solidFill>
              <w14:schemeClr w14:val="tx1"/>
            </w14:solidFill>
          </w14:textFill>
        </w:rPr>
        <w:t>、</w:t>
      </w:r>
      <w:r>
        <w:rPr>
          <w:rFonts w:hint="eastAsia" w:ascii="宋体" w:cs="宋体"/>
          <w:bCs w:val="0"/>
          <w:color w:val="000000" w:themeColor="text1"/>
          <w:spacing w:val="0"/>
          <w:sz w:val="24"/>
          <w:szCs w:val="24"/>
          <w:highlight w:val="none"/>
          <w14:textFill>
            <w14:solidFill>
              <w14:schemeClr w14:val="tx1"/>
            </w14:solidFill>
          </w14:textFill>
        </w:rPr>
        <w:t>潜水搅拌机</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设备数量：</w:t>
      </w:r>
      <w:r>
        <w:rPr>
          <w:rFonts w:ascii="宋体" w:cs="宋体"/>
          <w:b w:val="0"/>
          <w:bCs w:val="0"/>
          <w:color w:val="000000" w:themeColor="text1"/>
          <w:spacing w:val="0"/>
          <w:sz w:val="24"/>
          <w:szCs w:val="24"/>
          <w:highlight w:val="none"/>
          <w14:textFill>
            <w14:solidFill>
              <w14:schemeClr w14:val="tx1"/>
            </w14:solidFill>
          </w14:textFill>
        </w:rPr>
        <w:t>5</w:t>
      </w:r>
      <w:r>
        <w:rPr>
          <w:rFonts w:hint="eastAsia" w:ascii="宋体" w:cs="宋体"/>
          <w:b w:val="0"/>
          <w:bCs w:val="0"/>
          <w:color w:val="000000" w:themeColor="text1"/>
          <w:spacing w:val="0"/>
          <w:sz w:val="24"/>
          <w:szCs w:val="24"/>
          <w:highlight w:val="none"/>
          <w14:textFill>
            <w14:solidFill>
              <w14:schemeClr w14:val="tx1"/>
            </w14:solidFill>
          </w14:textFill>
        </w:rPr>
        <w:t>台潜水搅拌机，桨叶直径</w:t>
      </w:r>
      <w:r>
        <w:rPr>
          <w:rFonts w:ascii="宋体" w:cs="宋体"/>
          <w:b w:val="0"/>
          <w:bCs w:val="0"/>
          <w:color w:val="000000" w:themeColor="text1"/>
          <w:spacing w:val="0"/>
          <w:sz w:val="24"/>
          <w:szCs w:val="24"/>
          <w:highlight w:val="none"/>
          <w14:textFill>
            <w14:solidFill>
              <w14:schemeClr w14:val="tx1"/>
            </w14:solidFill>
          </w14:textFill>
        </w:rPr>
        <w:t>320mm，功率2.2KW</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功能描述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搅拌机全浸没在污水、污泥中</w:t>
      </w:r>
      <w:r>
        <w:rPr>
          <w:rFonts w:ascii="宋体" w:cs="宋体"/>
          <w:b w:val="0"/>
          <w:bCs w:val="0"/>
          <w:color w:val="000000" w:themeColor="text1"/>
          <w:spacing w:val="0"/>
          <w:sz w:val="24"/>
          <w:szCs w:val="24"/>
          <w:highlight w:val="none"/>
          <w14:textFill>
            <w14:solidFill>
              <w14:schemeClr w14:val="tx1"/>
            </w14:solidFill>
          </w14:textFill>
        </w:rPr>
        <w:t xml:space="preserve">, </w:t>
      </w:r>
      <w:r>
        <w:rPr>
          <w:rFonts w:hint="eastAsia" w:ascii="宋体" w:cs="宋体"/>
          <w:b w:val="0"/>
          <w:bCs w:val="0"/>
          <w:color w:val="000000" w:themeColor="text1"/>
          <w:spacing w:val="0"/>
          <w:sz w:val="24"/>
          <w:szCs w:val="24"/>
          <w:highlight w:val="none"/>
          <w14:textFill>
            <w14:solidFill>
              <w14:schemeClr w14:val="tx1"/>
            </w14:solidFill>
          </w14:textFill>
        </w:rPr>
        <w:t>工作时液体在旋转桨叶的作用下</w:t>
      </w:r>
      <w:r>
        <w:rPr>
          <w:rFonts w:ascii="宋体" w:cs="宋体"/>
          <w:b w:val="0"/>
          <w:bCs w:val="0"/>
          <w:color w:val="000000" w:themeColor="text1"/>
          <w:spacing w:val="0"/>
          <w:sz w:val="24"/>
          <w:szCs w:val="24"/>
          <w:highlight w:val="none"/>
          <w14:textFill>
            <w14:solidFill>
              <w14:schemeClr w14:val="tx1"/>
            </w14:solidFill>
          </w14:textFill>
        </w:rPr>
        <w:t xml:space="preserve">, </w:t>
      </w:r>
      <w:r>
        <w:rPr>
          <w:rFonts w:hint="eastAsia" w:ascii="宋体" w:cs="宋体"/>
          <w:b w:val="0"/>
          <w:bCs w:val="0"/>
          <w:color w:val="000000" w:themeColor="text1"/>
          <w:spacing w:val="0"/>
          <w:sz w:val="24"/>
          <w:szCs w:val="24"/>
          <w:highlight w:val="none"/>
          <w14:textFill>
            <w14:solidFill>
              <w14:schemeClr w14:val="tx1"/>
            </w14:solidFill>
          </w14:textFill>
        </w:rPr>
        <w:t>产生轴向流动</w:t>
      </w:r>
      <w:r>
        <w:rPr>
          <w:rFonts w:ascii="宋体" w:cs="宋体"/>
          <w:b w:val="0"/>
          <w:bCs w:val="0"/>
          <w:color w:val="000000" w:themeColor="text1"/>
          <w:spacing w:val="0"/>
          <w:sz w:val="24"/>
          <w:szCs w:val="24"/>
          <w:highlight w:val="none"/>
          <w14:textFill>
            <w14:solidFill>
              <w14:schemeClr w14:val="tx1"/>
            </w14:solidFill>
          </w14:textFill>
        </w:rPr>
        <w:t xml:space="preserve">, </w:t>
      </w:r>
      <w:r>
        <w:rPr>
          <w:rFonts w:hint="eastAsia" w:ascii="宋体" w:cs="宋体"/>
          <w:b w:val="0"/>
          <w:bCs w:val="0"/>
          <w:color w:val="000000" w:themeColor="text1"/>
          <w:spacing w:val="0"/>
          <w:sz w:val="24"/>
          <w:szCs w:val="24"/>
          <w:highlight w:val="none"/>
          <w14:textFill>
            <w14:solidFill>
              <w14:schemeClr w14:val="tx1"/>
            </w14:solidFill>
          </w14:textFill>
        </w:rPr>
        <w:t>形成螺旋前进的高速水流并把动能传递给池中全部液体。搅拌机能适应连续运行、间歇运行和长期停止状态后恢复运行的工作状况。每台搅拌机配备不锈钢导向杆和不锈钢链条</w:t>
      </w:r>
      <w:r>
        <w:rPr>
          <w:rFonts w:ascii="宋体" w:cs="宋体"/>
          <w:b w:val="0"/>
          <w:bCs w:val="0"/>
          <w:color w:val="000000" w:themeColor="text1"/>
          <w:spacing w:val="0"/>
          <w:sz w:val="24"/>
          <w:szCs w:val="24"/>
          <w:highlight w:val="none"/>
          <w14:textFill>
            <w14:solidFill>
              <w14:schemeClr w14:val="tx1"/>
            </w14:solidFill>
          </w14:textFill>
        </w:rPr>
        <w:t xml:space="preserve">, </w:t>
      </w:r>
      <w:r>
        <w:rPr>
          <w:rFonts w:hint="eastAsia" w:ascii="宋体" w:cs="宋体"/>
          <w:b w:val="0"/>
          <w:bCs w:val="0"/>
          <w:color w:val="000000" w:themeColor="text1"/>
          <w:spacing w:val="0"/>
          <w:sz w:val="24"/>
          <w:szCs w:val="24"/>
          <w:highlight w:val="none"/>
          <w14:textFill>
            <w14:solidFill>
              <w14:schemeClr w14:val="tx1"/>
            </w14:solidFill>
          </w14:textFill>
        </w:rPr>
        <w:t>使之自由升降及转向</w:t>
      </w:r>
      <w:r>
        <w:rPr>
          <w:rFonts w:ascii="宋体" w:cs="宋体"/>
          <w:b w:val="0"/>
          <w:bCs w:val="0"/>
          <w:color w:val="000000" w:themeColor="text1"/>
          <w:spacing w:val="0"/>
          <w:sz w:val="24"/>
          <w:szCs w:val="24"/>
          <w:highlight w:val="none"/>
          <w14:textFill>
            <w14:solidFill>
              <w14:schemeClr w14:val="tx1"/>
            </w14:solidFill>
          </w14:textFill>
        </w:rPr>
        <w:t xml:space="preserve">, </w:t>
      </w:r>
      <w:r>
        <w:rPr>
          <w:rFonts w:hint="eastAsia" w:ascii="宋体" w:cs="宋体"/>
          <w:b w:val="0"/>
          <w:bCs w:val="0"/>
          <w:color w:val="000000" w:themeColor="text1"/>
          <w:spacing w:val="0"/>
          <w:sz w:val="24"/>
          <w:szCs w:val="24"/>
          <w:highlight w:val="none"/>
          <w14:textFill>
            <w14:solidFill>
              <w14:schemeClr w14:val="tx1"/>
            </w14:solidFill>
          </w14:textFill>
        </w:rPr>
        <w:t>方便的移动</w:t>
      </w:r>
      <w:r>
        <w:rPr>
          <w:rFonts w:ascii="宋体" w:cs="宋体"/>
          <w:b w:val="0"/>
          <w:bCs w:val="0"/>
          <w:color w:val="000000" w:themeColor="text1"/>
          <w:spacing w:val="0"/>
          <w:sz w:val="24"/>
          <w:szCs w:val="24"/>
          <w:highlight w:val="none"/>
          <w14:textFill>
            <w14:solidFill>
              <w14:schemeClr w14:val="tx1"/>
            </w14:solidFill>
          </w14:textFill>
        </w:rPr>
        <w:t xml:space="preserve">, </w:t>
      </w:r>
      <w:r>
        <w:rPr>
          <w:rFonts w:hint="eastAsia" w:ascii="宋体" w:cs="宋体"/>
          <w:b w:val="0"/>
          <w:bCs w:val="0"/>
          <w:color w:val="000000" w:themeColor="text1"/>
          <w:spacing w:val="0"/>
          <w:sz w:val="24"/>
          <w:szCs w:val="24"/>
          <w:highlight w:val="none"/>
          <w14:textFill>
            <w14:solidFill>
              <w14:schemeClr w14:val="tx1"/>
            </w14:solidFill>
          </w14:textFill>
        </w:rPr>
        <w:t>检査和维修无需人员进入池内。滑行杆支架作为搅拌机整体部分之一。搅拌机的重量受力在一个支架上</w:t>
      </w:r>
      <w:r>
        <w:rPr>
          <w:rFonts w:ascii="宋体" w:cs="宋体"/>
          <w:b w:val="0"/>
          <w:bCs w:val="0"/>
          <w:color w:val="000000" w:themeColor="text1"/>
          <w:spacing w:val="0"/>
          <w:sz w:val="24"/>
          <w:szCs w:val="24"/>
          <w:highlight w:val="none"/>
          <w14:textFill>
            <w14:solidFill>
              <w14:schemeClr w14:val="tx1"/>
            </w14:solidFill>
          </w14:textFill>
        </w:rPr>
        <w:t xml:space="preserve">, </w:t>
      </w:r>
      <w:r>
        <w:rPr>
          <w:rFonts w:hint="eastAsia" w:ascii="宋体" w:cs="宋体"/>
          <w:b w:val="0"/>
          <w:bCs w:val="0"/>
          <w:color w:val="000000" w:themeColor="text1"/>
          <w:spacing w:val="0"/>
          <w:sz w:val="24"/>
          <w:szCs w:val="24"/>
          <w:highlight w:val="none"/>
          <w14:textFill>
            <w14:solidFill>
              <w14:schemeClr w14:val="tx1"/>
            </w14:solidFill>
          </w14:textFill>
        </w:rPr>
        <w:t>支架承受搅拌机所形成的推力</w:t>
      </w:r>
      <w:r>
        <w:rPr>
          <w:rFonts w:ascii="宋体" w:cs="宋体"/>
          <w:b w:val="0"/>
          <w:bCs w:val="0"/>
          <w:color w:val="000000" w:themeColor="text1"/>
          <w:spacing w:val="0"/>
          <w:sz w:val="24"/>
          <w:szCs w:val="24"/>
          <w:highlight w:val="none"/>
          <w14:textFill>
            <w14:solidFill>
              <w14:schemeClr w14:val="tx1"/>
            </w14:solidFill>
          </w14:textFill>
        </w:rPr>
        <w:t xml:space="preserve">, </w:t>
      </w:r>
      <w:r>
        <w:rPr>
          <w:rFonts w:hint="eastAsia" w:ascii="宋体" w:cs="宋体"/>
          <w:b w:val="0"/>
          <w:bCs w:val="0"/>
          <w:color w:val="000000" w:themeColor="text1"/>
          <w:spacing w:val="0"/>
          <w:sz w:val="24"/>
          <w:szCs w:val="24"/>
          <w:highlight w:val="none"/>
          <w14:textFill>
            <w14:solidFill>
              <w14:schemeClr w14:val="tx1"/>
            </w14:solidFill>
          </w14:textFill>
        </w:rPr>
        <w:t>消除不规则流动对叶片的作用力，避免运行时产生振动。搅拌机、附件和电缆在</w:t>
      </w:r>
      <w:r>
        <w:rPr>
          <w:rFonts w:ascii="宋体" w:cs="宋体"/>
          <w:b w:val="0"/>
          <w:bCs w:val="0"/>
          <w:color w:val="000000" w:themeColor="text1"/>
          <w:spacing w:val="0"/>
          <w:sz w:val="24"/>
          <w:szCs w:val="24"/>
          <w:highlight w:val="none"/>
          <w14:textFill>
            <w14:solidFill>
              <w14:schemeClr w14:val="tx1"/>
            </w14:solidFill>
          </w14:textFill>
        </w:rPr>
        <w:t>10米水深无水泄露损失、可连续潜水。</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（1）主要技术参数</w:t>
      </w:r>
      <w:r>
        <w:rPr>
          <w:rFonts w:ascii="宋体" w:cs="宋体"/>
          <w:b w:val="0"/>
          <w:bCs w:val="0"/>
          <w:color w:val="000000" w:themeColor="text1"/>
          <w:spacing w:val="0"/>
          <w:sz w:val="24"/>
          <w:szCs w:val="24"/>
          <w:highlight w:val="none"/>
          <w14:textFill>
            <w14:solidFill>
              <w14:schemeClr w14:val="tx1"/>
            </w14:solidFill>
          </w14:textFill>
        </w:rPr>
        <w:t>:</w:t>
      </w:r>
      <w:r>
        <w:rPr>
          <w:rFonts w:hint="eastAsia" w:ascii="宋体" w:cs="宋体"/>
          <w:b w:val="0"/>
          <w:bCs w:val="0"/>
          <w:color w:val="000000" w:themeColor="text1"/>
          <w:spacing w:val="0"/>
          <w:sz w:val="24"/>
          <w:szCs w:val="24"/>
          <w:highlight w:val="none"/>
          <w14:textFill>
            <w14:solidFill>
              <w14:schemeClr w14:val="tx1"/>
            </w14:solidFill>
          </w14:textFill>
        </w:rPr>
        <w:t>潜水搅拌机：桨叶直径320mm，功率2.2KW。具体尺寸如有差异，需投标方自行到现场勘察，需与原系统匹配。</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（4）场所信息</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安装场所</w:t>
      </w:r>
      <w:r>
        <w:rPr>
          <w:rFonts w:ascii="宋体" w:cs="宋体"/>
          <w:b w:val="0"/>
          <w:bCs w:val="0"/>
          <w:color w:val="000000" w:themeColor="text1"/>
          <w:spacing w:val="0"/>
          <w:sz w:val="24"/>
          <w:szCs w:val="24"/>
          <w:highlight w:val="none"/>
          <w14:textFill>
            <w14:solidFill>
              <w14:schemeClr w14:val="tx1"/>
            </w14:solidFill>
          </w14:textFill>
        </w:rPr>
        <w:t xml:space="preserve">   </w:t>
      </w:r>
      <w:r>
        <w:rPr>
          <w:rFonts w:hint="eastAsia" w:ascii="宋体" w:cs="宋体"/>
          <w:b w:val="0"/>
          <w:bCs w:val="0"/>
          <w:color w:val="000000" w:themeColor="text1"/>
          <w:spacing w:val="0"/>
          <w:sz w:val="24"/>
          <w:szCs w:val="24"/>
          <w:highlight w:val="none"/>
          <w14:textFill>
            <w14:solidFill>
              <w14:schemeClr w14:val="tx1"/>
            </w14:solidFill>
          </w14:textFill>
        </w:rPr>
        <w:t xml:space="preserve">               水下</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介质</w:t>
      </w:r>
      <w:r>
        <w:rPr>
          <w:rFonts w:ascii="宋体" w:cs="宋体"/>
          <w:b w:val="0"/>
          <w:bCs w:val="0"/>
          <w:color w:val="000000" w:themeColor="text1"/>
          <w:spacing w:val="0"/>
          <w:sz w:val="24"/>
          <w:szCs w:val="24"/>
          <w:highlight w:val="none"/>
          <w14:textFill>
            <w14:solidFill>
              <w14:schemeClr w14:val="tx1"/>
            </w14:solidFill>
          </w14:textFill>
        </w:rPr>
        <w:t xml:space="preserve">                      </w:t>
      </w:r>
      <w:r>
        <w:rPr>
          <w:rFonts w:hint="eastAsia" w:ascii="宋体" w:cs="宋体"/>
          <w:b w:val="0"/>
          <w:bCs w:val="0"/>
          <w:color w:val="000000" w:themeColor="text1"/>
          <w:spacing w:val="0"/>
          <w:sz w:val="24"/>
          <w:szCs w:val="24"/>
          <w:highlight w:val="none"/>
          <w14:textFill>
            <w14:solidFill>
              <w14:schemeClr w14:val="tx1"/>
            </w14:solidFill>
          </w14:textFill>
        </w:rPr>
        <w:t>泥水混合液</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pH                         6～9</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介质温度</w:t>
      </w:r>
      <w:r>
        <w:rPr>
          <w:rFonts w:ascii="宋体" w:cs="宋体"/>
          <w:b w:val="0"/>
          <w:bCs w:val="0"/>
          <w:color w:val="000000" w:themeColor="text1"/>
          <w:spacing w:val="0"/>
          <w:sz w:val="24"/>
          <w:szCs w:val="24"/>
          <w:highlight w:val="none"/>
          <w14:textFill>
            <w14:solidFill>
              <w14:schemeClr w14:val="tx1"/>
            </w14:solidFill>
          </w14:textFill>
        </w:rPr>
        <w:t xml:space="preserve">                   12～35</w:t>
      </w:r>
      <w:r>
        <w:rPr>
          <w:rFonts w:hint="eastAsia" w:ascii="宋体" w:cs="宋体"/>
          <w:b w:val="0"/>
          <w:bCs w:val="0"/>
          <w:color w:val="000000" w:themeColor="text1"/>
          <w:spacing w:val="0"/>
          <w:sz w:val="24"/>
          <w:szCs w:val="24"/>
          <w:highlight w:val="none"/>
          <w14:textFill>
            <w14:solidFill>
              <w14:schemeClr w14:val="tx1"/>
            </w14:solidFill>
          </w14:textFill>
        </w:rPr>
        <w:t>℃</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介质比重</w:t>
      </w:r>
      <w:r>
        <w:rPr>
          <w:rFonts w:ascii="宋体" w:cs="宋体"/>
          <w:b w:val="0"/>
          <w:bCs w:val="0"/>
          <w:color w:val="000000" w:themeColor="text1"/>
          <w:spacing w:val="0"/>
          <w:sz w:val="24"/>
          <w:szCs w:val="24"/>
          <w:highlight w:val="none"/>
          <w14:textFill>
            <w14:solidFill>
              <w14:schemeClr w14:val="tx1"/>
            </w14:solidFill>
          </w14:textFill>
        </w:rPr>
        <w:t xml:space="preserve">                   </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1100kg/m3</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工作时间</w:t>
      </w:r>
      <w:r>
        <w:rPr>
          <w:rFonts w:ascii="宋体" w:cs="宋体"/>
          <w:b w:val="0"/>
          <w:bCs w:val="0"/>
          <w:color w:val="000000" w:themeColor="text1"/>
          <w:spacing w:val="0"/>
          <w:sz w:val="24"/>
          <w:szCs w:val="24"/>
          <w:highlight w:val="none"/>
          <w14:textFill>
            <w14:solidFill>
              <w14:schemeClr w14:val="tx1"/>
            </w14:solidFill>
          </w14:textFill>
        </w:rPr>
        <w:t xml:space="preserve">                   </w:t>
      </w:r>
      <w:r>
        <w:rPr>
          <w:rFonts w:hint="eastAsia" w:ascii="宋体" w:cs="宋体"/>
          <w:b w:val="0"/>
          <w:bCs w:val="0"/>
          <w:color w:val="000000" w:themeColor="text1"/>
          <w:spacing w:val="0"/>
          <w:sz w:val="24"/>
          <w:szCs w:val="24"/>
          <w:highlight w:val="none"/>
          <w14:textFill>
            <w14:solidFill>
              <w14:schemeClr w14:val="tx1"/>
            </w14:solidFill>
          </w14:textFill>
        </w:rPr>
        <w:t>连续或间断</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（5）供货范围</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投标方提供的搅拌机应为成套装置</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（6）搅拌器的技术要求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1）潜水搅拌机转动平衡自如，无卡死、停滞、振动等现象；</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2）潜水搅拌机作密封气压实验，实验压力为3kg/m</w:t>
      </w:r>
      <w:r>
        <w:rPr>
          <w:rFonts w:ascii="宋体" w:cs="宋体"/>
          <w:b w:val="0"/>
          <w:bCs w:val="0"/>
          <w:color w:val="000000" w:themeColor="text1"/>
          <w:spacing w:val="0"/>
          <w:sz w:val="24"/>
          <w:szCs w:val="24"/>
          <w:highlight w:val="none"/>
          <w:vertAlign w:val="superscript"/>
          <w14:textFill>
            <w14:solidFill>
              <w14:schemeClr w14:val="tx1"/>
            </w14:solidFill>
          </w14:textFill>
        </w:rPr>
        <w:t>2</w:t>
      </w:r>
      <w:r>
        <w:rPr>
          <w:rFonts w:hint="eastAsia" w:ascii="宋体" w:cs="宋体"/>
          <w:b w:val="0"/>
          <w:bCs w:val="0"/>
          <w:color w:val="000000" w:themeColor="text1"/>
          <w:spacing w:val="0"/>
          <w:sz w:val="24"/>
          <w:szCs w:val="24"/>
          <w:highlight w:val="none"/>
          <w14:textFill>
            <w14:solidFill>
              <w14:schemeClr w14:val="tx1"/>
            </w14:solidFill>
          </w14:textFill>
        </w:rPr>
        <w:t>，历时</w:t>
      </w:r>
      <w:r>
        <w:rPr>
          <w:rFonts w:ascii="宋体" w:cs="宋体"/>
          <w:b w:val="0"/>
          <w:bCs w:val="0"/>
          <w:color w:val="000000" w:themeColor="text1"/>
          <w:spacing w:val="0"/>
          <w:sz w:val="24"/>
          <w:szCs w:val="24"/>
          <w:highlight w:val="none"/>
          <w14:textFill>
            <w14:solidFill>
              <w14:schemeClr w14:val="tx1"/>
            </w14:solidFill>
          </w14:textFill>
        </w:rPr>
        <w:t>5分钟无泄漏现象；</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3）潜水搅拌机采用双机械密封结构和唇形密封组织，机械密封保证在15000小时内可靠运行而不需更换；</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4）潜水搅拌机引出电缆采用GB5013.2中YZW型</w:t>
      </w:r>
      <w:r>
        <w:rPr>
          <w:rFonts w:hint="eastAsia" w:ascii="宋体" w:cs="宋体"/>
          <w:b w:val="0"/>
          <w:bCs w:val="0"/>
          <w:color w:val="000000" w:themeColor="text1"/>
          <w:spacing w:val="0"/>
          <w:sz w:val="24"/>
          <w:szCs w:val="24"/>
          <w:highlight w:val="none"/>
          <w14:textFill>
            <w14:solidFill>
              <w14:schemeClr w14:val="tx1"/>
            </w14:solidFill>
          </w14:textFill>
        </w:rPr>
        <w:t>橡套软电缆或性能相同的其它电缆，单台标准配置长度</w:t>
      </w:r>
      <w:r>
        <w:rPr>
          <w:rFonts w:ascii="宋体" w:cs="宋体"/>
          <w:b w:val="0"/>
          <w:bCs w:val="0"/>
          <w:color w:val="000000" w:themeColor="text1"/>
          <w:spacing w:val="0"/>
          <w:sz w:val="24"/>
          <w:szCs w:val="24"/>
          <w:highlight w:val="none"/>
          <w14:textFill>
            <w14:solidFill>
              <w14:schemeClr w14:val="tx1"/>
            </w14:solidFill>
          </w14:textFill>
        </w:rPr>
        <w:t>10m，电缆密封</w:t>
      </w:r>
      <w:r>
        <w:rPr>
          <w:rFonts w:hint="eastAsia" w:ascii="宋体" w:cs="宋体"/>
          <w:b w:val="0"/>
          <w:bCs w:val="0"/>
          <w:color w:val="000000" w:themeColor="text1"/>
          <w:spacing w:val="0"/>
          <w:sz w:val="24"/>
          <w:szCs w:val="24"/>
          <w:highlight w:val="none"/>
          <w14:textFill>
            <w14:solidFill>
              <w14:schemeClr w14:val="tx1"/>
            </w14:solidFill>
          </w14:textFill>
        </w:rPr>
        <w:t>头采用特殊硫化处理，以防电缆外皮破损，渗水至电机；</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5）潜水搅拌机</w:t>
      </w:r>
      <w:r>
        <w:rPr>
          <w:rFonts w:hint="eastAsia" w:ascii="宋体" w:cs="宋体"/>
          <w:b w:val="0"/>
          <w:bCs w:val="0"/>
          <w:color w:val="000000" w:themeColor="text1"/>
          <w:spacing w:val="0"/>
          <w:sz w:val="24"/>
          <w:szCs w:val="24"/>
          <w:highlight w:val="none"/>
          <w14:textFill>
            <w14:solidFill>
              <w14:schemeClr w14:val="tx1"/>
            </w14:solidFill>
          </w14:textFill>
        </w:rPr>
        <w:t>采用</w:t>
      </w:r>
      <w:r>
        <w:rPr>
          <w:rFonts w:ascii="宋体" w:cs="宋体"/>
          <w:b w:val="0"/>
          <w:bCs w:val="0"/>
          <w:color w:val="000000" w:themeColor="text1"/>
          <w:spacing w:val="0"/>
          <w:sz w:val="24"/>
          <w:szCs w:val="24"/>
          <w:highlight w:val="none"/>
          <w14:textFill>
            <w14:solidFill>
              <w14:schemeClr w14:val="tx1"/>
            </w14:solidFill>
          </w14:textFill>
        </w:rPr>
        <w:t>304不锈钢材质，其表面光亮，无污损，碰伤，裂痕等现象；</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6）潜水搅拌机油室内设有密封泄漏保护装置；</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7）潜水搅拌机引出电缆中双色线（黄/绿）规定为接地线，联接可靠。接地标志明显，在使用期内不易磨灭；</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8）潜水搅拌机桨叶及转子采用动平衡试验，平衡精度为G6.3；</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9）潜水搅拌机定子绕组内设有潮气传感器，以防电机绕组受潮烧毁。</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10）使用寿命</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潜水搅拌机（潜水推进器）在规定的条件下，首次故障前平均运行时间不小于</w:t>
      </w:r>
      <w:r>
        <w:rPr>
          <w:rFonts w:ascii="宋体" w:cs="宋体"/>
          <w:b w:val="0"/>
          <w:bCs w:val="0"/>
          <w:color w:val="000000" w:themeColor="text1"/>
          <w:spacing w:val="0"/>
          <w:sz w:val="24"/>
          <w:szCs w:val="24"/>
          <w:highlight w:val="none"/>
          <w14:textFill>
            <w14:solidFill>
              <w14:schemeClr w14:val="tx1"/>
            </w14:solidFill>
          </w14:textFill>
        </w:rPr>
        <w:t>15000小时，整机使用寿命不小于20年。</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11）结构设计</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A主机</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潜水搅拌机为直联冲压式结构，采用多级电机，叶片经冲压成型，精度好，效率高，结构紧凑，体积小，重量轻，操作维护方便，使用寿命长。壳体全部采用不锈钢制造，外形美观流畅。</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B接线盒</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接线盒与周围液体、电机部分完全密封隔离；</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冷却：电机定子由周围的液体冷却。</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C叶片</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潜水搅拌机的叶片为双曲翼型结构</w:t>
      </w:r>
      <w:r>
        <w:rPr>
          <w:rFonts w:ascii="宋体" w:cs="宋体"/>
          <w:b w:val="0"/>
          <w:bCs w:val="0"/>
          <w:color w:val="000000" w:themeColor="text1"/>
          <w:spacing w:val="0"/>
          <w:sz w:val="24"/>
          <w:szCs w:val="24"/>
          <w:highlight w:val="none"/>
          <w14:textFill>
            <w14:solidFill>
              <w14:schemeClr w14:val="tx1"/>
            </w14:solidFill>
          </w14:textFill>
        </w:rPr>
        <w:t>,相同设备的叶片是相同的形式,间隔距离均匀,经动平衡检验合格。叶轮采用304不锈钢制作。叶轮通过CFD软件优化设计,水力性能好,可以高效、无堵塞运行。用最小的功率达到最佳的搅拌效果。</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D电机</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电机绕组的绝缘等级为F等级，正常情况下，电机温度不超过80</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E油室</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润滑并冷却密封装置，轴承座及齿轮与电机和液体之间，油室起着减震和消音的作用，必要时可埋置一个气囊装置以减少和降低油室内的压力上升。</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F轴承</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潜水搅拌机轴承的运行寿命大于</w:t>
      </w:r>
      <w:r>
        <w:rPr>
          <w:rFonts w:ascii="宋体" w:cs="宋体"/>
          <w:b w:val="0"/>
          <w:bCs w:val="0"/>
          <w:color w:val="000000" w:themeColor="text1"/>
          <w:spacing w:val="0"/>
          <w:sz w:val="24"/>
          <w:szCs w:val="24"/>
          <w:highlight w:val="none"/>
          <w14:textFill>
            <w14:solidFill>
              <w14:schemeClr w14:val="tx1"/>
            </w14:solidFill>
          </w14:textFill>
        </w:rPr>
        <w:t>80000小时；</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考虑到轴承运行中的不利因素，因此选用的轴承寿命将高于上述值，选用</w:t>
      </w:r>
      <w:r>
        <w:rPr>
          <w:rFonts w:ascii="宋体" w:cs="宋体"/>
          <w:b w:val="0"/>
          <w:bCs w:val="0"/>
          <w:color w:val="000000" w:themeColor="text1"/>
          <w:spacing w:val="0"/>
          <w:sz w:val="24"/>
          <w:szCs w:val="24"/>
          <w:highlight w:val="none"/>
          <w14:textFill>
            <w14:solidFill>
              <w14:schemeClr w14:val="tx1"/>
            </w14:solidFill>
          </w14:textFill>
        </w:rPr>
        <w:t>NSK进口轴承。</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G轴密封</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主机输出轴具有可靠地密封</w:t>
      </w:r>
      <w:r>
        <w:rPr>
          <w:rFonts w:ascii="宋体" w:cs="宋体"/>
          <w:b w:val="0"/>
          <w:bCs w:val="0"/>
          <w:color w:val="000000" w:themeColor="text1"/>
          <w:spacing w:val="0"/>
          <w:sz w:val="24"/>
          <w:szCs w:val="24"/>
          <w:highlight w:val="none"/>
          <w14:textFill>
            <w14:solidFill>
              <w14:schemeClr w14:val="tx1"/>
            </w14:solidFill>
          </w14:textFill>
        </w:rPr>
        <w:t>,不与液体接触,机械性密封采用耐腐蚀</w:t>
      </w:r>
      <w:r>
        <w:rPr>
          <w:rFonts w:hint="eastAsia" w:ascii="宋体" w:cs="宋体"/>
          <w:b w:val="0"/>
          <w:bCs w:val="0"/>
          <w:color w:val="000000" w:themeColor="text1"/>
          <w:spacing w:val="0"/>
          <w:sz w:val="24"/>
          <w:szCs w:val="24"/>
          <w:highlight w:val="none"/>
          <w14:textFill>
            <w14:solidFill>
              <w14:schemeClr w14:val="tx1"/>
            </w14:solidFill>
          </w14:textFill>
        </w:rPr>
        <w:t>碳化硅且临界接触面为机械加工并嵌入</w:t>
      </w:r>
      <w:r>
        <w:rPr>
          <w:rFonts w:ascii="宋体" w:cs="宋体"/>
          <w:b w:val="0"/>
          <w:bCs w:val="0"/>
          <w:color w:val="000000" w:themeColor="text1"/>
          <w:spacing w:val="0"/>
          <w:sz w:val="24"/>
          <w:szCs w:val="24"/>
          <w:highlight w:val="none"/>
          <w14:textFill>
            <w14:solidFill>
              <w14:schemeClr w14:val="tx1"/>
            </w14:solidFill>
          </w14:textFill>
        </w:rPr>
        <w:t>2组O</w:t>
      </w:r>
      <w:r>
        <w:rPr>
          <w:rFonts w:hint="eastAsia" w:ascii="宋体" w:cs="宋体"/>
          <w:b w:val="0"/>
          <w:bCs w:val="0"/>
          <w:color w:val="000000" w:themeColor="text1"/>
          <w:spacing w:val="0"/>
          <w:sz w:val="24"/>
          <w:szCs w:val="24"/>
          <w:highlight w:val="none"/>
          <w14:textFill>
            <w14:solidFill>
              <w14:schemeClr w14:val="tx1"/>
            </w14:solidFill>
          </w14:textFill>
        </w:rPr>
        <w:t>型圈</w:t>
      </w:r>
      <w:r>
        <w:rPr>
          <w:rFonts w:ascii="宋体" w:cs="宋体"/>
          <w:b w:val="0"/>
          <w:bCs w:val="0"/>
          <w:color w:val="000000" w:themeColor="text1"/>
          <w:spacing w:val="0"/>
          <w:sz w:val="24"/>
          <w:szCs w:val="24"/>
          <w:highlight w:val="none"/>
          <w14:textFill>
            <w14:solidFill>
              <w14:schemeClr w14:val="tx1"/>
            </w14:solidFill>
          </w14:textFill>
        </w:rPr>
        <w:t>(丁晴</w:t>
      </w:r>
      <w:r>
        <w:rPr>
          <w:rFonts w:hint="eastAsia" w:ascii="宋体" w:cs="宋体"/>
          <w:b w:val="0"/>
          <w:bCs w:val="0"/>
          <w:color w:val="000000" w:themeColor="text1"/>
          <w:spacing w:val="0"/>
          <w:sz w:val="24"/>
          <w:szCs w:val="24"/>
          <w:highlight w:val="none"/>
          <w14:textFill>
            <w14:solidFill>
              <w14:schemeClr w14:val="tx1"/>
            </w14:solidFill>
          </w14:textFill>
        </w:rPr>
        <w:t>橡胶</w:t>
      </w:r>
      <w:r>
        <w:rPr>
          <w:rFonts w:ascii="宋体" w:cs="宋体"/>
          <w:b w:val="0"/>
          <w:bCs w:val="0"/>
          <w:color w:val="000000" w:themeColor="text1"/>
          <w:spacing w:val="0"/>
          <w:sz w:val="24"/>
          <w:szCs w:val="24"/>
          <w:highlight w:val="none"/>
          <w14:textFill>
            <w14:solidFill>
              <w14:schemeClr w14:val="tx1"/>
            </w14:solidFill>
          </w14:textFill>
        </w:rPr>
        <w:t>),在电机和油箱之间下部密封装置有一只静止的</w:t>
      </w:r>
      <w:r>
        <w:rPr>
          <w:rFonts w:hint="eastAsia" w:ascii="宋体" w:cs="宋体"/>
          <w:b w:val="0"/>
          <w:bCs w:val="0"/>
          <w:color w:val="000000" w:themeColor="text1"/>
          <w:spacing w:val="0"/>
          <w:sz w:val="24"/>
          <w:szCs w:val="24"/>
          <w:highlight w:val="none"/>
          <w14:textFill>
            <w14:solidFill>
              <w14:schemeClr w14:val="tx1"/>
            </w14:solidFill>
          </w14:textFill>
        </w:rPr>
        <w:t>碳化硅环和一只正向旋转的碳化硅环。在油箱和电机罩之间的上部密封装置也配备一只静止的碳化钨环和一只正向旋转的碳化硅环</w:t>
      </w:r>
      <w:r>
        <w:rPr>
          <w:rFonts w:ascii="宋体" w:cs="宋体"/>
          <w:b w:val="0"/>
          <w:bCs w:val="0"/>
          <w:color w:val="000000" w:themeColor="text1"/>
          <w:spacing w:val="0"/>
          <w:sz w:val="24"/>
          <w:szCs w:val="24"/>
          <w:highlight w:val="none"/>
          <w14:textFill>
            <w14:solidFill>
              <w14:schemeClr w14:val="tx1"/>
            </w14:solidFill>
          </w14:textFill>
        </w:rPr>
        <w:t>,</w:t>
      </w:r>
      <w:r>
        <w:rPr>
          <w:rFonts w:hint="eastAsia" w:ascii="宋体" w:cs="宋体"/>
          <w:b w:val="0"/>
          <w:bCs w:val="0"/>
          <w:color w:val="000000" w:themeColor="text1"/>
          <w:spacing w:val="0"/>
          <w:sz w:val="24"/>
          <w:szCs w:val="24"/>
          <w:highlight w:val="none"/>
          <w14:textFill>
            <w14:solidFill>
              <w14:schemeClr w14:val="tx1"/>
            </w14:solidFill>
          </w14:textFill>
        </w:rPr>
        <w:t>各环的内界面通过其弹簧系统保持均匀接触</w:t>
      </w:r>
      <w:r>
        <w:rPr>
          <w:rFonts w:ascii="宋体" w:cs="宋体"/>
          <w:b w:val="0"/>
          <w:bCs w:val="0"/>
          <w:color w:val="000000" w:themeColor="text1"/>
          <w:spacing w:val="0"/>
          <w:sz w:val="24"/>
          <w:szCs w:val="24"/>
          <w:highlight w:val="none"/>
          <w14:textFill>
            <w14:solidFill>
              <w14:schemeClr w14:val="tx1"/>
            </w14:solidFill>
          </w14:textFill>
        </w:rPr>
        <w:t>,密封装置不需要调节,便于检</w:t>
      </w:r>
      <w:r>
        <w:rPr>
          <w:rFonts w:hint="eastAsia" w:ascii="宋体" w:cs="宋体"/>
          <w:b w:val="0"/>
          <w:bCs w:val="0"/>
          <w:color w:val="000000" w:themeColor="text1"/>
          <w:spacing w:val="0"/>
          <w:sz w:val="24"/>
          <w:szCs w:val="24"/>
          <w:highlight w:val="none"/>
          <w14:textFill>
            <w14:solidFill>
              <w14:schemeClr w14:val="tx1"/>
            </w14:solidFill>
          </w14:textFill>
        </w:rPr>
        <w:t>査和更换。每台搅拌机的轴密封系统都配备一只油室</w:t>
      </w:r>
      <w:r>
        <w:rPr>
          <w:rFonts w:ascii="宋体" w:cs="宋体"/>
          <w:b w:val="0"/>
          <w:bCs w:val="0"/>
          <w:color w:val="000000" w:themeColor="text1"/>
          <w:spacing w:val="0"/>
          <w:sz w:val="24"/>
          <w:szCs w:val="24"/>
          <w:highlight w:val="none"/>
          <w14:textFill>
            <w14:solidFill>
              <w14:schemeClr w14:val="tx1"/>
            </w14:solidFill>
          </w14:textFill>
        </w:rPr>
        <w:t>,油室的设计保证有一些空间以容纳由于温度变化引起的膨胀,排放管和</w:t>
      </w:r>
      <w:r>
        <w:rPr>
          <w:rFonts w:hint="eastAsia" w:ascii="宋体" w:cs="宋体"/>
          <w:b w:val="0"/>
          <w:bCs w:val="0"/>
          <w:color w:val="000000" w:themeColor="text1"/>
          <w:spacing w:val="0"/>
          <w:sz w:val="24"/>
          <w:szCs w:val="24"/>
          <w:highlight w:val="none"/>
          <w14:textFill>
            <w14:solidFill>
              <w14:schemeClr w14:val="tx1"/>
            </w14:solidFill>
          </w14:textFill>
        </w:rPr>
        <w:t>检査孔有可靠地防漏密封装置</w:t>
      </w:r>
      <w:r>
        <w:rPr>
          <w:rFonts w:ascii="宋体" w:cs="宋体"/>
          <w:b w:val="0"/>
          <w:bCs w:val="0"/>
          <w:color w:val="000000" w:themeColor="text1"/>
          <w:spacing w:val="0"/>
          <w:sz w:val="24"/>
          <w:szCs w:val="24"/>
          <w:highlight w:val="none"/>
          <w14:textFill>
            <w14:solidFill>
              <w14:schemeClr w14:val="tx1"/>
            </w14:solidFill>
          </w14:textFill>
        </w:rPr>
        <w:t>,并从外面容易疏通。</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机械密封适用于酸碱范围为</w:t>
      </w:r>
      <w:r>
        <w:rPr>
          <w:rFonts w:ascii="宋体" w:cs="宋体"/>
          <w:b w:val="0"/>
          <w:bCs w:val="0"/>
          <w:color w:val="000000" w:themeColor="text1"/>
          <w:spacing w:val="0"/>
          <w:sz w:val="24"/>
          <w:szCs w:val="24"/>
          <w:highlight w:val="none"/>
          <w14:textFill>
            <w14:solidFill>
              <w14:schemeClr w14:val="tx1"/>
            </w14:solidFill>
          </w14:textFill>
        </w:rPr>
        <w:t xml:space="preserve"> PH6</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9的介质,使用寿命不低于25000小时,可以正反向旋转,不会带来不良后果。</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（7）主要零部件材质</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叶轮</w:t>
      </w:r>
      <w:r>
        <w:rPr>
          <w:rFonts w:ascii="宋体" w:cs="宋体"/>
          <w:b w:val="0"/>
          <w:bCs w:val="0"/>
          <w:color w:val="000000" w:themeColor="text1"/>
          <w:spacing w:val="0"/>
          <w:sz w:val="24"/>
          <w:szCs w:val="24"/>
          <w:highlight w:val="none"/>
          <w14:textFill>
            <w14:solidFill>
              <w14:schemeClr w14:val="tx1"/>
            </w14:solidFill>
          </w14:textFill>
        </w:rPr>
        <w:t xml:space="preserve">                     304不锈钢</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机壳</w:t>
      </w:r>
      <w:r>
        <w:rPr>
          <w:rFonts w:ascii="宋体" w:cs="宋体"/>
          <w:b w:val="0"/>
          <w:bCs w:val="0"/>
          <w:color w:val="000000" w:themeColor="text1"/>
          <w:spacing w:val="0"/>
          <w:sz w:val="24"/>
          <w:szCs w:val="24"/>
          <w:highlight w:val="none"/>
          <w14:textFill>
            <w14:solidFill>
              <w14:schemeClr w14:val="tx1"/>
            </w14:solidFill>
          </w14:textFill>
        </w:rPr>
        <w:t xml:space="preserve">                     304不锈钢</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主轴</w:t>
      </w:r>
      <w:r>
        <w:rPr>
          <w:rFonts w:ascii="宋体" w:cs="宋体"/>
          <w:b w:val="0"/>
          <w:bCs w:val="0"/>
          <w:color w:val="000000" w:themeColor="text1"/>
          <w:spacing w:val="0"/>
          <w:sz w:val="24"/>
          <w:szCs w:val="24"/>
          <w:highlight w:val="none"/>
          <w14:textFill>
            <w14:solidFill>
              <w14:schemeClr w14:val="tx1"/>
            </w14:solidFill>
          </w14:textFill>
        </w:rPr>
        <w:t xml:space="preserve">                     304不锈钢</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机械密封</w:t>
      </w:r>
      <w:r>
        <w:rPr>
          <w:rFonts w:ascii="宋体" w:cs="宋体"/>
          <w:b w:val="0"/>
          <w:bCs w:val="0"/>
          <w:color w:val="000000" w:themeColor="text1"/>
          <w:spacing w:val="0"/>
          <w:sz w:val="24"/>
          <w:szCs w:val="24"/>
          <w:highlight w:val="none"/>
          <w14:textFill>
            <w14:solidFill>
              <w14:schemeClr w14:val="tx1"/>
            </w14:solidFill>
          </w14:textFill>
        </w:rPr>
        <w:t xml:space="preserve">             </w:t>
      </w:r>
      <w:r>
        <w:rPr>
          <w:rFonts w:hint="eastAsia" w:ascii="宋体" w:cs="宋体"/>
          <w:b w:val="0"/>
          <w:bCs w:val="0"/>
          <w:color w:val="000000" w:themeColor="text1"/>
          <w:spacing w:val="0"/>
          <w:sz w:val="24"/>
          <w:szCs w:val="24"/>
          <w:highlight w:val="none"/>
          <w14:textFill>
            <w14:solidFill>
              <w14:schemeClr w14:val="tx1"/>
            </w14:solidFill>
          </w14:textFill>
        </w:rPr>
        <w:t xml:space="preserve">  </w:t>
      </w:r>
      <w:r>
        <w:rPr>
          <w:rFonts w:ascii="宋体" w:cs="宋体"/>
          <w:b w:val="0"/>
          <w:bCs w:val="0"/>
          <w:color w:val="000000" w:themeColor="text1"/>
          <w:spacing w:val="0"/>
          <w:sz w:val="24"/>
          <w:szCs w:val="24"/>
          <w:highlight w:val="none"/>
          <w14:textFill>
            <w14:solidFill>
              <w14:schemeClr w14:val="tx1"/>
            </w14:solidFill>
          </w14:textFill>
        </w:rPr>
        <w:t xml:space="preserve">  </w:t>
      </w:r>
      <w:r>
        <w:rPr>
          <w:rFonts w:hint="eastAsia" w:ascii="宋体" w:cs="宋体"/>
          <w:b w:val="0"/>
          <w:bCs w:val="0"/>
          <w:color w:val="000000" w:themeColor="text1"/>
          <w:spacing w:val="0"/>
          <w:sz w:val="24"/>
          <w:szCs w:val="24"/>
          <w:highlight w:val="none"/>
          <w14:textFill>
            <w14:solidFill>
              <w14:schemeClr w14:val="tx1"/>
            </w14:solidFill>
          </w14:textFill>
        </w:rPr>
        <w:t>碳化硅</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所有紧固件、连接件</w:t>
      </w:r>
      <w:r>
        <w:rPr>
          <w:rFonts w:ascii="宋体" w:cs="宋体"/>
          <w:b w:val="0"/>
          <w:bCs w:val="0"/>
          <w:color w:val="000000" w:themeColor="text1"/>
          <w:spacing w:val="0"/>
          <w:sz w:val="24"/>
          <w:szCs w:val="24"/>
          <w:highlight w:val="none"/>
          <w14:textFill>
            <w14:solidFill>
              <w14:schemeClr w14:val="tx1"/>
            </w14:solidFill>
          </w14:textFill>
        </w:rPr>
        <w:t xml:space="preserve">       304不锈钢</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（8）控制</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每台潜水搅拌机均引出控制保护信号线，采用专用控制柜进行控制保护，具有对设备进行过载、缺相、短路、泄漏、超温等保护功能和提供相应的信号指示，可确保机组可靠运行，并具有</w:t>
      </w:r>
      <w:r>
        <w:rPr>
          <w:rFonts w:ascii="宋体" w:cs="宋体"/>
          <w:b w:val="0"/>
          <w:bCs w:val="0"/>
          <w:color w:val="000000" w:themeColor="text1"/>
          <w:spacing w:val="0"/>
          <w:sz w:val="24"/>
          <w:szCs w:val="24"/>
          <w:highlight w:val="none"/>
          <w14:textFill>
            <w14:solidFill>
              <w14:schemeClr w14:val="tx1"/>
            </w14:solidFill>
          </w14:textFill>
        </w:rPr>
        <w:t>PLC接口。控制方式及元器件按招标文件要求制作。</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（9）防腐与喷涂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 xml:space="preserve">  </w:t>
      </w:r>
      <w:r>
        <w:rPr>
          <w:rFonts w:hint="eastAsia" w:ascii="宋体" w:cs="宋体"/>
          <w:b w:val="0"/>
          <w:bCs w:val="0"/>
          <w:color w:val="000000" w:themeColor="text1"/>
          <w:spacing w:val="0"/>
          <w:sz w:val="24"/>
          <w:szCs w:val="24"/>
          <w:highlight w:val="none"/>
          <w14:textFill>
            <w14:solidFill>
              <w14:schemeClr w14:val="tx1"/>
            </w14:solidFill>
          </w14:textFill>
        </w:rPr>
        <w:t>a、制造潜水搅拌机的不锈钢部件加工完后对其表面进行酸洗钝化处理。</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 xml:space="preserve">  </w:t>
      </w:r>
      <w:r>
        <w:rPr>
          <w:rFonts w:hint="eastAsia" w:ascii="宋体" w:cs="宋体"/>
          <w:b w:val="0"/>
          <w:bCs w:val="0"/>
          <w:color w:val="000000" w:themeColor="text1"/>
          <w:spacing w:val="0"/>
          <w:sz w:val="24"/>
          <w:szCs w:val="24"/>
          <w:highlight w:val="none"/>
          <w14:textFill>
            <w14:solidFill>
              <w14:schemeClr w14:val="tx1"/>
            </w14:solidFill>
          </w14:textFill>
        </w:rPr>
        <w:t>b、运输过程、安装过程中涂层破损</w:t>
      </w:r>
      <w:r>
        <w:rPr>
          <w:rFonts w:ascii="宋体" w:cs="宋体"/>
          <w:b w:val="0"/>
          <w:bCs w:val="0"/>
          <w:color w:val="000000" w:themeColor="text1"/>
          <w:spacing w:val="0"/>
          <w:sz w:val="24"/>
          <w:szCs w:val="24"/>
          <w:highlight w:val="none"/>
          <w14:textFill>
            <w14:solidFill>
              <w14:schemeClr w14:val="tx1"/>
            </w14:solidFill>
          </w14:textFill>
        </w:rPr>
        <w:t>,卖方</w:t>
      </w:r>
      <w:r>
        <w:rPr>
          <w:rFonts w:hint="eastAsia" w:ascii="宋体" w:cs="宋体"/>
          <w:b w:val="0"/>
          <w:bCs w:val="0"/>
          <w:color w:val="000000" w:themeColor="text1"/>
          <w:spacing w:val="0"/>
          <w:sz w:val="24"/>
          <w:szCs w:val="24"/>
          <w:highlight w:val="none"/>
          <w14:textFill>
            <w14:solidFill>
              <w14:schemeClr w14:val="tx1"/>
            </w14:solidFill>
          </w14:textFill>
        </w:rPr>
        <w:t>严格按涂装工艺进行修复。</w:t>
      </w:r>
    </w:p>
    <w:p>
      <w:pPr>
        <w:spacing w:line="360" w:lineRule="auto"/>
        <w:ind w:left="239" w:leftChars="114" w:right="238" w:firstLine="480" w:firstLineChars="200"/>
        <w:jc w:val="both"/>
        <w:rPr>
          <w:rFonts w:ascii="宋体" w:cs="宋体"/>
          <w:bCs w:val="0"/>
          <w:color w:val="000000" w:themeColor="text1"/>
          <w:spacing w:val="0"/>
          <w:sz w:val="24"/>
          <w:szCs w:val="24"/>
          <w:highlight w:val="none"/>
          <w14:textFill>
            <w14:solidFill>
              <w14:schemeClr w14:val="tx1"/>
            </w14:solidFill>
          </w14:textFill>
        </w:rPr>
      </w:pPr>
      <w:r>
        <w:rPr>
          <w:rFonts w:hint="eastAsia" w:ascii="宋体" w:cs="宋体"/>
          <w:bCs w:val="0"/>
          <w:color w:val="000000" w:themeColor="text1"/>
          <w:spacing w:val="0"/>
          <w:sz w:val="24"/>
          <w:szCs w:val="24"/>
          <w:highlight w:val="none"/>
          <w14:textFill>
            <w14:solidFill>
              <w14:schemeClr w14:val="tx1"/>
            </w14:solidFill>
          </w14:textFill>
        </w:rPr>
        <w:t>2.</w:t>
      </w:r>
      <w:r>
        <w:rPr>
          <w:rFonts w:ascii="宋体" w:cs="宋体"/>
          <w:bCs w:val="0"/>
          <w:color w:val="000000" w:themeColor="text1"/>
          <w:spacing w:val="0"/>
          <w:sz w:val="24"/>
          <w:szCs w:val="24"/>
          <w:highlight w:val="none"/>
          <w14:textFill>
            <w14:solidFill>
              <w14:schemeClr w14:val="tx1"/>
            </w14:solidFill>
          </w14:textFill>
        </w:rPr>
        <w:t>3</w:t>
      </w:r>
      <w:r>
        <w:rPr>
          <w:rFonts w:hint="eastAsia" w:ascii="宋体" w:cs="宋体"/>
          <w:bCs w:val="0"/>
          <w:color w:val="000000" w:themeColor="text1"/>
          <w:spacing w:val="0"/>
          <w:sz w:val="24"/>
          <w:szCs w:val="24"/>
          <w:highlight w:val="none"/>
          <w14:textFill>
            <w14:solidFill>
              <w14:schemeClr w14:val="tx1"/>
            </w14:solidFill>
          </w14:textFill>
        </w:rPr>
        <w:t>、回流泵及螺杆泵</w:t>
      </w:r>
    </w:p>
    <w:p>
      <w:pPr>
        <w:spacing w:line="360" w:lineRule="auto"/>
        <w:ind w:left="239" w:leftChars="114" w:right="238" w:firstLine="720" w:firstLineChars="3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设备数量：4台硝化液回流泵、4台污泥回流泵、2台螺杆泵</w:t>
      </w:r>
    </w:p>
    <w:p>
      <w:pPr>
        <w:spacing w:line="360" w:lineRule="auto"/>
        <w:ind w:left="239" w:leftChars="114" w:right="238" w:firstLine="720" w:firstLineChars="3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硝化液回流泵：</w:t>
      </w:r>
      <w:r>
        <w:rPr>
          <w:rFonts w:ascii="宋体" w:cs="宋体"/>
          <w:b w:val="0"/>
          <w:bCs w:val="0"/>
          <w:color w:val="000000" w:themeColor="text1"/>
          <w:spacing w:val="0"/>
          <w:sz w:val="24"/>
          <w:szCs w:val="24"/>
          <w:highlight w:val="none"/>
          <w14:textFill>
            <w14:solidFill>
              <w14:schemeClr w14:val="tx1"/>
            </w14:solidFill>
          </w14:textFill>
        </w:rPr>
        <w:t>流量</w:t>
      </w:r>
      <w:r>
        <w:rPr>
          <w:rFonts w:hint="eastAsia" w:ascii="宋体" w:cs="宋体"/>
          <w:b w:val="0"/>
          <w:bCs w:val="0"/>
          <w:color w:val="000000" w:themeColor="text1"/>
          <w:spacing w:val="0"/>
          <w:sz w:val="24"/>
          <w:szCs w:val="24"/>
          <w:highlight w:val="none"/>
          <w14:textFill>
            <w14:solidFill>
              <w14:schemeClr w14:val="tx1"/>
            </w14:solidFill>
          </w14:textFill>
        </w:rPr>
        <w:t>95</w:t>
      </w:r>
      <w:r>
        <w:rPr>
          <w:rFonts w:ascii="宋体" w:cs="宋体"/>
          <w:b w:val="0"/>
          <w:bCs w:val="0"/>
          <w:color w:val="000000" w:themeColor="text1"/>
          <w:spacing w:val="0"/>
          <w:sz w:val="24"/>
          <w:szCs w:val="24"/>
          <w:highlight w:val="none"/>
          <w14:textFill>
            <w14:solidFill>
              <w14:schemeClr w14:val="tx1"/>
            </w14:solidFill>
          </w14:textFill>
        </w:rPr>
        <w:t>m³/h，扬程：12m，功率：</w:t>
      </w:r>
      <w:r>
        <w:rPr>
          <w:rFonts w:hint="eastAsia" w:ascii="宋体" w:cs="宋体"/>
          <w:b w:val="0"/>
          <w:bCs w:val="0"/>
          <w:color w:val="000000" w:themeColor="text1"/>
          <w:spacing w:val="0"/>
          <w:sz w:val="24"/>
          <w:szCs w:val="24"/>
          <w:highlight w:val="none"/>
          <w14:textFill>
            <w14:solidFill>
              <w14:schemeClr w14:val="tx1"/>
            </w14:solidFill>
          </w14:textFill>
        </w:rPr>
        <w:t>5.5</w:t>
      </w:r>
      <w:r>
        <w:rPr>
          <w:rFonts w:ascii="宋体" w:cs="宋体"/>
          <w:b w:val="0"/>
          <w:bCs w:val="0"/>
          <w:color w:val="000000" w:themeColor="text1"/>
          <w:spacing w:val="0"/>
          <w:sz w:val="24"/>
          <w:szCs w:val="24"/>
          <w:highlight w:val="none"/>
          <w14:textFill>
            <w14:solidFill>
              <w14:schemeClr w14:val="tx1"/>
            </w14:solidFill>
          </w14:textFill>
        </w:rPr>
        <w:t>KW</w:t>
      </w:r>
      <w:r>
        <w:rPr>
          <w:rFonts w:hint="eastAsia" w:ascii="宋体" w:cs="宋体"/>
          <w:b w:val="0"/>
          <w:bCs w:val="0"/>
          <w:color w:val="000000" w:themeColor="text1"/>
          <w:spacing w:val="0"/>
          <w:sz w:val="24"/>
          <w:szCs w:val="24"/>
          <w:highlight w:val="none"/>
          <w14:textFill>
            <w14:solidFill>
              <w14:schemeClr w14:val="tx1"/>
            </w14:solidFill>
          </w14:textFill>
        </w:rPr>
        <w:t>。</w:t>
      </w:r>
    </w:p>
    <w:p>
      <w:pPr>
        <w:spacing w:line="360" w:lineRule="auto"/>
        <w:ind w:left="239" w:leftChars="114" w:right="238" w:firstLine="720" w:firstLineChars="3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污泥回流泵：流量</w:t>
      </w:r>
      <w:r>
        <w:rPr>
          <w:rFonts w:ascii="宋体" w:cs="宋体"/>
          <w:b w:val="0"/>
          <w:bCs w:val="0"/>
          <w:color w:val="000000" w:themeColor="text1"/>
          <w:spacing w:val="0"/>
          <w:sz w:val="24"/>
          <w:szCs w:val="24"/>
          <w:highlight w:val="none"/>
          <w14:textFill>
            <w14:solidFill>
              <w14:schemeClr w14:val="tx1"/>
            </w14:solidFill>
          </w14:textFill>
        </w:rPr>
        <w:t>70</w:t>
      </w:r>
      <w:r>
        <w:rPr>
          <w:rFonts w:hint="eastAsia" w:ascii="宋体" w:cs="宋体"/>
          <w:b w:val="0"/>
          <w:bCs w:val="0"/>
          <w:color w:val="000000" w:themeColor="text1"/>
          <w:spacing w:val="0"/>
          <w:sz w:val="24"/>
          <w:szCs w:val="24"/>
          <w:highlight w:val="none"/>
          <w14:textFill>
            <w14:solidFill>
              <w14:schemeClr w14:val="tx1"/>
            </w14:solidFill>
          </w14:textFill>
        </w:rPr>
        <w:t>m³/h，扬程：1</w:t>
      </w:r>
      <w:r>
        <w:rPr>
          <w:rFonts w:ascii="宋体" w:cs="宋体"/>
          <w:b w:val="0"/>
          <w:bCs w:val="0"/>
          <w:color w:val="000000" w:themeColor="text1"/>
          <w:spacing w:val="0"/>
          <w:sz w:val="24"/>
          <w:szCs w:val="24"/>
          <w:highlight w:val="none"/>
          <w14:textFill>
            <w14:solidFill>
              <w14:schemeClr w14:val="tx1"/>
            </w14:solidFill>
          </w14:textFill>
        </w:rPr>
        <w:t>2</w:t>
      </w:r>
      <w:r>
        <w:rPr>
          <w:rFonts w:hint="eastAsia" w:ascii="宋体" w:cs="宋体"/>
          <w:b w:val="0"/>
          <w:bCs w:val="0"/>
          <w:color w:val="000000" w:themeColor="text1"/>
          <w:spacing w:val="0"/>
          <w:sz w:val="24"/>
          <w:szCs w:val="24"/>
          <w:highlight w:val="none"/>
          <w14:textFill>
            <w14:solidFill>
              <w14:schemeClr w14:val="tx1"/>
            </w14:solidFill>
          </w14:textFill>
        </w:rPr>
        <w:t>m，功率：4KW</w:t>
      </w:r>
    </w:p>
    <w:p>
      <w:pPr>
        <w:spacing w:line="360" w:lineRule="auto"/>
        <w:ind w:left="239" w:leftChars="114" w:right="238" w:firstLine="720" w:firstLineChars="3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螺杆泵：流量：</w:t>
      </w:r>
      <w:r>
        <w:rPr>
          <w:rFonts w:ascii="宋体" w:cs="宋体"/>
          <w:b w:val="0"/>
          <w:bCs w:val="0"/>
          <w:color w:val="000000" w:themeColor="text1"/>
          <w:spacing w:val="0"/>
          <w:sz w:val="24"/>
          <w:szCs w:val="24"/>
          <w:highlight w:val="none"/>
          <w14:textFill>
            <w14:solidFill>
              <w14:schemeClr w14:val="tx1"/>
            </w14:solidFill>
          </w14:textFill>
        </w:rPr>
        <w:t>10</w:t>
      </w:r>
      <w:r>
        <w:rPr>
          <w:rFonts w:hint="eastAsia" w:ascii="宋体" w:cs="宋体"/>
          <w:b w:val="0"/>
          <w:bCs w:val="0"/>
          <w:color w:val="000000" w:themeColor="text1"/>
          <w:spacing w:val="0"/>
          <w:sz w:val="24"/>
          <w:szCs w:val="24"/>
          <w:highlight w:val="none"/>
          <w14:textFill>
            <w14:solidFill>
              <w14:schemeClr w14:val="tx1"/>
            </w14:solidFill>
          </w14:textFill>
        </w:rPr>
        <w:t>m³/h，压力0.6Mpa，功率1.5KW。</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所有泵和在合同范围内的相关电机，应在制造厂内进行测试。测试应证明相关的泵装置能达到规定的工作点和在图纸上、详细技术规定中或由投标人在技术性能表中给定的工作范围。</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旋转泵装置的性能测试，应使用清水测试，符合ISO。特殊旋转泵装置（如叶轮经特殊设计）应对其工作点/保证点作测试，并在规定的操作速度下验证“流量/扬程”，“流量/功率”，“流量/效率”曲线。如果泵是多级速度或可变速度，上述的性能曲线，应在最大和最小速度下提供。</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所有泵壳和其他压力件应在组装前以2倍的闭水扬程作静水压测试。</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投标人应提供全部型式试验的证明交招标人批准。投标人应提供泵特性曲线的试验证明，交招标人批准。当泵安装完毕后，投标人应进行泵性能试验，以证明该泵是符合规定的技术要求。</w:t>
      </w:r>
    </w:p>
    <w:p>
      <w:pPr>
        <w:spacing w:line="360" w:lineRule="auto"/>
        <w:ind w:left="239" w:leftChars="114" w:right="238" w:firstLine="480" w:firstLineChars="200"/>
        <w:jc w:val="both"/>
        <w:rPr>
          <w:rFonts w:ascii="宋体" w:cs="宋体"/>
          <w:bCs w:val="0"/>
          <w:color w:val="000000" w:themeColor="text1"/>
          <w:spacing w:val="0"/>
          <w:sz w:val="24"/>
          <w:szCs w:val="24"/>
          <w:highlight w:val="none"/>
          <w14:textFill>
            <w14:solidFill>
              <w14:schemeClr w14:val="tx1"/>
            </w14:solidFill>
          </w14:textFill>
        </w:rPr>
      </w:pPr>
      <w:r>
        <w:rPr>
          <w:rFonts w:hint="eastAsia" w:ascii="宋体" w:cs="宋体"/>
          <w:bCs w:val="0"/>
          <w:color w:val="000000" w:themeColor="text1"/>
          <w:spacing w:val="0"/>
          <w:sz w:val="24"/>
          <w:szCs w:val="24"/>
          <w:highlight w:val="none"/>
          <w14:textFill>
            <w14:solidFill>
              <w14:schemeClr w14:val="tx1"/>
            </w14:solidFill>
          </w14:textFill>
        </w:rPr>
        <w:t>2.</w:t>
      </w:r>
      <w:r>
        <w:rPr>
          <w:rFonts w:ascii="宋体" w:cs="宋体"/>
          <w:bCs w:val="0"/>
          <w:color w:val="000000" w:themeColor="text1"/>
          <w:spacing w:val="0"/>
          <w:sz w:val="24"/>
          <w:szCs w:val="24"/>
          <w:highlight w:val="none"/>
          <w14:textFill>
            <w14:solidFill>
              <w14:schemeClr w14:val="tx1"/>
            </w14:solidFill>
          </w14:textFill>
        </w:rPr>
        <w:t>4</w:t>
      </w:r>
      <w:r>
        <w:rPr>
          <w:rFonts w:hint="eastAsia" w:ascii="宋体" w:cs="宋体"/>
          <w:bCs w:val="0"/>
          <w:color w:val="000000" w:themeColor="text1"/>
          <w:spacing w:val="0"/>
          <w:sz w:val="24"/>
          <w:szCs w:val="24"/>
          <w:highlight w:val="none"/>
          <w14:textFill>
            <w14:solidFill>
              <w14:schemeClr w14:val="tx1"/>
            </w14:solidFill>
          </w14:textFill>
        </w:rPr>
        <w:t xml:space="preserve"> 反应搅拌机</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设备数量：</w:t>
      </w:r>
      <w:r>
        <w:rPr>
          <w:rFonts w:ascii="宋体" w:cs="宋体"/>
          <w:b w:val="0"/>
          <w:bCs w:val="0"/>
          <w:color w:val="000000" w:themeColor="text1"/>
          <w:spacing w:val="0"/>
          <w:sz w:val="24"/>
          <w:szCs w:val="24"/>
          <w:highlight w:val="none"/>
          <w14:textFill>
            <w14:solidFill>
              <w14:schemeClr w14:val="tx1"/>
            </w14:solidFill>
          </w14:textFill>
        </w:rPr>
        <w:t>2</w:t>
      </w:r>
      <w:r>
        <w:rPr>
          <w:rFonts w:hint="eastAsia" w:ascii="宋体" w:cs="宋体"/>
          <w:b w:val="0"/>
          <w:bCs w:val="0"/>
          <w:color w:val="000000" w:themeColor="text1"/>
          <w:spacing w:val="0"/>
          <w:sz w:val="24"/>
          <w:szCs w:val="24"/>
          <w:highlight w:val="none"/>
          <w14:textFill>
            <w14:solidFill>
              <w14:schemeClr w14:val="tx1"/>
            </w14:solidFill>
          </w14:textFill>
        </w:rPr>
        <w:t>台反应搅拌机，碳钢防腐，</w:t>
      </w:r>
      <w:r>
        <w:rPr>
          <w:rFonts w:ascii="宋体" w:cs="宋体"/>
          <w:b w:val="0"/>
          <w:bCs w:val="0"/>
          <w:color w:val="000000" w:themeColor="text1"/>
          <w:spacing w:val="0"/>
          <w:sz w:val="24"/>
          <w:szCs w:val="24"/>
          <w:highlight w:val="none"/>
          <w14:textFill>
            <w14:solidFill>
              <w14:schemeClr w14:val="tx1"/>
            </w14:solidFill>
          </w14:textFill>
        </w:rPr>
        <w:t xml:space="preserve">N=2.5KW </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1）一般要求：设备应该是全新的，没有使用过的。设备供应商提供全部的桨式搅拌机部件，包括但不限于电机、减速机、机座、传动轴、桨叶及紧固件。</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2)设计和现场条件</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搅拌器应满足下述工况条件的工作：</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a.应适合于污水或污泥混合液中运转，工作时，在水下任何部位都不得挂带纤维，保证池内各区搅拌均,整个池内不会有污泥的沉淀，无死角。</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b.叶轮需在全浸没条件下连续运行、间歇运行和长期停止状态后恢复运行，在整个运行过程中须运行平急、无振动，无故障运行时间至少为</w:t>
      </w:r>
      <w:r>
        <w:rPr>
          <w:rFonts w:ascii="宋体" w:cs="宋体"/>
          <w:b w:val="0"/>
          <w:color w:val="000000" w:themeColor="text1"/>
          <w:spacing w:val="0"/>
          <w:sz w:val="24"/>
          <w:szCs w:val="24"/>
          <w:highlight w:val="none"/>
          <w14:textFill>
            <w14:solidFill>
              <w14:schemeClr w14:val="tx1"/>
            </w14:solidFill>
          </w14:textFill>
        </w:rPr>
        <w:t>50</w:t>
      </w:r>
      <w:r>
        <w:rPr>
          <w:rFonts w:hint="eastAsia" w:ascii="宋体" w:cs="宋体"/>
          <w:b w:val="0"/>
          <w:color w:val="000000" w:themeColor="text1"/>
          <w:spacing w:val="0"/>
          <w:sz w:val="24"/>
          <w:szCs w:val="24"/>
          <w:highlight w:val="none"/>
          <w14:textFill>
            <w14:solidFill>
              <w14:schemeClr w14:val="tx1"/>
            </w14:solidFill>
          </w14:textFill>
        </w:rPr>
        <w:t>000小时。</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3)结构与形式</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(1)性能要求</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JBJ型桨式搅拌机的试验规程应参照CJ/T3061-1996有关标准执行。</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JBJ型桨式搅拌机应能在正常工作时，充分搅动水流，促使药物充分溶解，混合。桨板旋转后，池中投加的药剂充分地溶解，或药剂分子与污水中有害物质迅速反应，达到高效消毒，除污的效果。</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搅拌器的电机须连续运行、间歇运行和长期停止状态后恢复运行。</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(2)结构形式</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JBJ型桨式搅拌机(含所有的支承件)采用立式安装，电机与减速机采用直联的结构形式。JBJ型桨式搅拌机叶轮转速，叶轮型式由承包人根据池型及药剂性质计算确定(清单中仅供参考),搅拌器通过叶轮的转动进行工作，使药物充分溶解，以利后期的使用。</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搅拌机所采用齿轮减速装置应是专门为流体搅拌而设计的专业齿轮箱，齿轮减速装置的效率应在96%以上。</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减速装置应采用平行轴传动设计，结构应紧凑，适合采用钢架安装，与电机采用标准立式法兰连接。减速装置应采用斜齿轮组设计，须采用两级减速。为了齿轮的啮合适当及延长寿命，所有齿轮经齿面硬化、精密滚铣，然后经剃齿处理，以达到精确的公差配合。所有齿轮均按AGMA L-10标准进行检验。</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齿轮箱中高速轴轴承通过飞溅方式得到连续润滑，而低速轴轴承则是通过加注润滑脂进行润滑。齿轮箱内应采用隔油套设计来避免润滑油的泄漏。</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为了承受径向流力和轴向推力负载，齿轮箱全部使用相当于NSK或同等档次品牌的轴承，轴承基本额定使用寿命超过8万小时。</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齿轮箱箱体采用铸铁件。</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★传动电机应采用性能优的电机，电机应适合电源380、50Hz、三相、电机防护等级IP65,绝缘等级F级，温升等级B级。驱动装置必须采用硬齿面齿轮减速机，所有轴承采用相当于NSK及或同等档次品牌的产品。</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搅拌轴直径应采用合适的断面尺寸，以满足搅拌时强度与刚度要求，搅拌轴应采用SUS304不锈钢材料制造。</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承包人应选用高效轴流型宽叶片的叶轮结构型式，叶轮应具有足够的轴向提升力，叶轮应采用SUS304不锈钢材料制造。</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反应搅拌机运行应平稳，无异常噪音，其噪音声级符合AGMA标准，在距设备1m处测量时小于85dB(A)。</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(3)控制系统</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a.由配套供应的电控柜、按钮箱控制。</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b.JBJ型桨式搅拌机电控柜防护等级IP4</w:t>
      </w:r>
      <w:r>
        <w:rPr>
          <w:rFonts w:ascii="宋体" w:cs="宋体"/>
          <w:b w:val="0"/>
          <w:color w:val="000000" w:themeColor="text1"/>
          <w:spacing w:val="0"/>
          <w:sz w:val="24"/>
          <w:szCs w:val="24"/>
          <w:highlight w:val="none"/>
          <w14:textFill>
            <w14:solidFill>
              <w14:schemeClr w14:val="tx1"/>
            </w14:solidFill>
          </w14:textFill>
        </w:rPr>
        <w:t>4</w:t>
      </w:r>
      <w:r>
        <w:rPr>
          <w:rFonts w:hint="eastAsia" w:ascii="宋体" w:cs="宋体"/>
          <w:b w:val="0"/>
          <w:color w:val="000000" w:themeColor="text1"/>
          <w:spacing w:val="0"/>
          <w:sz w:val="24"/>
          <w:szCs w:val="24"/>
          <w:highlight w:val="none"/>
          <w14:textFill>
            <w14:solidFill>
              <w14:schemeClr w14:val="tx1"/>
            </w14:solidFill>
          </w14:textFill>
        </w:rPr>
        <w:t>。搅拌器旁按要求设置按钮箱。按钮箱面板上设置急停、开、停按钮，运行、停止、故障信号灯，就地/远方转换开关。</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c.由配套电控柜、按钮箱至其所控设备之间的动力以及控制线缆配套供应。各配套电控柜、按钮箱之间的联动控制线缆配套供应。配套线缆必须满足工程要求。</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d.电控柜、按钮箱、配套电缆及相关辅材的报价应包括在机械设备投标报价内。</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e.操作方式为就地手动控制和远程控制二种方式。</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f.由控制柜(箱)至设备的控制线缆应随设备配套。</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(4)防腐处理</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承包人提供的搅拌器的全部材料应适用于污水及絮凝剂的腐蚀环境，未经保护或非防腐性材料按制造厂规定进行处理。</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(5)指导安装和检验</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参考标准</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CJ/T3061《水处理用溶药搅拌设备》</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ISO1940/1《对刚性旋转机械的机械振动平衡要求G6.3》</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JB/T2932《水处理设备技术条件》</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GB50231《机械设备安装工程施工及验收通用规范》</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GB50334《城市污水处理厂工程质量验收规范》制造厂絮凝反应搅拌器安装维修手册</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现场条件</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承包商在上述设备安装前，应对建成构筑物的相关尺寸，进行核对，并提出详细记录，对不符合安装条件的部分，应向甲方报告，经批准及修正后，方可进行安装。</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设备结构要素</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a.搅拌器需按齿轮减速电机、立轴、叶轮、控制箱等部件在现场联接组装，齿轮减速电机为整机安装。</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b.安装顺序应按制造厂安装手册为准。</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c.在安装前，制造厂为防止部件损坏而包装的防护粘贴，不得提前撕离。</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(4)与土建工程分界面</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a.在土建构筑物的预留孔均属土建工程。</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b.设备固定用基础螺栓为供货商的随机附件。</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(5)现场检验和调试</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a.安装后，应按技术要求进行检验，保证其允差值符合规定的指标。</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b.应检查和加注润滑油脂。</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c.搅拌器在无水条件下，空载运行2小时，应传动平稳，无卡位和抖动现象。</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d.承包商应协助供货商进行现场负载试验，在设计工况条件下进行24小时的带负载运行，测定单位容积功率和检验池底流速。</w:t>
      </w:r>
    </w:p>
    <w:p>
      <w:pPr>
        <w:spacing w:line="360" w:lineRule="auto"/>
        <w:ind w:left="239" w:leftChars="114" w:right="238" w:firstLine="480" w:firstLineChars="200"/>
        <w:jc w:val="both"/>
        <w:rPr>
          <w:rFonts w:ascii="宋体" w:cs="宋体"/>
          <w:bCs w:val="0"/>
          <w:color w:val="000000" w:themeColor="text1"/>
          <w:spacing w:val="0"/>
          <w:sz w:val="24"/>
          <w:szCs w:val="24"/>
          <w:highlight w:val="none"/>
          <w14:textFill>
            <w14:solidFill>
              <w14:schemeClr w14:val="tx1"/>
            </w14:solidFill>
          </w14:textFill>
        </w:rPr>
      </w:pPr>
      <w:r>
        <w:rPr>
          <w:rFonts w:hint="eastAsia" w:ascii="宋体" w:cs="宋体"/>
          <w:bCs w:val="0"/>
          <w:color w:val="000000" w:themeColor="text1"/>
          <w:spacing w:val="0"/>
          <w:sz w:val="24"/>
          <w:szCs w:val="24"/>
          <w:highlight w:val="none"/>
          <w14:textFill>
            <w14:solidFill>
              <w14:schemeClr w14:val="tx1"/>
            </w14:solidFill>
          </w14:textFill>
        </w:rPr>
        <w:t>2.</w:t>
      </w:r>
      <w:r>
        <w:rPr>
          <w:rFonts w:ascii="宋体" w:cs="宋体"/>
          <w:bCs w:val="0"/>
          <w:color w:val="000000" w:themeColor="text1"/>
          <w:spacing w:val="0"/>
          <w:sz w:val="24"/>
          <w:szCs w:val="24"/>
          <w:highlight w:val="none"/>
          <w14:textFill>
            <w14:solidFill>
              <w14:schemeClr w14:val="tx1"/>
            </w14:solidFill>
          </w14:textFill>
        </w:rPr>
        <w:t>5</w:t>
      </w:r>
      <w:r>
        <w:rPr>
          <w:rFonts w:hint="eastAsia" w:ascii="宋体" w:cs="宋体"/>
          <w:bCs w:val="0"/>
          <w:color w:val="000000" w:themeColor="text1"/>
          <w:spacing w:val="0"/>
          <w:sz w:val="24"/>
          <w:szCs w:val="24"/>
          <w:highlight w:val="none"/>
          <w14:textFill>
            <w14:solidFill>
              <w14:schemeClr w14:val="tx1"/>
            </w14:solidFill>
          </w14:textFill>
        </w:rPr>
        <w:t xml:space="preserve"> 框式搅拌机</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设备数量：</w:t>
      </w:r>
      <w:r>
        <w:rPr>
          <w:rFonts w:ascii="宋体" w:cs="宋体"/>
          <w:b w:val="0"/>
          <w:bCs w:val="0"/>
          <w:color w:val="000000" w:themeColor="text1"/>
          <w:spacing w:val="0"/>
          <w:sz w:val="24"/>
          <w:szCs w:val="24"/>
          <w:highlight w:val="none"/>
          <w14:textFill>
            <w14:solidFill>
              <w14:schemeClr w14:val="tx1"/>
            </w14:solidFill>
          </w14:textFill>
        </w:rPr>
        <w:t>6</w:t>
      </w:r>
      <w:r>
        <w:rPr>
          <w:rFonts w:hint="eastAsia" w:ascii="宋体" w:cs="宋体"/>
          <w:b w:val="0"/>
          <w:bCs w:val="0"/>
          <w:color w:val="000000" w:themeColor="text1"/>
          <w:spacing w:val="0"/>
          <w:sz w:val="24"/>
          <w:szCs w:val="24"/>
          <w:highlight w:val="none"/>
          <w14:textFill>
            <w14:solidFill>
              <w14:schemeClr w14:val="tx1"/>
            </w14:solidFill>
          </w14:textFill>
        </w:rPr>
        <w:t>台反应搅拌机，碳钢防腐，</w:t>
      </w:r>
      <w:r>
        <w:rPr>
          <w:rFonts w:ascii="宋体" w:cs="宋体"/>
          <w:b w:val="0"/>
          <w:bCs w:val="0"/>
          <w:color w:val="000000" w:themeColor="text1"/>
          <w:spacing w:val="0"/>
          <w:sz w:val="24"/>
          <w:szCs w:val="24"/>
          <w:highlight w:val="none"/>
          <w14:textFill>
            <w14:solidFill>
              <w14:schemeClr w14:val="tx1"/>
            </w14:solidFill>
          </w14:textFill>
        </w:rPr>
        <w:t>N=0.55KW</w:t>
      </w:r>
      <w:r>
        <w:rPr>
          <w:rFonts w:hint="eastAsia" w:ascii="宋体" w:cs="宋体"/>
          <w:b w:val="0"/>
          <w:bCs w:val="0"/>
          <w:color w:val="000000" w:themeColor="text1"/>
          <w:spacing w:val="0"/>
          <w:sz w:val="24"/>
          <w:szCs w:val="24"/>
          <w:highlight w:val="none"/>
          <w14:textFill>
            <w14:solidFill>
              <w14:schemeClr w14:val="tx1"/>
            </w14:solidFill>
          </w14:textFill>
        </w:rPr>
        <w:t>。</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1）一般要求：设备应该是全新的，没有使用过的。设备供应商提供全部的框式搅拌机部件，包括但不限于电机、减速机、机座、传动轴、桨板及紧固件。</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2)设计和现场条件</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搅拌器应满足下述工况条件的工作：</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a.应适合于污水或污泥混合液中运转，工作时，在水下任何部位都不得挂带纤维，保证池内各区搅拌均,整个池内不会有污泥的沉淀，无死角。</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b.叶轮需在全浸没条件下连续运行、间歇运行和长期停止状态后恢复运行，在整个运行过程中须运行平急、无振动，无故障运行时间至少为</w:t>
      </w:r>
      <w:r>
        <w:rPr>
          <w:rFonts w:ascii="宋体" w:cs="宋体"/>
          <w:b w:val="0"/>
          <w:color w:val="000000" w:themeColor="text1"/>
          <w:spacing w:val="0"/>
          <w:sz w:val="24"/>
          <w:szCs w:val="24"/>
          <w:highlight w:val="none"/>
          <w14:textFill>
            <w14:solidFill>
              <w14:schemeClr w14:val="tx1"/>
            </w14:solidFill>
          </w14:textFill>
        </w:rPr>
        <w:t>50</w:t>
      </w:r>
      <w:r>
        <w:rPr>
          <w:rFonts w:hint="eastAsia" w:ascii="宋体" w:cs="宋体"/>
          <w:b w:val="0"/>
          <w:color w:val="000000" w:themeColor="text1"/>
          <w:spacing w:val="0"/>
          <w:sz w:val="24"/>
          <w:szCs w:val="24"/>
          <w:highlight w:val="none"/>
          <w14:textFill>
            <w14:solidFill>
              <w14:schemeClr w14:val="tx1"/>
            </w14:solidFill>
          </w14:textFill>
        </w:rPr>
        <w:t>000小时。</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3)结构与形式</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(1)性能要求</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JBK型框式搅拌机的试验规程应参照CJ/T3061-1996有关标准执行。</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JBK型框式搅拌机应能在低速状态下促使水中的胶体颗粒发生碰撞、吸附并逐渐结成一定大小的絮凝体，聚合物(PAM)与污水混合，以提高沉淀池固液分离的效果。搅拌器的电机须连续运行、间歇运行和长期停止状态后恢复运行。</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(2)结构形式</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JBK型框式搅拌机(含所有的支承件)采用立式安装，电机与减速机采用直联的结构形式。JBK型框式搅拌机叶轮转速，叶轮型式由承包人根据池型及药剂性质计算确定(清单中仅供参考),搅拌器通过叶轮的低速转动进行絮凝反应，使污水中的悬浮物、非溶解性有机物，溶解性磷在电解质和聚合物的作用下形成较大絮凝体，以利后期的沉淀处理。搅拌机需附带导流筒。</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搅拌机所采用重型齿轮减速装置应是专门为流体搅拌而设计的专业齿轮箱，齿轮减速装置的效率应在96%以上。</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减速装置应采用平行轴传动设计，结构应紧凑，适合采用钢架安装，与电机采用标准立式法兰连接。减速装置应采用斜齿轮组设计，须采用两级减速。为了齿轮的啮合适当及延长寿命，所有齿轮经齿面硬化、精密滚铣，然后经剃齿处理，以达到精确的公差配合。所有齿轮均按AGMA L-10标准进行检验。</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齿轮箱中高速轴轴承通过飞溅方式得到连续润滑，而低速轴轴承则是通过加注润滑脂进行润滑。齿轮箱内应采用隔油套设计来避免润滑油的泄漏。</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为了承受径向流力和轴向推力负载，齿轮箱全部使用相当于NSK或同等档次品牌的轴承，轴承基本额定使用寿命超过8万小时。</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齿轮箱箱体采用铸铁件。</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★传动电机应采用性能优的电机，电机应适合电源380、50Hz、三相、电机防护等级IP65,绝缘等级F级，温升等级B级。驱动装置必须采用齿轮减速机，所有轴承采用相当于NSK或同等档次品牌的产品。</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搅拌轴直径应采用合适的断面尺寸，以满足搅拌时强度与刚度要求，搅拌轴应采用SUS304不锈钢材料制造。</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承包人应选用高效轴流型宽叶片的叶轮结构型式，叶轮应具有足够的轴向提升力，叶轮应采用SUS304不锈钢材料制造。</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絮凝反应搅拌机运行应平稳，无异常噪音，其噪音声级符合AGMA标准，在距设备1m处测量时小于85dB(A)。</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(3)控制系统</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a.由配套供应的电控柜、按钮箱控制。</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b.JBK型框式搅拌机电控柜防护等级IP4</w:t>
      </w:r>
      <w:r>
        <w:rPr>
          <w:rFonts w:ascii="宋体" w:cs="宋体"/>
          <w:b w:val="0"/>
          <w:color w:val="000000" w:themeColor="text1"/>
          <w:spacing w:val="0"/>
          <w:sz w:val="24"/>
          <w:szCs w:val="24"/>
          <w:highlight w:val="none"/>
          <w14:textFill>
            <w14:solidFill>
              <w14:schemeClr w14:val="tx1"/>
            </w14:solidFill>
          </w14:textFill>
        </w:rPr>
        <w:t>4</w:t>
      </w:r>
      <w:r>
        <w:rPr>
          <w:rFonts w:hint="eastAsia" w:ascii="宋体" w:cs="宋体"/>
          <w:b w:val="0"/>
          <w:color w:val="000000" w:themeColor="text1"/>
          <w:spacing w:val="0"/>
          <w:sz w:val="24"/>
          <w:szCs w:val="24"/>
          <w:highlight w:val="none"/>
          <w14:textFill>
            <w14:solidFill>
              <w14:schemeClr w14:val="tx1"/>
            </w14:solidFill>
          </w14:textFill>
        </w:rPr>
        <w:t>。絮凝搅拌器旁按要求设置按钮箱。按钮箱面板上设置急停、开、停按钮，运行、停止、故障信号灯，就地/远方转换开关。</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c.由配套电控柜、按钮箱至其所控设备之间的动力以及控制线缆配套供应。各配套电控柜、按钮箱之间的联动控制线缆配套供应。配套线缆必须满足工程要求。</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d.电控柜、按钮箱、配套电缆及相关辅材的报价应包括在机械设备投标报价内。</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e.操作方式为就地手动控制和手动控制二种方式。</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f.由控制柜(箱)至设备的控制线缆应随设备配套。</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(4)防腐处理</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承包人提供的搅拌器的全部材料应适用于污水及絮凝剂的腐蚀环境，未经保护或非防腐性材料按制造厂规定进行处理。</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(5)指导安装和检验</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参考标准</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CJ/T3061《水处理用溶药搅拌设备》</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ISO1940/1《对刚性旋转机械的机械振动平衡要求G6.3》</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JB/T2932《水处理设备技术条件》</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GB50231《机械设备安装工程施工及验收通用规范》</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GB50334《城市污水处理厂工程质量验收规范》制造厂絮凝反应搅拌器安装维修手册</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现场条件</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承包商在上述设备安装前，应对建成构筑物的相关尺寸，进行核对，并提出详细记录，对不符合安装条件的部分，应向甲方报告，经批准及修正后，方可进行安装。</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设备结构要素</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a.搅拌器需按齿轮减速电机、立轴、叶轮、控制箱等部件在现场联接组装，齿轮减速电机为整机安装。</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b.安装顺序应按制造厂安装手册为准。</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c.在安装前，制造厂为防止部件损坏而包装的防护粘贴，不得提前撕离。</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(4)与土建工程分界面</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a.在土建构筑物的预留孔均属土建工程。</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b.设备固定用基础螺栓为供货商的随机附件。</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(5)现场检验和调试</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a.安装后，应按技术要求进行检验，保证其允差值符合规定的指标。</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a.安装后，应按技术要求进行检验，保证其允差值符合规定的指标。</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b.应检查和加注润滑油脂。</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c.搅拌器在无水条件下，空载运行2小时，应传动平稳，无卡位和抖动现象。</w:t>
      </w:r>
    </w:p>
    <w:p>
      <w:pPr>
        <w:spacing w:line="360" w:lineRule="auto"/>
        <w:ind w:left="239" w:leftChars="114" w:right="238" w:firstLine="480" w:firstLineChars="200"/>
        <w:jc w:val="both"/>
        <w:rPr>
          <w:rFonts w:ascii="宋体" w:cs="宋体"/>
          <w:b w:val="0"/>
          <w:color w:val="000000" w:themeColor="text1"/>
          <w:spacing w:val="0"/>
          <w:sz w:val="24"/>
          <w:szCs w:val="24"/>
          <w:highlight w:val="none"/>
          <w14:textFill>
            <w14:solidFill>
              <w14:schemeClr w14:val="tx1"/>
            </w14:solidFill>
          </w14:textFill>
        </w:rPr>
      </w:pPr>
      <w:r>
        <w:rPr>
          <w:rFonts w:hint="eastAsia" w:ascii="宋体" w:cs="宋体"/>
          <w:b w:val="0"/>
          <w:color w:val="000000" w:themeColor="text1"/>
          <w:spacing w:val="0"/>
          <w:sz w:val="24"/>
          <w:szCs w:val="24"/>
          <w:highlight w:val="none"/>
          <w14:textFill>
            <w14:solidFill>
              <w14:schemeClr w14:val="tx1"/>
            </w14:solidFill>
          </w14:textFill>
        </w:rPr>
        <w:t>d.承包商应协助供货商进行现场负载试验，在设计工况条件下进行24小时的带负载运行，测定单位容积功率和检验池底流速。</w:t>
      </w:r>
    </w:p>
    <w:p>
      <w:pPr>
        <w:spacing w:line="360" w:lineRule="auto"/>
        <w:ind w:left="239" w:leftChars="114" w:right="238" w:firstLine="480" w:firstLineChars="200"/>
        <w:jc w:val="both"/>
        <w:rPr>
          <w:rFonts w:ascii="宋体" w:cs="宋体"/>
          <w:bCs w:val="0"/>
          <w:color w:val="000000" w:themeColor="text1"/>
          <w:spacing w:val="0"/>
          <w:sz w:val="24"/>
          <w:szCs w:val="24"/>
          <w:highlight w:val="none"/>
          <w14:textFill>
            <w14:solidFill>
              <w14:schemeClr w14:val="tx1"/>
            </w14:solidFill>
          </w14:textFill>
        </w:rPr>
      </w:pPr>
      <w:r>
        <w:rPr>
          <w:rFonts w:hint="eastAsia" w:ascii="宋体" w:cs="宋体"/>
          <w:bCs w:val="0"/>
          <w:color w:val="000000" w:themeColor="text1"/>
          <w:spacing w:val="0"/>
          <w:sz w:val="24"/>
          <w:szCs w:val="24"/>
          <w:highlight w:val="none"/>
          <w14:textFill>
            <w14:solidFill>
              <w14:schemeClr w14:val="tx1"/>
            </w14:solidFill>
          </w14:textFill>
        </w:rPr>
        <w:t>2.</w:t>
      </w:r>
      <w:r>
        <w:rPr>
          <w:rFonts w:ascii="宋体" w:cs="宋体"/>
          <w:bCs w:val="0"/>
          <w:color w:val="000000" w:themeColor="text1"/>
          <w:spacing w:val="0"/>
          <w:sz w:val="24"/>
          <w:szCs w:val="24"/>
          <w:highlight w:val="none"/>
          <w14:textFill>
            <w14:solidFill>
              <w14:schemeClr w14:val="tx1"/>
            </w14:solidFill>
          </w14:textFill>
        </w:rPr>
        <w:t>6、</w:t>
      </w:r>
      <w:r>
        <w:rPr>
          <w:rFonts w:hint="eastAsia" w:ascii="宋体" w:cs="宋体"/>
          <w:bCs w:val="0"/>
          <w:color w:val="000000" w:themeColor="text1"/>
          <w:spacing w:val="0"/>
          <w:sz w:val="24"/>
          <w:szCs w:val="24"/>
          <w:highlight w:val="none"/>
          <w14:textFill>
            <w14:solidFill>
              <w14:schemeClr w14:val="tx1"/>
            </w14:solidFill>
          </w14:textFill>
        </w:rPr>
        <w:t>恒压供水辅泵及修复恒压中水电控系统</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（1）设备数量：1台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（2）设备参数：Q=5.9m³/h，H=70m，N=2.2KW。</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3）</w:t>
      </w:r>
      <w:r>
        <w:rPr>
          <w:rFonts w:hint="eastAsia" w:ascii="宋体" w:cs="宋体"/>
          <w:b w:val="0"/>
          <w:bCs w:val="0"/>
          <w:color w:val="000000" w:themeColor="text1"/>
          <w:spacing w:val="0"/>
          <w:sz w:val="24"/>
          <w:szCs w:val="24"/>
          <w:highlight w:val="none"/>
          <w14:textFill>
            <w14:solidFill>
              <w14:schemeClr w14:val="tx1"/>
            </w14:solidFill>
          </w14:textFill>
        </w:rPr>
        <w:t>材质：</w:t>
      </w:r>
      <w:r>
        <w:rPr>
          <w:rFonts w:ascii="宋体" w:cs="宋体"/>
          <w:b w:val="0"/>
          <w:bCs w:val="0"/>
          <w:color w:val="000000" w:themeColor="text1"/>
          <w:spacing w:val="0"/>
          <w:sz w:val="24"/>
          <w:szCs w:val="24"/>
          <w:highlight w:val="none"/>
          <w14:textFill>
            <w14:solidFill>
              <w14:schemeClr w14:val="tx1"/>
            </w14:solidFill>
          </w14:textFill>
        </w:rPr>
        <w:t xml:space="preserve"> </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1）泵由电机、泵头、导叶、叶轮、耐压筒、进出水段、泵轴、机械密封等主要零部件组成。</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2）泵关键零部件导叶、叶轮、耐压筒、轴等过流部件均采用不锈钢材料</w:t>
      </w:r>
      <w:r>
        <w:rPr>
          <w:rFonts w:ascii="宋体" w:cs="宋体"/>
          <w:b w:val="0"/>
          <w:bCs w:val="0"/>
          <w:color w:val="000000" w:themeColor="text1"/>
          <w:spacing w:val="0"/>
          <w:sz w:val="24"/>
          <w:szCs w:val="24"/>
          <w:highlight w:val="none"/>
          <w14:textFill>
            <w14:solidFill>
              <w14:schemeClr w14:val="tx1"/>
            </w14:solidFill>
          </w14:textFill>
        </w:rPr>
        <w:t>。</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3）泵 采用单端面集装式机械密封，磨块为硬质合金/</w:t>
      </w:r>
      <w:r>
        <w:rPr>
          <w:rFonts w:ascii="宋体" w:cs="宋体"/>
          <w:b w:val="0"/>
          <w:bCs w:val="0"/>
          <w:color w:val="000000" w:themeColor="text1"/>
          <w:spacing w:val="0"/>
          <w:sz w:val="24"/>
          <w:szCs w:val="24"/>
          <w:highlight w:val="none"/>
          <w14:textFill>
            <w14:solidFill>
              <w14:schemeClr w14:val="tx1"/>
            </w14:solidFill>
          </w14:textFill>
        </w:rPr>
        <w:t>石墨,支撑导叶内滑动轴承采用硬质合金</w:t>
      </w:r>
      <w:r>
        <w:rPr>
          <w:rFonts w:hint="eastAsia" w:ascii="宋体" w:cs="宋体"/>
          <w:b w:val="0"/>
          <w:bCs w:val="0"/>
          <w:color w:val="000000" w:themeColor="text1"/>
          <w:spacing w:val="0"/>
          <w:sz w:val="24"/>
          <w:szCs w:val="24"/>
          <w:highlight w:val="none"/>
          <w14:textFill>
            <w14:solidFill>
              <w14:schemeClr w14:val="tx1"/>
            </w14:solidFill>
          </w14:textFill>
        </w:rPr>
        <w:t>。</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4）</w:t>
      </w:r>
      <w:r>
        <w:rPr>
          <w:rFonts w:ascii="宋体" w:cs="宋体"/>
          <w:b w:val="0"/>
          <w:bCs w:val="0"/>
          <w:color w:val="000000" w:themeColor="text1"/>
          <w:spacing w:val="0"/>
          <w:sz w:val="24"/>
          <w:szCs w:val="24"/>
          <w:highlight w:val="none"/>
          <w14:textFill>
            <w14:solidFill>
              <w14:schemeClr w14:val="tx1"/>
            </w14:solidFill>
          </w14:textFill>
        </w:rPr>
        <w:t>每台水泵均应提供运行曲线表，并要求表示出每台水泵正常运行在性能曲线上的位置</w:t>
      </w:r>
      <w:r>
        <w:rPr>
          <w:rFonts w:hint="eastAsia" w:ascii="宋体" w:cs="宋体"/>
          <w:b w:val="0"/>
          <w:bCs w:val="0"/>
          <w:color w:val="000000" w:themeColor="text1"/>
          <w:spacing w:val="0"/>
          <w:sz w:val="24"/>
          <w:szCs w:val="24"/>
          <w:highlight w:val="none"/>
          <w14:textFill>
            <w14:solidFill>
              <w14:schemeClr w14:val="tx1"/>
            </w14:solidFill>
          </w14:textFill>
        </w:rPr>
        <w:t>。</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（4）恢复中水水泵恒压供水系统，实现手动机自动切换功能。</w:t>
      </w:r>
    </w:p>
    <w:p>
      <w:pPr>
        <w:spacing w:line="360" w:lineRule="auto"/>
        <w:ind w:left="239" w:leftChars="114" w:right="238" w:firstLine="480" w:firstLineChars="200"/>
        <w:jc w:val="both"/>
        <w:rPr>
          <w:rFonts w:ascii="宋体" w:cs="宋体"/>
          <w:bCs w:val="0"/>
          <w:color w:val="000000" w:themeColor="text1"/>
          <w:spacing w:val="0"/>
          <w:sz w:val="24"/>
          <w:szCs w:val="24"/>
          <w:highlight w:val="none"/>
          <w14:textFill>
            <w14:solidFill>
              <w14:schemeClr w14:val="tx1"/>
            </w14:solidFill>
          </w14:textFill>
        </w:rPr>
      </w:pPr>
      <w:r>
        <w:rPr>
          <w:rFonts w:hint="eastAsia" w:ascii="宋体" w:cs="宋体"/>
          <w:bCs w:val="0"/>
          <w:color w:val="000000" w:themeColor="text1"/>
          <w:spacing w:val="0"/>
          <w:sz w:val="24"/>
          <w:szCs w:val="24"/>
          <w:highlight w:val="none"/>
          <w14:textFill>
            <w14:solidFill>
              <w14:schemeClr w14:val="tx1"/>
            </w14:solidFill>
          </w14:textFill>
        </w:rPr>
        <w:t>2.</w:t>
      </w:r>
      <w:r>
        <w:rPr>
          <w:rFonts w:ascii="宋体" w:cs="宋体"/>
          <w:bCs w:val="0"/>
          <w:color w:val="000000" w:themeColor="text1"/>
          <w:spacing w:val="0"/>
          <w:sz w:val="24"/>
          <w:szCs w:val="24"/>
          <w:highlight w:val="none"/>
          <w14:textFill>
            <w14:solidFill>
              <w14:schemeClr w14:val="tx1"/>
            </w14:solidFill>
          </w14:textFill>
        </w:rPr>
        <w:t>7、</w:t>
      </w:r>
      <w:r>
        <w:rPr>
          <w:rFonts w:hint="eastAsia" w:ascii="宋体" w:cs="宋体"/>
          <w:bCs w:val="0"/>
          <w:color w:val="000000" w:themeColor="text1"/>
          <w:spacing w:val="0"/>
          <w:sz w:val="24"/>
          <w:szCs w:val="24"/>
          <w:highlight w:val="none"/>
          <w14:textFill>
            <w14:solidFill>
              <w14:schemeClr w14:val="tx1"/>
            </w14:solidFill>
          </w14:textFill>
        </w:rPr>
        <w:t>高效填料</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（1）设备数量：790</w:t>
      </w:r>
      <w:r>
        <w:rPr>
          <w:rFonts w:ascii="宋体" w:cs="宋体"/>
          <w:b w:val="0"/>
          <w:bCs w:val="0"/>
          <w:color w:val="000000" w:themeColor="text1"/>
          <w:spacing w:val="0"/>
          <w:sz w:val="24"/>
          <w:szCs w:val="24"/>
          <w:highlight w:val="none"/>
          <w14:textFill>
            <w14:solidFill>
              <w14:schemeClr w14:val="tx1"/>
            </w14:solidFill>
          </w14:textFill>
        </w:rPr>
        <w:t>m</w:t>
      </w:r>
      <w:r>
        <w:rPr>
          <w:rFonts w:ascii="宋体" w:cs="宋体"/>
          <w:b w:val="0"/>
          <w:bCs w:val="0"/>
          <w:color w:val="000000" w:themeColor="text1"/>
          <w:spacing w:val="0"/>
          <w:sz w:val="24"/>
          <w:szCs w:val="24"/>
          <w:highlight w:val="none"/>
          <w:vertAlign w:val="superscript"/>
          <w14:textFill>
            <w14:solidFill>
              <w14:schemeClr w14:val="tx1"/>
            </w14:solidFill>
          </w14:textFill>
        </w:rPr>
        <w:t>3</w:t>
      </w:r>
      <w:r>
        <w:rPr>
          <w:rFonts w:hint="eastAsia" w:ascii="宋体" w:cs="宋体"/>
          <w:b w:val="0"/>
          <w:bCs w:val="0"/>
          <w:color w:val="000000" w:themeColor="text1"/>
          <w:spacing w:val="0"/>
          <w:sz w:val="24"/>
          <w:szCs w:val="24"/>
          <w:highlight w:val="none"/>
          <w14:textFill>
            <w14:solidFill>
              <w14:schemeClr w14:val="tx1"/>
            </w14:solidFill>
          </w14:textFill>
        </w:rPr>
        <w:t>，包括填料支架。需与原系统匹配且满足工艺要求。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（2）规格：Φ70-80，比表面积7000-8000m</w:t>
      </w:r>
      <w:r>
        <w:rPr>
          <w:rFonts w:ascii="宋体" w:cs="宋体"/>
          <w:b w:val="0"/>
          <w:bCs w:val="0"/>
          <w:color w:val="000000" w:themeColor="text1"/>
          <w:spacing w:val="0"/>
          <w:sz w:val="24"/>
          <w:szCs w:val="24"/>
          <w:highlight w:val="none"/>
          <w:vertAlign w:val="superscript"/>
          <w14:textFill>
            <w14:solidFill>
              <w14:schemeClr w14:val="tx1"/>
            </w14:solidFill>
          </w14:textFill>
        </w:rPr>
        <w:t>2</w:t>
      </w:r>
      <w:r>
        <w:rPr>
          <w:rFonts w:hint="eastAsia" w:ascii="宋体" w:cs="宋体"/>
          <w:b w:val="0"/>
          <w:bCs w:val="0"/>
          <w:color w:val="000000" w:themeColor="text1"/>
          <w:spacing w:val="0"/>
          <w:sz w:val="24"/>
          <w:szCs w:val="24"/>
          <w:highlight w:val="none"/>
          <w14:textFill>
            <w14:solidFill>
              <w14:schemeClr w14:val="tx1"/>
            </w14:solidFill>
          </w14:textFill>
        </w:rPr>
        <w:t>/m</w:t>
      </w:r>
      <w:r>
        <w:rPr>
          <w:rFonts w:ascii="宋体" w:cs="宋体"/>
          <w:b w:val="0"/>
          <w:bCs w:val="0"/>
          <w:color w:val="000000" w:themeColor="text1"/>
          <w:spacing w:val="0"/>
          <w:sz w:val="24"/>
          <w:szCs w:val="24"/>
          <w:highlight w:val="none"/>
          <w:vertAlign w:val="superscript"/>
          <w14:textFill>
            <w14:solidFill>
              <w14:schemeClr w14:val="tx1"/>
            </w14:solidFill>
          </w14:textFill>
        </w:rPr>
        <w:t>3</w:t>
      </w:r>
      <w:r>
        <w:rPr>
          <w:rFonts w:hint="eastAsia" w:ascii="宋体" w:cs="宋体"/>
          <w:b w:val="0"/>
          <w:bCs w:val="0"/>
          <w:color w:val="000000" w:themeColor="text1"/>
          <w:spacing w:val="0"/>
          <w:sz w:val="24"/>
          <w:szCs w:val="24"/>
          <w:highlight w:val="none"/>
          <w14:textFill>
            <w14:solidFill>
              <w14:schemeClr w14:val="tx1"/>
            </w14:solidFill>
          </w14:textFill>
        </w:rPr>
        <w:t>。</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（3）材质： 由聚丙烯醛纤维、涤纶丝、维尼纶组合而成，长度可定制。填料支架碳钢防腐。</w:t>
      </w:r>
    </w:p>
    <w:p>
      <w:pPr>
        <w:spacing w:line="360" w:lineRule="auto"/>
        <w:ind w:left="239" w:leftChars="114" w:right="238" w:firstLine="480" w:firstLineChars="200"/>
        <w:jc w:val="both"/>
        <w:rPr>
          <w:rFonts w:ascii="宋体" w:cs="宋体"/>
          <w:bCs w:val="0"/>
          <w:color w:val="000000" w:themeColor="text1"/>
          <w:spacing w:val="0"/>
          <w:sz w:val="24"/>
          <w:szCs w:val="24"/>
          <w:highlight w:val="none"/>
          <w14:textFill>
            <w14:solidFill>
              <w14:schemeClr w14:val="tx1"/>
            </w14:solidFill>
          </w14:textFill>
        </w:rPr>
      </w:pPr>
      <w:r>
        <w:rPr>
          <w:rFonts w:hint="eastAsia" w:ascii="宋体" w:cs="宋体"/>
          <w:bCs w:val="0"/>
          <w:color w:val="000000" w:themeColor="text1"/>
          <w:spacing w:val="0"/>
          <w:sz w:val="24"/>
          <w:szCs w:val="24"/>
          <w:highlight w:val="none"/>
          <w14:textFill>
            <w14:solidFill>
              <w14:schemeClr w14:val="tx1"/>
            </w14:solidFill>
          </w14:textFill>
        </w:rPr>
        <w:t>2.</w:t>
      </w:r>
      <w:r>
        <w:rPr>
          <w:rFonts w:ascii="宋体" w:cs="宋体"/>
          <w:bCs w:val="0"/>
          <w:color w:val="000000" w:themeColor="text1"/>
          <w:spacing w:val="0"/>
          <w:sz w:val="24"/>
          <w:szCs w:val="24"/>
          <w:highlight w:val="none"/>
          <w14:textFill>
            <w14:solidFill>
              <w14:schemeClr w14:val="tx1"/>
            </w14:solidFill>
          </w14:textFill>
        </w:rPr>
        <w:t>8、微孔曝气器</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w:t>
      </w:r>
      <w:r>
        <w:rPr>
          <w:rFonts w:ascii="宋体" w:cs="宋体"/>
          <w:b w:val="0"/>
          <w:bCs w:val="0"/>
          <w:color w:val="000000" w:themeColor="text1"/>
          <w:spacing w:val="0"/>
          <w:sz w:val="24"/>
          <w:szCs w:val="24"/>
          <w:highlight w:val="none"/>
          <w14:textFill>
            <w14:solidFill>
              <w14:schemeClr w14:val="tx1"/>
            </w14:solidFill>
          </w14:textFill>
        </w:rPr>
        <w:t>8</w:t>
      </w:r>
      <w:r>
        <w:rPr>
          <w:rFonts w:hint="eastAsia" w:ascii="宋体" w:cs="宋体"/>
          <w:b w:val="0"/>
          <w:bCs w:val="0"/>
          <w:color w:val="000000" w:themeColor="text1"/>
          <w:spacing w:val="0"/>
          <w:sz w:val="24"/>
          <w:szCs w:val="24"/>
          <w:highlight w:val="none"/>
          <w14:textFill>
            <w14:solidFill>
              <w14:schemeClr w14:val="tx1"/>
            </w14:solidFill>
          </w14:textFill>
        </w:rPr>
        <w:t>.1 总述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盘式曝气器装置能有效地将来自鼓风机的有压空气，均匀地扩散于水体中，并能保持长期和稳定的充氧效果，以及停止供气时有效的闭合防止污水倒灌。微孔盘式曝气器高效的排列方式，不会造成池底的积泥。在工作时空气通过膜式微孔曝气头系统的曝气头对污水进行冲气，可氧化污水中的还原性物质，增加污水中的溶解氧，减轻污水的腐化，提高污水的稳定性。微孔盘式曝气器是采用特殊结构，使膜片与托盘结构形成自密封。曝气器膜片材质为EPDM。经过特殊炼胶工艺并配入特种抗微生物材料和防老化材料，经过混炼，再用大型自动硫化机制造而成，膜片具有耐热，耐臭氧，耐气候，化学稳定性好的特点。橡胶膜片外观光洁、平整、无杂质、气泡和裂纹。橡胶膜采用一次成型工艺加工制成，以保证膜片厚度更均匀。</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曝气盘的底盘、压环等表面应光滑，不得有划痕、裂纹。</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盘式曝气器主要由马鞍座、合成橡胶膜片、压固膜片的压板及与马鞍座进行螺纹连接的底盘组成。膜片采用科学成孔技术，大大增强抗撕裂能力，孔径小，充氧效率高，曝气头的性能指标应满足HJ/T252-2006标准的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鼓风曝气时，空气由底座的通气孔经布气盘进入膜片与布气盘之间,在鼓风压力作用下，膜片微微鼓起，孔眼张开，空气从孔眼中扩散出去，形成细微的气泡，从而达到很高的氧转移效率，停止供气时，气压消失，膜片在自身的弹性和负压作用下使孔眼闭合，由于水压力的作用，膜片压实在布气盘上，曝气池中的混合液不会倒流入空气管中，更不会将孔眼堵塞。</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另外，由于膜片较薄，因而孔眼开启时孔道较短，空气中即使含有少量尘埃，也可通过孔眼，不会造成堵塞。膜片连接件，具有足够的强度，且使用联接可拆卸，方便于维修和更换。设备空气管道具有足够的强度，耐腐蚀性和使用寿命。</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w:t>
      </w:r>
      <w:r>
        <w:rPr>
          <w:rFonts w:ascii="宋体" w:cs="宋体"/>
          <w:b w:val="0"/>
          <w:bCs w:val="0"/>
          <w:color w:val="000000" w:themeColor="text1"/>
          <w:spacing w:val="0"/>
          <w:sz w:val="24"/>
          <w:szCs w:val="24"/>
          <w:highlight w:val="none"/>
          <w14:textFill>
            <w14:solidFill>
              <w14:schemeClr w14:val="tx1"/>
            </w14:solidFill>
          </w14:textFill>
        </w:rPr>
        <w:t>8</w:t>
      </w:r>
      <w:r>
        <w:rPr>
          <w:rFonts w:hint="eastAsia" w:ascii="宋体" w:cs="宋体"/>
          <w:b w:val="0"/>
          <w:bCs w:val="0"/>
          <w:color w:val="000000" w:themeColor="text1"/>
          <w:spacing w:val="0"/>
          <w:sz w:val="24"/>
          <w:szCs w:val="24"/>
          <w:highlight w:val="none"/>
          <w14:textFill>
            <w14:solidFill>
              <w14:schemeClr w14:val="tx1"/>
            </w14:solidFill>
          </w14:textFill>
        </w:rPr>
        <w:t>.2 性能及技术要求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盘式</w:t>
      </w:r>
      <w:r>
        <w:rPr>
          <w:rFonts w:ascii="宋体" w:cs="宋体"/>
          <w:b w:val="0"/>
          <w:bCs w:val="0"/>
          <w:color w:val="000000" w:themeColor="text1"/>
          <w:spacing w:val="0"/>
          <w:sz w:val="24"/>
          <w:szCs w:val="24"/>
          <w:highlight w:val="none"/>
          <w14:textFill>
            <w14:solidFill>
              <w14:schemeClr w14:val="tx1"/>
            </w14:solidFill>
          </w14:textFill>
        </w:rPr>
        <w:t>微孔曝气器膜片为特殊的EPDM，膜片上的微孔为机械打孔,沿整个曝气</w:t>
      </w:r>
      <w:r>
        <w:rPr>
          <w:rFonts w:hint="eastAsia" w:ascii="宋体" w:cs="宋体"/>
          <w:b w:val="0"/>
          <w:bCs w:val="0"/>
          <w:color w:val="000000" w:themeColor="text1"/>
          <w:spacing w:val="0"/>
          <w:sz w:val="24"/>
          <w:szCs w:val="24"/>
          <w:highlight w:val="none"/>
          <w14:textFill>
            <w14:solidFill>
              <w14:schemeClr w14:val="tx1"/>
            </w14:solidFill>
          </w14:textFill>
        </w:rPr>
        <w:t>盘</w:t>
      </w:r>
      <w:r>
        <w:rPr>
          <w:rFonts w:ascii="宋体" w:cs="宋体"/>
          <w:b w:val="0"/>
          <w:bCs w:val="0"/>
          <w:color w:val="000000" w:themeColor="text1"/>
          <w:spacing w:val="0"/>
          <w:sz w:val="24"/>
          <w:szCs w:val="24"/>
          <w:highlight w:val="none"/>
          <w14:textFill>
            <w14:solidFill>
              <w14:schemeClr w14:val="tx1"/>
            </w14:solidFill>
          </w14:textFill>
        </w:rPr>
        <w:t>均匀排列</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微孔隙缝是具有永久弹性特点来保证曝气效果恒定,曝气器排出的气泡直径维持在1</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2mm为限。在整个服务范围内能保证充氧的要求和池内布气的均匀性</w:t>
      </w:r>
      <w:r>
        <w:rPr>
          <w:rFonts w:hint="eastAsia" w:ascii="宋体" w:cs="宋体"/>
          <w:b w:val="0"/>
          <w:bCs w:val="0"/>
          <w:color w:val="000000" w:themeColor="text1"/>
          <w:spacing w:val="0"/>
          <w:sz w:val="24"/>
          <w:szCs w:val="24"/>
          <w:highlight w:val="none"/>
          <w14:textFill>
            <w14:solidFill>
              <w14:schemeClr w14:val="tx1"/>
            </w14:solidFill>
          </w14:textFill>
        </w:rPr>
        <w:t>;</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对于空气分配管的螺栓和支撑件，高度是可调的，在曝气支管安装后高度误差值为±10mm。固定件应有足够的锚定力，防止由于浮力而使空气管道浮起</w:t>
      </w:r>
      <w:r>
        <w:rPr>
          <w:rFonts w:hint="eastAsia" w:ascii="宋体" w:cs="宋体"/>
          <w:b w:val="0"/>
          <w:bCs w:val="0"/>
          <w:color w:val="000000" w:themeColor="text1"/>
          <w:spacing w:val="0"/>
          <w:sz w:val="24"/>
          <w:szCs w:val="24"/>
          <w:highlight w:val="none"/>
          <w14:textFill>
            <w14:solidFill>
              <w14:schemeClr w14:val="tx1"/>
            </w14:solidFill>
          </w14:textFill>
        </w:rPr>
        <w:t>;</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空气连接管使用UPVC塑料管道，管道的抗热性须满足在70</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时不变形的要求，立管抗压为1.0M</w:t>
      </w:r>
      <w:r>
        <w:rPr>
          <w:rFonts w:hint="eastAsia" w:ascii="宋体" w:cs="宋体"/>
          <w:b w:val="0"/>
          <w:bCs w:val="0"/>
          <w:color w:val="000000" w:themeColor="text1"/>
          <w:spacing w:val="0"/>
          <w:sz w:val="24"/>
          <w:szCs w:val="24"/>
          <w:highlight w:val="none"/>
          <w14:textFill>
            <w14:solidFill>
              <w14:schemeClr w14:val="tx1"/>
            </w14:solidFill>
          </w14:textFill>
        </w:rPr>
        <w:t>p</w:t>
      </w:r>
      <w:r>
        <w:rPr>
          <w:rFonts w:ascii="宋体" w:cs="宋体"/>
          <w:b w:val="0"/>
          <w:bCs w:val="0"/>
          <w:color w:val="000000" w:themeColor="text1"/>
          <w:spacing w:val="0"/>
          <w:sz w:val="24"/>
          <w:szCs w:val="24"/>
          <w:highlight w:val="none"/>
          <w14:textFill>
            <w14:solidFill>
              <w14:schemeClr w14:val="tx1"/>
            </w14:solidFill>
          </w14:textFill>
        </w:rPr>
        <w:t>a</w:t>
      </w:r>
      <w:r>
        <w:rPr>
          <w:rFonts w:hint="eastAsia" w:ascii="宋体" w:cs="宋体"/>
          <w:b w:val="0"/>
          <w:bCs w:val="0"/>
          <w:color w:val="000000" w:themeColor="text1"/>
          <w:spacing w:val="0"/>
          <w:sz w:val="24"/>
          <w:szCs w:val="24"/>
          <w:highlight w:val="none"/>
          <w14:textFill>
            <w14:solidFill>
              <w14:schemeClr w14:val="tx1"/>
            </w14:solidFill>
          </w14:textFill>
        </w:rPr>
        <w:t>;</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支撑管采用</w:t>
      </w:r>
      <w:r>
        <w:rPr>
          <w:rFonts w:hint="eastAsia" w:ascii="宋体" w:cs="宋体"/>
          <w:b w:val="0"/>
          <w:bCs w:val="0"/>
          <w:color w:val="000000" w:themeColor="text1"/>
          <w:spacing w:val="0"/>
          <w:sz w:val="24"/>
          <w:szCs w:val="24"/>
          <w:highlight w:val="none"/>
          <w14:textFill>
            <w14:solidFill>
              <w14:schemeClr w14:val="tx1"/>
            </w14:solidFill>
          </w14:textFill>
        </w:rPr>
        <w:t>ABS</w:t>
      </w:r>
      <w:r>
        <w:rPr>
          <w:rFonts w:ascii="宋体" w:cs="宋体"/>
          <w:b w:val="0"/>
          <w:bCs w:val="0"/>
          <w:color w:val="000000" w:themeColor="text1"/>
          <w:spacing w:val="0"/>
          <w:sz w:val="24"/>
          <w:szCs w:val="24"/>
          <w:highlight w:val="none"/>
          <w14:textFill>
            <w14:solidFill>
              <w14:schemeClr w14:val="tx1"/>
            </w14:solidFill>
          </w14:textFill>
        </w:rPr>
        <w:t>或PVC材质;</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盘</w:t>
      </w:r>
      <w:r>
        <w:rPr>
          <w:rFonts w:ascii="宋体" w:cs="宋体"/>
          <w:b w:val="0"/>
          <w:bCs w:val="0"/>
          <w:color w:val="000000" w:themeColor="text1"/>
          <w:spacing w:val="0"/>
          <w:sz w:val="24"/>
          <w:szCs w:val="24"/>
          <w:highlight w:val="none"/>
          <w14:textFill>
            <w14:solidFill>
              <w14:schemeClr w14:val="tx1"/>
            </w14:solidFill>
          </w14:textFill>
        </w:rPr>
        <w:t>式微孔曝气器适用于极限工作温度95</w:t>
      </w:r>
      <w:r>
        <w:rPr>
          <w:rFonts w:hint="eastAsia" w:ascii="宋体" w:cs="宋体"/>
          <w:b w:val="0"/>
          <w:bCs w:val="0"/>
          <w:color w:val="000000" w:themeColor="text1"/>
          <w:spacing w:val="0"/>
          <w:sz w:val="24"/>
          <w:szCs w:val="24"/>
          <w:highlight w:val="none"/>
          <w14:textFill>
            <w14:solidFill>
              <w14:schemeClr w14:val="tx1"/>
            </w14:solidFill>
          </w14:textFill>
        </w:rPr>
        <w:t>℃;</w:t>
      </w:r>
      <w:bookmarkStart w:id="73" w:name="_Toc166253695"/>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1）.曝气盘膜片</w:t>
      </w:r>
      <w:bookmarkEnd w:id="73"/>
    </w:p>
    <w:p>
      <w:pPr>
        <w:spacing w:line="360" w:lineRule="auto"/>
        <w:ind w:left="274" w:firstLine="1132" w:firstLineChars="472"/>
        <w:jc w:val="both"/>
        <w:rPr>
          <w:rFonts w:ascii="Times New Roman" w:hAnsi="Times New Roman"/>
          <w:b w:val="0"/>
          <w:bCs w:val="0"/>
          <w:color w:val="000000" w:themeColor="text1"/>
          <w:spacing w:val="0"/>
          <w:sz w:val="24"/>
          <w:szCs w:val="24"/>
          <w:highlight w:val="none"/>
          <w14:textFill>
            <w14:solidFill>
              <w14:schemeClr w14:val="tx1"/>
            </w14:solidFill>
          </w14:textFill>
        </w:rPr>
      </w:pPr>
      <w:bookmarkStart w:id="74" w:name="_Toc10584"/>
      <w:bookmarkStart w:id="75" w:name="_Toc1083"/>
      <w:bookmarkStart w:id="76" w:name="_Toc166253696"/>
      <w:r>
        <w:rPr>
          <w:rFonts w:hint="eastAsia" w:ascii="Times New Roman" w:hAnsi="Times New Roman"/>
          <w:b w:val="0"/>
          <w:bCs w:val="0"/>
          <w:color w:val="000000" w:themeColor="text1"/>
          <w:spacing w:val="0"/>
          <w:sz w:val="24"/>
          <w:szCs w:val="24"/>
          <w:highlight w:val="none"/>
          <w14:textFill>
            <w14:solidFill>
              <w14:schemeClr w14:val="tx1"/>
            </w14:solidFill>
          </w14:textFill>
        </w:rPr>
        <w:t>数量：616套，具体以现场施工满足工艺要求为准。</w:t>
      </w:r>
    </w:p>
    <w:p>
      <w:pPr>
        <w:spacing w:line="360" w:lineRule="auto"/>
        <w:ind w:left="274" w:firstLine="1132" w:firstLineChars="472"/>
        <w:jc w:val="both"/>
        <w:rPr>
          <w:rFonts w:ascii="Times New Roman" w:hAnsi="Times New Roman" w:cs="Arial"/>
          <w:b w:val="0"/>
          <w:bCs w:val="0"/>
          <w:color w:val="000000" w:themeColor="text1"/>
          <w:spacing w:val="0"/>
          <w:sz w:val="24"/>
          <w:szCs w:val="24"/>
          <w:highlight w:val="none"/>
          <w14:textFill>
            <w14:solidFill>
              <w14:schemeClr w14:val="tx1"/>
            </w14:solidFill>
          </w14:textFill>
        </w:rPr>
      </w:pPr>
      <w:bookmarkStart w:id="77" w:name="_Hlk104650652"/>
      <w:r>
        <w:rPr>
          <w:rFonts w:ascii="Times New Roman" w:hAnsi="Times New Roman" w:cs="Arial"/>
          <w:b w:val="0"/>
          <w:bCs w:val="0"/>
          <w:color w:val="000000" w:themeColor="text1"/>
          <w:spacing w:val="0"/>
          <w:sz w:val="24"/>
          <w:szCs w:val="24"/>
          <w:highlight w:val="none"/>
          <w14:textFill>
            <w14:solidFill>
              <w14:schemeClr w14:val="tx1"/>
            </w14:solidFill>
          </w14:textFill>
        </w:rPr>
        <w:t>规格：外径</w:t>
      </w:r>
      <w:r>
        <w:rPr>
          <w:rFonts w:hint="eastAsia" w:ascii="Times New Roman" w:hAnsi="Times New Roman" w:cs="Arial"/>
          <w:b w:val="0"/>
          <w:bCs w:val="0"/>
          <w:color w:val="000000" w:themeColor="text1"/>
          <w:spacing w:val="0"/>
          <w:sz w:val="24"/>
          <w:szCs w:val="24"/>
          <w:highlight w:val="none"/>
          <w14:textFill>
            <w14:solidFill>
              <w14:schemeClr w14:val="tx1"/>
            </w14:solidFill>
          </w14:textFill>
        </w:rPr>
        <w:t>2</w:t>
      </w:r>
      <w:r>
        <w:rPr>
          <w:rFonts w:ascii="Times New Roman" w:hAnsi="Times New Roman" w:cs="Arial"/>
          <w:b w:val="0"/>
          <w:bCs w:val="0"/>
          <w:color w:val="000000" w:themeColor="text1"/>
          <w:spacing w:val="0"/>
          <w:sz w:val="24"/>
          <w:szCs w:val="24"/>
          <w:highlight w:val="none"/>
          <w14:textFill>
            <w14:solidFill>
              <w14:schemeClr w14:val="tx1"/>
            </w14:solidFill>
          </w14:textFill>
        </w:rPr>
        <w:t>70mm</w:t>
      </w:r>
      <w:bookmarkEnd w:id="77"/>
      <w:r>
        <w:rPr>
          <w:rFonts w:ascii="Times New Roman" w:hAnsi="Times New Roman" w:cs="Arial"/>
          <w:b w:val="0"/>
          <w:bCs w:val="0"/>
          <w:color w:val="000000" w:themeColor="text1"/>
          <w:spacing w:val="0"/>
          <w:sz w:val="24"/>
          <w:szCs w:val="24"/>
          <w:highlight w:val="none"/>
          <w14:textFill>
            <w14:solidFill>
              <w14:schemeClr w14:val="tx1"/>
            </w14:solidFill>
          </w14:textFill>
        </w:rPr>
        <w:t>；</w:t>
      </w:r>
    </w:p>
    <w:p>
      <w:pPr>
        <w:spacing w:line="360" w:lineRule="auto"/>
        <w:ind w:left="274" w:firstLine="1132" w:firstLineChars="472"/>
        <w:jc w:val="both"/>
        <w:rPr>
          <w:rFonts w:ascii="Times New Roman" w:hAnsi="Times New Roman" w:cs="Arial"/>
          <w:b w:val="0"/>
          <w:bCs w:val="0"/>
          <w:color w:val="000000" w:themeColor="text1"/>
          <w:spacing w:val="0"/>
          <w:sz w:val="24"/>
          <w:szCs w:val="24"/>
          <w:highlight w:val="none"/>
          <w14:textFill>
            <w14:solidFill>
              <w14:schemeClr w14:val="tx1"/>
            </w14:solidFill>
          </w14:textFill>
        </w:rPr>
      </w:pPr>
      <w:bookmarkStart w:id="78" w:name="_Toc8930"/>
      <w:bookmarkStart w:id="79" w:name="_Toc15883"/>
      <w:r>
        <w:rPr>
          <w:rFonts w:hint="eastAsia" w:ascii="Times New Roman" w:hAnsi="Times New Roman" w:cs="Arial"/>
          <w:b w:val="0"/>
          <w:bCs w:val="0"/>
          <w:color w:val="000000" w:themeColor="text1"/>
          <w:spacing w:val="0"/>
          <w:sz w:val="24"/>
          <w:szCs w:val="24"/>
          <w:highlight w:val="none"/>
          <w14:textFill>
            <w14:solidFill>
              <w14:schemeClr w14:val="tx1"/>
            </w14:solidFill>
          </w14:textFill>
        </w:rPr>
        <w:t>膜片材质：三元乙丙（EPDM）</w:t>
      </w:r>
      <w:bookmarkEnd w:id="78"/>
      <w:bookmarkEnd w:id="79"/>
    </w:p>
    <w:p>
      <w:pPr>
        <w:spacing w:line="360" w:lineRule="auto"/>
        <w:ind w:left="274" w:firstLine="1132" w:firstLineChars="472"/>
        <w:jc w:val="both"/>
        <w:rPr>
          <w:rFonts w:ascii="Times New Roman" w:hAnsi="Times New Roman" w:cs="Arial"/>
          <w:b w:val="0"/>
          <w:bCs w:val="0"/>
          <w:color w:val="000000" w:themeColor="text1"/>
          <w:spacing w:val="0"/>
          <w:sz w:val="24"/>
          <w:szCs w:val="24"/>
          <w:highlight w:val="none"/>
          <w14:textFill>
            <w14:solidFill>
              <w14:schemeClr w14:val="tx1"/>
            </w14:solidFill>
          </w14:textFill>
        </w:rPr>
      </w:pPr>
      <w:r>
        <w:rPr>
          <w:rFonts w:ascii="Times New Roman" w:hAnsi="Times New Roman" w:cs="Arial"/>
          <w:b w:val="0"/>
          <w:bCs w:val="0"/>
          <w:color w:val="000000" w:themeColor="text1"/>
          <w:spacing w:val="0"/>
          <w:sz w:val="24"/>
          <w:szCs w:val="24"/>
          <w:highlight w:val="none"/>
          <w14:textFill>
            <w14:solidFill>
              <w14:schemeClr w14:val="tx1"/>
            </w14:solidFill>
          </w14:textFill>
        </w:rPr>
        <w:t>膜片厚度：2.0</w:t>
      </w:r>
      <w:r>
        <w:rPr>
          <w:rFonts w:hint="eastAsia" w:ascii="Times New Roman" w:hAnsi="Times New Roman" w:cs="Arial"/>
          <w:b w:val="0"/>
          <w:bCs w:val="0"/>
          <w:color w:val="000000" w:themeColor="text1"/>
          <w:spacing w:val="0"/>
          <w:sz w:val="24"/>
          <w:szCs w:val="24"/>
          <w:highlight w:val="none"/>
          <w14:textFill>
            <w14:solidFill>
              <w14:schemeClr w14:val="tx1"/>
            </w14:solidFill>
          </w14:textFill>
        </w:rPr>
        <w:t>±</w:t>
      </w:r>
      <w:r>
        <w:rPr>
          <w:rFonts w:ascii="Times New Roman" w:hAnsi="Times New Roman" w:cs="Arial"/>
          <w:b w:val="0"/>
          <w:bCs w:val="0"/>
          <w:color w:val="000000" w:themeColor="text1"/>
          <w:spacing w:val="0"/>
          <w:sz w:val="24"/>
          <w:szCs w:val="24"/>
          <w:highlight w:val="none"/>
          <w14:textFill>
            <w14:solidFill>
              <w14:schemeClr w14:val="tx1"/>
            </w14:solidFill>
          </w14:textFill>
        </w:rPr>
        <w:t>0.1mm；</w:t>
      </w:r>
    </w:p>
    <w:p>
      <w:pPr>
        <w:spacing w:line="360" w:lineRule="auto"/>
        <w:ind w:left="274" w:firstLine="1132" w:firstLineChars="472"/>
        <w:jc w:val="both"/>
        <w:rPr>
          <w:rFonts w:ascii="Times New Roman" w:hAnsi="Times New Roman" w:cs="Arial"/>
          <w:b w:val="0"/>
          <w:bCs w:val="0"/>
          <w:color w:val="000000" w:themeColor="text1"/>
          <w:spacing w:val="0"/>
          <w:sz w:val="24"/>
          <w:szCs w:val="24"/>
          <w:highlight w:val="none"/>
          <w14:textFill>
            <w14:solidFill>
              <w14:schemeClr w14:val="tx1"/>
            </w14:solidFill>
          </w14:textFill>
        </w:rPr>
      </w:pPr>
      <w:r>
        <w:rPr>
          <w:rFonts w:hint="eastAsia" w:ascii="Times New Roman" w:hAnsi="Times New Roman" w:cs="Arial"/>
          <w:b w:val="0"/>
          <w:bCs w:val="0"/>
          <w:color w:val="000000" w:themeColor="text1"/>
          <w:spacing w:val="0"/>
          <w:sz w:val="24"/>
          <w:szCs w:val="24"/>
          <w:highlight w:val="none"/>
          <w14:textFill>
            <w14:solidFill>
              <w14:schemeClr w14:val="tx1"/>
            </w14:solidFill>
          </w14:textFill>
        </w:rPr>
        <w:t>有效曝气面积：</w:t>
      </w:r>
      <w:r>
        <w:rPr>
          <w:rFonts w:ascii="Times New Roman" w:hAnsi="Times New Roman" w:cs="Arial"/>
          <w:b w:val="0"/>
          <w:bCs w:val="0"/>
          <w:color w:val="000000" w:themeColor="text1"/>
          <w:spacing w:val="0"/>
          <w:sz w:val="24"/>
          <w:szCs w:val="24"/>
          <w:highlight w:val="none"/>
          <w14:textFill>
            <w14:solidFill>
              <w14:schemeClr w14:val="tx1"/>
            </w14:solidFill>
          </w14:textFill>
        </w:rPr>
        <w:t>0.045</w:t>
      </w:r>
      <w:r>
        <w:rPr>
          <w:rFonts w:hint="eastAsia" w:cs="Arial" w:asciiTheme="minorHAnsi" w:hAnsiTheme="minorHAnsi" w:eastAsiaTheme="minorEastAsia"/>
          <w:b w:val="0"/>
          <w:bCs w:val="0"/>
          <w:color w:val="000000" w:themeColor="text1"/>
          <w:spacing w:val="0"/>
          <w:sz w:val="24"/>
          <w:szCs w:val="24"/>
          <w:highlight w:val="none"/>
          <w14:textFill>
            <w14:solidFill>
              <w14:schemeClr w14:val="tx1"/>
            </w14:solidFill>
          </w14:textFill>
        </w:rPr>
        <w:t>m</w:t>
      </w:r>
      <w:r>
        <w:rPr>
          <w:rFonts w:hint="eastAsia" w:cs="Arial" w:asciiTheme="minorHAnsi" w:hAnsiTheme="minorHAnsi" w:eastAsiaTheme="minorEastAsia"/>
          <w:b w:val="0"/>
          <w:bCs w:val="0"/>
          <w:color w:val="000000" w:themeColor="text1"/>
          <w:spacing w:val="0"/>
          <w:sz w:val="24"/>
          <w:szCs w:val="24"/>
          <w:highlight w:val="none"/>
          <w:vertAlign w:val="superscript"/>
          <w14:textFill>
            <w14:solidFill>
              <w14:schemeClr w14:val="tx1"/>
            </w14:solidFill>
          </w14:textFill>
        </w:rPr>
        <w:t>2</w:t>
      </w:r>
      <w:r>
        <w:rPr>
          <w:rFonts w:hint="eastAsia" w:ascii="Times New Roman" w:hAnsi="Times New Roman" w:cs="Arial"/>
          <w:b w:val="0"/>
          <w:bCs w:val="0"/>
          <w:color w:val="000000" w:themeColor="text1"/>
          <w:spacing w:val="0"/>
          <w:sz w:val="24"/>
          <w:szCs w:val="24"/>
          <w:highlight w:val="none"/>
          <w14:textFill>
            <w14:solidFill>
              <w14:schemeClr w14:val="tx1"/>
            </w14:solidFill>
          </w14:textFill>
        </w:rPr>
        <w:t>；</w:t>
      </w:r>
    </w:p>
    <w:p>
      <w:pPr>
        <w:spacing w:line="360" w:lineRule="auto"/>
        <w:ind w:left="274" w:firstLine="1132" w:firstLineChars="472"/>
        <w:jc w:val="both"/>
        <w:rPr>
          <w:rFonts w:ascii="Times New Roman" w:hAnsi="Times New Roman" w:cs="Arial"/>
          <w:b w:val="0"/>
          <w:bCs w:val="0"/>
          <w:color w:val="000000" w:themeColor="text1"/>
          <w:spacing w:val="0"/>
          <w:sz w:val="24"/>
          <w:szCs w:val="24"/>
          <w:highlight w:val="none"/>
          <w14:textFill>
            <w14:solidFill>
              <w14:schemeClr w14:val="tx1"/>
            </w14:solidFill>
          </w14:textFill>
        </w:rPr>
      </w:pPr>
      <w:r>
        <w:rPr>
          <w:rFonts w:hint="eastAsia" w:ascii="Times New Roman" w:hAnsi="Times New Roman" w:cs="Arial"/>
          <w:b w:val="0"/>
          <w:bCs w:val="0"/>
          <w:color w:val="000000" w:themeColor="text1"/>
          <w:spacing w:val="0"/>
          <w:sz w:val="24"/>
          <w:szCs w:val="24"/>
          <w:highlight w:val="none"/>
          <w14:textFill>
            <w14:solidFill>
              <w14:schemeClr w14:val="tx1"/>
            </w14:solidFill>
          </w14:textFill>
        </w:rPr>
        <w:t>单个膜片孔数量：约</w:t>
      </w:r>
      <w:r>
        <w:rPr>
          <w:rFonts w:ascii="Times New Roman" w:hAnsi="Times New Roman" w:cs="Arial"/>
          <w:b w:val="0"/>
          <w:bCs w:val="0"/>
          <w:color w:val="000000" w:themeColor="text1"/>
          <w:spacing w:val="0"/>
          <w:sz w:val="24"/>
          <w:szCs w:val="24"/>
          <w:highlight w:val="none"/>
          <w14:textFill>
            <w14:solidFill>
              <w14:schemeClr w14:val="tx1"/>
            </w14:solidFill>
          </w14:textFill>
        </w:rPr>
        <w:t>6</w:t>
      </w:r>
      <w:r>
        <w:rPr>
          <w:rFonts w:hint="eastAsia" w:ascii="Times New Roman" w:hAnsi="Times New Roman" w:cs="Arial"/>
          <w:b w:val="0"/>
          <w:bCs w:val="0"/>
          <w:color w:val="000000" w:themeColor="text1"/>
          <w:spacing w:val="0"/>
          <w:sz w:val="24"/>
          <w:szCs w:val="24"/>
          <w:highlight w:val="none"/>
          <w14:textFill>
            <w14:solidFill>
              <w14:schemeClr w14:val="tx1"/>
            </w14:solidFill>
          </w14:textFill>
        </w:rPr>
        <w:t>500个</w:t>
      </w:r>
    </w:p>
    <w:p>
      <w:pPr>
        <w:spacing w:line="360" w:lineRule="auto"/>
        <w:ind w:left="274" w:firstLine="1132" w:firstLineChars="472"/>
        <w:jc w:val="both"/>
        <w:rPr>
          <w:rFonts w:ascii="Times New Roman" w:hAnsi="Times New Roman" w:cs="Arial"/>
          <w:b w:val="0"/>
          <w:bCs w:val="0"/>
          <w:color w:val="000000" w:themeColor="text1"/>
          <w:spacing w:val="0"/>
          <w:sz w:val="24"/>
          <w:szCs w:val="24"/>
          <w:highlight w:val="none"/>
          <w14:textFill>
            <w14:solidFill>
              <w14:schemeClr w14:val="tx1"/>
            </w14:solidFill>
          </w14:textFill>
        </w:rPr>
      </w:pPr>
      <w:r>
        <w:rPr>
          <w:rFonts w:hint="eastAsia" w:ascii="Times New Roman" w:hAnsi="Times New Roman" w:cs="Arial"/>
          <w:b w:val="0"/>
          <w:bCs w:val="0"/>
          <w:color w:val="000000" w:themeColor="text1"/>
          <w:spacing w:val="0"/>
          <w:sz w:val="24"/>
          <w:szCs w:val="24"/>
          <w:highlight w:val="none"/>
          <w14:textFill>
            <w14:solidFill>
              <w14:schemeClr w14:val="tx1"/>
            </w14:solidFill>
          </w14:textFill>
        </w:rPr>
        <w:t>气泡直径：</w:t>
      </w:r>
      <w:r>
        <w:rPr>
          <w:rFonts w:ascii="Times New Roman" w:hAnsi="Times New Roman" w:cs="Arial"/>
          <w:b w:val="0"/>
          <w:bCs w:val="0"/>
          <w:color w:val="000000" w:themeColor="text1"/>
          <w:spacing w:val="0"/>
          <w:sz w:val="24"/>
          <w:szCs w:val="24"/>
          <w:highlight w:val="none"/>
          <w14:textFill>
            <w14:solidFill>
              <w14:schemeClr w14:val="tx1"/>
            </w14:solidFill>
          </w14:textFill>
        </w:rPr>
        <w:t>0.8-1.5mm</w:t>
      </w:r>
    </w:p>
    <w:p>
      <w:pPr>
        <w:spacing w:line="360" w:lineRule="auto"/>
        <w:ind w:left="274" w:firstLine="1132" w:firstLineChars="472"/>
        <w:jc w:val="both"/>
        <w:rPr>
          <w:rFonts w:ascii="Times New Roman" w:hAnsi="Times New Roman" w:cs="Arial"/>
          <w:b w:val="0"/>
          <w:bCs w:val="0"/>
          <w:color w:val="000000" w:themeColor="text1"/>
          <w:spacing w:val="0"/>
          <w:sz w:val="24"/>
          <w:szCs w:val="24"/>
          <w:highlight w:val="none"/>
          <w14:textFill>
            <w14:solidFill>
              <w14:schemeClr w14:val="tx1"/>
            </w14:solidFill>
          </w14:textFill>
        </w:rPr>
      </w:pPr>
      <w:r>
        <w:rPr>
          <w:rFonts w:hint="eastAsia" w:ascii="Times New Roman" w:hAnsi="Times New Roman" w:cs="Arial"/>
          <w:b w:val="0"/>
          <w:bCs w:val="0"/>
          <w:color w:val="000000" w:themeColor="text1"/>
          <w:spacing w:val="0"/>
          <w:sz w:val="24"/>
          <w:szCs w:val="24"/>
          <w:highlight w:val="none"/>
          <w14:textFill>
            <w14:solidFill>
              <w14:schemeClr w14:val="tx1"/>
            </w14:solidFill>
          </w14:textFill>
        </w:rPr>
        <w:t>膜片使用寿命：&gt;6年</w:t>
      </w:r>
    </w:p>
    <w:p>
      <w:pPr>
        <w:spacing w:line="360" w:lineRule="auto"/>
        <w:ind w:left="274" w:firstLine="1132" w:firstLineChars="472"/>
        <w:jc w:val="both"/>
        <w:rPr>
          <w:rFonts w:ascii="Times New Roman" w:hAnsi="Times New Roman" w:cs="Arial"/>
          <w:b w:val="0"/>
          <w:bCs w:val="0"/>
          <w:color w:val="000000" w:themeColor="text1"/>
          <w:spacing w:val="0"/>
          <w:sz w:val="24"/>
          <w:szCs w:val="24"/>
          <w:highlight w:val="none"/>
          <w14:textFill>
            <w14:solidFill>
              <w14:schemeClr w14:val="tx1"/>
            </w14:solidFill>
          </w14:textFill>
        </w:rPr>
      </w:pPr>
      <w:r>
        <w:rPr>
          <w:rFonts w:hint="eastAsia" w:ascii="Times New Roman" w:hAnsi="Times New Roman" w:cs="Arial"/>
          <w:b w:val="0"/>
          <w:bCs w:val="0"/>
          <w:color w:val="000000" w:themeColor="text1"/>
          <w:spacing w:val="0"/>
          <w:sz w:val="24"/>
          <w:szCs w:val="24"/>
          <w:highlight w:val="none"/>
          <w14:textFill>
            <w14:solidFill>
              <w14:schemeClr w14:val="tx1"/>
            </w14:solidFill>
          </w14:textFill>
        </w:rPr>
        <w:t>标准通气量：</w:t>
      </w:r>
      <w:r>
        <w:rPr>
          <w:rFonts w:ascii="Times New Roman" w:hAnsi="Times New Roman" w:cs="Arial"/>
          <w:b w:val="0"/>
          <w:bCs w:val="0"/>
          <w:color w:val="000000" w:themeColor="text1"/>
          <w:spacing w:val="0"/>
          <w:sz w:val="24"/>
          <w:szCs w:val="24"/>
          <w:highlight w:val="none"/>
          <w14:textFill>
            <w14:solidFill>
              <w14:schemeClr w14:val="tx1"/>
            </w14:solidFill>
          </w14:textFill>
        </w:rPr>
        <w:t>1.5-8</w:t>
      </w:r>
      <w:r>
        <w:rPr>
          <w:rFonts w:hint="eastAsia" w:cs="Arial" w:asciiTheme="minorHAnsi" w:hAnsiTheme="minorHAnsi" w:eastAsiaTheme="minorEastAsia"/>
          <w:b w:val="0"/>
          <w:bCs w:val="0"/>
          <w:color w:val="000000" w:themeColor="text1"/>
          <w:spacing w:val="0"/>
          <w:sz w:val="24"/>
          <w:szCs w:val="24"/>
          <w:highlight w:val="none"/>
          <w14:textFill>
            <w14:solidFill>
              <w14:schemeClr w14:val="tx1"/>
            </w14:solidFill>
          </w14:textFill>
        </w:rPr>
        <w:t>m</w:t>
      </w:r>
      <w:r>
        <w:rPr>
          <w:rFonts w:hint="eastAsia" w:cs="Arial" w:asciiTheme="minorHAnsi" w:hAnsiTheme="minorHAnsi" w:eastAsiaTheme="minorEastAsia"/>
          <w:b w:val="0"/>
          <w:bCs w:val="0"/>
          <w:color w:val="000000" w:themeColor="text1"/>
          <w:spacing w:val="0"/>
          <w:sz w:val="24"/>
          <w:szCs w:val="24"/>
          <w:highlight w:val="none"/>
          <w:vertAlign w:val="superscript"/>
          <w14:textFill>
            <w14:solidFill>
              <w14:schemeClr w14:val="tx1"/>
            </w14:solidFill>
          </w14:textFill>
        </w:rPr>
        <w:t>3</w:t>
      </w:r>
      <w:r>
        <w:rPr>
          <w:rFonts w:ascii="Times New Roman" w:hAnsi="Times New Roman" w:cs="Arial"/>
          <w:b w:val="0"/>
          <w:bCs w:val="0"/>
          <w:color w:val="000000" w:themeColor="text1"/>
          <w:spacing w:val="0"/>
          <w:sz w:val="24"/>
          <w:szCs w:val="24"/>
          <w:highlight w:val="none"/>
          <w14:textFill>
            <w14:solidFill>
              <w14:schemeClr w14:val="tx1"/>
            </w14:solidFill>
          </w14:textFill>
        </w:rPr>
        <w:t>/h</w:t>
      </w:r>
    </w:p>
    <w:p>
      <w:pPr>
        <w:spacing w:line="360" w:lineRule="auto"/>
        <w:ind w:left="274" w:firstLine="1132" w:firstLineChars="472"/>
        <w:jc w:val="both"/>
        <w:rPr>
          <w:rFonts w:ascii="Times New Roman" w:hAnsi="Times New Roman" w:cs="Arial"/>
          <w:b w:val="0"/>
          <w:bCs w:val="0"/>
          <w:color w:val="000000" w:themeColor="text1"/>
          <w:spacing w:val="0"/>
          <w:sz w:val="24"/>
          <w:szCs w:val="24"/>
          <w:highlight w:val="none"/>
          <w14:textFill>
            <w14:solidFill>
              <w14:schemeClr w14:val="tx1"/>
            </w14:solidFill>
          </w14:textFill>
        </w:rPr>
      </w:pPr>
      <w:r>
        <w:rPr>
          <w:rFonts w:hint="eastAsia" w:ascii="Times New Roman" w:hAnsi="Times New Roman" w:cs="Arial"/>
          <w:b w:val="0"/>
          <w:bCs w:val="0"/>
          <w:color w:val="000000" w:themeColor="text1"/>
          <w:spacing w:val="0"/>
          <w:sz w:val="24"/>
          <w:szCs w:val="24"/>
          <w:highlight w:val="none"/>
          <w14:textFill>
            <w14:solidFill>
              <w14:schemeClr w14:val="tx1"/>
            </w14:solidFill>
          </w14:textFill>
        </w:rPr>
        <w:t>通气范围：</w:t>
      </w:r>
      <w:r>
        <w:rPr>
          <w:rFonts w:ascii="Times New Roman" w:hAnsi="Times New Roman" w:cs="Arial"/>
          <w:b w:val="0"/>
          <w:bCs w:val="0"/>
          <w:color w:val="000000" w:themeColor="text1"/>
          <w:spacing w:val="0"/>
          <w:sz w:val="24"/>
          <w:szCs w:val="24"/>
          <w:highlight w:val="none"/>
          <w14:textFill>
            <w14:solidFill>
              <w14:schemeClr w14:val="tx1"/>
            </w14:solidFill>
          </w14:textFill>
        </w:rPr>
        <w:t>1.5~12</w:t>
      </w:r>
      <w:r>
        <w:rPr>
          <w:rFonts w:hint="eastAsia" w:cs="Arial" w:asciiTheme="minorHAnsi" w:hAnsiTheme="minorHAnsi" w:eastAsiaTheme="minorEastAsia"/>
          <w:b w:val="0"/>
          <w:bCs w:val="0"/>
          <w:color w:val="000000" w:themeColor="text1"/>
          <w:spacing w:val="0"/>
          <w:sz w:val="24"/>
          <w:szCs w:val="24"/>
          <w:highlight w:val="none"/>
          <w14:textFill>
            <w14:solidFill>
              <w14:schemeClr w14:val="tx1"/>
            </w14:solidFill>
          </w14:textFill>
        </w:rPr>
        <w:t>m</w:t>
      </w:r>
      <w:r>
        <w:rPr>
          <w:rFonts w:hint="eastAsia" w:cs="Arial" w:asciiTheme="minorHAnsi" w:hAnsiTheme="minorHAnsi" w:eastAsiaTheme="minorEastAsia"/>
          <w:b w:val="0"/>
          <w:bCs w:val="0"/>
          <w:color w:val="000000" w:themeColor="text1"/>
          <w:spacing w:val="0"/>
          <w:sz w:val="24"/>
          <w:szCs w:val="24"/>
          <w:highlight w:val="none"/>
          <w:vertAlign w:val="superscript"/>
          <w14:textFill>
            <w14:solidFill>
              <w14:schemeClr w14:val="tx1"/>
            </w14:solidFill>
          </w14:textFill>
        </w:rPr>
        <w:t>3</w:t>
      </w:r>
      <w:r>
        <w:rPr>
          <w:rFonts w:ascii="Times New Roman" w:hAnsi="Times New Roman" w:cs="Arial"/>
          <w:b w:val="0"/>
          <w:bCs w:val="0"/>
          <w:color w:val="000000" w:themeColor="text1"/>
          <w:spacing w:val="0"/>
          <w:sz w:val="24"/>
          <w:szCs w:val="24"/>
          <w:highlight w:val="none"/>
          <w14:textFill>
            <w14:solidFill>
              <w14:schemeClr w14:val="tx1"/>
            </w14:solidFill>
          </w14:textFill>
        </w:rPr>
        <w:t>/h</w:t>
      </w:r>
    </w:p>
    <w:p>
      <w:pPr>
        <w:spacing w:line="360" w:lineRule="auto"/>
        <w:ind w:left="274" w:firstLine="1132" w:firstLineChars="472"/>
        <w:jc w:val="both"/>
        <w:rPr>
          <w:rFonts w:ascii="Times New Roman" w:hAnsi="Times New Roman" w:cs="Arial"/>
          <w:b w:val="0"/>
          <w:bCs w:val="0"/>
          <w:color w:val="000000" w:themeColor="text1"/>
          <w:spacing w:val="0"/>
          <w:sz w:val="24"/>
          <w:szCs w:val="24"/>
          <w:highlight w:val="none"/>
          <w14:textFill>
            <w14:solidFill>
              <w14:schemeClr w14:val="tx1"/>
            </w14:solidFill>
          </w14:textFill>
        </w:rPr>
      </w:pPr>
      <w:r>
        <w:rPr>
          <w:rFonts w:hint="eastAsia" w:ascii="Times New Roman" w:hAnsi="Times New Roman" w:cs="Arial"/>
          <w:b w:val="0"/>
          <w:bCs w:val="0"/>
          <w:color w:val="000000" w:themeColor="text1"/>
          <w:spacing w:val="0"/>
          <w:sz w:val="24"/>
          <w:szCs w:val="24"/>
          <w:highlight w:val="none"/>
          <w14:textFill>
            <w14:solidFill>
              <w14:schemeClr w14:val="tx1"/>
            </w14:solidFill>
          </w14:textFill>
        </w:rPr>
        <w:t>阻力损失：</w:t>
      </w:r>
      <w:r>
        <w:rPr>
          <w:rFonts w:ascii="Times New Roman" w:hAnsi="Times New Roman" w:cs="Arial"/>
          <w:b w:val="0"/>
          <w:bCs w:val="0"/>
          <w:color w:val="000000" w:themeColor="text1"/>
          <w:spacing w:val="0"/>
          <w:sz w:val="24"/>
          <w:szCs w:val="24"/>
          <w:highlight w:val="none"/>
          <w14:textFill>
            <w14:solidFill>
              <w14:schemeClr w14:val="tx1"/>
            </w14:solidFill>
          </w14:textFill>
        </w:rPr>
        <w:t>2.0~4.3kPa</w:t>
      </w:r>
    </w:p>
    <w:p>
      <w:pPr>
        <w:spacing w:line="360" w:lineRule="auto"/>
        <w:ind w:left="274" w:firstLine="1132" w:firstLineChars="472"/>
        <w:jc w:val="both"/>
        <w:rPr>
          <w:rFonts w:ascii="Times New Roman" w:hAnsi="Times New Roman" w:cs="Arial"/>
          <w:b w:val="0"/>
          <w:bCs w:val="0"/>
          <w:color w:val="000000" w:themeColor="text1"/>
          <w:spacing w:val="0"/>
          <w:sz w:val="24"/>
          <w:szCs w:val="24"/>
          <w:highlight w:val="none"/>
          <w14:textFill>
            <w14:solidFill>
              <w14:schemeClr w14:val="tx1"/>
            </w14:solidFill>
          </w14:textFill>
        </w:rPr>
      </w:pPr>
      <w:r>
        <w:rPr>
          <w:rFonts w:hint="eastAsia" w:ascii="Times New Roman" w:hAnsi="Times New Roman" w:cs="Arial"/>
          <w:b w:val="0"/>
          <w:bCs w:val="0"/>
          <w:color w:val="000000" w:themeColor="text1"/>
          <w:spacing w:val="0"/>
          <w:sz w:val="24"/>
          <w:szCs w:val="24"/>
          <w:highlight w:val="none"/>
          <w14:textFill>
            <w14:solidFill>
              <w14:schemeClr w14:val="tx1"/>
            </w14:solidFill>
          </w14:textFill>
        </w:rPr>
        <w:t>标准氧气转移效率：≥30%(6米水深)</w:t>
      </w:r>
    </w:p>
    <w:p>
      <w:pPr>
        <w:spacing w:line="360" w:lineRule="auto"/>
        <w:ind w:left="274" w:firstLine="1132" w:firstLineChars="472"/>
        <w:jc w:val="both"/>
        <w:rPr>
          <w:rFonts w:ascii="Times New Roman" w:hAnsi="Times New Roman" w:cs="Arial"/>
          <w:b w:val="0"/>
          <w:bCs w:val="0"/>
          <w:color w:val="000000" w:themeColor="text1"/>
          <w:spacing w:val="0"/>
          <w:sz w:val="24"/>
          <w:szCs w:val="24"/>
          <w:highlight w:val="none"/>
          <w14:textFill>
            <w14:solidFill>
              <w14:schemeClr w14:val="tx1"/>
            </w14:solidFill>
          </w14:textFill>
        </w:rPr>
      </w:pPr>
      <w:r>
        <w:rPr>
          <w:rFonts w:hint="eastAsia" w:ascii="Times New Roman" w:hAnsi="Times New Roman" w:cs="Arial"/>
          <w:b w:val="0"/>
          <w:bCs w:val="0"/>
          <w:color w:val="000000" w:themeColor="text1"/>
          <w:spacing w:val="0"/>
          <w:sz w:val="24"/>
          <w:szCs w:val="24"/>
          <w:highlight w:val="none"/>
          <w14:textFill>
            <w14:solidFill>
              <w14:schemeClr w14:val="tx1"/>
            </w14:solidFill>
          </w14:textFill>
        </w:rPr>
        <w:t>标准氧气能力：≥0.30</w:t>
      </w:r>
      <w:r>
        <w:rPr>
          <w:rFonts w:ascii="Times New Roman" w:hAnsi="Times New Roman" w:cs="Arial"/>
          <w:b w:val="0"/>
          <w:bCs w:val="0"/>
          <w:color w:val="000000" w:themeColor="text1"/>
          <w:spacing w:val="0"/>
          <w:sz w:val="24"/>
          <w:szCs w:val="24"/>
          <w:highlight w:val="none"/>
          <w14:textFill>
            <w14:solidFill>
              <w14:schemeClr w14:val="tx1"/>
            </w14:solidFill>
          </w14:textFill>
        </w:rPr>
        <w:t>7</w:t>
      </w:r>
      <w:r>
        <w:rPr>
          <w:rFonts w:hint="eastAsia" w:ascii="Times New Roman" w:hAnsi="Times New Roman" w:cs="Arial"/>
          <w:b w:val="0"/>
          <w:bCs w:val="0"/>
          <w:color w:val="000000" w:themeColor="text1"/>
          <w:spacing w:val="0"/>
          <w:sz w:val="24"/>
          <w:szCs w:val="24"/>
          <w:highlight w:val="none"/>
          <w14:textFill>
            <w14:solidFill>
              <w14:schemeClr w14:val="tx1"/>
            </w14:solidFill>
          </w14:textFill>
        </w:rPr>
        <w:t>kgO</w:t>
      </w:r>
      <w:r>
        <w:rPr>
          <w:rFonts w:ascii="Times New Roman" w:hAnsi="Times New Roman" w:cs="Arial"/>
          <w:b w:val="0"/>
          <w:bCs w:val="0"/>
          <w:color w:val="000000" w:themeColor="text1"/>
          <w:spacing w:val="0"/>
          <w:sz w:val="24"/>
          <w:szCs w:val="24"/>
          <w:highlight w:val="none"/>
          <w:vertAlign w:val="subscript"/>
          <w14:textFill>
            <w14:solidFill>
              <w14:schemeClr w14:val="tx1"/>
            </w14:solidFill>
          </w14:textFill>
        </w:rPr>
        <w:t>2</w:t>
      </w:r>
      <w:r>
        <w:rPr>
          <w:rFonts w:hint="eastAsia" w:ascii="Times New Roman" w:hAnsi="Times New Roman" w:cs="Arial"/>
          <w:b w:val="0"/>
          <w:bCs w:val="0"/>
          <w:color w:val="000000" w:themeColor="text1"/>
          <w:spacing w:val="0"/>
          <w:sz w:val="24"/>
          <w:szCs w:val="24"/>
          <w:highlight w:val="none"/>
          <w14:textFill>
            <w14:solidFill>
              <w14:schemeClr w14:val="tx1"/>
            </w14:solidFill>
          </w14:textFill>
        </w:rPr>
        <w:t>/h</w:t>
      </w:r>
    </w:p>
    <w:p>
      <w:pPr>
        <w:spacing w:line="360" w:lineRule="auto"/>
        <w:ind w:left="274" w:firstLine="1132" w:firstLineChars="472"/>
        <w:jc w:val="both"/>
        <w:rPr>
          <w:rFonts w:ascii="Times New Roman" w:hAnsi="Times New Roman" w:cs="Arial"/>
          <w:b w:val="0"/>
          <w:bCs w:val="0"/>
          <w:color w:val="000000" w:themeColor="text1"/>
          <w:spacing w:val="0"/>
          <w:sz w:val="24"/>
          <w:szCs w:val="24"/>
          <w:highlight w:val="none"/>
          <w14:textFill>
            <w14:solidFill>
              <w14:schemeClr w14:val="tx1"/>
            </w14:solidFill>
          </w14:textFill>
        </w:rPr>
      </w:pPr>
      <w:r>
        <w:rPr>
          <w:rFonts w:hint="eastAsia" w:ascii="Times New Roman" w:hAnsi="Times New Roman" w:cs="Arial"/>
          <w:b w:val="0"/>
          <w:bCs w:val="0"/>
          <w:color w:val="000000" w:themeColor="text1"/>
          <w:spacing w:val="0"/>
          <w:sz w:val="24"/>
          <w:szCs w:val="24"/>
          <w:highlight w:val="none"/>
          <w14:textFill>
            <w14:solidFill>
              <w14:schemeClr w14:val="tx1"/>
            </w14:solidFill>
          </w14:textFill>
        </w:rPr>
        <w:t>理论动力效率：≥9.</w:t>
      </w:r>
      <w:r>
        <w:rPr>
          <w:rFonts w:ascii="Times New Roman" w:hAnsi="Times New Roman" w:cs="Arial"/>
          <w:b w:val="0"/>
          <w:bCs w:val="0"/>
          <w:color w:val="000000" w:themeColor="text1"/>
          <w:spacing w:val="0"/>
          <w:sz w:val="24"/>
          <w:szCs w:val="24"/>
          <w:highlight w:val="none"/>
          <w14:textFill>
            <w14:solidFill>
              <w14:schemeClr w14:val="tx1"/>
            </w14:solidFill>
          </w14:textFill>
        </w:rPr>
        <w:t>0</w:t>
      </w:r>
      <w:r>
        <w:rPr>
          <w:rFonts w:hint="eastAsia" w:ascii="Times New Roman" w:hAnsi="Times New Roman" w:cs="Arial"/>
          <w:b w:val="0"/>
          <w:bCs w:val="0"/>
          <w:color w:val="000000" w:themeColor="text1"/>
          <w:spacing w:val="0"/>
          <w:sz w:val="24"/>
          <w:szCs w:val="24"/>
          <w:highlight w:val="none"/>
          <w14:textFill>
            <w14:solidFill>
              <w14:schemeClr w14:val="tx1"/>
            </w14:solidFill>
          </w14:textFill>
        </w:rPr>
        <w:t>kgO</w:t>
      </w:r>
      <w:r>
        <w:rPr>
          <w:rFonts w:ascii="Times New Roman" w:hAnsi="Times New Roman" w:cs="Arial"/>
          <w:b w:val="0"/>
          <w:bCs w:val="0"/>
          <w:color w:val="000000" w:themeColor="text1"/>
          <w:spacing w:val="0"/>
          <w:sz w:val="24"/>
          <w:szCs w:val="24"/>
          <w:highlight w:val="none"/>
          <w:vertAlign w:val="subscript"/>
          <w14:textFill>
            <w14:solidFill>
              <w14:schemeClr w14:val="tx1"/>
            </w14:solidFill>
          </w14:textFill>
        </w:rPr>
        <w:t>2</w:t>
      </w:r>
      <w:r>
        <w:rPr>
          <w:rFonts w:hint="eastAsia" w:ascii="Times New Roman" w:hAnsi="Times New Roman" w:cs="Arial"/>
          <w:b w:val="0"/>
          <w:bCs w:val="0"/>
          <w:color w:val="000000" w:themeColor="text1"/>
          <w:spacing w:val="0"/>
          <w:sz w:val="24"/>
          <w:szCs w:val="24"/>
          <w:highlight w:val="none"/>
          <w14:textFill>
            <w14:solidFill>
              <w14:schemeClr w14:val="tx1"/>
            </w14:solidFill>
          </w14:textFill>
        </w:rPr>
        <w:t>/kw·h</w:t>
      </w:r>
    </w:p>
    <w:p>
      <w:pPr>
        <w:spacing w:line="360" w:lineRule="auto"/>
        <w:ind w:left="274" w:firstLine="1132" w:firstLineChars="472"/>
        <w:jc w:val="both"/>
        <w:rPr>
          <w:rFonts w:ascii="Times New Roman" w:hAnsi="Times New Roman" w:cs="Arial"/>
          <w:b w:val="0"/>
          <w:bCs w:val="0"/>
          <w:color w:val="000000" w:themeColor="text1"/>
          <w:spacing w:val="0"/>
          <w:sz w:val="24"/>
          <w:szCs w:val="24"/>
          <w:highlight w:val="none"/>
          <w14:textFill>
            <w14:solidFill>
              <w14:schemeClr w14:val="tx1"/>
            </w14:solidFill>
          </w14:textFill>
        </w:rPr>
      </w:pPr>
      <w:r>
        <w:rPr>
          <w:rFonts w:hint="eastAsia" w:ascii="Times New Roman" w:hAnsi="Times New Roman" w:cs="Arial"/>
          <w:b w:val="0"/>
          <w:bCs w:val="0"/>
          <w:color w:val="000000" w:themeColor="text1"/>
          <w:spacing w:val="0"/>
          <w:sz w:val="24"/>
          <w:szCs w:val="24"/>
          <w:highlight w:val="none"/>
          <w14:textFill>
            <w14:solidFill>
              <w14:schemeClr w14:val="tx1"/>
            </w14:solidFill>
          </w14:textFill>
        </w:rPr>
        <w:t>服务面积：0.</w:t>
      </w:r>
      <w:r>
        <w:rPr>
          <w:rFonts w:ascii="Times New Roman" w:hAnsi="Times New Roman" w:cs="Arial"/>
          <w:b w:val="0"/>
          <w:bCs w:val="0"/>
          <w:color w:val="000000" w:themeColor="text1"/>
          <w:spacing w:val="0"/>
          <w:sz w:val="24"/>
          <w:szCs w:val="24"/>
          <w:highlight w:val="none"/>
          <w14:textFill>
            <w14:solidFill>
              <w14:schemeClr w14:val="tx1"/>
            </w14:solidFill>
          </w14:textFill>
        </w:rPr>
        <w:t>75</w:t>
      </w:r>
      <w:r>
        <w:rPr>
          <w:rFonts w:hint="eastAsia" w:ascii="Times New Roman" w:hAnsi="Times New Roman" w:cs="Arial"/>
          <w:b w:val="0"/>
          <w:bCs w:val="0"/>
          <w:color w:val="000000" w:themeColor="text1"/>
          <w:spacing w:val="0"/>
          <w:sz w:val="24"/>
          <w:szCs w:val="24"/>
          <w:highlight w:val="none"/>
          <w14:textFill>
            <w14:solidFill>
              <w14:schemeClr w14:val="tx1"/>
            </w14:solidFill>
          </w14:textFill>
        </w:rPr>
        <w:t>-</w:t>
      </w:r>
      <w:r>
        <w:rPr>
          <w:rFonts w:ascii="Times New Roman" w:hAnsi="Times New Roman" w:cs="Arial"/>
          <w:b w:val="0"/>
          <w:bCs w:val="0"/>
          <w:color w:val="000000" w:themeColor="text1"/>
          <w:spacing w:val="0"/>
          <w:sz w:val="24"/>
          <w:szCs w:val="24"/>
          <w:highlight w:val="none"/>
          <w14:textFill>
            <w14:solidFill>
              <w14:schemeClr w14:val="tx1"/>
            </w14:solidFill>
          </w14:textFill>
        </w:rPr>
        <w:t>2</w:t>
      </w:r>
      <w:r>
        <w:rPr>
          <w:rFonts w:hint="eastAsia" w:cs="Arial" w:asciiTheme="minorHAnsi" w:hAnsiTheme="minorHAnsi" w:eastAsiaTheme="minorEastAsia"/>
          <w:b w:val="0"/>
          <w:bCs w:val="0"/>
          <w:color w:val="000000" w:themeColor="text1"/>
          <w:spacing w:val="0"/>
          <w:sz w:val="24"/>
          <w:szCs w:val="24"/>
          <w:highlight w:val="none"/>
          <w14:textFill>
            <w14:solidFill>
              <w14:schemeClr w14:val="tx1"/>
            </w14:solidFill>
          </w14:textFill>
        </w:rPr>
        <w:t>m</w:t>
      </w:r>
      <w:r>
        <w:rPr>
          <w:rFonts w:hint="eastAsia" w:cs="Arial" w:asciiTheme="minorHAnsi" w:hAnsiTheme="minorHAnsi" w:eastAsiaTheme="minorEastAsia"/>
          <w:b w:val="0"/>
          <w:bCs w:val="0"/>
          <w:color w:val="000000" w:themeColor="text1"/>
          <w:spacing w:val="0"/>
          <w:sz w:val="24"/>
          <w:szCs w:val="24"/>
          <w:highlight w:val="none"/>
          <w:vertAlign w:val="superscript"/>
          <w14:textFill>
            <w14:solidFill>
              <w14:schemeClr w14:val="tx1"/>
            </w14:solidFill>
          </w14:textFill>
        </w:rPr>
        <w:t>2</w:t>
      </w:r>
      <w:r>
        <w:rPr>
          <w:rFonts w:hint="eastAsia" w:ascii="Times New Roman" w:hAnsi="Times New Roman" w:cs="Arial"/>
          <w:b w:val="0"/>
          <w:bCs w:val="0"/>
          <w:color w:val="000000" w:themeColor="text1"/>
          <w:spacing w:val="0"/>
          <w:sz w:val="24"/>
          <w:szCs w:val="24"/>
          <w:highlight w:val="none"/>
          <w14:textFill>
            <w14:solidFill>
              <w14:schemeClr w14:val="tx1"/>
            </w14:solidFill>
          </w14:textFill>
        </w:rPr>
        <w:t>/个</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2）.膜片</w:t>
      </w:r>
      <w:bookmarkEnd w:id="74"/>
      <w:bookmarkEnd w:id="75"/>
      <w:bookmarkEnd w:id="76"/>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采用压模工艺生产，比重、厚度均匀。抗多种方向的拉扯，抗膜片材料性能改变。弹性系数高，恰当的锥度可以减少单位压力，压损低，溶氧效率高，服务寿命长。</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曝气系统关闭后膜片将回落并密闭。曝气器被设计用来阻止支撑管孔空气漏出，它依赖膜片上的无孔区域来达到此作用。整个膜片面都可以使空气良好通过。为防止膜片堵塞均采用1毫米直缝设计，避免I型狭缝设计。膜片抗堵塞，至少达到70%的亲水性。</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膜片扯断伸长率最小达650%，适于循环启闭操作的工艺，长期运行仍然保持形状，产生微细的气泡。</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膜片材料是高质量的</w:t>
      </w:r>
      <w:r>
        <w:rPr>
          <w:rFonts w:hint="eastAsia" w:ascii="宋体" w:cs="宋体"/>
          <w:b w:val="0"/>
          <w:bCs w:val="0"/>
          <w:color w:val="000000" w:themeColor="text1"/>
          <w:spacing w:val="0"/>
          <w:sz w:val="24"/>
          <w:szCs w:val="24"/>
          <w:highlight w:val="none"/>
          <w14:textFill>
            <w14:solidFill>
              <w14:schemeClr w14:val="tx1"/>
            </w14:solidFill>
          </w14:textFill>
        </w:rPr>
        <w:t>EPDM橡胶，采用特殊三元乙丙橡胶混合体，适量的炭黑填充料的添加使薄膜具有合理的吸水性抗强氧化，抗油脂的腐蚀作用，有效防止薄膜的萎缩变形等;超低硫含量提高了曝气薄膜的使用寿命，确保了曝气薄膜的使用寿命大于6年。曝气盘膜片测试性能参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硬度，邵尔A：55</w:t>
      </w:r>
      <w:r>
        <w:rPr>
          <w:rFonts w:hint="eastAsia" w:ascii="宋体" w:cs="宋体"/>
          <w:b w:val="0"/>
          <w:bCs w:val="0"/>
          <w:color w:val="000000" w:themeColor="text1"/>
          <w:spacing w:val="0"/>
          <w:sz w:val="24"/>
          <w:szCs w:val="24"/>
          <w:highlight w:val="none"/>
          <w14:textFill>
            <w14:solidFill>
              <w14:schemeClr w14:val="tx1"/>
            </w14:solidFill>
          </w14:textFill>
        </w:rPr>
        <w:t>±3</w:t>
      </w:r>
      <w:r>
        <w:rPr>
          <w:rFonts w:ascii="宋体" w:cs="宋体"/>
          <w:b w:val="0"/>
          <w:bCs w:val="0"/>
          <w:color w:val="000000" w:themeColor="text1"/>
          <w:spacing w:val="0"/>
          <w:sz w:val="24"/>
          <w:szCs w:val="24"/>
          <w:highlight w:val="none"/>
          <w14:textFill>
            <w14:solidFill>
              <w14:schemeClr w14:val="tx1"/>
            </w14:solidFill>
          </w14:textFill>
        </w:rPr>
        <w:t>度(</w:t>
      </w:r>
      <w:r>
        <w:rPr>
          <w:rFonts w:hint="eastAsia" w:ascii="宋体" w:cs="宋体"/>
          <w:b w:val="0"/>
          <w:bCs w:val="0"/>
          <w:color w:val="000000" w:themeColor="text1"/>
          <w:spacing w:val="0"/>
          <w:sz w:val="24"/>
          <w:szCs w:val="24"/>
          <w:highlight w:val="none"/>
          <w14:textFill>
            <w14:solidFill>
              <w14:schemeClr w14:val="tx1"/>
            </w14:solidFill>
          </w14:textFill>
        </w:rPr>
        <w:t>GB/T531.1-2008</w:t>
      </w:r>
      <w:r>
        <w:rPr>
          <w:rFonts w:ascii="宋体" w:cs="宋体"/>
          <w:b w:val="0"/>
          <w:bCs w:val="0"/>
          <w:color w:val="000000" w:themeColor="text1"/>
          <w:spacing w:val="0"/>
          <w:sz w:val="24"/>
          <w:szCs w:val="24"/>
          <w:highlight w:val="none"/>
          <w14:textFill>
            <w14:solidFill>
              <w14:schemeClr w14:val="tx1"/>
            </w14:solidFill>
          </w14:textFill>
        </w:rPr>
        <w:t>)；</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拉伸强度：</w:t>
      </w:r>
      <w:r>
        <w:rPr>
          <w:rFonts w:hint="eastAsia" w:ascii="宋体" w:cs="宋体"/>
          <w:b w:val="0"/>
          <w:bCs w:val="0"/>
          <w:color w:val="000000" w:themeColor="text1"/>
          <w:spacing w:val="0"/>
          <w:sz w:val="24"/>
          <w:szCs w:val="24"/>
          <w:highlight w:val="none"/>
          <w14:textFill>
            <w14:solidFill>
              <w14:schemeClr w14:val="tx1"/>
            </w14:solidFill>
          </w14:textFill>
        </w:rPr>
        <w:t>＞1</w:t>
      </w:r>
      <w:r>
        <w:rPr>
          <w:rFonts w:ascii="宋体" w:cs="宋体"/>
          <w:b w:val="0"/>
          <w:bCs w:val="0"/>
          <w:color w:val="000000" w:themeColor="text1"/>
          <w:spacing w:val="0"/>
          <w:sz w:val="24"/>
          <w:szCs w:val="24"/>
          <w:highlight w:val="none"/>
          <w14:textFill>
            <w14:solidFill>
              <w14:schemeClr w14:val="tx1"/>
            </w14:solidFill>
          </w14:textFill>
        </w:rPr>
        <w:t>4.5</w:t>
      </w:r>
      <w:r>
        <w:rPr>
          <w:rFonts w:hint="eastAsia" w:ascii="宋体" w:cs="宋体"/>
          <w:b w:val="0"/>
          <w:bCs w:val="0"/>
          <w:color w:val="000000" w:themeColor="text1"/>
          <w:spacing w:val="0"/>
          <w:sz w:val="24"/>
          <w:szCs w:val="24"/>
          <w:highlight w:val="none"/>
          <w14:textFill>
            <w14:solidFill>
              <w14:schemeClr w14:val="tx1"/>
            </w14:solidFill>
          </w14:textFill>
        </w:rPr>
        <w:t>Mpa</w:t>
      </w:r>
      <w:r>
        <w:rPr>
          <w:rFonts w:ascii="宋体" w:cs="宋体"/>
          <w:b w:val="0"/>
          <w:bCs w:val="0"/>
          <w:color w:val="000000" w:themeColor="text1"/>
          <w:spacing w:val="0"/>
          <w:sz w:val="24"/>
          <w:szCs w:val="24"/>
          <w:highlight w:val="none"/>
          <w14:textFill>
            <w14:solidFill>
              <w14:schemeClr w14:val="tx1"/>
            </w14:solidFill>
          </w14:textFill>
        </w:rPr>
        <w:t>；断</w:t>
      </w:r>
      <w:r>
        <w:rPr>
          <w:rFonts w:hint="eastAsia" w:ascii="宋体" w:cs="宋体"/>
          <w:b w:val="0"/>
          <w:bCs w:val="0"/>
          <w:color w:val="000000" w:themeColor="text1"/>
          <w:spacing w:val="0"/>
          <w:sz w:val="24"/>
          <w:szCs w:val="24"/>
          <w:highlight w:val="none"/>
          <w14:textFill>
            <w14:solidFill>
              <w14:schemeClr w14:val="tx1"/>
            </w14:solidFill>
          </w14:textFill>
        </w:rPr>
        <w:t>裂</w:t>
      </w:r>
      <w:r>
        <w:rPr>
          <w:rFonts w:ascii="宋体" w:cs="宋体"/>
          <w:b w:val="0"/>
          <w:bCs w:val="0"/>
          <w:color w:val="000000" w:themeColor="text1"/>
          <w:spacing w:val="0"/>
          <w:sz w:val="24"/>
          <w:szCs w:val="24"/>
          <w:highlight w:val="none"/>
          <w14:textFill>
            <w14:solidFill>
              <w14:schemeClr w14:val="tx1"/>
            </w14:solidFill>
          </w14:textFill>
        </w:rPr>
        <w:t>伸长率最小：</w:t>
      </w:r>
      <w:r>
        <w:rPr>
          <w:rFonts w:hint="eastAsia" w:ascii="宋体" w:cs="宋体"/>
          <w:b w:val="0"/>
          <w:bCs w:val="0"/>
          <w:color w:val="000000" w:themeColor="text1"/>
          <w:spacing w:val="0"/>
          <w:sz w:val="24"/>
          <w:szCs w:val="24"/>
          <w:highlight w:val="none"/>
          <w14:textFill>
            <w14:solidFill>
              <w14:schemeClr w14:val="tx1"/>
            </w14:solidFill>
          </w14:textFill>
        </w:rPr>
        <w:t>554</w:t>
      </w:r>
      <w:r>
        <w:rPr>
          <w:rFonts w:ascii="宋体" w:cs="宋体"/>
          <w:b w:val="0"/>
          <w:bCs w:val="0"/>
          <w:color w:val="000000" w:themeColor="text1"/>
          <w:spacing w:val="0"/>
          <w:sz w:val="24"/>
          <w:szCs w:val="24"/>
          <w:highlight w:val="none"/>
          <w14:textFill>
            <w14:solidFill>
              <w14:schemeClr w14:val="tx1"/>
            </w14:solidFill>
          </w14:textFill>
        </w:rPr>
        <w:t>%(</w:t>
      </w:r>
      <w:r>
        <w:rPr>
          <w:rFonts w:hint="eastAsia" w:ascii="宋体" w:cs="宋体"/>
          <w:b w:val="0"/>
          <w:bCs w:val="0"/>
          <w:color w:val="000000" w:themeColor="text1"/>
          <w:spacing w:val="0"/>
          <w:sz w:val="24"/>
          <w:szCs w:val="24"/>
          <w:highlight w:val="none"/>
          <w14:textFill>
            <w14:solidFill>
              <w14:schemeClr w14:val="tx1"/>
            </w14:solidFill>
          </w14:textFill>
        </w:rPr>
        <w:t>GB/T528-2009</w:t>
      </w:r>
      <w:r>
        <w:rPr>
          <w:rFonts w:ascii="宋体" w:cs="宋体"/>
          <w:b w:val="0"/>
          <w:bCs w:val="0"/>
          <w:color w:val="000000" w:themeColor="text1"/>
          <w:spacing w:val="0"/>
          <w:sz w:val="24"/>
          <w:szCs w:val="24"/>
          <w:highlight w:val="none"/>
          <w14:textFill>
            <w14:solidFill>
              <w14:schemeClr w14:val="tx1"/>
            </w14:solidFill>
          </w14:textFill>
        </w:rPr>
        <w:t>)；</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扯</w:t>
      </w:r>
      <w:r>
        <w:rPr>
          <w:rFonts w:hint="eastAsia" w:ascii="宋体" w:cs="宋体"/>
          <w:b w:val="0"/>
          <w:bCs w:val="0"/>
          <w:color w:val="000000" w:themeColor="text1"/>
          <w:spacing w:val="0"/>
          <w:sz w:val="24"/>
          <w:szCs w:val="24"/>
          <w:highlight w:val="none"/>
          <w14:textFill>
            <w14:solidFill>
              <w14:schemeClr w14:val="tx1"/>
            </w14:solidFill>
          </w14:textFill>
        </w:rPr>
        <w:t>伸</w:t>
      </w:r>
      <w:r>
        <w:rPr>
          <w:rFonts w:ascii="宋体" w:cs="宋体"/>
          <w:b w:val="0"/>
          <w:bCs w:val="0"/>
          <w:color w:val="000000" w:themeColor="text1"/>
          <w:spacing w:val="0"/>
          <w:sz w:val="24"/>
          <w:szCs w:val="24"/>
          <w:highlight w:val="none"/>
          <w14:textFill>
            <w14:solidFill>
              <w14:schemeClr w14:val="tx1"/>
            </w14:solidFill>
          </w14:textFill>
        </w:rPr>
        <w:t>强度变化率</w:t>
      </w:r>
      <w:r>
        <w:rPr>
          <w:rFonts w:hint="eastAsia" w:ascii="宋体" w:cs="宋体"/>
          <w:b w:val="0"/>
          <w:bCs w:val="0"/>
          <w:color w:val="000000" w:themeColor="text1"/>
          <w:spacing w:val="0"/>
          <w:sz w:val="24"/>
          <w:szCs w:val="24"/>
          <w:highlight w:val="none"/>
          <w14:textFill>
            <w14:solidFill>
              <w14:schemeClr w14:val="tx1"/>
            </w14:solidFill>
          </w14:textFill>
        </w:rPr>
        <w:t>：6.2%</w:t>
      </w:r>
      <w:r>
        <w:rPr>
          <w:rFonts w:ascii="宋体" w:cs="宋体"/>
          <w:b w:val="0"/>
          <w:bCs w:val="0"/>
          <w:color w:val="000000" w:themeColor="text1"/>
          <w:spacing w:val="0"/>
          <w:sz w:val="24"/>
          <w:szCs w:val="24"/>
          <w:highlight w:val="none"/>
          <w14:textFill>
            <w14:solidFill>
              <w14:schemeClr w14:val="tx1"/>
            </w14:solidFill>
          </w14:textFill>
        </w:rPr>
        <w:t>；</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GB/T</w:t>
      </w:r>
      <w:r>
        <w:rPr>
          <w:rFonts w:hint="eastAsia" w:ascii="宋体" w:cs="宋体"/>
          <w:b w:val="0"/>
          <w:bCs w:val="0"/>
          <w:color w:val="000000" w:themeColor="text1"/>
          <w:spacing w:val="0"/>
          <w:sz w:val="24"/>
          <w:szCs w:val="24"/>
          <w:highlight w:val="none"/>
          <w14:textFill>
            <w14:solidFill>
              <w14:schemeClr w14:val="tx1"/>
            </w14:solidFill>
          </w14:textFill>
        </w:rPr>
        <w:t>3512</w:t>
      </w:r>
      <w:r>
        <w:rPr>
          <w:rFonts w:ascii="宋体" w:cs="宋体"/>
          <w:b w:val="0"/>
          <w:bCs w:val="0"/>
          <w:color w:val="000000" w:themeColor="text1"/>
          <w:spacing w:val="0"/>
          <w:sz w:val="24"/>
          <w:szCs w:val="24"/>
          <w:highlight w:val="none"/>
          <w14:textFill>
            <w14:solidFill>
              <w14:schemeClr w14:val="tx1"/>
            </w14:solidFill>
          </w14:textFill>
        </w:rPr>
        <w:t>-20</w:t>
      </w:r>
      <w:r>
        <w:rPr>
          <w:rFonts w:hint="eastAsia" w:ascii="宋体" w:cs="宋体"/>
          <w:b w:val="0"/>
          <w:bCs w:val="0"/>
          <w:color w:val="000000" w:themeColor="text1"/>
          <w:spacing w:val="0"/>
          <w:sz w:val="24"/>
          <w:szCs w:val="24"/>
          <w:highlight w:val="none"/>
          <w14:textFill>
            <w14:solidFill>
              <w14:schemeClr w14:val="tx1"/>
            </w14:solidFill>
          </w14:textFill>
        </w:rPr>
        <w:t>14，</w:t>
      </w:r>
      <w:r>
        <w:rPr>
          <w:rFonts w:ascii="宋体" w:cs="宋体"/>
          <w:b w:val="0"/>
          <w:bCs w:val="0"/>
          <w:color w:val="000000" w:themeColor="text1"/>
          <w:spacing w:val="0"/>
          <w:sz w:val="24"/>
          <w:szCs w:val="24"/>
          <w:highlight w:val="none"/>
          <w14:textFill>
            <w14:solidFill>
              <w14:schemeClr w14:val="tx1"/>
            </w14:solidFill>
          </w14:textFill>
        </w:rPr>
        <w:t>GB/T</w:t>
      </w:r>
      <w:r>
        <w:rPr>
          <w:rFonts w:hint="eastAsia" w:ascii="宋体" w:cs="宋体"/>
          <w:b w:val="0"/>
          <w:bCs w:val="0"/>
          <w:color w:val="000000" w:themeColor="text1"/>
          <w:spacing w:val="0"/>
          <w:sz w:val="24"/>
          <w:szCs w:val="24"/>
          <w:highlight w:val="none"/>
          <w14:textFill>
            <w14:solidFill>
              <w14:schemeClr w14:val="tx1"/>
            </w14:solidFill>
          </w14:textFill>
        </w:rPr>
        <w:t>528</w:t>
      </w:r>
      <w:r>
        <w:rPr>
          <w:rFonts w:ascii="宋体" w:cs="宋体"/>
          <w:b w:val="0"/>
          <w:bCs w:val="0"/>
          <w:color w:val="000000" w:themeColor="text1"/>
          <w:spacing w:val="0"/>
          <w:sz w:val="24"/>
          <w:szCs w:val="24"/>
          <w:highlight w:val="none"/>
          <w14:textFill>
            <w14:solidFill>
              <w14:schemeClr w14:val="tx1"/>
            </w14:solidFill>
          </w14:textFill>
        </w:rPr>
        <w:t>-20</w:t>
      </w:r>
      <w:r>
        <w:rPr>
          <w:rFonts w:hint="eastAsia" w:ascii="宋体" w:cs="宋体"/>
          <w:b w:val="0"/>
          <w:bCs w:val="0"/>
          <w:color w:val="000000" w:themeColor="text1"/>
          <w:spacing w:val="0"/>
          <w:sz w:val="24"/>
          <w:szCs w:val="24"/>
          <w:highlight w:val="none"/>
          <w14:textFill>
            <w14:solidFill>
              <w14:schemeClr w14:val="tx1"/>
            </w14:solidFill>
          </w14:textFill>
        </w:rPr>
        <w:t>09))</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撕裂强度：</w:t>
      </w:r>
      <w:r>
        <w:rPr>
          <w:rFonts w:hint="eastAsia" w:ascii="宋体" w:cs="宋体"/>
          <w:b w:val="0"/>
          <w:bCs w:val="0"/>
          <w:color w:val="000000" w:themeColor="text1"/>
          <w:spacing w:val="0"/>
          <w:sz w:val="24"/>
          <w:szCs w:val="24"/>
          <w:highlight w:val="none"/>
          <w14:textFill>
            <w14:solidFill>
              <w14:schemeClr w14:val="tx1"/>
            </w14:solidFill>
          </w14:textFill>
        </w:rPr>
        <w:t>32N/mm</w:t>
      </w:r>
      <w:r>
        <w:rPr>
          <w:rFonts w:ascii="宋体" w:cs="宋体"/>
          <w:b w:val="0"/>
          <w:bCs w:val="0"/>
          <w:color w:val="000000" w:themeColor="text1"/>
          <w:spacing w:val="0"/>
          <w:sz w:val="24"/>
          <w:szCs w:val="24"/>
          <w:highlight w:val="none"/>
          <w14:textFill>
            <w14:solidFill>
              <w14:schemeClr w14:val="tx1"/>
            </w14:solidFill>
          </w14:textFill>
        </w:rPr>
        <w:t>；</w:t>
      </w:r>
      <w:r>
        <w:rPr>
          <w:rFonts w:hint="eastAsia" w:ascii="宋体" w:cs="宋体"/>
          <w:b w:val="0"/>
          <w:bCs w:val="0"/>
          <w:color w:val="000000" w:themeColor="text1"/>
          <w:spacing w:val="0"/>
          <w:sz w:val="24"/>
          <w:szCs w:val="24"/>
          <w:highlight w:val="none"/>
          <w14:textFill>
            <w14:solidFill>
              <w14:schemeClr w14:val="tx1"/>
            </w14:solidFill>
          </w14:textFill>
        </w:rPr>
        <w:t>（GB/T529-2009方法B程序（a））</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回弹性：52%</w:t>
      </w:r>
      <w:r>
        <w:rPr>
          <w:rFonts w:ascii="宋体" w:cs="宋体"/>
          <w:b w:val="0"/>
          <w:bCs w:val="0"/>
          <w:color w:val="000000" w:themeColor="text1"/>
          <w:spacing w:val="0"/>
          <w:sz w:val="24"/>
          <w:szCs w:val="24"/>
          <w:highlight w:val="none"/>
          <w14:textFill>
            <w14:solidFill>
              <w14:schemeClr w14:val="tx1"/>
            </w14:solidFill>
          </w14:textFill>
        </w:rPr>
        <w:t>；</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GB/T16</w:t>
      </w:r>
      <w:r>
        <w:rPr>
          <w:rFonts w:hint="eastAsia" w:ascii="宋体" w:cs="宋体"/>
          <w:b w:val="0"/>
          <w:bCs w:val="0"/>
          <w:color w:val="000000" w:themeColor="text1"/>
          <w:spacing w:val="0"/>
          <w:sz w:val="24"/>
          <w:szCs w:val="24"/>
          <w:highlight w:val="none"/>
          <w14:textFill>
            <w14:solidFill>
              <w14:schemeClr w14:val="tx1"/>
            </w14:solidFill>
          </w14:textFill>
        </w:rPr>
        <w:t>81</w:t>
      </w:r>
      <w:r>
        <w:rPr>
          <w:rFonts w:ascii="宋体" w:cs="宋体"/>
          <w:b w:val="0"/>
          <w:bCs w:val="0"/>
          <w:color w:val="000000" w:themeColor="text1"/>
          <w:spacing w:val="0"/>
          <w:sz w:val="24"/>
          <w:szCs w:val="24"/>
          <w:highlight w:val="none"/>
          <w14:textFill>
            <w14:solidFill>
              <w14:schemeClr w14:val="tx1"/>
            </w14:solidFill>
          </w14:textFill>
        </w:rPr>
        <w:t>-20</w:t>
      </w:r>
      <w:r>
        <w:rPr>
          <w:rFonts w:hint="eastAsia" w:ascii="宋体" w:cs="宋体"/>
          <w:b w:val="0"/>
          <w:bCs w:val="0"/>
          <w:color w:val="000000" w:themeColor="text1"/>
          <w:spacing w:val="0"/>
          <w:sz w:val="24"/>
          <w:szCs w:val="24"/>
          <w:highlight w:val="none"/>
          <w14:textFill>
            <w14:solidFill>
              <w14:schemeClr w14:val="tx1"/>
            </w14:solidFill>
          </w14:textFill>
        </w:rPr>
        <w:t>09)</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压缩永久变形：11%；(</w:t>
      </w:r>
      <w:r>
        <w:rPr>
          <w:rFonts w:ascii="宋体" w:cs="宋体"/>
          <w:b w:val="0"/>
          <w:bCs w:val="0"/>
          <w:color w:val="000000" w:themeColor="text1"/>
          <w:spacing w:val="0"/>
          <w:sz w:val="24"/>
          <w:szCs w:val="24"/>
          <w:highlight w:val="none"/>
          <w14:textFill>
            <w14:solidFill>
              <w14:schemeClr w14:val="tx1"/>
            </w14:solidFill>
          </w14:textFill>
        </w:rPr>
        <w:t>GB/T16</w:t>
      </w:r>
      <w:r>
        <w:rPr>
          <w:rFonts w:hint="eastAsia" w:ascii="宋体" w:cs="宋体"/>
          <w:b w:val="0"/>
          <w:bCs w:val="0"/>
          <w:color w:val="000000" w:themeColor="text1"/>
          <w:spacing w:val="0"/>
          <w:sz w:val="24"/>
          <w:szCs w:val="24"/>
          <w:highlight w:val="none"/>
          <w14:textFill>
            <w14:solidFill>
              <w14:schemeClr w14:val="tx1"/>
            </w14:solidFill>
          </w14:textFill>
        </w:rPr>
        <w:t>81</w:t>
      </w:r>
      <w:r>
        <w:rPr>
          <w:rFonts w:ascii="宋体" w:cs="宋体"/>
          <w:b w:val="0"/>
          <w:bCs w:val="0"/>
          <w:color w:val="000000" w:themeColor="text1"/>
          <w:spacing w:val="0"/>
          <w:sz w:val="24"/>
          <w:szCs w:val="24"/>
          <w:highlight w:val="none"/>
          <w14:textFill>
            <w14:solidFill>
              <w14:schemeClr w14:val="tx1"/>
            </w14:solidFill>
          </w14:textFill>
        </w:rPr>
        <w:t>-20</w:t>
      </w:r>
      <w:r>
        <w:rPr>
          <w:rFonts w:hint="eastAsia" w:ascii="宋体" w:cs="宋体"/>
          <w:b w:val="0"/>
          <w:bCs w:val="0"/>
          <w:color w:val="000000" w:themeColor="text1"/>
          <w:spacing w:val="0"/>
          <w:sz w:val="24"/>
          <w:szCs w:val="24"/>
          <w:highlight w:val="none"/>
          <w14:textFill>
            <w14:solidFill>
              <w14:schemeClr w14:val="tx1"/>
            </w14:solidFill>
          </w14:textFill>
        </w:rPr>
        <w:t>09)</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耐去离子水</w:t>
      </w:r>
      <w:r>
        <w:rPr>
          <w:rFonts w:ascii="宋体" w:cs="宋体"/>
          <w:b w:val="0"/>
          <w:bCs w:val="0"/>
          <w:color w:val="000000" w:themeColor="text1"/>
          <w:spacing w:val="0"/>
          <w:sz w:val="24"/>
          <w:szCs w:val="24"/>
          <w:highlight w:val="none"/>
          <w14:textFill>
            <w14:solidFill>
              <w14:schemeClr w14:val="tx1"/>
            </w14:solidFill>
          </w14:textFill>
        </w:rPr>
        <w:t>：</w:t>
      </w:r>
      <w:r>
        <w:rPr>
          <w:rFonts w:hint="eastAsia" w:ascii="宋体" w:cs="宋体"/>
          <w:b w:val="0"/>
          <w:bCs w:val="0"/>
          <w:color w:val="000000" w:themeColor="text1"/>
          <w:spacing w:val="0"/>
          <w:sz w:val="24"/>
          <w:szCs w:val="24"/>
          <w:highlight w:val="none"/>
          <w14:textFill>
            <w14:solidFill>
              <w14:schemeClr w14:val="tx1"/>
            </w14:solidFill>
          </w14:textFill>
        </w:rPr>
        <w:t>体积变化率1.1%；质量变化率：0.7%；(</w:t>
      </w:r>
      <w:r>
        <w:rPr>
          <w:rFonts w:ascii="宋体" w:cs="宋体"/>
          <w:b w:val="0"/>
          <w:bCs w:val="0"/>
          <w:color w:val="000000" w:themeColor="text1"/>
          <w:spacing w:val="0"/>
          <w:sz w:val="24"/>
          <w:szCs w:val="24"/>
          <w:highlight w:val="none"/>
          <w14:textFill>
            <w14:solidFill>
              <w14:schemeClr w14:val="tx1"/>
            </w14:solidFill>
          </w14:textFill>
        </w:rPr>
        <w:t>GB/T1690-2010</w:t>
      </w:r>
      <w:r>
        <w:rPr>
          <w:rFonts w:hint="eastAsia" w:ascii="宋体" w:cs="宋体"/>
          <w:b w:val="0"/>
          <w:bCs w:val="0"/>
          <w:color w:val="000000" w:themeColor="text1"/>
          <w:spacing w:val="0"/>
          <w:sz w:val="24"/>
          <w:szCs w:val="24"/>
          <w:highlight w:val="none"/>
          <w14:textFill>
            <w14:solidFill>
              <w14:schemeClr w14:val="tx1"/>
            </w14:solidFill>
          </w14:textFill>
        </w:rPr>
        <w:t>全浸试验，GB/T528-2009)</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耐H2SO4溶液：断裂伸长率变化率2.0%，合格；(</w:t>
      </w:r>
      <w:r>
        <w:rPr>
          <w:rFonts w:ascii="宋体" w:cs="宋体"/>
          <w:b w:val="0"/>
          <w:bCs w:val="0"/>
          <w:color w:val="000000" w:themeColor="text1"/>
          <w:spacing w:val="0"/>
          <w:sz w:val="24"/>
          <w:szCs w:val="24"/>
          <w:highlight w:val="none"/>
          <w14:textFill>
            <w14:solidFill>
              <w14:schemeClr w14:val="tx1"/>
            </w14:solidFill>
          </w14:textFill>
        </w:rPr>
        <w:t>GB/T1690-2010</w:t>
      </w:r>
      <w:r>
        <w:rPr>
          <w:rFonts w:hint="eastAsia" w:ascii="宋体" w:cs="宋体"/>
          <w:b w:val="0"/>
          <w:bCs w:val="0"/>
          <w:color w:val="000000" w:themeColor="text1"/>
          <w:spacing w:val="0"/>
          <w:sz w:val="24"/>
          <w:szCs w:val="24"/>
          <w:highlight w:val="none"/>
          <w14:textFill>
            <w14:solidFill>
              <w14:schemeClr w14:val="tx1"/>
            </w14:solidFill>
          </w14:textFill>
        </w:rPr>
        <w:t>全浸试验，GB/T528-2009)</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耐Na</w:t>
      </w:r>
      <w:r>
        <w:rPr>
          <w:rFonts w:ascii="宋体" w:cs="宋体"/>
          <w:b w:val="0"/>
          <w:bCs w:val="0"/>
          <w:color w:val="000000" w:themeColor="text1"/>
          <w:spacing w:val="0"/>
          <w:sz w:val="24"/>
          <w:szCs w:val="24"/>
          <w:highlight w:val="none"/>
          <w14:textFill>
            <w14:solidFill>
              <w14:schemeClr w14:val="tx1"/>
            </w14:solidFill>
          </w14:textFill>
        </w:rPr>
        <w:t>OH</w:t>
      </w:r>
      <w:r>
        <w:rPr>
          <w:rFonts w:hint="eastAsia" w:ascii="宋体" w:cs="宋体"/>
          <w:b w:val="0"/>
          <w:bCs w:val="0"/>
          <w:color w:val="000000" w:themeColor="text1"/>
          <w:spacing w:val="0"/>
          <w:sz w:val="24"/>
          <w:szCs w:val="24"/>
          <w:highlight w:val="none"/>
          <w14:textFill>
            <w14:solidFill>
              <w14:schemeClr w14:val="tx1"/>
            </w14:solidFill>
          </w14:textFill>
        </w:rPr>
        <w:t>溶液：断裂伸长率变化率5.0%，合格；(</w:t>
      </w:r>
      <w:r>
        <w:rPr>
          <w:rFonts w:ascii="宋体" w:cs="宋体"/>
          <w:b w:val="0"/>
          <w:bCs w:val="0"/>
          <w:color w:val="000000" w:themeColor="text1"/>
          <w:spacing w:val="0"/>
          <w:sz w:val="24"/>
          <w:szCs w:val="24"/>
          <w:highlight w:val="none"/>
          <w14:textFill>
            <w14:solidFill>
              <w14:schemeClr w14:val="tx1"/>
            </w14:solidFill>
          </w14:textFill>
        </w:rPr>
        <w:t>GB/T1690-2010</w:t>
      </w:r>
      <w:r>
        <w:rPr>
          <w:rFonts w:hint="eastAsia" w:ascii="宋体" w:cs="宋体"/>
          <w:b w:val="0"/>
          <w:bCs w:val="0"/>
          <w:color w:val="000000" w:themeColor="text1"/>
          <w:spacing w:val="0"/>
          <w:sz w:val="24"/>
          <w:szCs w:val="24"/>
          <w:highlight w:val="none"/>
          <w14:textFill>
            <w14:solidFill>
              <w14:schemeClr w14:val="tx1"/>
            </w14:solidFill>
          </w14:textFill>
        </w:rPr>
        <w:t>全浸试验，GB/T528-2009)</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耐H2SO4溶液：断裂伸长率变化率2.0%，合格；(</w:t>
      </w:r>
      <w:r>
        <w:rPr>
          <w:rFonts w:ascii="宋体" w:cs="宋体"/>
          <w:b w:val="0"/>
          <w:bCs w:val="0"/>
          <w:color w:val="000000" w:themeColor="text1"/>
          <w:spacing w:val="0"/>
          <w:sz w:val="24"/>
          <w:szCs w:val="24"/>
          <w:highlight w:val="none"/>
          <w14:textFill>
            <w14:solidFill>
              <w14:schemeClr w14:val="tx1"/>
            </w14:solidFill>
          </w14:textFill>
        </w:rPr>
        <w:t>GB/T1690-2010</w:t>
      </w:r>
      <w:r>
        <w:rPr>
          <w:rFonts w:hint="eastAsia" w:ascii="宋体" w:cs="宋体"/>
          <w:b w:val="0"/>
          <w:bCs w:val="0"/>
          <w:color w:val="000000" w:themeColor="text1"/>
          <w:spacing w:val="0"/>
          <w:sz w:val="24"/>
          <w:szCs w:val="24"/>
          <w:highlight w:val="none"/>
          <w14:textFill>
            <w14:solidFill>
              <w14:schemeClr w14:val="tx1"/>
            </w14:solidFill>
          </w14:textFill>
        </w:rPr>
        <w:t>全浸试验，GB/T528-2009)</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耐IRM901油：质量变化率5.2%，合格；(</w:t>
      </w:r>
      <w:r>
        <w:rPr>
          <w:rFonts w:ascii="宋体" w:cs="宋体"/>
          <w:b w:val="0"/>
          <w:bCs w:val="0"/>
          <w:color w:val="000000" w:themeColor="text1"/>
          <w:spacing w:val="0"/>
          <w:sz w:val="24"/>
          <w:szCs w:val="24"/>
          <w:highlight w:val="none"/>
          <w14:textFill>
            <w14:solidFill>
              <w14:schemeClr w14:val="tx1"/>
            </w14:solidFill>
          </w14:textFill>
        </w:rPr>
        <w:t>GB/T1690-2010</w:t>
      </w:r>
      <w:r>
        <w:rPr>
          <w:rFonts w:hint="eastAsia" w:ascii="宋体" w:cs="宋体"/>
          <w:b w:val="0"/>
          <w:bCs w:val="0"/>
          <w:color w:val="000000" w:themeColor="text1"/>
          <w:spacing w:val="0"/>
          <w:sz w:val="24"/>
          <w:szCs w:val="24"/>
          <w:highlight w:val="none"/>
          <w14:textFill>
            <w14:solidFill>
              <w14:schemeClr w14:val="tx1"/>
            </w14:solidFill>
          </w14:textFill>
        </w:rPr>
        <w:t>全浸试验，GB/T528-2009)</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bookmarkStart w:id="80" w:name="_Toc29495"/>
      <w:bookmarkStart w:id="81" w:name="_Toc166253697"/>
      <w:bookmarkStart w:id="82" w:name="_Toc3030"/>
      <w:r>
        <w:rPr>
          <w:rFonts w:hint="eastAsia" w:ascii="宋体" w:cs="宋体"/>
          <w:b w:val="0"/>
          <w:bCs w:val="0"/>
          <w:color w:val="000000" w:themeColor="text1"/>
          <w:spacing w:val="0"/>
          <w:sz w:val="24"/>
          <w:szCs w:val="24"/>
          <w:highlight w:val="none"/>
          <w14:textFill>
            <w14:solidFill>
              <w14:schemeClr w14:val="tx1"/>
            </w14:solidFill>
          </w14:textFill>
        </w:rPr>
        <w:t>3）.底盘支撑体及Snappy鞍座</w:t>
      </w:r>
      <w:bookmarkEnd w:id="80"/>
      <w:bookmarkEnd w:id="81"/>
      <w:bookmarkEnd w:id="82"/>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底盘</w:t>
      </w:r>
      <w:r>
        <w:rPr>
          <w:rFonts w:ascii="宋体" w:cs="宋体"/>
          <w:b w:val="0"/>
          <w:bCs w:val="0"/>
          <w:color w:val="000000" w:themeColor="text1"/>
          <w:spacing w:val="0"/>
          <w:sz w:val="24"/>
          <w:szCs w:val="24"/>
          <w:highlight w:val="none"/>
          <w14:textFill>
            <w14:solidFill>
              <w14:schemeClr w14:val="tx1"/>
            </w14:solidFill>
          </w14:textFill>
        </w:rPr>
        <w:t>支撑</w:t>
      </w:r>
      <w:r>
        <w:rPr>
          <w:rFonts w:hint="eastAsia" w:ascii="宋体" w:cs="宋体"/>
          <w:b w:val="0"/>
          <w:bCs w:val="0"/>
          <w:color w:val="000000" w:themeColor="text1"/>
          <w:spacing w:val="0"/>
          <w:sz w:val="24"/>
          <w:szCs w:val="24"/>
          <w:highlight w:val="none"/>
          <w14:textFill>
            <w14:solidFill>
              <w14:schemeClr w14:val="tx1"/>
            </w14:solidFill>
          </w14:textFill>
        </w:rPr>
        <w:t>体</w:t>
      </w:r>
      <w:r>
        <w:rPr>
          <w:rFonts w:ascii="宋体" w:cs="宋体"/>
          <w:b w:val="0"/>
          <w:bCs w:val="0"/>
          <w:color w:val="000000" w:themeColor="text1"/>
          <w:spacing w:val="0"/>
          <w:sz w:val="24"/>
          <w:szCs w:val="24"/>
          <w:highlight w:val="none"/>
          <w14:textFill>
            <w14:solidFill>
              <w14:schemeClr w14:val="tx1"/>
            </w14:solidFill>
          </w14:textFill>
        </w:rPr>
        <w:t>以ABS为材料制作。曝气器鞍座是由ABS或高强度的二型PVC和碳黑材料制作，防紫外线降解。所有塑胶材料均耐紫外线。</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w:t>
      </w:r>
      <w:r>
        <w:rPr>
          <w:rFonts w:ascii="宋体" w:cs="宋体"/>
          <w:b w:val="0"/>
          <w:bCs w:val="0"/>
          <w:color w:val="000000" w:themeColor="text1"/>
          <w:spacing w:val="0"/>
          <w:sz w:val="24"/>
          <w:szCs w:val="24"/>
          <w:highlight w:val="none"/>
          <w14:textFill>
            <w14:solidFill>
              <w14:schemeClr w14:val="tx1"/>
            </w14:solidFill>
          </w14:textFill>
        </w:rPr>
        <w:t>8</w:t>
      </w:r>
      <w:r>
        <w:rPr>
          <w:rFonts w:hint="eastAsia" w:ascii="宋体" w:cs="宋体"/>
          <w:b w:val="0"/>
          <w:bCs w:val="0"/>
          <w:color w:val="000000" w:themeColor="text1"/>
          <w:spacing w:val="0"/>
          <w:sz w:val="24"/>
          <w:szCs w:val="24"/>
          <w:highlight w:val="none"/>
          <w14:textFill>
            <w14:solidFill>
              <w14:schemeClr w14:val="tx1"/>
            </w14:solidFill>
          </w14:textFill>
        </w:rPr>
        <w:t>.3安装要求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（1）按照标准GB50231《机械设备安装工程施工及验收通用规范》以及GB50236《现场设备、工业管道焊接工程施工及验收规范》进行设备安装及检验;</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（2）曝气器固定支座安装前要认真清理曝气池底，按照设计图纸定位、放线、钻孔，确保螺栓孔在一条直线上;</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（3）曝气器按安装图纸打孔后应彻底清理内部异物;</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（4）同一组内的曝气器之间距离一致，其水平位置偏差不应超过10mm;</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（5）曝气器顶部应处于水平，高程偏差不应超过5mm;</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（6）曝气器组联接到下落管前，应用压缩空气清理布气管和下落管中的所有脏物。当紧固法兰时，一定要确保曝气器不移动;</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（7）布气管要用支托固定到池内墙壁或池底，确保布气管或法兰盘不受力;</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（8）排水管沿池壁固定时其固定支架的间距最大为1500cm，两端距离不得大于50cm;</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（9）曝气器安装完毕后应立即进行泄漏试验。若无法立即进行泄漏试验时，应向曝气池中注入清水，确保清水水面至少高出曝气器2m，严禁曝晒;</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（10）安装过程中及安装完毕后应保持曝气器清洁，尽量避免非金属重物、残渣等落入池内;</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（11）安装曝气器时，不允许施工人员坐在布气管路上进行操作;</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管道粘接时固定用的铁丝等在管道粘接牢固后必须拆除，且应清除至池外，防止膜片被铁屑损坏。</w:t>
      </w:r>
    </w:p>
    <w:p>
      <w:pPr>
        <w:spacing w:line="360" w:lineRule="auto"/>
        <w:ind w:left="239" w:leftChars="114" w:right="238" w:firstLine="480" w:firstLineChars="200"/>
        <w:jc w:val="both"/>
        <w:rPr>
          <w:rFonts w:ascii="宋体" w:cs="宋体"/>
          <w:bCs w:val="0"/>
          <w:color w:val="000000" w:themeColor="text1"/>
          <w:spacing w:val="0"/>
          <w:sz w:val="24"/>
          <w:szCs w:val="24"/>
          <w:highlight w:val="none"/>
          <w14:textFill>
            <w14:solidFill>
              <w14:schemeClr w14:val="tx1"/>
            </w14:solidFill>
          </w14:textFill>
        </w:rPr>
      </w:pPr>
      <w:r>
        <w:rPr>
          <w:rFonts w:hint="eastAsia" w:ascii="宋体" w:cs="宋体"/>
          <w:bCs w:val="0"/>
          <w:color w:val="000000" w:themeColor="text1"/>
          <w:spacing w:val="0"/>
          <w:sz w:val="24"/>
          <w:szCs w:val="24"/>
          <w:highlight w:val="none"/>
          <w14:textFill>
            <w14:solidFill>
              <w14:schemeClr w14:val="tx1"/>
            </w14:solidFill>
          </w14:textFill>
        </w:rPr>
        <w:t>2.</w:t>
      </w:r>
      <w:r>
        <w:rPr>
          <w:rFonts w:ascii="宋体" w:cs="宋体"/>
          <w:bCs w:val="0"/>
          <w:color w:val="000000" w:themeColor="text1"/>
          <w:spacing w:val="0"/>
          <w:sz w:val="24"/>
          <w:szCs w:val="24"/>
          <w:highlight w:val="none"/>
          <w14:textFill>
            <w14:solidFill>
              <w14:schemeClr w14:val="tx1"/>
            </w14:solidFill>
          </w14:textFill>
        </w:rPr>
        <w:t>8</w:t>
      </w:r>
      <w:r>
        <w:rPr>
          <w:rFonts w:hint="eastAsia" w:ascii="宋体" w:cs="宋体"/>
          <w:bCs w:val="0"/>
          <w:color w:val="000000" w:themeColor="text1"/>
          <w:spacing w:val="0"/>
          <w:sz w:val="24"/>
          <w:szCs w:val="24"/>
          <w:highlight w:val="none"/>
          <w14:textFill>
            <w14:solidFill>
              <w14:schemeClr w14:val="tx1"/>
            </w14:solidFill>
          </w14:textFill>
        </w:rPr>
        <w:t>.4调试与试运行</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曝气系统安装完毕后进行泄漏试验，保证所有管路系统、阀门均无任何泄漏。试验用清水测试。曝气器密封性能测定按CJ/T3015.4中相关条款进行;</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供气正常时，整个曝气系统曝气均匀。检测试验分别按管顶10公分、50公分、1米及正常运行液位至少4次进行;</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曝气性能测试条件、充氧能力、理论动力效率达到要求。布气均匀，曝气头无堵塞现象。</w:t>
      </w:r>
    </w:p>
    <w:bookmarkEnd w:id="72"/>
    <w:p>
      <w:pPr>
        <w:spacing w:line="360" w:lineRule="auto"/>
        <w:ind w:left="239" w:leftChars="114" w:right="238" w:firstLine="480" w:firstLineChars="200"/>
        <w:jc w:val="both"/>
        <w:rPr>
          <w:rFonts w:ascii="宋体" w:cs="宋体"/>
          <w:bCs w:val="0"/>
          <w:color w:val="000000" w:themeColor="text1"/>
          <w:spacing w:val="0"/>
          <w:sz w:val="24"/>
          <w:szCs w:val="24"/>
          <w:highlight w:val="none"/>
          <w14:textFill>
            <w14:solidFill>
              <w14:schemeClr w14:val="tx1"/>
            </w14:solidFill>
          </w14:textFill>
        </w:rPr>
      </w:pPr>
      <w:r>
        <w:rPr>
          <w:rFonts w:hint="eastAsia" w:ascii="宋体" w:cs="宋体"/>
          <w:bCs w:val="0"/>
          <w:color w:val="000000" w:themeColor="text1"/>
          <w:spacing w:val="0"/>
          <w:sz w:val="24"/>
          <w:szCs w:val="24"/>
          <w:highlight w:val="none"/>
          <w14:textFill>
            <w14:solidFill>
              <w14:schemeClr w14:val="tx1"/>
            </w14:solidFill>
          </w14:textFill>
        </w:rPr>
        <w:t>2.</w:t>
      </w:r>
      <w:r>
        <w:rPr>
          <w:rFonts w:ascii="宋体" w:cs="宋体"/>
          <w:bCs w:val="0"/>
          <w:color w:val="000000" w:themeColor="text1"/>
          <w:spacing w:val="0"/>
          <w:sz w:val="24"/>
          <w:szCs w:val="24"/>
          <w:highlight w:val="none"/>
          <w14:textFill>
            <w14:solidFill>
              <w14:schemeClr w14:val="tx1"/>
            </w14:solidFill>
          </w14:textFill>
        </w:rPr>
        <w:t>9、</w:t>
      </w:r>
      <w:r>
        <w:rPr>
          <w:rFonts w:hint="eastAsia" w:ascii="宋体" w:cs="宋体"/>
          <w:bCs w:val="0"/>
          <w:color w:val="000000" w:themeColor="text1"/>
          <w:spacing w:val="0"/>
          <w:sz w:val="24"/>
          <w:szCs w:val="24"/>
          <w:highlight w:val="none"/>
          <w14:textFill>
            <w14:solidFill>
              <w14:schemeClr w14:val="tx1"/>
            </w14:solidFill>
          </w14:textFill>
        </w:rPr>
        <w:t>污泥浓缩池清理及防腐</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对沉积满池的污泥浓缩池进行全面清理，清理完毕后进行池壁防腐，污泥运送至招标方指定位置。</w:t>
      </w:r>
    </w:p>
    <w:p>
      <w:pPr>
        <w:spacing w:line="360" w:lineRule="auto"/>
        <w:ind w:left="239" w:leftChars="114" w:right="238" w:firstLine="480" w:firstLineChars="200"/>
        <w:jc w:val="both"/>
        <w:rPr>
          <w:rFonts w:ascii="宋体" w:cs="宋体"/>
          <w:bCs w:val="0"/>
          <w:color w:val="000000" w:themeColor="text1"/>
          <w:spacing w:val="0"/>
          <w:sz w:val="24"/>
          <w:szCs w:val="24"/>
          <w:highlight w:val="none"/>
          <w14:textFill>
            <w14:solidFill>
              <w14:schemeClr w14:val="tx1"/>
            </w14:solidFill>
          </w14:textFill>
        </w:rPr>
      </w:pPr>
      <w:r>
        <w:rPr>
          <w:rFonts w:hint="eastAsia" w:ascii="宋体" w:cs="宋体"/>
          <w:bCs w:val="0"/>
          <w:color w:val="000000" w:themeColor="text1"/>
          <w:spacing w:val="0"/>
          <w:sz w:val="24"/>
          <w:szCs w:val="24"/>
          <w:highlight w:val="none"/>
          <w14:textFill>
            <w14:solidFill>
              <w14:schemeClr w14:val="tx1"/>
            </w14:solidFill>
          </w14:textFill>
        </w:rPr>
        <w:t>2.</w:t>
      </w:r>
      <w:r>
        <w:rPr>
          <w:rFonts w:ascii="宋体" w:cs="宋体"/>
          <w:bCs w:val="0"/>
          <w:color w:val="000000" w:themeColor="text1"/>
          <w:spacing w:val="0"/>
          <w:sz w:val="24"/>
          <w:szCs w:val="24"/>
          <w:highlight w:val="none"/>
          <w14:textFill>
            <w14:solidFill>
              <w14:schemeClr w14:val="tx1"/>
            </w14:solidFill>
          </w14:textFill>
        </w:rPr>
        <w:t>10、控制系统</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1</w:t>
      </w:r>
      <w:r>
        <w:rPr>
          <w:rFonts w:hint="eastAsia" w:ascii="宋体" w:cs="宋体"/>
          <w:b w:val="0"/>
          <w:bCs w:val="0"/>
          <w:color w:val="000000" w:themeColor="text1"/>
          <w:spacing w:val="0"/>
          <w:sz w:val="24"/>
          <w:szCs w:val="24"/>
          <w:highlight w:val="none"/>
          <w14:textFill>
            <w14:solidFill>
              <w14:schemeClr w14:val="tx1"/>
            </w14:solidFill>
          </w14:textFill>
        </w:rPr>
        <w:t>）西门子</w:t>
      </w:r>
      <w:r>
        <w:rPr>
          <w:rFonts w:ascii="宋体" w:cs="宋体"/>
          <w:b w:val="0"/>
          <w:bCs w:val="0"/>
          <w:color w:val="000000" w:themeColor="text1"/>
          <w:spacing w:val="0"/>
          <w:sz w:val="24"/>
          <w:szCs w:val="24"/>
          <w:highlight w:val="none"/>
          <w14:textFill>
            <w14:solidFill>
              <w14:schemeClr w14:val="tx1"/>
            </w14:solidFill>
          </w14:textFill>
        </w:rPr>
        <w:t>300通讯模块</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西门子</w:t>
      </w:r>
      <w:r>
        <w:rPr>
          <w:rFonts w:ascii="宋体" w:cs="宋体"/>
          <w:b w:val="0"/>
          <w:bCs w:val="0"/>
          <w:color w:val="000000" w:themeColor="text1"/>
          <w:spacing w:val="0"/>
          <w:sz w:val="24"/>
          <w:szCs w:val="24"/>
          <w:highlight w:val="none"/>
          <w14:textFill>
            <w14:solidFill>
              <w14:schemeClr w14:val="tx1"/>
            </w14:solidFill>
          </w14:textFill>
        </w:rPr>
        <w:t>300通讯模块</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6GK7343-1EX30-0XE0</w:t>
      </w:r>
      <w:r>
        <w:rPr>
          <w:rFonts w:hint="eastAsia" w:ascii="宋体" w:cs="宋体"/>
          <w:b w:val="0"/>
          <w:bCs w:val="0"/>
          <w:color w:val="000000" w:themeColor="text1"/>
          <w:spacing w:val="0"/>
          <w:sz w:val="24"/>
          <w:szCs w:val="24"/>
          <w:highlight w:val="none"/>
          <w14:textFill>
            <w14:solidFill>
              <w14:schemeClr w14:val="tx1"/>
            </w14:solidFill>
          </w14:textFill>
        </w:rPr>
        <w:t>，数量：1块。</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原</w:t>
      </w:r>
      <w:r>
        <w:rPr>
          <w:rFonts w:ascii="宋体" w:cs="宋体"/>
          <w:b w:val="0"/>
          <w:bCs w:val="0"/>
          <w:color w:val="000000" w:themeColor="text1"/>
          <w:spacing w:val="0"/>
          <w:sz w:val="24"/>
          <w:szCs w:val="24"/>
          <w:highlight w:val="none"/>
          <w14:textFill>
            <w14:solidFill>
              <w14:schemeClr w14:val="tx1"/>
            </w14:solidFill>
          </w14:textFill>
        </w:rPr>
        <w:t>PLC控制系统CPU模块为315-2DP，使用DP通讯方式，需要改造为可用RJ45网口通讯形式，方便增加上位机监控。控制系统至少需设置三级权限操作，需要输入密码登录才前进行有关的操作。现场成套设备的自动控制系统，需要实现与本PLC通讯，实现成套状态监控及紧急停车功能。</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w:t>
      </w:r>
      <w:r>
        <w:rPr>
          <w:rFonts w:ascii="宋体" w:cs="宋体"/>
          <w:b w:val="0"/>
          <w:bCs w:val="0"/>
          <w:color w:val="000000" w:themeColor="text1"/>
          <w:spacing w:val="0"/>
          <w:sz w:val="24"/>
          <w:szCs w:val="24"/>
          <w:highlight w:val="none"/>
          <w14:textFill>
            <w14:solidFill>
              <w14:schemeClr w14:val="tx1"/>
            </w14:solidFill>
          </w14:textFill>
        </w:rPr>
        <w:t>监控上位机</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本系改造需要增加监控上位机1台，配置最低要求：</w:t>
      </w:r>
      <w:r>
        <w:rPr>
          <w:rFonts w:ascii="宋体" w:cs="宋体"/>
          <w:b w:val="0"/>
          <w:bCs w:val="0"/>
          <w:color w:val="000000" w:themeColor="text1"/>
          <w:spacing w:val="0"/>
          <w:sz w:val="24"/>
          <w:szCs w:val="24"/>
          <w:highlight w:val="none"/>
          <w14:textFill>
            <w14:solidFill>
              <w14:schemeClr w14:val="tx1"/>
            </w14:solidFill>
          </w14:textFill>
        </w:rPr>
        <w:t>CPU为I7，</w:t>
      </w:r>
      <w:r>
        <w:rPr>
          <w:rFonts w:hint="eastAsia" w:ascii="宋体" w:cs="宋体"/>
          <w:b w:val="0"/>
          <w:bCs w:val="0"/>
          <w:color w:val="000000" w:themeColor="text1"/>
          <w:spacing w:val="0"/>
          <w:sz w:val="24"/>
          <w:szCs w:val="24"/>
          <w:highlight w:val="none"/>
          <w14:textFill>
            <w14:solidFill>
              <w14:schemeClr w14:val="tx1"/>
            </w14:solidFill>
          </w14:textFill>
        </w:rPr>
        <w:t>16</w:t>
      </w:r>
      <w:r>
        <w:rPr>
          <w:rFonts w:ascii="宋体" w:cs="宋体"/>
          <w:b w:val="0"/>
          <w:bCs w:val="0"/>
          <w:color w:val="000000" w:themeColor="text1"/>
          <w:spacing w:val="0"/>
          <w:sz w:val="24"/>
          <w:szCs w:val="24"/>
          <w:highlight w:val="none"/>
          <w14:textFill>
            <w14:solidFill>
              <w14:schemeClr w14:val="tx1"/>
            </w14:solidFill>
          </w14:textFill>
        </w:rPr>
        <w:t>G内存，</w:t>
      </w:r>
      <w:r>
        <w:rPr>
          <w:rFonts w:hint="eastAsia" w:ascii="宋体" w:cs="宋体"/>
          <w:b w:val="0"/>
          <w:bCs w:val="0"/>
          <w:color w:val="000000" w:themeColor="text1"/>
          <w:spacing w:val="0"/>
          <w:sz w:val="24"/>
          <w:szCs w:val="24"/>
          <w:highlight w:val="none"/>
          <w14:textFill>
            <w14:solidFill>
              <w14:schemeClr w14:val="tx1"/>
            </w14:solidFill>
          </w14:textFill>
        </w:rPr>
        <w:t>2G独立显卡，</w:t>
      </w:r>
      <w:r>
        <w:rPr>
          <w:rFonts w:ascii="宋体" w:cs="宋体"/>
          <w:b w:val="0"/>
          <w:bCs w:val="0"/>
          <w:color w:val="000000" w:themeColor="text1"/>
          <w:spacing w:val="0"/>
          <w:sz w:val="24"/>
          <w:szCs w:val="24"/>
          <w:highlight w:val="none"/>
          <w14:textFill>
            <w14:solidFill>
              <w14:schemeClr w14:val="tx1"/>
            </w14:solidFill>
          </w14:textFill>
        </w:rPr>
        <w:t>1T固态硬盘，2</w:t>
      </w:r>
      <w:r>
        <w:rPr>
          <w:rFonts w:hint="eastAsia" w:ascii="宋体" w:cs="宋体"/>
          <w:b w:val="0"/>
          <w:bCs w:val="0"/>
          <w:color w:val="000000" w:themeColor="text1"/>
          <w:spacing w:val="0"/>
          <w:sz w:val="24"/>
          <w:szCs w:val="24"/>
          <w:highlight w:val="none"/>
          <w14:textFill>
            <w14:solidFill>
              <w14:schemeClr w14:val="tx1"/>
            </w14:solidFill>
          </w14:textFill>
        </w:rPr>
        <w:t>7</w:t>
      </w:r>
      <w:r>
        <w:rPr>
          <w:rFonts w:ascii="宋体" w:cs="宋体"/>
          <w:b w:val="0"/>
          <w:bCs w:val="0"/>
          <w:color w:val="000000" w:themeColor="text1"/>
          <w:spacing w:val="0"/>
          <w:sz w:val="24"/>
          <w:szCs w:val="24"/>
          <w:highlight w:val="none"/>
          <w14:textFill>
            <w14:solidFill>
              <w14:schemeClr w14:val="tx1"/>
            </w14:solidFill>
          </w14:textFill>
        </w:rPr>
        <w:t>寸</w:t>
      </w:r>
      <w:r>
        <w:rPr>
          <w:rFonts w:hint="eastAsia" w:ascii="宋体" w:cs="宋体"/>
          <w:b w:val="0"/>
          <w:bCs w:val="0"/>
          <w:color w:val="000000" w:themeColor="text1"/>
          <w:spacing w:val="0"/>
          <w:sz w:val="24"/>
          <w:szCs w:val="24"/>
          <w:highlight w:val="none"/>
          <w14:textFill>
            <w14:solidFill>
              <w14:schemeClr w14:val="tx1"/>
            </w14:solidFill>
          </w14:textFill>
        </w:rPr>
        <w:t>2K</w:t>
      </w:r>
      <w:r>
        <w:rPr>
          <w:rFonts w:ascii="宋体" w:cs="宋体"/>
          <w:b w:val="0"/>
          <w:bCs w:val="0"/>
          <w:color w:val="000000" w:themeColor="text1"/>
          <w:spacing w:val="0"/>
          <w:sz w:val="24"/>
          <w:szCs w:val="24"/>
          <w:highlight w:val="none"/>
          <w14:textFill>
            <w14:solidFill>
              <w14:schemeClr w14:val="tx1"/>
            </w14:solidFill>
          </w14:textFill>
        </w:rPr>
        <w:t>显示器，采用研华工控机或联想、惠普等一线品牌商用机。</w:t>
      </w:r>
      <w:r>
        <w:rPr>
          <w:rFonts w:hint="eastAsia" w:ascii="宋体" w:cs="宋体"/>
          <w:b w:val="0"/>
          <w:bCs w:val="0"/>
          <w:color w:val="000000" w:themeColor="text1"/>
          <w:spacing w:val="0"/>
          <w:sz w:val="24"/>
          <w:szCs w:val="24"/>
          <w:highlight w:val="none"/>
          <w14:textFill>
            <w14:solidFill>
              <w14:schemeClr w14:val="tx1"/>
            </w14:solidFill>
          </w14:textFill>
        </w:rPr>
        <w:t>Windows10专业版及所需Office2016等其它软件.</w:t>
      </w:r>
      <w:r>
        <w:rPr>
          <w:rFonts w:ascii="宋体" w:cs="宋体"/>
          <w:b w:val="0"/>
          <w:bCs w:val="0"/>
          <w:color w:val="000000" w:themeColor="text1"/>
          <w:spacing w:val="0"/>
          <w:sz w:val="24"/>
          <w:szCs w:val="24"/>
          <w:highlight w:val="none"/>
          <w14:textFill>
            <w14:solidFill>
              <w14:schemeClr w14:val="tx1"/>
            </w14:solidFill>
          </w14:textFill>
        </w:rPr>
        <w:t>画面包括：</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ab/>
      </w:r>
      <w:r>
        <w:rPr>
          <w:rFonts w:ascii="宋体" w:cs="宋体"/>
          <w:b w:val="0"/>
          <w:bCs w:val="0"/>
          <w:color w:val="000000" w:themeColor="text1"/>
          <w:spacing w:val="0"/>
          <w:sz w:val="24"/>
          <w:szCs w:val="24"/>
          <w:highlight w:val="none"/>
          <w14:textFill>
            <w14:solidFill>
              <w14:schemeClr w14:val="tx1"/>
            </w14:solidFill>
          </w14:textFill>
        </w:rPr>
        <w:t>工艺流程总图、自控系统总图</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ab/>
      </w:r>
      <w:r>
        <w:rPr>
          <w:rFonts w:ascii="宋体" w:cs="宋体"/>
          <w:b w:val="0"/>
          <w:bCs w:val="0"/>
          <w:color w:val="000000" w:themeColor="text1"/>
          <w:spacing w:val="0"/>
          <w:sz w:val="24"/>
          <w:szCs w:val="24"/>
          <w:highlight w:val="none"/>
          <w14:textFill>
            <w14:solidFill>
              <w14:schemeClr w14:val="tx1"/>
            </w14:solidFill>
          </w14:textFill>
        </w:rPr>
        <w:t>实时曲线</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ab/>
      </w:r>
      <w:r>
        <w:rPr>
          <w:rFonts w:ascii="宋体" w:cs="宋体"/>
          <w:b w:val="0"/>
          <w:bCs w:val="0"/>
          <w:color w:val="000000" w:themeColor="text1"/>
          <w:spacing w:val="0"/>
          <w:sz w:val="24"/>
          <w:szCs w:val="24"/>
          <w:highlight w:val="none"/>
          <w14:textFill>
            <w14:solidFill>
              <w14:schemeClr w14:val="tx1"/>
            </w14:solidFill>
          </w14:textFill>
        </w:rPr>
        <w:t>历史曲线</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ab/>
      </w:r>
      <w:r>
        <w:rPr>
          <w:rFonts w:ascii="宋体" w:cs="宋体"/>
          <w:b w:val="0"/>
          <w:bCs w:val="0"/>
          <w:color w:val="000000" w:themeColor="text1"/>
          <w:spacing w:val="0"/>
          <w:sz w:val="24"/>
          <w:szCs w:val="24"/>
          <w:highlight w:val="none"/>
          <w14:textFill>
            <w14:solidFill>
              <w14:schemeClr w14:val="tx1"/>
            </w14:solidFill>
          </w14:textFill>
        </w:rPr>
        <w:t>参数设置</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ab/>
      </w:r>
      <w:r>
        <w:rPr>
          <w:rFonts w:ascii="宋体" w:cs="宋体"/>
          <w:b w:val="0"/>
          <w:bCs w:val="0"/>
          <w:color w:val="000000" w:themeColor="text1"/>
          <w:spacing w:val="0"/>
          <w:sz w:val="24"/>
          <w:szCs w:val="24"/>
          <w:highlight w:val="none"/>
          <w14:textFill>
            <w14:solidFill>
              <w14:schemeClr w14:val="tx1"/>
            </w14:solidFill>
          </w14:textFill>
        </w:rPr>
        <w:t>参数显示</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ab/>
      </w:r>
      <w:r>
        <w:rPr>
          <w:rFonts w:ascii="宋体" w:cs="宋体"/>
          <w:b w:val="0"/>
          <w:bCs w:val="0"/>
          <w:color w:val="000000" w:themeColor="text1"/>
          <w:spacing w:val="0"/>
          <w:sz w:val="24"/>
          <w:szCs w:val="24"/>
          <w:highlight w:val="none"/>
          <w14:textFill>
            <w14:solidFill>
              <w14:schemeClr w14:val="tx1"/>
            </w14:solidFill>
          </w14:textFill>
        </w:rPr>
        <w:t>报表显示及打印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ab/>
      </w:r>
      <w:r>
        <w:rPr>
          <w:rFonts w:ascii="宋体" w:cs="宋体"/>
          <w:b w:val="0"/>
          <w:bCs w:val="0"/>
          <w:color w:val="000000" w:themeColor="text1"/>
          <w:spacing w:val="0"/>
          <w:sz w:val="24"/>
          <w:szCs w:val="24"/>
          <w:highlight w:val="none"/>
          <w14:textFill>
            <w14:solidFill>
              <w14:schemeClr w14:val="tx1"/>
            </w14:solidFill>
          </w14:textFill>
        </w:rPr>
        <w:t>各主要设备的状态和回路图</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监控画面可以分级展开，从主画面可以进入相应的子画面，以及进一步到单体。动态图形及实时数据显示大屏幕上动态实时显示系统工艺流程、工艺设备运行状态、加药等过程控制的运行趋势、各工序工艺和电气等生产数据（包含但不限于水、电、汽），使生产管理人员掌握当前系统运行情况，能从总图到详图多层次监测。</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（2）编程调试：</w:t>
      </w:r>
      <w:r>
        <w:rPr>
          <w:rFonts w:ascii="宋体" w:cs="宋体"/>
          <w:b w:val="0"/>
          <w:bCs w:val="0"/>
          <w:color w:val="000000" w:themeColor="text1"/>
          <w:spacing w:val="0"/>
          <w:sz w:val="24"/>
          <w:szCs w:val="24"/>
          <w:highlight w:val="none"/>
          <w14:textFill>
            <w14:solidFill>
              <w14:schemeClr w14:val="tx1"/>
            </w14:solidFill>
          </w14:textFill>
        </w:rPr>
        <w:t>PLC编程和WINCC画面编程调试</w:t>
      </w:r>
      <w:r>
        <w:rPr>
          <w:rFonts w:hint="eastAsia" w:ascii="宋体" w:cs="宋体"/>
          <w:b w:val="0"/>
          <w:bCs w:val="0"/>
          <w:color w:val="000000" w:themeColor="text1"/>
          <w:spacing w:val="0"/>
          <w:sz w:val="24"/>
          <w:szCs w:val="24"/>
          <w:highlight w:val="none"/>
          <w14:textFill>
            <w14:solidFill>
              <w14:schemeClr w14:val="tx1"/>
            </w14:solidFill>
          </w14:textFill>
        </w:rPr>
        <w:t>，数量：1套。</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w:t>
      </w:r>
      <w:r>
        <w:rPr>
          <w:rFonts w:ascii="宋体" w:cs="宋体"/>
          <w:b w:val="0"/>
          <w:bCs w:val="0"/>
          <w:color w:val="000000" w:themeColor="text1"/>
          <w:spacing w:val="0"/>
          <w:sz w:val="24"/>
          <w:szCs w:val="24"/>
          <w:highlight w:val="none"/>
          <w14:textFill>
            <w14:solidFill>
              <w14:schemeClr w14:val="tx1"/>
            </w14:solidFill>
          </w14:textFill>
        </w:rPr>
        <w:t>交换机</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5口工业级</w:t>
      </w:r>
      <w:r>
        <w:rPr>
          <w:rFonts w:hint="eastAsia" w:ascii="宋体" w:cs="宋体"/>
          <w:b w:val="0"/>
          <w:bCs w:val="0"/>
          <w:color w:val="000000" w:themeColor="text1"/>
          <w:spacing w:val="0"/>
          <w:sz w:val="24"/>
          <w:szCs w:val="24"/>
          <w:highlight w:val="none"/>
          <w14:textFill>
            <w14:solidFill>
              <w14:schemeClr w14:val="tx1"/>
            </w14:solidFill>
          </w14:textFill>
        </w:rPr>
        <w:t>，数量：1台。使用工业级交换机，品牌采用华为、华三、</w:t>
      </w:r>
      <w:r>
        <w:rPr>
          <w:rFonts w:ascii="宋体" w:cs="宋体"/>
          <w:b w:val="0"/>
          <w:bCs w:val="0"/>
          <w:color w:val="000000" w:themeColor="text1"/>
          <w:spacing w:val="0"/>
          <w:sz w:val="24"/>
          <w:szCs w:val="24"/>
          <w:highlight w:val="none"/>
          <w14:textFill>
            <w14:solidFill>
              <w14:schemeClr w14:val="tx1"/>
            </w14:solidFill>
          </w14:textFill>
        </w:rPr>
        <w:t>TPlink等</w:t>
      </w:r>
      <w:r>
        <w:rPr>
          <w:rFonts w:hint="eastAsia" w:ascii="宋体" w:cs="宋体"/>
          <w:b w:val="0"/>
          <w:bCs w:val="0"/>
          <w:color w:val="000000" w:themeColor="text1"/>
          <w:spacing w:val="0"/>
          <w:sz w:val="24"/>
          <w:szCs w:val="24"/>
          <w:highlight w:val="none"/>
          <w14:textFill>
            <w14:solidFill>
              <w14:schemeClr w14:val="tx1"/>
            </w14:solidFill>
          </w14:textFill>
        </w:rPr>
        <w:t>知名品牌。</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2.</w:t>
      </w:r>
      <w:r>
        <w:rPr>
          <w:rFonts w:ascii="宋体" w:cs="宋体"/>
          <w:color w:val="000000" w:themeColor="text1"/>
          <w:spacing w:val="0"/>
          <w:sz w:val="24"/>
          <w:szCs w:val="24"/>
          <w:highlight w:val="none"/>
          <w14:textFill>
            <w14:solidFill>
              <w14:schemeClr w14:val="tx1"/>
            </w14:solidFill>
          </w14:textFill>
        </w:rPr>
        <w:t>11、电磁流量计</w:t>
      </w:r>
      <w:r>
        <w:rPr>
          <w:rFonts w:hint="eastAsia" w:ascii="宋体" w:cs="宋体"/>
          <w:color w:val="000000" w:themeColor="text1"/>
          <w:spacing w:val="0"/>
          <w:sz w:val="24"/>
          <w:szCs w:val="24"/>
          <w:highlight w:val="none"/>
          <w14:textFill>
            <w14:solidFill>
              <w14:schemeClr w14:val="tx1"/>
            </w14:solidFill>
          </w14:textFill>
        </w:rPr>
        <w:t>及水表</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规格</w:t>
      </w:r>
      <w:r>
        <w:rPr>
          <w:rFonts w:hint="eastAsia" w:ascii="宋体" w:cs="宋体"/>
          <w:b w:val="0"/>
          <w:bCs w:val="0"/>
          <w:color w:val="000000" w:themeColor="text1"/>
          <w:spacing w:val="0"/>
          <w:sz w:val="24"/>
          <w:szCs w:val="24"/>
          <w:highlight w:val="none"/>
          <w14:textFill>
            <w14:solidFill>
              <w14:schemeClr w14:val="tx1"/>
            </w14:solidFill>
          </w14:textFill>
        </w:rPr>
        <w:t>参数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测量介质:污水</w:t>
      </w:r>
      <w:r>
        <w:rPr>
          <w:rFonts w:hint="eastAsia" w:ascii="宋体" w:cs="宋体"/>
          <w:b w:val="0"/>
          <w:bCs w:val="0"/>
          <w:color w:val="000000" w:themeColor="text1"/>
          <w:spacing w:val="0"/>
          <w:sz w:val="24"/>
          <w:szCs w:val="24"/>
          <w:highlight w:val="none"/>
          <w14:textFill>
            <w14:solidFill>
              <w14:schemeClr w14:val="tx1"/>
            </w14:solidFill>
          </w14:textFill>
        </w:rPr>
        <w:t>、中水、自来水</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w:t>
      </w:r>
      <w:r>
        <w:rPr>
          <w:rFonts w:ascii="宋体" w:cs="宋体"/>
          <w:b w:val="0"/>
          <w:bCs w:val="0"/>
          <w:color w:val="000000" w:themeColor="text1"/>
          <w:spacing w:val="0"/>
          <w:sz w:val="24"/>
          <w:szCs w:val="24"/>
          <w:highlight w:val="none"/>
          <w14:textFill>
            <w14:solidFill>
              <w14:schemeClr w14:val="tx1"/>
            </w14:solidFill>
          </w14:textFill>
        </w:rPr>
        <w:t>精度等级:0.5</w:t>
      </w:r>
      <w:r>
        <w:rPr>
          <w:rFonts w:hint="eastAsia" w:ascii="宋体" w:cs="宋体"/>
          <w:b w:val="0"/>
          <w:bCs w:val="0"/>
          <w:color w:val="000000" w:themeColor="text1"/>
          <w:spacing w:val="0"/>
          <w:sz w:val="24"/>
          <w:szCs w:val="24"/>
          <w:highlight w:val="none"/>
          <w14:textFill>
            <w14:solidFill>
              <w14:schemeClr w14:val="tx1"/>
            </w14:solidFill>
          </w14:textFill>
        </w:rPr>
        <w:t>%</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w:t>
      </w:r>
      <w:r>
        <w:rPr>
          <w:rFonts w:ascii="宋体" w:cs="宋体"/>
          <w:b w:val="0"/>
          <w:bCs w:val="0"/>
          <w:color w:val="000000" w:themeColor="text1"/>
          <w:spacing w:val="0"/>
          <w:sz w:val="24"/>
          <w:szCs w:val="24"/>
          <w:highlight w:val="none"/>
          <w14:textFill>
            <w14:solidFill>
              <w14:schemeClr w14:val="tx1"/>
            </w14:solidFill>
          </w14:textFill>
        </w:rPr>
        <w:t>连接方式:法兰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4）</w:t>
      </w:r>
      <w:r>
        <w:rPr>
          <w:rFonts w:ascii="宋体" w:cs="宋体"/>
          <w:b w:val="0"/>
          <w:bCs w:val="0"/>
          <w:color w:val="000000" w:themeColor="text1"/>
          <w:spacing w:val="0"/>
          <w:sz w:val="24"/>
          <w:szCs w:val="24"/>
          <w:highlight w:val="none"/>
          <w14:textFill>
            <w14:solidFill>
              <w14:schemeClr w14:val="tx1"/>
            </w14:solidFill>
          </w14:textFill>
        </w:rPr>
        <w:t>仪表材质:碳钢</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w:t>
      </w:r>
      <w:r>
        <w:rPr>
          <w:rFonts w:ascii="宋体" w:cs="宋体"/>
          <w:b w:val="0"/>
          <w:bCs w:val="0"/>
          <w:color w:val="000000" w:themeColor="text1"/>
          <w:spacing w:val="0"/>
          <w:sz w:val="24"/>
          <w:szCs w:val="24"/>
          <w:highlight w:val="none"/>
          <w14:textFill>
            <w14:solidFill>
              <w14:schemeClr w14:val="tx1"/>
            </w14:solidFill>
          </w14:textFill>
        </w:rPr>
        <w:t>电极材质:316L</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6）</w:t>
      </w:r>
      <w:r>
        <w:rPr>
          <w:rFonts w:ascii="宋体" w:cs="宋体"/>
          <w:b w:val="0"/>
          <w:bCs w:val="0"/>
          <w:color w:val="000000" w:themeColor="text1"/>
          <w:spacing w:val="0"/>
          <w:sz w:val="24"/>
          <w:szCs w:val="24"/>
          <w:highlight w:val="none"/>
          <w14:textFill>
            <w14:solidFill>
              <w14:schemeClr w14:val="tx1"/>
            </w14:solidFill>
          </w14:textFill>
        </w:rPr>
        <w:t>衬里材质:PTFE</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7）</w:t>
      </w:r>
      <w:r>
        <w:rPr>
          <w:rFonts w:ascii="宋体" w:cs="宋体"/>
          <w:b w:val="0"/>
          <w:bCs w:val="0"/>
          <w:color w:val="000000" w:themeColor="text1"/>
          <w:spacing w:val="0"/>
          <w:sz w:val="24"/>
          <w:szCs w:val="24"/>
          <w:highlight w:val="none"/>
          <w14:textFill>
            <w14:solidFill>
              <w14:schemeClr w14:val="tx1"/>
            </w14:solidFill>
          </w14:textFill>
        </w:rPr>
        <w:t>最高耐温:-30</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+120℃</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8）</w:t>
      </w:r>
      <w:r>
        <w:rPr>
          <w:rFonts w:ascii="宋体" w:cs="宋体"/>
          <w:b w:val="0"/>
          <w:bCs w:val="0"/>
          <w:color w:val="000000" w:themeColor="text1"/>
          <w:spacing w:val="0"/>
          <w:sz w:val="24"/>
          <w:szCs w:val="24"/>
          <w:highlight w:val="none"/>
          <w14:textFill>
            <w14:solidFill>
              <w14:schemeClr w14:val="tx1"/>
            </w14:solidFill>
          </w14:textFill>
        </w:rPr>
        <w:t>耐压等级:1.6MPa</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9）</w:t>
      </w:r>
      <w:r>
        <w:rPr>
          <w:rFonts w:ascii="宋体" w:cs="宋体"/>
          <w:b w:val="0"/>
          <w:bCs w:val="0"/>
          <w:color w:val="000000" w:themeColor="text1"/>
          <w:spacing w:val="0"/>
          <w:sz w:val="24"/>
          <w:szCs w:val="24"/>
          <w:highlight w:val="none"/>
          <w14:textFill>
            <w14:solidFill>
              <w14:schemeClr w14:val="tx1"/>
            </w14:solidFill>
          </w14:textFill>
        </w:rPr>
        <w:t>防护等级:IP65</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10）</w:t>
      </w:r>
      <w:r>
        <w:rPr>
          <w:rFonts w:ascii="宋体" w:cs="宋体"/>
          <w:b w:val="0"/>
          <w:bCs w:val="0"/>
          <w:color w:val="000000" w:themeColor="text1"/>
          <w:spacing w:val="0"/>
          <w:sz w:val="24"/>
          <w:szCs w:val="24"/>
          <w:highlight w:val="none"/>
          <w14:textFill>
            <w14:solidFill>
              <w14:schemeClr w14:val="tx1"/>
            </w14:solidFill>
          </w14:textFill>
        </w:rPr>
        <w:t>供电方式:220V AC</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w:t>
      </w:r>
      <w:r>
        <w:rPr>
          <w:rFonts w:hint="eastAsia" w:ascii="宋体" w:cs="宋体"/>
          <w:b w:val="0"/>
          <w:bCs w:val="0"/>
          <w:color w:val="000000" w:themeColor="text1"/>
          <w:spacing w:val="0"/>
          <w:sz w:val="24"/>
          <w:szCs w:val="24"/>
          <w:highlight w:val="none"/>
          <w14:textFill>
            <w14:solidFill>
              <w14:schemeClr w14:val="tx1"/>
            </w14:solidFill>
          </w14:textFill>
        </w:rPr>
        <w:t>1）</w:t>
      </w:r>
      <w:r>
        <w:rPr>
          <w:rFonts w:ascii="宋体" w:cs="宋体"/>
          <w:b w:val="0"/>
          <w:bCs w:val="0"/>
          <w:color w:val="000000" w:themeColor="text1"/>
          <w:spacing w:val="0"/>
          <w:sz w:val="24"/>
          <w:szCs w:val="24"/>
          <w:highlight w:val="none"/>
          <w14:textFill>
            <w14:solidFill>
              <w14:schemeClr w14:val="tx1"/>
            </w14:solidFill>
          </w14:textFill>
        </w:rPr>
        <w:t>信号输出: 4-20mA/RS485</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12）</w:t>
      </w:r>
      <w:r>
        <w:rPr>
          <w:rFonts w:ascii="宋体" w:cs="宋体"/>
          <w:b w:val="0"/>
          <w:bCs w:val="0"/>
          <w:color w:val="000000" w:themeColor="text1"/>
          <w:spacing w:val="0"/>
          <w:sz w:val="24"/>
          <w:szCs w:val="24"/>
          <w:highlight w:val="none"/>
          <w14:textFill>
            <w14:solidFill>
              <w14:schemeClr w14:val="tx1"/>
            </w14:solidFill>
          </w14:textFill>
        </w:rPr>
        <w:t>防爆等级:/</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2.1</w:t>
      </w:r>
      <w:r>
        <w:rPr>
          <w:rFonts w:ascii="宋体" w:cs="宋体"/>
          <w:color w:val="000000" w:themeColor="text1"/>
          <w:spacing w:val="0"/>
          <w:sz w:val="24"/>
          <w:szCs w:val="24"/>
          <w:highlight w:val="none"/>
          <w14:textFill>
            <w14:solidFill>
              <w14:schemeClr w14:val="tx1"/>
            </w14:solidFill>
          </w14:textFill>
        </w:rPr>
        <w:t>2、</w:t>
      </w:r>
      <w:r>
        <w:rPr>
          <w:rFonts w:hint="eastAsia" w:ascii="宋体" w:cs="宋体"/>
          <w:color w:val="000000" w:themeColor="text1"/>
          <w:spacing w:val="0"/>
          <w:sz w:val="24"/>
          <w:szCs w:val="24"/>
          <w:highlight w:val="none"/>
          <w14:textFill>
            <w14:solidFill>
              <w14:schemeClr w14:val="tx1"/>
            </w14:solidFill>
          </w14:textFill>
        </w:rPr>
        <w:t>超声波液位计</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规格</w:t>
      </w:r>
      <w:r>
        <w:rPr>
          <w:rFonts w:hint="eastAsia" w:ascii="宋体" w:cs="宋体"/>
          <w:b w:val="0"/>
          <w:bCs w:val="0"/>
          <w:color w:val="000000" w:themeColor="text1"/>
          <w:spacing w:val="0"/>
          <w:sz w:val="24"/>
          <w:szCs w:val="24"/>
          <w:highlight w:val="none"/>
          <w14:textFill>
            <w14:solidFill>
              <w14:schemeClr w14:val="tx1"/>
            </w14:solidFill>
          </w14:textFill>
        </w:rPr>
        <w:t>参数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w:t>
      </w:r>
      <w:r>
        <w:rPr>
          <w:rFonts w:ascii="宋体" w:cs="宋体"/>
          <w:b w:val="0"/>
          <w:bCs w:val="0"/>
          <w:color w:val="000000" w:themeColor="text1"/>
          <w:spacing w:val="0"/>
          <w:sz w:val="24"/>
          <w:szCs w:val="24"/>
          <w:highlight w:val="none"/>
          <w14:textFill>
            <w14:solidFill>
              <w14:schemeClr w14:val="tx1"/>
            </w14:solidFill>
          </w14:textFill>
        </w:rPr>
        <w:t>测量介质:污水</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2</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测量范围:0-</w:t>
      </w:r>
      <w:r>
        <w:rPr>
          <w:rFonts w:hint="eastAsia" w:ascii="宋体" w:cs="宋体"/>
          <w:b w:val="0"/>
          <w:bCs w:val="0"/>
          <w:color w:val="000000" w:themeColor="text1"/>
          <w:spacing w:val="0"/>
          <w:sz w:val="24"/>
          <w:szCs w:val="24"/>
          <w:highlight w:val="none"/>
          <w14:textFill>
            <w14:solidFill>
              <w14:schemeClr w14:val="tx1"/>
            </w14:solidFill>
          </w14:textFill>
        </w:rPr>
        <w:t>8m</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3</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精度等级:满量程的0.5%</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4</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仪表材质:ABS防水探头</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5</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最高耐温:0-50°C</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6</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防护等级:IP66</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7</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供电方式:DC 24V</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8</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信号输出:两线制4-20mA</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9</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防爆等级:无</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10</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带显示功能。</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2.1</w:t>
      </w:r>
      <w:r>
        <w:rPr>
          <w:rFonts w:ascii="宋体" w:cs="宋体"/>
          <w:color w:val="000000" w:themeColor="text1"/>
          <w:spacing w:val="0"/>
          <w:sz w:val="24"/>
          <w:szCs w:val="24"/>
          <w:highlight w:val="none"/>
          <w14:textFill>
            <w14:solidFill>
              <w14:schemeClr w14:val="tx1"/>
            </w14:solidFill>
          </w14:textFill>
        </w:rPr>
        <w:t>3、</w:t>
      </w:r>
      <w:r>
        <w:rPr>
          <w:rFonts w:hint="eastAsia" w:ascii="宋体" w:cs="宋体"/>
          <w:color w:val="000000" w:themeColor="text1"/>
          <w:spacing w:val="0"/>
          <w:sz w:val="24"/>
          <w:szCs w:val="24"/>
          <w:highlight w:val="none"/>
          <w14:textFill>
            <w14:solidFill>
              <w14:schemeClr w14:val="tx1"/>
            </w14:solidFill>
          </w14:textFill>
        </w:rPr>
        <w:t>投入式液位计</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规格</w:t>
      </w:r>
      <w:r>
        <w:rPr>
          <w:rFonts w:hint="eastAsia" w:ascii="宋体" w:cs="宋体"/>
          <w:b w:val="0"/>
          <w:bCs w:val="0"/>
          <w:color w:val="000000" w:themeColor="text1"/>
          <w:spacing w:val="0"/>
          <w:sz w:val="24"/>
          <w:szCs w:val="24"/>
          <w:highlight w:val="none"/>
          <w14:textFill>
            <w14:solidFill>
              <w14:schemeClr w14:val="tx1"/>
            </w14:solidFill>
          </w14:textFill>
        </w:rPr>
        <w:t>参数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测量介质:污水</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2</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测量范围:0-</w:t>
      </w:r>
      <w:r>
        <w:rPr>
          <w:rFonts w:hint="eastAsia" w:ascii="宋体" w:cs="宋体"/>
          <w:b w:val="0"/>
          <w:bCs w:val="0"/>
          <w:color w:val="000000" w:themeColor="text1"/>
          <w:spacing w:val="0"/>
          <w:sz w:val="24"/>
          <w:szCs w:val="24"/>
          <w:highlight w:val="none"/>
          <w14:textFill>
            <w14:solidFill>
              <w14:schemeClr w14:val="tx1"/>
            </w14:solidFill>
          </w14:textFill>
        </w:rPr>
        <w:t>5m</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3</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精度等级:0.25</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4</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仪表材质:不锈钢探头+PVC线缆</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5</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最高耐温:0-50°C</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6</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防护等级:主机IP65+探头IP68</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7</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供电方式:DC 24V</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8</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信号输出:两线制4-20mA</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9</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防爆等级:无</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10</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标配线缆长度10米</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带显示。</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2.1</w:t>
      </w:r>
      <w:r>
        <w:rPr>
          <w:rFonts w:ascii="宋体" w:cs="宋体"/>
          <w:color w:val="000000" w:themeColor="text1"/>
          <w:spacing w:val="0"/>
          <w:sz w:val="24"/>
          <w:szCs w:val="24"/>
          <w:highlight w:val="none"/>
          <w14:textFill>
            <w14:solidFill>
              <w14:schemeClr w14:val="tx1"/>
            </w14:solidFill>
          </w14:textFill>
        </w:rPr>
        <w:t>4</w:t>
      </w:r>
      <w:r>
        <w:rPr>
          <w:rFonts w:hint="eastAsia" w:ascii="宋体" w:cs="宋体"/>
          <w:color w:val="000000" w:themeColor="text1"/>
          <w:spacing w:val="0"/>
          <w:sz w:val="24"/>
          <w:szCs w:val="24"/>
          <w:highlight w:val="none"/>
          <w14:textFill>
            <w14:solidFill>
              <w14:schemeClr w14:val="tx1"/>
            </w14:solidFill>
          </w14:textFill>
        </w:rPr>
        <w:t>、溶解氧分析仪</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规格</w:t>
      </w:r>
      <w:r>
        <w:rPr>
          <w:rFonts w:hint="eastAsia" w:ascii="宋体" w:cs="宋体"/>
          <w:b w:val="0"/>
          <w:bCs w:val="0"/>
          <w:color w:val="000000" w:themeColor="text1"/>
          <w:spacing w:val="0"/>
          <w:sz w:val="24"/>
          <w:szCs w:val="24"/>
          <w:highlight w:val="none"/>
          <w14:textFill>
            <w14:solidFill>
              <w14:schemeClr w14:val="tx1"/>
            </w14:solidFill>
          </w14:textFill>
        </w:rPr>
        <w:t>参数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传感器技术参数：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1）测量原理：荧光法；</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2）测量范围：0～20mg/L(0～200%)、0～99.9℃；</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 xml:space="preserve">3）精度：±0.15mg/L (&lt;5mg/L)、±0.2 mg/L (&gt;5mg/L),±0.2 C± 1Digit；        </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4）重复性：+0.1mg/L；</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5）稳定时间：T90＜30s；</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6）内置温度传感器：pt1000热敏电阻、提供自动温度补偿、显示温度值；</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7) 电缆长度： 10米、防水线、可延长；</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8）防护等级：IP68；</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9）传感器材质：探头材质：316L锈钢+POM外壳；荧光帽：涂层+316L不锈钢</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10) 核心部件(荧光粉、线路板、防水线)全进口</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11）接口：3/4＂NPT管螺纹；</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12）安装方式：沉入式。</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控制器技术参数：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1）显示：图形数据点阵LCD、带LED背景灯照明、4.3寸彩色显示屏；</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w:t>
      </w:r>
      <w:r>
        <w:rPr>
          <w:rFonts w:ascii="宋体" w:cs="宋体"/>
          <w:b w:val="0"/>
          <w:bCs w:val="0"/>
          <w:color w:val="000000" w:themeColor="text1"/>
          <w:spacing w:val="0"/>
          <w:sz w:val="24"/>
          <w:szCs w:val="24"/>
          <w:highlight w:val="none"/>
          <w14:textFill>
            <w14:solidFill>
              <w14:schemeClr w14:val="tx1"/>
            </w14:solidFill>
          </w14:textFill>
        </w:rPr>
        <w:t>）测量范围：0～20mg/L(0～200%)、0～99.9℃；</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w:t>
      </w:r>
      <w:r>
        <w:rPr>
          <w:rFonts w:ascii="宋体" w:cs="宋体"/>
          <w:b w:val="0"/>
          <w:bCs w:val="0"/>
          <w:color w:val="000000" w:themeColor="text1"/>
          <w:spacing w:val="0"/>
          <w:sz w:val="24"/>
          <w:szCs w:val="24"/>
          <w:highlight w:val="none"/>
          <w14:textFill>
            <w14:solidFill>
              <w14:schemeClr w14:val="tx1"/>
            </w14:solidFill>
          </w14:textFill>
        </w:rPr>
        <w:t>）分辨率：0.01mg/L、0.1%；</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4</w:t>
      </w:r>
      <w:r>
        <w:rPr>
          <w:rFonts w:ascii="宋体" w:cs="宋体"/>
          <w:b w:val="0"/>
          <w:bCs w:val="0"/>
          <w:color w:val="000000" w:themeColor="text1"/>
          <w:spacing w:val="0"/>
          <w:sz w:val="24"/>
          <w:szCs w:val="24"/>
          <w:highlight w:val="none"/>
          <w14:textFill>
            <w14:solidFill>
              <w14:schemeClr w14:val="tx1"/>
            </w14:solidFill>
          </w14:textFill>
        </w:rPr>
        <w:t>) 补偿功能：带盐度和压力补偿；</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w:t>
      </w:r>
      <w:r>
        <w:rPr>
          <w:rFonts w:ascii="宋体" w:cs="宋体"/>
          <w:b w:val="0"/>
          <w:bCs w:val="0"/>
          <w:color w:val="000000" w:themeColor="text1"/>
          <w:spacing w:val="0"/>
          <w:sz w:val="24"/>
          <w:szCs w:val="24"/>
          <w:highlight w:val="none"/>
          <w14:textFill>
            <w14:solidFill>
              <w14:schemeClr w14:val="tx1"/>
            </w14:solidFill>
          </w14:textFill>
        </w:rPr>
        <w:t>）校正功能：饱和氧/零点/偏移值校正；</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6</w:t>
      </w:r>
      <w:r>
        <w:rPr>
          <w:rFonts w:ascii="宋体" w:cs="宋体"/>
          <w:b w:val="0"/>
          <w:bCs w:val="0"/>
          <w:color w:val="000000" w:themeColor="text1"/>
          <w:spacing w:val="0"/>
          <w:sz w:val="24"/>
          <w:szCs w:val="24"/>
          <w:highlight w:val="none"/>
          <w14:textFill>
            <w14:solidFill>
              <w14:schemeClr w14:val="tx1"/>
            </w14:solidFill>
          </w14:textFill>
        </w:rPr>
        <w:t>) 滤波系数：1～60可调、克服瞬时干扰引起的错误；</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7</w:t>
      </w:r>
      <w:r>
        <w:rPr>
          <w:rFonts w:ascii="宋体" w:cs="宋体"/>
          <w:b w:val="0"/>
          <w:bCs w:val="0"/>
          <w:color w:val="000000" w:themeColor="text1"/>
          <w:spacing w:val="0"/>
          <w:sz w:val="24"/>
          <w:szCs w:val="24"/>
          <w:highlight w:val="none"/>
          <w14:textFill>
            <w14:solidFill>
              <w14:schemeClr w14:val="tx1"/>
            </w14:solidFill>
          </w14:textFill>
        </w:rPr>
        <w:t>）继电器：3个继电器、高低警报、自动清洗、220V/5A；</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8</w:t>
      </w:r>
      <w:r>
        <w:rPr>
          <w:rFonts w:ascii="宋体" w:cs="宋体"/>
          <w:b w:val="0"/>
          <w:bCs w:val="0"/>
          <w:color w:val="000000" w:themeColor="text1"/>
          <w:spacing w:val="0"/>
          <w:sz w:val="24"/>
          <w:szCs w:val="24"/>
          <w:highlight w:val="none"/>
          <w14:textFill>
            <w14:solidFill>
              <w14:schemeClr w14:val="tx1"/>
            </w14:solidFill>
          </w14:textFill>
        </w:rPr>
        <w:t>）输出：两路隔离的4-20mA输出信号；</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9</w:t>
      </w:r>
      <w:r>
        <w:rPr>
          <w:rFonts w:ascii="宋体" w:cs="宋体"/>
          <w:b w:val="0"/>
          <w:bCs w:val="0"/>
          <w:color w:val="000000" w:themeColor="text1"/>
          <w:spacing w:val="0"/>
          <w:sz w:val="24"/>
          <w:szCs w:val="24"/>
          <w:highlight w:val="none"/>
          <w14:textFill>
            <w14:solidFill>
              <w14:schemeClr w14:val="tx1"/>
            </w14:solidFill>
          </w14:textFill>
        </w:rPr>
        <w:t>）通讯协议：MODBUS RTU RS485带心跳功能(选配)；</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w:t>
      </w:r>
      <w:r>
        <w:rPr>
          <w:rFonts w:hint="eastAsia" w:ascii="宋体" w:cs="宋体"/>
          <w:b w:val="0"/>
          <w:bCs w:val="0"/>
          <w:color w:val="000000" w:themeColor="text1"/>
          <w:spacing w:val="0"/>
          <w:sz w:val="24"/>
          <w:szCs w:val="24"/>
          <w:highlight w:val="none"/>
          <w14:textFill>
            <w14:solidFill>
              <w14:schemeClr w14:val="tx1"/>
            </w14:solidFill>
          </w14:textFill>
        </w:rPr>
        <w:t>0</w:t>
      </w:r>
      <w:r>
        <w:rPr>
          <w:rFonts w:ascii="宋体" w:cs="宋体"/>
          <w:b w:val="0"/>
          <w:bCs w:val="0"/>
          <w:color w:val="000000" w:themeColor="text1"/>
          <w:spacing w:val="0"/>
          <w:sz w:val="24"/>
          <w:szCs w:val="24"/>
          <w:highlight w:val="none"/>
          <w14:textFill>
            <w14:solidFill>
              <w14:schemeClr w14:val="tx1"/>
            </w14:solidFill>
          </w14:textFill>
        </w:rPr>
        <w:t>）工作环境：-10～60℃，0～95％相对湿度、无冷凝；</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w:t>
      </w:r>
      <w:r>
        <w:rPr>
          <w:rFonts w:hint="eastAsia" w:ascii="宋体" w:cs="宋体"/>
          <w:b w:val="0"/>
          <w:bCs w:val="0"/>
          <w:color w:val="000000" w:themeColor="text1"/>
          <w:spacing w:val="0"/>
          <w:sz w:val="24"/>
          <w:szCs w:val="24"/>
          <w:highlight w:val="none"/>
          <w14:textFill>
            <w14:solidFill>
              <w14:schemeClr w14:val="tx1"/>
            </w14:solidFill>
          </w14:textFill>
        </w:rPr>
        <w:t>1</w:t>
      </w:r>
      <w:r>
        <w:rPr>
          <w:rFonts w:ascii="宋体" w:cs="宋体"/>
          <w:b w:val="0"/>
          <w:bCs w:val="0"/>
          <w:color w:val="000000" w:themeColor="text1"/>
          <w:spacing w:val="0"/>
          <w:sz w:val="24"/>
          <w:szCs w:val="24"/>
          <w:highlight w:val="none"/>
          <w14:textFill>
            <w14:solidFill>
              <w14:schemeClr w14:val="tx1"/>
            </w14:solidFill>
          </w14:textFill>
        </w:rPr>
        <w:t>）存储环境：-20～70℃，0～95％相对湿度、无冷凝；</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w:t>
      </w:r>
      <w:r>
        <w:rPr>
          <w:rFonts w:hint="eastAsia" w:ascii="宋体" w:cs="宋体"/>
          <w:b w:val="0"/>
          <w:bCs w:val="0"/>
          <w:color w:val="000000" w:themeColor="text1"/>
          <w:spacing w:val="0"/>
          <w:sz w:val="24"/>
          <w:szCs w:val="24"/>
          <w:highlight w:val="none"/>
          <w14:textFill>
            <w14:solidFill>
              <w14:schemeClr w14:val="tx1"/>
            </w14:solidFill>
          </w14:textFill>
        </w:rPr>
        <w:t>2</w:t>
      </w:r>
      <w:r>
        <w:rPr>
          <w:rFonts w:ascii="宋体" w:cs="宋体"/>
          <w:b w:val="0"/>
          <w:bCs w:val="0"/>
          <w:color w:val="000000" w:themeColor="text1"/>
          <w:spacing w:val="0"/>
          <w:sz w:val="24"/>
          <w:szCs w:val="24"/>
          <w:highlight w:val="none"/>
          <w14:textFill>
            <w14:solidFill>
              <w14:schemeClr w14:val="tx1"/>
            </w14:solidFill>
          </w14:textFill>
        </w:rPr>
        <w:t>）数据存储：点/1～24h可设置或点/分钟可设置、并带1万条报表记  录格式；</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w:t>
      </w:r>
      <w:r>
        <w:rPr>
          <w:rFonts w:hint="eastAsia" w:ascii="宋体" w:cs="宋体"/>
          <w:b w:val="0"/>
          <w:bCs w:val="0"/>
          <w:color w:val="000000" w:themeColor="text1"/>
          <w:spacing w:val="0"/>
          <w:sz w:val="24"/>
          <w:szCs w:val="24"/>
          <w:highlight w:val="none"/>
          <w14:textFill>
            <w14:solidFill>
              <w14:schemeClr w14:val="tx1"/>
            </w14:solidFill>
          </w14:textFill>
        </w:rPr>
        <w:t>3</w:t>
      </w:r>
      <w:r>
        <w:rPr>
          <w:rFonts w:ascii="宋体" w:cs="宋体"/>
          <w:b w:val="0"/>
          <w:bCs w:val="0"/>
          <w:color w:val="000000" w:themeColor="text1"/>
          <w:spacing w:val="0"/>
          <w:sz w:val="24"/>
          <w:szCs w:val="24"/>
          <w:highlight w:val="none"/>
          <w14:textFill>
            <w14:solidFill>
              <w14:schemeClr w14:val="tx1"/>
            </w14:solidFill>
          </w14:textFill>
        </w:rPr>
        <w:t>）防护等级：IP65；</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w:t>
      </w:r>
      <w:r>
        <w:rPr>
          <w:rFonts w:hint="eastAsia" w:ascii="宋体" w:cs="宋体"/>
          <w:b w:val="0"/>
          <w:bCs w:val="0"/>
          <w:color w:val="000000" w:themeColor="text1"/>
          <w:spacing w:val="0"/>
          <w:sz w:val="24"/>
          <w:szCs w:val="24"/>
          <w:highlight w:val="none"/>
          <w14:textFill>
            <w14:solidFill>
              <w14:schemeClr w14:val="tx1"/>
            </w14:solidFill>
          </w14:textFill>
        </w:rPr>
        <w:t>4</w:t>
      </w:r>
      <w:r>
        <w:rPr>
          <w:rFonts w:ascii="宋体" w:cs="宋体"/>
          <w:b w:val="0"/>
          <w:bCs w:val="0"/>
          <w:color w:val="000000" w:themeColor="text1"/>
          <w:spacing w:val="0"/>
          <w:sz w:val="24"/>
          <w:szCs w:val="24"/>
          <w:highlight w:val="none"/>
          <w14:textFill>
            <w14:solidFill>
              <w14:schemeClr w14:val="tx1"/>
            </w14:solidFill>
          </w14:textFill>
        </w:rPr>
        <w:t>）电源：85-305VVAC宽电压；</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w:t>
      </w:r>
      <w:r>
        <w:rPr>
          <w:rFonts w:hint="eastAsia" w:ascii="宋体" w:cs="宋体"/>
          <w:b w:val="0"/>
          <w:bCs w:val="0"/>
          <w:color w:val="000000" w:themeColor="text1"/>
          <w:spacing w:val="0"/>
          <w:sz w:val="24"/>
          <w:szCs w:val="24"/>
          <w:highlight w:val="none"/>
          <w14:textFill>
            <w14:solidFill>
              <w14:schemeClr w14:val="tx1"/>
            </w14:solidFill>
          </w14:textFill>
        </w:rPr>
        <w:t>5</w:t>
      </w:r>
      <w:r>
        <w:rPr>
          <w:rFonts w:ascii="宋体" w:cs="宋体"/>
          <w:b w:val="0"/>
          <w:bCs w:val="0"/>
          <w:color w:val="000000" w:themeColor="text1"/>
          <w:spacing w:val="0"/>
          <w:sz w:val="24"/>
          <w:szCs w:val="24"/>
          <w:highlight w:val="none"/>
          <w14:textFill>
            <w14:solidFill>
              <w14:schemeClr w14:val="tx1"/>
            </w14:solidFill>
          </w14:textFill>
        </w:rPr>
        <w:t>）安装方式：壁挂/面板/夹管式安装；</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2.</w:t>
      </w:r>
      <w:r>
        <w:rPr>
          <w:rFonts w:ascii="宋体" w:cs="宋体"/>
          <w:color w:val="000000" w:themeColor="text1"/>
          <w:spacing w:val="0"/>
          <w:sz w:val="24"/>
          <w:szCs w:val="24"/>
          <w:highlight w:val="none"/>
          <w14:textFill>
            <w14:solidFill>
              <w14:schemeClr w14:val="tx1"/>
            </w14:solidFill>
          </w14:textFill>
        </w:rPr>
        <w:t>15、PH值在线分析仪</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1）设备数量：</w:t>
      </w:r>
      <w:r>
        <w:rPr>
          <w:rFonts w:hint="eastAsia" w:ascii="宋体" w:cs="宋体"/>
          <w:b w:val="0"/>
          <w:bCs w:val="0"/>
          <w:color w:val="000000" w:themeColor="text1"/>
          <w:spacing w:val="0"/>
          <w:sz w:val="24"/>
          <w:szCs w:val="24"/>
          <w:highlight w:val="none"/>
          <w14:textFill>
            <w14:solidFill>
              <w14:schemeClr w14:val="tx1"/>
            </w14:solidFill>
          </w14:textFill>
        </w:rPr>
        <w:t>2台</w:t>
      </w:r>
      <w:r>
        <w:rPr>
          <w:rFonts w:ascii="宋体" w:cs="宋体"/>
          <w:b w:val="0"/>
          <w:bCs w:val="0"/>
          <w:color w:val="000000" w:themeColor="text1"/>
          <w:spacing w:val="0"/>
          <w:sz w:val="24"/>
          <w:szCs w:val="24"/>
          <w:highlight w:val="none"/>
          <w14:textFill>
            <w14:solidFill>
              <w14:schemeClr w14:val="tx1"/>
            </w14:solidFill>
          </w14:textFill>
        </w:rPr>
        <w:t>。</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2）规格</w:t>
      </w:r>
      <w:r>
        <w:rPr>
          <w:rFonts w:hint="eastAsia" w:ascii="宋体" w:cs="宋体"/>
          <w:b w:val="0"/>
          <w:bCs w:val="0"/>
          <w:color w:val="000000" w:themeColor="text1"/>
          <w:spacing w:val="0"/>
          <w:sz w:val="24"/>
          <w:szCs w:val="24"/>
          <w:highlight w:val="none"/>
          <w14:textFill>
            <w14:solidFill>
              <w14:schemeClr w14:val="tx1"/>
            </w14:solidFill>
          </w14:textFill>
        </w:rPr>
        <w:t>参数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传感器技术参数：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1）测量原理：玻璃电极、自动温度补偿；</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2）测量范围：0～14pH、0～99.9℃；</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 xml:space="preserve">3）精度：+0.5pH+1digit；        </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4）重复性：+0.1pH以内、±0.5℃</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5）稳定时间：0.5min以内</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6）传感器最大传输距离：100米；</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7）内置温度传感器：pt1000或NTC30K自动温度补偿；</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8) 电缆长度：10米、可接延长线；</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9）防护等级：IP68；</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10）接口：3/4＂NPT管螺纹；</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11）安装方式：沉入式。</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控制器技术参数：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1）显示：大型液晶显示屏，附操作状态及特殊符号显示；</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w:t>
      </w:r>
      <w:r>
        <w:rPr>
          <w:rFonts w:ascii="宋体" w:cs="宋体"/>
          <w:b w:val="0"/>
          <w:bCs w:val="0"/>
          <w:color w:val="000000" w:themeColor="text1"/>
          <w:spacing w:val="0"/>
          <w:sz w:val="24"/>
          <w:szCs w:val="24"/>
          <w:highlight w:val="none"/>
          <w14:textFill>
            <w14:solidFill>
              <w14:schemeClr w14:val="tx1"/>
            </w14:solidFill>
          </w14:textFill>
        </w:rPr>
        <w:t>）测量范围：-2～16pH、-30～130℃；</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w:t>
      </w:r>
      <w:r>
        <w:rPr>
          <w:rFonts w:ascii="宋体" w:cs="宋体"/>
          <w:b w:val="0"/>
          <w:bCs w:val="0"/>
          <w:color w:val="000000" w:themeColor="text1"/>
          <w:spacing w:val="0"/>
          <w:sz w:val="24"/>
          <w:szCs w:val="24"/>
          <w:highlight w:val="none"/>
          <w14:textFill>
            <w14:solidFill>
              <w14:schemeClr w14:val="tx1"/>
            </w14:solidFill>
          </w14:textFill>
        </w:rPr>
        <w:t>）精度：±0.01pH以内、±0.2℃；</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4</w:t>
      </w:r>
      <w:r>
        <w:rPr>
          <w:rFonts w:ascii="宋体" w:cs="宋体"/>
          <w:b w:val="0"/>
          <w:bCs w:val="0"/>
          <w:color w:val="000000" w:themeColor="text1"/>
          <w:spacing w:val="0"/>
          <w:sz w:val="24"/>
          <w:szCs w:val="24"/>
          <w:highlight w:val="none"/>
          <w14:textFill>
            <w14:solidFill>
              <w14:schemeClr w14:val="tx1"/>
            </w14:solidFill>
          </w14:textFill>
        </w:rPr>
        <w:t>）校正功能：单点/两点/三点自动矫正；</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w:t>
      </w:r>
      <w:r>
        <w:rPr>
          <w:rFonts w:ascii="宋体" w:cs="宋体"/>
          <w:b w:val="0"/>
          <w:bCs w:val="0"/>
          <w:color w:val="000000" w:themeColor="text1"/>
          <w:spacing w:val="0"/>
          <w:sz w:val="24"/>
          <w:szCs w:val="24"/>
          <w:highlight w:val="none"/>
          <w14:textFill>
            <w14:solidFill>
              <w14:schemeClr w14:val="tx1"/>
            </w14:solidFill>
          </w14:textFill>
        </w:rPr>
        <w:t>）继电器：3个继电器、高低警报、220V/5A；</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6</w:t>
      </w:r>
      <w:r>
        <w:rPr>
          <w:rFonts w:ascii="宋体" w:cs="宋体"/>
          <w:b w:val="0"/>
          <w:bCs w:val="0"/>
          <w:color w:val="000000" w:themeColor="text1"/>
          <w:spacing w:val="0"/>
          <w:sz w:val="24"/>
          <w:szCs w:val="24"/>
          <w:highlight w:val="none"/>
          <w14:textFill>
            <w14:solidFill>
              <w14:schemeClr w14:val="tx1"/>
            </w14:solidFill>
          </w14:textFill>
        </w:rPr>
        <w:t>）输出：两路隔离的4～20mA输出信号；</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7</w:t>
      </w:r>
      <w:r>
        <w:rPr>
          <w:rFonts w:ascii="宋体" w:cs="宋体"/>
          <w:b w:val="0"/>
          <w:bCs w:val="0"/>
          <w:color w:val="000000" w:themeColor="text1"/>
          <w:spacing w:val="0"/>
          <w:sz w:val="24"/>
          <w:szCs w:val="24"/>
          <w:highlight w:val="none"/>
          <w14:textFill>
            <w14:solidFill>
              <w14:schemeClr w14:val="tx1"/>
            </w14:solidFill>
          </w14:textFill>
        </w:rPr>
        <w:t>）工作环境：-10～60℃，0～95％相对湿度、无冷凝；</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8</w:t>
      </w:r>
      <w:r>
        <w:rPr>
          <w:rFonts w:ascii="宋体" w:cs="宋体"/>
          <w:b w:val="0"/>
          <w:bCs w:val="0"/>
          <w:color w:val="000000" w:themeColor="text1"/>
          <w:spacing w:val="0"/>
          <w:sz w:val="24"/>
          <w:szCs w:val="24"/>
          <w:highlight w:val="none"/>
          <w14:textFill>
            <w14:solidFill>
              <w14:schemeClr w14:val="tx1"/>
            </w14:solidFill>
          </w14:textFill>
        </w:rPr>
        <w:t>）存储环境：-20～70℃，0～95％相对湿度、无冷凝；</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9</w:t>
      </w:r>
      <w:r>
        <w:rPr>
          <w:rFonts w:ascii="宋体" w:cs="宋体"/>
          <w:b w:val="0"/>
          <w:bCs w:val="0"/>
          <w:color w:val="000000" w:themeColor="text1"/>
          <w:spacing w:val="0"/>
          <w:sz w:val="24"/>
          <w:szCs w:val="24"/>
          <w:highlight w:val="none"/>
          <w14:textFill>
            <w14:solidFill>
              <w14:schemeClr w14:val="tx1"/>
            </w14:solidFill>
          </w14:textFill>
        </w:rPr>
        <w:t>）防护等级：IP65；</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w:t>
      </w:r>
      <w:r>
        <w:rPr>
          <w:rFonts w:hint="eastAsia" w:ascii="宋体" w:cs="宋体"/>
          <w:b w:val="0"/>
          <w:bCs w:val="0"/>
          <w:color w:val="000000" w:themeColor="text1"/>
          <w:spacing w:val="0"/>
          <w:sz w:val="24"/>
          <w:szCs w:val="24"/>
          <w:highlight w:val="none"/>
          <w14:textFill>
            <w14:solidFill>
              <w14:schemeClr w14:val="tx1"/>
            </w14:solidFill>
          </w14:textFill>
        </w:rPr>
        <w:t>0</w:t>
      </w:r>
      <w:r>
        <w:rPr>
          <w:rFonts w:ascii="宋体" w:cs="宋体"/>
          <w:b w:val="0"/>
          <w:bCs w:val="0"/>
          <w:color w:val="000000" w:themeColor="text1"/>
          <w:spacing w:val="0"/>
          <w:sz w:val="24"/>
          <w:szCs w:val="24"/>
          <w:highlight w:val="none"/>
          <w14:textFill>
            <w14:solidFill>
              <w14:schemeClr w14:val="tx1"/>
            </w14:solidFill>
          </w14:textFill>
        </w:rPr>
        <w:t>）电源： AC100-240V宽电电源输入；</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w:t>
      </w:r>
      <w:r>
        <w:rPr>
          <w:rFonts w:hint="eastAsia" w:ascii="宋体" w:cs="宋体"/>
          <w:b w:val="0"/>
          <w:bCs w:val="0"/>
          <w:color w:val="000000" w:themeColor="text1"/>
          <w:spacing w:val="0"/>
          <w:sz w:val="24"/>
          <w:szCs w:val="24"/>
          <w:highlight w:val="none"/>
          <w14:textFill>
            <w14:solidFill>
              <w14:schemeClr w14:val="tx1"/>
            </w14:solidFill>
          </w14:textFill>
        </w:rPr>
        <w:t>1</w:t>
      </w:r>
      <w:r>
        <w:rPr>
          <w:rFonts w:ascii="宋体" w:cs="宋体"/>
          <w:b w:val="0"/>
          <w:bCs w:val="0"/>
          <w:color w:val="000000" w:themeColor="text1"/>
          <w:spacing w:val="0"/>
          <w:sz w:val="24"/>
          <w:szCs w:val="24"/>
          <w:highlight w:val="none"/>
          <w14:textFill>
            <w14:solidFill>
              <w14:schemeClr w14:val="tx1"/>
            </w14:solidFill>
          </w14:textFill>
        </w:rPr>
        <w:t>）安装方式：壁挂/开孔/夹管式安装；</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2.1</w:t>
      </w:r>
      <w:r>
        <w:rPr>
          <w:rFonts w:ascii="宋体" w:cs="宋体"/>
          <w:color w:val="000000" w:themeColor="text1"/>
          <w:spacing w:val="0"/>
          <w:sz w:val="24"/>
          <w:szCs w:val="24"/>
          <w:highlight w:val="none"/>
          <w14:textFill>
            <w14:solidFill>
              <w14:schemeClr w14:val="tx1"/>
            </w14:solidFill>
          </w14:textFill>
        </w:rPr>
        <w:t>6现场仪表箱</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304不锈钢防雨型带观察窗</w:t>
      </w:r>
      <w:r>
        <w:rPr>
          <w:rFonts w:hint="eastAsia" w:ascii="宋体" w:cs="宋体"/>
          <w:b w:val="0"/>
          <w:bCs w:val="0"/>
          <w:color w:val="000000" w:themeColor="text1"/>
          <w:spacing w:val="0"/>
          <w:sz w:val="24"/>
          <w:szCs w:val="24"/>
          <w:highlight w:val="none"/>
          <w14:textFill>
            <w14:solidFill>
              <w14:schemeClr w14:val="tx1"/>
            </w14:solidFill>
          </w14:textFill>
        </w:rPr>
        <w:t>。使用户外防雨型不锈钢仪表箱，带有观察窗，</w:t>
      </w:r>
      <w:r>
        <w:rPr>
          <w:rFonts w:ascii="宋体" w:cs="宋体"/>
          <w:b w:val="0"/>
          <w:bCs w:val="0"/>
          <w:color w:val="000000" w:themeColor="text1"/>
          <w:spacing w:val="0"/>
          <w:sz w:val="24"/>
          <w:szCs w:val="24"/>
          <w:highlight w:val="none"/>
          <w14:textFill>
            <w14:solidFill>
              <w14:schemeClr w14:val="tx1"/>
            </w14:solidFill>
          </w14:textFill>
        </w:rPr>
        <w:t>IP防护等级不低于IP54。</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2.1</w:t>
      </w:r>
      <w:r>
        <w:rPr>
          <w:rFonts w:ascii="宋体" w:cs="宋体"/>
          <w:color w:val="000000" w:themeColor="text1"/>
          <w:spacing w:val="0"/>
          <w:sz w:val="24"/>
          <w:szCs w:val="24"/>
          <w:highlight w:val="none"/>
          <w14:textFill>
            <w14:solidFill>
              <w14:schemeClr w14:val="tx1"/>
            </w14:solidFill>
          </w14:textFill>
        </w:rPr>
        <w:t>7现场控制箱</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更换数量为8只。碳钢防雨型双层门。户外使用防雨型不锈钢控制箱，双层门设计，外门带有观察窗，</w:t>
      </w:r>
      <w:r>
        <w:rPr>
          <w:rFonts w:ascii="宋体" w:cs="宋体"/>
          <w:b w:val="0"/>
          <w:bCs w:val="0"/>
          <w:color w:val="000000" w:themeColor="text1"/>
          <w:spacing w:val="0"/>
          <w:sz w:val="24"/>
          <w:szCs w:val="24"/>
          <w:highlight w:val="none"/>
          <w14:textFill>
            <w14:solidFill>
              <w14:schemeClr w14:val="tx1"/>
            </w14:solidFill>
          </w14:textFill>
        </w:rPr>
        <w:t>IP防护等级不低于IP54。户内使用不锈钢控制箱，双层门设计，外门带有观察窗，IP防护等级不低于IP54。</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2.1</w:t>
      </w:r>
      <w:r>
        <w:rPr>
          <w:rFonts w:ascii="宋体" w:cs="宋体"/>
          <w:color w:val="000000" w:themeColor="text1"/>
          <w:spacing w:val="0"/>
          <w:sz w:val="24"/>
          <w:szCs w:val="24"/>
          <w:highlight w:val="none"/>
          <w14:textFill>
            <w14:solidFill>
              <w14:schemeClr w14:val="tx1"/>
            </w14:solidFill>
          </w14:textFill>
        </w:rPr>
        <w:t>8</w:t>
      </w:r>
      <w:r>
        <w:rPr>
          <w:rFonts w:hint="eastAsia" w:ascii="宋体" w:cs="宋体"/>
          <w:color w:val="000000" w:themeColor="text1"/>
          <w:spacing w:val="0"/>
          <w:sz w:val="24"/>
          <w:szCs w:val="24"/>
          <w:highlight w:val="none"/>
          <w14:textFill>
            <w14:solidFill>
              <w14:schemeClr w14:val="tx1"/>
            </w14:solidFill>
          </w14:textFill>
        </w:rPr>
        <w:t>控制柜门更换</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更换7套柜门元件。更换门和上面的按钮指示灯选择开关。</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2.</w:t>
      </w:r>
      <w:r>
        <w:rPr>
          <w:rFonts w:ascii="宋体" w:cs="宋体"/>
          <w:color w:val="000000" w:themeColor="text1"/>
          <w:spacing w:val="0"/>
          <w:sz w:val="24"/>
          <w:szCs w:val="24"/>
          <w:highlight w:val="none"/>
          <w14:textFill>
            <w14:solidFill>
              <w14:schemeClr w14:val="tx1"/>
            </w14:solidFill>
          </w14:textFill>
        </w:rPr>
        <w:t>19</w:t>
      </w:r>
      <w:r>
        <w:rPr>
          <w:rFonts w:hint="eastAsia" w:ascii="宋体" w:cs="宋体"/>
          <w:color w:val="000000" w:themeColor="text1"/>
          <w:spacing w:val="0"/>
          <w:sz w:val="24"/>
          <w:szCs w:val="24"/>
          <w:highlight w:val="none"/>
          <w14:textFill>
            <w14:solidFill>
              <w14:schemeClr w14:val="tx1"/>
            </w14:solidFill>
          </w14:textFill>
        </w:rPr>
        <w:t>按钮箱</w:t>
      </w:r>
      <w:r>
        <w:rPr>
          <w:rFonts w:ascii="宋体" w:cs="宋体"/>
          <w:color w:val="000000" w:themeColor="text1"/>
          <w:spacing w:val="0"/>
          <w:sz w:val="24"/>
          <w:szCs w:val="24"/>
          <w:highlight w:val="none"/>
          <w14:textFill>
            <w14:solidFill>
              <w14:schemeClr w14:val="tx1"/>
            </w14:solidFill>
          </w14:textFill>
        </w:rPr>
        <w:t>电缆</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更换按钮箱电缆，约1200米。包括旧电缆拆除及新电缆铺设，接线等。电力电缆使用国内一线品牌优质阻燃电缆。</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2.20电缆</w:t>
      </w:r>
      <w:r>
        <w:rPr>
          <w:rFonts w:ascii="宋体" w:cs="宋体"/>
          <w:color w:val="000000" w:themeColor="text1"/>
          <w:spacing w:val="0"/>
          <w:sz w:val="24"/>
          <w:szCs w:val="24"/>
          <w:highlight w:val="none"/>
          <w14:textFill>
            <w14:solidFill>
              <w14:schemeClr w14:val="tx1"/>
            </w14:solidFill>
          </w14:textFill>
        </w:rPr>
        <w:t>桥架</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更换锈蚀严重的电缆桥架约40米。规格为：300*100电缆桥架、镀锌管等附件选用国产优质品牌，正常工况选用国标热镀锌，有腐蚀区域选用不锈钢或玻璃钢材质。（所有桥架</w:t>
      </w:r>
      <w:r>
        <w:rPr>
          <w:rFonts w:ascii="宋体" w:cs="宋体"/>
          <w:b w:val="0"/>
          <w:bCs w:val="0"/>
          <w:color w:val="000000" w:themeColor="text1"/>
          <w:spacing w:val="0"/>
          <w:sz w:val="24"/>
          <w:szCs w:val="24"/>
          <w:highlight w:val="none"/>
          <w14:textFill>
            <w14:solidFill>
              <w14:schemeClr w14:val="tx1"/>
            </w14:solidFill>
          </w14:textFill>
        </w:rPr>
        <w:t>/镀锌管应符合国标要求）；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1）所有桥架均采用热浸镀锌。桥架弯通、三通等均采用热浸镀锌成品，不准自行加工。镀锌层不应有剥离、起皮、凸起等现象，镀锌层应不露出金属基体。</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2）镀锌层表面应均匀，无毛刺、过烧、挂灰、伤痕等缺陷。</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3）桥架应能承受GB/T2423.55-2006中规定的碰撞能量为10J的撞击，撞击后不应出现影响安全使用的变形和裂纹。</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2.</w:t>
      </w:r>
      <w:r>
        <w:rPr>
          <w:rFonts w:ascii="宋体" w:cs="宋体"/>
          <w:color w:val="000000" w:themeColor="text1"/>
          <w:spacing w:val="0"/>
          <w:sz w:val="24"/>
          <w:szCs w:val="24"/>
          <w:highlight w:val="none"/>
          <w14:textFill>
            <w14:solidFill>
              <w14:schemeClr w14:val="tx1"/>
            </w14:solidFill>
          </w14:textFill>
        </w:rPr>
        <w:t>21、</w:t>
      </w:r>
      <w:r>
        <w:rPr>
          <w:rFonts w:hint="eastAsia" w:ascii="宋体" w:cs="宋体"/>
          <w:color w:val="000000" w:themeColor="text1"/>
          <w:spacing w:val="0"/>
          <w:sz w:val="24"/>
          <w:szCs w:val="24"/>
          <w:highlight w:val="none"/>
          <w14:textFill>
            <w14:solidFill>
              <w14:schemeClr w14:val="tx1"/>
            </w14:solidFill>
          </w14:textFill>
        </w:rPr>
        <w:t>加药</w:t>
      </w:r>
      <w:r>
        <w:rPr>
          <w:rFonts w:ascii="宋体" w:cs="宋体"/>
          <w:color w:val="000000" w:themeColor="text1"/>
          <w:spacing w:val="0"/>
          <w:sz w:val="24"/>
          <w:szCs w:val="24"/>
          <w:highlight w:val="none"/>
          <w14:textFill>
            <w14:solidFill>
              <w14:schemeClr w14:val="tx1"/>
            </w14:solidFill>
          </w14:textFill>
        </w:rPr>
        <w:t>计量泵</w:t>
      </w:r>
      <w:r>
        <w:rPr>
          <w:rFonts w:hint="eastAsia" w:ascii="宋体" w:cs="宋体"/>
          <w:color w:val="000000" w:themeColor="text1"/>
          <w:spacing w:val="0"/>
          <w:sz w:val="24"/>
          <w:szCs w:val="24"/>
          <w:highlight w:val="none"/>
          <w14:textFill>
            <w14:solidFill>
              <w14:schemeClr w14:val="tx1"/>
            </w14:solidFill>
          </w14:textFill>
        </w:rPr>
        <w:t>及管道更新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w:t>
      </w:r>
      <w:r>
        <w:rPr>
          <w:rFonts w:ascii="宋体" w:cs="宋体"/>
          <w:b w:val="0"/>
          <w:bCs w:val="0"/>
          <w:color w:val="000000" w:themeColor="text1"/>
          <w:spacing w:val="0"/>
          <w:sz w:val="24"/>
          <w:szCs w:val="24"/>
          <w:highlight w:val="none"/>
          <w14:textFill>
            <w14:solidFill>
              <w14:schemeClr w14:val="tx1"/>
            </w14:solidFill>
          </w14:textFill>
        </w:rPr>
        <w:t>）</w:t>
      </w:r>
      <w:r>
        <w:rPr>
          <w:rFonts w:hint="eastAsia" w:ascii="宋体" w:cs="宋体"/>
          <w:b w:val="0"/>
          <w:bCs w:val="0"/>
          <w:color w:val="000000" w:themeColor="text1"/>
          <w:spacing w:val="0"/>
          <w:sz w:val="24"/>
          <w:szCs w:val="24"/>
          <w:highlight w:val="none"/>
          <w14:textFill>
            <w14:solidFill>
              <w14:schemeClr w14:val="tx1"/>
            </w14:solidFill>
          </w14:textFill>
        </w:rPr>
        <w:t>设备参数</w:t>
      </w:r>
    </w:p>
    <w:tbl>
      <w:tblPr>
        <w:tblStyle w:val="41"/>
        <w:tblW w:w="512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2135"/>
        <w:gridCol w:w="2607"/>
        <w:gridCol w:w="1382"/>
        <w:gridCol w:w="1145"/>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1087" w:type="dxa"/>
            <w:shd w:val="clear" w:color="000000" w:fill="FFFFFF"/>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序号</w:t>
            </w:r>
          </w:p>
        </w:tc>
        <w:tc>
          <w:tcPr>
            <w:tcW w:w="2134" w:type="dxa"/>
            <w:shd w:val="clear" w:color="000000" w:fill="FFFFFF"/>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名称</w:t>
            </w:r>
          </w:p>
        </w:tc>
        <w:tc>
          <w:tcPr>
            <w:tcW w:w="2607" w:type="dxa"/>
            <w:shd w:val="clear" w:color="000000" w:fill="FFFFFF"/>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技术参数</w:t>
            </w:r>
          </w:p>
        </w:tc>
        <w:tc>
          <w:tcPr>
            <w:tcW w:w="1382" w:type="dxa"/>
            <w:shd w:val="clear" w:color="000000" w:fill="FFFFFF"/>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单位</w:t>
            </w:r>
          </w:p>
        </w:tc>
        <w:tc>
          <w:tcPr>
            <w:tcW w:w="1146" w:type="dxa"/>
            <w:shd w:val="clear" w:color="000000" w:fill="FFFFFF"/>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数量</w:t>
            </w:r>
          </w:p>
        </w:tc>
        <w:tc>
          <w:tcPr>
            <w:tcW w:w="1158" w:type="dxa"/>
            <w:shd w:val="clear" w:color="000000" w:fill="FFFFFF"/>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1" w:type="pct"/>
            <w:shd w:val="clear" w:color="000000" w:fill="FFFFFF"/>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w:t>
            </w:r>
          </w:p>
        </w:tc>
        <w:tc>
          <w:tcPr>
            <w:tcW w:w="1121" w:type="pct"/>
            <w:shd w:val="clear" w:color="000000" w:fill="FFFFFF"/>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PAM</w:t>
            </w:r>
            <w:r>
              <w:rPr>
                <w:rFonts w:hint="eastAsia" w:ascii="宋体" w:cs="宋体"/>
                <w:b w:val="0"/>
                <w:bCs w:val="0"/>
                <w:color w:val="000000" w:themeColor="text1"/>
                <w:spacing w:val="0"/>
                <w:sz w:val="24"/>
                <w:szCs w:val="24"/>
                <w:highlight w:val="none"/>
                <w14:textFill>
                  <w14:solidFill>
                    <w14:schemeClr w14:val="tx1"/>
                  </w14:solidFill>
                </w14:textFill>
              </w:rPr>
              <w:t>、PAC</w:t>
            </w:r>
            <w:r>
              <w:rPr>
                <w:rFonts w:ascii="宋体" w:cs="宋体"/>
                <w:b w:val="0"/>
                <w:bCs w:val="0"/>
                <w:color w:val="000000" w:themeColor="text1"/>
                <w:spacing w:val="0"/>
                <w:sz w:val="24"/>
                <w:szCs w:val="24"/>
                <w:highlight w:val="none"/>
                <w14:textFill>
                  <w14:solidFill>
                    <w14:schemeClr w14:val="tx1"/>
                  </w14:solidFill>
                </w14:textFill>
              </w:rPr>
              <w:t>加药计量泵</w:t>
            </w:r>
          </w:p>
        </w:tc>
        <w:tc>
          <w:tcPr>
            <w:tcW w:w="1369" w:type="pct"/>
            <w:shd w:val="clear" w:color="000000" w:fill="FFFFFF"/>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需与原系统匹配，</w:t>
            </w:r>
            <w:r>
              <w:rPr>
                <w:rFonts w:ascii="宋体" w:cs="宋体"/>
                <w:b w:val="0"/>
                <w:bCs w:val="0"/>
                <w:color w:val="000000" w:themeColor="text1"/>
                <w:spacing w:val="0"/>
                <w:sz w:val="24"/>
                <w:szCs w:val="24"/>
                <w:highlight w:val="none"/>
                <w14:textFill>
                  <w14:solidFill>
                    <w14:schemeClr w14:val="tx1"/>
                  </w14:solidFill>
                </w14:textFill>
              </w:rPr>
              <w:t>包括安全阀，</w:t>
            </w:r>
            <w:r>
              <w:rPr>
                <w:rFonts w:hint="eastAsia" w:ascii="宋体" w:cs="宋体"/>
                <w:b w:val="0"/>
                <w:bCs w:val="0"/>
                <w:color w:val="000000" w:themeColor="text1"/>
                <w:spacing w:val="0"/>
                <w:sz w:val="24"/>
                <w:szCs w:val="24"/>
                <w:highlight w:val="none"/>
                <w14:textFill>
                  <w14:solidFill>
                    <w14:schemeClr w14:val="tx1"/>
                  </w14:solidFill>
                </w14:textFill>
              </w:rPr>
              <w:t>背压阀，脉冲阻尼器，Y型过滤器。</w:t>
            </w:r>
          </w:p>
        </w:tc>
        <w:tc>
          <w:tcPr>
            <w:tcW w:w="726" w:type="pct"/>
            <w:shd w:val="clear" w:color="000000" w:fill="FFFFFF"/>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台</w:t>
            </w:r>
          </w:p>
        </w:tc>
        <w:tc>
          <w:tcPr>
            <w:tcW w:w="602" w:type="pct"/>
            <w:shd w:val="clear" w:color="000000" w:fill="FFFFFF"/>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10</w:t>
            </w:r>
          </w:p>
        </w:tc>
        <w:tc>
          <w:tcPr>
            <w:tcW w:w="608" w:type="pct"/>
            <w:shd w:val="clear" w:color="000000" w:fill="FFFFFF"/>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71" w:type="pct"/>
            <w:shd w:val="clear" w:color="000000" w:fill="FFFFFF"/>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w:t>
            </w:r>
          </w:p>
        </w:tc>
        <w:tc>
          <w:tcPr>
            <w:tcW w:w="1121" w:type="pct"/>
            <w:shd w:val="clear" w:color="000000" w:fill="FFFFFF"/>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次氯酸钠加药计量泵</w:t>
            </w:r>
          </w:p>
        </w:tc>
        <w:tc>
          <w:tcPr>
            <w:tcW w:w="1369" w:type="pct"/>
            <w:shd w:val="clear" w:color="000000" w:fill="FFFFFF"/>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流量50L/h，压力10bar。需与原系统匹配</w:t>
            </w:r>
            <w:r>
              <w:rPr>
                <w:rFonts w:ascii="宋体" w:cs="宋体"/>
                <w:b w:val="0"/>
                <w:bCs w:val="0"/>
                <w:color w:val="000000" w:themeColor="text1"/>
                <w:spacing w:val="0"/>
                <w:sz w:val="24"/>
                <w:szCs w:val="24"/>
                <w:highlight w:val="none"/>
                <w14:textFill>
                  <w14:solidFill>
                    <w14:schemeClr w14:val="tx1"/>
                  </w14:solidFill>
                </w14:textFill>
              </w:rPr>
              <w:t>，</w:t>
            </w:r>
            <w:r>
              <w:rPr>
                <w:rFonts w:hint="eastAsia" w:ascii="宋体" w:cs="宋体"/>
                <w:b w:val="0"/>
                <w:bCs w:val="0"/>
                <w:color w:val="000000" w:themeColor="text1"/>
                <w:spacing w:val="0"/>
                <w:sz w:val="24"/>
                <w:szCs w:val="24"/>
                <w:highlight w:val="none"/>
                <w14:textFill>
                  <w14:solidFill>
                    <w14:schemeClr w14:val="tx1"/>
                  </w14:solidFill>
                </w14:textFill>
              </w:rPr>
              <w:t>包括安全阀，背压阀，脉冲阻尼器，Y型过滤器。</w:t>
            </w:r>
          </w:p>
        </w:tc>
        <w:tc>
          <w:tcPr>
            <w:tcW w:w="726" w:type="pct"/>
            <w:shd w:val="clear" w:color="000000" w:fill="FFFFFF"/>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台</w:t>
            </w:r>
          </w:p>
        </w:tc>
        <w:tc>
          <w:tcPr>
            <w:tcW w:w="602" w:type="pct"/>
            <w:shd w:val="clear" w:color="000000" w:fill="FFFFFF"/>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2</w:t>
            </w:r>
          </w:p>
        </w:tc>
        <w:tc>
          <w:tcPr>
            <w:tcW w:w="608" w:type="pct"/>
            <w:shd w:val="clear" w:color="000000" w:fill="FFFFFF"/>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bl>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w:t>
      </w:r>
      <w:r>
        <w:rPr>
          <w:rFonts w:ascii="宋体" w:cs="宋体"/>
          <w:b w:val="0"/>
          <w:bCs w:val="0"/>
          <w:color w:val="000000" w:themeColor="text1"/>
          <w:spacing w:val="0"/>
          <w:sz w:val="24"/>
          <w:szCs w:val="24"/>
          <w:highlight w:val="none"/>
          <w14:textFill>
            <w14:solidFill>
              <w14:schemeClr w14:val="tx1"/>
            </w14:solidFill>
          </w14:textFill>
        </w:rPr>
        <w:t>技术要求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1）设备在下列条件下应能连续运行：</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a.</w:t>
      </w:r>
      <w:r>
        <w:rPr>
          <w:rFonts w:ascii="宋体" w:cs="宋体"/>
          <w:b w:val="0"/>
          <w:bCs w:val="0"/>
          <w:color w:val="000000" w:themeColor="text1"/>
          <w:spacing w:val="0"/>
          <w:sz w:val="24"/>
          <w:szCs w:val="24"/>
          <w:highlight w:val="none"/>
          <w14:textFill>
            <w14:solidFill>
              <w14:schemeClr w14:val="tx1"/>
            </w14:solidFill>
          </w14:textFill>
        </w:rPr>
        <w:tab/>
      </w:r>
      <w:r>
        <w:rPr>
          <w:rFonts w:ascii="宋体" w:cs="宋体"/>
          <w:b w:val="0"/>
          <w:bCs w:val="0"/>
          <w:color w:val="000000" w:themeColor="text1"/>
          <w:spacing w:val="0"/>
          <w:sz w:val="24"/>
          <w:szCs w:val="24"/>
          <w:highlight w:val="none"/>
          <w14:textFill>
            <w14:solidFill>
              <w14:schemeClr w14:val="tx1"/>
            </w14:solidFill>
          </w14:textFill>
        </w:rPr>
        <w:t>工作介质： PAM、</w:t>
      </w:r>
      <w:r>
        <w:rPr>
          <w:rFonts w:hint="eastAsia" w:ascii="宋体" w:cs="宋体"/>
          <w:b w:val="0"/>
          <w:bCs w:val="0"/>
          <w:color w:val="000000" w:themeColor="text1"/>
          <w:spacing w:val="0"/>
          <w:sz w:val="24"/>
          <w:szCs w:val="24"/>
          <w:highlight w:val="none"/>
          <w14:textFill>
            <w14:solidFill>
              <w14:schemeClr w14:val="tx1"/>
            </w14:solidFill>
          </w14:textFill>
        </w:rPr>
        <w:t>PAC、10</w:t>
      </w:r>
      <w:r>
        <w:rPr>
          <w:rFonts w:ascii="宋体" w:cs="宋体"/>
          <w:b w:val="0"/>
          <w:bCs w:val="0"/>
          <w:color w:val="000000" w:themeColor="text1"/>
          <w:spacing w:val="0"/>
          <w:sz w:val="24"/>
          <w:szCs w:val="24"/>
          <w:highlight w:val="none"/>
          <w14:textFill>
            <w14:solidFill>
              <w14:schemeClr w14:val="tx1"/>
            </w14:solidFill>
          </w14:textFill>
        </w:rPr>
        <w:t>%</w:t>
      </w:r>
      <w:r>
        <w:rPr>
          <w:rFonts w:hint="eastAsia" w:ascii="宋体" w:cs="宋体"/>
          <w:b w:val="0"/>
          <w:bCs w:val="0"/>
          <w:color w:val="000000" w:themeColor="text1"/>
          <w:spacing w:val="0"/>
          <w:sz w:val="24"/>
          <w:szCs w:val="24"/>
          <w:highlight w:val="none"/>
          <w14:textFill>
            <w14:solidFill>
              <w14:schemeClr w14:val="tx1"/>
            </w14:solidFill>
          </w14:textFill>
        </w:rPr>
        <w:t>次氯酸钠</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b.</w:t>
      </w:r>
      <w:r>
        <w:rPr>
          <w:rFonts w:ascii="宋体" w:cs="宋体"/>
          <w:b w:val="0"/>
          <w:bCs w:val="0"/>
          <w:color w:val="000000" w:themeColor="text1"/>
          <w:spacing w:val="0"/>
          <w:sz w:val="24"/>
          <w:szCs w:val="24"/>
          <w:highlight w:val="none"/>
          <w14:textFill>
            <w14:solidFill>
              <w14:schemeClr w14:val="tx1"/>
            </w14:solidFill>
          </w14:textFill>
        </w:rPr>
        <w:tab/>
      </w:r>
      <w:r>
        <w:rPr>
          <w:rFonts w:ascii="宋体" w:cs="宋体"/>
          <w:b w:val="0"/>
          <w:bCs w:val="0"/>
          <w:color w:val="000000" w:themeColor="text1"/>
          <w:spacing w:val="0"/>
          <w:sz w:val="24"/>
          <w:szCs w:val="24"/>
          <w:highlight w:val="none"/>
          <w14:textFill>
            <w14:solidFill>
              <w14:schemeClr w14:val="tx1"/>
            </w14:solidFill>
          </w14:textFill>
        </w:rPr>
        <w:t>介质温度：常温</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2）计量泵应是立式安装，整机设计使用寿命不少于10年。</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3）水力部件应设计和制造成没有锐利的棱角。</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4）电机连接体外侧位置应有铸造箭头，以标明电机旋转方向。</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5）液力端外表面应光洁、平整，不得有划痕。</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6）动力端外表面应平整、无毛刺、坑洼，油漆面光洁，五色差。</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7）所有零件在装配前应经过检验并且是合格品。泵承受压力的零部件应进行水压试验，试验压力值为额定排出压力的1.5倍。</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8）加药计量泵为机械隔膜计量泵。计量泵冲程长度可以实现手动就地调节，达到泵的流量可在0-100%范围内实现在运行停车时连续调节。计量泵的精度达1%以上。</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9）每台泵可通过手动调节冲程来无级调整加注量，冲程调节应能在标定的刻度范围内方便地进行预设定，并能在水泵运行或不运行时进行调节。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10）计量泵的液力端部分包括隔膜、单向球阀及泵头外壳等组成。单向止回球阀采用PVC制的阀体、阀座、聚四氟密封件和垫片，小球为陶瓷制，加工精度高，强固耐腐蚀，以保证计量泵的精度和运行稳定。泵头外壳材质为PVC。</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11）隔膜材料应选用聚四氟乙烯与耐油合成橡胶合压成的复合隔膜。与物料相接触面为PVDF，液压面为耐油合成橡胶。在正常工作条件下，所提供计量泵隔膜连续运行寿命应不少于20,000小时。</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12）计量泵运行时泵的轴承温度不高于65</w:t>
      </w:r>
      <w:r>
        <w:rPr>
          <w:rFonts w:hint="eastAsia" w:ascii="微软雅黑" w:hAnsi="微软雅黑" w:eastAsia="微软雅黑" w:cs="微软雅黑"/>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C，无异常振动，各密封处没有泄漏。</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13）计量泵在出厂前，在明显的部位将标注电动机旋转方向指示箭头。。</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14）隔膜计量泵附件</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A．Y型过滤器</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将物料中杂质滤除，保护投药系统正常运行，过滤器为可拆卸网栏型，双活接承插连接。</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材质：透明</w:t>
      </w:r>
      <w:r>
        <w:rPr>
          <w:rFonts w:ascii="宋体" w:cs="宋体"/>
          <w:b w:val="0"/>
          <w:bCs w:val="0"/>
          <w:color w:val="000000" w:themeColor="text1"/>
          <w:spacing w:val="0"/>
          <w:sz w:val="24"/>
          <w:szCs w:val="24"/>
          <w:highlight w:val="none"/>
          <w14:textFill>
            <w14:solidFill>
              <w14:schemeClr w14:val="tx1"/>
            </w14:solidFill>
          </w14:textFill>
        </w:rPr>
        <w:t>PVC，滤芯易于检查和拆卸清除杂质。</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公称压力：</w:t>
      </w:r>
      <w:r>
        <w:rPr>
          <w:rFonts w:ascii="宋体" w:cs="宋体"/>
          <w:b w:val="0"/>
          <w:bCs w:val="0"/>
          <w:color w:val="000000" w:themeColor="text1"/>
          <w:spacing w:val="0"/>
          <w:sz w:val="24"/>
          <w:szCs w:val="24"/>
          <w:highlight w:val="none"/>
          <w14:textFill>
            <w14:solidFill>
              <w14:schemeClr w14:val="tx1"/>
            </w14:solidFill>
          </w14:textFill>
        </w:rPr>
        <w:t>0.6MPa</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特点：免拆卸可随时检查过滤器内存污情况。</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w:t>
      </w:r>
      <w:r>
        <w:rPr>
          <w:rFonts w:ascii="宋体" w:cs="宋体"/>
          <w:b w:val="0"/>
          <w:bCs w:val="0"/>
          <w:color w:val="000000" w:themeColor="text1"/>
          <w:spacing w:val="0"/>
          <w:sz w:val="24"/>
          <w:szCs w:val="24"/>
          <w:highlight w:val="none"/>
          <w14:textFill>
            <w14:solidFill>
              <w14:schemeClr w14:val="tx1"/>
            </w14:solidFill>
          </w14:textFill>
        </w:rPr>
        <w:t>5</w:t>
      </w: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主要零部件材质</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泵头：</w:t>
      </w:r>
      <w:r>
        <w:rPr>
          <w:rFonts w:ascii="宋体" w:cs="宋体"/>
          <w:b w:val="0"/>
          <w:bCs w:val="0"/>
          <w:color w:val="000000" w:themeColor="text1"/>
          <w:spacing w:val="0"/>
          <w:sz w:val="24"/>
          <w:szCs w:val="24"/>
          <w:highlight w:val="none"/>
          <w14:textFill>
            <w14:solidFill>
              <w14:schemeClr w14:val="tx1"/>
            </w14:solidFill>
          </w14:textFill>
        </w:rPr>
        <w:t>PVC</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膜片：</w:t>
      </w:r>
      <w:r>
        <w:rPr>
          <w:rFonts w:ascii="宋体" w:cs="宋体"/>
          <w:b w:val="0"/>
          <w:bCs w:val="0"/>
          <w:color w:val="000000" w:themeColor="text1"/>
          <w:spacing w:val="0"/>
          <w:sz w:val="24"/>
          <w:szCs w:val="24"/>
          <w:highlight w:val="none"/>
          <w14:textFill>
            <w14:solidFill>
              <w14:schemeClr w14:val="tx1"/>
            </w14:solidFill>
          </w14:textFill>
        </w:rPr>
        <w:t>PTFE</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16</w:t>
      </w:r>
      <w:r>
        <w:rPr>
          <w:rFonts w:hint="eastAsia" w:ascii="宋体" w:cs="宋体"/>
          <w:b w:val="0"/>
          <w:bCs w:val="0"/>
          <w:color w:val="000000" w:themeColor="text1"/>
          <w:spacing w:val="0"/>
          <w:sz w:val="24"/>
          <w:szCs w:val="24"/>
          <w:highlight w:val="none"/>
          <w14:textFill>
            <w14:solidFill>
              <w14:schemeClr w14:val="tx1"/>
            </w14:solidFill>
          </w14:textFill>
        </w:rPr>
        <w:t>）对加药装置罐体进行清理、防腐，所有配套管道及阀门进行更换。</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2.22管道施工主要内容</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w:t>
      </w:r>
      <w:r>
        <w:rPr>
          <w:rFonts w:ascii="宋体" w:cs="宋体"/>
          <w:b w:val="0"/>
          <w:bCs w:val="0"/>
          <w:color w:val="000000" w:themeColor="text1"/>
          <w:spacing w:val="0"/>
          <w:sz w:val="24"/>
          <w:szCs w:val="24"/>
          <w:highlight w:val="none"/>
          <w14:textFill>
            <w14:solidFill>
              <w14:schemeClr w14:val="tx1"/>
            </w14:solidFill>
          </w14:textFill>
        </w:rPr>
        <w:t>更换锈蚀严重的管道阀门，曝气支管更换DN80，120米；曝气主管除锈刷漆，DN150,40米；曝气主管除锈刷漆，DN250,30米；</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w:t>
      </w:r>
      <w:r>
        <w:rPr>
          <w:rFonts w:ascii="宋体" w:cs="宋体"/>
          <w:b w:val="0"/>
          <w:bCs w:val="0"/>
          <w:color w:val="000000" w:themeColor="text1"/>
          <w:spacing w:val="0"/>
          <w:sz w:val="24"/>
          <w:szCs w:val="24"/>
          <w:highlight w:val="none"/>
          <w14:textFill>
            <w14:solidFill>
              <w14:schemeClr w14:val="tx1"/>
            </w14:solidFill>
          </w14:textFill>
        </w:rPr>
        <w:t>站内中水主管道整体开挖、更换中水回用管无缝钢管，DN100,20米；中水回用管PE，DN100,10米。阀门DN100，两只。回用水管DN50，镀锌钢管，50米。</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施工要求：曝气支路管道为碳钢，包括原有管道拆除及新管道安装。施工完毕后机械除锈，防腐漆2遍。主管道按照原来模式部分采用碳钢、部分采用PE管，中水回用支管道采用镀锌钢管。主体工程包括原有管道拆除及新管道安装，包括管道开挖、回填及路面恢复。完工后地上管道标注流向标识。</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2.</w:t>
      </w:r>
      <w:r>
        <w:rPr>
          <w:rFonts w:ascii="宋体" w:cs="宋体"/>
          <w:color w:val="000000" w:themeColor="text1"/>
          <w:spacing w:val="0"/>
          <w:sz w:val="24"/>
          <w:szCs w:val="24"/>
          <w:highlight w:val="none"/>
          <w14:textFill>
            <w14:solidFill>
              <w14:schemeClr w14:val="tx1"/>
            </w14:solidFill>
          </w14:textFill>
        </w:rPr>
        <w:t>23、</w:t>
      </w:r>
      <w:r>
        <w:rPr>
          <w:rFonts w:hint="eastAsia" w:ascii="宋体" w:cs="宋体"/>
          <w:color w:val="000000" w:themeColor="text1"/>
          <w:spacing w:val="0"/>
          <w:sz w:val="24"/>
          <w:szCs w:val="24"/>
          <w:highlight w:val="none"/>
          <w14:textFill>
            <w14:solidFill>
              <w14:schemeClr w14:val="tx1"/>
            </w14:solidFill>
          </w14:textFill>
        </w:rPr>
        <w:t>次氯酸钠加药装置</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（1）设备数量：1套</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w:t>
      </w:r>
      <w:r>
        <w:rPr>
          <w:rFonts w:ascii="宋体" w:cs="宋体"/>
          <w:b w:val="0"/>
          <w:bCs w:val="0"/>
          <w:color w:val="000000" w:themeColor="text1"/>
          <w:spacing w:val="0"/>
          <w:sz w:val="24"/>
          <w:szCs w:val="24"/>
          <w:highlight w:val="none"/>
          <w14:textFill>
            <w14:solidFill>
              <w14:schemeClr w14:val="tx1"/>
            </w14:solidFill>
          </w14:textFill>
        </w:rPr>
        <w:t>2）设备参数：</w:t>
      </w:r>
      <w:r>
        <w:rPr>
          <w:rFonts w:hint="eastAsia" w:ascii="宋体" w:cs="宋体"/>
          <w:b w:val="0"/>
          <w:bCs w:val="0"/>
          <w:color w:val="000000" w:themeColor="text1"/>
          <w:spacing w:val="0"/>
          <w:sz w:val="24"/>
          <w:szCs w:val="24"/>
          <w:highlight w:val="none"/>
          <w14:textFill>
            <w14:solidFill>
              <w14:schemeClr w14:val="tx1"/>
            </w14:solidFill>
          </w14:textFill>
        </w:rPr>
        <w:t>加药罐：</w:t>
      </w:r>
      <w:r>
        <w:rPr>
          <w:rFonts w:ascii="宋体" w:cs="宋体"/>
          <w:b w:val="0"/>
          <w:bCs w:val="0"/>
          <w:color w:val="000000" w:themeColor="text1"/>
          <w:spacing w:val="0"/>
          <w:sz w:val="24"/>
          <w:szCs w:val="24"/>
          <w:highlight w:val="none"/>
          <w14:textFill>
            <w14:solidFill>
              <w14:schemeClr w14:val="tx1"/>
            </w14:solidFill>
          </w14:textFill>
        </w:rPr>
        <w:t>V=2000L,PE材质</w:t>
      </w:r>
      <w:r>
        <w:rPr>
          <w:rFonts w:hint="eastAsia" w:ascii="宋体" w:cs="宋体"/>
          <w:b w:val="0"/>
          <w:bCs w:val="0"/>
          <w:color w:val="000000" w:themeColor="text1"/>
          <w:spacing w:val="0"/>
          <w:sz w:val="24"/>
          <w:szCs w:val="24"/>
          <w:highlight w:val="none"/>
          <w14:textFill>
            <w14:solidFill>
              <w14:schemeClr w14:val="tx1"/>
            </w14:solidFill>
          </w14:textFill>
        </w:rPr>
        <w:t>，需与原系统匹配。</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2.24、现场环境提升</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 xml:space="preserve">  对成型厂综合污水站现场部分锈蚀管道保温层及桥架进行更换、除锈喷漆以及现场目视化标识进行完善，符合现场5S管理标准。</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2.25、其他</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以上设备具体技术参数最终以现场勘查为准，整体性能不低于现有要求。所有带通讯传输接口的仪器及仪表均需接入招标方指定系统，确保数据传输的可靠性及稳定性。</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四、执行标准</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1.招标人此处所列标准仅为涉及的主要标准，而且不保证其为最新版执行标准；投标人应当在投标文件中认真予以填写、补充和修改完善。</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2.投标人需要执行的标准，应当采用所供货物通过买方组织的最终验收之日已经开始执行的最新标准。</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3.采购货物的产品质量、技术标准如在招投标文件中无相应说明，则按中华人民共和国有关部门颁发的最新的国标或专业（部）标准执行及相应的国际标准。</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4.采购货物没有国家或专业（部）标准的，按企业标准执行时，卖方应在合同签署之前，将所涉及的企业标准提供给买方确认。</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5.采购货物如果采用国际标准，其执行标准由投标人提供、招标人确认。</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6.采购货物所涉及的标准不统一时，原则上按照最严格标准执行。</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7.涉及的主要标准表</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4433"/>
        <w:gridCol w:w="2637"/>
        <w:gridCol w:w="1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99" w:type="dxa"/>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序号</w:t>
            </w:r>
          </w:p>
        </w:tc>
        <w:tc>
          <w:tcPr>
            <w:tcW w:w="4433" w:type="dxa"/>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标准名称</w:t>
            </w:r>
          </w:p>
        </w:tc>
        <w:tc>
          <w:tcPr>
            <w:tcW w:w="2637" w:type="dxa"/>
            <w:vAlign w:val="center"/>
          </w:tcPr>
          <w:p>
            <w:pPr>
              <w:spacing w:line="360" w:lineRule="auto"/>
              <w:ind w:left="274" w:right="238" w:firstLine="48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标准编号</w:t>
            </w:r>
          </w:p>
        </w:tc>
        <w:tc>
          <w:tcPr>
            <w:tcW w:w="1010" w:type="dxa"/>
            <w:vAlign w:val="center"/>
          </w:tcPr>
          <w:p>
            <w:pPr>
              <w:spacing w:line="360" w:lineRule="auto"/>
              <w:ind w:left="274" w:right="238" w:firstLine="48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99" w:type="dxa"/>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w:t>
            </w:r>
          </w:p>
        </w:tc>
        <w:tc>
          <w:tcPr>
            <w:tcW w:w="4433"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《机械设备安装工程施工及验收通用规范》</w:t>
            </w:r>
          </w:p>
        </w:tc>
        <w:tc>
          <w:tcPr>
            <w:tcW w:w="2637"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GB50231-2009</w:t>
            </w:r>
          </w:p>
        </w:tc>
        <w:tc>
          <w:tcPr>
            <w:tcW w:w="1010" w:type="dxa"/>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99" w:type="dxa"/>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w:t>
            </w:r>
          </w:p>
        </w:tc>
        <w:tc>
          <w:tcPr>
            <w:tcW w:w="4433"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《钢结构防腐蚀技术规程》</w:t>
            </w:r>
          </w:p>
        </w:tc>
        <w:tc>
          <w:tcPr>
            <w:tcW w:w="2637"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JGJ251-2011</w:t>
            </w:r>
          </w:p>
        </w:tc>
        <w:tc>
          <w:tcPr>
            <w:tcW w:w="1010" w:type="dxa"/>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99" w:type="dxa"/>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w:t>
            </w:r>
          </w:p>
        </w:tc>
        <w:tc>
          <w:tcPr>
            <w:tcW w:w="4433"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《城市污水处理厂工程质量验收规范》</w:t>
            </w:r>
          </w:p>
        </w:tc>
        <w:tc>
          <w:tcPr>
            <w:tcW w:w="2637"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GB50334-2017</w:t>
            </w:r>
          </w:p>
        </w:tc>
        <w:tc>
          <w:tcPr>
            <w:tcW w:w="1010" w:type="dxa"/>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99" w:type="dxa"/>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4</w:t>
            </w:r>
          </w:p>
        </w:tc>
        <w:tc>
          <w:tcPr>
            <w:tcW w:w="4433"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《环境保护产品技术要求、微孔曝气器》</w:t>
            </w:r>
          </w:p>
        </w:tc>
        <w:tc>
          <w:tcPr>
            <w:tcW w:w="2637"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HJ/T252-2006</w:t>
            </w:r>
          </w:p>
        </w:tc>
        <w:tc>
          <w:tcPr>
            <w:tcW w:w="1010" w:type="dxa"/>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99"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w:t>
            </w:r>
          </w:p>
        </w:tc>
        <w:tc>
          <w:tcPr>
            <w:tcW w:w="4433"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《现场设备、工业管道焊接工程施工及验收规范》</w:t>
            </w:r>
          </w:p>
        </w:tc>
        <w:tc>
          <w:tcPr>
            <w:tcW w:w="2637"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GB50236</w:t>
            </w:r>
          </w:p>
        </w:tc>
        <w:tc>
          <w:tcPr>
            <w:tcW w:w="1010" w:type="dxa"/>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99"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6</w:t>
            </w:r>
          </w:p>
        </w:tc>
        <w:tc>
          <w:tcPr>
            <w:tcW w:w="4433"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《水处理设备制造技术条件》</w:t>
            </w:r>
          </w:p>
        </w:tc>
        <w:tc>
          <w:tcPr>
            <w:tcW w:w="2637"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JB2932-86</w:t>
            </w:r>
          </w:p>
        </w:tc>
        <w:tc>
          <w:tcPr>
            <w:tcW w:w="1010" w:type="dxa"/>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99"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7</w:t>
            </w:r>
          </w:p>
        </w:tc>
        <w:tc>
          <w:tcPr>
            <w:tcW w:w="4433"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《通用用电设备配电设计规范》</w:t>
            </w:r>
          </w:p>
        </w:tc>
        <w:tc>
          <w:tcPr>
            <w:tcW w:w="2637"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GB50055-2011</w:t>
            </w:r>
          </w:p>
        </w:tc>
        <w:tc>
          <w:tcPr>
            <w:tcW w:w="1010" w:type="dxa"/>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99"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8</w:t>
            </w:r>
          </w:p>
        </w:tc>
        <w:tc>
          <w:tcPr>
            <w:tcW w:w="4433"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《仪表供电设计规范》</w:t>
            </w:r>
          </w:p>
        </w:tc>
        <w:tc>
          <w:tcPr>
            <w:tcW w:w="2637"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HG/T20509-2014</w:t>
            </w:r>
          </w:p>
        </w:tc>
        <w:tc>
          <w:tcPr>
            <w:tcW w:w="1010" w:type="dxa"/>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99"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9</w:t>
            </w:r>
          </w:p>
        </w:tc>
        <w:tc>
          <w:tcPr>
            <w:tcW w:w="4433"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《仪表配管配线设计规范》</w:t>
            </w:r>
          </w:p>
        </w:tc>
        <w:tc>
          <w:tcPr>
            <w:tcW w:w="2637"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HG/T20512-2014</w:t>
            </w:r>
          </w:p>
        </w:tc>
        <w:tc>
          <w:tcPr>
            <w:tcW w:w="1010" w:type="dxa"/>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99"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10</w:t>
            </w:r>
          </w:p>
        </w:tc>
        <w:tc>
          <w:tcPr>
            <w:tcW w:w="4433"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《信号报警及连锁系统设计规范》</w:t>
            </w:r>
          </w:p>
        </w:tc>
        <w:tc>
          <w:tcPr>
            <w:tcW w:w="2637"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HG/T20511-2014</w:t>
            </w:r>
          </w:p>
        </w:tc>
        <w:tc>
          <w:tcPr>
            <w:tcW w:w="1010" w:type="dxa"/>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99"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11</w:t>
            </w:r>
          </w:p>
        </w:tc>
        <w:tc>
          <w:tcPr>
            <w:tcW w:w="4433"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《自动化仪表工程施工及质量验收规范》</w:t>
            </w:r>
          </w:p>
        </w:tc>
        <w:tc>
          <w:tcPr>
            <w:tcW w:w="2637"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GB50093-2013</w:t>
            </w:r>
          </w:p>
        </w:tc>
        <w:tc>
          <w:tcPr>
            <w:tcW w:w="1010" w:type="dxa"/>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99"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12</w:t>
            </w:r>
          </w:p>
        </w:tc>
        <w:tc>
          <w:tcPr>
            <w:tcW w:w="4433" w:type="dxa"/>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《水池用潜水泵》</w:t>
            </w:r>
          </w:p>
        </w:tc>
        <w:tc>
          <w:tcPr>
            <w:tcW w:w="2637" w:type="dxa"/>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JISB8325-2003</w:t>
            </w:r>
          </w:p>
        </w:tc>
        <w:tc>
          <w:tcPr>
            <w:tcW w:w="1010" w:type="dxa"/>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99"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13</w:t>
            </w:r>
          </w:p>
        </w:tc>
        <w:tc>
          <w:tcPr>
            <w:tcW w:w="4433" w:type="dxa"/>
          </w:tcPr>
          <w:p>
            <w:pPr>
              <w:spacing w:line="360" w:lineRule="auto"/>
              <w:ind w:left="274" w:leftChars="0" w:right="238" w:hanging="274" w:firstLineChars="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《计量泵技术条件》</w:t>
            </w:r>
          </w:p>
        </w:tc>
        <w:tc>
          <w:tcPr>
            <w:tcW w:w="2637" w:type="dxa"/>
          </w:tcPr>
          <w:p>
            <w:pPr>
              <w:spacing w:line="360" w:lineRule="auto"/>
              <w:ind w:left="274" w:right="238" w:firstLine="48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GB9236</w:t>
            </w:r>
          </w:p>
        </w:tc>
        <w:tc>
          <w:tcPr>
            <w:tcW w:w="1010" w:type="dxa"/>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99"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14</w:t>
            </w:r>
          </w:p>
        </w:tc>
        <w:tc>
          <w:tcPr>
            <w:tcW w:w="4433" w:type="dxa"/>
          </w:tcPr>
          <w:p>
            <w:pPr>
              <w:spacing w:line="360" w:lineRule="auto"/>
              <w:ind w:left="274" w:leftChars="0" w:right="238" w:hanging="274" w:firstLineChars="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《计量泵试验方法》</w:t>
            </w:r>
          </w:p>
        </w:tc>
        <w:tc>
          <w:tcPr>
            <w:tcW w:w="2637" w:type="dxa"/>
          </w:tcPr>
          <w:p>
            <w:pPr>
              <w:spacing w:line="360" w:lineRule="auto"/>
              <w:ind w:left="274" w:right="238" w:firstLine="48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GB7783</w:t>
            </w:r>
          </w:p>
        </w:tc>
        <w:tc>
          <w:tcPr>
            <w:tcW w:w="1010" w:type="dxa"/>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99"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15</w:t>
            </w:r>
          </w:p>
        </w:tc>
        <w:tc>
          <w:tcPr>
            <w:tcW w:w="4433" w:type="dxa"/>
          </w:tcPr>
          <w:p>
            <w:pPr>
              <w:spacing w:line="360" w:lineRule="auto"/>
              <w:ind w:left="274" w:leftChars="0" w:right="238" w:hanging="274" w:firstLineChars="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《计量泵工程技术规定》</w:t>
            </w:r>
          </w:p>
        </w:tc>
        <w:tc>
          <w:tcPr>
            <w:tcW w:w="2637" w:type="dxa"/>
          </w:tcPr>
          <w:p>
            <w:pPr>
              <w:spacing w:line="360" w:lineRule="auto"/>
              <w:ind w:left="274" w:right="238" w:firstLine="48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w:t>
            </w:r>
          </w:p>
        </w:tc>
        <w:tc>
          <w:tcPr>
            <w:tcW w:w="1010" w:type="dxa"/>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99"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16</w:t>
            </w:r>
          </w:p>
        </w:tc>
        <w:tc>
          <w:tcPr>
            <w:tcW w:w="4433" w:type="dxa"/>
          </w:tcPr>
          <w:p>
            <w:pPr>
              <w:spacing w:line="360" w:lineRule="auto"/>
              <w:ind w:left="274" w:leftChars="0" w:right="238" w:hanging="274" w:firstLineChars="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《水泵流量的测定方法》</w:t>
            </w:r>
          </w:p>
        </w:tc>
        <w:tc>
          <w:tcPr>
            <w:tcW w:w="2637" w:type="dxa"/>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GB/T3214-1991</w:t>
            </w:r>
          </w:p>
        </w:tc>
        <w:tc>
          <w:tcPr>
            <w:tcW w:w="1010" w:type="dxa"/>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99"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17</w:t>
            </w:r>
          </w:p>
        </w:tc>
        <w:tc>
          <w:tcPr>
            <w:tcW w:w="4433" w:type="dxa"/>
          </w:tcPr>
          <w:p>
            <w:pPr>
              <w:spacing w:line="360" w:lineRule="auto"/>
              <w:ind w:left="274" w:leftChars="0" w:right="238" w:hanging="274" w:firstLineChars="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《泵的振动测量与评价方法》</w:t>
            </w:r>
          </w:p>
        </w:tc>
        <w:tc>
          <w:tcPr>
            <w:tcW w:w="2637" w:type="dxa"/>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JB/T8097-95</w:t>
            </w:r>
          </w:p>
        </w:tc>
        <w:tc>
          <w:tcPr>
            <w:tcW w:w="1010" w:type="dxa"/>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99"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18</w:t>
            </w:r>
          </w:p>
        </w:tc>
        <w:tc>
          <w:tcPr>
            <w:tcW w:w="4433" w:type="dxa"/>
          </w:tcPr>
          <w:p>
            <w:pPr>
              <w:spacing w:line="360" w:lineRule="auto"/>
              <w:ind w:left="274" w:leftChars="0" w:right="238" w:hanging="274" w:firstLineChars="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《泵的噪声测量与评价方法》</w:t>
            </w:r>
          </w:p>
        </w:tc>
        <w:tc>
          <w:tcPr>
            <w:tcW w:w="2637" w:type="dxa"/>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JB/T8098-95</w:t>
            </w:r>
          </w:p>
        </w:tc>
        <w:tc>
          <w:tcPr>
            <w:tcW w:w="1010" w:type="dxa"/>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99" w:type="dxa"/>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19</w:t>
            </w:r>
          </w:p>
        </w:tc>
        <w:tc>
          <w:tcPr>
            <w:tcW w:w="4433" w:type="dxa"/>
          </w:tcPr>
          <w:p>
            <w:pPr>
              <w:spacing w:line="360" w:lineRule="auto"/>
              <w:ind w:left="274" w:leftChars="0" w:right="238" w:hanging="274" w:firstLineChars="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《泵产品涂漆技术条件》</w:t>
            </w:r>
          </w:p>
        </w:tc>
        <w:tc>
          <w:tcPr>
            <w:tcW w:w="2637" w:type="dxa"/>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JB/T4297-1992</w:t>
            </w:r>
          </w:p>
        </w:tc>
        <w:tc>
          <w:tcPr>
            <w:tcW w:w="1010" w:type="dxa"/>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99" w:type="dxa"/>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20</w:t>
            </w:r>
          </w:p>
        </w:tc>
        <w:tc>
          <w:tcPr>
            <w:tcW w:w="4433" w:type="dxa"/>
          </w:tcPr>
          <w:p>
            <w:pPr>
              <w:spacing w:line="360" w:lineRule="auto"/>
              <w:ind w:left="274" w:leftChars="0" w:right="238" w:hanging="274" w:firstLineChars="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《泵可靠性测定试验》</w:t>
            </w:r>
          </w:p>
        </w:tc>
        <w:tc>
          <w:tcPr>
            <w:tcW w:w="2637" w:type="dxa"/>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JB/T6881-1993</w:t>
            </w:r>
          </w:p>
        </w:tc>
        <w:tc>
          <w:tcPr>
            <w:tcW w:w="101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99" w:type="dxa"/>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21</w:t>
            </w:r>
          </w:p>
        </w:tc>
        <w:tc>
          <w:tcPr>
            <w:tcW w:w="4433"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《潜水搅拌机》</w:t>
            </w:r>
          </w:p>
        </w:tc>
        <w:tc>
          <w:tcPr>
            <w:tcW w:w="2637"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CJ/T109-2007</w:t>
            </w:r>
          </w:p>
        </w:tc>
        <w:tc>
          <w:tcPr>
            <w:tcW w:w="101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999" w:type="dxa"/>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22</w:t>
            </w:r>
          </w:p>
        </w:tc>
        <w:tc>
          <w:tcPr>
            <w:tcW w:w="4433"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《水处理设备制造技术条件》</w:t>
            </w:r>
          </w:p>
        </w:tc>
        <w:tc>
          <w:tcPr>
            <w:tcW w:w="2637" w:type="dxa"/>
            <w:vAlign w:val="center"/>
          </w:tcPr>
          <w:p>
            <w:pPr>
              <w:spacing w:line="360" w:lineRule="auto"/>
              <w:ind w:left="274" w:right="238" w:firstLine="48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JB2932-86</w:t>
            </w:r>
          </w:p>
        </w:tc>
        <w:tc>
          <w:tcPr>
            <w:tcW w:w="101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bl>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 xml:space="preserve">  </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br w:type="page"/>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p>
      <w:pPr>
        <w:spacing w:line="360" w:lineRule="auto"/>
        <w:ind w:left="274" w:right="238" w:firstLine="56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olor w:val="000000" w:themeColor="text1"/>
          <w:spacing w:val="0"/>
          <w:kern w:val="44"/>
          <w:sz w:val="28"/>
          <w:szCs w:val="28"/>
          <w:highlight w:val="none"/>
          <w14:textFill>
            <w14:solidFill>
              <w14:schemeClr w14:val="tx1"/>
            </w14:solidFill>
          </w14:textFill>
        </w:rPr>
        <w:t>第三章</w:t>
      </w:r>
      <w:r>
        <w:rPr>
          <w:rFonts w:ascii="宋体"/>
          <w:color w:val="000000" w:themeColor="text1"/>
          <w:spacing w:val="0"/>
          <w:kern w:val="44"/>
          <w:sz w:val="28"/>
          <w:szCs w:val="28"/>
          <w:highlight w:val="none"/>
          <w14:textFill>
            <w14:solidFill>
              <w14:schemeClr w14:val="tx1"/>
            </w14:solidFill>
          </w14:textFill>
        </w:rPr>
        <w:t xml:space="preserve">  </w:t>
      </w:r>
      <w:r>
        <w:rPr>
          <w:rFonts w:hint="eastAsia" w:ascii="宋体"/>
          <w:color w:val="000000" w:themeColor="text1"/>
          <w:spacing w:val="0"/>
          <w:kern w:val="44"/>
          <w:sz w:val="28"/>
          <w:szCs w:val="28"/>
          <w:highlight w:val="none"/>
          <w14:textFill>
            <w14:solidFill>
              <w14:schemeClr w14:val="tx1"/>
            </w14:solidFill>
          </w14:textFill>
        </w:rPr>
        <w:t>供货范围及供货方式</w:t>
      </w:r>
      <w:bookmarkEnd w:id="71"/>
    </w:p>
    <w:p>
      <w:pPr>
        <w:spacing w:line="360" w:lineRule="auto"/>
        <w:ind w:left="274" w:right="238" w:firstLine="480"/>
        <w:rPr>
          <w:rFonts w:ascii="宋体" w:cs="宋体"/>
          <w:color w:val="000000" w:themeColor="text1"/>
          <w:spacing w:val="0"/>
          <w:sz w:val="24"/>
          <w:szCs w:val="24"/>
          <w:highlight w:val="none"/>
          <w14:textFill>
            <w14:solidFill>
              <w14:schemeClr w14:val="tx1"/>
            </w14:solidFill>
          </w14:textFill>
        </w:rPr>
      </w:pPr>
      <w:bookmarkStart w:id="83" w:name="_Toc169605882"/>
      <w:r>
        <w:rPr>
          <w:rFonts w:hint="eastAsia" w:ascii="宋体" w:cs="宋体"/>
          <w:color w:val="000000" w:themeColor="text1"/>
          <w:spacing w:val="0"/>
          <w:sz w:val="24"/>
          <w:szCs w:val="24"/>
          <w:highlight w:val="none"/>
          <w14:textFill>
            <w14:solidFill>
              <w14:schemeClr w14:val="tx1"/>
            </w14:solidFill>
          </w14:textFill>
        </w:rPr>
        <w:t>第一节  供货范围</w:t>
      </w:r>
      <w:bookmarkEnd w:id="83"/>
    </w:p>
    <w:p>
      <w:pPr>
        <w:spacing w:line="360" w:lineRule="auto"/>
        <w:ind w:left="274" w:right="238" w:firstLine="48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一、供货范围</w:t>
      </w:r>
      <w:r>
        <w:rPr>
          <w:rFonts w:hint="eastAsia" w:ascii="宋体" w:cs="宋体"/>
          <w:b w:val="0"/>
          <w:bCs w:val="0"/>
          <w:color w:val="000000" w:themeColor="text1"/>
          <w:spacing w:val="0"/>
          <w:sz w:val="24"/>
          <w:szCs w:val="24"/>
          <w:highlight w:val="none"/>
          <w14:textFill>
            <w14:solidFill>
              <w14:schemeClr w14:val="tx1"/>
            </w14:solidFill>
          </w14:textFill>
        </w:rPr>
        <w:t>（按照组成项目主要构成一览表的所有最小单元逐一列示，要涵盖培训等内容）</w:t>
      </w:r>
    </w:p>
    <w:tbl>
      <w:tblPr>
        <w:tblStyle w:val="4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8"/>
        <w:gridCol w:w="1578"/>
        <w:gridCol w:w="3124"/>
        <w:gridCol w:w="1050"/>
        <w:gridCol w:w="1260"/>
        <w:gridCol w:w="1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569" w:type="pct"/>
            <w:shd w:val="clear" w:color="auto" w:fill="CFCECE" w:themeFill="background2" w:themeFillShade="E5"/>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序号</w:t>
            </w:r>
          </w:p>
        </w:tc>
        <w:tc>
          <w:tcPr>
            <w:tcW w:w="849" w:type="pct"/>
            <w:shd w:val="clear" w:color="auto" w:fill="CFCECE" w:themeFill="background2" w:themeFillShade="E5"/>
            <w:vAlign w:val="center"/>
          </w:tcPr>
          <w:p>
            <w:pPr>
              <w:spacing w:line="360" w:lineRule="auto"/>
              <w:ind w:right="238" w:firstLine="240" w:firstLineChars="10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名称</w:t>
            </w:r>
          </w:p>
        </w:tc>
        <w:tc>
          <w:tcPr>
            <w:tcW w:w="1681" w:type="pct"/>
            <w:shd w:val="clear" w:color="auto" w:fill="CFCECE" w:themeFill="background2" w:themeFillShade="E5"/>
            <w:vAlign w:val="center"/>
          </w:tcPr>
          <w:p>
            <w:pPr>
              <w:spacing w:line="360" w:lineRule="auto"/>
              <w:ind w:left="274" w:right="238" w:firstLine="48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设备参数</w:t>
            </w:r>
          </w:p>
        </w:tc>
        <w:tc>
          <w:tcPr>
            <w:tcW w:w="565" w:type="pct"/>
            <w:shd w:val="clear" w:color="auto" w:fill="CFCECE" w:themeFill="background2" w:themeFillShade="E5"/>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单位</w:t>
            </w:r>
          </w:p>
        </w:tc>
        <w:tc>
          <w:tcPr>
            <w:tcW w:w="678" w:type="pct"/>
            <w:shd w:val="clear" w:color="auto" w:fill="CFCECE" w:themeFill="background2" w:themeFillShade="E5"/>
            <w:vAlign w:val="center"/>
          </w:tcPr>
          <w:p>
            <w:pPr>
              <w:spacing w:line="360" w:lineRule="auto"/>
              <w:ind w:right="238" w:firstLine="240" w:firstLineChars="10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数量</w:t>
            </w:r>
          </w:p>
        </w:tc>
        <w:tc>
          <w:tcPr>
            <w:tcW w:w="655" w:type="pct"/>
            <w:shd w:val="clear" w:color="auto" w:fill="CFCECE" w:themeFill="background2" w:themeFillShade="E5"/>
            <w:vAlign w:val="center"/>
          </w:tcPr>
          <w:p>
            <w:pPr>
              <w:spacing w:line="360" w:lineRule="auto"/>
              <w:ind w:right="238" w:firstLine="240" w:firstLineChars="10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w:t>
            </w:r>
          </w:p>
        </w:tc>
        <w:tc>
          <w:tcPr>
            <w:tcW w:w="849"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污水格栅机</w:t>
            </w:r>
          </w:p>
        </w:tc>
        <w:tc>
          <w:tcPr>
            <w:tcW w:w="1681"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渠宽1.0m，渠深5.0m，栅条间隙＜5mm，安装角度75°，栅渣高度1000mm</w:t>
            </w:r>
          </w:p>
        </w:tc>
        <w:tc>
          <w:tcPr>
            <w:tcW w:w="565" w:type="pct"/>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套</w:t>
            </w:r>
          </w:p>
        </w:tc>
        <w:tc>
          <w:tcPr>
            <w:tcW w:w="678"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w:t>
            </w:r>
          </w:p>
        </w:tc>
        <w:tc>
          <w:tcPr>
            <w:tcW w:w="65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w:t>
            </w:r>
          </w:p>
        </w:tc>
        <w:tc>
          <w:tcPr>
            <w:tcW w:w="849"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潜水搅拌机</w:t>
            </w:r>
          </w:p>
        </w:tc>
        <w:tc>
          <w:tcPr>
            <w:tcW w:w="1681"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桨叶直径320mm，功率2.2KW</w:t>
            </w:r>
          </w:p>
        </w:tc>
        <w:tc>
          <w:tcPr>
            <w:tcW w:w="565" w:type="pct"/>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台</w:t>
            </w:r>
          </w:p>
        </w:tc>
        <w:tc>
          <w:tcPr>
            <w:tcW w:w="678"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5</w:t>
            </w:r>
          </w:p>
        </w:tc>
        <w:tc>
          <w:tcPr>
            <w:tcW w:w="65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w:t>
            </w:r>
          </w:p>
        </w:tc>
        <w:tc>
          <w:tcPr>
            <w:tcW w:w="849"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硝化液回流泵</w:t>
            </w:r>
          </w:p>
        </w:tc>
        <w:tc>
          <w:tcPr>
            <w:tcW w:w="1681"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流量95m³/h，扬程：12m，功率：5.5KW</w:t>
            </w:r>
          </w:p>
        </w:tc>
        <w:tc>
          <w:tcPr>
            <w:tcW w:w="565" w:type="pct"/>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台</w:t>
            </w:r>
          </w:p>
        </w:tc>
        <w:tc>
          <w:tcPr>
            <w:tcW w:w="678"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4</w:t>
            </w:r>
          </w:p>
        </w:tc>
        <w:tc>
          <w:tcPr>
            <w:tcW w:w="65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4</w:t>
            </w:r>
          </w:p>
        </w:tc>
        <w:tc>
          <w:tcPr>
            <w:tcW w:w="849"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污泥回流泵</w:t>
            </w:r>
          </w:p>
        </w:tc>
        <w:tc>
          <w:tcPr>
            <w:tcW w:w="1681"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流量</w:t>
            </w:r>
            <w:r>
              <w:rPr>
                <w:rFonts w:ascii="宋体" w:cs="宋体"/>
                <w:b w:val="0"/>
                <w:bCs w:val="0"/>
                <w:color w:val="000000" w:themeColor="text1"/>
                <w:spacing w:val="0"/>
                <w:sz w:val="24"/>
                <w:szCs w:val="24"/>
                <w:highlight w:val="none"/>
                <w14:textFill>
                  <w14:solidFill>
                    <w14:schemeClr w14:val="tx1"/>
                  </w14:solidFill>
                </w14:textFill>
              </w:rPr>
              <w:t>70</w:t>
            </w:r>
            <w:r>
              <w:rPr>
                <w:rFonts w:hint="eastAsia" w:ascii="宋体" w:cs="宋体"/>
                <w:b w:val="0"/>
                <w:bCs w:val="0"/>
                <w:color w:val="000000" w:themeColor="text1"/>
                <w:spacing w:val="0"/>
                <w:sz w:val="24"/>
                <w:szCs w:val="24"/>
                <w:highlight w:val="none"/>
                <w14:textFill>
                  <w14:solidFill>
                    <w14:schemeClr w14:val="tx1"/>
                  </w14:solidFill>
                </w14:textFill>
              </w:rPr>
              <w:t>m³/h，扬程：1</w:t>
            </w:r>
            <w:r>
              <w:rPr>
                <w:rFonts w:ascii="宋体" w:cs="宋体"/>
                <w:b w:val="0"/>
                <w:bCs w:val="0"/>
                <w:color w:val="000000" w:themeColor="text1"/>
                <w:spacing w:val="0"/>
                <w:sz w:val="24"/>
                <w:szCs w:val="24"/>
                <w:highlight w:val="none"/>
                <w14:textFill>
                  <w14:solidFill>
                    <w14:schemeClr w14:val="tx1"/>
                  </w14:solidFill>
                </w14:textFill>
              </w:rPr>
              <w:t>2</w:t>
            </w:r>
            <w:r>
              <w:rPr>
                <w:rFonts w:hint="eastAsia" w:ascii="宋体" w:cs="宋体"/>
                <w:b w:val="0"/>
                <w:bCs w:val="0"/>
                <w:color w:val="000000" w:themeColor="text1"/>
                <w:spacing w:val="0"/>
                <w:sz w:val="24"/>
                <w:szCs w:val="24"/>
                <w:highlight w:val="none"/>
                <w14:textFill>
                  <w14:solidFill>
                    <w14:schemeClr w14:val="tx1"/>
                  </w14:solidFill>
                </w14:textFill>
              </w:rPr>
              <w:t>m，功率：4KW</w:t>
            </w:r>
          </w:p>
        </w:tc>
        <w:tc>
          <w:tcPr>
            <w:tcW w:w="565" w:type="pct"/>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台</w:t>
            </w:r>
          </w:p>
        </w:tc>
        <w:tc>
          <w:tcPr>
            <w:tcW w:w="678"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4</w:t>
            </w:r>
          </w:p>
        </w:tc>
        <w:tc>
          <w:tcPr>
            <w:tcW w:w="65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w:t>
            </w:r>
          </w:p>
        </w:tc>
        <w:tc>
          <w:tcPr>
            <w:tcW w:w="849"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污泥螺杆泵</w:t>
            </w:r>
          </w:p>
        </w:tc>
        <w:tc>
          <w:tcPr>
            <w:tcW w:w="1681"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流量：</w:t>
            </w:r>
            <w:r>
              <w:rPr>
                <w:rFonts w:ascii="宋体" w:cs="宋体"/>
                <w:b w:val="0"/>
                <w:bCs w:val="0"/>
                <w:color w:val="000000" w:themeColor="text1"/>
                <w:spacing w:val="0"/>
                <w:sz w:val="24"/>
                <w:szCs w:val="24"/>
                <w:highlight w:val="none"/>
                <w14:textFill>
                  <w14:solidFill>
                    <w14:schemeClr w14:val="tx1"/>
                  </w14:solidFill>
                </w14:textFill>
              </w:rPr>
              <w:t>10</w:t>
            </w:r>
            <w:r>
              <w:rPr>
                <w:rFonts w:hint="eastAsia" w:ascii="宋体" w:cs="宋体"/>
                <w:b w:val="0"/>
                <w:bCs w:val="0"/>
                <w:color w:val="000000" w:themeColor="text1"/>
                <w:spacing w:val="0"/>
                <w:sz w:val="24"/>
                <w:szCs w:val="24"/>
                <w:highlight w:val="none"/>
                <w14:textFill>
                  <w14:solidFill>
                    <w14:schemeClr w14:val="tx1"/>
                  </w14:solidFill>
                </w14:textFill>
              </w:rPr>
              <w:t>m³/h，压力0.6Mpa，功率</w:t>
            </w:r>
            <w:r>
              <w:rPr>
                <w:rFonts w:ascii="宋体" w:cs="宋体"/>
                <w:b w:val="0"/>
                <w:bCs w:val="0"/>
                <w:color w:val="000000" w:themeColor="text1"/>
                <w:spacing w:val="0"/>
                <w:sz w:val="24"/>
                <w:szCs w:val="24"/>
                <w:highlight w:val="none"/>
                <w14:textFill>
                  <w14:solidFill>
                    <w14:schemeClr w14:val="tx1"/>
                  </w14:solidFill>
                </w14:textFill>
              </w:rPr>
              <w:t>4</w:t>
            </w:r>
            <w:r>
              <w:rPr>
                <w:rFonts w:hint="eastAsia" w:ascii="宋体" w:cs="宋体"/>
                <w:b w:val="0"/>
                <w:bCs w:val="0"/>
                <w:color w:val="000000" w:themeColor="text1"/>
                <w:spacing w:val="0"/>
                <w:sz w:val="24"/>
                <w:szCs w:val="24"/>
                <w:highlight w:val="none"/>
                <w14:textFill>
                  <w14:solidFill>
                    <w14:schemeClr w14:val="tx1"/>
                  </w14:solidFill>
                </w14:textFill>
              </w:rPr>
              <w:t>KW</w:t>
            </w:r>
          </w:p>
        </w:tc>
        <w:tc>
          <w:tcPr>
            <w:tcW w:w="565" w:type="pct"/>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台</w:t>
            </w:r>
          </w:p>
        </w:tc>
        <w:tc>
          <w:tcPr>
            <w:tcW w:w="678"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2</w:t>
            </w:r>
          </w:p>
        </w:tc>
        <w:tc>
          <w:tcPr>
            <w:tcW w:w="65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6</w:t>
            </w:r>
          </w:p>
        </w:tc>
        <w:tc>
          <w:tcPr>
            <w:tcW w:w="849"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反应搅拌机</w:t>
            </w:r>
          </w:p>
        </w:tc>
        <w:tc>
          <w:tcPr>
            <w:tcW w:w="1681"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碳钢防腐，水下304不锈钢材质，N=</w:t>
            </w:r>
            <w:r>
              <w:rPr>
                <w:rFonts w:ascii="宋体" w:cs="宋体"/>
                <w:b w:val="0"/>
                <w:bCs w:val="0"/>
                <w:color w:val="000000" w:themeColor="text1"/>
                <w:spacing w:val="0"/>
                <w:sz w:val="24"/>
                <w:szCs w:val="24"/>
                <w:highlight w:val="none"/>
                <w14:textFill>
                  <w14:solidFill>
                    <w14:schemeClr w14:val="tx1"/>
                  </w14:solidFill>
                </w14:textFill>
              </w:rPr>
              <w:t>2</w:t>
            </w:r>
            <w:r>
              <w:rPr>
                <w:rFonts w:hint="eastAsia" w:ascii="宋体" w:cs="宋体"/>
                <w:b w:val="0"/>
                <w:bCs w:val="0"/>
                <w:color w:val="000000" w:themeColor="text1"/>
                <w:spacing w:val="0"/>
                <w:sz w:val="24"/>
                <w:szCs w:val="24"/>
                <w:highlight w:val="none"/>
                <w14:textFill>
                  <w14:solidFill>
                    <w14:schemeClr w14:val="tx1"/>
                  </w14:solidFill>
                </w14:textFill>
              </w:rPr>
              <w:t>.5KW</w:t>
            </w:r>
          </w:p>
        </w:tc>
        <w:tc>
          <w:tcPr>
            <w:tcW w:w="565" w:type="pct"/>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台</w:t>
            </w:r>
          </w:p>
        </w:tc>
        <w:tc>
          <w:tcPr>
            <w:tcW w:w="678"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2</w:t>
            </w:r>
          </w:p>
        </w:tc>
        <w:tc>
          <w:tcPr>
            <w:tcW w:w="65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7</w:t>
            </w:r>
          </w:p>
        </w:tc>
        <w:tc>
          <w:tcPr>
            <w:tcW w:w="849"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框式搅拌机</w:t>
            </w:r>
          </w:p>
        </w:tc>
        <w:tc>
          <w:tcPr>
            <w:tcW w:w="1681"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碳钢防腐，水下为304不锈钢材质，N=0.55KW</w:t>
            </w:r>
          </w:p>
        </w:tc>
        <w:tc>
          <w:tcPr>
            <w:tcW w:w="565" w:type="pct"/>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台</w:t>
            </w:r>
          </w:p>
        </w:tc>
        <w:tc>
          <w:tcPr>
            <w:tcW w:w="678"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6</w:t>
            </w:r>
          </w:p>
        </w:tc>
        <w:tc>
          <w:tcPr>
            <w:tcW w:w="65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8</w:t>
            </w:r>
          </w:p>
        </w:tc>
        <w:tc>
          <w:tcPr>
            <w:tcW w:w="849"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恒压供水辅泵</w:t>
            </w:r>
          </w:p>
        </w:tc>
        <w:tc>
          <w:tcPr>
            <w:tcW w:w="1681"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Q=5.9m³/h，H=70m，N=2.2KW</w:t>
            </w:r>
          </w:p>
        </w:tc>
        <w:tc>
          <w:tcPr>
            <w:tcW w:w="565" w:type="pct"/>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台</w:t>
            </w:r>
          </w:p>
        </w:tc>
        <w:tc>
          <w:tcPr>
            <w:tcW w:w="678"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w:t>
            </w:r>
          </w:p>
        </w:tc>
        <w:tc>
          <w:tcPr>
            <w:tcW w:w="65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9</w:t>
            </w:r>
          </w:p>
        </w:tc>
        <w:tc>
          <w:tcPr>
            <w:tcW w:w="849"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好氧池内填料</w:t>
            </w:r>
            <w:r>
              <w:rPr>
                <w:rFonts w:ascii="宋体" w:cs="宋体"/>
                <w:b w:val="0"/>
                <w:bCs w:val="0"/>
                <w:color w:val="000000" w:themeColor="text1"/>
                <w:spacing w:val="0"/>
                <w:sz w:val="24"/>
                <w:szCs w:val="24"/>
                <w:highlight w:val="none"/>
                <w14:textFill>
                  <w14:solidFill>
                    <w14:schemeClr w14:val="tx1"/>
                  </w14:solidFill>
                </w14:textFill>
              </w:rPr>
              <w:t>及曝气器</w:t>
            </w:r>
            <w:r>
              <w:rPr>
                <w:rFonts w:hint="eastAsia" w:ascii="宋体" w:cs="宋体"/>
                <w:b w:val="0"/>
                <w:bCs w:val="0"/>
                <w:color w:val="000000" w:themeColor="text1"/>
                <w:spacing w:val="0"/>
                <w:sz w:val="24"/>
                <w:szCs w:val="24"/>
                <w:highlight w:val="none"/>
                <w14:textFill>
                  <w14:solidFill>
                    <w14:schemeClr w14:val="tx1"/>
                  </w14:solidFill>
                </w14:textFill>
              </w:rPr>
              <w:t>更换</w:t>
            </w:r>
          </w:p>
        </w:tc>
        <w:tc>
          <w:tcPr>
            <w:tcW w:w="1681"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填料直径Φ70-80mm，比表面积7000-8000m2/m3；曝气器HD270，EPDM材质</w:t>
            </w:r>
          </w:p>
        </w:tc>
        <w:tc>
          <w:tcPr>
            <w:tcW w:w="565" w:type="pct"/>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宗</w:t>
            </w:r>
          </w:p>
        </w:tc>
        <w:tc>
          <w:tcPr>
            <w:tcW w:w="678"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w:t>
            </w:r>
          </w:p>
        </w:tc>
        <w:tc>
          <w:tcPr>
            <w:tcW w:w="65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left="274"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10</w:t>
            </w:r>
          </w:p>
        </w:tc>
        <w:tc>
          <w:tcPr>
            <w:tcW w:w="849"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曝气主管道防腐及支管更换</w:t>
            </w:r>
          </w:p>
        </w:tc>
        <w:tc>
          <w:tcPr>
            <w:tcW w:w="1681"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曝气支管更换DN80，120米；曝气主管除锈刷漆，DN150,40米；曝气主管除锈刷漆，DN250,30米</w:t>
            </w:r>
          </w:p>
        </w:tc>
        <w:tc>
          <w:tcPr>
            <w:tcW w:w="565" w:type="pct"/>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宗</w:t>
            </w:r>
          </w:p>
        </w:tc>
        <w:tc>
          <w:tcPr>
            <w:tcW w:w="678"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w:t>
            </w:r>
          </w:p>
        </w:tc>
        <w:tc>
          <w:tcPr>
            <w:tcW w:w="65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11</w:t>
            </w:r>
          </w:p>
        </w:tc>
        <w:tc>
          <w:tcPr>
            <w:tcW w:w="849"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污泥浓缩池清理及防腐</w:t>
            </w:r>
          </w:p>
        </w:tc>
        <w:tc>
          <w:tcPr>
            <w:tcW w:w="1681"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清理容积约为40m</w:t>
            </w:r>
            <w:r>
              <w:rPr>
                <w:rFonts w:hint="eastAsia" w:ascii="宋体" w:cs="宋体"/>
                <w:b w:val="0"/>
                <w:bCs w:val="0"/>
                <w:color w:val="000000" w:themeColor="text1"/>
                <w:spacing w:val="0"/>
                <w:sz w:val="24"/>
                <w:szCs w:val="24"/>
                <w:highlight w:val="none"/>
                <w:vertAlign w:val="superscript"/>
                <w14:textFill>
                  <w14:solidFill>
                    <w14:schemeClr w14:val="tx1"/>
                  </w14:solidFill>
                </w14:textFill>
              </w:rPr>
              <w:t>3</w:t>
            </w:r>
          </w:p>
        </w:tc>
        <w:tc>
          <w:tcPr>
            <w:tcW w:w="565"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宗</w:t>
            </w:r>
          </w:p>
        </w:tc>
        <w:tc>
          <w:tcPr>
            <w:tcW w:w="678"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w:t>
            </w:r>
          </w:p>
        </w:tc>
        <w:tc>
          <w:tcPr>
            <w:tcW w:w="65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12</w:t>
            </w:r>
          </w:p>
        </w:tc>
        <w:tc>
          <w:tcPr>
            <w:tcW w:w="849"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通讯模块</w:t>
            </w:r>
          </w:p>
        </w:tc>
        <w:tc>
          <w:tcPr>
            <w:tcW w:w="1681"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CP343-1</w:t>
            </w:r>
          </w:p>
        </w:tc>
        <w:tc>
          <w:tcPr>
            <w:tcW w:w="565" w:type="pct"/>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块</w:t>
            </w:r>
          </w:p>
        </w:tc>
        <w:tc>
          <w:tcPr>
            <w:tcW w:w="678"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w:t>
            </w:r>
          </w:p>
        </w:tc>
        <w:tc>
          <w:tcPr>
            <w:tcW w:w="65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13</w:t>
            </w:r>
          </w:p>
        </w:tc>
        <w:tc>
          <w:tcPr>
            <w:tcW w:w="849"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工控机及显示器</w:t>
            </w:r>
          </w:p>
        </w:tc>
        <w:tc>
          <w:tcPr>
            <w:tcW w:w="1681"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16GB内存，2G独立显卡，27寸2K显示器，Windows10专业版及所需Office2016等其它软件</w:t>
            </w:r>
          </w:p>
        </w:tc>
        <w:tc>
          <w:tcPr>
            <w:tcW w:w="565" w:type="pct"/>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台</w:t>
            </w:r>
          </w:p>
        </w:tc>
        <w:tc>
          <w:tcPr>
            <w:tcW w:w="678"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w:t>
            </w:r>
          </w:p>
        </w:tc>
        <w:tc>
          <w:tcPr>
            <w:tcW w:w="65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14</w:t>
            </w:r>
          </w:p>
        </w:tc>
        <w:tc>
          <w:tcPr>
            <w:tcW w:w="849"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流量计</w:t>
            </w:r>
          </w:p>
        </w:tc>
        <w:tc>
          <w:tcPr>
            <w:tcW w:w="1681"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法兰连接，一体式，4-20ma信号输出</w:t>
            </w:r>
          </w:p>
        </w:tc>
        <w:tc>
          <w:tcPr>
            <w:tcW w:w="565" w:type="pct"/>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只</w:t>
            </w:r>
          </w:p>
        </w:tc>
        <w:tc>
          <w:tcPr>
            <w:tcW w:w="678"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w:t>
            </w:r>
          </w:p>
        </w:tc>
        <w:tc>
          <w:tcPr>
            <w:tcW w:w="655" w:type="pct"/>
            <w:vAlign w:val="center"/>
          </w:tcPr>
          <w:p>
            <w:pPr>
              <w:spacing w:line="360" w:lineRule="auto"/>
              <w:ind w:left="274" w:right="238" w:firstLine="482"/>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15</w:t>
            </w:r>
          </w:p>
        </w:tc>
        <w:tc>
          <w:tcPr>
            <w:tcW w:w="849"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液位计</w:t>
            </w:r>
          </w:p>
        </w:tc>
        <w:tc>
          <w:tcPr>
            <w:tcW w:w="1681"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配套，4-20mA信号输出</w:t>
            </w:r>
          </w:p>
        </w:tc>
        <w:tc>
          <w:tcPr>
            <w:tcW w:w="565" w:type="pct"/>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只</w:t>
            </w:r>
          </w:p>
        </w:tc>
        <w:tc>
          <w:tcPr>
            <w:tcW w:w="678"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7</w:t>
            </w:r>
          </w:p>
        </w:tc>
        <w:tc>
          <w:tcPr>
            <w:tcW w:w="65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16</w:t>
            </w:r>
          </w:p>
        </w:tc>
        <w:tc>
          <w:tcPr>
            <w:tcW w:w="849"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溶氧仪</w:t>
            </w:r>
          </w:p>
        </w:tc>
        <w:tc>
          <w:tcPr>
            <w:tcW w:w="1681"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配套，4-20mA信号输出</w:t>
            </w:r>
          </w:p>
        </w:tc>
        <w:tc>
          <w:tcPr>
            <w:tcW w:w="565" w:type="pct"/>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只</w:t>
            </w:r>
          </w:p>
        </w:tc>
        <w:tc>
          <w:tcPr>
            <w:tcW w:w="678"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6</w:t>
            </w:r>
          </w:p>
        </w:tc>
        <w:tc>
          <w:tcPr>
            <w:tcW w:w="65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17</w:t>
            </w:r>
          </w:p>
        </w:tc>
        <w:tc>
          <w:tcPr>
            <w:tcW w:w="849"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PH</w:t>
            </w:r>
            <w:r>
              <w:rPr>
                <w:rFonts w:hint="eastAsia" w:ascii="宋体" w:cs="宋体"/>
                <w:b w:val="0"/>
                <w:bCs w:val="0"/>
                <w:color w:val="000000" w:themeColor="text1"/>
                <w:spacing w:val="0"/>
                <w:sz w:val="24"/>
                <w:szCs w:val="24"/>
                <w:highlight w:val="none"/>
                <w14:textFill>
                  <w14:solidFill>
                    <w14:schemeClr w14:val="tx1"/>
                  </w14:solidFill>
                </w14:textFill>
              </w:rPr>
              <w:t>仪</w:t>
            </w:r>
          </w:p>
        </w:tc>
        <w:tc>
          <w:tcPr>
            <w:tcW w:w="1681"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配套，4-20mA信号输出</w:t>
            </w:r>
          </w:p>
        </w:tc>
        <w:tc>
          <w:tcPr>
            <w:tcW w:w="565" w:type="pct"/>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只</w:t>
            </w:r>
          </w:p>
        </w:tc>
        <w:tc>
          <w:tcPr>
            <w:tcW w:w="678"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w:t>
            </w:r>
          </w:p>
        </w:tc>
        <w:tc>
          <w:tcPr>
            <w:tcW w:w="65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18</w:t>
            </w:r>
          </w:p>
        </w:tc>
        <w:tc>
          <w:tcPr>
            <w:tcW w:w="84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仪表箱</w:t>
            </w:r>
          </w:p>
        </w:tc>
        <w:tc>
          <w:tcPr>
            <w:tcW w:w="1681"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以现场勘察为准</w:t>
            </w:r>
          </w:p>
        </w:tc>
        <w:tc>
          <w:tcPr>
            <w:tcW w:w="565" w:type="pct"/>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个</w:t>
            </w:r>
          </w:p>
        </w:tc>
        <w:tc>
          <w:tcPr>
            <w:tcW w:w="678"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12</w:t>
            </w:r>
          </w:p>
        </w:tc>
        <w:tc>
          <w:tcPr>
            <w:tcW w:w="65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19</w:t>
            </w:r>
          </w:p>
        </w:tc>
        <w:tc>
          <w:tcPr>
            <w:tcW w:w="84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控制箱</w:t>
            </w:r>
          </w:p>
        </w:tc>
        <w:tc>
          <w:tcPr>
            <w:tcW w:w="1681"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以现场勘察为准</w:t>
            </w:r>
          </w:p>
        </w:tc>
        <w:tc>
          <w:tcPr>
            <w:tcW w:w="565" w:type="pct"/>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个</w:t>
            </w:r>
          </w:p>
        </w:tc>
        <w:tc>
          <w:tcPr>
            <w:tcW w:w="678"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8</w:t>
            </w:r>
          </w:p>
        </w:tc>
        <w:tc>
          <w:tcPr>
            <w:tcW w:w="65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20</w:t>
            </w:r>
          </w:p>
        </w:tc>
        <w:tc>
          <w:tcPr>
            <w:tcW w:w="84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柜门元件更换</w:t>
            </w:r>
          </w:p>
        </w:tc>
        <w:tc>
          <w:tcPr>
            <w:tcW w:w="1681"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以现场勘察为准</w:t>
            </w:r>
          </w:p>
        </w:tc>
        <w:tc>
          <w:tcPr>
            <w:tcW w:w="565" w:type="pct"/>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套</w:t>
            </w:r>
          </w:p>
        </w:tc>
        <w:tc>
          <w:tcPr>
            <w:tcW w:w="678"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7</w:t>
            </w:r>
          </w:p>
        </w:tc>
        <w:tc>
          <w:tcPr>
            <w:tcW w:w="65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21</w:t>
            </w:r>
          </w:p>
        </w:tc>
        <w:tc>
          <w:tcPr>
            <w:tcW w:w="84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按钮箱电缆更换</w:t>
            </w:r>
          </w:p>
        </w:tc>
        <w:tc>
          <w:tcPr>
            <w:tcW w:w="1681"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以现场勘察为准</w:t>
            </w:r>
          </w:p>
        </w:tc>
        <w:tc>
          <w:tcPr>
            <w:tcW w:w="565" w:type="pct"/>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米</w:t>
            </w:r>
          </w:p>
        </w:tc>
        <w:tc>
          <w:tcPr>
            <w:tcW w:w="678" w:type="pct"/>
            <w:vAlign w:val="center"/>
          </w:tcPr>
          <w:p>
            <w:pPr>
              <w:spacing w:line="360" w:lineRule="auto"/>
              <w:ind w:left="274"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1200</w:t>
            </w:r>
          </w:p>
        </w:tc>
        <w:tc>
          <w:tcPr>
            <w:tcW w:w="65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22</w:t>
            </w:r>
          </w:p>
        </w:tc>
        <w:tc>
          <w:tcPr>
            <w:tcW w:w="84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电缆桥架</w:t>
            </w:r>
          </w:p>
        </w:tc>
        <w:tc>
          <w:tcPr>
            <w:tcW w:w="1681"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以现场勘察为准</w:t>
            </w:r>
          </w:p>
        </w:tc>
        <w:tc>
          <w:tcPr>
            <w:tcW w:w="565" w:type="pct"/>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米</w:t>
            </w:r>
          </w:p>
        </w:tc>
        <w:tc>
          <w:tcPr>
            <w:tcW w:w="678" w:type="pct"/>
            <w:vAlign w:val="center"/>
          </w:tcPr>
          <w:p>
            <w:pPr>
              <w:spacing w:line="360" w:lineRule="auto"/>
              <w:ind w:left="274"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40</w:t>
            </w:r>
          </w:p>
        </w:tc>
        <w:tc>
          <w:tcPr>
            <w:tcW w:w="65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23</w:t>
            </w:r>
          </w:p>
        </w:tc>
        <w:tc>
          <w:tcPr>
            <w:tcW w:w="849"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中水主管道整体开挖及更换</w:t>
            </w:r>
          </w:p>
        </w:tc>
        <w:tc>
          <w:tcPr>
            <w:tcW w:w="1681"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中水回用管无缝钢管，DN100,20米；中水回用管PE，DN100,10米。阀门DN100，两只。回用水管DN50，镀锌钢管，50米。</w:t>
            </w:r>
          </w:p>
        </w:tc>
        <w:tc>
          <w:tcPr>
            <w:tcW w:w="565" w:type="pct"/>
            <w:vAlign w:val="center"/>
          </w:tcPr>
          <w:p>
            <w:pPr>
              <w:spacing w:line="360" w:lineRule="auto"/>
              <w:ind w:right="238" w:firstLine="0"/>
              <w:jc w:val="left"/>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宗</w:t>
            </w:r>
          </w:p>
        </w:tc>
        <w:tc>
          <w:tcPr>
            <w:tcW w:w="678"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w:t>
            </w:r>
          </w:p>
        </w:tc>
        <w:tc>
          <w:tcPr>
            <w:tcW w:w="655"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实际以现场勘查为准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24</w:t>
            </w:r>
          </w:p>
        </w:tc>
        <w:tc>
          <w:tcPr>
            <w:tcW w:w="849"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次氯酸钠消毒装置</w:t>
            </w:r>
          </w:p>
        </w:tc>
        <w:tc>
          <w:tcPr>
            <w:tcW w:w="1681"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加药罐：容积2000L，PE材质；计量泵：流量50L/h，压力10bar，配套安全阀，背压阀，缓冲器，过滤器</w:t>
            </w:r>
          </w:p>
        </w:tc>
        <w:tc>
          <w:tcPr>
            <w:tcW w:w="565"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套</w:t>
            </w:r>
          </w:p>
        </w:tc>
        <w:tc>
          <w:tcPr>
            <w:tcW w:w="678"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w:t>
            </w:r>
          </w:p>
        </w:tc>
        <w:tc>
          <w:tcPr>
            <w:tcW w:w="655"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整体满足现场工艺要求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25</w:t>
            </w:r>
          </w:p>
        </w:tc>
        <w:tc>
          <w:tcPr>
            <w:tcW w:w="849"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加药设备及管路更新</w:t>
            </w:r>
          </w:p>
        </w:tc>
        <w:tc>
          <w:tcPr>
            <w:tcW w:w="1681"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加药罐清理及防腐；含配套液位计、背压阀、安全阀、阻尼器、过滤器、阀门、流量计及管路更新。</w:t>
            </w:r>
          </w:p>
        </w:tc>
        <w:tc>
          <w:tcPr>
            <w:tcW w:w="565"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套</w:t>
            </w:r>
          </w:p>
        </w:tc>
        <w:tc>
          <w:tcPr>
            <w:tcW w:w="678"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w:t>
            </w:r>
          </w:p>
        </w:tc>
        <w:tc>
          <w:tcPr>
            <w:tcW w:w="65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69"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26</w:t>
            </w:r>
          </w:p>
        </w:tc>
        <w:tc>
          <w:tcPr>
            <w:tcW w:w="849" w:type="pct"/>
            <w:vAlign w:val="center"/>
          </w:tcPr>
          <w:p>
            <w:pPr>
              <w:spacing w:line="360" w:lineRule="auto"/>
              <w:ind w:right="238" w:firstLine="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设备安装调试培训</w:t>
            </w:r>
          </w:p>
        </w:tc>
        <w:tc>
          <w:tcPr>
            <w:tcW w:w="1681"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565"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套</w:t>
            </w:r>
          </w:p>
        </w:tc>
        <w:tc>
          <w:tcPr>
            <w:tcW w:w="678" w:type="pct"/>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w:t>
            </w:r>
          </w:p>
        </w:tc>
        <w:tc>
          <w:tcPr>
            <w:tcW w:w="655" w:type="pct"/>
            <w:vAlign w:val="center"/>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bl>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（一）一般界定</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2.包括为保证货物正常安装、调试和验收完成及以前所必需的整套配件、附件及材料、油料、控制软件及程序或指令等。</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如果终验收完成后，投标人有需要收回的配件、附件、材料、油料等，应当在投标文件的技术偏离条款中，予以详细说明；否则视同包括在供货范围之内。</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3.包括货物维护维修所必需的专用工具。</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包括为保证货物自身正常运行所必需的、满足使用地点环境条件的通风、冷却、降温等必需设施。</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如投标人难以提供或无优势提供以及属于选用配置的，则应当在投标文件的技术偏离条款中，予以详细说明并注明投标报价未包含该部分的货值。</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w:t>
      </w:r>
      <w:r>
        <w:rPr>
          <w:rFonts w:hint="eastAsia" w:ascii="宋体" w:cs="宋体"/>
          <w:color w:val="000000" w:themeColor="text1"/>
          <w:spacing w:val="0"/>
          <w:sz w:val="24"/>
          <w:szCs w:val="24"/>
          <w:highlight w:val="none"/>
          <w14:textFill>
            <w14:solidFill>
              <w14:schemeClr w14:val="tx1"/>
            </w14:solidFill>
          </w14:textFill>
        </w:rPr>
        <w:t>二）供货范围边界界定</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1.买方提供货物所需的建筑物（如厂房等）和构筑物（如混凝土池、砼基础等），包含正常安装施工所需的预埋件（如穿管、预埋螺栓、螺母及垫片）。</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如果投标人认为能源系统接口地点以及操控地点之间的货物数量不清或难以界定，应当以书面方式询标或以单价方式报价；否则视同满足招标人要求。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4.以“交钥匙”方式采购的货物，在满足技术标书本节上述要求之外，同时包括货物正常运行、使用所需要的过桥、护栏、防护网、盖板等辅助设施。</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二、备品备件、易损件和专用耗材供货范围</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1.备品备件、易损件和专用耗材是招标人为保证货物质保期之后正常运行一年所自备自用的备品备件、易损件和专用耗材。</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质保期之内正常需要的备品备件、易损件和专用耗材全部包括在供货范围之内而不属于本条款界定的范围（应有明细）。</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2.供货范围包括易损件和专用耗材的制造图纸及其技术要求等资料，如涉及专有技术或无法提供，应在投标文件中予以澄清或说明。</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三、技术资料供货范围</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技术资料供货范围包括：</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1.在合同签订后</w:t>
      </w:r>
      <w:r>
        <w:rPr>
          <w:rFonts w:hint="eastAsia" w:ascii="宋体" w:cs="宋体"/>
          <w:b w:val="0"/>
          <w:bCs w:val="0"/>
          <w:color w:val="000000" w:themeColor="text1"/>
          <w:spacing w:val="0"/>
          <w:sz w:val="24"/>
          <w:szCs w:val="24"/>
          <w:highlight w:val="none"/>
          <w:u w:val="single"/>
          <w14:textFill>
            <w14:solidFill>
              <w14:schemeClr w14:val="tx1"/>
            </w14:solidFill>
          </w14:textFill>
        </w:rPr>
        <w:t xml:space="preserve"> 15 </w:t>
      </w:r>
      <w:r>
        <w:rPr>
          <w:rFonts w:hint="eastAsia" w:ascii="宋体" w:cs="宋体"/>
          <w:b w:val="0"/>
          <w:bCs w:val="0"/>
          <w:color w:val="000000" w:themeColor="text1"/>
          <w:spacing w:val="0"/>
          <w:sz w:val="24"/>
          <w:szCs w:val="24"/>
          <w:highlight w:val="none"/>
          <w14:textFill>
            <w14:solidFill>
              <w14:schemeClr w14:val="tx1"/>
            </w14:solidFill>
          </w14:textFill>
        </w:rPr>
        <w:t>个日历日内，提供货物基础及相关的设计、制作所需的纸质及电子版资料；电子版文件应当能够使用常用版本软件可以阅读甚至使用，进口货物、设备应有中外文对照。</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2.在预验收前，提供货物各部分的功能描述文件、图片、影像等资料（进口、设备应有中外文对照）。</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4.在终验收前，提供确定的维修所需要且买方可以自行采购的外购件、外协件、电气元件及主要原材料的供货厂家明细表。</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5.在终验收后的第一笔货款支付日之前，提供包括货物的备品备件、易损件和专用耗材的图纸及技术参数、技术要求等资料。</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8.本条款所列的技术资料、图片、影像等，投标人应各提供5套，其中2套为电子版光盘；每份技术文件应装有目录清单。</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9.本条款所列要求，如招标人认为投标人提供的资料不能满足要求时，有权要求投标人免费补充或增加。</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四、供货范围特别提示</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如果投标人认为本节所列的供货范围难以满足，则仍需要按照本要求提供，但该部分货物应当在投标报价中单独列明货物名称及品质、货值。</w:t>
      </w:r>
      <w:bookmarkStart w:id="84" w:name="_Toc169605883"/>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p>
      <w:pPr>
        <w:spacing w:line="360" w:lineRule="auto"/>
        <w:ind w:left="239" w:leftChars="114" w:right="238" w:firstLine="560" w:firstLineChars="200"/>
        <w:rPr>
          <w:rFonts w:ascii="宋体" w:cs="宋体"/>
          <w:color w:val="000000" w:themeColor="text1"/>
          <w:spacing w:val="0"/>
          <w:sz w:val="28"/>
          <w:szCs w:val="28"/>
          <w:highlight w:val="none"/>
          <w14:textFill>
            <w14:solidFill>
              <w14:schemeClr w14:val="tx1"/>
            </w14:solidFill>
          </w14:textFill>
        </w:rPr>
      </w:pPr>
      <w:r>
        <w:rPr>
          <w:rFonts w:hint="eastAsia" w:ascii="宋体" w:cs="宋体"/>
          <w:color w:val="000000" w:themeColor="text1"/>
          <w:spacing w:val="0"/>
          <w:sz w:val="28"/>
          <w:szCs w:val="28"/>
          <w:highlight w:val="none"/>
          <w14:textFill>
            <w14:solidFill>
              <w14:schemeClr w14:val="tx1"/>
            </w14:solidFill>
          </w14:textFill>
        </w:rPr>
        <w:t>第二节  供货方式</w:t>
      </w:r>
      <w:bookmarkEnd w:id="84"/>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一、供货方式</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二、供货地点：</w:t>
      </w:r>
      <w:r>
        <w:rPr>
          <w:rFonts w:hint="eastAsia" w:ascii="宋体" w:cs="宋体"/>
          <w:b w:val="0"/>
          <w:bCs w:val="0"/>
          <w:color w:val="000000" w:themeColor="text1"/>
          <w:spacing w:val="0"/>
          <w:sz w:val="24"/>
          <w:szCs w:val="24"/>
          <w:highlight w:val="none"/>
          <w:u w:val="single"/>
          <w14:textFill>
            <w14:solidFill>
              <w14:schemeClr w14:val="tx1"/>
            </w14:solidFill>
          </w14:textFill>
        </w:rPr>
        <w:t>济南市章丘区圣井世纪大道6677号。</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三、供货时间</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 xml:space="preserve">1.自合同签定生效之日起， </w:t>
      </w:r>
      <w:r>
        <w:rPr>
          <w:rFonts w:hint="eastAsia" w:ascii="宋体" w:cs="宋体"/>
          <w:b w:val="0"/>
          <w:bCs w:val="0"/>
          <w:color w:val="000000" w:themeColor="text1"/>
          <w:spacing w:val="0"/>
          <w:sz w:val="24"/>
          <w:szCs w:val="24"/>
          <w:highlight w:val="none"/>
          <w:u w:val="single"/>
          <w14:textFill>
            <w14:solidFill>
              <w14:schemeClr w14:val="tx1"/>
            </w14:solidFill>
          </w14:textFill>
        </w:rPr>
        <w:t xml:space="preserve"> </w:t>
      </w:r>
      <w:r>
        <w:rPr>
          <w:rFonts w:ascii="宋体" w:cs="宋体"/>
          <w:b w:val="0"/>
          <w:bCs w:val="0"/>
          <w:color w:val="000000" w:themeColor="text1"/>
          <w:spacing w:val="0"/>
          <w:sz w:val="24"/>
          <w:szCs w:val="24"/>
          <w:highlight w:val="none"/>
          <w:u w:val="single"/>
          <w14:textFill>
            <w14:solidFill>
              <w14:schemeClr w14:val="tx1"/>
            </w14:solidFill>
          </w14:textFill>
        </w:rPr>
        <w:t>30</w:t>
      </w:r>
      <w:r>
        <w:rPr>
          <w:rFonts w:hint="eastAsia" w:ascii="宋体" w:cs="宋体"/>
          <w:b w:val="0"/>
          <w:bCs w:val="0"/>
          <w:color w:val="000000" w:themeColor="text1"/>
          <w:spacing w:val="0"/>
          <w:sz w:val="24"/>
          <w:szCs w:val="24"/>
          <w:highlight w:val="none"/>
          <w:u w:val="single"/>
          <w14:textFill>
            <w14:solidFill>
              <w14:schemeClr w14:val="tx1"/>
            </w14:solidFill>
          </w14:textFill>
        </w:rPr>
        <w:t xml:space="preserve"> </w:t>
      </w:r>
      <w:r>
        <w:rPr>
          <w:rFonts w:hint="eastAsia" w:ascii="宋体" w:cs="宋体"/>
          <w:b w:val="0"/>
          <w:bCs w:val="0"/>
          <w:color w:val="000000" w:themeColor="text1"/>
          <w:spacing w:val="0"/>
          <w:sz w:val="24"/>
          <w:szCs w:val="24"/>
          <w:highlight w:val="none"/>
          <w14:textFill>
            <w14:solidFill>
              <w14:schemeClr w14:val="tx1"/>
            </w14:solidFill>
          </w14:textFill>
        </w:rPr>
        <w:t xml:space="preserve">  个日历日之内交货至供货地点</w:t>
      </w:r>
      <w:r>
        <w:rPr>
          <w:rFonts w:ascii="宋体" w:cs="宋体"/>
          <w:b w:val="0"/>
          <w:bCs w:val="0"/>
          <w:color w:val="000000" w:themeColor="text1"/>
          <w:spacing w:val="0"/>
          <w:sz w:val="24"/>
          <w:szCs w:val="24"/>
          <w:highlight w:val="none"/>
          <w14:textFill>
            <w14:solidFill>
              <w14:schemeClr w14:val="tx1"/>
            </w14:solidFill>
          </w14:textFill>
        </w:rPr>
        <w:t>。</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 xml:space="preserve">2.接续  </w:t>
      </w:r>
      <w:r>
        <w:rPr>
          <w:rFonts w:hint="eastAsia" w:ascii="宋体" w:cs="宋体"/>
          <w:b w:val="0"/>
          <w:bCs w:val="0"/>
          <w:color w:val="000000" w:themeColor="text1"/>
          <w:spacing w:val="0"/>
          <w:sz w:val="24"/>
          <w:szCs w:val="24"/>
          <w:highlight w:val="none"/>
          <w:u w:val="single"/>
          <w14:textFill>
            <w14:solidFill>
              <w14:schemeClr w14:val="tx1"/>
            </w14:solidFill>
          </w14:textFill>
        </w:rPr>
        <w:t xml:space="preserve"> 60 </w:t>
      </w:r>
      <w:r>
        <w:rPr>
          <w:rFonts w:hint="eastAsia" w:ascii="宋体" w:cs="宋体"/>
          <w:b w:val="0"/>
          <w:bCs w:val="0"/>
          <w:color w:val="000000" w:themeColor="text1"/>
          <w:spacing w:val="0"/>
          <w:sz w:val="24"/>
          <w:szCs w:val="24"/>
          <w:highlight w:val="none"/>
          <w14:textFill>
            <w14:solidFill>
              <w14:schemeClr w14:val="tx1"/>
            </w14:solidFill>
          </w14:textFill>
        </w:rPr>
        <w:t xml:space="preserve">  个日历日之内完成安装工作。</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 xml:space="preserve">3.接续  </w:t>
      </w:r>
      <w:r>
        <w:rPr>
          <w:rFonts w:hint="eastAsia" w:ascii="宋体" w:cs="宋体"/>
          <w:b w:val="0"/>
          <w:bCs w:val="0"/>
          <w:color w:val="000000" w:themeColor="text1"/>
          <w:spacing w:val="0"/>
          <w:sz w:val="24"/>
          <w:szCs w:val="24"/>
          <w:highlight w:val="none"/>
          <w:u w:val="single"/>
          <w14:textFill>
            <w14:solidFill>
              <w14:schemeClr w14:val="tx1"/>
            </w14:solidFill>
          </w14:textFill>
        </w:rPr>
        <w:t xml:space="preserve"> 90 </w:t>
      </w:r>
      <w:r>
        <w:rPr>
          <w:rFonts w:hint="eastAsia" w:ascii="宋体" w:cs="宋体"/>
          <w:b w:val="0"/>
          <w:bCs w:val="0"/>
          <w:color w:val="000000" w:themeColor="text1"/>
          <w:spacing w:val="0"/>
          <w:sz w:val="24"/>
          <w:szCs w:val="24"/>
          <w:highlight w:val="none"/>
          <w14:textFill>
            <w14:solidFill>
              <w14:schemeClr w14:val="tx1"/>
            </w14:solidFill>
          </w14:textFill>
        </w:rPr>
        <w:t xml:space="preserve">  个日历日之内完成终验收。</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安装调试时间或终验收时间超过规定时间的，投标人应当随标书提供详细的工期计划。</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四、包装</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1.所提供货物（或设备）的包装，应遵照国家标准和有关包装、包皮的技术条件，或按照最好的商业惯例进行包装。</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2.包装应能满足所需要采取的运输方式（船运、汽运或铁路运输）、多次吊装卸装、卸货以及长期露天堆放要求，应能防止雨淋、受潮、生锈、腐蚀、受振、受磁以及机械和化学因素等引起的损坏。</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3.所提供货物（或设备）的包装，应能防止其一般性被窃或受外力破坏；一般不得采用有大缝隙的板条包装。</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4.应对包装件做必要的加固和固定，以防止运输可能造成的损坏。</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5.每个包装件应有装箱单，并至少标明名称、型号规格、数量、净重和毛重、投标人（或供货商）名称和制造日期等相关内容。</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6.每个包装箱应有明显标志，并具有中文书写的合同号、装运标志、发货和到货地点名称、发货人和收货人名称、货物名称和项目号、箱号和外型尺寸等内容。</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7.应按照不同的装运要求在包装箱上标明“小心轻放”、“箭头向上”、“防潮”、“防磁”、“不准平放”等标志，以及其它适用的国标通用标志。</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8.包装箱应连续编号，不应出现重复编号。</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9.在不受到外界破坏情况下，包装应保证自交货日起一年内货物（或设备）完好无损。</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五、运输</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1.应负责将货物（或设备）运到目的地，并必须做到货物（或设备）在任何运输过程中不受损坏和遗失。</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2.同批货物（或设备）应统一包装、编号运输。</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3.一般情况下，经由铁路、公路运输的包装件尺寸和重量不应超过国家所规定的尺寸限制，特殊情况应予以说明。</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4.在每批货物（或设备）发出后，应立即通知买方；通知中应指明：合同号、货运单号、件数、重量和货物（或设备）发出日期等相关内容。</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5.货物（或设备）运抵交货地点后，应负责货物（或设备）的卸货、搬运、保管等事宜，或按照合同约定。</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br w:type="page"/>
      </w:r>
    </w:p>
    <w:p>
      <w:pPr>
        <w:spacing w:line="360" w:lineRule="auto"/>
        <w:ind w:left="239" w:leftChars="114" w:right="238" w:firstLine="560" w:firstLineChars="200"/>
        <w:rPr>
          <w:rFonts w:ascii="宋体" w:cs="宋体"/>
          <w:color w:val="000000" w:themeColor="text1"/>
          <w:spacing w:val="0"/>
          <w:sz w:val="28"/>
          <w:szCs w:val="28"/>
          <w:highlight w:val="none"/>
          <w14:textFill>
            <w14:solidFill>
              <w14:schemeClr w14:val="tx1"/>
            </w14:solidFill>
          </w14:textFill>
        </w:rPr>
      </w:pPr>
      <w:bookmarkStart w:id="85" w:name="_Toc169605884"/>
      <w:r>
        <w:rPr>
          <w:rFonts w:hint="eastAsia" w:ascii="宋体" w:cs="宋体"/>
          <w:color w:val="000000" w:themeColor="text1"/>
          <w:spacing w:val="0"/>
          <w:sz w:val="28"/>
          <w:szCs w:val="28"/>
          <w:highlight w:val="none"/>
          <w14:textFill>
            <w14:solidFill>
              <w14:schemeClr w14:val="tx1"/>
            </w14:solidFill>
          </w14:textFill>
        </w:rPr>
        <w:t>第四章</w:t>
      </w:r>
      <w:r>
        <w:rPr>
          <w:rFonts w:ascii="宋体" w:cs="宋体"/>
          <w:color w:val="000000" w:themeColor="text1"/>
          <w:spacing w:val="0"/>
          <w:sz w:val="28"/>
          <w:szCs w:val="28"/>
          <w:highlight w:val="none"/>
          <w14:textFill>
            <w14:solidFill>
              <w14:schemeClr w14:val="tx1"/>
            </w14:solidFill>
          </w14:textFill>
        </w:rPr>
        <w:t xml:space="preserve">  </w:t>
      </w:r>
      <w:r>
        <w:rPr>
          <w:rFonts w:hint="eastAsia" w:ascii="宋体" w:cs="宋体"/>
          <w:color w:val="000000" w:themeColor="text1"/>
          <w:spacing w:val="0"/>
          <w:sz w:val="28"/>
          <w:szCs w:val="28"/>
          <w:highlight w:val="none"/>
          <w14:textFill>
            <w14:solidFill>
              <w14:schemeClr w14:val="tx1"/>
            </w14:solidFill>
          </w14:textFill>
        </w:rPr>
        <w:t>质保期及售后服务</w:t>
      </w:r>
      <w:bookmarkEnd w:id="85"/>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一、质保期及质保要求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1</w:t>
      </w:r>
      <w:r>
        <w:rPr>
          <w:rFonts w:hint="eastAsia" w:ascii="宋体" w:cs="宋体"/>
          <w:b w:val="0"/>
          <w:bCs w:val="0"/>
          <w:color w:val="000000" w:themeColor="text1"/>
          <w:spacing w:val="0"/>
          <w:sz w:val="24"/>
          <w:szCs w:val="24"/>
          <w:highlight w:val="none"/>
          <w14:textFill>
            <w14:solidFill>
              <w14:schemeClr w14:val="tx1"/>
            </w14:solidFill>
          </w14:textFill>
        </w:rPr>
        <w:t>.全部供货范围内的设备、材料、零配件和工器具等，除合同特别约定外，其质保期均自终验收签字生效之日起</w:t>
      </w:r>
      <w:r>
        <w:rPr>
          <w:rFonts w:ascii="宋体" w:cs="宋体"/>
          <w:b w:val="0"/>
          <w:bCs w:val="0"/>
          <w:color w:val="000000" w:themeColor="text1"/>
          <w:spacing w:val="0"/>
          <w:sz w:val="24"/>
          <w:szCs w:val="24"/>
          <w:highlight w:val="none"/>
          <w14:textFill>
            <w14:solidFill>
              <w14:schemeClr w14:val="tx1"/>
            </w14:solidFill>
          </w14:textFill>
        </w:rPr>
        <w:t xml:space="preserve"> </w:t>
      </w:r>
      <w:r>
        <w:rPr>
          <w:rFonts w:hint="eastAsia" w:ascii="宋体" w:cs="宋体"/>
          <w:b w:val="0"/>
          <w:bCs w:val="0"/>
          <w:color w:val="000000" w:themeColor="text1"/>
          <w:spacing w:val="0"/>
          <w:sz w:val="24"/>
          <w:szCs w:val="24"/>
          <w:highlight w:val="none"/>
          <w14:textFill>
            <w14:solidFill>
              <w14:schemeClr w14:val="tx1"/>
            </w14:solidFill>
          </w14:textFill>
        </w:rPr>
        <w:t>12</w:t>
      </w:r>
      <w:r>
        <w:rPr>
          <w:rFonts w:ascii="宋体" w:cs="宋体"/>
          <w:b w:val="0"/>
          <w:bCs w:val="0"/>
          <w:color w:val="000000" w:themeColor="text1"/>
          <w:spacing w:val="0"/>
          <w:sz w:val="24"/>
          <w:szCs w:val="24"/>
          <w:highlight w:val="none"/>
          <w14:textFill>
            <w14:solidFill>
              <w14:schemeClr w14:val="tx1"/>
            </w14:solidFill>
          </w14:textFill>
        </w:rPr>
        <w:t xml:space="preserve"> </w:t>
      </w:r>
      <w:r>
        <w:rPr>
          <w:rFonts w:hint="eastAsia" w:ascii="宋体" w:cs="宋体"/>
          <w:b w:val="0"/>
          <w:bCs w:val="0"/>
          <w:color w:val="000000" w:themeColor="text1"/>
          <w:spacing w:val="0"/>
          <w:sz w:val="24"/>
          <w:szCs w:val="24"/>
          <w:highlight w:val="none"/>
          <w14:textFill>
            <w14:solidFill>
              <w14:schemeClr w14:val="tx1"/>
            </w14:solidFill>
          </w14:textFill>
        </w:rPr>
        <w:t>个月。</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投标货物或涉及的关键总成和零件，如果有更长时间质保期，允许更改并说明，此将有利于投标人。</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设计使用寿命短于质保期的易损件除外，但属于易损件的，应当有明确说明。</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2</w:t>
      </w:r>
      <w:r>
        <w:rPr>
          <w:rFonts w:hint="eastAsia" w:ascii="宋体" w:cs="宋体"/>
          <w:b w:val="0"/>
          <w:bCs w:val="0"/>
          <w:color w:val="000000" w:themeColor="text1"/>
          <w:spacing w:val="0"/>
          <w:sz w:val="24"/>
          <w:szCs w:val="24"/>
          <w:highlight w:val="none"/>
          <w14:textFill>
            <w14:solidFill>
              <w14:schemeClr w14:val="tx1"/>
            </w14:solidFill>
          </w14:textFill>
        </w:rPr>
        <w:t>.质保期之内，如果货物出现设备、总成、关键零部件或者多处一般零部件的二次以上的更换或维修行为，则质保期自更换或维修行为结束、货物重新正常运行使用之日起重新计算。</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3</w:t>
      </w:r>
      <w:r>
        <w:rPr>
          <w:rFonts w:hint="eastAsia" w:ascii="宋体" w:cs="宋体"/>
          <w:b w:val="0"/>
          <w:bCs w:val="0"/>
          <w:color w:val="000000" w:themeColor="text1"/>
          <w:spacing w:val="0"/>
          <w:sz w:val="24"/>
          <w:szCs w:val="24"/>
          <w:highlight w:val="none"/>
          <w14:textFill>
            <w14:solidFill>
              <w14:schemeClr w14:val="tx1"/>
            </w14:solidFill>
          </w14:textFill>
        </w:rPr>
        <w:t>.质保期内免费提供零部件和及时有效的服务。质保期内因货物本身缺陷造成的各种故障，卖方应负责免费维修和服务。</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t>4</w:t>
      </w:r>
      <w:r>
        <w:rPr>
          <w:rFonts w:hint="eastAsia" w:ascii="宋体" w:cs="宋体"/>
          <w:b w:val="0"/>
          <w:bCs w:val="0"/>
          <w:color w:val="000000" w:themeColor="text1"/>
          <w:spacing w:val="0"/>
          <w:sz w:val="24"/>
          <w:szCs w:val="24"/>
          <w:highlight w:val="none"/>
          <w14:textFill>
            <w14:solidFill>
              <w14:schemeClr w14:val="tx1"/>
            </w14:solidFill>
          </w14:textFill>
        </w:rPr>
        <w:t>.质保期终止之日起一年内重复出现的质保期之内出现的故障，仍属质保范围而且应当免费。</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二、技术及培训服务</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1.应负责在买方货物使用现场，对技术、维修和操作人员提供免费的理论、技术和操作、维修等方面的技术指导和培训，并接受买方有关人员的技术咨询。培训工作日不少于3个日历日。</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2.应免费提供一定数量的培训资料。</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3.应按要求免费积极协助和提供买方以及买方所委托的工程设计单位有关人员所需要的、与货物有关的工程设计资料、技术咨询等。</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4.若卖方提供货物涉及到外购外协货物、而且该货物的技术质量等较为关键时，卖方应能保证得到配套厂家的技术支持，并免费为买方提供技术服务。</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三、安装调试及验收服务</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2.若卖方提供的货物涉及到外购外协货物、而且该货物的技术质量等较为关键时，应保证能得到供应商的技术支持，并免费为买方提供安装使用现场的指导与培训。</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5.卖方应当向买方提供货物试验、验收的有关标准、规范和方法，同时提供货物涉及并使用的软件合法性证明。</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6.服务缺陷视同货物缺陷和履约延期。</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四、售后服务</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1.卖方提供的货物涉及的所有售后服务均由卖方负责。如果发生问题并且收到通知，卖方应当在</w:t>
      </w:r>
      <w:r>
        <w:rPr>
          <w:rFonts w:hint="eastAsia" w:ascii="宋体" w:cs="宋体"/>
          <w:b w:val="0"/>
          <w:bCs w:val="0"/>
          <w:color w:val="000000" w:themeColor="text1"/>
          <w:spacing w:val="0"/>
          <w:sz w:val="24"/>
          <w:szCs w:val="24"/>
          <w:highlight w:val="none"/>
          <w:u w:val="single"/>
          <w14:textFill>
            <w14:solidFill>
              <w14:schemeClr w14:val="tx1"/>
            </w14:solidFill>
          </w14:textFill>
        </w:rPr>
        <w:t>2</w:t>
      </w:r>
      <w:r>
        <w:rPr>
          <w:rFonts w:hint="eastAsia" w:ascii="宋体" w:cs="宋体"/>
          <w:b w:val="0"/>
          <w:bCs w:val="0"/>
          <w:color w:val="000000" w:themeColor="text1"/>
          <w:spacing w:val="0"/>
          <w:sz w:val="24"/>
          <w:szCs w:val="24"/>
          <w:highlight w:val="none"/>
          <w14:textFill>
            <w14:solidFill>
              <w14:schemeClr w14:val="tx1"/>
            </w14:solidFill>
          </w14:textFill>
        </w:rPr>
        <w:t>小时内予以答复。</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2.如发现所提供的货物存在问题，需要卖方解决或配合解决时：在质保期之内，应在接到通知后</w:t>
      </w:r>
      <w:r>
        <w:rPr>
          <w:rFonts w:hint="eastAsia" w:ascii="宋体" w:cs="宋体"/>
          <w:b w:val="0"/>
          <w:bCs w:val="0"/>
          <w:color w:val="000000" w:themeColor="text1"/>
          <w:spacing w:val="0"/>
          <w:sz w:val="24"/>
          <w:szCs w:val="24"/>
          <w:highlight w:val="none"/>
          <w:u w:val="single"/>
          <w14:textFill>
            <w14:solidFill>
              <w14:schemeClr w14:val="tx1"/>
            </w14:solidFill>
          </w14:textFill>
        </w:rPr>
        <w:t>24</w:t>
      </w:r>
      <w:r>
        <w:rPr>
          <w:rFonts w:hint="eastAsia" w:ascii="宋体" w:cs="宋体"/>
          <w:b w:val="0"/>
          <w:bCs w:val="0"/>
          <w:color w:val="000000" w:themeColor="text1"/>
          <w:spacing w:val="0"/>
          <w:sz w:val="24"/>
          <w:szCs w:val="24"/>
          <w:highlight w:val="none"/>
          <w14:textFill>
            <w14:solidFill>
              <w14:schemeClr w14:val="tx1"/>
            </w14:solidFill>
          </w14:textFill>
        </w:rPr>
        <w:t>小时内派有关人员到达现场；在质保期之外，应在接到通知后</w:t>
      </w:r>
      <w:r>
        <w:rPr>
          <w:rFonts w:hint="eastAsia" w:ascii="宋体" w:cs="宋体"/>
          <w:b w:val="0"/>
          <w:bCs w:val="0"/>
          <w:color w:val="000000" w:themeColor="text1"/>
          <w:spacing w:val="0"/>
          <w:sz w:val="24"/>
          <w:szCs w:val="24"/>
          <w:highlight w:val="none"/>
          <w:u w:val="single"/>
          <w14:textFill>
            <w14:solidFill>
              <w14:schemeClr w14:val="tx1"/>
            </w14:solidFill>
          </w14:textFill>
        </w:rPr>
        <w:t>72</w:t>
      </w:r>
      <w:r>
        <w:rPr>
          <w:rFonts w:hint="eastAsia" w:ascii="宋体" w:cs="宋体"/>
          <w:b w:val="0"/>
          <w:bCs w:val="0"/>
          <w:color w:val="000000" w:themeColor="text1"/>
          <w:spacing w:val="0"/>
          <w:sz w:val="24"/>
          <w:szCs w:val="24"/>
          <w:highlight w:val="none"/>
          <w14:textFill>
            <w14:solidFill>
              <w14:schemeClr w14:val="tx1"/>
            </w14:solidFill>
          </w14:textFill>
        </w:rPr>
        <w:t>小时内派有关人员到达现场。</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3.卖方派往买方使用现场的人员，应具有较高的业务素质；现场解决问题时，不得无故拖延或推迟，应为买方提供最佳的服务。</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五、其它服务</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1.若卖方所提供货物有需要进口的，卖方一般应自行、自费办理；必要时，买卖双方共同办理。</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2.除招标文件、投标文件、答疑文件、技术标书、合同等约定之外，卖方应免费负责必要的或强制性的货物的检验、试验、化验等直接费用。</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3.本章节条款所列“免费”，并非指定不可收费，而是指招标文件、投标文件、答疑文件、技术交流文件、技术标书和合同等范围之外，投标人不可另行收取的费用。</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ascii="宋体" w:cs="宋体"/>
          <w:b w:val="0"/>
          <w:bCs w:val="0"/>
          <w:color w:val="000000" w:themeColor="text1"/>
          <w:spacing w:val="0"/>
          <w:sz w:val="24"/>
          <w:szCs w:val="24"/>
          <w:highlight w:val="none"/>
          <w14:textFill>
            <w14:solidFill>
              <w14:schemeClr w14:val="tx1"/>
            </w14:solidFill>
          </w14:textFill>
        </w:rPr>
        <w:br w:type="page"/>
      </w:r>
    </w:p>
    <w:p>
      <w:pPr>
        <w:keepNext/>
        <w:keepLines/>
        <w:spacing w:before="120" w:after="120" w:line="480" w:lineRule="exact"/>
        <w:ind w:left="274" w:firstLine="560"/>
        <w:outlineLvl w:val="1"/>
        <w:rPr>
          <w:rFonts w:ascii="宋体"/>
          <w:color w:val="000000" w:themeColor="text1"/>
          <w:spacing w:val="0"/>
          <w:kern w:val="44"/>
          <w:sz w:val="28"/>
          <w:szCs w:val="28"/>
          <w:highlight w:val="none"/>
          <w14:textFill>
            <w14:solidFill>
              <w14:schemeClr w14:val="tx1"/>
            </w14:solidFill>
          </w14:textFill>
        </w:rPr>
      </w:pPr>
      <w:bookmarkStart w:id="86" w:name="_Toc465187646"/>
      <w:r>
        <w:rPr>
          <w:rFonts w:hint="eastAsia" w:ascii="宋体"/>
          <w:color w:val="000000" w:themeColor="text1"/>
          <w:spacing w:val="0"/>
          <w:kern w:val="44"/>
          <w:sz w:val="28"/>
          <w:szCs w:val="28"/>
          <w:highlight w:val="none"/>
          <w14:textFill>
            <w14:solidFill>
              <w14:schemeClr w14:val="tx1"/>
            </w14:solidFill>
          </w14:textFill>
        </w:rPr>
        <w:t>第五章  预验收和终验收</w:t>
      </w:r>
      <w:bookmarkEnd w:id="86"/>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一、验收依据和验收标准</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1.验收标准一般以技术标书和合同规定验收。无论技术标书和合同，是否全部并准确列明验收所涉及的相关标准，均作为验收标准之一。</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2.如果验收过程中，发现招标文件、投标文件、答疑文件、技术交流文件等与技术标书、合同存在差异，原则上以涉及条款中对买方最有利条款为验收依据。</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二、检验</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如果采购货物涉及必要的或必需的检验，投标人应当在投标文件中明确可能涉及的检验费用，并将该费用包含在投标总报价之内；不作针对性澄清或说明的，视同包含在投标总价之内。基本约定如下：</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1.国产货物的检验一般由买卖双方共同进行或按照合同要求进行。</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2.进口货物的检验，卖方需要按照下述要求进行：</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2.1 进口货物发货前，应对货物的质量、型号、规格、性能和数量/重量作精密、全面的检验，并出具证明书，证明所供货物符合合同规定。</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2.2 应依据合同规定的要求，提供买卖双方达成一致的货物的验收标准和装箱单，作为买方检验的依据。</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三、验收基本条件</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买卖双方按照合同约定执行了合同，同时货物完成了试运行并经检验合格，则具备验收条件。</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1.预验收一般条件</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1.1 卖方已经按照“供货范围”要求提供了预验收资料，并且资料齐全、完整和有效。</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1.2 货物应完整且所有的零部件应该安装牢固，外观无损伤，所有的焊缝饱满、无残渣等缺陷。</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1.3 货物的油漆质量应饱满、有光泽，无掉漆、无色差、无“桔皮”等不良现象（特殊标志除外）。</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1.4 货物标牌完整、清晰、明确。</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1.5 货物的安全要求符合中国最新的相关法律、法规、标准和规范以及合同要求。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2.终验收一般条件</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2.1 经过预验收而且没有出现新的质量问题，或者满足预验收条款。</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2.2 货物安装调试完毕，并至少经过了验收要求的负荷试运行。</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2.3 货物正常运行时，噪声等环境影响因素满足国家和当地环保主管部门规定，安全措施落实、有效。</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2.4 计量仪器、仪表配套合理，采用中国的法定计量单位，计量准确、灵敏可靠。保证设计指标和仪器说明书的参数的实现（提供合格证或第三方鉴定文件）。</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2.5 试运行期间或之后无维修、调整等行为（特殊情况除外）。</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2.6 货物质量、技术性能等，达到签定的技术标书和合同规定的终验收标准。</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3.终验收基本要求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3.1 出现下列问题之一，视作验收失败：</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3.1.1 设备验收时，其参数无法满足招标书中的技术要求。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3.1.2 在整个验收过程中发生关键零部件损坏或重大故障；</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3.1.3 一般性故障超过2次；</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3.1.4 更换的零部件货值超过总货值的1%。</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3.2 累计负载运行实际性能（或生产率）达不到合同规定；</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3.3 终验收原则上要求一次完成。若一次验收不成功，最多允许两次；如果出现第三次验收失败，重新作价或退货；</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3.4 终验收通过后买卖双方共同签署终验收报告，并移交、核对全部供货范围内物品。</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p>
      <w:pPr>
        <w:keepNext/>
        <w:keepLines/>
        <w:spacing w:before="120" w:after="120" w:line="480" w:lineRule="exact"/>
        <w:ind w:left="274" w:firstLine="560"/>
        <w:outlineLvl w:val="1"/>
        <w:rPr>
          <w:rFonts w:ascii="宋体"/>
          <w:color w:val="000000" w:themeColor="text1"/>
          <w:spacing w:val="0"/>
          <w:kern w:val="44"/>
          <w:sz w:val="28"/>
          <w:szCs w:val="28"/>
          <w:highlight w:val="none"/>
          <w14:textFill>
            <w14:solidFill>
              <w14:schemeClr w14:val="tx1"/>
            </w14:solidFill>
          </w14:textFill>
        </w:rPr>
      </w:pPr>
      <w:bookmarkStart w:id="87" w:name="_Toc465187647"/>
      <w:r>
        <w:rPr>
          <w:rFonts w:hint="eastAsia" w:ascii="宋体"/>
          <w:color w:val="000000" w:themeColor="text1"/>
          <w:spacing w:val="0"/>
          <w:kern w:val="44"/>
          <w:sz w:val="28"/>
          <w:szCs w:val="28"/>
          <w:highlight w:val="none"/>
          <w14:textFill>
            <w14:solidFill>
              <w14:schemeClr w14:val="tx1"/>
            </w14:solidFill>
          </w14:textFill>
        </w:rPr>
        <w:t>第六章  投标技术文件一般要求</w:t>
      </w:r>
      <w:bookmarkEnd w:id="87"/>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ascii="宋体" w:cs="宋体"/>
          <w:color w:val="000000" w:themeColor="text1"/>
          <w:spacing w:val="0"/>
          <w:sz w:val="24"/>
          <w:szCs w:val="24"/>
          <w:highlight w:val="none"/>
          <w14:textFill>
            <w14:solidFill>
              <w14:schemeClr w14:val="tx1"/>
            </w14:solidFill>
          </w14:textFill>
        </w:rPr>
        <w:t>一、技术文件一般内容要求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1.投标人应认真阅读招标文件和本技术标书，并按要求编写投标技术文件。</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2.投标技术文件至少应对投标货物的功能用途、技术性能、质量标准、技术参数等作出详细说明。</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3.投标技术文件至少应根据投标货物的关键设备、总成、零部件或系统作出满足或优于招标文件要求的详细说明。</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4.投标技术文件至少应按照招标文件要求（或投标人建议）列明备品备件、易损件和专用耗材明细。</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5.投标人应当而且必须分别说明所列备品备件、易损件和专用耗材的使用寿命（以有效工作小时数说明）。</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6.投标的货物，应当根据其配置和备品备件、易损件、专用耗材情况，尽可能详细且分类填入下表：</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6.1备品备件、易损件和专用耗材明细表：</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备品备件、易损件和专用耗材明细表      单位：元</w:t>
      </w:r>
    </w:p>
    <w:tbl>
      <w:tblPr>
        <w:tblStyle w:val="41"/>
        <w:tblpPr w:leftFromText="180" w:rightFromText="180" w:vertAnchor="text" w:horzAnchor="page" w:tblpX="1772" w:tblpY="170"/>
        <w:tblOverlap w:val="never"/>
        <w:tblW w:w="94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980"/>
        <w:gridCol w:w="1638"/>
        <w:gridCol w:w="941"/>
        <w:gridCol w:w="1030"/>
        <w:gridCol w:w="1010"/>
        <w:gridCol w:w="1371"/>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980"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序号</w:t>
            </w:r>
          </w:p>
        </w:tc>
        <w:tc>
          <w:tcPr>
            <w:tcW w:w="980"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名称</w:t>
            </w:r>
          </w:p>
        </w:tc>
        <w:tc>
          <w:tcPr>
            <w:tcW w:w="1638"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型号规格</w:t>
            </w:r>
          </w:p>
        </w:tc>
        <w:tc>
          <w:tcPr>
            <w:tcW w:w="941"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单位</w:t>
            </w:r>
          </w:p>
        </w:tc>
        <w:tc>
          <w:tcPr>
            <w:tcW w:w="1030"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数量</w:t>
            </w:r>
          </w:p>
        </w:tc>
        <w:tc>
          <w:tcPr>
            <w:tcW w:w="1010"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单价</w:t>
            </w:r>
          </w:p>
        </w:tc>
        <w:tc>
          <w:tcPr>
            <w:tcW w:w="1371"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总价</w:t>
            </w:r>
          </w:p>
        </w:tc>
        <w:tc>
          <w:tcPr>
            <w:tcW w:w="1530" w:type="dxa"/>
            <w:vAlign w:val="center"/>
          </w:tcPr>
          <w:p>
            <w:pPr>
              <w:spacing w:line="360" w:lineRule="auto"/>
              <w:ind w:right="238" w:firstLine="0"/>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8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98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638"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941"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03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01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371"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53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8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98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638"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941"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03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01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371"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53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8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98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638"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941"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03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01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371"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53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8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98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638"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941"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03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01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371"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53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trPr>
        <w:tc>
          <w:tcPr>
            <w:tcW w:w="98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98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638"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941"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03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01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371"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53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98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98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638"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941"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03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01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371"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c>
          <w:tcPr>
            <w:tcW w:w="1530" w:type="dxa"/>
          </w:tcPr>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p>
        </w:tc>
      </w:tr>
    </w:tbl>
    <w:p>
      <w:pPr>
        <w:spacing w:line="240" w:lineRule="auto"/>
        <w:ind w:left="274" w:firstLine="482"/>
        <w:jc w:val="both"/>
        <w:rPr>
          <w:rFonts w:ascii="宋体" w:cs="宋体"/>
          <w:b w:val="0"/>
          <w:bCs w:val="0"/>
          <w:color w:val="000000" w:themeColor="text1"/>
          <w:spacing w:val="0"/>
          <w:sz w:val="24"/>
          <w:szCs w:val="24"/>
          <w:highlight w:val="none"/>
          <w14:textFill>
            <w14:solidFill>
              <w14:schemeClr w14:val="tx1"/>
            </w14:solidFill>
          </w14:textFill>
        </w:rPr>
      </w:pPr>
    </w:p>
    <w:p>
      <w:pPr>
        <w:spacing w:line="360" w:lineRule="auto"/>
        <w:ind w:left="274" w:right="238"/>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6.2“开标一览表”和“明细表”仅作为投标人编制投标技术文件的一般格式。其中序号编写应当便于招标人了解分类或分项货物之间的所属关系，如1、1.1、1.2；</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6.3应当尽可能将货物的配置列全、列细，这将有助于投标人胜出；</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6.4单价与总价之间、总价与分类小计价之间、分类小计价与合计价之间数据应当齐全而且准确；</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6.5  本条款表格中的制造商，应当为全称或公认的简称。</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二、技术文件中货物报价格式要求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2.如果投标总报价与其它价格出现错误或不一致，将有可能导致废标。</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3.投标总报价为自合同签定生效至合同无异议执行完毕涉及的买方需要支付的全部费用。如投标人认为本招标及投标货物涉及特需或专门的设计，应当单独列明设计费。</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4.备品备件、易损件和专用耗材，招标人将可能与投标人按照投标价格另行签署供货合同。</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5.要求投标总报价、分项报价、明细报价之间应当具有相互间对应关系以及填报分项和明细报价，仅为便于评标而不妨碍投标人以最合适的形式签署合同。</w:t>
      </w:r>
    </w:p>
    <w:p>
      <w:pPr>
        <w:spacing w:line="360" w:lineRule="auto"/>
        <w:ind w:left="239" w:leftChars="114" w:right="238" w:firstLine="480" w:firstLineChars="200"/>
        <w:jc w:val="both"/>
        <w:rPr>
          <w:rFonts w:ascii="宋体" w:cs="宋体"/>
          <w:color w:val="000000" w:themeColor="text1"/>
          <w:spacing w:val="0"/>
          <w:sz w:val="24"/>
          <w:szCs w:val="24"/>
          <w:highlight w:val="none"/>
          <w14:textFill>
            <w14:solidFill>
              <w14:schemeClr w14:val="tx1"/>
            </w14:solidFill>
          </w14:textFill>
        </w:rPr>
      </w:pPr>
      <w:r>
        <w:rPr>
          <w:rFonts w:hint="eastAsia" w:ascii="宋体" w:cs="宋体"/>
          <w:color w:val="000000" w:themeColor="text1"/>
          <w:spacing w:val="0"/>
          <w:sz w:val="24"/>
          <w:szCs w:val="24"/>
          <w:highlight w:val="none"/>
          <w14:textFill>
            <w14:solidFill>
              <w14:schemeClr w14:val="tx1"/>
            </w14:solidFill>
          </w14:textFill>
        </w:rPr>
        <w:t>三、验收标准及内容要求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除招标文件明确的验收标准或内容之外，投标人应当在投标文件中提供预验收（必要时）和终验收的标准以及规程；在合同签定之前，经投标人和招标人双方洽谈确认并签署，以作为验收标准执行。</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sectPr>
          <w:footerReference r:id="rId11" w:type="first"/>
          <w:footerReference r:id="rId10" w:type="default"/>
          <w:pgSz w:w="11906" w:h="16838"/>
          <w:pgMar w:top="1588" w:right="1418" w:bottom="1134" w:left="1418" w:header="851" w:footer="992" w:gutter="0"/>
          <w:pgNumType w:fmt="numberInDash"/>
          <w:cols w:space="720" w:num="1"/>
          <w:titlePg/>
          <w:docGrid w:linePitch="312" w:charSpace="0"/>
        </w:sectPr>
      </w:pPr>
      <w:bookmarkStart w:id="88" w:name="_Toc465187648"/>
    </w:p>
    <w:p>
      <w:pPr>
        <w:keepNext/>
        <w:keepLines/>
        <w:spacing w:before="120" w:after="120" w:line="480" w:lineRule="exact"/>
        <w:ind w:left="274" w:firstLine="560"/>
        <w:outlineLvl w:val="1"/>
        <w:rPr>
          <w:rFonts w:ascii="宋体"/>
          <w:color w:val="000000" w:themeColor="text1"/>
          <w:spacing w:val="0"/>
          <w:kern w:val="44"/>
          <w:sz w:val="28"/>
          <w:szCs w:val="28"/>
          <w:highlight w:val="none"/>
          <w14:textFill>
            <w14:solidFill>
              <w14:schemeClr w14:val="tx1"/>
            </w14:solidFill>
          </w14:textFill>
        </w:rPr>
      </w:pPr>
      <w:r>
        <w:rPr>
          <w:rFonts w:hint="eastAsia" w:ascii="宋体"/>
          <w:color w:val="000000" w:themeColor="text1"/>
          <w:spacing w:val="0"/>
          <w:kern w:val="44"/>
          <w:sz w:val="28"/>
          <w:szCs w:val="28"/>
          <w:highlight w:val="none"/>
          <w14:textFill>
            <w14:solidFill>
              <w14:schemeClr w14:val="tx1"/>
            </w14:solidFill>
          </w14:textFill>
        </w:rPr>
        <w:t>第七章  其它要求及说明</w:t>
      </w:r>
      <w:bookmarkEnd w:id="88"/>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一、要求</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为保证本技术标书所列采购货物的质量以及先进性、可靠性、经济性和实用性，要求投标人在投标文件中，至少应具备以下资格证明文件或资料：</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2.投标人应当是通过有关资格认证的法人。应当在投标文件中提供有效期内的资格认证证书，如：ISO9001、VDA6.1、QS9000等。</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3.国产设备应附有采购货物（或设备）涉及的由“中国质量认证中心”颁发的《中国国家强制性产品认证证书》（CCC证书）。</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4.应附有其它与投标人、采购货物有关的荣誉证书或资料。</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5.必须附有投标货物涉及产品要求的、国家或行业管理规定要求的、或者投标人认为能够体现其投标货物合法性及先进性的最高级别的证明材料（投标货物不涉及的除外）：</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5.1国家相关机构颁发的有效期之内所必需的《生产许可证》；</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5.2产品（或技术）鉴定报告/证书、专利证书或专利许可证书、新技术成果证书等；</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5.3产品</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5.4其它能够证明所供货物的质量相关检验、试验报告，如：型式试验检验报告、安全试验检验报告、电弧效应试验报告、噪声检测报告等；水平、技术水平、安全性水平、节能性水平、环保性水平等相关的其它证明文件或资料、报告等；</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5.5该类报告或证明材料对于投标人胜出乃至中标极为重要！</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6.必须附有：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二、其他</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2.即使有建议意见或建议方案，仍应依据招标文件和本技术标书要求，编写符合要求的投标文件。建议方案或建议意见，应以单独篇章或文件，予以说明和报价。</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left="239" w:leftChars="114" w:right="238" w:firstLine="480" w:firstLineChars="200"/>
        <w:jc w:val="both"/>
        <w:rPr>
          <w:rFonts w:ascii="宋体" w:cs="宋体"/>
          <w:b w:val="0"/>
          <w:bCs w:val="0"/>
          <w:color w:val="000000" w:themeColor="text1"/>
          <w:spacing w:val="0"/>
          <w:sz w:val="24"/>
          <w:szCs w:val="24"/>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4.招标文件、投标文件、答疑文件、技术交流文件、技术标书等，在采购过程全部为有效文件，如有差异，以对招标人最有利的条款为准。</w:t>
      </w:r>
    </w:p>
    <w:p>
      <w:pPr>
        <w:spacing w:line="360" w:lineRule="auto"/>
        <w:ind w:left="239" w:leftChars="114" w:right="238" w:firstLine="480" w:firstLineChars="200"/>
        <w:jc w:val="both"/>
        <w:rPr>
          <w:b w:val="0"/>
          <w:color w:val="000000" w:themeColor="text1"/>
          <w:sz w:val="21"/>
          <w:szCs w:val="21"/>
          <w:highlight w:val="none"/>
          <w14:textFill>
            <w14:solidFill>
              <w14:schemeClr w14:val="tx1"/>
            </w14:solidFill>
          </w14:textFill>
        </w:rPr>
      </w:pPr>
      <w:r>
        <w:rPr>
          <w:rFonts w:hint="eastAsia" w:ascii="宋体" w:cs="宋体"/>
          <w:b w:val="0"/>
          <w:bCs w:val="0"/>
          <w:color w:val="000000" w:themeColor="text1"/>
          <w:spacing w:val="0"/>
          <w:sz w:val="24"/>
          <w:szCs w:val="24"/>
          <w:highlight w:val="none"/>
          <w14:textFill>
            <w14:solidFill>
              <w14:schemeClr w14:val="tx1"/>
            </w14:solidFill>
          </w14:textFill>
        </w:rPr>
        <w:t>5.为避免歧义，本技术标书涉及招投标环节的条款，均将潜在的卖方称为投标人、将买方称为招标人；定标后合同签署环节以及后续的合同执行环节条款，招标人称为买方、投标人中的中标方称为卖</w:t>
      </w:r>
      <w:r>
        <w:rPr>
          <w:rFonts w:hint="eastAsia"/>
          <w:b w:val="0"/>
          <w:color w:val="000000" w:themeColor="text1"/>
          <w:sz w:val="21"/>
          <w:szCs w:val="21"/>
          <w:highlight w:val="none"/>
          <w14:textFill>
            <w14:solidFill>
              <w14:schemeClr w14:val="tx1"/>
            </w14:solidFill>
          </w14:textFill>
        </w:rPr>
        <w:t>方。</w:t>
      </w:r>
    </w:p>
    <w:p>
      <w:pPr>
        <w:pStyle w:val="2"/>
        <w:rPr>
          <w:rFonts w:ascii="Calibri" w:hAnsi="Calibri" w:eastAsia="宋体" w:cs="Times New Roman"/>
          <w:b/>
          <w:bCs/>
          <w:kern w:val="44"/>
          <w:sz w:val="36"/>
          <w:szCs w:val="44"/>
        </w:rPr>
      </w:pPr>
    </w:p>
    <w:p/>
    <w:p>
      <w:pPr>
        <w:spacing w:line="276" w:lineRule="auto"/>
        <w:jc w:val="center"/>
        <w:rPr>
          <w:rFonts w:hint="eastAsia" w:ascii="Calibri" w:hAnsi="宋体" w:eastAsia="宋体" w:cs="Times New Roman"/>
          <w:b/>
          <w:bCs/>
          <w:color w:val="000000"/>
          <w:spacing w:val="-8"/>
          <w:sz w:val="48"/>
          <w:szCs w:val="44"/>
        </w:rPr>
      </w:pPr>
    </w:p>
    <w:p>
      <w:pPr>
        <w:pStyle w:val="2"/>
        <w:rPr>
          <w:rFonts w:hint="eastAsia" w:ascii="Calibri" w:hAnsi="宋体" w:eastAsia="宋体" w:cs="Times New Roman"/>
          <w:b/>
          <w:bCs/>
          <w:color w:val="000000"/>
          <w:spacing w:val="-8"/>
          <w:sz w:val="48"/>
          <w:szCs w:val="44"/>
        </w:rPr>
      </w:pPr>
    </w:p>
    <w:p>
      <w:pPr>
        <w:rPr>
          <w:rFonts w:hint="eastAsia" w:ascii="Calibri" w:hAnsi="宋体" w:eastAsia="宋体" w:cs="Times New Roman"/>
          <w:b/>
          <w:bCs/>
          <w:color w:val="000000"/>
          <w:spacing w:val="-8"/>
          <w:sz w:val="48"/>
          <w:szCs w:val="44"/>
        </w:rPr>
      </w:pPr>
    </w:p>
    <w:p>
      <w:pPr>
        <w:pStyle w:val="2"/>
        <w:rPr>
          <w:rFonts w:hint="eastAsia" w:ascii="Calibri" w:hAnsi="宋体" w:eastAsia="宋体" w:cs="Times New Roman"/>
          <w:b/>
          <w:bCs/>
          <w:color w:val="000000"/>
          <w:spacing w:val="-8"/>
          <w:sz w:val="48"/>
          <w:szCs w:val="44"/>
        </w:rPr>
      </w:pPr>
    </w:p>
    <w:p>
      <w:pPr>
        <w:rPr>
          <w:rFonts w:hint="eastAsia" w:ascii="Calibri" w:hAnsi="宋体" w:eastAsia="宋体" w:cs="Times New Roman"/>
          <w:b/>
          <w:bCs/>
          <w:color w:val="000000"/>
          <w:spacing w:val="-8"/>
          <w:sz w:val="48"/>
          <w:szCs w:val="44"/>
        </w:rPr>
      </w:pPr>
    </w:p>
    <w:p>
      <w:pPr>
        <w:pStyle w:val="2"/>
        <w:rPr>
          <w:rFonts w:hint="eastAsia" w:ascii="Calibri" w:hAnsi="宋体" w:eastAsia="宋体" w:cs="Times New Roman"/>
          <w:b/>
          <w:bCs/>
          <w:color w:val="000000"/>
          <w:spacing w:val="-8"/>
          <w:sz w:val="48"/>
          <w:szCs w:val="44"/>
        </w:rPr>
      </w:pPr>
    </w:p>
    <w:p>
      <w:pPr>
        <w:rPr>
          <w:rFonts w:hint="eastAsia" w:ascii="Calibri" w:hAnsi="宋体" w:eastAsia="宋体" w:cs="Times New Roman"/>
          <w:b/>
          <w:bCs/>
          <w:color w:val="000000"/>
          <w:spacing w:val="-8"/>
          <w:sz w:val="48"/>
          <w:szCs w:val="44"/>
        </w:rPr>
      </w:pPr>
    </w:p>
    <w:p>
      <w:pPr>
        <w:pStyle w:val="2"/>
        <w:rPr>
          <w:rFonts w:hint="eastAsia" w:ascii="Calibri" w:hAnsi="宋体" w:eastAsia="宋体" w:cs="Times New Roman"/>
          <w:b/>
          <w:bCs/>
          <w:color w:val="000000"/>
          <w:spacing w:val="-8"/>
          <w:sz w:val="48"/>
          <w:szCs w:val="44"/>
        </w:rPr>
      </w:pPr>
    </w:p>
    <w:p>
      <w:pPr>
        <w:rPr>
          <w:rFonts w:hint="eastAsia" w:ascii="Calibri" w:hAnsi="宋体" w:eastAsia="宋体" w:cs="Times New Roman"/>
          <w:b/>
          <w:bCs/>
          <w:color w:val="000000"/>
          <w:spacing w:val="-8"/>
          <w:sz w:val="48"/>
          <w:szCs w:val="44"/>
        </w:rPr>
      </w:pPr>
    </w:p>
    <w:p>
      <w:pPr>
        <w:pStyle w:val="2"/>
        <w:rPr>
          <w:rFonts w:hint="eastAsia" w:ascii="Calibri" w:hAnsi="宋体" w:eastAsia="宋体" w:cs="Times New Roman"/>
          <w:b/>
          <w:bCs/>
          <w:color w:val="000000"/>
          <w:spacing w:val="-8"/>
          <w:sz w:val="48"/>
          <w:szCs w:val="44"/>
        </w:rPr>
      </w:pPr>
    </w:p>
    <w:p>
      <w:pPr>
        <w:rPr>
          <w:rFonts w:hint="eastAsia" w:ascii="Calibri" w:hAnsi="宋体" w:eastAsia="宋体" w:cs="Times New Roman"/>
          <w:b/>
          <w:bCs/>
          <w:color w:val="000000"/>
          <w:spacing w:val="-8"/>
          <w:sz w:val="48"/>
          <w:szCs w:val="44"/>
        </w:rPr>
      </w:pPr>
    </w:p>
    <w:p>
      <w:pPr>
        <w:pStyle w:val="2"/>
        <w:rPr>
          <w:rFonts w:hint="eastAsia" w:ascii="Calibri" w:hAnsi="宋体" w:eastAsia="宋体" w:cs="Times New Roman"/>
          <w:b/>
          <w:bCs/>
          <w:color w:val="000000"/>
          <w:spacing w:val="-8"/>
          <w:sz w:val="48"/>
          <w:szCs w:val="44"/>
        </w:rPr>
      </w:pPr>
    </w:p>
    <w:p>
      <w:pPr>
        <w:rPr>
          <w:rFonts w:hint="eastAsia" w:ascii="Calibri" w:hAnsi="宋体" w:eastAsia="宋体" w:cs="Times New Roman"/>
          <w:b/>
          <w:bCs/>
          <w:color w:val="000000"/>
          <w:spacing w:val="-8"/>
          <w:sz w:val="48"/>
          <w:szCs w:val="44"/>
        </w:rPr>
      </w:pPr>
    </w:p>
    <w:p>
      <w:pPr>
        <w:pStyle w:val="2"/>
        <w:rPr>
          <w:rFonts w:hint="eastAsia"/>
        </w:rPr>
      </w:pPr>
    </w:p>
    <w:p>
      <w:pPr>
        <w:rPr>
          <w:rFonts w:hint="eastAsia"/>
        </w:rPr>
      </w:pPr>
    </w:p>
    <w:p>
      <w:pPr>
        <w:pStyle w:val="20"/>
      </w:pPr>
    </w:p>
    <w:p>
      <w:pPr>
        <w:pStyle w:val="20"/>
      </w:pPr>
    </w:p>
    <w:p>
      <w:pPr>
        <w:spacing w:line="360" w:lineRule="auto"/>
        <w:jc w:val="center"/>
        <w:outlineLvl w:val="0"/>
        <w:rPr>
          <w:rFonts w:ascii="宋体" w:hAnsi="Calibri" w:eastAsia="宋体" w:cs="Times New Roman"/>
          <w:b/>
          <w:sz w:val="36"/>
          <w:szCs w:val="36"/>
        </w:rPr>
      </w:pPr>
      <w:bookmarkStart w:id="89"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89"/>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both"/>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20"/>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2"/>
        </w:rPr>
        <w:sectPr>
          <w:headerReference r:id="rId12" w:type="default"/>
          <w:footerReference r:id="rId13"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bookmarkStart w:id="90" w:name="_Toc29691"/>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left="0" w:leftChars="0" w:right="-189" w:rightChars="-90" w:firstLine="0" w:firstLineChars="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1" w:name="_Toc16330018"/>
      <w:bookmarkStart w:id="92" w:name="_Toc17619"/>
      <w:bookmarkStart w:id="93" w:name="_Toc11930"/>
      <w:bookmarkStart w:id="94" w:name="_Toc11823"/>
      <w:r>
        <w:rPr>
          <w:rFonts w:hint="eastAsia" w:ascii="黑体" w:hAnsi="黑体" w:eastAsia="黑体" w:cstheme="minorEastAsia"/>
          <w:b w:val="0"/>
          <w:sz w:val="28"/>
          <w:szCs w:val="28"/>
        </w:rPr>
        <w:t>1 合同设备</w:t>
      </w:r>
      <w:bookmarkEnd w:id="91"/>
      <w:bookmarkEnd w:id="92"/>
      <w:bookmarkEnd w:id="93"/>
      <w:bookmarkEnd w:id="9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95" w:name="_Toc29026"/>
      <w:bookmarkStart w:id="96" w:name="_Toc22800"/>
      <w:bookmarkStart w:id="97" w:name="_Toc3251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8" w:name="_Toc16330019"/>
      <w:r>
        <w:rPr>
          <w:rFonts w:hint="eastAsia" w:ascii="黑体" w:hAnsi="黑体" w:eastAsia="黑体" w:cstheme="minorEastAsia"/>
          <w:b w:val="0"/>
          <w:sz w:val="28"/>
          <w:szCs w:val="28"/>
        </w:rPr>
        <w:t>2 包装</w:t>
      </w:r>
      <w:bookmarkEnd w:id="95"/>
      <w:bookmarkEnd w:id="96"/>
      <w:bookmarkEnd w:id="97"/>
      <w:bookmarkEnd w:id="9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9" w:name="_Toc27144"/>
      <w:bookmarkStart w:id="100" w:name="_Toc16330020"/>
      <w:bookmarkStart w:id="101" w:name="_Toc2833"/>
      <w:bookmarkStart w:id="102" w:name="_Toc27453"/>
      <w:r>
        <w:rPr>
          <w:rFonts w:hint="eastAsia" w:ascii="黑体" w:hAnsi="黑体" w:eastAsia="黑体" w:cstheme="minorEastAsia"/>
          <w:b w:val="0"/>
          <w:sz w:val="28"/>
          <w:szCs w:val="28"/>
        </w:rPr>
        <w:t>3 运输标记</w:t>
      </w:r>
      <w:bookmarkEnd w:id="99"/>
      <w:bookmarkEnd w:id="100"/>
      <w:bookmarkEnd w:id="101"/>
      <w:bookmarkEnd w:id="10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3" w:name="_Toc16133"/>
      <w:bookmarkStart w:id="104" w:name="_Toc16330021"/>
      <w:bookmarkStart w:id="105" w:name="_Toc10630"/>
      <w:bookmarkStart w:id="106" w:name="_Toc7431"/>
      <w:r>
        <w:rPr>
          <w:rFonts w:hint="eastAsia" w:ascii="黑体" w:hAnsi="黑体" w:eastAsia="黑体" w:cstheme="minorEastAsia"/>
          <w:b w:val="0"/>
          <w:sz w:val="28"/>
          <w:szCs w:val="28"/>
        </w:rPr>
        <w:t>4 检验</w:t>
      </w:r>
      <w:bookmarkEnd w:id="103"/>
      <w:bookmarkEnd w:id="104"/>
      <w:bookmarkEnd w:id="105"/>
      <w:bookmarkEnd w:id="10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7" w:name="_Toc19850"/>
      <w:bookmarkStart w:id="108" w:name="_Toc11217"/>
      <w:bookmarkStart w:id="109" w:name="_Toc16330022"/>
      <w:bookmarkStart w:id="110" w:name="_Toc24467"/>
      <w:r>
        <w:rPr>
          <w:rFonts w:hint="eastAsia" w:ascii="黑体" w:hAnsi="黑体" w:eastAsia="黑体" w:cstheme="minorEastAsia"/>
          <w:b w:val="0"/>
          <w:sz w:val="28"/>
          <w:szCs w:val="28"/>
        </w:rPr>
        <w:t>5 权利担保</w:t>
      </w:r>
      <w:bookmarkEnd w:id="107"/>
      <w:bookmarkEnd w:id="108"/>
      <w:bookmarkEnd w:id="109"/>
      <w:bookmarkEnd w:id="11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1" w:name="_Toc14809"/>
      <w:bookmarkStart w:id="112" w:name="_Toc27500"/>
      <w:bookmarkStart w:id="113" w:name="_Toc16330023"/>
      <w:bookmarkStart w:id="114" w:name="_Toc11759"/>
      <w:r>
        <w:rPr>
          <w:rFonts w:hint="eastAsia" w:ascii="黑体" w:hAnsi="黑体" w:eastAsia="黑体" w:cstheme="minorEastAsia"/>
          <w:b w:val="0"/>
          <w:sz w:val="28"/>
          <w:szCs w:val="28"/>
        </w:rPr>
        <w:t>6 交货</w:t>
      </w:r>
      <w:bookmarkEnd w:id="111"/>
      <w:bookmarkEnd w:id="112"/>
      <w:bookmarkEnd w:id="113"/>
      <w:bookmarkEnd w:id="11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5" w:name="_Toc8024"/>
      <w:bookmarkStart w:id="116" w:name="_Toc2984"/>
      <w:bookmarkStart w:id="117" w:name="_Toc16330024"/>
      <w:bookmarkStart w:id="118" w:name="_Toc25510"/>
      <w:r>
        <w:rPr>
          <w:rFonts w:hint="eastAsia" w:ascii="黑体" w:hAnsi="黑体" w:eastAsia="黑体" w:cstheme="minorEastAsia"/>
          <w:b w:val="0"/>
          <w:sz w:val="28"/>
          <w:szCs w:val="28"/>
        </w:rPr>
        <w:t>7 安装、调试</w:t>
      </w:r>
      <w:bookmarkEnd w:id="115"/>
      <w:bookmarkEnd w:id="116"/>
      <w:bookmarkEnd w:id="117"/>
      <w:bookmarkEnd w:id="118"/>
    </w:p>
    <w:p>
      <w:pPr>
        <w:pStyle w:val="14"/>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19" w:name="_Toc14098"/>
      <w:bookmarkStart w:id="120" w:name="_Toc16330025"/>
      <w:bookmarkStart w:id="121" w:name="_Toc14260"/>
      <w:bookmarkStart w:id="122" w:name="_Toc6350"/>
      <w:r>
        <w:rPr>
          <w:rFonts w:hint="eastAsia" w:ascii="黑体" w:hAnsi="黑体" w:eastAsia="黑体" w:cstheme="minorEastAsia"/>
          <w:b w:val="0"/>
          <w:sz w:val="28"/>
          <w:szCs w:val="28"/>
        </w:rPr>
        <w:t>8 价款与支付</w:t>
      </w:r>
      <w:bookmarkEnd w:id="119"/>
      <w:bookmarkEnd w:id="120"/>
      <w:bookmarkEnd w:id="121"/>
      <w:bookmarkEnd w:id="12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8.3.1合同生效设备全部到齐无质量问题通过买方初步验收后, 卖方提交金额为合同含税价款</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w:t>
      </w:r>
      <w:r>
        <w:rPr>
          <w:rFonts w:hint="eastAsia" w:ascii="仿宋_GB2312" w:hAnsi="黑体" w:eastAsia="仿宋_GB2312" w:cstheme="minorEastAsia"/>
          <w:sz w:val="24"/>
          <w:szCs w:val="24"/>
          <w:lang w:val="en-US" w:eastAsia="zh-CN"/>
        </w:rPr>
        <w:t>6</w:t>
      </w:r>
      <w:r>
        <w:rPr>
          <w:rFonts w:hint="eastAsia" w:ascii="仿宋_GB2312" w:hAnsi="黑体" w:eastAsia="仿宋_GB2312" w:cstheme="minorEastAsia"/>
          <w:sz w:val="24"/>
          <w:szCs w:val="24"/>
        </w:rPr>
        <w:t>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123" w:name="_Toc14676804"/>
      <w:bookmarkStart w:id="124"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123"/>
      <w:bookmarkEnd w:id="124"/>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5" w:name="_Toc25708"/>
      <w:bookmarkStart w:id="126" w:name="_Toc16330026"/>
      <w:bookmarkStart w:id="127" w:name="_Toc24085"/>
      <w:bookmarkStart w:id="128" w:name="_Toc6726"/>
      <w:r>
        <w:rPr>
          <w:rFonts w:hint="eastAsia" w:ascii="黑体" w:hAnsi="黑体" w:eastAsia="黑体" w:cstheme="minorEastAsia"/>
          <w:b w:val="0"/>
          <w:sz w:val="28"/>
          <w:szCs w:val="28"/>
        </w:rPr>
        <w:t>9 质量保证及售后服务</w:t>
      </w:r>
      <w:bookmarkEnd w:id="125"/>
      <w:bookmarkEnd w:id="126"/>
      <w:bookmarkEnd w:id="127"/>
      <w:bookmarkEnd w:id="128"/>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29" w:name="_Toc15570"/>
      <w:bookmarkStart w:id="130" w:name="_Toc10359"/>
      <w:bookmarkStart w:id="131" w:name="_Toc12927"/>
      <w:bookmarkStart w:id="132" w:name="_Toc16330027"/>
      <w:r>
        <w:rPr>
          <w:rFonts w:hint="eastAsia" w:ascii="黑体" w:hAnsi="黑体" w:eastAsia="黑体" w:cstheme="minorEastAsia"/>
          <w:b w:val="0"/>
          <w:sz w:val="28"/>
          <w:szCs w:val="28"/>
        </w:rPr>
        <w:t>10法定责任</w:t>
      </w:r>
      <w:bookmarkEnd w:id="129"/>
      <w:bookmarkEnd w:id="130"/>
      <w:bookmarkEnd w:id="131"/>
      <w:bookmarkEnd w:id="13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3" w:name="_Toc27314"/>
      <w:bookmarkStart w:id="134" w:name="_Toc16330028"/>
      <w:bookmarkStart w:id="135" w:name="_Toc30381"/>
      <w:bookmarkStart w:id="136" w:name="_Toc9708"/>
      <w:r>
        <w:rPr>
          <w:rFonts w:hint="eastAsia" w:ascii="黑体" w:hAnsi="黑体" w:eastAsia="黑体" w:cstheme="minorEastAsia"/>
          <w:b w:val="0"/>
          <w:sz w:val="28"/>
          <w:szCs w:val="28"/>
        </w:rPr>
        <w:t>11 违约责任</w:t>
      </w:r>
      <w:bookmarkEnd w:id="133"/>
      <w:bookmarkEnd w:id="134"/>
      <w:bookmarkEnd w:id="135"/>
      <w:bookmarkEnd w:id="13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37" w:name="_Toc31554"/>
      <w:bookmarkStart w:id="138" w:name="_Toc1827"/>
      <w:bookmarkStart w:id="139" w:name="_Toc16330029"/>
      <w:bookmarkStart w:id="140" w:name="_Toc9172"/>
      <w:r>
        <w:rPr>
          <w:rFonts w:hint="eastAsia" w:ascii="黑体" w:hAnsi="黑体" w:eastAsia="黑体" w:cstheme="minorEastAsia"/>
          <w:b w:val="0"/>
          <w:sz w:val="28"/>
          <w:szCs w:val="28"/>
        </w:rPr>
        <w:t>12 合同的终止与解除</w:t>
      </w:r>
      <w:bookmarkEnd w:id="137"/>
      <w:bookmarkEnd w:id="138"/>
      <w:bookmarkEnd w:id="139"/>
      <w:bookmarkEnd w:id="14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1" w:name="_Toc16330030"/>
      <w:bookmarkStart w:id="142" w:name="_Toc31945"/>
      <w:bookmarkStart w:id="143" w:name="_Toc8620"/>
      <w:bookmarkStart w:id="144" w:name="_Toc13671"/>
      <w:r>
        <w:rPr>
          <w:rFonts w:hint="eastAsia" w:ascii="黑体" w:hAnsi="黑体" w:eastAsia="黑体" w:cstheme="minorEastAsia"/>
          <w:b w:val="0"/>
          <w:sz w:val="28"/>
          <w:szCs w:val="28"/>
        </w:rPr>
        <w:t>13 不可抗力</w:t>
      </w:r>
      <w:bookmarkEnd w:id="141"/>
      <w:bookmarkEnd w:id="142"/>
      <w:bookmarkEnd w:id="143"/>
      <w:bookmarkEnd w:id="14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45" w:name="_Toc31243"/>
      <w:bookmarkStart w:id="146" w:name="_Toc637"/>
      <w:bookmarkStart w:id="147" w:name="_Toc16330031"/>
      <w:bookmarkStart w:id="148" w:name="_Toc30389"/>
      <w:r>
        <w:rPr>
          <w:rFonts w:hint="eastAsia" w:ascii="黑体" w:hAnsi="黑体" w:eastAsia="黑体" w:cstheme="minorEastAsia"/>
          <w:b w:val="0"/>
          <w:sz w:val="28"/>
          <w:szCs w:val="28"/>
        </w:rPr>
        <w:t>14 通讯</w:t>
      </w:r>
      <w:bookmarkEnd w:id="145"/>
      <w:bookmarkEnd w:id="146"/>
      <w:bookmarkEnd w:id="147"/>
      <w:bookmarkEnd w:id="14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240" w:beforeLines="100"/>
        <w:jc w:val="both"/>
        <w:rPr>
          <w:rFonts w:ascii="黑体" w:hAnsi="黑体" w:eastAsia="黑体" w:cstheme="minorEastAsia"/>
          <w:b w:val="0"/>
          <w:sz w:val="28"/>
          <w:szCs w:val="28"/>
        </w:rPr>
      </w:pPr>
      <w:bookmarkStart w:id="149" w:name="_Toc11290"/>
      <w:bookmarkStart w:id="150" w:name="_Toc12984"/>
      <w:bookmarkStart w:id="151" w:name="_Toc16330032"/>
      <w:bookmarkStart w:id="152" w:name="_Toc9915"/>
      <w:r>
        <w:rPr>
          <w:rFonts w:hint="eastAsia" w:ascii="黑体" w:hAnsi="黑体" w:eastAsia="黑体" w:cstheme="minorEastAsia"/>
          <w:b w:val="0"/>
          <w:sz w:val="28"/>
          <w:szCs w:val="28"/>
        </w:rPr>
        <w:t>15 适用法律及争议解决</w:t>
      </w:r>
      <w:bookmarkEnd w:id="149"/>
      <w:bookmarkEnd w:id="150"/>
      <w:bookmarkEnd w:id="151"/>
      <w:bookmarkEnd w:id="15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53" w:name="_Toc23906"/>
      <w:bookmarkStart w:id="154" w:name="_Toc23765"/>
      <w:bookmarkStart w:id="155" w:name="_Toc16330033"/>
      <w:bookmarkStart w:id="156" w:name="_Toc18207"/>
      <w:r>
        <w:rPr>
          <w:rFonts w:hint="eastAsia" w:ascii="黑体" w:hAnsi="黑体" w:eastAsia="黑体" w:cstheme="minorEastAsia"/>
          <w:b w:val="0"/>
          <w:sz w:val="28"/>
          <w:szCs w:val="28"/>
        </w:rPr>
        <w:t>16 附件</w:t>
      </w:r>
      <w:bookmarkEnd w:id="153"/>
      <w:bookmarkEnd w:id="154"/>
      <w:bookmarkEnd w:id="155"/>
      <w:bookmarkEnd w:id="15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57" w:name="_Toc31331"/>
      <w:bookmarkStart w:id="158" w:name="_Toc27202"/>
      <w:bookmarkStart w:id="159" w:name="_Toc17656"/>
      <w:bookmarkStart w:id="160" w:name="_Toc16330034"/>
      <w:r>
        <w:rPr>
          <w:rFonts w:hint="eastAsia" w:ascii="黑体" w:hAnsi="黑体" w:eastAsia="黑体" w:cstheme="minorEastAsia"/>
          <w:b w:val="0"/>
          <w:sz w:val="28"/>
          <w:szCs w:val="28"/>
        </w:rPr>
        <w:t>17 其他规定</w:t>
      </w:r>
      <w:bookmarkEnd w:id="157"/>
      <w:bookmarkEnd w:id="158"/>
      <w:bookmarkEnd w:id="159"/>
      <w:bookmarkEnd w:id="16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61" w:name="_Toc19077"/>
      <w:bookmarkStart w:id="162" w:name="_Toc17952"/>
      <w:bookmarkStart w:id="163" w:name="_Toc16330035"/>
      <w:bookmarkStart w:id="164"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61"/>
      <w:bookmarkEnd w:id="162"/>
      <w:bookmarkEnd w:id="163"/>
      <w:bookmarkEnd w:id="16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30"/>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30"/>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30"/>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30"/>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黑体" w:hAnsi="黑体" w:eastAsia="黑体" w:cstheme="minorEastAsia"/>
          <w:b w:val="0"/>
          <w:bCs/>
          <w:i/>
          <w:iCs w:val="0"/>
          <w:sz w:val="28"/>
          <w:szCs w:val="28"/>
        </w:rPr>
      </w:pPr>
      <w:bookmarkStart w:id="165" w:name="_Toc3778"/>
      <w:bookmarkStart w:id="166" w:name="_Toc25120"/>
      <w:bookmarkStart w:id="167" w:name="_Toc24623"/>
      <w:bookmarkStart w:id="168" w:name="_Toc5379"/>
      <w:bookmarkStart w:id="169" w:name="_Toc16330037"/>
      <w:r>
        <w:rPr>
          <w:rFonts w:hint="eastAsia" w:ascii="黑体" w:hAnsi="黑体" w:eastAsia="黑体" w:cstheme="minorEastAsia"/>
          <w:b w:val="0"/>
          <w:sz w:val="28"/>
          <w:szCs w:val="28"/>
        </w:rPr>
        <w:t xml:space="preserve">附件二 </w:t>
      </w:r>
      <w:bookmarkEnd w:id="165"/>
      <w:bookmarkEnd w:id="166"/>
      <w:bookmarkEnd w:id="167"/>
      <w:bookmarkEnd w:id="168"/>
      <w:bookmarkEnd w:id="169"/>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70" w:name="_Toc14341849"/>
    </w:p>
    <w:p>
      <w:pPr>
        <w:ind w:right="480"/>
        <w:jc w:val="center"/>
        <w:rPr>
          <w:sz w:val="24"/>
          <w:szCs w:val="24"/>
        </w:rPr>
      </w:pPr>
      <w:r>
        <w:rPr>
          <w:rFonts w:hint="eastAsia" w:ascii="楷体_GB2312" w:hAnsi="宋体" w:eastAsia="楷体_GB2312"/>
          <w:sz w:val="24"/>
        </w:rPr>
        <w:t xml:space="preserve">                                    </w:t>
      </w:r>
    </w:p>
    <w:bookmarkEnd w:id="170"/>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2"/>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3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2"/>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2"/>
        <w:ind w:left="0" w:firstLine="0"/>
        <w:rPr>
          <w:rFonts w:ascii="楷体" w:hAnsi="楷体" w:eastAsia="楷体" w:cs="楷体"/>
          <w:b/>
          <w:sz w:val="24"/>
          <w:szCs w:val="28"/>
        </w:rPr>
      </w:pPr>
    </w:p>
    <w:p>
      <w:pPr>
        <w:pStyle w:val="2"/>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2"/>
        <w:ind w:left="0" w:firstLine="0"/>
        <w:rPr>
          <w:rFonts w:ascii="楷体" w:hAnsi="楷体" w:eastAsia="楷体" w:cs="楷体"/>
          <w:b/>
          <w:sz w:val="24"/>
          <w:szCs w:val="28"/>
        </w:rPr>
      </w:pPr>
    </w:p>
    <w:p>
      <w:pPr>
        <w:pStyle w:val="2"/>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hint="eastAsia" w:ascii="Calibri" w:hAnsi="Calibri" w:eastAsia="宋体" w:cs="Times New Roman"/>
          <w:b/>
          <w:bCs/>
          <w:kern w:val="44"/>
          <w:sz w:val="36"/>
          <w:szCs w:val="44"/>
        </w:rPr>
        <w:sectPr>
          <w:footerReference r:id="rId16" w:type="first"/>
          <w:headerReference r:id="rId14" w:type="default"/>
          <w:footerReference r:id="rId15"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90"/>
    </w:p>
    <w:p>
      <w:pPr>
        <w:keepNext/>
        <w:keepLines/>
        <w:outlineLvl w:val="9"/>
        <w:rPr>
          <w:rFonts w:hint="eastAsia" w:ascii="Times New Roman" w:hAnsi="Times New Roman" w:eastAsia="宋体" w:cs="Times New Roman"/>
          <w:b/>
          <w:bCs/>
          <w:color w:val="000000"/>
          <w:sz w:val="24"/>
          <w:szCs w:val="24"/>
        </w:rPr>
      </w:pPr>
    </w:p>
    <w:p>
      <w:pPr>
        <w:pStyle w:val="20"/>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20"/>
        <w:rPr>
          <w:rFonts w:hint="eastAsia" w:ascii="Times New Roman" w:hAnsi="Times New Roman" w:eastAsia="宋体" w:cs="Times New Roman"/>
          <w:b/>
          <w:bCs/>
          <w:color w:val="000000"/>
          <w:sz w:val="24"/>
          <w:szCs w:val="24"/>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71" w:name="_Toc353881012"/>
      <w:bookmarkStart w:id="172" w:name="_Toc212369550"/>
      <w:bookmarkStart w:id="173" w:name="_Toc25811"/>
      <w:bookmarkStart w:id="174"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71"/>
      <w:bookmarkEnd w:id="172"/>
      <w:bookmarkEnd w:id="173"/>
      <w:bookmarkEnd w:id="174"/>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济南成型厂废水站环保合规性改造提升技改项目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pStyle w:val="20"/>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济南成型厂废水站环保合规性改造提升技改项目</w:t>
      </w:r>
      <w:r>
        <w:rPr>
          <w:rFonts w:hint="eastAsia" w:ascii="宋体" w:hAnsi="宋体" w:eastAsia="宋体" w:cs="Times New Roman"/>
          <w:color w:val="000000"/>
          <w:sz w:val="24"/>
          <w:szCs w:val="24"/>
        </w:rPr>
        <w:t>（</w:t>
      </w:r>
      <w:r>
        <w:rPr>
          <w:rFonts w:hint="eastAsia" w:ascii="宋体" w:hAnsi="宋体" w:eastAsia="宋体" w:cs="Times New Roman"/>
          <w:color w:val="auto"/>
          <w:sz w:val="24"/>
          <w:szCs w:val="24"/>
          <w:lang w:eastAsia="zh-CN"/>
        </w:rPr>
        <w:t>CGZX2025040045</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投标人基本情况表(格式)</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5"/>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5"/>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5"/>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5"/>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trPr>
        <w:tc>
          <w:tcPr>
            <w:tcW w:w="1956" w:type="dxa"/>
          </w:tcPr>
          <w:p>
            <w:pPr>
              <w:pStyle w:val="135"/>
              <w:spacing w:before="111" w:line="360" w:lineRule="auto"/>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360" w:lineRule="auto"/>
              <w:rPr>
                <w:rFonts w:ascii="宋体" w:hAnsi="宋体" w:cs="宋体"/>
                <w:color w:val="000000" w:themeColor="text1"/>
                <w14:textFill>
                  <w14:solidFill>
                    <w14:schemeClr w14:val="tx1"/>
                  </w14:solidFill>
                </w14:textFill>
              </w:rPr>
            </w:pPr>
          </w:p>
        </w:tc>
        <w:tc>
          <w:tcPr>
            <w:tcW w:w="1310" w:type="dxa"/>
          </w:tcPr>
          <w:p>
            <w:pPr>
              <w:pStyle w:val="135"/>
              <w:spacing w:before="103" w:line="360" w:lineRule="auto"/>
              <w:ind w:right="26"/>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实缴资金</w:t>
            </w:r>
          </w:p>
        </w:tc>
        <w:tc>
          <w:tcPr>
            <w:tcW w:w="1510" w:type="dxa"/>
            <w:vAlign w:val="center"/>
          </w:tcPr>
          <w:p>
            <w:pPr>
              <w:widowControl/>
              <w:spacing w:line="360" w:lineRule="auto"/>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14"/>
              <w:ind w:left="720"/>
            </w:pPr>
            <w:r>
              <w:t xml:space="preserve">品牌区分 </w:t>
            </w:r>
          </w:p>
        </w:tc>
        <w:tc>
          <w:tcPr>
            <w:tcW w:w="7500" w:type="dxa"/>
            <w:gridSpan w:val="6"/>
          </w:tcPr>
          <w:p>
            <w:pPr>
              <w:pStyle w:val="135"/>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5"/>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5"/>
              <w:spacing w:before="15"/>
              <w:ind w:left="279"/>
            </w:pPr>
            <w:r>
              <w:rPr>
                <w:spacing w:val="-2"/>
              </w:rPr>
              <w:t>质量</w:t>
            </w:r>
            <w:r>
              <w:t xml:space="preserve"> </w:t>
            </w:r>
          </w:p>
          <w:p>
            <w:pPr>
              <w:pStyle w:val="135"/>
              <w:spacing w:before="30" w:line="277" w:lineRule="exact"/>
              <w:ind w:left="279"/>
            </w:pPr>
            <w:r>
              <w:rPr>
                <w:rFonts w:hint="eastAsia"/>
              </w:rPr>
              <w:t>体系</w:t>
            </w:r>
          </w:p>
        </w:tc>
        <w:tc>
          <w:tcPr>
            <w:tcW w:w="2820" w:type="dxa"/>
            <w:gridSpan w:val="2"/>
          </w:tcPr>
          <w:p>
            <w:pPr>
              <w:pStyle w:val="135"/>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5"/>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rPr>
          <w:rFonts w:ascii="Times New Roman" w:hAnsi="Times New Roman" w:eastAsia="宋体" w:cs="Times New Roman"/>
          <w:b/>
          <w:bCs/>
          <w:color w:val="000000"/>
          <w:sz w:val="24"/>
          <w:szCs w:val="24"/>
        </w:rPr>
      </w:pPr>
    </w:p>
    <w:p>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20"/>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济南成型厂废水站环保合规性改造提升技改项目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济南成型厂废水站环保合规性改造提升技改项目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-2</w:t>
      </w:r>
      <w:r>
        <w:rPr>
          <w:rFonts w:ascii="Times New Roman" w:hAnsi="Times New Roman" w:eastAsia="宋体" w:cs="宋体"/>
          <w:b/>
          <w:bCs/>
          <w:color w:val="000000"/>
          <w:sz w:val="24"/>
          <w:szCs w:val="24"/>
        </w:rPr>
        <w:t xml:space="preserve"> </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yellow"/>
          <w:lang w:val="en-US" w:eastAsia="zh-CN"/>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544"/>
        <w:gridCol w:w="1933"/>
        <w:gridCol w:w="1335"/>
        <w:gridCol w:w="1824"/>
        <w:gridCol w:w="2362"/>
        <w:gridCol w:w="1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pPr>
              <w:spacing w:before="97" w:line="186" w:lineRule="auto"/>
              <w:ind w:left="304"/>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4" w:type="dxa"/>
          </w:tcPr>
          <w:p>
            <w:pPr>
              <w:spacing w:before="98" w:line="185" w:lineRule="auto"/>
              <w:ind w:left="10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933" w:type="dxa"/>
          </w:tcPr>
          <w:p>
            <w:pPr>
              <w:spacing w:before="99" w:line="183"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335" w:type="dxa"/>
          </w:tcPr>
          <w:p>
            <w:pPr>
              <w:spacing w:before="98" w:line="185" w:lineRule="auto"/>
              <w:ind w:left="51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824" w:type="dxa"/>
          </w:tcPr>
          <w:p>
            <w:pPr>
              <w:spacing w:before="100" w:line="182" w:lineRule="auto"/>
              <w:ind w:left="798"/>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pPr>
              <w:spacing w:before="100" w:line="182" w:lineRule="auto"/>
              <w:ind w:left="1007"/>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355" w:type="dxa"/>
          </w:tcPr>
          <w:p>
            <w:pPr>
              <w:spacing w:before="99" w:line="183" w:lineRule="auto"/>
              <w:ind w:firstLine="420" w:firstLineChars="20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544"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193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133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824" w:type="dxa"/>
            <w:vAlign w:val="center"/>
          </w:tcPr>
          <w:p>
            <w:pPr>
              <w:spacing w:before="0" w:line="221" w:lineRule="auto"/>
              <w:ind w:left="0" w:right="0" w:firstLine="0"/>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2362" w:type="dxa"/>
            <w:tcBorders>
              <w:left w:val="single" w:color="000000" w:sz="4" w:space="0"/>
            </w:tcBorders>
            <w:vAlign w:val="center"/>
          </w:tcPr>
          <w:p>
            <w:pPr>
              <w:spacing w:before="0" w:line="221" w:lineRule="auto"/>
              <w:ind w:left="0" w:leftChars="0"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1355" w:type="dxa"/>
            <w:vAlign w:val="center"/>
          </w:tcPr>
          <w:p>
            <w:pPr>
              <w:spacing w:before="0" w:line="221" w:lineRule="auto"/>
              <w:ind w:firstLine="0" w:firstLineChars="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1</w:t>
            </w:r>
          </w:p>
        </w:tc>
        <w:tc>
          <w:tcPr>
            <w:tcW w:w="2544" w:type="dxa"/>
            <w:vAlign w:val="center"/>
          </w:tcPr>
          <w:p>
            <w:pPr>
              <w:widowControl/>
              <w:jc w:val="left"/>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sz w:val="24"/>
                <w:szCs w:val="24"/>
                <w:highlight w:val="none"/>
                <w:lang w:eastAsia="zh-CN"/>
              </w:rPr>
              <w:t>按技术标书</w:t>
            </w: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r>
              <w:rPr>
                <w:rFonts w:hint="eastAsia" w:ascii="宋体" w:hAnsi="宋体" w:eastAsia="宋体" w:cs="宋体"/>
                <w:sz w:val="24"/>
                <w:szCs w:val="24"/>
                <w:highlight w:val="none"/>
                <w:lang w:eastAsia="zh-CN"/>
              </w:rPr>
              <w:t>内容填写</w:t>
            </w:r>
          </w:p>
        </w:tc>
        <w:tc>
          <w:tcPr>
            <w:tcW w:w="1933" w:type="dxa"/>
            <w:vAlign w:val="center"/>
          </w:tcPr>
          <w:p>
            <w:pPr>
              <w:widowControl/>
              <w:jc w:val="center"/>
              <w:textAlignment w:val="center"/>
              <w:rPr>
                <w:rFonts w:hint="eastAsia" w:ascii="宋体" w:hAnsi="宋体" w:eastAsia="宋体" w:cs="宋体"/>
                <w:sz w:val="24"/>
                <w:szCs w:val="24"/>
                <w:highlight w:val="none"/>
                <w:lang w:val="en-US" w:eastAsia="zh-CN"/>
              </w:rPr>
            </w:pPr>
          </w:p>
        </w:tc>
        <w:tc>
          <w:tcPr>
            <w:tcW w:w="1335" w:type="dxa"/>
            <w:vAlign w:val="center"/>
          </w:tcPr>
          <w:p>
            <w:pPr>
              <w:widowControl/>
              <w:jc w:val="center"/>
              <w:textAlignment w:val="center"/>
              <w:rPr>
                <w:rFonts w:hint="default" w:ascii="Arial" w:eastAsiaTheme="minorEastAsia"/>
                <w:sz w:val="24"/>
                <w:szCs w:val="24"/>
                <w:highlight w:val="none"/>
                <w:lang w:val="en-US" w:eastAsia="zh-CN"/>
              </w:rPr>
            </w:pPr>
          </w:p>
        </w:tc>
        <w:tc>
          <w:tcPr>
            <w:tcW w:w="1824" w:type="dxa"/>
            <w:vAlign w:val="center"/>
          </w:tcPr>
          <w:p>
            <w:pPr>
              <w:widowControl/>
              <w:jc w:val="center"/>
              <w:textAlignment w:val="center"/>
              <w:rPr>
                <w:rFonts w:ascii="Arial"/>
                <w:sz w:val="24"/>
                <w:szCs w:val="24"/>
                <w:highlight w:val="none"/>
              </w:rPr>
            </w:pPr>
          </w:p>
        </w:tc>
        <w:tc>
          <w:tcPr>
            <w:tcW w:w="2362" w:type="dxa"/>
            <w:tcBorders>
              <w:left w:val="single" w:color="000000" w:sz="4" w:space="0"/>
            </w:tcBorders>
            <w:vAlign w:val="center"/>
          </w:tcPr>
          <w:p>
            <w:pPr>
              <w:widowControl/>
              <w:jc w:val="center"/>
              <w:textAlignment w:val="center"/>
              <w:rPr>
                <w:rFonts w:hint="eastAsia" w:ascii="Arial" w:hAnsiTheme="minorHAnsi" w:eastAsiaTheme="minorEastAsia" w:cstheme="minorBidi"/>
                <w:kern w:val="2"/>
                <w:sz w:val="24"/>
                <w:szCs w:val="24"/>
                <w:highlight w:val="none"/>
                <w:lang w:val="en-US" w:eastAsia="zh-CN" w:bidi="ar-SA"/>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2</w:t>
            </w:r>
          </w:p>
        </w:tc>
        <w:tc>
          <w:tcPr>
            <w:tcW w:w="2544" w:type="dxa"/>
            <w:vAlign w:val="center"/>
          </w:tcPr>
          <w:p>
            <w:pPr>
              <w:widowControl/>
              <w:jc w:val="left"/>
              <w:textAlignment w:val="center"/>
              <w:rPr>
                <w:rFonts w:hint="eastAsia" w:ascii="宋体" w:hAnsi="宋体" w:eastAsia="宋体" w:cs="宋体"/>
                <w:sz w:val="24"/>
                <w:szCs w:val="24"/>
                <w:highlight w:val="none"/>
                <w:lang w:val="en-US" w:eastAsia="zh-CN"/>
              </w:rPr>
            </w:pPr>
          </w:p>
        </w:tc>
        <w:tc>
          <w:tcPr>
            <w:tcW w:w="1933" w:type="dxa"/>
            <w:vAlign w:val="center"/>
          </w:tcPr>
          <w:p>
            <w:pPr>
              <w:widowControl/>
              <w:jc w:val="center"/>
              <w:textAlignment w:val="center"/>
              <w:rPr>
                <w:rFonts w:hint="eastAsia" w:ascii="宋体" w:hAnsi="宋体" w:eastAsia="宋体" w:cs="宋体"/>
                <w:sz w:val="24"/>
                <w:szCs w:val="24"/>
                <w:highlight w:val="none"/>
                <w:lang w:val="en-US" w:eastAsia="zh-CN"/>
              </w:rPr>
            </w:pPr>
          </w:p>
        </w:tc>
        <w:tc>
          <w:tcPr>
            <w:tcW w:w="1335" w:type="dxa"/>
            <w:vAlign w:val="center"/>
          </w:tcPr>
          <w:p>
            <w:pPr>
              <w:widowControl/>
              <w:jc w:val="center"/>
              <w:textAlignment w:val="center"/>
              <w:rPr>
                <w:rFonts w:hint="eastAsia" w:ascii="Arial" w:eastAsiaTheme="minorEastAsia"/>
                <w:sz w:val="24"/>
                <w:szCs w:val="24"/>
                <w:highlight w:val="none"/>
                <w:lang w:eastAsia="zh-CN"/>
              </w:rPr>
            </w:pPr>
          </w:p>
        </w:tc>
        <w:tc>
          <w:tcPr>
            <w:tcW w:w="1824" w:type="dxa"/>
            <w:vAlign w:val="center"/>
          </w:tcPr>
          <w:p>
            <w:pPr>
              <w:widowControl/>
              <w:jc w:val="center"/>
              <w:textAlignment w:val="center"/>
              <w:rPr>
                <w:rFonts w:ascii="Arial"/>
                <w:sz w:val="24"/>
                <w:szCs w:val="24"/>
                <w:highlight w:val="none"/>
              </w:rPr>
            </w:pPr>
          </w:p>
        </w:tc>
        <w:tc>
          <w:tcPr>
            <w:tcW w:w="2362" w:type="dxa"/>
            <w:tcBorders>
              <w:left w:val="single" w:color="000000" w:sz="4" w:space="0"/>
            </w:tcBorders>
            <w:vAlign w:val="center"/>
          </w:tcPr>
          <w:p>
            <w:pPr>
              <w:widowControl/>
              <w:jc w:val="center"/>
              <w:textAlignment w:val="center"/>
              <w:rPr>
                <w:rFonts w:hint="eastAsia" w:ascii="Arial" w:hAnsiTheme="minorHAnsi" w:eastAsiaTheme="minorEastAsia" w:cstheme="minorBidi"/>
                <w:kern w:val="2"/>
                <w:sz w:val="24"/>
                <w:szCs w:val="24"/>
                <w:highlight w:val="none"/>
                <w:lang w:val="en-US" w:eastAsia="zh-CN" w:bidi="ar-SA"/>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3</w:t>
            </w:r>
          </w:p>
        </w:tc>
        <w:tc>
          <w:tcPr>
            <w:tcW w:w="2544" w:type="dxa"/>
            <w:vAlign w:val="center"/>
          </w:tcPr>
          <w:p>
            <w:pPr>
              <w:widowControl/>
              <w:jc w:val="left"/>
              <w:textAlignment w:val="center"/>
              <w:rPr>
                <w:rFonts w:hint="eastAsia" w:ascii="宋体" w:hAnsi="宋体" w:eastAsia="宋体"/>
                <w:sz w:val="24"/>
                <w:szCs w:val="24"/>
                <w:lang w:bidi="ar"/>
              </w:rPr>
            </w:pPr>
          </w:p>
        </w:tc>
        <w:tc>
          <w:tcPr>
            <w:tcW w:w="1933" w:type="dxa"/>
            <w:vAlign w:val="center"/>
          </w:tcPr>
          <w:p>
            <w:pPr>
              <w:widowControl/>
              <w:jc w:val="center"/>
              <w:textAlignment w:val="center"/>
              <w:rPr>
                <w:rFonts w:hint="eastAsia" w:ascii="宋体" w:hAnsi="宋体" w:eastAsia="宋体" w:cs="宋体"/>
                <w:sz w:val="24"/>
                <w:szCs w:val="24"/>
                <w:highlight w:val="none"/>
                <w:lang w:val="en-US" w:eastAsia="zh-CN"/>
              </w:rPr>
            </w:pPr>
          </w:p>
        </w:tc>
        <w:tc>
          <w:tcPr>
            <w:tcW w:w="1335" w:type="dxa"/>
            <w:vAlign w:val="center"/>
          </w:tcPr>
          <w:p>
            <w:pPr>
              <w:widowControl/>
              <w:jc w:val="center"/>
              <w:textAlignment w:val="center"/>
              <w:rPr>
                <w:rFonts w:hint="eastAsia" w:ascii="宋体" w:hAnsi="宋体" w:eastAsia="宋体" w:cs="宋体"/>
                <w:sz w:val="24"/>
                <w:szCs w:val="24"/>
                <w:highlight w:val="none"/>
                <w:lang w:val="en-US" w:eastAsia="zh-CN"/>
              </w:rPr>
            </w:pPr>
          </w:p>
        </w:tc>
        <w:tc>
          <w:tcPr>
            <w:tcW w:w="1824" w:type="dxa"/>
            <w:vAlign w:val="center"/>
          </w:tcPr>
          <w:p>
            <w:pPr>
              <w:widowControl/>
              <w:jc w:val="center"/>
              <w:textAlignment w:val="center"/>
              <w:rPr>
                <w:rFonts w:hint="eastAsia" w:ascii="宋体" w:hAnsi="宋体" w:eastAsia="宋体" w:cs="宋体"/>
                <w:sz w:val="24"/>
                <w:szCs w:val="24"/>
                <w:highlight w:val="none"/>
              </w:rPr>
            </w:pPr>
          </w:p>
        </w:tc>
        <w:tc>
          <w:tcPr>
            <w:tcW w:w="2362" w:type="dxa"/>
            <w:tcBorders>
              <w:left w:val="single" w:color="000000" w:sz="4" w:space="0"/>
            </w:tcBorders>
            <w:vAlign w:val="center"/>
          </w:tcPr>
          <w:p>
            <w:pPr>
              <w:widowControl/>
              <w:jc w:val="center"/>
              <w:textAlignment w:val="center"/>
              <w:rPr>
                <w:rFonts w:hint="eastAsia" w:ascii="宋体" w:hAnsi="宋体" w:eastAsia="宋体" w:cs="宋体"/>
                <w:kern w:val="2"/>
                <w:sz w:val="24"/>
                <w:szCs w:val="24"/>
                <w:highlight w:val="none"/>
                <w:lang w:val="en-US" w:eastAsia="zh-CN" w:bidi="ar-SA"/>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widowControl/>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color w:val="000000"/>
                <w:kern w:val="0"/>
                <w:sz w:val="22"/>
                <w:lang w:bidi="ar"/>
              </w:rPr>
              <w:t>4</w:t>
            </w:r>
          </w:p>
        </w:tc>
        <w:tc>
          <w:tcPr>
            <w:tcW w:w="2544" w:type="dxa"/>
            <w:vAlign w:val="center"/>
          </w:tcPr>
          <w:p>
            <w:pPr>
              <w:widowControl/>
              <w:jc w:val="left"/>
              <w:textAlignment w:val="center"/>
              <w:rPr>
                <w:rFonts w:hint="eastAsia" w:ascii="宋体" w:hAnsi="宋体" w:eastAsia="宋体"/>
                <w:sz w:val="24"/>
                <w:szCs w:val="24"/>
                <w:lang w:bidi="ar"/>
              </w:rPr>
            </w:pPr>
          </w:p>
        </w:tc>
        <w:tc>
          <w:tcPr>
            <w:tcW w:w="1933" w:type="dxa"/>
            <w:vAlign w:val="center"/>
          </w:tcPr>
          <w:p>
            <w:pPr>
              <w:jc w:val="center"/>
              <w:rPr>
                <w:rFonts w:hint="eastAsia" w:ascii="宋体" w:hAnsi="宋体" w:eastAsia="宋体" w:cs="宋体"/>
                <w:sz w:val="24"/>
                <w:szCs w:val="24"/>
                <w:highlight w:val="none"/>
                <w:lang w:val="en-US" w:eastAsia="zh-CN"/>
              </w:rPr>
            </w:pPr>
          </w:p>
        </w:tc>
        <w:tc>
          <w:tcPr>
            <w:tcW w:w="1335" w:type="dxa"/>
            <w:vAlign w:val="center"/>
          </w:tcPr>
          <w:p>
            <w:pPr>
              <w:widowControl/>
              <w:jc w:val="center"/>
              <w:textAlignment w:val="center"/>
              <w:rPr>
                <w:rFonts w:hint="eastAsia" w:ascii="宋体" w:hAnsi="宋体" w:eastAsia="宋体" w:cs="宋体"/>
                <w:sz w:val="24"/>
                <w:szCs w:val="24"/>
                <w:highlight w:val="none"/>
                <w:lang w:val="en-US" w:eastAsia="zh-CN"/>
              </w:rPr>
            </w:pPr>
          </w:p>
        </w:tc>
        <w:tc>
          <w:tcPr>
            <w:tcW w:w="1824" w:type="dxa"/>
            <w:vAlign w:val="center"/>
          </w:tcPr>
          <w:p>
            <w:pPr>
              <w:widowControl/>
              <w:jc w:val="center"/>
              <w:textAlignment w:val="center"/>
              <w:rPr>
                <w:rFonts w:hint="eastAsia" w:ascii="宋体" w:hAnsi="宋体" w:eastAsia="宋体" w:cs="宋体"/>
                <w:sz w:val="24"/>
                <w:szCs w:val="24"/>
                <w:highlight w:val="none"/>
              </w:rPr>
            </w:pPr>
          </w:p>
        </w:tc>
        <w:tc>
          <w:tcPr>
            <w:tcW w:w="2362" w:type="dxa"/>
            <w:tcBorders>
              <w:left w:val="single" w:color="000000" w:sz="4" w:space="0"/>
            </w:tcBorders>
            <w:vAlign w:val="center"/>
          </w:tcPr>
          <w:p>
            <w:pPr>
              <w:widowControl/>
              <w:jc w:val="center"/>
              <w:textAlignment w:val="center"/>
              <w:rPr>
                <w:rFonts w:hint="eastAsia" w:ascii="宋体" w:hAnsi="宋体" w:eastAsia="宋体" w:cs="宋体"/>
                <w:kern w:val="2"/>
                <w:sz w:val="24"/>
                <w:szCs w:val="24"/>
                <w:highlight w:val="none"/>
                <w:lang w:val="en-US" w:eastAsia="zh-CN" w:bidi="ar-SA"/>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w:t>
            </w:r>
          </w:p>
        </w:tc>
        <w:tc>
          <w:tcPr>
            <w:tcW w:w="2544" w:type="dxa"/>
            <w:vAlign w:val="center"/>
          </w:tcPr>
          <w:p>
            <w:pPr>
              <w:spacing w:line="360" w:lineRule="exact"/>
              <w:jc w:val="center"/>
              <w:rPr>
                <w:rFonts w:hint="eastAsia" w:ascii="宋体" w:hAnsi="宋体" w:eastAsia="宋体"/>
                <w:sz w:val="24"/>
                <w:szCs w:val="24"/>
                <w:lang w:bidi="ar"/>
              </w:rPr>
            </w:pPr>
          </w:p>
        </w:tc>
        <w:tc>
          <w:tcPr>
            <w:tcW w:w="1933" w:type="dxa"/>
            <w:vAlign w:val="center"/>
          </w:tcPr>
          <w:p>
            <w:pPr>
              <w:spacing w:line="240" w:lineRule="auto"/>
              <w:jc w:val="center"/>
              <w:rPr>
                <w:rFonts w:hint="eastAsia" w:ascii="宋体" w:hAnsi="宋体" w:eastAsia="宋体" w:cs="宋体"/>
                <w:sz w:val="24"/>
                <w:szCs w:val="24"/>
                <w:highlight w:val="none"/>
                <w:lang w:val="en-US" w:eastAsia="zh-CN"/>
              </w:rPr>
            </w:pPr>
          </w:p>
        </w:tc>
        <w:tc>
          <w:tcPr>
            <w:tcW w:w="1335" w:type="dxa"/>
            <w:vAlign w:val="center"/>
          </w:tcPr>
          <w:p>
            <w:pPr>
              <w:spacing w:line="360" w:lineRule="exact"/>
              <w:jc w:val="center"/>
              <w:rPr>
                <w:rFonts w:hint="eastAsia" w:ascii="宋体" w:hAnsi="宋体" w:eastAsia="宋体" w:cs="宋体"/>
                <w:sz w:val="24"/>
                <w:szCs w:val="24"/>
                <w:highlight w:val="none"/>
                <w:lang w:val="en-US" w:eastAsia="zh-CN"/>
              </w:rPr>
            </w:pPr>
          </w:p>
        </w:tc>
        <w:tc>
          <w:tcPr>
            <w:tcW w:w="1824" w:type="dxa"/>
            <w:vAlign w:val="center"/>
          </w:tcPr>
          <w:p>
            <w:pPr>
              <w:spacing w:line="240" w:lineRule="auto"/>
              <w:jc w:val="center"/>
              <w:rPr>
                <w:rFonts w:hint="eastAsia" w:ascii="宋体" w:hAnsi="宋体" w:eastAsia="宋体" w:cs="宋体"/>
                <w:sz w:val="24"/>
                <w:szCs w:val="24"/>
                <w:highlight w:val="none"/>
              </w:rPr>
            </w:pPr>
          </w:p>
        </w:tc>
        <w:tc>
          <w:tcPr>
            <w:tcW w:w="2362" w:type="dxa"/>
            <w:tcBorders>
              <w:left w:val="single" w:color="000000" w:sz="4" w:space="0"/>
            </w:tcBorders>
            <w:vAlign w:val="center"/>
          </w:tcPr>
          <w:p>
            <w:pPr>
              <w:spacing w:line="240" w:lineRule="auto"/>
              <w:jc w:val="center"/>
              <w:rPr>
                <w:rFonts w:ascii="Arial"/>
                <w:sz w:val="24"/>
                <w:szCs w:val="24"/>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pPr>
              <w:spacing w:line="240" w:lineRule="auto"/>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2544" w:type="dxa"/>
            <w:vAlign w:val="center"/>
          </w:tcPr>
          <w:p>
            <w:pPr>
              <w:spacing w:line="360" w:lineRule="exact"/>
              <w:jc w:val="center"/>
              <w:rPr>
                <w:rFonts w:hint="eastAsia" w:ascii="宋体" w:hAnsi="宋体" w:eastAsia="宋体"/>
                <w:sz w:val="24"/>
                <w:szCs w:val="24"/>
                <w:lang w:bidi="ar"/>
              </w:rPr>
            </w:pPr>
          </w:p>
        </w:tc>
        <w:tc>
          <w:tcPr>
            <w:tcW w:w="1933" w:type="dxa"/>
            <w:vAlign w:val="center"/>
          </w:tcPr>
          <w:p>
            <w:pPr>
              <w:spacing w:line="240" w:lineRule="auto"/>
              <w:jc w:val="center"/>
              <w:rPr>
                <w:rFonts w:hint="eastAsia" w:ascii="宋体" w:hAnsi="宋体" w:eastAsia="宋体" w:cs="宋体"/>
                <w:sz w:val="24"/>
                <w:szCs w:val="24"/>
                <w:highlight w:val="none"/>
                <w:lang w:val="en-US" w:eastAsia="zh-CN"/>
              </w:rPr>
            </w:pPr>
          </w:p>
        </w:tc>
        <w:tc>
          <w:tcPr>
            <w:tcW w:w="1335" w:type="dxa"/>
            <w:vAlign w:val="center"/>
          </w:tcPr>
          <w:p>
            <w:pPr>
              <w:spacing w:line="360" w:lineRule="exact"/>
              <w:jc w:val="center"/>
              <w:rPr>
                <w:rFonts w:hint="eastAsia" w:ascii="宋体" w:hAnsi="宋体" w:eastAsia="宋体" w:cs="宋体"/>
                <w:sz w:val="24"/>
                <w:szCs w:val="24"/>
                <w:highlight w:val="none"/>
                <w:lang w:val="en-US" w:eastAsia="zh-CN"/>
              </w:rPr>
            </w:pPr>
          </w:p>
        </w:tc>
        <w:tc>
          <w:tcPr>
            <w:tcW w:w="1824" w:type="dxa"/>
            <w:vAlign w:val="center"/>
          </w:tcPr>
          <w:p>
            <w:pPr>
              <w:spacing w:line="240" w:lineRule="auto"/>
              <w:jc w:val="center"/>
              <w:rPr>
                <w:rFonts w:hint="eastAsia" w:ascii="宋体" w:hAnsi="宋体" w:eastAsia="宋体" w:cs="宋体"/>
                <w:sz w:val="24"/>
                <w:szCs w:val="24"/>
                <w:highlight w:val="none"/>
              </w:rPr>
            </w:pPr>
          </w:p>
        </w:tc>
        <w:tc>
          <w:tcPr>
            <w:tcW w:w="2362" w:type="dxa"/>
            <w:tcBorders>
              <w:left w:val="single" w:color="000000" w:sz="4" w:space="0"/>
            </w:tcBorders>
            <w:vAlign w:val="center"/>
          </w:tcPr>
          <w:p>
            <w:pPr>
              <w:spacing w:line="240" w:lineRule="auto"/>
              <w:jc w:val="center"/>
              <w:rPr>
                <w:rFonts w:ascii="Arial"/>
                <w:sz w:val="24"/>
                <w:szCs w:val="24"/>
              </w:rPr>
            </w:pPr>
          </w:p>
        </w:tc>
        <w:tc>
          <w:tcPr>
            <w:tcW w:w="1355" w:type="dxa"/>
          </w:tcPr>
          <w:p>
            <w:pPr>
              <w:spacing w:line="240" w:lineRule="auto"/>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tc>
        <w:tc>
          <w:tcPr>
            <w:tcW w:w="2544" w:type="dxa"/>
          </w:tcPr>
          <w:p>
            <w:pPr>
              <w:spacing w:line="24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以上投标设备不足之处请往下添加序号自行补充</w:t>
            </w:r>
          </w:p>
        </w:tc>
        <w:tc>
          <w:tcPr>
            <w:tcW w:w="1933" w:type="dxa"/>
          </w:tcPr>
          <w:p>
            <w:pPr>
              <w:spacing w:line="240" w:lineRule="auto"/>
              <w:jc w:val="center"/>
              <w:rPr>
                <w:rFonts w:hint="eastAsia" w:ascii="宋体" w:hAnsi="宋体" w:eastAsia="宋体" w:cs="宋体"/>
                <w:sz w:val="24"/>
                <w:szCs w:val="24"/>
                <w:highlight w:val="none"/>
                <w:lang w:val="en-US" w:eastAsia="zh-CN"/>
              </w:rPr>
            </w:pPr>
          </w:p>
        </w:tc>
        <w:tc>
          <w:tcPr>
            <w:tcW w:w="1335" w:type="dxa"/>
          </w:tcPr>
          <w:p>
            <w:pPr>
              <w:rPr>
                <w:rFonts w:ascii="Arial"/>
              </w:rPr>
            </w:pPr>
          </w:p>
        </w:tc>
        <w:tc>
          <w:tcPr>
            <w:tcW w:w="1824" w:type="dxa"/>
          </w:tcPr>
          <w:p>
            <w:pPr>
              <w:rPr>
                <w:rFonts w:ascii="Arial"/>
              </w:rPr>
            </w:pPr>
          </w:p>
        </w:tc>
        <w:tc>
          <w:tcPr>
            <w:tcW w:w="2362" w:type="dxa"/>
            <w:tcBorders>
              <w:left w:val="single" w:color="000000" w:sz="4" w:space="0"/>
            </w:tcBorders>
          </w:tcPr>
          <w:p>
            <w:pPr>
              <w:rPr>
                <w:rFonts w:ascii="Arial"/>
              </w:rPr>
            </w:pPr>
          </w:p>
        </w:tc>
        <w:tc>
          <w:tcPr>
            <w:tcW w:w="1355" w:type="dxa"/>
          </w:tcPr>
          <w:p>
            <w:pPr>
              <w:rPr>
                <w:rFonts w:ascii="Arial"/>
              </w:rPr>
            </w:pPr>
          </w:p>
        </w:tc>
      </w:tr>
    </w:tbl>
    <w:p>
      <w:pPr>
        <w:spacing w:before="78" w:line="219" w:lineRule="auto"/>
        <w:ind w:left="431"/>
        <w:rPr>
          <w:rFonts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lang w:val="en-US" w:eastAsia="zh-CN"/>
        </w:rPr>
        <w:t>1</w:t>
      </w:r>
      <w:r>
        <w:rPr>
          <w:rFonts w:hint="eastAsia" w:ascii="宋体" w:hAnsi="宋体" w:eastAsia="宋体" w:cs="宋体"/>
          <w:spacing w:val="-6"/>
          <w:szCs w:val="21"/>
        </w:rPr>
        <w:t>.该明细表所有信息均为必填项，不得删减，可细化可增加。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lang w:val="en-US" w:eastAsia="zh-CN"/>
        </w:rPr>
      </w:pPr>
      <w:r>
        <w:rPr>
          <w:rFonts w:hint="eastAsia" w:ascii="宋体" w:hAnsi="宋体" w:eastAsia="宋体" w:cs="宋体"/>
          <w:b/>
          <w:bCs/>
          <w:spacing w:val="-6"/>
          <w:szCs w:val="21"/>
          <w:highlight w:val="yellow"/>
          <w:lang w:val="en-US" w:eastAsia="zh-CN"/>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lang w:val="en-US" w:eastAsia="zh-CN"/>
        </w:rPr>
      </w:pPr>
      <w:r>
        <w:rPr>
          <w:rFonts w:hint="eastAsia" w:ascii="宋体" w:hAnsi="宋体" w:eastAsia="宋体" w:cs="宋体"/>
          <w:spacing w:val="-6"/>
          <w:szCs w:val="21"/>
          <w:highlight w:val="yellow"/>
          <w:lang w:val="en-US" w:eastAsia="zh-CN"/>
        </w:rPr>
        <w:t>3.此表分项明细需要和附表9-1完全对应。</w:t>
      </w:r>
    </w:p>
    <w:p>
      <w:pPr>
        <w:spacing w:before="78" w:line="219" w:lineRule="auto"/>
        <w:ind w:left="431"/>
        <w:rPr>
          <w:rFonts w:hint="eastAsia" w:ascii="宋体" w:hAnsi="宋体" w:eastAsia="宋体" w:cs="宋体"/>
          <w:spacing w:val="-6"/>
          <w:szCs w:val="21"/>
          <w:lang w:val="en-US" w:eastAsia="zh-CN"/>
        </w:rPr>
      </w:pPr>
      <w:r>
        <w:rPr>
          <w:rFonts w:hint="eastAsia" w:ascii="宋体" w:hAnsi="宋体" w:eastAsia="宋体" w:cs="宋体"/>
          <w:spacing w:val="-6"/>
          <w:szCs w:val="21"/>
          <w:lang w:val="en-US" w:eastAsia="zh-CN"/>
        </w:rPr>
        <w:t>4.因填写不规范造成废标及终止招标的，责任由投标人自负。</w:t>
      </w:r>
    </w:p>
    <w:p>
      <w:pPr>
        <w:spacing w:before="78" w:line="219" w:lineRule="auto"/>
        <w:ind w:left="431"/>
        <w:rPr>
          <w:rFonts w:hint="eastAsia" w:ascii="宋体" w:hAnsi="宋体" w:eastAsia="宋体" w:cs="宋体"/>
          <w:b w:val="0"/>
          <w:bCs w:val="0"/>
          <w:spacing w:val="-6"/>
          <w:szCs w:val="21"/>
          <w:lang w:val="en-US" w:eastAsia="zh-CN"/>
        </w:rPr>
      </w:pPr>
    </w:p>
    <w:p>
      <w:pPr>
        <w:spacing w:line="105" w:lineRule="exact"/>
      </w:pPr>
    </w:p>
    <w:p>
      <w:pPr>
        <w:sectPr>
          <w:footerReference r:id="rId26"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22</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济南成型厂废水站环保合规性改造提升技改项目</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22</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ascii="宋体" w:hAnsi="宋体" w:eastAsia="宋体" w:cs="Times New Roman"/>
          <w:sz w:val="24"/>
          <w:szCs w:val="20"/>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济南成型厂废水站环保合规性改造提升技改项目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济南成型厂废水站环保合规性改造提升技改项目</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济南成型厂废水站环保合规性改造提升技改项目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套</w:t>
            </w:r>
          </w:p>
        </w:tc>
        <w:tc>
          <w:tcPr>
            <w:tcW w:w="2270" w:type="dxa"/>
            <w:vAlign w:val="center"/>
          </w:tcPr>
          <w:p>
            <w:pPr>
              <w:ind w:left="0" w:leftChars="0" w:firstLine="90" w:firstLineChars="43"/>
              <w:jc w:val="both"/>
              <w:rPr>
                <w:rFonts w:hint="default" w:ascii="等线" w:hAnsi="等线" w:eastAsia="等线" w:cs="Times New Roman"/>
                <w:b/>
                <w:szCs w:val="20"/>
                <w:u w:val="single"/>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r>
              <w:rPr>
                <w:rFonts w:hint="eastAsia" w:ascii="等线" w:hAnsi="等线" w:eastAsia="等线" w:cs="Times New Roman"/>
                <w:b/>
                <w:szCs w:val="20"/>
                <w:u w:val="single"/>
                <w:lang w:val="en-US" w:eastAsia="zh-CN"/>
              </w:rPr>
              <w:t xml:space="preserve">          </w:t>
            </w:r>
          </w:p>
          <w:p>
            <w:pPr>
              <w:jc w:val="both"/>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ind w:left="0" w:leftChars="0" w:firstLine="511" w:firstLineChars="243"/>
              <w:jc w:val="both"/>
              <w:rPr>
                <w:rFonts w:hint="default" w:ascii="Times New Roman" w:hAnsi="Times New Roman" w:eastAsia="等线" w:cs="Times New Roman"/>
                <w:b/>
                <w:szCs w:val="20"/>
                <w:u w:val="single"/>
                <w:lang w:val="en-US" w:eastAsia="zh-CN"/>
              </w:rPr>
            </w:pPr>
            <w:r>
              <w:rPr>
                <w:rFonts w:hint="eastAsia" w:ascii="等线" w:hAnsi="等线" w:eastAsia="等线" w:cs="Times New Roman"/>
                <w:b/>
                <w:szCs w:val="20"/>
              </w:rPr>
              <w:t>税率：</w:t>
            </w:r>
            <w:r>
              <w:rPr>
                <w:rFonts w:hint="eastAsia" w:ascii="等线" w:hAnsi="等线" w:eastAsia="等线" w:cs="Times New Roman"/>
                <w:b/>
                <w:szCs w:val="20"/>
                <w:u w:val="single"/>
                <w:lang w:val="en-US" w:eastAsia="zh-CN"/>
              </w:rPr>
              <w:t xml:space="preserve">        </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20"/>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5"/>
        <w:jc w:val="center"/>
        <w:rPr>
          <w:rFonts w:ascii="宋体" w:hAnsi="宋体" w:eastAsia="宋体" w:cs="Times New Roman"/>
          <w:b/>
          <w:bCs/>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lang w:val="en-US" w:eastAsia="zh-CN"/>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13937" w:type="dxa"/>
        <w:tblInd w:w="13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5"/>
        <w:gridCol w:w="2853"/>
        <w:gridCol w:w="1651"/>
        <w:gridCol w:w="973"/>
        <w:gridCol w:w="938"/>
        <w:gridCol w:w="1881"/>
        <w:gridCol w:w="1595"/>
        <w:gridCol w:w="1856"/>
        <w:gridCol w:w="163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1</w:t>
            </w:r>
          </w:p>
        </w:tc>
        <w:tc>
          <w:tcPr>
            <w:tcW w:w="2853"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2</w:t>
            </w:r>
          </w:p>
        </w:tc>
        <w:tc>
          <w:tcPr>
            <w:tcW w:w="165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3</w:t>
            </w:r>
          </w:p>
        </w:tc>
        <w:tc>
          <w:tcPr>
            <w:tcW w:w="973"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4</w:t>
            </w:r>
          </w:p>
        </w:tc>
        <w:tc>
          <w:tcPr>
            <w:tcW w:w="93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5</w:t>
            </w:r>
          </w:p>
        </w:tc>
        <w:tc>
          <w:tcPr>
            <w:tcW w:w="188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6</w:t>
            </w:r>
          </w:p>
        </w:tc>
        <w:tc>
          <w:tcPr>
            <w:tcW w:w="1595" w:type="dxa"/>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7</w:t>
            </w:r>
          </w:p>
        </w:tc>
        <w:tc>
          <w:tcPr>
            <w:tcW w:w="1856" w:type="dxa"/>
            <w:tcBorders>
              <w:top w:val="single" w:color="000000" w:sz="2" w:space="0"/>
              <w:left w:val="nil"/>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8</w:t>
            </w:r>
          </w:p>
        </w:tc>
        <w:tc>
          <w:tcPr>
            <w:tcW w:w="163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序</w:t>
            </w:r>
            <w:r>
              <w:rPr>
                <w:rFonts w:hint="eastAsia" w:ascii="宋体" w:hAnsi="宋体" w:eastAsia="Times New Roman" w:cs="Times New Roman"/>
                <w:b/>
                <w:spacing w:val="-1"/>
                <w:kern w:val="0"/>
                <w:sz w:val="20"/>
                <w:szCs w:val="20"/>
              </w:rPr>
              <w:t>号</w:t>
            </w:r>
          </w:p>
        </w:tc>
        <w:tc>
          <w:tcPr>
            <w:tcW w:w="2853"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货物名</w:t>
            </w:r>
            <w:r>
              <w:rPr>
                <w:rFonts w:hint="eastAsia" w:ascii="宋体" w:hAnsi="宋体" w:eastAsia="Times New Roman" w:cs="Times New Roman"/>
                <w:b/>
                <w:spacing w:val="-1"/>
                <w:kern w:val="0"/>
                <w:sz w:val="20"/>
                <w:szCs w:val="20"/>
              </w:rPr>
              <w:t>称</w:t>
            </w:r>
          </w:p>
        </w:tc>
        <w:tc>
          <w:tcPr>
            <w:tcW w:w="165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型号和</w:t>
            </w:r>
            <w:r>
              <w:rPr>
                <w:rFonts w:hint="eastAsia" w:ascii="宋体" w:hAnsi="宋体" w:eastAsia="Times New Roman" w:cs="Times New Roman"/>
                <w:b/>
                <w:spacing w:val="-1"/>
                <w:kern w:val="0"/>
                <w:sz w:val="20"/>
                <w:szCs w:val="20"/>
              </w:rPr>
              <w:t>规格</w:t>
            </w:r>
          </w:p>
        </w:tc>
        <w:tc>
          <w:tcPr>
            <w:tcW w:w="973"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spacing w:val="-2"/>
                <w:kern w:val="0"/>
                <w:sz w:val="20"/>
                <w:szCs w:val="20"/>
              </w:rPr>
            </w:pPr>
            <w:r>
              <w:rPr>
                <w:rFonts w:hint="eastAsia" w:ascii="宋体" w:hAnsi="宋体" w:eastAsia="Times New Roman" w:cs="Times New Roman"/>
                <w:b/>
                <w:spacing w:val="-2"/>
                <w:kern w:val="0"/>
                <w:sz w:val="20"/>
                <w:szCs w:val="20"/>
              </w:rPr>
              <w:t>单位</w:t>
            </w:r>
          </w:p>
        </w:tc>
        <w:tc>
          <w:tcPr>
            <w:tcW w:w="938"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2"/>
                <w:kern w:val="0"/>
                <w:sz w:val="20"/>
                <w:szCs w:val="20"/>
              </w:rPr>
              <w:t>数量</w:t>
            </w:r>
          </w:p>
        </w:tc>
        <w:tc>
          <w:tcPr>
            <w:tcW w:w="1881"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spacing w:val="-3"/>
                <w:kern w:val="0"/>
                <w:sz w:val="20"/>
                <w:szCs w:val="20"/>
              </w:rPr>
              <w:t>原</w:t>
            </w:r>
            <w:r>
              <w:rPr>
                <w:rFonts w:hint="eastAsia" w:ascii="宋体" w:hAnsi="宋体" w:eastAsia="Times New Roman" w:cs="Times New Roman"/>
                <w:b/>
                <w:spacing w:val="-2"/>
                <w:kern w:val="0"/>
                <w:sz w:val="20"/>
                <w:szCs w:val="20"/>
              </w:rPr>
              <w:t>产地和</w:t>
            </w:r>
            <w:r>
              <w:rPr>
                <w:rFonts w:hint="eastAsia" w:ascii="宋体" w:hAnsi="宋体" w:eastAsia="Times New Roman" w:cs="Times New Roman"/>
                <w:b/>
                <w:spacing w:val="-1"/>
                <w:kern w:val="0"/>
                <w:sz w:val="20"/>
                <w:szCs w:val="20"/>
              </w:rPr>
              <w:t>制造商名</w:t>
            </w:r>
            <w:r>
              <w:rPr>
                <w:rFonts w:hint="eastAsia" w:ascii="宋体" w:hAnsi="宋体" w:eastAsia="Times New Roman" w:cs="Times New Roman"/>
                <w:b/>
                <w:kern w:val="0"/>
                <w:sz w:val="20"/>
                <w:szCs w:val="20"/>
              </w:rPr>
              <w:t>称</w:t>
            </w:r>
          </w:p>
        </w:tc>
        <w:tc>
          <w:tcPr>
            <w:tcW w:w="1595" w:type="dxa"/>
            <w:tcBorders>
              <w:top w:val="single" w:color="000000" w:sz="2" w:space="0"/>
              <w:left w:val="single" w:color="000000" w:sz="2" w:space="0"/>
              <w:bottom w:val="single" w:color="000000" w:sz="2" w:space="0"/>
              <w:right w:val="single" w:color="000000" w:sz="4" w:space="0"/>
            </w:tcBorders>
            <w:vAlign w:val="center"/>
          </w:tcPr>
          <w:p>
            <w:pPr>
              <w:jc w:val="center"/>
              <w:rPr>
                <w:rFonts w:ascii="宋体" w:hAnsi="宋体" w:eastAsia="Times New Roman" w:cs="Times New Roman"/>
                <w:b/>
                <w:kern w:val="0"/>
                <w:sz w:val="20"/>
                <w:szCs w:val="20"/>
              </w:rPr>
            </w:pPr>
            <w:r>
              <w:rPr>
                <w:rFonts w:hint="eastAsia" w:ascii="宋体" w:hAnsi="宋体" w:eastAsia="Times New Roman" w:cs="Times New Roman"/>
                <w:b/>
                <w:spacing w:val="1"/>
                <w:kern w:val="0"/>
                <w:sz w:val="20"/>
                <w:szCs w:val="20"/>
              </w:rPr>
              <w:t>单</w:t>
            </w:r>
            <w:r>
              <w:rPr>
                <w:rFonts w:hint="eastAsia" w:ascii="宋体" w:hAnsi="宋体" w:eastAsia="Times New Roman" w:cs="Times New Roman"/>
                <w:b/>
                <w:kern w:val="0"/>
                <w:sz w:val="20"/>
                <w:szCs w:val="20"/>
              </w:rPr>
              <w:t>价</w:t>
            </w:r>
            <w:r>
              <w:rPr>
                <w:rFonts w:hint="eastAsia" w:ascii="宋体" w:hAnsi="宋体" w:eastAsia="Times New Roman" w:cs="Times New Roman"/>
                <w:b/>
                <w:spacing w:val="-3"/>
                <w:kern w:val="0"/>
                <w:sz w:val="20"/>
                <w:szCs w:val="20"/>
              </w:rPr>
              <w:t>（不含税）</w:t>
            </w:r>
          </w:p>
          <w:p>
            <w:pPr>
              <w:jc w:val="center"/>
              <w:rPr>
                <w:rFonts w:ascii="宋体" w:hAnsi="宋体" w:eastAsia="宋体" w:cs="Times New Roman"/>
                <w:b/>
                <w:kern w:val="0"/>
                <w:sz w:val="20"/>
                <w:szCs w:val="20"/>
              </w:rPr>
            </w:pPr>
            <w:r>
              <w:rPr>
                <w:rFonts w:hint="eastAsia" w:ascii="宋体" w:hAnsi="宋体" w:eastAsia="Times New Roman" w:cs="Times New Roman"/>
                <w:b/>
                <w:spacing w:val="-16"/>
                <w:kern w:val="0"/>
                <w:sz w:val="20"/>
                <w:szCs w:val="20"/>
              </w:rPr>
              <w:t>(</w:t>
            </w:r>
            <w:r>
              <w:rPr>
                <w:rFonts w:hint="eastAsia" w:ascii="宋体" w:hAnsi="宋体" w:eastAsia="Times New Roman" w:cs="Times New Roman"/>
                <w:b/>
                <w:spacing w:val="-14"/>
                <w:kern w:val="0"/>
                <w:sz w:val="20"/>
                <w:szCs w:val="20"/>
              </w:rPr>
              <w:t>元)</w:t>
            </w:r>
          </w:p>
        </w:tc>
        <w:tc>
          <w:tcPr>
            <w:tcW w:w="1856" w:type="dxa"/>
            <w:tcBorders>
              <w:top w:val="single" w:color="000000" w:sz="2" w:space="0"/>
              <w:left w:val="nil"/>
              <w:bottom w:val="single" w:color="000000" w:sz="2" w:space="0"/>
              <w:right w:val="single" w:color="000000" w:sz="2" w:space="0"/>
            </w:tcBorders>
            <w:vAlign w:val="center"/>
          </w:tcPr>
          <w:p>
            <w:pPr>
              <w:jc w:val="center"/>
              <w:rPr>
                <w:rFonts w:ascii="宋体" w:hAnsi="宋体" w:eastAsia="Times New Roman" w:cs="Times New Roman"/>
                <w:b/>
                <w:spacing w:val="-3"/>
                <w:kern w:val="0"/>
                <w:sz w:val="20"/>
                <w:szCs w:val="20"/>
              </w:rPr>
            </w:pPr>
            <w:r>
              <w:rPr>
                <w:rFonts w:hint="eastAsia" w:ascii="宋体" w:hAnsi="宋体" w:eastAsia="Times New Roman" w:cs="Times New Roman"/>
                <w:b/>
                <w:spacing w:val="-1"/>
                <w:kern w:val="0"/>
                <w:sz w:val="20"/>
                <w:szCs w:val="20"/>
              </w:rPr>
              <w:t>总价[6</w:t>
            </w:r>
            <w:r>
              <w:rPr>
                <w:rFonts w:hint="eastAsia" w:ascii="宋体" w:hAnsi="宋体" w:eastAsia="Times New Roman" w:cs="Times New Roman"/>
                <w:b/>
                <w:kern w:val="0"/>
                <w:sz w:val="20"/>
                <w:szCs w:val="20"/>
              </w:rPr>
              <w:t>×8]</w:t>
            </w:r>
            <w:r>
              <w:rPr>
                <w:rFonts w:hint="eastAsia" w:ascii="宋体" w:hAnsi="宋体" w:eastAsia="Times New Roman" w:cs="Times New Roman"/>
                <w:b/>
                <w:spacing w:val="-3"/>
                <w:kern w:val="0"/>
                <w:sz w:val="20"/>
                <w:szCs w:val="20"/>
              </w:rPr>
              <w:t>（不含税）</w:t>
            </w:r>
          </w:p>
          <w:p>
            <w:pPr>
              <w:jc w:val="center"/>
              <w:rPr>
                <w:rFonts w:ascii="宋体" w:hAnsi="宋体" w:eastAsia="宋体" w:cs="Times New Roman"/>
                <w:b/>
                <w:kern w:val="0"/>
                <w:sz w:val="20"/>
                <w:szCs w:val="20"/>
              </w:rPr>
            </w:pPr>
            <w:r>
              <w:rPr>
                <w:rFonts w:hint="eastAsia" w:ascii="宋体" w:hAnsi="宋体" w:eastAsia="Times New Roman" w:cs="Times New Roman"/>
                <w:b/>
                <w:spacing w:val="27"/>
                <w:kern w:val="0"/>
                <w:sz w:val="20"/>
                <w:szCs w:val="20"/>
              </w:rPr>
              <w:t>(</w:t>
            </w:r>
            <w:r>
              <w:rPr>
                <w:rFonts w:hint="eastAsia" w:ascii="宋体" w:hAnsi="宋体" w:eastAsia="Times New Roman" w:cs="Times New Roman"/>
                <w:b/>
                <w:spacing w:val="26"/>
                <w:kern w:val="0"/>
                <w:sz w:val="20"/>
                <w:szCs w:val="20"/>
              </w:rPr>
              <w:t>元)</w:t>
            </w:r>
          </w:p>
        </w:tc>
        <w:tc>
          <w:tcPr>
            <w:tcW w:w="1635" w:type="dxa"/>
            <w:tcBorders>
              <w:top w:val="single" w:color="000000" w:sz="2" w:space="0"/>
              <w:left w:val="single" w:color="000000" w:sz="2" w:space="0"/>
              <w:bottom w:val="single" w:color="000000" w:sz="2" w:space="0"/>
              <w:right w:val="single" w:color="000000" w:sz="2" w:space="0"/>
            </w:tcBorders>
            <w:vAlign w:val="center"/>
          </w:tcPr>
          <w:p>
            <w:pPr>
              <w:jc w:val="center"/>
              <w:rPr>
                <w:rFonts w:ascii="宋体" w:hAnsi="宋体" w:eastAsia="宋体" w:cs="Times New Roman"/>
                <w:b/>
                <w:kern w:val="0"/>
                <w:sz w:val="20"/>
                <w:szCs w:val="20"/>
              </w:rPr>
            </w:pPr>
            <w:r>
              <w:rPr>
                <w:rFonts w:hint="eastAsia" w:ascii="宋体" w:hAnsi="宋体" w:eastAsia="Times New Roman" w:cs="Times New Roman"/>
                <w:b/>
                <w:kern w:val="0"/>
                <w:sz w:val="20"/>
                <w:szCs w:val="20"/>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szCs w:val="21"/>
              </w:rPr>
            </w:pPr>
            <w:r>
              <w:rPr>
                <w:rFonts w:hint="eastAsia" w:ascii="宋体" w:hAnsi="宋体" w:eastAsia="宋体" w:cs="宋体"/>
                <w:color w:val="000000"/>
                <w:kern w:val="0"/>
                <w:sz w:val="22"/>
                <w:lang w:bidi="ar"/>
              </w:rPr>
              <w:t>1</w:t>
            </w: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宋体" w:hAnsi="宋体" w:eastAsia="宋体" w:cs="宋体"/>
                <w:sz w:val="24"/>
                <w:szCs w:val="24"/>
              </w:rPr>
            </w:pPr>
            <w:r>
              <w:rPr>
                <w:rFonts w:hint="eastAsia" w:ascii="宋体" w:hAnsi="宋体" w:eastAsia="宋体" w:cs="宋体"/>
                <w:color w:val="000000"/>
                <w:sz w:val="24"/>
                <w:szCs w:val="24"/>
                <w:highlight w:val="none"/>
                <w:lang w:eastAsia="zh-CN"/>
              </w:rPr>
              <w:t>按技术标书</w:t>
            </w: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r>
              <w:rPr>
                <w:rFonts w:hint="eastAsia" w:ascii="宋体" w:hAnsi="宋体" w:eastAsia="宋体" w:cs="宋体"/>
                <w:sz w:val="24"/>
                <w:szCs w:val="24"/>
                <w:highlight w:val="none"/>
                <w:lang w:eastAsia="zh-CN"/>
              </w:rPr>
              <w:t>内容填写</w:t>
            </w: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 w:hAnsi="仿宋" w:eastAsia="仿宋"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szCs w:val="21"/>
              </w:rPr>
            </w:pPr>
            <w:r>
              <w:rPr>
                <w:rFonts w:hint="eastAsia" w:ascii="宋体" w:hAnsi="宋体" w:eastAsia="宋体" w:cs="宋体"/>
                <w:color w:val="000000"/>
                <w:kern w:val="0"/>
                <w:sz w:val="22"/>
                <w:lang w:bidi="ar"/>
              </w:rPr>
              <w:t>2</w:t>
            </w: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595"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szCs w:val="21"/>
              </w:rPr>
            </w:pPr>
            <w:r>
              <w:rPr>
                <w:rFonts w:hint="eastAsia" w:ascii="宋体" w:hAnsi="宋体" w:eastAsia="宋体" w:cs="宋体"/>
                <w:color w:val="000000"/>
                <w:kern w:val="0"/>
                <w:sz w:val="22"/>
                <w:lang w:bidi="ar"/>
              </w:rPr>
              <w:t>3</w:t>
            </w: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595"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kern w:val="0"/>
                <w:szCs w:val="21"/>
              </w:rPr>
            </w:pPr>
            <w:r>
              <w:rPr>
                <w:rFonts w:hint="eastAsia" w:ascii="宋体" w:hAnsi="宋体" w:eastAsia="宋体" w:cs="宋体"/>
                <w:color w:val="000000"/>
                <w:kern w:val="0"/>
                <w:sz w:val="22"/>
                <w:lang w:bidi="ar"/>
              </w:rPr>
              <w:t>4</w:t>
            </w: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856"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kern w:val="0"/>
                <w:szCs w:val="21"/>
              </w:rPr>
            </w:pP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856"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kern w:val="0"/>
                <w:szCs w:val="21"/>
              </w:rPr>
            </w:pP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left"/>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4"/>
                <w:szCs w:val="24"/>
              </w:rPr>
            </w:pPr>
          </w:p>
        </w:tc>
        <w:tc>
          <w:tcPr>
            <w:tcW w:w="1595" w:type="dxa"/>
            <w:tcBorders>
              <w:top w:val="single" w:color="000000" w:sz="2" w:space="0"/>
              <w:left w:val="single" w:color="000000" w:sz="2" w:space="0"/>
              <w:bottom w:val="single" w:color="000000" w:sz="2" w:space="0"/>
              <w:right w:val="single" w:color="000000" w:sz="4" w:space="0"/>
            </w:tcBorders>
            <w:vAlign w:val="center"/>
          </w:tcPr>
          <w:p>
            <w:pPr>
              <w:widowControl/>
              <w:jc w:val="center"/>
              <w:textAlignment w:val="center"/>
              <w:rPr>
                <w:rFonts w:ascii="宋体" w:hAnsi="宋体" w:eastAsia="宋体" w:cs="Times New Roman"/>
                <w:sz w:val="24"/>
                <w:szCs w:val="24"/>
              </w:rPr>
            </w:pPr>
          </w:p>
        </w:tc>
        <w:tc>
          <w:tcPr>
            <w:tcW w:w="1856" w:type="dxa"/>
            <w:tcBorders>
              <w:top w:val="single" w:color="000000" w:sz="2" w:space="0"/>
              <w:left w:val="nil"/>
              <w:bottom w:val="single" w:color="000000" w:sz="2" w:space="0"/>
              <w:right w:val="single" w:color="000000" w:sz="2" w:space="0"/>
            </w:tcBorders>
            <w:vAlign w:val="center"/>
          </w:tcPr>
          <w:p>
            <w:pPr>
              <w:widowControl/>
              <w:jc w:val="left"/>
              <w:textAlignment w:val="center"/>
              <w:rPr>
                <w:rFonts w:ascii="宋体" w:hAnsi="宋体" w:eastAsia="宋体" w:cs="Times New Roman"/>
                <w:sz w:val="24"/>
                <w:szCs w:val="24"/>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center"/>
              <w:textAlignment w:val="center"/>
              <w:rPr>
                <w:rFonts w:ascii="宋体" w:hAnsi="宋体" w:eastAsia="宋体"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kern w:val="0"/>
                <w:szCs w:val="21"/>
              </w:rPr>
            </w:pP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pP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center"/>
              <w:textAlignment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595"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555"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仿宋_GB2312" w:hAnsi="仿宋_GB2312" w:eastAsia="宋体" w:cs="Times New Roman"/>
                <w:color w:val="000000"/>
                <w:kern w:val="0"/>
                <w:szCs w:val="21"/>
              </w:rPr>
            </w:pPr>
          </w:p>
        </w:tc>
        <w:tc>
          <w:tcPr>
            <w:tcW w:w="2853" w:type="dxa"/>
            <w:tcBorders>
              <w:top w:val="single" w:color="000000" w:sz="2" w:space="0"/>
              <w:left w:val="single" w:color="000000" w:sz="2" w:space="0"/>
              <w:bottom w:val="single" w:color="000000" w:sz="2" w:space="0"/>
              <w:right w:val="single" w:color="000000" w:sz="2" w:space="0"/>
            </w:tcBorders>
            <w:shd w:val="clear" w:color="auto" w:fill="auto"/>
            <w:vAlign w:val="center"/>
          </w:tcPr>
          <w:p>
            <w:pPr>
              <w:widowControl/>
              <w:jc w:val="left"/>
              <w:textAlignment w:val="center"/>
              <w:rPr>
                <w:rFonts w:ascii="宋体" w:hAnsi="宋体" w:eastAsia="宋体" w:cs="宋体"/>
                <w:sz w:val="24"/>
                <w:szCs w:val="24"/>
              </w:rPr>
            </w:pPr>
          </w:p>
        </w:tc>
        <w:tc>
          <w:tcPr>
            <w:tcW w:w="1651"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p>
        </w:tc>
        <w:tc>
          <w:tcPr>
            <w:tcW w:w="973"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p>
        </w:tc>
        <w:tc>
          <w:tcPr>
            <w:tcW w:w="938" w:type="dxa"/>
            <w:tcBorders>
              <w:top w:val="single" w:color="000000" w:sz="2" w:space="0"/>
              <w:left w:val="single" w:color="000000" w:sz="2" w:space="0"/>
              <w:bottom w:val="single" w:color="000000" w:sz="2" w:space="0"/>
              <w:right w:val="single" w:color="000000" w:sz="2" w:space="0"/>
            </w:tcBorders>
            <w:shd w:val="clear" w:color="auto" w:fill="auto"/>
            <w:vAlign w:val="center"/>
          </w:tcPr>
          <w:p>
            <w:pPr>
              <w:jc w:val="center"/>
              <w:rPr>
                <w:rFonts w:ascii="宋体" w:hAnsi="宋体" w:eastAsia="宋体" w:cs="宋体"/>
                <w:sz w:val="24"/>
                <w:szCs w:val="24"/>
              </w:rPr>
            </w:pPr>
          </w:p>
        </w:tc>
        <w:tc>
          <w:tcPr>
            <w:tcW w:w="1881" w:type="dxa"/>
            <w:tcBorders>
              <w:top w:val="single" w:color="000000" w:sz="2" w:space="0"/>
              <w:left w:val="single" w:color="000000" w:sz="2" w:space="0"/>
              <w:bottom w:val="single" w:color="000000" w:sz="2" w:space="0"/>
              <w:right w:val="single" w:color="000000" w:sz="2" w:space="0"/>
            </w:tcBorders>
            <w:vAlign w:val="center"/>
          </w:tcPr>
          <w:p>
            <w:pPr>
              <w:widowControl/>
              <w:jc w:val="center"/>
              <w:textAlignment w:val="center"/>
              <w:rPr>
                <w:rFonts w:ascii="宋体" w:hAnsi="宋体" w:eastAsia="宋体" w:cs="Times New Roman"/>
                <w:color w:val="000000"/>
                <w:sz w:val="22"/>
              </w:rPr>
            </w:pPr>
          </w:p>
        </w:tc>
        <w:tc>
          <w:tcPr>
            <w:tcW w:w="1595" w:type="dxa"/>
            <w:tcBorders>
              <w:top w:val="single" w:color="000000" w:sz="2" w:space="0"/>
              <w:left w:val="single" w:color="000000" w:sz="2" w:space="0"/>
              <w:bottom w:val="single" w:color="000000" w:sz="2" w:space="0"/>
              <w:right w:val="single" w:color="000000" w:sz="4" w:space="0"/>
            </w:tcBorders>
            <w:vAlign w:val="center"/>
          </w:tcPr>
          <w:p>
            <w:pPr>
              <w:jc w:val="left"/>
              <w:rPr>
                <w:rFonts w:ascii="Arial" w:hAnsi="Times New Roman" w:eastAsia="宋体" w:cs="Times New Roman"/>
                <w:kern w:val="0"/>
                <w:sz w:val="20"/>
                <w:szCs w:val="20"/>
              </w:rPr>
            </w:pPr>
          </w:p>
        </w:tc>
        <w:tc>
          <w:tcPr>
            <w:tcW w:w="1856"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 w:hRule="atLeast"/>
        </w:trPr>
        <w:tc>
          <w:tcPr>
            <w:tcW w:w="555" w:type="dxa"/>
            <w:tcBorders>
              <w:top w:val="single" w:color="000000" w:sz="2" w:space="0"/>
              <w:left w:val="single" w:color="000000" w:sz="2" w:space="0"/>
              <w:bottom w:val="single" w:color="000000" w:sz="2" w:space="0"/>
              <w:right w:val="single" w:color="000000" w:sz="4" w:space="0"/>
            </w:tcBorders>
            <w:vAlign w:val="center"/>
          </w:tcPr>
          <w:p>
            <w:pPr>
              <w:jc w:val="left"/>
              <w:rPr>
                <w:rFonts w:ascii="宋体" w:hAnsi="宋体" w:eastAsia="宋体" w:cs="Times New Roman"/>
                <w:spacing w:val="-6"/>
                <w:kern w:val="0"/>
                <w:sz w:val="20"/>
                <w:szCs w:val="20"/>
              </w:rPr>
            </w:pPr>
          </w:p>
        </w:tc>
        <w:tc>
          <w:tcPr>
            <w:tcW w:w="9891" w:type="dxa"/>
            <w:gridSpan w:val="6"/>
            <w:tcBorders>
              <w:top w:val="single" w:color="000000" w:sz="2" w:space="0"/>
              <w:left w:val="single" w:color="000000" w:sz="2" w:space="0"/>
              <w:bottom w:val="single" w:color="000000" w:sz="2" w:space="0"/>
              <w:right w:val="single" w:color="000000" w:sz="4" w:space="0"/>
            </w:tcBorders>
            <w:vAlign w:val="center"/>
          </w:tcPr>
          <w:p>
            <w:pPr>
              <w:jc w:val="center"/>
              <w:rPr>
                <w:rFonts w:ascii="Arial" w:hAnsi="Times New Roman" w:eastAsia="宋体" w:cs="Times New Roman"/>
                <w:kern w:val="0"/>
                <w:sz w:val="20"/>
                <w:szCs w:val="20"/>
              </w:rPr>
            </w:pPr>
            <w:r>
              <w:rPr>
                <w:rFonts w:hint="eastAsia" w:ascii="宋体" w:hAnsi="宋体" w:eastAsia="Times New Roman" w:cs="Times New Roman"/>
                <w:spacing w:val="-6"/>
                <w:kern w:val="0"/>
                <w:sz w:val="20"/>
                <w:szCs w:val="20"/>
              </w:rPr>
              <w:t>总</w:t>
            </w:r>
            <w:r>
              <w:rPr>
                <w:rFonts w:hint="eastAsia" w:ascii="宋体" w:hAnsi="宋体" w:eastAsia="Times New Roman" w:cs="Times New Roman"/>
                <w:spacing w:val="-4"/>
                <w:kern w:val="0"/>
                <w:sz w:val="20"/>
                <w:szCs w:val="20"/>
              </w:rPr>
              <w:t>价合计列入价格汇总表 9-5</w:t>
            </w:r>
          </w:p>
        </w:tc>
        <w:tc>
          <w:tcPr>
            <w:tcW w:w="1856" w:type="dxa"/>
            <w:tcBorders>
              <w:top w:val="single" w:color="000000" w:sz="2" w:space="0"/>
              <w:left w:val="nil"/>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c>
          <w:tcPr>
            <w:tcW w:w="1635" w:type="dxa"/>
            <w:tcBorders>
              <w:top w:val="single" w:color="000000" w:sz="2" w:space="0"/>
              <w:left w:val="single" w:color="000000" w:sz="2" w:space="0"/>
              <w:bottom w:val="single" w:color="000000" w:sz="2" w:space="0"/>
              <w:right w:val="single" w:color="000000" w:sz="2" w:space="0"/>
            </w:tcBorders>
            <w:vAlign w:val="center"/>
          </w:tcPr>
          <w:p>
            <w:pPr>
              <w:jc w:val="left"/>
              <w:rPr>
                <w:rFonts w:ascii="Arial" w:hAnsi="Times New Roman" w:eastAsia="宋体" w:cs="Times New Roman"/>
                <w:kern w:val="0"/>
                <w:sz w:val="20"/>
                <w:szCs w:val="20"/>
              </w:rPr>
            </w:pPr>
          </w:p>
        </w:tc>
      </w:tr>
    </w:tbl>
    <w:p>
      <w:pPr>
        <w:spacing w:before="58" w:line="219" w:lineRule="auto"/>
        <w:ind w:left="8"/>
        <w:rPr>
          <w:rFonts w:ascii="宋体" w:hAnsi="宋体" w:eastAsia="宋体" w:cs="宋体"/>
          <w:spacing w:val="-8"/>
          <w:szCs w:val="21"/>
        </w:rPr>
      </w:pPr>
    </w:p>
    <w:p>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line="105" w:lineRule="exact"/>
      </w:pPr>
    </w:p>
    <w:p>
      <w:pPr>
        <w:sectPr>
          <w:footerReference r:id="rId29"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spacing w:val="-4"/>
          <w:sz w:val="24"/>
          <w:szCs w:val="24"/>
        </w:rPr>
      </w:pPr>
      <w:r>
        <w:rPr>
          <w:rFonts w:hint="eastAsia" w:ascii="宋体" w:hAnsi="宋体" w:eastAsia="宋体" w:cs="宋体"/>
          <w:spacing w:val="-4"/>
          <w:sz w:val="24"/>
          <w:szCs w:val="24"/>
        </w:rPr>
        <w:t>投标人(章)：</w:t>
      </w:r>
    </w:p>
    <w:p>
      <w:pPr>
        <w:spacing w:line="14" w:lineRule="auto"/>
        <w:rPr>
          <w:rFonts w:ascii="宋体" w:hAnsi="宋体" w:eastAsia="宋体" w:cs="宋体"/>
          <w:sz w:val="24"/>
          <w:szCs w:val="24"/>
        </w:rPr>
      </w:pPr>
      <w:r>
        <w:rPr>
          <w:rFonts w:hint="eastAsia" w:ascii="宋体" w:hAnsi="宋体" w:eastAsia="宋体" w:cs="宋体"/>
          <w:sz w:val="24"/>
          <w:szCs w:val="24"/>
        </w:rPr>
        <w:br w:type="column"/>
      </w:r>
    </w:p>
    <w:p>
      <w:pPr>
        <w:spacing w:before="40" w:line="186" w:lineRule="auto"/>
        <w:rPr>
          <w:rFonts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pPr>
        <w:rPr>
          <w:rFonts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0"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top"/>
          </w:tcPr>
          <w:p>
            <w:pPr>
              <w:spacing w:before="266" w:line="221" w:lineRule="auto"/>
              <w:jc w:val="center"/>
              <w:rPr>
                <w:rFonts w:ascii="宋体" w:hAnsi="宋体" w:eastAsia="宋体" w:cs="宋体"/>
                <w:szCs w:val="21"/>
              </w:rPr>
            </w:pPr>
            <w:r>
              <w:rPr>
                <w:rFonts w:hint="eastAsia" w:ascii="宋体" w:hAnsi="宋体" w:eastAsia="宋体" w:cs="宋体"/>
                <w:spacing w:val="-1"/>
                <w:szCs w:val="21"/>
                <w:highlight w:val="yellow"/>
                <w:lang w:val="en-US" w:eastAsia="zh-CN"/>
              </w:rPr>
              <w:t>现场安装调试费</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top"/>
          </w:tcPr>
          <w:p>
            <w:pPr>
              <w:spacing w:before="266" w:line="221" w:lineRule="auto"/>
              <w:jc w:val="center"/>
              <w:rPr>
                <w:rFonts w:ascii="宋体" w:hAnsi="宋体" w:eastAsia="宋体" w:cs="宋体"/>
                <w:szCs w:val="21"/>
              </w:rPr>
            </w:pPr>
            <w:r>
              <w:rPr>
                <w:rFonts w:hint="eastAsia" w:ascii="宋体" w:hAnsi="宋体" w:eastAsia="宋体" w:cs="宋体"/>
                <w:szCs w:val="21"/>
                <w:highlight w:val="yellow"/>
                <w:lang w:val="en-US" w:eastAsia="zh-CN"/>
              </w:rPr>
              <w:t>技术培训费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20"/>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1"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33"/>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2" w:type="default"/>
          <w:pgSz w:w="16841" w:h="11907"/>
          <w:pgMar w:top="400" w:right="1500" w:bottom="1184" w:left="1480"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20"/>
      </w:pPr>
    </w:p>
    <w:p>
      <w:pPr>
        <w:pStyle w:val="20"/>
      </w:pPr>
    </w:p>
    <w:p>
      <w:pPr>
        <w:spacing w:before="140" w:line="220" w:lineRule="auto"/>
        <w:ind w:left="2" w:firstLine="464" w:firstLineChars="200"/>
        <w:rPr>
          <w:rFonts w:ascii="宋体" w:hAnsi="宋体" w:eastAsia="宋体" w:cs="宋体"/>
          <w:spacing w:val="-2"/>
          <w:szCs w:val="21"/>
        </w:rPr>
        <w:sectPr>
          <w:footerReference r:id="rId33"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济南成型厂废水站环保合规性改造提升技改项目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济南成型厂废水站环保合规性改造提升技改项目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4"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ascii="宋体" w:hAnsi="Calibri" w:eastAsia="宋体" w:cs="Times New Roman"/>
          <w:sz w:val="24"/>
          <w:szCs w:val="20"/>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济南成型厂废水站环保合规性改造提升技改项目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20"/>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济南成型厂废水站环保合规性改造提升技改项目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20"/>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宋体" w:hAnsi="宋体" w:eastAsia="宋体" w:cs="宋体"/>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41"/>
        <w:tblpPr w:leftFromText="180" w:rightFromText="180" w:vertAnchor="text" w:horzAnchor="page" w:tblpXSpec="center" w:tblpY="197"/>
        <w:tblOverlap w:val="never"/>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9"/>
        <w:gridCol w:w="709"/>
        <w:gridCol w:w="542"/>
        <w:gridCol w:w="1165"/>
        <w:gridCol w:w="758"/>
        <w:gridCol w:w="5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1" w:hRule="atLeast"/>
          <w:jc w:val="center"/>
        </w:trPr>
        <w:tc>
          <w:tcPr>
            <w:tcW w:w="346"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highlight w:val="none"/>
              </w:rPr>
            </w:pPr>
            <w:r>
              <w:rPr>
                <w:rFonts w:hint="eastAsia" w:ascii="宋体" w:hAnsi="宋体" w:eastAsia="宋体" w:cs="宋体"/>
                <w:b/>
                <w:sz w:val="18"/>
                <w:szCs w:val="18"/>
                <w:highlight w:val="none"/>
              </w:rPr>
              <w:t>评价类型</w:t>
            </w:r>
          </w:p>
        </w:tc>
        <w:tc>
          <w:tcPr>
            <w:tcW w:w="384"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highlight w:val="none"/>
              </w:rPr>
            </w:pPr>
            <w:r>
              <w:rPr>
                <w:rFonts w:hint="eastAsia" w:ascii="宋体" w:hAnsi="宋体" w:eastAsia="宋体" w:cs="宋体"/>
                <w:b/>
                <w:sz w:val="18"/>
                <w:szCs w:val="18"/>
                <w:highlight w:val="none"/>
              </w:rPr>
              <w:t>评审</w:t>
            </w:r>
          </w:p>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highlight w:val="none"/>
              </w:rPr>
            </w:pPr>
            <w:r>
              <w:rPr>
                <w:rFonts w:hint="eastAsia" w:ascii="宋体" w:hAnsi="宋体" w:eastAsia="宋体" w:cs="宋体"/>
                <w:b/>
                <w:sz w:val="18"/>
                <w:szCs w:val="18"/>
                <w:highlight w:val="none"/>
              </w:rPr>
              <w:t>内容</w:t>
            </w:r>
          </w:p>
        </w:tc>
        <w:tc>
          <w:tcPr>
            <w:tcW w:w="294"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highlight w:val="none"/>
              </w:rPr>
            </w:pPr>
            <w:r>
              <w:rPr>
                <w:rFonts w:hint="eastAsia" w:ascii="宋体" w:hAnsi="宋体" w:eastAsia="宋体" w:cs="宋体"/>
                <w:b/>
                <w:sz w:val="18"/>
                <w:szCs w:val="18"/>
                <w:highlight w:val="none"/>
              </w:rPr>
              <w:t>序号</w:t>
            </w:r>
          </w:p>
        </w:tc>
        <w:tc>
          <w:tcPr>
            <w:tcW w:w="632"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highlight w:val="none"/>
              </w:rPr>
            </w:pPr>
            <w:r>
              <w:rPr>
                <w:rFonts w:hint="eastAsia" w:ascii="宋体" w:hAnsi="宋体" w:eastAsia="宋体" w:cs="宋体"/>
                <w:b/>
                <w:sz w:val="18"/>
                <w:szCs w:val="18"/>
                <w:highlight w:val="none"/>
              </w:rPr>
              <w:t>内   容</w:t>
            </w:r>
          </w:p>
        </w:tc>
        <w:tc>
          <w:tcPr>
            <w:tcW w:w="411"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highlight w:val="none"/>
              </w:rPr>
            </w:pPr>
            <w:r>
              <w:rPr>
                <w:rFonts w:hint="eastAsia" w:ascii="宋体" w:hAnsi="宋体" w:eastAsia="宋体" w:cs="宋体"/>
                <w:b/>
                <w:sz w:val="18"/>
                <w:szCs w:val="18"/>
                <w:highlight w:val="none"/>
              </w:rPr>
              <w:t>标准分</w:t>
            </w:r>
          </w:p>
        </w:tc>
        <w:tc>
          <w:tcPr>
            <w:tcW w:w="2930" w:type="pc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b/>
                <w:sz w:val="18"/>
                <w:szCs w:val="18"/>
                <w:highlight w:val="none"/>
              </w:rPr>
            </w:pPr>
            <w:r>
              <w:rPr>
                <w:rFonts w:hint="eastAsia" w:ascii="宋体" w:hAnsi="宋体" w:eastAsia="宋体" w:cs="宋体"/>
                <w:b/>
                <w:sz w:val="18"/>
                <w:szCs w:val="18"/>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jc w:val="center"/>
        </w:trPr>
        <w:tc>
          <w:tcPr>
            <w:tcW w:w="346" w:type="pct"/>
            <w:vMerge w:val="restart"/>
            <w:vAlign w:val="center"/>
          </w:tcPr>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sz w:val="18"/>
                <w:szCs w:val="18"/>
                <w:highlight w:val="none"/>
              </w:rPr>
            </w:pPr>
            <w:r>
              <w:rPr>
                <w:rFonts w:hint="eastAsia" w:ascii="宋体" w:hAnsi="宋体" w:eastAsia="宋体" w:cs="宋体"/>
                <w:sz w:val="18"/>
                <w:szCs w:val="18"/>
                <w:highlight w:val="none"/>
              </w:rPr>
              <w:t>技术</w:t>
            </w:r>
          </w:p>
          <w:p>
            <w:pPr>
              <w:keepNext w:val="0"/>
              <w:keepLines w:val="0"/>
              <w:suppressLineNumbers w:val="0"/>
              <w:tabs>
                <w:tab w:val="left" w:pos="13965"/>
              </w:tabs>
              <w:spacing w:before="0" w:beforeAutospacing="0" w:after="0" w:afterAutospacing="0" w:line="360" w:lineRule="auto"/>
              <w:ind w:left="0" w:right="-6"/>
              <w:jc w:val="center"/>
              <w:rPr>
                <w:rFonts w:hint="default" w:ascii="宋体" w:hAnsi="宋体" w:eastAsia="宋体" w:cs="宋体"/>
                <w:sz w:val="18"/>
                <w:szCs w:val="18"/>
                <w:highlight w:val="none"/>
              </w:rPr>
            </w:pPr>
            <w:r>
              <w:rPr>
                <w:rFonts w:hint="eastAsia" w:ascii="宋体" w:hAnsi="宋体" w:eastAsia="宋体" w:cs="宋体"/>
                <w:sz w:val="18"/>
                <w:szCs w:val="18"/>
                <w:highlight w:val="none"/>
              </w:rPr>
              <w:t>100分</w:t>
            </w:r>
          </w:p>
        </w:tc>
        <w:tc>
          <w:tcPr>
            <w:tcW w:w="384" w:type="pct"/>
            <w:vMerge w:val="restart"/>
            <w:vAlign w:val="center"/>
          </w:tcPr>
          <w:p>
            <w:pPr>
              <w:keepNext w:val="0"/>
              <w:keepLines w:val="0"/>
              <w:suppressLineNumbers w:val="0"/>
              <w:spacing w:before="0" w:beforeAutospacing="0" w:after="0" w:afterAutospacing="0" w:line="420" w:lineRule="exact"/>
              <w:ind w:left="0" w:right="0"/>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技术</w:t>
            </w:r>
            <w:r>
              <w:rPr>
                <w:rFonts w:hint="eastAsia" w:ascii="宋体" w:hAnsi="宋体" w:eastAsia="宋体" w:cs="宋体"/>
                <w:sz w:val="18"/>
                <w:szCs w:val="18"/>
                <w:highlight w:val="none"/>
                <w:lang w:val="en-US" w:eastAsia="zh-CN"/>
              </w:rPr>
              <w:t>服务</w:t>
            </w:r>
          </w:p>
        </w:tc>
        <w:tc>
          <w:tcPr>
            <w:tcW w:w="294" w:type="pct"/>
            <w:vAlign w:val="center"/>
          </w:tcPr>
          <w:p>
            <w:pPr>
              <w:keepNext w:val="0"/>
              <w:keepLines w:val="0"/>
              <w:suppressLineNumbers w:val="0"/>
              <w:tabs>
                <w:tab w:val="left" w:pos="13965"/>
              </w:tabs>
              <w:spacing w:before="0" w:beforeAutospacing="0" w:after="0" w:afterAutospacing="0" w:line="420" w:lineRule="exact"/>
              <w:ind w:left="0" w:right="0"/>
              <w:jc w:val="center"/>
              <w:rPr>
                <w:rFonts w:hint="default" w:ascii="宋体" w:hAnsi="宋体" w:eastAsia="宋体" w:cs="宋体"/>
                <w:sz w:val="18"/>
                <w:szCs w:val="18"/>
                <w:highlight w:val="none"/>
              </w:rPr>
            </w:pPr>
            <w:r>
              <w:rPr>
                <w:rFonts w:hint="eastAsia" w:ascii="宋体" w:hAnsi="宋体" w:eastAsia="宋体" w:cs="宋体"/>
                <w:sz w:val="18"/>
                <w:szCs w:val="18"/>
                <w:highlight w:val="none"/>
              </w:rPr>
              <w:t>1</w:t>
            </w:r>
          </w:p>
        </w:tc>
        <w:tc>
          <w:tcPr>
            <w:tcW w:w="632" w:type="pct"/>
            <w:vAlign w:val="center"/>
          </w:tcPr>
          <w:p>
            <w:pPr>
              <w:keepNext w:val="0"/>
              <w:keepLines w:val="0"/>
              <w:suppressLineNumbers w:val="0"/>
              <w:spacing w:before="0" w:beforeAutospacing="0" w:after="0" w:afterAutospacing="0" w:line="420" w:lineRule="exact"/>
              <w:ind w:left="0" w:right="0"/>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rPr>
              <w:t>技术</w:t>
            </w:r>
            <w:r>
              <w:rPr>
                <w:rFonts w:hint="eastAsia" w:ascii="宋体" w:hAnsi="宋体" w:eastAsia="宋体" w:cs="宋体"/>
                <w:sz w:val="18"/>
                <w:szCs w:val="18"/>
                <w:highlight w:val="none"/>
                <w:lang w:val="en-US" w:eastAsia="zh-CN"/>
              </w:rPr>
              <w:t>方案</w:t>
            </w:r>
          </w:p>
        </w:tc>
        <w:tc>
          <w:tcPr>
            <w:tcW w:w="411" w:type="pct"/>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50</w:t>
            </w:r>
          </w:p>
        </w:tc>
        <w:tc>
          <w:tcPr>
            <w:tcW w:w="2930" w:type="pct"/>
            <w:vAlign w:val="center"/>
          </w:tcPr>
          <w:p>
            <w:pPr>
              <w:keepNext w:val="0"/>
              <w:keepLines w:val="0"/>
              <w:suppressLineNumbers w:val="0"/>
              <w:spacing w:before="0" w:beforeAutospacing="0" w:after="0" w:afterAutospacing="0" w:line="420" w:lineRule="exact"/>
              <w:ind w:left="0" w:right="0"/>
              <w:jc w:val="left"/>
              <w:rPr>
                <w:rFonts w:hint="eastAsia" w:ascii="宋体" w:hAnsi="宋体" w:eastAsia="宋体" w:cs="宋体"/>
                <w:bCs/>
                <w:sz w:val="18"/>
                <w:szCs w:val="18"/>
                <w:highlight w:val="none"/>
                <w:lang w:eastAsia="zh-CN"/>
              </w:rPr>
            </w:pPr>
            <w:r>
              <w:rPr>
                <w:rFonts w:hint="eastAsia" w:ascii="宋体" w:hAnsi="宋体" w:eastAsia="宋体" w:cs="宋体"/>
                <w:bCs/>
                <w:sz w:val="18"/>
                <w:szCs w:val="18"/>
                <w:highlight w:val="none"/>
                <w:lang w:val="en-US" w:eastAsia="zh-CN"/>
              </w:rPr>
              <w:t>对本项目需求及现有运行工况、项目技术难点、改造重点、总体改造描述充分合理的，酌情得0-20分；</w:t>
            </w:r>
          </w:p>
          <w:p>
            <w:pPr>
              <w:keepNext w:val="0"/>
              <w:keepLines w:val="0"/>
              <w:suppressLineNumbers w:val="0"/>
              <w:spacing w:before="0" w:beforeAutospacing="0" w:after="0" w:afterAutospacing="0" w:line="420" w:lineRule="exact"/>
              <w:ind w:left="0" w:right="0"/>
              <w:jc w:val="left"/>
              <w:rPr>
                <w:rFonts w:hint="eastAsia" w:ascii="宋体" w:hAnsi="宋体" w:eastAsia="宋体" w:cs="宋体"/>
                <w:bCs/>
                <w:sz w:val="18"/>
                <w:szCs w:val="18"/>
                <w:highlight w:val="none"/>
                <w:lang w:val="en-US" w:eastAsia="zh-CN"/>
              </w:rPr>
            </w:pPr>
            <w:r>
              <w:rPr>
                <w:rFonts w:hint="eastAsia" w:ascii="宋体" w:hAnsi="宋体" w:eastAsia="宋体" w:cs="宋体"/>
                <w:bCs/>
                <w:sz w:val="18"/>
                <w:szCs w:val="18"/>
                <w:highlight w:val="none"/>
                <w:lang w:val="en-US" w:eastAsia="zh-CN"/>
              </w:rPr>
              <w:t>经过现场勘查，对该改造提升项目提出适用有效、成熟可靠、性能优良、技术先进的技术改进方案，酌情得0-20分；</w:t>
            </w:r>
          </w:p>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highlight w:val="none"/>
                <w:lang w:val="en-US" w:eastAsia="zh-CN"/>
              </w:rPr>
            </w:pPr>
            <w:r>
              <w:rPr>
                <w:rFonts w:hint="eastAsia" w:ascii="宋体" w:hAnsi="宋体" w:eastAsia="宋体" w:cs="宋体"/>
                <w:bCs/>
                <w:sz w:val="18"/>
                <w:szCs w:val="18"/>
                <w:highlight w:val="none"/>
              </w:rPr>
              <w:t>投标人代表对方案、技术优势的讲解，以及就该项目难点回答评标专家现场提问</w:t>
            </w:r>
            <w:r>
              <w:rPr>
                <w:rFonts w:hint="eastAsia" w:ascii="宋体" w:hAnsi="宋体" w:eastAsia="宋体" w:cs="宋体"/>
                <w:bCs/>
                <w:sz w:val="18"/>
                <w:szCs w:val="18"/>
                <w:highlight w:val="none"/>
                <w:lang w:eastAsia="zh-CN"/>
              </w:rPr>
              <w:t>，</w:t>
            </w:r>
            <w:r>
              <w:rPr>
                <w:rFonts w:hint="eastAsia" w:ascii="宋体" w:hAnsi="宋体" w:eastAsia="宋体" w:cs="宋体"/>
                <w:bCs/>
                <w:sz w:val="18"/>
                <w:szCs w:val="18"/>
                <w:highlight w:val="none"/>
              </w:rPr>
              <w:t>酌情得</w:t>
            </w:r>
            <w:r>
              <w:rPr>
                <w:rFonts w:hint="eastAsia" w:ascii="宋体" w:hAnsi="宋体" w:eastAsia="宋体" w:cs="宋体"/>
                <w:bCs/>
                <w:sz w:val="18"/>
                <w:szCs w:val="18"/>
                <w:highlight w:val="none"/>
                <w:lang w:val="en-US" w:eastAsia="zh-CN"/>
              </w:rPr>
              <w:t>0</w:t>
            </w:r>
            <w:r>
              <w:rPr>
                <w:rFonts w:hint="eastAsia" w:ascii="宋体" w:hAnsi="宋体" w:eastAsia="宋体" w:cs="宋体"/>
                <w:bCs/>
                <w:sz w:val="18"/>
                <w:szCs w:val="18"/>
                <w:highlight w:val="none"/>
              </w:rPr>
              <w:t>-</w:t>
            </w:r>
            <w:r>
              <w:rPr>
                <w:rFonts w:hint="eastAsia" w:ascii="宋体" w:hAnsi="宋体" w:eastAsia="宋体" w:cs="宋体"/>
                <w:bCs/>
                <w:sz w:val="18"/>
                <w:szCs w:val="18"/>
                <w:highlight w:val="none"/>
                <w:lang w:val="en-US" w:eastAsia="zh-CN"/>
              </w:rPr>
              <w:t>10</w:t>
            </w:r>
            <w:r>
              <w:rPr>
                <w:rFonts w:hint="eastAsia" w:ascii="宋体" w:hAnsi="宋体" w:eastAsia="宋体" w:cs="宋体"/>
                <w:bCs/>
                <w:sz w:val="18"/>
                <w:szCs w:val="18"/>
                <w:highlight w:val="none"/>
              </w:rPr>
              <w:t xml:space="preserve">分；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1" w:hRule="atLeast"/>
          <w:jc w:val="center"/>
        </w:trPr>
        <w:tc>
          <w:tcPr>
            <w:tcW w:w="346" w:type="pct"/>
            <w:vMerge w:val="continue"/>
            <w:vAlign w:val="center"/>
          </w:tcPr>
          <w:p>
            <w:pPr>
              <w:keepNext w:val="0"/>
              <w:keepLines w:val="0"/>
              <w:suppressLineNumbers w:val="0"/>
              <w:tabs>
                <w:tab w:val="left" w:pos="13965"/>
              </w:tabs>
              <w:spacing w:before="0" w:beforeAutospacing="0" w:after="0" w:afterAutospacing="0" w:line="360" w:lineRule="auto"/>
              <w:ind w:left="0" w:right="-6"/>
              <w:jc w:val="center"/>
              <w:rPr>
                <w:rFonts w:hint="eastAsia" w:ascii="宋体" w:hAnsi="宋体" w:eastAsia="宋体" w:cs="宋体"/>
                <w:sz w:val="18"/>
                <w:szCs w:val="18"/>
                <w:highlight w:val="none"/>
              </w:rPr>
            </w:pPr>
          </w:p>
        </w:tc>
        <w:tc>
          <w:tcPr>
            <w:tcW w:w="384" w:type="pct"/>
            <w:vMerge w:val="continue"/>
            <w:vAlign w:val="center"/>
          </w:tcPr>
          <w:p>
            <w:pPr>
              <w:keepNext w:val="0"/>
              <w:keepLines w:val="0"/>
              <w:suppressLineNumbers w:val="0"/>
              <w:spacing w:before="0" w:beforeAutospacing="0" w:after="0" w:afterAutospacing="0" w:line="420" w:lineRule="exact"/>
              <w:ind w:left="0" w:right="0"/>
              <w:jc w:val="center"/>
              <w:rPr>
                <w:rFonts w:hint="eastAsia" w:ascii="宋体" w:hAnsi="宋体" w:eastAsia="宋体" w:cs="宋体"/>
                <w:sz w:val="18"/>
                <w:szCs w:val="18"/>
                <w:highlight w:val="none"/>
              </w:rPr>
            </w:pPr>
          </w:p>
        </w:tc>
        <w:tc>
          <w:tcPr>
            <w:tcW w:w="294" w:type="pct"/>
            <w:vAlign w:val="center"/>
          </w:tcPr>
          <w:p>
            <w:pPr>
              <w:keepNext w:val="0"/>
              <w:keepLines w:val="0"/>
              <w:suppressLineNumbers w:val="0"/>
              <w:tabs>
                <w:tab w:val="left" w:pos="13965"/>
              </w:tabs>
              <w:spacing w:before="0" w:beforeAutospacing="0" w:after="0" w:afterAutospacing="0" w:line="420" w:lineRule="exact"/>
              <w:ind w:left="0" w:right="0"/>
              <w:jc w:val="center"/>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2</w:t>
            </w:r>
          </w:p>
        </w:tc>
        <w:tc>
          <w:tcPr>
            <w:tcW w:w="632"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施工方案</w:t>
            </w:r>
          </w:p>
        </w:tc>
        <w:tc>
          <w:tcPr>
            <w:tcW w:w="411" w:type="pct"/>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highlight w:val="none"/>
                <w:lang w:val="en-US" w:eastAsia="zh-CN"/>
              </w:rPr>
            </w:pPr>
            <w:r>
              <w:rPr>
                <w:rFonts w:hint="eastAsia" w:ascii="宋体" w:hAnsi="宋体" w:eastAsia="宋体" w:cs="宋体"/>
                <w:color w:val="000000"/>
                <w:sz w:val="18"/>
                <w:szCs w:val="18"/>
                <w:highlight w:val="none"/>
                <w:lang w:val="en-US" w:eastAsia="zh-CN"/>
              </w:rPr>
              <w:t>20</w:t>
            </w:r>
          </w:p>
        </w:tc>
        <w:tc>
          <w:tcPr>
            <w:tcW w:w="2930" w:type="pct"/>
            <w:vAlign w:val="center"/>
          </w:tcPr>
          <w:p>
            <w:pPr>
              <w:keepNext w:val="0"/>
              <w:keepLines w:val="0"/>
              <w:suppressLineNumbers w:val="0"/>
              <w:spacing w:before="0" w:beforeAutospacing="0" w:after="0" w:afterAutospacing="0" w:line="420" w:lineRule="exact"/>
              <w:ind w:left="0" w:right="0"/>
              <w:jc w:val="left"/>
              <w:rPr>
                <w:rFonts w:hint="eastAsia" w:ascii="宋体" w:hAnsi="宋体" w:eastAsia="宋体" w:cs="宋体"/>
                <w:bCs/>
                <w:sz w:val="18"/>
                <w:szCs w:val="18"/>
                <w:highlight w:val="none"/>
                <w:lang w:val="en-US" w:eastAsia="zh-CN"/>
              </w:rPr>
            </w:pPr>
            <w:r>
              <w:rPr>
                <w:rFonts w:hint="eastAsia" w:ascii="宋体" w:hAnsi="宋体" w:eastAsia="宋体" w:cs="宋体"/>
                <w:bCs/>
                <w:sz w:val="18"/>
                <w:szCs w:val="18"/>
                <w:highlight w:val="none"/>
                <w:lang w:val="en-US" w:eastAsia="zh-CN"/>
              </w:rPr>
              <w:t>供货周期及工期进度计划满足要求得5分，</w:t>
            </w:r>
            <w:r>
              <w:rPr>
                <w:rFonts w:hint="eastAsia" w:ascii="宋体" w:hAnsi="宋体" w:eastAsia="宋体" w:cs="宋体"/>
                <w:bCs/>
                <w:color w:val="auto"/>
                <w:sz w:val="18"/>
                <w:szCs w:val="18"/>
                <w:highlight w:val="none"/>
                <w:lang w:val="en-US" w:eastAsia="zh-CN"/>
              </w:rPr>
              <w:t>不满足要求不得分</w:t>
            </w:r>
            <w:r>
              <w:rPr>
                <w:rFonts w:hint="eastAsia" w:ascii="宋体" w:hAnsi="宋体" w:eastAsia="宋体" w:cs="宋体"/>
                <w:bCs/>
                <w:sz w:val="18"/>
                <w:szCs w:val="18"/>
                <w:highlight w:val="none"/>
                <w:lang w:val="en-US" w:eastAsia="zh-CN"/>
              </w:rPr>
              <w:t>。</w:t>
            </w:r>
          </w:p>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highlight w:val="none"/>
                <w:lang w:val="en-US" w:eastAsia="zh-CN"/>
              </w:rPr>
            </w:pPr>
            <w:r>
              <w:rPr>
                <w:rFonts w:hint="eastAsia" w:ascii="宋体" w:hAnsi="宋体" w:eastAsia="宋体" w:cs="宋体"/>
                <w:bCs/>
                <w:sz w:val="18"/>
                <w:szCs w:val="18"/>
                <w:highlight w:val="none"/>
                <w:lang w:val="en-US" w:eastAsia="zh-CN"/>
              </w:rPr>
              <w:t>在保证园区废水正常处理排放的前提下，能够提供合理、高效施工方案，施工管理制度健全，各项资质满足或高于要求，酌情得0-15分。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6" w:hRule="atLeast"/>
          <w:jc w:val="center"/>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highlight w:val="none"/>
              </w:rPr>
            </w:pPr>
          </w:p>
        </w:tc>
        <w:tc>
          <w:tcPr>
            <w:tcW w:w="384" w:type="pct"/>
            <w:vMerge w:val="continue"/>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highlight w:val="none"/>
              </w:rPr>
            </w:pPr>
          </w:p>
        </w:tc>
        <w:tc>
          <w:tcPr>
            <w:tcW w:w="294" w:type="pct"/>
            <w:vAlign w:val="center"/>
          </w:tcPr>
          <w:p>
            <w:pPr>
              <w:keepNext w:val="0"/>
              <w:keepLines w:val="0"/>
              <w:suppressLineNumbers w:val="0"/>
              <w:spacing w:before="0" w:beforeAutospacing="0" w:after="0" w:afterAutospacing="0" w:line="420" w:lineRule="exact"/>
              <w:ind w:left="0" w:right="0"/>
              <w:jc w:val="center"/>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lang w:val="en-US" w:eastAsia="zh-CN"/>
              </w:rPr>
              <w:t>3</w:t>
            </w:r>
          </w:p>
        </w:tc>
        <w:tc>
          <w:tcPr>
            <w:tcW w:w="632" w:type="pc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bCs/>
                <w:sz w:val="18"/>
                <w:szCs w:val="18"/>
                <w:highlight w:val="none"/>
                <w:lang w:val="en-US" w:eastAsia="zh-CN"/>
              </w:rPr>
            </w:pPr>
            <w:r>
              <w:rPr>
                <w:rFonts w:hint="eastAsia" w:ascii="宋体" w:hAnsi="宋体" w:eastAsia="宋体" w:cs="宋体"/>
                <w:bCs/>
                <w:sz w:val="18"/>
                <w:szCs w:val="18"/>
                <w:highlight w:val="none"/>
                <w:lang w:val="en-US" w:eastAsia="zh-CN"/>
              </w:rPr>
              <w:t>业绩情况</w:t>
            </w:r>
          </w:p>
        </w:tc>
        <w:tc>
          <w:tcPr>
            <w:tcW w:w="411" w:type="pct"/>
            <w:vAlign w:val="center"/>
          </w:tcPr>
          <w:p>
            <w:pPr>
              <w:keepNext w:val="0"/>
              <w:keepLines w:val="0"/>
              <w:suppressLineNumbers w:val="0"/>
              <w:spacing w:before="0" w:beforeAutospacing="0" w:after="0" w:afterAutospacing="0" w:line="300" w:lineRule="exact"/>
              <w:ind w:left="0" w:right="0"/>
              <w:jc w:val="center"/>
              <w:rPr>
                <w:rFonts w:hint="default" w:ascii="宋体" w:hAnsi="宋体" w:eastAsia="宋体" w:cs="宋体"/>
                <w:color w:val="000000"/>
                <w:sz w:val="18"/>
                <w:szCs w:val="18"/>
                <w:highlight w:val="none"/>
                <w:lang w:val="en-US"/>
              </w:rPr>
            </w:pPr>
            <w:r>
              <w:rPr>
                <w:rFonts w:hint="eastAsia" w:ascii="宋体" w:hAnsi="宋体" w:eastAsia="宋体" w:cs="宋体"/>
                <w:color w:val="000000"/>
                <w:sz w:val="18"/>
                <w:szCs w:val="18"/>
                <w:highlight w:val="none"/>
                <w:lang w:val="en-US" w:eastAsia="zh-CN"/>
              </w:rPr>
              <w:t>10</w:t>
            </w:r>
          </w:p>
        </w:tc>
        <w:tc>
          <w:tcPr>
            <w:tcW w:w="2930" w:type="pct"/>
            <w:vAlign w:val="center"/>
          </w:tcPr>
          <w:p>
            <w:pPr>
              <w:keepNext w:val="0"/>
              <w:keepLines w:val="0"/>
              <w:suppressLineNumbers w:val="0"/>
              <w:spacing w:before="0" w:beforeAutospacing="0" w:after="0" w:afterAutospacing="0" w:line="420" w:lineRule="exact"/>
              <w:ind w:left="0" w:right="0"/>
              <w:jc w:val="left"/>
              <w:rPr>
                <w:rFonts w:hint="default" w:ascii="宋体" w:hAnsi="宋体" w:eastAsia="宋体" w:cs="宋体"/>
                <w:bCs/>
                <w:sz w:val="18"/>
                <w:szCs w:val="18"/>
                <w:highlight w:val="none"/>
                <w:lang w:val="en-US" w:eastAsia="zh-CN"/>
              </w:rPr>
            </w:pPr>
            <w:r>
              <w:rPr>
                <w:rFonts w:hint="eastAsia" w:ascii="宋体" w:hAnsi="宋体" w:eastAsia="宋体" w:cs="宋体"/>
                <w:bCs/>
                <w:sz w:val="18"/>
                <w:szCs w:val="18"/>
                <w:highlight w:val="none"/>
                <w:lang w:val="en-US" w:eastAsia="zh-CN"/>
              </w:rPr>
              <w:t>近三年</w:t>
            </w:r>
            <w:r>
              <w:rPr>
                <w:rFonts w:hint="eastAsia" w:ascii="宋体" w:hAnsi="宋体" w:eastAsia="宋体" w:cs="宋体"/>
                <w:bCs/>
                <w:sz w:val="18"/>
                <w:szCs w:val="18"/>
                <w:highlight w:val="none"/>
              </w:rPr>
              <w:t>投标人</w:t>
            </w:r>
            <w:r>
              <w:rPr>
                <w:rFonts w:hint="eastAsia" w:ascii="宋体" w:hAnsi="宋体" w:eastAsia="宋体" w:cs="宋体"/>
                <w:bCs/>
                <w:sz w:val="18"/>
                <w:szCs w:val="18"/>
                <w:highlight w:val="none"/>
                <w:lang w:val="en-US" w:eastAsia="zh-CN"/>
              </w:rPr>
              <w:t>有3项合同单额100万以上废水站改造或类似污水环保工程建设业绩的</w:t>
            </w:r>
            <w:r>
              <w:rPr>
                <w:rFonts w:hint="eastAsia" w:ascii="宋体" w:hAnsi="宋体" w:eastAsia="宋体" w:cs="宋体"/>
                <w:bCs/>
                <w:sz w:val="18"/>
                <w:szCs w:val="18"/>
                <w:highlight w:val="none"/>
              </w:rPr>
              <w:t>得</w:t>
            </w:r>
            <w:r>
              <w:rPr>
                <w:rFonts w:hint="eastAsia" w:ascii="宋体" w:hAnsi="宋体" w:eastAsia="宋体" w:cs="宋体"/>
                <w:bCs/>
                <w:sz w:val="18"/>
                <w:szCs w:val="18"/>
                <w:highlight w:val="none"/>
                <w:lang w:val="en-US" w:eastAsia="zh-CN"/>
              </w:rPr>
              <w:t>10</w:t>
            </w:r>
            <w:r>
              <w:rPr>
                <w:rFonts w:hint="eastAsia" w:ascii="宋体" w:hAnsi="宋体" w:eastAsia="宋体" w:cs="宋体"/>
                <w:bCs/>
                <w:sz w:val="18"/>
                <w:szCs w:val="18"/>
                <w:highlight w:val="none"/>
              </w:rPr>
              <w:t>分</w:t>
            </w:r>
            <w:r>
              <w:rPr>
                <w:rFonts w:hint="eastAsia" w:ascii="宋体" w:hAnsi="宋体" w:eastAsia="宋体" w:cs="宋体"/>
                <w:bCs/>
                <w:sz w:val="18"/>
                <w:szCs w:val="18"/>
                <w:highlight w:val="none"/>
                <w:lang w:eastAsia="zh-CN"/>
              </w:rPr>
              <w:t>，</w:t>
            </w:r>
            <w:r>
              <w:rPr>
                <w:rFonts w:hint="eastAsia" w:ascii="宋体" w:hAnsi="宋体" w:eastAsia="宋体" w:cs="宋体"/>
                <w:bCs/>
                <w:sz w:val="18"/>
                <w:szCs w:val="18"/>
                <w:highlight w:val="none"/>
                <w:lang w:val="en-US" w:eastAsia="zh-CN"/>
              </w:rPr>
              <w:t>每少一项扣5分，业绩少于2家不得分。</w:t>
            </w:r>
          </w:p>
          <w:p>
            <w:pPr>
              <w:keepNext w:val="0"/>
              <w:keepLines w:val="0"/>
              <w:suppressLineNumbers w:val="0"/>
              <w:spacing w:before="0" w:beforeAutospacing="0" w:after="0" w:afterAutospacing="0" w:line="420" w:lineRule="exact"/>
              <w:ind w:left="0" w:right="0"/>
              <w:jc w:val="left"/>
              <w:rPr>
                <w:rFonts w:hint="default"/>
                <w:highlight w:val="none"/>
              </w:rPr>
            </w:pPr>
            <w:r>
              <w:rPr>
                <w:rFonts w:hint="eastAsia" w:ascii="宋体" w:hAnsi="宋体" w:eastAsia="宋体" w:cs="宋体"/>
                <w:bCs/>
                <w:sz w:val="18"/>
                <w:szCs w:val="18"/>
                <w:highlight w:val="none"/>
              </w:rPr>
              <w:t>注：1.投标人应在投标文件中提供相应业绩清单（含签订合同双方的单位名称、签订合同双方的落款盖章、设备型号规格、签订日期等信息）复印件。时间以合同签订日期为准。以上材料均须加盖投标人公章，未按要求提供上述材料的不得分。合同原件备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3" w:hRule="atLeast"/>
          <w:jc w:val="center"/>
        </w:trPr>
        <w:tc>
          <w:tcPr>
            <w:tcW w:w="346" w:type="pct"/>
            <w:vMerge w:val="continue"/>
            <w:vAlign w:val="center"/>
          </w:tcPr>
          <w:p>
            <w:pPr>
              <w:keepNext w:val="0"/>
              <w:keepLines w:val="0"/>
              <w:suppressLineNumbers w:val="0"/>
              <w:spacing w:before="0" w:beforeAutospacing="0" w:after="0" w:afterAutospacing="0" w:line="360" w:lineRule="auto"/>
              <w:ind w:left="0" w:right="0"/>
              <w:jc w:val="center"/>
              <w:rPr>
                <w:rFonts w:hint="default" w:ascii="宋体" w:hAnsi="宋体" w:eastAsia="宋体" w:cs="宋体"/>
                <w:sz w:val="18"/>
                <w:szCs w:val="18"/>
                <w:highlight w:val="none"/>
              </w:rPr>
            </w:pPr>
          </w:p>
        </w:tc>
        <w:tc>
          <w:tcPr>
            <w:tcW w:w="384" w:type="pct"/>
            <w:vMerge w:val="restart"/>
            <w:vAlign w:val="center"/>
          </w:tcPr>
          <w:p>
            <w:pPr>
              <w:keepNext w:val="0"/>
              <w:keepLines w:val="0"/>
              <w:suppressLineNumbers w:val="0"/>
              <w:spacing w:before="0" w:beforeAutospacing="0" w:after="0" w:afterAutospacing="0" w:line="420" w:lineRule="exact"/>
              <w:ind w:left="0" w:right="0"/>
              <w:jc w:val="center"/>
              <w:rPr>
                <w:rFonts w:hint="default" w:ascii="宋体" w:hAnsi="宋体" w:eastAsia="宋体" w:cs="宋体"/>
                <w:sz w:val="18"/>
                <w:szCs w:val="18"/>
                <w:highlight w:val="none"/>
              </w:rPr>
            </w:pPr>
            <w:r>
              <w:rPr>
                <w:rFonts w:hint="eastAsia" w:ascii="宋体" w:hAnsi="宋体" w:eastAsia="宋体" w:cs="宋体"/>
                <w:sz w:val="18"/>
                <w:szCs w:val="18"/>
                <w:highlight w:val="none"/>
                <w:lang w:val="en-US" w:eastAsia="zh-CN"/>
              </w:rPr>
              <w:t>质保</w:t>
            </w:r>
            <w:r>
              <w:rPr>
                <w:rFonts w:hint="eastAsia" w:ascii="宋体" w:hAnsi="宋体" w:eastAsia="宋体" w:cs="宋体"/>
                <w:sz w:val="18"/>
                <w:szCs w:val="18"/>
                <w:highlight w:val="none"/>
              </w:rPr>
              <w:t>售后服务</w:t>
            </w:r>
          </w:p>
        </w:tc>
        <w:tc>
          <w:tcPr>
            <w:tcW w:w="294" w:type="pct"/>
            <w:shd w:val="clear" w:color="auto" w:fill="auto"/>
            <w:vAlign w:val="center"/>
          </w:tcPr>
          <w:p>
            <w:pPr>
              <w:keepNext w:val="0"/>
              <w:keepLines w:val="0"/>
              <w:suppressLineNumbers w:val="0"/>
              <w:spacing w:before="0" w:beforeAutospacing="0" w:after="0" w:afterAutospacing="0" w:line="420" w:lineRule="exact"/>
              <w:ind w:left="0" w:leftChars="0" w:right="0" w:rightChars="0"/>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lang w:val="en-US" w:eastAsia="zh-CN"/>
              </w:rPr>
              <w:t>4</w:t>
            </w:r>
          </w:p>
        </w:tc>
        <w:tc>
          <w:tcPr>
            <w:tcW w:w="632" w:type="pct"/>
            <w:shd w:val="clear" w:color="auto" w:fill="auto"/>
            <w:vAlign w:val="center"/>
          </w:tcPr>
          <w:p>
            <w:pPr>
              <w:keepNext w:val="0"/>
              <w:keepLines w:val="0"/>
              <w:suppressLineNumbers w:val="0"/>
              <w:spacing w:before="0" w:beforeAutospacing="0" w:after="0" w:afterAutospacing="0" w:line="420" w:lineRule="exact"/>
              <w:ind w:left="0" w:leftChars="0" w:right="0" w:rightChars="0"/>
              <w:jc w:val="center"/>
              <w:rPr>
                <w:rFonts w:hint="default" w:ascii="宋体" w:hAnsi="宋体" w:eastAsia="宋体" w:cs="宋体"/>
                <w:bCs/>
                <w:kern w:val="2"/>
                <w:sz w:val="18"/>
                <w:szCs w:val="18"/>
                <w:highlight w:val="none"/>
                <w:lang w:val="en-US" w:eastAsia="zh-CN" w:bidi="ar-SA"/>
              </w:rPr>
            </w:pPr>
            <w:r>
              <w:rPr>
                <w:rFonts w:hint="eastAsia" w:ascii="宋体" w:hAnsi="宋体" w:eastAsia="宋体" w:cs="宋体"/>
                <w:bCs/>
                <w:sz w:val="18"/>
                <w:szCs w:val="18"/>
                <w:highlight w:val="none"/>
                <w:lang w:val="en-US" w:eastAsia="zh-CN"/>
              </w:rPr>
              <w:t>质保期</w:t>
            </w:r>
          </w:p>
        </w:tc>
        <w:tc>
          <w:tcPr>
            <w:tcW w:w="411" w:type="pct"/>
            <w:shd w:val="clear" w:color="auto" w:fill="auto"/>
            <w:vAlign w:val="center"/>
          </w:tcPr>
          <w:p>
            <w:pPr>
              <w:keepNext w:val="0"/>
              <w:keepLines w:val="0"/>
              <w:suppressLineNumbers w:val="0"/>
              <w:spacing w:before="0" w:beforeAutospacing="0" w:after="0" w:afterAutospacing="0" w:line="300" w:lineRule="exact"/>
              <w:ind w:left="0" w:leftChars="0" w:right="0" w:rightChars="0"/>
              <w:jc w:val="center"/>
              <w:rPr>
                <w:rFonts w:hint="default" w:ascii="宋体" w:hAnsi="宋体" w:eastAsia="宋体" w:cs="宋体"/>
                <w:color w:val="000000"/>
                <w:kern w:val="2"/>
                <w:sz w:val="18"/>
                <w:szCs w:val="18"/>
                <w:highlight w:val="none"/>
                <w:lang w:val="en-US" w:eastAsia="zh-CN" w:bidi="ar-SA"/>
              </w:rPr>
            </w:pPr>
            <w:r>
              <w:rPr>
                <w:rFonts w:hint="eastAsia" w:ascii="宋体" w:hAnsi="宋体" w:eastAsia="宋体" w:cs="宋体"/>
                <w:color w:val="000000"/>
                <w:sz w:val="18"/>
                <w:szCs w:val="18"/>
                <w:highlight w:val="none"/>
              </w:rPr>
              <w:t>10</w:t>
            </w:r>
          </w:p>
        </w:tc>
        <w:tc>
          <w:tcPr>
            <w:tcW w:w="2930" w:type="pct"/>
            <w:shd w:val="clear" w:color="auto" w:fill="auto"/>
            <w:vAlign w:val="center"/>
          </w:tcPr>
          <w:p>
            <w:pPr>
              <w:keepNext w:val="0"/>
              <w:keepLines w:val="0"/>
              <w:suppressLineNumbers w:val="0"/>
              <w:spacing w:before="0" w:beforeAutospacing="0" w:after="0" w:afterAutospacing="0" w:line="420" w:lineRule="exact"/>
              <w:ind w:left="0" w:leftChars="0" w:right="0" w:rightChars="0"/>
              <w:jc w:val="left"/>
              <w:rPr>
                <w:rFonts w:hint="default" w:ascii="宋体" w:hAnsi="宋体" w:eastAsia="宋体" w:cs="宋体"/>
                <w:bCs/>
                <w:kern w:val="2"/>
                <w:sz w:val="18"/>
                <w:szCs w:val="18"/>
                <w:highlight w:val="none"/>
                <w:lang w:val="en-US" w:eastAsia="zh-CN" w:bidi="ar-SA"/>
              </w:rPr>
            </w:pPr>
            <w:r>
              <w:rPr>
                <w:rFonts w:hint="eastAsia" w:ascii="宋体" w:hAnsi="宋体" w:eastAsia="宋体" w:cs="宋体"/>
                <w:bCs/>
                <w:sz w:val="18"/>
                <w:szCs w:val="18"/>
                <w:highlight w:val="none"/>
                <w:lang w:val="en-US" w:eastAsia="zh-CN"/>
              </w:rPr>
              <w:t>质保期满足招标书要求得5分，每延长一月加1分，满分10分。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jc w:val="center"/>
        </w:trPr>
        <w:tc>
          <w:tcPr>
            <w:tcW w:w="346" w:type="pct"/>
            <w:vMerge w:val="continue"/>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highlight w:val="none"/>
              </w:rPr>
            </w:pPr>
          </w:p>
        </w:tc>
        <w:tc>
          <w:tcPr>
            <w:tcW w:w="384" w:type="pct"/>
            <w:vMerge w:val="continue"/>
            <w:vAlign w:val="center"/>
          </w:tcPr>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highlight w:val="none"/>
              </w:rPr>
            </w:pPr>
          </w:p>
        </w:tc>
        <w:tc>
          <w:tcPr>
            <w:tcW w:w="294" w:type="pct"/>
            <w:shd w:val="clear" w:color="auto" w:fill="auto"/>
            <w:vAlign w:val="center"/>
          </w:tcPr>
          <w:p>
            <w:pPr>
              <w:keepNext w:val="0"/>
              <w:keepLines w:val="0"/>
              <w:suppressLineNumbers w:val="0"/>
              <w:spacing w:before="0" w:beforeAutospacing="0" w:after="0" w:afterAutospacing="0" w:line="420" w:lineRule="exact"/>
              <w:ind w:left="0" w:leftChars="0" w:right="0" w:rightChars="0"/>
              <w:jc w:val="center"/>
              <w:rPr>
                <w:rFonts w:hint="default"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lang w:val="en-US" w:eastAsia="zh-CN"/>
              </w:rPr>
              <w:t>5</w:t>
            </w:r>
          </w:p>
        </w:tc>
        <w:tc>
          <w:tcPr>
            <w:tcW w:w="632" w:type="pct"/>
            <w:shd w:val="clear" w:color="auto" w:fill="auto"/>
            <w:vAlign w:val="center"/>
          </w:tcPr>
          <w:p>
            <w:pPr>
              <w:keepNext w:val="0"/>
              <w:keepLines w:val="0"/>
              <w:suppressLineNumbers w:val="0"/>
              <w:spacing w:before="0" w:beforeAutospacing="0" w:after="0" w:afterAutospacing="0" w:line="420" w:lineRule="exact"/>
              <w:ind w:left="0" w:leftChars="0" w:right="0" w:rightChars="0"/>
              <w:jc w:val="center"/>
              <w:rPr>
                <w:rFonts w:hint="eastAsia"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rPr>
              <w:t>售后服务</w:t>
            </w:r>
          </w:p>
        </w:tc>
        <w:tc>
          <w:tcPr>
            <w:tcW w:w="411" w:type="pct"/>
            <w:shd w:val="clear" w:color="auto" w:fill="auto"/>
            <w:vAlign w:val="center"/>
          </w:tcPr>
          <w:p>
            <w:pPr>
              <w:keepNext w:val="0"/>
              <w:keepLines w:val="0"/>
              <w:suppressLineNumbers w:val="0"/>
              <w:spacing w:before="0" w:beforeAutospacing="0" w:after="0" w:afterAutospacing="0" w:line="420" w:lineRule="exact"/>
              <w:ind w:left="0" w:leftChars="0" w:right="0" w:rightChars="0"/>
              <w:jc w:val="center"/>
              <w:rPr>
                <w:rFonts w:hint="default" w:ascii="宋体" w:hAnsi="宋体" w:eastAsia="宋体" w:cs="宋体"/>
                <w:kern w:val="2"/>
                <w:sz w:val="18"/>
                <w:szCs w:val="18"/>
                <w:highlight w:val="none"/>
                <w:lang w:val="en-US" w:eastAsia="zh-CN" w:bidi="ar-SA"/>
              </w:rPr>
            </w:pPr>
            <w:r>
              <w:rPr>
                <w:rFonts w:hint="eastAsia" w:ascii="宋体" w:hAnsi="宋体" w:eastAsia="宋体" w:cs="宋体"/>
                <w:sz w:val="18"/>
                <w:szCs w:val="18"/>
                <w:highlight w:val="none"/>
                <w:lang w:val="en-US" w:eastAsia="zh-CN"/>
              </w:rPr>
              <w:t>10</w:t>
            </w:r>
          </w:p>
        </w:tc>
        <w:tc>
          <w:tcPr>
            <w:tcW w:w="2930" w:type="pct"/>
            <w:shd w:val="clear" w:color="auto" w:fill="auto"/>
            <w:vAlign w:val="center"/>
          </w:tcPr>
          <w:p>
            <w:pPr>
              <w:keepNext w:val="0"/>
              <w:keepLines w:val="0"/>
              <w:suppressLineNumbers w:val="0"/>
              <w:spacing w:before="0" w:beforeAutospacing="0" w:after="0" w:afterAutospacing="0" w:line="420" w:lineRule="exact"/>
              <w:ind w:left="0" w:right="0"/>
              <w:rPr>
                <w:rFonts w:hint="eastAsia" w:ascii="宋体" w:hAnsi="宋体" w:eastAsia="宋体" w:cs="宋体"/>
                <w:sz w:val="18"/>
                <w:szCs w:val="18"/>
                <w:highlight w:val="none"/>
                <w:lang w:eastAsia="zh-CN"/>
              </w:rPr>
            </w:pPr>
            <w:r>
              <w:rPr>
                <w:rFonts w:hint="eastAsia" w:ascii="宋体" w:hAnsi="宋体" w:eastAsia="宋体" w:cs="宋体"/>
                <w:sz w:val="18"/>
                <w:szCs w:val="18"/>
                <w:highlight w:val="none"/>
              </w:rPr>
              <w:t>有完整的售后服务</w:t>
            </w:r>
            <w:r>
              <w:rPr>
                <w:rFonts w:hint="eastAsia" w:ascii="宋体" w:hAnsi="宋体" w:eastAsia="宋体" w:cs="宋体"/>
                <w:sz w:val="18"/>
                <w:szCs w:val="18"/>
                <w:highlight w:val="none"/>
                <w:lang w:val="en-US" w:eastAsia="zh-CN"/>
              </w:rPr>
              <w:t>及</w:t>
            </w:r>
            <w:r>
              <w:rPr>
                <w:rFonts w:hint="eastAsia" w:ascii="宋体" w:hAnsi="宋体" w:eastAsia="宋体" w:cs="宋体"/>
                <w:sz w:val="18"/>
                <w:szCs w:val="18"/>
                <w:highlight w:val="none"/>
              </w:rPr>
              <w:t>本地化服务体系，有相应的服务承诺和具体的保证措施；投标人提供完善的培训计划；.超出质保服务的措施</w:t>
            </w:r>
            <w:r>
              <w:rPr>
                <w:rFonts w:hint="eastAsia" w:ascii="宋体" w:hAnsi="宋体" w:eastAsia="宋体" w:cs="宋体"/>
                <w:sz w:val="18"/>
                <w:szCs w:val="18"/>
                <w:highlight w:val="none"/>
                <w:lang w:eastAsia="zh-CN"/>
              </w:rPr>
              <w:t>；</w:t>
            </w:r>
          </w:p>
          <w:p>
            <w:pPr>
              <w:keepNext w:val="0"/>
              <w:keepLines w:val="0"/>
              <w:suppressLineNumbers w:val="0"/>
              <w:spacing w:before="0" w:beforeAutospacing="0" w:after="0" w:afterAutospacing="0" w:line="420" w:lineRule="exact"/>
              <w:ind w:left="0" w:leftChars="0" w:right="0" w:rightChars="0"/>
              <w:rPr>
                <w:rFonts w:hint="eastAsia" w:asciiTheme="minorHAnsi" w:hAnsiTheme="minorHAnsi" w:eastAsiaTheme="minorEastAsia" w:cstheme="minorBidi"/>
                <w:kern w:val="2"/>
                <w:sz w:val="21"/>
                <w:szCs w:val="22"/>
                <w:highlight w:val="none"/>
                <w:lang w:val="en-US" w:eastAsia="zh-CN" w:bidi="ar-SA"/>
              </w:rPr>
            </w:pPr>
            <w:r>
              <w:rPr>
                <w:rFonts w:hint="eastAsia" w:ascii="宋体" w:hAnsi="宋体" w:eastAsia="宋体" w:cs="宋体"/>
                <w:bCs/>
                <w:sz w:val="18"/>
                <w:szCs w:val="18"/>
                <w:highlight w:val="none"/>
                <w:lang w:val="en-US" w:eastAsia="zh-CN"/>
              </w:rPr>
              <w:t>酌情得0-10分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3" w:hRule="atLeast"/>
          <w:jc w:val="center"/>
        </w:trPr>
        <w:tc>
          <w:tcPr>
            <w:tcW w:w="346" w:type="pct"/>
            <w:vAlign w:val="center"/>
          </w:tcPr>
          <w:p>
            <w:pPr>
              <w:keepNext w:val="0"/>
              <w:keepLines w:val="0"/>
              <w:suppressLineNumbers w:val="0"/>
              <w:spacing w:before="0" w:beforeAutospacing="0" w:after="0" w:afterAutospacing="0" w:line="420" w:lineRule="exact"/>
              <w:ind w:left="0" w:right="0"/>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备注</w:t>
            </w:r>
          </w:p>
        </w:tc>
        <w:tc>
          <w:tcPr>
            <w:tcW w:w="4653" w:type="pct"/>
            <w:gridSpan w:val="5"/>
            <w:vAlign w:val="center"/>
          </w:tcPr>
          <w:p>
            <w:pPr>
              <w:keepNext w:val="0"/>
              <w:keepLines w:val="0"/>
              <w:suppressLineNumbers w:val="0"/>
              <w:spacing w:before="0" w:beforeAutospacing="0" w:after="0" w:afterAutospacing="0" w:line="420" w:lineRule="exact"/>
              <w:ind w:left="0" w:right="0"/>
              <w:rPr>
                <w:rFonts w:hint="eastAsia"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一票否决项：</w:t>
            </w:r>
          </w:p>
          <w:p>
            <w:pPr>
              <w:keepNext w:val="0"/>
              <w:keepLines w:val="0"/>
              <w:suppressLineNumbers w:val="0"/>
              <w:spacing w:before="0" w:beforeAutospacing="0" w:after="0" w:afterAutospacing="0" w:line="420" w:lineRule="exact"/>
              <w:ind w:left="0" w:right="0"/>
              <w:rPr>
                <w:rFonts w:hint="default" w:ascii="宋体" w:hAnsi="宋体" w:eastAsia="宋体" w:cs="宋体"/>
                <w:sz w:val="18"/>
                <w:szCs w:val="18"/>
                <w:highlight w:val="none"/>
                <w:lang w:val="en-US" w:eastAsia="zh-CN"/>
              </w:rPr>
            </w:pPr>
            <w:r>
              <w:rPr>
                <w:rFonts w:hint="eastAsia" w:ascii="宋体" w:hAnsi="宋体" w:eastAsia="宋体" w:cs="宋体"/>
                <w:sz w:val="18"/>
                <w:szCs w:val="18"/>
                <w:highlight w:val="none"/>
                <w:lang w:val="en-US" w:eastAsia="zh-CN"/>
              </w:rPr>
              <w:t>未进行现场勘察设备及工艺运行情况的或改造方案不适宜现场实际情况的，一票否决技术标直接淘汰。</w:t>
            </w:r>
          </w:p>
        </w:tc>
      </w:tr>
    </w:tbl>
    <w:p>
      <w:pPr>
        <w:pStyle w:val="2"/>
        <w:rPr>
          <w:rFonts w:hint="eastAsia"/>
        </w:rPr>
      </w:pP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pPr>
        <w:ind w:firstLine="480" w:firstLineChars="200"/>
        <w:rPr>
          <w:rFonts w:hint="eastAsia" w:eastAsia="宋体"/>
          <w:lang w:eastAsia="zh-CN"/>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lang w:eastAsia="zh-CN"/>
        </w:rPr>
        <w:t>定。</w:t>
      </w:r>
    </w:p>
    <w:p>
      <w:pPr>
        <w:pStyle w:val="20"/>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20"/>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4"/>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5"/>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6"/>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7"/>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20"/>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8"/>
                    <a:stretch>
                      <a:fillRect/>
                    </a:stretch>
                  </pic:blipFill>
                  <pic:spPr>
                    <a:xfrm>
                      <a:off x="0" y="0"/>
                      <a:ext cx="5760085" cy="2810122"/>
                    </a:xfrm>
                    <a:prstGeom prst="rect">
                      <a:avLst/>
                    </a:prstGeom>
                  </pic:spPr>
                </pic:pic>
              </a:graphicData>
            </a:graphic>
          </wp:inline>
        </w:drawing>
      </w:r>
    </w:p>
    <w:p>
      <w:pPr>
        <w:pStyle w:val="20"/>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9"/>
                    <a:stretch>
                      <a:fillRect/>
                    </a:stretch>
                  </pic:blipFill>
                  <pic:spPr>
                    <a:xfrm>
                      <a:off x="0" y="0"/>
                      <a:ext cx="5760085" cy="2820042"/>
                    </a:xfrm>
                    <a:prstGeom prst="rect">
                      <a:avLst/>
                    </a:prstGeom>
                  </pic:spPr>
                </pic:pic>
              </a:graphicData>
            </a:graphic>
          </wp:inline>
        </w:drawing>
      </w:r>
    </w:p>
    <w:p>
      <w:pPr>
        <w:pStyle w:val="20"/>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20"/>
        <w:rPr>
          <w:rFonts w:hint="default"/>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配套能力“供货类别”填“环保设备”，</w:t>
      </w:r>
      <w:r>
        <w:rPr>
          <w:rFonts w:hint="eastAsia" w:ascii="宋体" w:hAnsi="宋体" w:eastAsia="宋体" w:cs="宋体"/>
          <w:b/>
          <w:bCs/>
          <w:i w:val="0"/>
          <w:strike w:val="0"/>
          <w:color w:val="000000"/>
          <w:sz w:val="24"/>
          <w:szCs w:val="28"/>
          <w:highlight w:val="yellow"/>
          <w:u w:val="none"/>
          <w:lang w:val="en-US" w:eastAsia="zh-CN"/>
        </w:rPr>
        <w:t>业务主管部门选择“</w:t>
      </w:r>
      <w:r>
        <w:rPr>
          <w:rFonts w:hint="eastAsia" w:hAnsi="宋体" w:eastAsia="宋体" w:cs="宋体"/>
          <w:b/>
          <w:bCs/>
          <w:i w:val="0"/>
          <w:strike w:val="0"/>
          <w:color w:val="000000"/>
          <w:sz w:val="24"/>
          <w:szCs w:val="28"/>
          <w:highlight w:val="yellow"/>
          <w:u w:val="none"/>
          <w:lang w:val="en-US" w:eastAsia="zh-CN"/>
        </w:rPr>
        <w:t>安全环保部</w:t>
      </w:r>
      <w:r>
        <w:rPr>
          <w:rFonts w:hint="eastAsia" w:ascii="宋体" w:hAnsi="宋体" w:eastAsia="宋体" w:cs="宋体"/>
          <w:b/>
          <w:bCs/>
          <w:i w:val="0"/>
          <w:strike w:val="0"/>
          <w:color w:val="000000"/>
          <w:sz w:val="24"/>
          <w:szCs w:val="28"/>
          <w:highlight w:val="yellow"/>
          <w:u w:val="none"/>
          <w:lang w:val="en-US" w:eastAsia="zh-CN"/>
        </w:rPr>
        <w:t>”</w:t>
      </w:r>
      <w:r>
        <w:rPr>
          <w:rFonts w:hint="eastAsia" w:hAnsi="宋体" w:eastAsia="宋体" w:cs="宋体"/>
          <w:b/>
          <w:bCs/>
          <w:i w:val="0"/>
          <w:strike w:val="0"/>
          <w:color w:val="000000"/>
          <w:sz w:val="24"/>
          <w:szCs w:val="28"/>
          <w:highlight w:val="yellow"/>
          <w:u w:val="none"/>
          <w:lang w:val="en-US" w:eastAsia="zh-CN"/>
        </w:rPr>
        <w:t>。</w:t>
      </w:r>
    </w:p>
    <w:p>
      <w:pPr>
        <w:pStyle w:val="20"/>
        <w:sectPr>
          <w:headerReference r:id="rId40" w:type="first"/>
          <w:footerReference r:id="rId42" w:type="first"/>
          <w:headerReference r:id="rId39" w:type="default"/>
          <w:footerReference r:id="rId41" w:type="default"/>
          <w:pgSz w:w="11906" w:h="16838"/>
          <w:pgMar w:top="1588" w:right="1418" w:bottom="1134" w:left="1418" w:header="851" w:footer="992" w:gutter="0"/>
          <w:cols w:space="720" w:num="1"/>
          <w:titlePg/>
          <w:docGrid w:type="lines" w:linePitch="312" w:charSpace="0"/>
        </w:sectPr>
      </w:pPr>
    </w:p>
    <w:p>
      <w:pPr>
        <w:pStyle w:val="20"/>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9"/>
          <w:rFonts w:hint="eastAsia" w:ascii="宋体" w:hAnsi="宋体" w:eastAsia="宋体" w:cs="宋体"/>
          <w:sz w:val="24"/>
          <w:szCs w:val="24"/>
        </w:rPr>
        <w:fldChar w:fldCharType="begin"/>
      </w:r>
      <w:r>
        <w:rPr>
          <w:rStyle w:val="49"/>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9"/>
          <w:rFonts w:hint="eastAsia" w:ascii="宋体" w:hAnsi="宋体" w:eastAsia="宋体" w:cs="宋体"/>
          <w:sz w:val="24"/>
          <w:szCs w:val="24"/>
        </w:rPr>
        <w:fldChar w:fldCharType="separate"/>
      </w:r>
      <w:r>
        <w:rPr>
          <w:rStyle w:val="49"/>
          <w:rFonts w:hint="eastAsia" w:ascii="宋体" w:hAnsi="宋体" w:eastAsia="宋体" w:cs="宋体"/>
          <w:sz w:val="24"/>
          <w:szCs w:val="24"/>
        </w:rPr>
        <w:t>http</w:t>
      </w:r>
      <w:r>
        <w:rPr>
          <w:rStyle w:val="49"/>
          <w:rFonts w:hint="eastAsia" w:ascii="宋体" w:hAnsi="宋体" w:eastAsia="宋体" w:cs="宋体"/>
          <w:sz w:val="24"/>
          <w:szCs w:val="24"/>
          <w:lang w:val="en-US" w:eastAsia="zh-CN"/>
        </w:rPr>
        <w:t>s</w:t>
      </w:r>
      <w:r>
        <w:rPr>
          <w:rStyle w:val="49"/>
          <w:rFonts w:hint="eastAsia" w:ascii="宋体" w:hAnsi="宋体" w:eastAsia="宋体" w:cs="宋体"/>
          <w:sz w:val="24"/>
          <w:szCs w:val="24"/>
        </w:rPr>
        <w:t>://ecaitong.sinotruk.com:8012/</w:t>
      </w:r>
      <w:r>
        <w:rPr>
          <w:rStyle w:val="49"/>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0"/>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1"/>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20"/>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2"/>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3"/>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4"/>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5"/>
                    <a:stretch>
                      <a:fillRect/>
                    </a:stretch>
                  </pic:blipFill>
                  <pic:spPr>
                    <a:xfrm>
                      <a:off x="0" y="0"/>
                      <a:ext cx="5760085" cy="1956600"/>
                    </a:xfrm>
                    <a:prstGeom prst="rect">
                      <a:avLst/>
                    </a:prstGeom>
                  </pic:spPr>
                </pic:pic>
              </a:graphicData>
            </a:graphic>
          </wp:inline>
        </w:drawing>
      </w:r>
    </w:p>
    <w:p>
      <w:pPr>
        <w:pStyle w:val="20"/>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00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8CF3C52"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80F3C52" w:usb2="00000016" w:usb3="00000000" w:csb0="0004001F"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rPr>
        <w:rFonts w:hint="eastAsia"/>
      </w:rP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B9vIzAgAAZQQAAA4AAABkcnMvZTJvRG9jLnhtbK1UzY7TMBC+I/EO&#10;lu80bYGqqpquylZFSBW7UkGcXcdpIvlPttukPAC8AScu3Pe5+hx8dpouWjjsgUs69oy/me+bmc5v&#10;WiXJUThfG53T0WBIidDcFLXe5/Tzp/WrKSU+MF0wabTI6Ul4erN4+WLe2JkYm8rIQjgCEO1njc1p&#10;FYKdZZnnlVDMD4wVGs7SOMUCjm6fFY41QFcyGw+Hk6wxrrDOcOE9bledk14Q3XMATVnWXKwMPyih&#10;Q4fqhGQBlHxVW08XqdqyFDzclaUXgcicgmlIXySBvYvfbDFns71jtqr5pQT2nBKecFKs1kh6hVqx&#10;wMjB1X9BqZo7400ZBtyorCOSFAGL0fCJNtuKWZG4QGpvr6L7/wfLPx7vHamLnL6ZUKKZQsfPP76f&#10;fz6cf30juINAjfUzxG0tIkP7zrQYm/7e4zLybkun4i8YEfgh7+kqr2gD4fHRdDydDuHi8PUH4GeP&#10;z63z4b0wikQjpw79S7Ky48aHLrQPidm0WddSph5KTZqcTl6/HaYHVw/ApY6xIk3DBSZS6kqPVmh3&#10;7YXnzhQn0HSmmxRv+bpGKRvmwz1zGA2Uj+UJd/iU0iCluViUVMZ9/dd9jEfH4KWkwajlVGOzKJEf&#10;NDoJwNAbrjd2vaEP6tZgdkdYSsuTiQcuyN4snVFfsFHLmAMupjky5TT05m3oxh0bycVymYIwe5aF&#10;jd5aHqGjPN4uDwFyJpWjKJ0S6E48YPpSny6bEsf7z3OKevx3WPw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lB9vIzAgAAZQQAAA4AAAAAAAAAAQAgAAAAHwEAAGRycy9lMm9Eb2MueG1sUEsF&#10;BgAAAAAGAAYAWQEAAMQFAAAAAA==&#10;">
              <v:fill on="f" focussize="0,0"/>
              <v:stroke on="f" weight="0.5pt"/>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89</w:t>
                    </w:r>
                    <w:r>
                      <w:rPr>
                        <w:rFonts w:hint="eastAsia"/>
                        <w:sz w:val="18"/>
                      </w:rP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91</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1</w:t>
                          </w:r>
                          <w:r>
                            <w:rPr>
                              <w:rFonts w:hint="eastAsia"/>
                              <w:sz w:val="21"/>
                              <w:szCs w:val="21"/>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rPr>
                        <w:sz w:val="21"/>
                        <w:szCs w:val="21"/>
                      </w:rPr>
                    </w:pPr>
                    <w:r>
                      <w:rPr>
                        <w:rFonts w:hint="eastAsia"/>
                        <w:sz w:val="21"/>
                        <w:szCs w:val="21"/>
                      </w:rPr>
                      <w:fldChar w:fldCharType="begin"/>
                    </w:r>
                    <w:r>
                      <w:rPr>
                        <w:rFonts w:hint="eastAsia"/>
                        <w:sz w:val="21"/>
                        <w:szCs w:val="21"/>
                      </w:rPr>
                      <w:instrText xml:space="preserve"> PAGE  \* MERGEFORMAT </w:instrText>
                    </w:r>
                    <w:r>
                      <w:rPr>
                        <w:rFonts w:hint="eastAsia"/>
                        <w:sz w:val="21"/>
                        <w:szCs w:val="21"/>
                      </w:rPr>
                      <w:fldChar w:fldCharType="separate"/>
                    </w:r>
                    <w:r>
                      <w:rPr>
                        <w:sz w:val="21"/>
                        <w:szCs w:val="21"/>
                      </w:rPr>
                      <w:t>1</w:t>
                    </w:r>
                    <w:r>
                      <w:rPr>
                        <w:rFonts w:hint="eastAsia"/>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- 34 -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1nbycsAgAAVw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xo5Iomu2GiFdtf2zHam&#10;OIGYM91seMs3NZJvmQ/3zGEYUDCeS7jDUkqDJKa3KKmM+/qv8xiPHsFLSYPhyqnGW6JEftDoHQDD&#10;YLjB2A2GPqhbg2lFO1BLMnHBBTmYpTPqC97QKuaAi2mOTDkNg3kbugHHG+RitUpBmDbLwlY/WB6h&#10;o3jerg4BAiZdoyidEr1WmLfUmf5txIH+c5+inv4Hy0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DWdvJywCAABX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- 34 -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- 2 -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- 2 -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5"/>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5"/>
                    </w:pPr>
                    <w:r>
                      <w:fldChar w:fldCharType="begin"/>
                    </w:r>
                    <w:r>
                      <w:instrText xml:space="preserve"> PAGE  \* MERGEFORMAT </w:instrText>
                    </w:r>
                    <w:r>
                      <w:fldChar w:fldCharType="separate"/>
                    </w:r>
                    <w:r>
                      <w:t>94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0"/>
      </w:pBdr>
    </w:pPr>
    <w:r>
      <w:rPr>
        <w:sz w:val="18"/>
      </w:rPr>
      <w:pict>
        <v:shape id="PowerPlusWaterMarkObject9043044" o:spid="_x0000_s4097" o:spt="136" type="#_x0000_t136" style="position:absolute;left:0pt;margin-left:472.35pt;margin-top:400.05pt;height:14pt;width:129pt;mso-position-horizontal-relative:margin;mso-position-vertical-relative:margin;rotation:-2949120f;z-index:-251627520;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8089202" o:spid="_x0000_s4098" o:spt="136" type="#_x0000_t136" style="position:absolute;left:0pt;margin-left:359.95pt;margin-top:512.5pt;height:14pt;width:129pt;mso-position-horizontal-relative:margin;mso-position-vertical-relative:margin;rotation:-2949120f;z-index:-251628544;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7149450" o:spid="_x0000_s4099" o:spt="136" type="#_x0000_t136" style="position:absolute;left:0pt;margin-left:247.5pt;margin-top:624.95pt;height:14pt;width:129pt;mso-position-horizontal-relative:margin;mso-position-vertical-relative:margin;rotation:-2949120f;z-index:-251629568;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6412293" o:spid="_x0000_s4100" o:spt="136" type="#_x0000_t136" style="position:absolute;left:0pt;margin-left:135.05pt;margin-top:737.35pt;height:14pt;width:129pt;mso-position-horizontal-relative:margin;mso-position-vertical-relative:margin;rotation:-2949120f;z-index:-251630592;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5922735" o:spid="_x0000_s4101" o:spt="136" type="#_x0000_t136" style="position:absolute;left:0pt;margin-left:472.35pt;margin-top:40.75pt;height:14pt;width:129pt;mso-position-horizontal-relative:margin;mso-position-vertical-relative:margin;rotation:-2949120f;z-index:-251631616;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5327273" o:spid="_x0000_s4102" o:spt="136" type="#_x0000_t136" style="position:absolute;left:0pt;margin-left:359.95pt;margin-top:153.15pt;height:14pt;width:129pt;mso-position-horizontal-relative:margin;mso-position-vertical-relative:margin;rotation:-2949120f;z-index:-251632640;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4341382" o:spid="_x0000_s4103" o:spt="136" type="#_x0000_t136" style="position:absolute;left:0pt;margin-left:247.5pt;margin-top:265.6pt;height:14pt;width:129pt;mso-position-horizontal-relative:margin;mso-position-vertical-relative:margin;rotation:-2949120f;z-index:-251633664;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3987704" o:spid="_x0000_s4104" o:spt="136" type="#_x0000_t136" style="position:absolute;left:0pt;margin-left:135.05pt;margin-top:378.05pt;height:14pt;width:129pt;mso-position-horizontal-relative:margin;mso-position-vertical-relative:margin;rotation:-2949120f;z-index:-251634688;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3070278" o:spid="_x0000_s4105" o:spt="136" type="#_x0000_t136" style="position:absolute;left:0pt;margin-left:22.65pt;margin-top:490.45pt;height:14pt;width:129pt;mso-position-horizontal-relative:margin;mso-position-vertical-relative:margin;rotation:-2949120f;z-index:-251635712;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2084049" o:spid="_x0000_s4106" o:spt="136" type="#_x0000_t136" style="position:absolute;left:0pt;margin-left:-89.8pt;margin-top:602.9pt;height:14pt;width:129pt;mso-position-horizontal-relative:margin;mso-position-vertical-relative:margin;rotation:-2949120f;z-index:-251636736;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1892867" o:spid="_x0000_s4107" o:spt="136" type="#_x0000_t136" style="position:absolute;left:0pt;margin-left:247.5pt;margin-top:-93.75pt;height:14pt;width:129pt;mso-position-horizontal-relative:margin;mso-position-vertical-relative:margin;rotation:-2949120f;z-index:-251637760;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1054599" o:spid="_x0000_s4108" o:spt="136" type="#_x0000_t136" style="position:absolute;left:0pt;margin-left:135.05pt;margin-top:18.7pt;height:14pt;width:129pt;mso-position-horizontal-relative:margin;mso-position-vertical-relative:margin;rotation:-2949120f;z-index:-251638784;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641384" o:spid="_x0000_s4109" o:spt="136" type="#_x0000_t136" style="position:absolute;left:0pt;margin-left:22.65pt;margin-top:131.1pt;height:14pt;width:129pt;mso-position-horizontal-relative:margin;mso-position-vertical-relative:margin;rotation:-2949120f;z-index:-251639808;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r>
      <w:rPr>
        <w:sz w:val="18"/>
      </w:rPr>
      <w:pict>
        <v:shape id="PowerPlusWaterMarkObject108737" o:spid="_x0000_s4110" o:spt="136" type="#_x0000_t136" style="position:absolute;left:0pt;margin-left:-89.8pt;margin-top:243.55pt;height:14pt;width:129pt;mso-position-horizontal-relative:margin;mso-position-vertical-relative:margin;rotation:-2949120f;z-index:-251640832;mso-width-relative:page;mso-height-relative:page;" fillcolor="#C0C0C0" filled="t" stroked="f" coordsize="21600,21600" adj="10800">
          <v:path/>
          <v:fill on="t" opacity="32768f" focussize="0,0"/>
          <v:stroke on="f"/>
          <v:imagedata o:title=""/>
          <o:lock v:ext="edit" aspectratio="t"/>
          <v:textpath on="t" fitshape="t" fitpath="t" trim="t" xscale="f" string="孔明伟0695472024-06-29" style="font-family:SongTi;font-size:14pt;v-same-letter-heights:f;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p>
    <w:pPr>
      <w:pStyle w:val="26"/>
    </w:pPr>
    <w:r>
      <w:rPr>
        <w:sz w:val="18"/>
      </w:rPr>
      <w:pict>
        <v:shape id="PowerPlusWaterMarkObject74730566" o:spid="_x0000_s4139" o:spt="136" type="#_x0000_t136" style="position:absolute;left:0pt;margin-left:711.4pt;margin-top:169.4pt;height:14pt;width:129pt;mso-position-horizontal-relative:margin;mso-position-vertical-relative:margin;rotation:-2949120f;z-index:-25161318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4215494" o:spid="_x0000_s4140" o:spt="136" type="#_x0000_t136" style="position:absolute;left:0pt;margin-left:599pt;margin-top:281.85pt;height:14pt;width:129pt;mso-position-horizontal-relative:margin;mso-position-vertical-relative:margin;rotation:-2949120f;z-index:-25161420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3553336" o:spid="_x0000_s4141" o:spt="136" type="#_x0000_t136" style="position:absolute;left:0pt;margin-left:486.55pt;margin-top:394.25pt;height:14pt;width:129pt;mso-position-horizontal-relative:margin;mso-position-vertical-relative:margin;rotation:-2949120f;z-index:-25161523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864606" o:spid="_x0000_s4142" o:spt="136" type="#_x0000_t136" style="position:absolute;left:0pt;margin-left:374.15pt;margin-top:506.7pt;height:14pt;width:129pt;mso-position-horizontal-relative:margin;mso-position-vertical-relative:margin;rotation:-2949120f;z-index:-25161625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828398" o:spid="_x0000_s4143" o:spt="136" type="#_x0000_t136" style="position:absolute;left:0pt;margin-left:599pt;margin-top:-77.45pt;height:14pt;width:129pt;mso-position-horizontal-relative:margin;mso-position-vertical-relative:margin;rotation:-2949120f;z-index:-25161728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563767" o:spid="_x0000_s4144" o:spt="136" type="#_x0000_t136" style="position:absolute;left:0pt;margin-left:486.55pt;margin-top:34.95pt;height:14pt;width:129pt;mso-position-horizontal-relative:margin;mso-position-vertical-relative:margin;rotation:-2949120f;z-index:-25161830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386113" o:spid="_x0000_s4145" o:spt="136" type="#_x0000_t136" style="position:absolute;left:0pt;margin-left:374.15pt;margin-top:147.4pt;height:14pt;width:129pt;mso-position-horizontal-relative:margin;mso-position-vertical-relative:margin;rotation:-2949120f;z-index:-25161932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246531" o:spid="_x0000_s4146" o:spt="136" type="#_x0000_t136" style="position:absolute;left:0pt;margin-left:261.7pt;margin-top:259.8pt;height:14pt;width:129pt;mso-position-horizontal-relative:margin;mso-position-vertical-relative:margin;rotation:-2949120f;z-index:-25162035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2155929" o:spid="_x0000_s4147" o:spt="136" type="#_x0000_t136" style="position:absolute;left:0pt;margin-left:149.25pt;margin-top:372.25pt;height:14pt;width:129pt;mso-position-horizontal-relative:margin;mso-position-vertical-relative:margin;rotation:-2949120f;z-index:-25162137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1491388" o:spid="_x0000_s4148" o:spt="136" type="#_x0000_t136" style="position:absolute;left:0pt;margin-left:36.85pt;margin-top:484.7pt;height:14pt;width:129pt;mso-position-horizontal-relative:margin;mso-position-vertical-relative:margin;rotation:-2949120f;z-index:-25162240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1264145" o:spid="_x0000_s4149" o:spt="136" type="#_x0000_t136" style="position:absolute;left:0pt;margin-left:261.7pt;margin-top:-99.5pt;height:14pt;width:129pt;mso-position-horizontal-relative:margin;mso-position-vertical-relative:margin;rotation:-2949120f;z-index:-25162342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0749767" o:spid="_x0000_s4150" o:spt="136" type="#_x0000_t136" style="position:absolute;left:0pt;margin-left:149.25pt;margin-top:12.95pt;height:14pt;width:129pt;mso-position-horizontal-relative:margin;mso-position-vertical-relative:margin;rotation:-2949120f;z-index:-25162444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0708251" o:spid="_x0000_s4151" o:spt="136" type="#_x0000_t136" style="position:absolute;left:0pt;margin-left:36.85pt;margin-top:125.4pt;height:14pt;width:129pt;mso-position-horizontal-relative:margin;mso-position-vertical-relative:margin;rotation:-2949120f;z-index:-25162547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69991268" o:spid="_x0000_s4152" o:spt="136" type="#_x0000_t136" style="position:absolute;left:0pt;margin-left:-75.6pt;margin-top:237.8pt;height:14pt;width:129pt;mso-position-horizontal-relative:margin;mso-position-vertical-relative:margin;rotation:-2949120f;z-index:-25162649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sz w:val="18"/>
      </w:rPr>
      <w:pict>
        <v:shape id="PowerPlusWaterMarkObject81859546" o:spid="_x0000_s4125" o:spt="136" type="#_x0000_t136" style="position:absolute;left:0pt;margin-left:711.4pt;margin-top:169.4pt;height:14pt;width:129pt;mso-position-horizontal-relative:margin;mso-position-vertical-relative:margin;rotation:-2949120f;z-index:-25159884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1748336" o:spid="_x0000_s4126" o:spt="136" type="#_x0000_t136" style="position:absolute;left:0pt;margin-left:599pt;margin-top:281.85pt;height:14pt;width:129pt;mso-position-horizontal-relative:margin;mso-position-vertical-relative:margin;rotation:-2949120f;z-index:-25159987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1194555" o:spid="_x0000_s4127" o:spt="136" type="#_x0000_t136" style="position:absolute;left:0pt;margin-left:486.55pt;margin-top:394.25pt;height:14pt;width:129pt;mso-position-horizontal-relative:margin;mso-position-vertical-relative:margin;rotation:-2949120f;z-index:-25160089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0591529" o:spid="_x0000_s4128" o:spt="136" type="#_x0000_t136" style="position:absolute;left:0pt;margin-left:374.15pt;margin-top:506.7pt;height:14pt;width:129pt;mso-position-horizontal-relative:margin;mso-position-vertical-relative:margin;rotation:-2949120f;z-index:-25160192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80140105" o:spid="_x0000_s4129" o:spt="136" type="#_x0000_t136" style="position:absolute;left:0pt;margin-left:599pt;margin-top:-77.45pt;height:14pt;width:129pt;mso-position-horizontal-relative:margin;mso-position-vertical-relative:margin;rotation:-2949120f;z-index:-25160294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9678133" o:spid="_x0000_s4130" o:spt="136" type="#_x0000_t136" style="position:absolute;left:0pt;margin-left:486.55pt;margin-top:34.95pt;height:14pt;width:129pt;mso-position-horizontal-relative:margin;mso-position-vertical-relative:margin;rotation:-2949120f;z-index:-25160396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815248" o:spid="_x0000_s4131" o:spt="136" type="#_x0000_t136" style="position:absolute;left:0pt;margin-left:374.15pt;margin-top:147.4pt;height:14pt;width:129pt;mso-position-horizontal-relative:margin;mso-position-vertical-relative:margin;rotation:-2949120f;z-index:-25160499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720005" o:spid="_x0000_s4132" o:spt="136" type="#_x0000_t136" style="position:absolute;left:0pt;margin-left:261.7pt;margin-top:259.8pt;height:14pt;width:129pt;mso-position-horizontal-relative:margin;mso-position-vertical-relative:margin;rotation:-2949120f;z-index:-25160601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8383655" o:spid="_x0000_s4133" o:spt="136" type="#_x0000_t136" style="position:absolute;left:0pt;margin-left:149.25pt;margin-top:372.25pt;height:14pt;width:129pt;mso-position-horizontal-relative:margin;mso-position-vertical-relative:margin;rotation:-2949120f;z-index:-25160704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709287" o:spid="_x0000_s4134" o:spt="136" type="#_x0000_t136" style="position:absolute;left:0pt;margin-left:36.85pt;margin-top:484.7pt;height:14pt;width:129pt;mso-position-horizontal-relative:margin;mso-position-vertical-relative:margin;rotation:-2949120f;z-index:-251608064;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395115" o:spid="_x0000_s4135" o:spt="136" type="#_x0000_t136" style="position:absolute;left:0pt;margin-left:261.7pt;margin-top:-99.5pt;height:14pt;width:129pt;mso-position-horizontal-relative:margin;mso-position-vertical-relative:margin;rotation:-2949120f;z-index:-251609088;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7093838" o:spid="_x0000_s4136" o:spt="136" type="#_x0000_t136" style="position:absolute;left:0pt;margin-left:149.25pt;margin-top:12.95pt;height:14pt;width:129pt;mso-position-horizontal-relative:margin;mso-position-vertical-relative:margin;rotation:-2949120f;z-index:-251610112;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6310596" o:spid="_x0000_s4137" o:spt="136" type="#_x0000_t136" style="position:absolute;left:0pt;margin-left:36.85pt;margin-top:125.4pt;height:14pt;width:129pt;mso-position-horizontal-relative:margin;mso-position-vertical-relative:margin;rotation:-2949120f;z-index:-251611136;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r>
      <w:rPr>
        <w:sz w:val="18"/>
      </w:rPr>
      <w:pict>
        <v:shape id="PowerPlusWaterMarkObject75638810" o:spid="_x0000_s4138" o:spt="136" type="#_x0000_t136" style="position:absolute;left:0pt;margin-left:-75.6pt;margin-top:237.8pt;height:14pt;width:129pt;mso-position-horizontal-relative:margin;mso-position-vertical-relative:margin;rotation:-2949120f;z-index:-251612160;mso-width-relative:page;mso-height-relative:page;" fillcolor="#C0C0C0" filled="t" stroked="f" coordsize="21600,21600" adj="10800">
          <v:path/>
          <v:fill on="t" opacity="32768f" focussize="0,0"/>
          <v:stroke on="f"/>
          <v:imagedata o:title=""/>
          <o:lock v:ext="edit" aspectratio="t"/>
          <v:textpath on="t" fitshape="t" fitpath="t" trim="t" xscale="f" string="赵翊旭0696272024-08-15" style="font-family:SongTi;font-size:14pt;v-same-letter-heights:f;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000005"/>
    <w:multiLevelType w:val="multilevel"/>
    <w:tmpl w:val="000000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pStyle w:val="137"/>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5">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2"/>
  </w:num>
  <w:num w:numId="2">
    <w:abstractNumId w:val="8"/>
  </w:num>
  <w:num w:numId="3">
    <w:abstractNumId w:val="0"/>
  </w:num>
  <w:num w:numId="4">
    <w:abstractNumId w:val="9"/>
  </w:num>
  <w:num w:numId="5">
    <w:abstractNumId w:val="5"/>
  </w:num>
  <w:num w:numId="6">
    <w:abstractNumId w:val="3"/>
  </w:num>
  <w:num w:numId="7">
    <w:abstractNumId w:val="7"/>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160A"/>
    <w:rsid w:val="00E878B4"/>
    <w:rsid w:val="00EB3D00"/>
    <w:rsid w:val="00F71720"/>
    <w:rsid w:val="00FE040F"/>
    <w:rsid w:val="00FE42B3"/>
    <w:rsid w:val="011A1F11"/>
    <w:rsid w:val="014832F2"/>
    <w:rsid w:val="014D51C1"/>
    <w:rsid w:val="01714809"/>
    <w:rsid w:val="01C52478"/>
    <w:rsid w:val="022719EB"/>
    <w:rsid w:val="025C7FF6"/>
    <w:rsid w:val="027408EE"/>
    <w:rsid w:val="02963F39"/>
    <w:rsid w:val="02A62A31"/>
    <w:rsid w:val="02B3095A"/>
    <w:rsid w:val="02BA7274"/>
    <w:rsid w:val="02C32E43"/>
    <w:rsid w:val="02E61E15"/>
    <w:rsid w:val="03251978"/>
    <w:rsid w:val="0325718A"/>
    <w:rsid w:val="042921B6"/>
    <w:rsid w:val="043B2EAD"/>
    <w:rsid w:val="043B72BB"/>
    <w:rsid w:val="04461EC1"/>
    <w:rsid w:val="04504B3F"/>
    <w:rsid w:val="04915503"/>
    <w:rsid w:val="04AD02B8"/>
    <w:rsid w:val="04DE51C8"/>
    <w:rsid w:val="04DF17D4"/>
    <w:rsid w:val="05412745"/>
    <w:rsid w:val="05491761"/>
    <w:rsid w:val="055C1AD8"/>
    <w:rsid w:val="05A351AD"/>
    <w:rsid w:val="05B85D44"/>
    <w:rsid w:val="05F9748A"/>
    <w:rsid w:val="06266F78"/>
    <w:rsid w:val="063E7B7A"/>
    <w:rsid w:val="064F0389"/>
    <w:rsid w:val="06582413"/>
    <w:rsid w:val="067E33B8"/>
    <w:rsid w:val="06E82FCB"/>
    <w:rsid w:val="06F34B95"/>
    <w:rsid w:val="0720289C"/>
    <w:rsid w:val="07571DAC"/>
    <w:rsid w:val="08375A89"/>
    <w:rsid w:val="084859A3"/>
    <w:rsid w:val="08DD171B"/>
    <w:rsid w:val="08E64121"/>
    <w:rsid w:val="090D588C"/>
    <w:rsid w:val="0942017F"/>
    <w:rsid w:val="09BA1FBB"/>
    <w:rsid w:val="09CB139F"/>
    <w:rsid w:val="0A0106F5"/>
    <w:rsid w:val="0A112AB7"/>
    <w:rsid w:val="0A4E5482"/>
    <w:rsid w:val="0AAA504A"/>
    <w:rsid w:val="0AD71BC7"/>
    <w:rsid w:val="0AF420EB"/>
    <w:rsid w:val="0B2B2BF5"/>
    <w:rsid w:val="0B2F3908"/>
    <w:rsid w:val="0B3F6206"/>
    <w:rsid w:val="0B6E15DE"/>
    <w:rsid w:val="0BE12DB6"/>
    <w:rsid w:val="0BFC6504"/>
    <w:rsid w:val="0C345AD1"/>
    <w:rsid w:val="0C626CE4"/>
    <w:rsid w:val="0C78293D"/>
    <w:rsid w:val="0D0C2B7B"/>
    <w:rsid w:val="0D5F6D00"/>
    <w:rsid w:val="0D9308F8"/>
    <w:rsid w:val="0DE76C3D"/>
    <w:rsid w:val="0E1A1D85"/>
    <w:rsid w:val="0E750568"/>
    <w:rsid w:val="0E9C3C97"/>
    <w:rsid w:val="0EE46134"/>
    <w:rsid w:val="0F2D7A80"/>
    <w:rsid w:val="0F4277E5"/>
    <w:rsid w:val="0F4C5227"/>
    <w:rsid w:val="0F684B57"/>
    <w:rsid w:val="0FA75561"/>
    <w:rsid w:val="0FB83603"/>
    <w:rsid w:val="0FCA77F1"/>
    <w:rsid w:val="0FCD5DCC"/>
    <w:rsid w:val="0FDB0E3A"/>
    <w:rsid w:val="10043197"/>
    <w:rsid w:val="10270545"/>
    <w:rsid w:val="103409DF"/>
    <w:rsid w:val="106D52D4"/>
    <w:rsid w:val="1087069D"/>
    <w:rsid w:val="108A1D4B"/>
    <w:rsid w:val="10921F4C"/>
    <w:rsid w:val="10A10111"/>
    <w:rsid w:val="10A17FC7"/>
    <w:rsid w:val="10BE093E"/>
    <w:rsid w:val="10E20BD8"/>
    <w:rsid w:val="111B0FE9"/>
    <w:rsid w:val="112C77F4"/>
    <w:rsid w:val="114755AB"/>
    <w:rsid w:val="115F67A8"/>
    <w:rsid w:val="119604A6"/>
    <w:rsid w:val="119A7465"/>
    <w:rsid w:val="11C07DA5"/>
    <w:rsid w:val="11C2491E"/>
    <w:rsid w:val="11F36B75"/>
    <w:rsid w:val="12491386"/>
    <w:rsid w:val="12751983"/>
    <w:rsid w:val="12887F77"/>
    <w:rsid w:val="12E60579"/>
    <w:rsid w:val="12E66E96"/>
    <w:rsid w:val="12EB0F02"/>
    <w:rsid w:val="12FE6E3A"/>
    <w:rsid w:val="13016943"/>
    <w:rsid w:val="134A6EFE"/>
    <w:rsid w:val="13695B36"/>
    <w:rsid w:val="1372609F"/>
    <w:rsid w:val="13D73572"/>
    <w:rsid w:val="14504752"/>
    <w:rsid w:val="145A6A37"/>
    <w:rsid w:val="1467440F"/>
    <w:rsid w:val="14F15C63"/>
    <w:rsid w:val="153955DC"/>
    <w:rsid w:val="15400323"/>
    <w:rsid w:val="15433A9B"/>
    <w:rsid w:val="15481005"/>
    <w:rsid w:val="15584512"/>
    <w:rsid w:val="15A93017"/>
    <w:rsid w:val="15FC2F04"/>
    <w:rsid w:val="16181FAC"/>
    <w:rsid w:val="163C579E"/>
    <w:rsid w:val="164B1DA1"/>
    <w:rsid w:val="16501B6B"/>
    <w:rsid w:val="168756A0"/>
    <w:rsid w:val="16F94849"/>
    <w:rsid w:val="17045E51"/>
    <w:rsid w:val="172011D4"/>
    <w:rsid w:val="17252C3B"/>
    <w:rsid w:val="173F0A2E"/>
    <w:rsid w:val="17770BC2"/>
    <w:rsid w:val="177E4870"/>
    <w:rsid w:val="17860E2F"/>
    <w:rsid w:val="17A119AA"/>
    <w:rsid w:val="18586F2B"/>
    <w:rsid w:val="18A510F9"/>
    <w:rsid w:val="19442DF9"/>
    <w:rsid w:val="19873C1D"/>
    <w:rsid w:val="19A766B9"/>
    <w:rsid w:val="19AF3EFD"/>
    <w:rsid w:val="19CE76BA"/>
    <w:rsid w:val="19F26070"/>
    <w:rsid w:val="19F97C8B"/>
    <w:rsid w:val="1A1523CE"/>
    <w:rsid w:val="1A6A6939"/>
    <w:rsid w:val="1AA730BD"/>
    <w:rsid w:val="1B333D5D"/>
    <w:rsid w:val="1B587618"/>
    <w:rsid w:val="1B5F19C7"/>
    <w:rsid w:val="1B823DEE"/>
    <w:rsid w:val="1C1C709B"/>
    <w:rsid w:val="1C4F6795"/>
    <w:rsid w:val="1C9F6814"/>
    <w:rsid w:val="1CCB626F"/>
    <w:rsid w:val="1D1F0356"/>
    <w:rsid w:val="1D5C514E"/>
    <w:rsid w:val="1D865D14"/>
    <w:rsid w:val="1D8705EC"/>
    <w:rsid w:val="1DD872E4"/>
    <w:rsid w:val="1DE839B1"/>
    <w:rsid w:val="1DEC0E7D"/>
    <w:rsid w:val="1E43150B"/>
    <w:rsid w:val="1EA93E80"/>
    <w:rsid w:val="1ED04B7D"/>
    <w:rsid w:val="1ED33FB6"/>
    <w:rsid w:val="1EE81332"/>
    <w:rsid w:val="1F197111"/>
    <w:rsid w:val="1F32415A"/>
    <w:rsid w:val="1F424861"/>
    <w:rsid w:val="1F542F9A"/>
    <w:rsid w:val="1F702632"/>
    <w:rsid w:val="1F7E2174"/>
    <w:rsid w:val="1FDC6454"/>
    <w:rsid w:val="1FE63629"/>
    <w:rsid w:val="20107567"/>
    <w:rsid w:val="2035487C"/>
    <w:rsid w:val="204149A4"/>
    <w:rsid w:val="20916A7C"/>
    <w:rsid w:val="20AB56C6"/>
    <w:rsid w:val="21385470"/>
    <w:rsid w:val="214A3F2E"/>
    <w:rsid w:val="21547789"/>
    <w:rsid w:val="2176507C"/>
    <w:rsid w:val="217C1026"/>
    <w:rsid w:val="21BE35AF"/>
    <w:rsid w:val="21C11174"/>
    <w:rsid w:val="22244B28"/>
    <w:rsid w:val="22467FD4"/>
    <w:rsid w:val="229451FD"/>
    <w:rsid w:val="22A12DB6"/>
    <w:rsid w:val="22D11FA9"/>
    <w:rsid w:val="231F7FDF"/>
    <w:rsid w:val="236356D1"/>
    <w:rsid w:val="236B5802"/>
    <w:rsid w:val="23751CDA"/>
    <w:rsid w:val="23A91C83"/>
    <w:rsid w:val="23C962E8"/>
    <w:rsid w:val="247E4FED"/>
    <w:rsid w:val="24AD78E0"/>
    <w:rsid w:val="24B30BE8"/>
    <w:rsid w:val="24E34060"/>
    <w:rsid w:val="253A0491"/>
    <w:rsid w:val="254E0478"/>
    <w:rsid w:val="25E036B2"/>
    <w:rsid w:val="25E9082A"/>
    <w:rsid w:val="25F42473"/>
    <w:rsid w:val="26372DC2"/>
    <w:rsid w:val="269C17B8"/>
    <w:rsid w:val="26AF2D79"/>
    <w:rsid w:val="26B34B91"/>
    <w:rsid w:val="27014C27"/>
    <w:rsid w:val="270D66E8"/>
    <w:rsid w:val="27514612"/>
    <w:rsid w:val="278B0DAB"/>
    <w:rsid w:val="279C6B0E"/>
    <w:rsid w:val="27A64735"/>
    <w:rsid w:val="27CC4DF2"/>
    <w:rsid w:val="281864F2"/>
    <w:rsid w:val="286903EF"/>
    <w:rsid w:val="287F5DD3"/>
    <w:rsid w:val="288047CB"/>
    <w:rsid w:val="289E62FA"/>
    <w:rsid w:val="28FD6E90"/>
    <w:rsid w:val="291E2CA6"/>
    <w:rsid w:val="29331862"/>
    <w:rsid w:val="29861C3F"/>
    <w:rsid w:val="299741EC"/>
    <w:rsid w:val="299E147F"/>
    <w:rsid w:val="29C32A87"/>
    <w:rsid w:val="29CF26DC"/>
    <w:rsid w:val="2A0A2745"/>
    <w:rsid w:val="2A1C5DA0"/>
    <w:rsid w:val="2A200D39"/>
    <w:rsid w:val="2A280AB9"/>
    <w:rsid w:val="2A507EFF"/>
    <w:rsid w:val="2ADC05A4"/>
    <w:rsid w:val="2AEF2177"/>
    <w:rsid w:val="2B5D60D4"/>
    <w:rsid w:val="2B6F0D7F"/>
    <w:rsid w:val="2B8716BD"/>
    <w:rsid w:val="2B8B76FF"/>
    <w:rsid w:val="2BD5034F"/>
    <w:rsid w:val="2BE05C4E"/>
    <w:rsid w:val="2C924AE7"/>
    <w:rsid w:val="2CB77649"/>
    <w:rsid w:val="2D025012"/>
    <w:rsid w:val="2D3B693B"/>
    <w:rsid w:val="2D4178F0"/>
    <w:rsid w:val="2D7711AA"/>
    <w:rsid w:val="2D7D58EB"/>
    <w:rsid w:val="2DA45D22"/>
    <w:rsid w:val="2DAE631A"/>
    <w:rsid w:val="2DD65954"/>
    <w:rsid w:val="2DD877E0"/>
    <w:rsid w:val="2DE616C9"/>
    <w:rsid w:val="2DE801DF"/>
    <w:rsid w:val="2DFC2451"/>
    <w:rsid w:val="2E3422F8"/>
    <w:rsid w:val="2E3D68D2"/>
    <w:rsid w:val="2E453743"/>
    <w:rsid w:val="2E6E566D"/>
    <w:rsid w:val="2E6E7092"/>
    <w:rsid w:val="2E7F188E"/>
    <w:rsid w:val="2E866DE4"/>
    <w:rsid w:val="2EA91D49"/>
    <w:rsid w:val="2EBC0905"/>
    <w:rsid w:val="2EC73739"/>
    <w:rsid w:val="2EFB1B0E"/>
    <w:rsid w:val="2F5C684F"/>
    <w:rsid w:val="2F63756E"/>
    <w:rsid w:val="2F6812EF"/>
    <w:rsid w:val="2F922AC9"/>
    <w:rsid w:val="2FE6553A"/>
    <w:rsid w:val="303D4E30"/>
    <w:rsid w:val="30767505"/>
    <w:rsid w:val="307776D1"/>
    <w:rsid w:val="30862574"/>
    <w:rsid w:val="309D1AAC"/>
    <w:rsid w:val="30A36336"/>
    <w:rsid w:val="30AD52F3"/>
    <w:rsid w:val="30B631E1"/>
    <w:rsid w:val="30F658E4"/>
    <w:rsid w:val="311933AA"/>
    <w:rsid w:val="314C32D2"/>
    <w:rsid w:val="317D15BB"/>
    <w:rsid w:val="31D07E6C"/>
    <w:rsid w:val="31D907BC"/>
    <w:rsid w:val="323F65DA"/>
    <w:rsid w:val="32412074"/>
    <w:rsid w:val="32DE0199"/>
    <w:rsid w:val="332D3F59"/>
    <w:rsid w:val="333C2963"/>
    <w:rsid w:val="335B2774"/>
    <w:rsid w:val="33A4642E"/>
    <w:rsid w:val="33D4039C"/>
    <w:rsid w:val="33D47E05"/>
    <w:rsid w:val="33DF460E"/>
    <w:rsid w:val="3413677D"/>
    <w:rsid w:val="342B544B"/>
    <w:rsid w:val="345E036E"/>
    <w:rsid w:val="34A7571D"/>
    <w:rsid w:val="34C47852"/>
    <w:rsid w:val="34DE1E4F"/>
    <w:rsid w:val="34EE6F73"/>
    <w:rsid w:val="34F07DB1"/>
    <w:rsid w:val="357E6FD1"/>
    <w:rsid w:val="359009FB"/>
    <w:rsid w:val="35D354B8"/>
    <w:rsid w:val="35D4025C"/>
    <w:rsid w:val="362666BC"/>
    <w:rsid w:val="363646D4"/>
    <w:rsid w:val="368A6B11"/>
    <w:rsid w:val="36ED2AA8"/>
    <w:rsid w:val="36F44712"/>
    <w:rsid w:val="37085B1F"/>
    <w:rsid w:val="372E04CB"/>
    <w:rsid w:val="38783D6C"/>
    <w:rsid w:val="387A46CB"/>
    <w:rsid w:val="38E070F2"/>
    <w:rsid w:val="390D33AB"/>
    <w:rsid w:val="391E6D06"/>
    <w:rsid w:val="39573D9E"/>
    <w:rsid w:val="39D63AE8"/>
    <w:rsid w:val="3A074847"/>
    <w:rsid w:val="3A830B2E"/>
    <w:rsid w:val="3A911EBA"/>
    <w:rsid w:val="3AA90FE6"/>
    <w:rsid w:val="3AA9318F"/>
    <w:rsid w:val="3AB62DA0"/>
    <w:rsid w:val="3AC37880"/>
    <w:rsid w:val="3B057828"/>
    <w:rsid w:val="3B69577B"/>
    <w:rsid w:val="3B702D85"/>
    <w:rsid w:val="3B7D3FD5"/>
    <w:rsid w:val="3B7F4E52"/>
    <w:rsid w:val="3B823DDF"/>
    <w:rsid w:val="3B904B1A"/>
    <w:rsid w:val="3BC4191A"/>
    <w:rsid w:val="3BD827B4"/>
    <w:rsid w:val="3C1D3AA1"/>
    <w:rsid w:val="3C237ED3"/>
    <w:rsid w:val="3C4D2D59"/>
    <w:rsid w:val="3C872CDC"/>
    <w:rsid w:val="3CAA596A"/>
    <w:rsid w:val="3CAF1D22"/>
    <w:rsid w:val="3CB1587B"/>
    <w:rsid w:val="3CB735F2"/>
    <w:rsid w:val="3D186684"/>
    <w:rsid w:val="3D260E6E"/>
    <w:rsid w:val="3D363C36"/>
    <w:rsid w:val="3D686B10"/>
    <w:rsid w:val="3D8B2178"/>
    <w:rsid w:val="3D8F4DAA"/>
    <w:rsid w:val="3DB34909"/>
    <w:rsid w:val="3DD115F5"/>
    <w:rsid w:val="3DE435F0"/>
    <w:rsid w:val="3DE5122C"/>
    <w:rsid w:val="3DF37E53"/>
    <w:rsid w:val="3E0E37DD"/>
    <w:rsid w:val="3E8C0FDD"/>
    <w:rsid w:val="3ED26DE9"/>
    <w:rsid w:val="3EED17D0"/>
    <w:rsid w:val="3F0C0304"/>
    <w:rsid w:val="3F774839"/>
    <w:rsid w:val="3FBD02CF"/>
    <w:rsid w:val="3FEC147E"/>
    <w:rsid w:val="3FED7DE8"/>
    <w:rsid w:val="40376375"/>
    <w:rsid w:val="405F7AAA"/>
    <w:rsid w:val="411411E7"/>
    <w:rsid w:val="4117385A"/>
    <w:rsid w:val="412732B7"/>
    <w:rsid w:val="4127791F"/>
    <w:rsid w:val="41281794"/>
    <w:rsid w:val="413C1FDF"/>
    <w:rsid w:val="41806A69"/>
    <w:rsid w:val="41B0259C"/>
    <w:rsid w:val="41B77686"/>
    <w:rsid w:val="41BC6F1C"/>
    <w:rsid w:val="41EF2363"/>
    <w:rsid w:val="41F77860"/>
    <w:rsid w:val="424A4B98"/>
    <w:rsid w:val="42581D3A"/>
    <w:rsid w:val="428E23A1"/>
    <w:rsid w:val="42CC5625"/>
    <w:rsid w:val="42CC79A8"/>
    <w:rsid w:val="42ED2EA4"/>
    <w:rsid w:val="42F6649D"/>
    <w:rsid w:val="42FE0080"/>
    <w:rsid w:val="43315D2E"/>
    <w:rsid w:val="43670C99"/>
    <w:rsid w:val="43824A1C"/>
    <w:rsid w:val="43D110E1"/>
    <w:rsid w:val="43E873C9"/>
    <w:rsid w:val="441575BD"/>
    <w:rsid w:val="44905B1F"/>
    <w:rsid w:val="45056C1E"/>
    <w:rsid w:val="45316885"/>
    <w:rsid w:val="45A95EE9"/>
    <w:rsid w:val="45FB0F21"/>
    <w:rsid w:val="46167166"/>
    <w:rsid w:val="46174EF7"/>
    <w:rsid w:val="4636719A"/>
    <w:rsid w:val="465859F2"/>
    <w:rsid w:val="47200EE3"/>
    <w:rsid w:val="47435AC2"/>
    <w:rsid w:val="47544B78"/>
    <w:rsid w:val="47587AF7"/>
    <w:rsid w:val="47745A86"/>
    <w:rsid w:val="477B46DA"/>
    <w:rsid w:val="47886D63"/>
    <w:rsid w:val="47E239AC"/>
    <w:rsid w:val="480F4B73"/>
    <w:rsid w:val="487974BD"/>
    <w:rsid w:val="48AE506D"/>
    <w:rsid w:val="48DB38E3"/>
    <w:rsid w:val="49001B5E"/>
    <w:rsid w:val="49376DB0"/>
    <w:rsid w:val="49804BB7"/>
    <w:rsid w:val="49826DCB"/>
    <w:rsid w:val="499013E7"/>
    <w:rsid w:val="49A22843"/>
    <w:rsid w:val="49C8088A"/>
    <w:rsid w:val="4A0F6D68"/>
    <w:rsid w:val="4A233384"/>
    <w:rsid w:val="4A301C93"/>
    <w:rsid w:val="4A3302AB"/>
    <w:rsid w:val="4A572A17"/>
    <w:rsid w:val="4A6F2535"/>
    <w:rsid w:val="4AC85D49"/>
    <w:rsid w:val="4AE308A9"/>
    <w:rsid w:val="4AF21305"/>
    <w:rsid w:val="4B260F2D"/>
    <w:rsid w:val="4B505160"/>
    <w:rsid w:val="4B9049B6"/>
    <w:rsid w:val="4B9A1456"/>
    <w:rsid w:val="4BA32C82"/>
    <w:rsid w:val="4BD134C2"/>
    <w:rsid w:val="4BE70627"/>
    <w:rsid w:val="4C0A5AE1"/>
    <w:rsid w:val="4C130AB8"/>
    <w:rsid w:val="4C5A284D"/>
    <w:rsid w:val="4C5C0673"/>
    <w:rsid w:val="4CB96B43"/>
    <w:rsid w:val="4CC75FCC"/>
    <w:rsid w:val="4CC87A5E"/>
    <w:rsid w:val="4CD63947"/>
    <w:rsid w:val="4CF957AB"/>
    <w:rsid w:val="4CFC49F4"/>
    <w:rsid w:val="4D073D73"/>
    <w:rsid w:val="4D1E27BA"/>
    <w:rsid w:val="4D23574A"/>
    <w:rsid w:val="4D4C4DB0"/>
    <w:rsid w:val="4D7322D5"/>
    <w:rsid w:val="4D8A1ED5"/>
    <w:rsid w:val="4DD7034C"/>
    <w:rsid w:val="4DE312CB"/>
    <w:rsid w:val="4DF5318E"/>
    <w:rsid w:val="4E1F4862"/>
    <w:rsid w:val="4E2E4393"/>
    <w:rsid w:val="4E535EF2"/>
    <w:rsid w:val="4E9E55D0"/>
    <w:rsid w:val="4F08773C"/>
    <w:rsid w:val="4F102B4E"/>
    <w:rsid w:val="4F31409F"/>
    <w:rsid w:val="4F5955B2"/>
    <w:rsid w:val="4F5E670E"/>
    <w:rsid w:val="4F846A83"/>
    <w:rsid w:val="50070E2C"/>
    <w:rsid w:val="501112F3"/>
    <w:rsid w:val="504B57F2"/>
    <w:rsid w:val="50C5433A"/>
    <w:rsid w:val="50C62BC7"/>
    <w:rsid w:val="50F72A66"/>
    <w:rsid w:val="5123368C"/>
    <w:rsid w:val="5130747C"/>
    <w:rsid w:val="515C765A"/>
    <w:rsid w:val="51905BB3"/>
    <w:rsid w:val="51946FCB"/>
    <w:rsid w:val="51D87A1D"/>
    <w:rsid w:val="51DD796B"/>
    <w:rsid w:val="51DF373B"/>
    <w:rsid w:val="51F83C2D"/>
    <w:rsid w:val="52CA1AD4"/>
    <w:rsid w:val="52EF4CB5"/>
    <w:rsid w:val="52F959F0"/>
    <w:rsid w:val="5302488E"/>
    <w:rsid w:val="53136173"/>
    <w:rsid w:val="533757EA"/>
    <w:rsid w:val="534B12B7"/>
    <w:rsid w:val="539A4AC7"/>
    <w:rsid w:val="5420228D"/>
    <w:rsid w:val="542631B6"/>
    <w:rsid w:val="5447483C"/>
    <w:rsid w:val="5474625A"/>
    <w:rsid w:val="54942CAE"/>
    <w:rsid w:val="54A61722"/>
    <w:rsid w:val="54B31FAF"/>
    <w:rsid w:val="54C211D8"/>
    <w:rsid w:val="54CE2999"/>
    <w:rsid w:val="54E97446"/>
    <w:rsid w:val="551F3E29"/>
    <w:rsid w:val="55326D63"/>
    <w:rsid w:val="555C4076"/>
    <w:rsid w:val="555D1A10"/>
    <w:rsid w:val="56394926"/>
    <w:rsid w:val="56AC4A78"/>
    <w:rsid w:val="56C4713F"/>
    <w:rsid w:val="56DB16B9"/>
    <w:rsid w:val="56F71510"/>
    <w:rsid w:val="577A3463"/>
    <w:rsid w:val="57B05359"/>
    <w:rsid w:val="57F967AD"/>
    <w:rsid w:val="58052975"/>
    <w:rsid w:val="584D1A65"/>
    <w:rsid w:val="584F5C44"/>
    <w:rsid w:val="58504D6C"/>
    <w:rsid w:val="58E525CA"/>
    <w:rsid w:val="58E55347"/>
    <w:rsid w:val="58EE7372"/>
    <w:rsid w:val="593873A0"/>
    <w:rsid w:val="593D045A"/>
    <w:rsid w:val="594921D4"/>
    <w:rsid w:val="59542CE6"/>
    <w:rsid w:val="5960739E"/>
    <w:rsid w:val="59896D0A"/>
    <w:rsid w:val="59972C8B"/>
    <w:rsid w:val="59B72684"/>
    <w:rsid w:val="5A295A8C"/>
    <w:rsid w:val="5A5C4ECF"/>
    <w:rsid w:val="5A9579AE"/>
    <w:rsid w:val="5AC468CD"/>
    <w:rsid w:val="5AEF1058"/>
    <w:rsid w:val="5B342B9A"/>
    <w:rsid w:val="5B5953B0"/>
    <w:rsid w:val="5B630802"/>
    <w:rsid w:val="5B807F68"/>
    <w:rsid w:val="5B822BA5"/>
    <w:rsid w:val="5BA72CE5"/>
    <w:rsid w:val="5C034D53"/>
    <w:rsid w:val="5CC81D66"/>
    <w:rsid w:val="5D722852"/>
    <w:rsid w:val="5E1D6F56"/>
    <w:rsid w:val="5E473CC7"/>
    <w:rsid w:val="5E52187F"/>
    <w:rsid w:val="5E6A13CD"/>
    <w:rsid w:val="5E705D15"/>
    <w:rsid w:val="5E93326C"/>
    <w:rsid w:val="5E9F1A7A"/>
    <w:rsid w:val="5EAF3818"/>
    <w:rsid w:val="5EFB4BA4"/>
    <w:rsid w:val="5EFE2597"/>
    <w:rsid w:val="5F025452"/>
    <w:rsid w:val="5F5F46B5"/>
    <w:rsid w:val="5F6762C1"/>
    <w:rsid w:val="5F985C58"/>
    <w:rsid w:val="5FB25360"/>
    <w:rsid w:val="5FBA3CC0"/>
    <w:rsid w:val="5FD90D61"/>
    <w:rsid w:val="60177697"/>
    <w:rsid w:val="602329DB"/>
    <w:rsid w:val="607777D6"/>
    <w:rsid w:val="609A56B8"/>
    <w:rsid w:val="60BC76A1"/>
    <w:rsid w:val="60F0637F"/>
    <w:rsid w:val="610B7637"/>
    <w:rsid w:val="612279BA"/>
    <w:rsid w:val="615F5624"/>
    <w:rsid w:val="61786FF4"/>
    <w:rsid w:val="61D215CF"/>
    <w:rsid w:val="62593D9F"/>
    <w:rsid w:val="625C563D"/>
    <w:rsid w:val="626A1704"/>
    <w:rsid w:val="627272C9"/>
    <w:rsid w:val="627921C2"/>
    <w:rsid w:val="62A50F2B"/>
    <w:rsid w:val="62B362C8"/>
    <w:rsid w:val="62C1330E"/>
    <w:rsid w:val="6342085E"/>
    <w:rsid w:val="636F415C"/>
    <w:rsid w:val="63D22876"/>
    <w:rsid w:val="64917820"/>
    <w:rsid w:val="64AA1CC5"/>
    <w:rsid w:val="6528341F"/>
    <w:rsid w:val="656B2909"/>
    <w:rsid w:val="659B459C"/>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AA2321"/>
    <w:rsid w:val="68011379"/>
    <w:rsid w:val="680A7420"/>
    <w:rsid w:val="681E1720"/>
    <w:rsid w:val="68252C37"/>
    <w:rsid w:val="68817BAC"/>
    <w:rsid w:val="689A5E59"/>
    <w:rsid w:val="68A94E70"/>
    <w:rsid w:val="68AF7607"/>
    <w:rsid w:val="68EE72DF"/>
    <w:rsid w:val="690B4C92"/>
    <w:rsid w:val="690B7907"/>
    <w:rsid w:val="69175F5C"/>
    <w:rsid w:val="69485FEA"/>
    <w:rsid w:val="69677DC0"/>
    <w:rsid w:val="69937EC7"/>
    <w:rsid w:val="69D64558"/>
    <w:rsid w:val="69D973EC"/>
    <w:rsid w:val="69E3623E"/>
    <w:rsid w:val="6A042548"/>
    <w:rsid w:val="6A471EFD"/>
    <w:rsid w:val="6A480B98"/>
    <w:rsid w:val="6AB57116"/>
    <w:rsid w:val="6B17424A"/>
    <w:rsid w:val="6B2218FA"/>
    <w:rsid w:val="6B570F62"/>
    <w:rsid w:val="6B686C59"/>
    <w:rsid w:val="6B691672"/>
    <w:rsid w:val="6BA17D14"/>
    <w:rsid w:val="6BE97F42"/>
    <w:rsid w:val="6C2063E9"/>
    <w:rsid w:val="6C5E6A51"/>
    <w:rsid w:val="6C6513C3"/>
    <w:rsid w:val="6C744268"/>
    <w:rsid w:val="6C913746"/>
    <w:rsid w:val="6CD62D03"/>
    <w:rsid w:val="6CD817EC"/>
    <w:rsid w:val="6CD97FB6"/>
    <w:rsid w:val="6CE275A2"/>
    <w:rsid w:val="6D0E5050"/>
    <w:rsid w:val="6D4B22B8"/>
    <w:rsid w:val="6D930013"/>
    <w:rsid w:val="6E1A1656"/>
    <w:rsid w:val="6E231DD6"/>
    <w:rsid w:val="6E5A5288"/>
    <w:rsid w:val="6E8E65DD"/>
    <w:rsid w:val="6EBD310B"/>
    <w:rsid w:val="6EE013EE"/>
    <w:rsid w:val="6EE079F1"/>
    <w:rsid w:val="6EE42C42"/>
    <w:rsid w:val="6F240921"/>
    <w:rsid w:val="6F7F7CB0"/>
    <w:rsid w:val="6FE0165C"/>
    <w:rsid w:val="6FE10C44"/>
    <w:rsid w:val="70222744"/>
    <w:rsid w:val="706D25DF"/>
    <w:rsid w:val="706D2B21"/>
    <w:rsid w:val="707B1384"/>
    <w:rsid w:val="70857A34"/>
    <w:rsid w:val="70985D3C"/>
    <w:rsid w:val="71047C73"/>
    <w:rsid w:val="7109004F"/>
    <w:rsid w:val="71103167"/>
    <w:rsid w:val="712E56F7"/>
    <w:rsid w:val="716772A9"/>
    <w:rsid w:val="71691ABB"/>
    <w:rsid w:val="71AD6B5C"/>
    <w:rsid w:val="71AE1AEA"/>
    <w:rsid w:val="71C00FD3"/>
    <w:rsid w:val="71CF3B6C"/>
    <w:rsid w:val="71F80F33"/>
    <w:rsid w:val="722922C6"/>
    <w:rsid w:val="727176A7"/>
    <w:rsid w:val="72CB03A1"/>
    <w:rsid w:val="732D4B5D"/>
    <w:rsid w:val="73393C88"/>
    <w:rsid w:val="7362513F"/>
    <w:rsid w:val="73771D49"/>
    <w:rsid w:val="73A1354E"/>
    <w:rsid w:val="73D20C3F"/>
    <w:rsid w:val="73E035D5"/>
    <w:rsid w:val="743D0241"/>
    <w:rsid w:val="747B7149"/>
    <w:rsid w:val="74855143"/>
    <w:rsid w:val="74A11E7D"/>
    <w:rsid w:val="7550071B"/>
    <w:rsid w:val="75590B0A"/>
    <w:rsid w:val="7582279F"/>
    <w:rsid w:val="75843EB5"/>
    <w:rsid w:val="75912FA2"/>
    <w:rsid w:val="75BB71AF"/>
    <w:rsid w:val="75E62752"/>
    <w:rsid w:val="75F01962"/>
    <w:rsid w:val="760E19DF"/>
    <w:rsid w:val="764E52E0"/>
    <w:rsid w:val="76557F3E"/>
    <w:rsid w:val="76676A53"/>
    <w:rsid w:val="76944574"/>
    <w:rsid w:val="76A3294D"/>
    <w:rsid w:val="76A32C08"/>
    <w:rsid w:val="76B620A1"/>
    <w:rsid w:val="76D61240"/>
    <w:rsid w:val="76D766A5"/>
    <w:rsid w:val="76F20814"/>
    <w:rsid w:val="76F92565"/>
    <w:rsid w:val="77462524"/>
    <w:rsid w:val="77501DCD"/>
    <w:rsid w:val="779A6594"/>
    <w:rsid w:val="77A21064"/>
    <w:rsid w:val="77E34EB2"/>
    <w:rsid w:val="781564B8"/>
    <w:rsid w:val="78224ACF"/>
    <w:rsid w:val="78CD6DCC"/>
    <w:rsid w:val="78D07CAF"/>
    <w:rsid w:val="78DE12D7"/>
    <w:rsid w:val="79210683"/>
    <w:rsid w:val="799C3465"/>
    <w:rsid w:val="79B14EC4"/>
    <w:rsid w:val="7A025270"/>
    <w:rsid w:val="7A2A6B4A"/>
    <w:rsid w:val="7A681070"/>
    <w:rsid w:val="7A860C7C"/>
    <w:rsid w:val="7AB879FE"/>
    <w:rsid w:val="7B3264DD"/>
    <w:rsid w:val="7B81188A"/>
    <w:rsid w:val="7B827630"/>
    <w:rsid w:val="7B8B6F59"/>
    <w:rsid w:val="7B9E2902"/>
    <w:rsid w:val="7BC854E2"/>
    <w:rsid w:val="7C0562EC"/>
    <w:rsid w:val="7C067A45"/>
    <w:rsid w:val="7C0D2ED7"/>
    <w:rsid w:val="7C1C072C"/>
    <w:rsid w:val="7C27683F"/>
    <w:rsid w:val="7C8A5545"/>
    <w:rsid w:val="7CB14B4D"/>
    <w:rsid w:val="7CF26969"/>
    <w:rsid w:val="7D25523C"/>
    <w:rsid w:val="7D492B3F"/>
    <w:rsid w:val="7DB23041"/>
    <w:rsid w:val="7E5F7809"/>
    <w:rsid w:val="7ED56C53"/>
    <w:rsid w:val="7EEA1BAF"/>
    <w:rsid w:val="7F5460D4"/>
    <w:rsid w:val="7F552892"/>
    <w:rsid w:val="7FF83F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qFormat="1" w:uiPriority="0" w:semiHidden="0"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51"/>
    <w:qFormat/>
    <w:uiPriority w:val="9"/>
    <w:pPr>
      <w:keepNext/>
      <w:keepLines/>
      <w:jc w:val="center"/>
      <w:outlineLvl w:val="0"/>
    </w:pPr>
    <w:rPr>
      <w:b/>
      <w:bCs/>
      <w:kern w:val="44"/>
      <w:sz w:val="36"/>
      <w:szCs w:val="44"/>
    </w:rPr>
  </w:style>
  <w:style w:type="paragraph" w:styleId="4">
    <w:name w:val="heading 2"/>
    <w:basedOn w:val="1"/>
    <w:next w:val="1"/>
    <w:link w:val="139"/>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9">
    <w:name w:val="toc 7"/>
    <w:basedOn w:val="1"/>
    <w:next w:val="1"/>
    <w:qFormat/>
    <w:uiPriority w:val="39"/>
    <w:pPr>
      <w:ind w:left="1440"/>
      <w:jc w:val="left"/>
    </w:pPr>
    <w:rPr>
      <w:rFonts w:ascii="Calibri" w:hAnsi="Calibri" w:eastAsia="宋体" w:cs="Times New Roman"/>
      <w:sz w:val="18"/>
      <w:szCs w:val="18"/>
    </w:rPr>
  </w:style>
  <w:style w:type="paragraph" w:styleId="10">
    <w:name w:val="Normal Indent"/>
    <w:basedOn w:val="1"/>
    <w:next w:val="1"/>
    <w:qFormat/>
    <w:uiPriority w:val="99"/>
    <w:pPr>
      <w:ind w:firstLine="420" w:firstLineChars="200"/>
    </w:pPr>
    <w:rPr>
      <w:kern w:val="0"/>
    </w:rPr>
  </w:style>
  <w:style w:type="paragraph" w:styleId="11">
    <w:name w:val="caption"/>
    <w:basedOn w:val="1"/>
    <w:next w:val="1"/>
    <w:qFormat/>
    <w:uiPriority w:val="35"/>
    <w:pPr>
      <w:spacing w:before="152" w:after="160"/>
    </w:pPr>
    <w:rPr>
      <w:rFonts w:ascii="Arial" w:hAnsi="Arial" w:eastAsia="黑体" w:cs="Arial"/>
      <w:sz w:val="20"/>
      <w:szCs w:val="20"/>
    </w:rPr>
  </w:style>
  <w:style w:type="paragraph" w:styleId="12">
    <w:name w:val="Document Map"/>
    <w:basedOn w:val="1"/>
    <w:link w:val="74"/>
    <w:qFormat/>
    <w:uiPriority w:val="0"/>
    <w:pPr>
      <w:shd w:val="clear" w:color="auto" w:fill="000080"/>
    </w:pPr>
    <w:rPr>
      <w:sz w:val="24"/>
    </w:rPr>
  </w:style>
  <w:style w:type="paragraph" w:styleId="13">
    <w:name w:val="toa heading"/>
    <w:basedOn w:val="1"/>
    <w:next w:val="1"/>
    <w:qFormat/>
    <w:uiPriority w:val="99"/>
    <w:pPr>
      <w:spacing w:before="120"/>
    </w:pPr>
    <w:rPr>
      <w:rFonts w:ascii="Arial" w:hAnsi="Arial" w:eastAsia="宋体" w:cs="Arial"/>
      <w:sz w:val="24"/>
      <w:szCs w:val="24"/>
    </w:rPr>
  </w:style>
  <w:style w:type="paragraph" w:styleId="14">
    <w:name w:val="annotation text"/>
    <w:basedOn w:val="1"/>
    <w:link w:val="65"/>
    <w:qFormat/>
    <w:uiPriority w:val="0"/>
    <w:pPr>
      <w:jc w:val="left"/>
    </w:pPr>
  </w:style>
  <w:style w:type="paragraph" w:styleId="15">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6">
    <w:name w:val="Body Text Indent"/>
    <w:basedOn w:val="1"/>
    <w:link w:val="83"/>
    <w:qFormat/>
    <w:uiPriority w:val="99"/>
    <w:pPr>
      <w:spacing w:after="120"/>
      <w:ind w:left="420" w:leftChars="200"/>
    </w:pPr>
    <w:rPr>
      <w:rFonts w:ascii="Calibri" w:hAnsi="Calibri" w:eastAsia="宋体" w:cs="Times New Roman"/>
      <w:szCs w:val="20"/>
    </w:rPr>
  </w:style>
  <w:style w:type="paragraph" w:styleId="17">
    <w:name w:val="index 4"/>
    <w:basedOn w:val="1"/>
    <w:next w:val="1"/>
    <w:qFormat/>
    <w:uiPriority w:val="0"/>
    <w:pPr>
      <w:ind w:left="600" w:leftChars="600"/>
    </w:pPr>
  </w:style>
  <w:style w:type="paragraph" w:styleId="18">
    <w:name w:val="toc 5"/>
    <w:basedOn w:val="1"/>
    <w:next w:val="1"/>
    <w:qFormat/>
    <w:uiPriority w:val="39"/>
    <w:pPr>
      <w:ind w:left="960"/>
      <w:jc w:val="left"/>
    </w:pPr>
    <w:rPr>
      <w:rFonts w:ascii="Calibri" w:hAnsi="Calibri" w:eastAsia="宋体" w:cs="Times New Roman"/>
      <w:sz w:val="18"/>
      <w:szCs w:val="18"/>
    </w:rPr>
  </w:style>
  <w:style w:type="paragraph" w:styleId="19">
    <w:name w:val="toc 3"/>
    <w:basedOn w:val="1"/>
    <w:next w:val="1"/>
    <w:qFormat/>
    <w:uiPriority w:val="39"/>
    <w:pPr>
      <w:ind w:left="480"/>
      <w:jc w:val="left"/>
    </w:pPr>
    <w:rPr>
      <w:rFonts w:ascii="Calibri" w:hAnsi="Calibri" w:eastAsia="宋体" w:cs="Times New Roman"/>
      <w:i/>
      <w:iCs/>
      <w:sz w:val="20"/>
      <w:szCs w:val="20"/>
    </w:rPr>
  </w:style>
  <w:style w:type="paragraph" w:styleId="20">
    <w:name w:val="Plain Text"/>
    <w:basedOn w:val="1"/>
    <w:link w:val="76"/>
    <w:qFormat/>
    <w:uiPriority w:val="0"/>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7"/>
    <w:qFormat/>
    <w:uiPriority w:val="0"/>
    <w:pPr>
      <w:ind w:left="100" w:leftChars="2500"/>
    </w:pPr>
    <w:rPr>
      <w:sz w:val="24"/>
    </w:rPr>
  </w:style>
  <w:style w:type="paragraph" w:styleId="23">
    <w:name w:val="Body Text Indent 2"/>
    <w:basedOn w:val="1"/>
    <w:link w:val="55"/>
    <w:qFormat/>
    <w:uiPriority w:val="0"/>
    <w:pPr>
      <w:spacing w:after="120" w:line="480" w:lineRule="auto"/>
      <w:ind w:left="420" w:leftChars="200"/>
    </w:pPr>
  </w:style>
  <w:style w:type="paragraph" w:styleId="24">
    <w:name w:val="Balloon Text"/>
    <w:basedOn w:val="1"/>
    <w:link w:val="71"/>
    <w:qFormat/>
    <w:uiPriority w:val="0"/>
    <w:rPr>
      <w:sz w:val="18"/>
    </w:rPr>
  </w:style>
  <w:style w:type="paragraph" w:styleId="25">
    <w:name w:val="footer"/>
    <w:basedOn w:val="1"/>
    <w:next w:val="1"/>
    <w:link w:val="77"/>
    <w:qFormat/>
    <w:uiPriority w:val="99"/>
    <w:pPr>
      <w:tabs>
        <w:tab w:val="center" w:pos="4153"/>
        <w:tab w:val="right" w:pos="8306"/>
      </w:tabs>
      <w:snapToGrid w:val="0"/>
      <w:jc w:val="left"/>
    </w:pPr>
    <w:rPr>
      <w:sz w:val="18"/>
    </w:rPr>
  </w:style>
  <w:style w:type="paragraph" w:styleId="26">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Subtitle"/>
    <w:basedOn w:val="1"/>
    <w:next w:val="1"/>
    <w:qFormat/>
    <w:uiPriority w:val="0"/>
    <w:pPr>
      <w:spacing w:line="360" w:lineRule="auto"/>
      <w:ind w:firstLine="200" w:firstLineChars="200"/>
      <w:outlineLvl w:val="1"/>
    </w:pPr>
    <w:rPr>
      <w:rFonts w:ascii="宋体" w:eastAsia="宋体"/>
      <w:bCs/>
      <w:kern w:val="28"/>
      <w:sz w:val="24"/>
      <w:szCs w:val="32"/>
    </w:rPr>
  </w:style>
  <w:style w:type="paragraph" w:styleId="30">
    <w:name w:val="List"/>
    <w:basedOn w:val="1"/>
    <w:qFormat/>
    <w:uiPriority w:val="99"/>
    <w:pPr>
      <w:ind w:left="420" w:hanging="420"/>
    </w:pPr>
    <w:rPr>
      <w:rFonts w:ascii="Times New Roman" w:hAnsi="Times New Roman" w:eastAsia="宋体" w:cs="Times New Roman"/>
      <w:szCs w:val="20"/>
    </w:rPr>
  </w:style>
  <w:style w:type="paragraph" w:styleId="31">
    <w:name w:val="toc 6"/>
    <w:basedOn w:val="1"/>
    <w:next w:val="1"/>
    <w:qFormat/>
    <w:uiPriority w:val="39"/>
    <w:pPr>
      <w:ind w:left="1200"/>
      <w:jc w:val="left"/>
    </w:pPr>
    <w:rPr>
      <w:rFonts w:ascii="Calibri" w:hAnsi="Calibri" w:eastAsia="宋体" w:cs="Times New Roman"/>
      <w:sz w:val="18"/>
      <w:szCs w:val="18"/>
    </w:rPr>
  </w:style>
  <w:style w:type="paragraph" w:styleId="32">
    <w:name w:val="Body Text Indent 3"/>
    <w:basedOn w:val="1"/>
    <w:link w:val="57"/>
    <w:qFormat/>
    <w:uiPriority w:val="0"/>
    <w:pPr>
      <w:spacing w:after="120"/>
      <w:ind w:left="420" w:leftChars="200"/>
    </w:pPr>
    <w:rPr>
      <w:sz w:val="16"/>
    </w:rPr>
  </w:style>
  <w:style w:type="paragraph" w:styleId="33">
    <w:name w:val="index 9"/>
    <w:basedOn w:val="1"/>
    <w:next w:val="1"/>
    <w:unhideWhenUsed/>
    <w:qFormat/>
    <w:uiPriority w:val="0"/>
    <w:pPr>
      <w:ind w:left="2520" w:hanging="280"/>
    </w:pPr>
    <w:rPr>
      <w:rFonts w:eastAsia="仿宋"/>
      <w:sz w:val="28"/>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4"/>
    <w:next w:val="14"/>
    <w:link w:val="56"/>
    <w:qFormat/>
    <w:uiPriority w:val="0"/>
    <w:rPr>
      <w:b/>
    </w:rPr>
  </w:style>
  <w:style w:type="paragraph" w:styleId="40">
    <w:name w:val="Body Text First Indent 2"/>
    <w:basedOn w:val="16"/>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3"/>
    <w:qFormat/>
    <w:uiPriority w:val="9"/>
    <w:rPr>
      <w:rFonts w:ascii="Calibri" w:hAnsi="Calibri" w:eastAsia="宋体" w:cs="Times New Roman"/>
      <w:b/>
      <w:bCs/>
      <w:kern w:val="44"/>
      <w:sz w:val="36"/>
      <w:szCs w:val="44"/>
    </w:rPr>
  </w:style>
  <w:style w:type="character" w:customStyle="1" w:styleId="52">
    <w:name w:val="标题 2 字符"/>
    <w:basedOn w:val="43"/>
    <w:link w:val="4"/>
    <w:qFormat/>
    <w:uiPriority w:val="9"/>
    <w:rPr>
      <w:rFonts w:ascii="Arial" w:hAnsi="Arial" w:eastAsia="宋体" w:cs="Times New Roman"/>
      <w:b/>
      <w:bCs/>
      <w:sz w:val="24"/>
      <w:szCs w:val="32"/>
    </w:rPr>
  </w:style>
  <w:style w:type="character" w:customStyle="1" w:styleId="53">
    <w:name w:val="标题 3 字符"/>
    <w:basedOn w:val="43"/>
    <w:link w:val="5"/>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3"/>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2"/>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6"/>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4"/>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2"/>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4"/>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2"/>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0"/>
    <w:qFormat/>
    <w:locked/>
    <w:uiPriority w:val="0"/>
    <w:rPr>
      <w:rFonts w:ascii="宋体" w:hAnsi="Courier New"/>
    </w:rPr>
  </w:style>
  <w:style w:type="character" w:customStyle="1" w:styleId="77">
    <w:name w:val="页脚 字符"/>
    <w:link w:val="25"/>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6"/>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0"/>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4"/>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5"/>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7">
    <w:name w:val="标题 5（有编号）（绿盟科技）"/>
    <w:basedOn w:val="1"/>
    <w:next w:val="138"/>
    <w:qFormat/>
    <w:uiPriority w:val="0"/>
    <w:pPr>
      <w:keepNext/>
      <w:keepLines/>
      <w:numPr>
        <w:ilvl w:val="4"/>
        <w:numId w:val="1"/>
      </w:numPr>
      <w:spacing w:before="280" w:after="156" w:line="377" w:lineRule="auto"/>
      <w:outlineLvl w:val="4"/>
    </w:pPr>
    <w:rPr>
      <w:rFonts w:ascii="Arial" w:hAnsi="Arial" w:eastAsia="黑体" w:cs="Times New Roman"/>
      <w:b/>
      <w:sz w:val="24"/>
      <w:szCs w:val="28"/>
    </w:rPr>
  </w:style>
  <w:style w:type="paragraph" w:customStyle="1" w:styleId="138">
    <w:name w:val="正文（绿盟科技）"/>
    <w:unhideWhenUsed/>
    <w:qFormat/>
    <w:uiPriority w:val="0"/>
    <w:pPr>
      <w:spacing w:beforeLines="0" w:afterLines="0" w:line="300" w:lineRule="auto"/>
    </w:pPr>
    <w:rPr>
      <w:rFonts w:hint="default" w:ascii="Arial" w:hAnsi="Arial" w:eastAsia="宋体" w:cs="Times New Roman"/>
      <w:sz w:val="21"/>
      <w:szCs w:val="21"/>
      <w:lang w:val="en-US" w:eastAsia="zh-CN" w:bidi="ar-SA"/>
    </w:rPr>
  </w:style>
  <w:style w:type="character" w:customStyle="1" w:styleId="139">
    <w:name w:val="标题 2 Char"/>
    <w:basedOn w:val="43"/>
    <w:link w:val="4"/>
    <w:qFormat/>
    <w:uiPriority w:val="0"/>
    <w:rPr>
      <w:rFonts w:ascii="Arial" w:hAnsi="Arial" w:eastAsia="宋体" w:cs="宋体"/>
      <w:b/>
      <w:kern w:val="2"/>
      <w:sz w:val="30"/>
      <w:lang w:val="en-US" w:eastAsia="zh-CN"/>
    </w:rPr>
  </w:style>
  <w:style w:type="table" w:customStyle="1" w:styleId="140">
    <w:name w:val="Table Normal1"/>
    <w:semiHidden/>
    <w:unhideWhenUsed/>
    <w:qFormat/>
    <w:uiPriority w:val="0"/>
    <w:rPr>
      <w:rFonts w:ascii="Calibri" w:hAnsi="Calibri"/>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12.png"/><Relationship Id="rId54" Type="http://schemas.openxmlformats.org/officeDocument/2006/relationships/image" Target="media/image11.png"/><Relationship Id="rId53" Type="http://schemas.openxmlformats.org/officeDocument/2006/relationships/image" Target="media/image10.png"/><Relationship Id="rId52" Type="http://schemas.openxmlformats.org/officeDocument/2006/relationships/image" Target="media/image9.png"/><Relationship Id="rId51" Type="http://schemas.openxmlformats.org/officeDocument/2006/relationships/image" Target="media/image8.png"/><Relationship Id="rId50" Type="http://schemas.openxmlformats.org/officeDocument/2006/relationships/image" Target="media/image7.png"/><Relationship Id="rId5" Type="http://schemas.openxmlformats.org/officeDocument/2006/relationships/header" Target="header1.xml"/><Relationship Id="rId49" Type="http://schemas.openxmlformats.org/officeDocument/2006/relationships/image" Target="media/image6.png"/><Relationship Id="rId48" Type="http://schemas.openxmlformats.org/officeDocument/2006/relationships/image" Target="media/image5.png"/><Relationship Id="rId47" Type="http://schemas.openxmlformats.org/officeDocument/2006/relationships/image" Target="media/image4.png"/><Relationship Id="rId46" Type="http://schemas.openxmlformats.org/officeDocument/2006/relationships/image" Target="media/image3.png"/><Relationship Id="rId45" Type="http://schemas.openxmlformats.org/officeDocument/2006/relationships/image" Target="media/image2.png"/><Relationship Id="rId44" Type="http://schemas.openxmlformats.org/officeDocument/2006/relationships/image" Target="media/image1.png"/><Relationship Id="rId43" Type="http://schemas.openxmlformats.org/officeDocument/2006/relationships/theme" Target="theme/theme1.xml"/><Relationship Id="rId42" Type="http://schemas.openxmlformats.org/officeDocument/2006/relationships/footer" Target="footer31.xml"/><Relationship Id="rId41" Type="http://schemas.openxmlformats.org/officeDocument/2006/relationships/footer" Target="footer30.xml"/><Relationship Id="rId40" Type="http://schemas.openxmlformats.org/officeDocument/2006/relationships/header" Target="header9.xml"/><Relationship Id="rId4" Type="http://schemas.openxmlformats.org/officeDocument/2006/relationships/footer" Target="footer2.xml"/><Relationship Id="rId39" Type="http://schemas.openxmlformats.org/officeDocument/2006/relationships/header" Target="header8.xml"/><Relationship Id="rId38" Type="http://schemas.openxmlformats.org/officeDocument/2006/relationships/footer" Target="footer29.xml"/><Relationship Id="rId37" Type="http://schemas.openxmlformats.org/officeDocument/2006/relationships/footer" Target="footer28.xml"/><Relationship Id="rId36" Type="http://schemas.openxmlformats.org/officeDocument/2006/relationships/header" Target="header7.xml"/><Relationship Id="rId35" Type="http://schemas.openxmlformats.org/officeDocument/2006/relationships/header" Target="header6.xml"/><Relationship Id="rId34" Type="http://schemas.openxmlformats.org/officeDocument/2006/relationships/footer" Target="footer27.xml"/><Relationship Id="rId33" Type="http://schemas.openxmlformats.org/officeDocument/2006/relationships/footer" Target="footer26.xml"/><Relationship Id="rId32" Type="http://schemas.openxmlformats.org/officeDocument/2006/relationships/footer" Target="footer25.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footer" Target="foot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4097"/>
    <customShpInfo spid="_x0000_s4098"/>
    <customShpInfo spid="_x0000_s4099"/>
    <customShpInfo spid="_x0000_s4100"/>
    <customShpInfo spid="_x0000_s4101"/>
    <customShpInfo spid="_x0000_s4102"/>
    <customShpInfo spid="_x0000_s4103"/>
    <customShpInfo spid="_x0000_s4104"/>
    <customShpInfo spid="_x0000_s4105"/>
    <customShpInfo spid="_x0000_s4106"/>
    <customShpInfo spid="_x0000_s4107"/>
    <customShpInfo spid="_x0000_s4108"/>
    <customShpInfo spid="_x0000_s4109"/>
    <customShpInfo spid="_x0000_s4110"/>
    <customShpInfo spid="_x0000_s4139"/>
    <customShpInfo spid="_x0000_s4140"/>
    <customShpInfo spid="_x0000_s4141"/>
    <customShpInfo spid="_x0000_s4142"/>
    <customShpInfo spid="_x0000_s4143"/>
    <customShpInfo spid="_x0000_s4144"/>
    <customShpInfo spid="_x0000_s4145"/>
    <customShpInfo spid="_x0000_s4146"/>
    <customShpInfo spid="_x0000_s4147"/>
    <customShpInfo spid="_x0000_s4148"/>
    <customShpInfo spid="_x0000_s4149"/>
    <customShpInfo spid="_x0000_s4150"/>
    <customShpInfo spid="_x0000_s4151"/>
    <customShpInfo spid="_x0000_s4152"/>
    <customShpInfo spid="_x0000_s4125"/>
    <customShpInfo spid="_x0000_s4126"/>
    <customShpInfo spid="_x0000_s4127"/>
    <customShpInfo spid="_x0000_s4128"/>
    <customShpInfo spid="_x0000_s4129"/>
    <customShpInfo spid="_x0000_s4130"/>
    <customShpInfo spid="_x0000_s4131"/>
    <customShpInfo spid="_x0000_s4132"/>
    <customShpInfo spid="_x0000_s4133"/>
    <customShpInfo spid="_x0000_s4134"/>
    <customShpInfo spid="_x0000_s4135"/>
    <customShpInfo spid="_x0000_s4136"/>
    <customShpInfo spid="_x0000_s4137"/>
    <customShpInfo spid="_x0000_s4138"/>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80</Pages>
  <Words>31566</Words>
  <Characters>33036</Characters>
  <Lines>305</Lines>
  <Paragraphs>86</Paragraphs>
  <TotalTime>7</TotalTime>
  <ScaleCrop>false</ScaleCrop>
  <LinksUpToDate>false</LinksUpToDate>
  <CharactersWithSpaces>39379</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赵翊旭</cp:lastModifiedBy>
  <cp:lastPrinted>2022-07-01T03:19:00Z</cp:lastPrinted>
  <dcterms:modified xsi:type="dcterms:W3CDTF">2025-04-23T06:04:49Z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y fmtid="{D5CDD505-2E9C-101B-9397-08002B2CF9AE}" pid="4" name="5B77E7CEEC58BC6AFAE8886BEB80DBEB">
    <vt:lpwstr>otCYQxs9Dbw2bUEn/Soxv9pYAoWsCRIsU8+gIbxzzmNcJN13+qHIPyWmbF9hFzPHyi2m8DLwi54E5OVVM5pJ0yGmgAiYTaR6oYUdYZxdjep6I9xviFUFZ9aTScfBW9OGv0S0dwI5CT88AHn/SB1gTHmEr896j3B0ja62b7Fvv5ivooEeSpLwjwpfudRbYH91pJZp5dQYAcrIXhypAttS/pVM4iIT0JriRz11TC2HWtvFZrskCAF3dngOjzt0QzQ6YNMY+PiUQOEm4utjQhLsafSzPMo/NaJrb4zfZcb9wqbNtsvh6C+SrpUrZG5Oqi8g9YCRWK5DHeGtpz3DkxfGcLvVlt2RfvjU7xTGI/gYhiNx3WdkWLpAQrvTaowT4uCKK9QUdtMi+BKNy1JqsuLJXDPP5NYjtZWv8rnky+JyXmI9+Ov5rNvfde93FvybcMploVjEIz9cCfsxvSXtDT4QWFK/s2vUEdXqi9oFzz6QEm8i7U2YL7baCkLgMhhxvtp2T2mRo13rtPvO8QXQWFQjhagqn//jb0+B14Supx82RO2oSNuURAEFtffK4wM+rcrM1mAay85kKiu7kjDVxmRpNSg5bTRaj/2mPbTwDZUkE6Y=</vt:lpwstr>
  </property>
</Properties>
</file>