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中国重汽集团济南商用车胎压监测标定设备项目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29994"/>
      <w:bookmarkStart w:id="1" w:name="_Toc5202"/>
      <w:bookmarkStart w:id="2" w:name="_Toc15480"/>
      <w:bookmarkStart w:id="3" w:name="_Toc23693"/>
      <w:bookmarkStart w:id="4" w:name="_Toc22242"/>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中国重汽集团济南商用车胎压监测标定设备项目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CGZX2025030139</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中国重汽集团济南商用车胎压监测标定设备项目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1.14</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67E82992">
            <w:pPr>
              <w:pStyle w:val="19"/>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100</w:t>
            </w:r>
            <w:r>
              <w:rPr>
                <w:rFonts w:hint="eastAsia" w:ascii="仿宋_GB2312" w:hAnsi="仿宋_GB2312" w:eastAsia="仿宋_GB2312" w:cs="仿宋_GB2312"/>
                <w:sz w:val="24"/>
                <w:szCs w:val="24"/>
                <w:highlight w:val="yellow"/>
              </w:rPr>
              <w:t>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该项目不允许代理商参标。</w:t>
            </w:r>
          </w:p>
          <w:p w14:paraId="72BF9480">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14:paraId="5ED061D4">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14:paraId="3F9ACB45">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14:paraId="2AA70B46">
            <w:pPr>
              <w:pStyle w:val="19"/>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14:paraId="3FDA1219">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14:paraId="68BA9A3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4BAE16C">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需要提供2020年至今的同类制造业合同案例，且合同案例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2A61B15">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14:paraId="40EC7E3E">
            <w:pPr>
              <w:pStyle w:val="19"/>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14:paraId="3563D9A1">
            <w:pPr>
              <w:pStyle w:val="19"/>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14:paraId="3BD6119D">
            <w:pPr>
              <w:pStyle w:val="19"/>
              <w:spacing w:line="360" w:lineRule="auto"/>
              <w:ind w:firstLine="480" w:firstLineChars="20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12.投标方应保证所供货物（或设备）必须符合当前国家或地方最新安全、环保、消防、职业健康最新法律、法规及《机械制造企业安全生产标准化规范》各项要求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CDCCE7C">
            <w:pPr>
              <w:pStyle w:val="19"/>
              <w:spacing w:line="360" w:lineRule="auto"/>
              <w:ind w:firstLine="480" w:firstLineChars="200"/>
              <w:rPr>
                <w:rFonts w:hint="eastAsia" w:ascii="仿宋_GB2312" w:hAnsi="仿宋_GB2312" w:eastAsia="仿宋_GB2312" w:cs="仿宋_GB2312"/>
                <w:sz w:val="24"/>
                <w:szCs w:val="24"/>
                <w:highlight w:val="yellow"/>
                <w:lang w:eastAsia="zh-CN"/>
              </w:rPr>
            </w:pPr>
          </w:p>
          <w:p w14:paraId="1180C8C4">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22</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75"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4</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25</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28</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w:t>
            </w:r>
            <w:bookmarkStart w:id="198" w:name="_GoBack"/>
            <w:bookmarkEnd w:id="198"/>
            <w:r>
              <w:rPr>
                <w:rFonts w:hint="eastAsia" w:ascii="仿宋_GB2312" w:hAnsi="仿宋_GB2312" w:eastAsia="仿宋_GB2312" w:cs="仿宋_GB2312"/>
                <w:sz w:val="24"/>
                <w:szCs w:val="24"/>
              </w:rPr>
              <w:t>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30</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5</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8</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5000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30</w:t>
            </w:r>
            <w:r>
              <w:rPr>
                <w:rFonts w:hint="eastAsia" w:ascii="仿宋_GB2312" w:hAnsi="仿宋_GB2312" w:eastAsia="仿宋_GB2312" w:cs="仿宋_GB2312"/>
                <w:sz w:val="24"/>
                <w:szCs w:val="24"/>
                <w:highlight w:val="green"/>
              </w:rPr>
              <w:t>日17：00前（同应标截止时间）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A5B6371">
            <w:pPr>
              <w:pStyle w:val="19"/>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自发出中标通知书之日起，40天内</w:t>
            </w:r>
            <w:r>
              <w:rPr>
                <w:rFonts w:hint="eastAsia" w:ascii="仿宋_GB2312" w:hAnsi="仿宋_GB2312" w:eastAsia="仿宋_GB2312" w:cs="仿宋_GB2312"/>
                <w:color w:val="000000"/>
                <w:sz w:val="24"/>
                <w:szCs w:val="24"/>
                <w:lang w:val="en-US" w:eastAsia="zh-CN"/>
              </w:rPr>
              <w:t>到货。</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交货地点：济南商用车制造公司（章丘重汽工业园）</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1A9DE04D">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A.设备验收合格后，中标人提交金额为合同价款90%的收据并提供合同价款100%的增值税专用发票（含复印件二份），经招标人依照财务制度审核通过后30日支付；</w:t>
            </w:r>
          </w:p>
          <w:p w14:paraId="40182B4F">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B.合同总价款的10%作为本合同约定设备的质量保证金，质量保证金在质量保证期内不计利息。质保期届满后支付。</w:t>
            </w:r>
          </w:p>
          <w:p w14:paraId="6F421395">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53ECAEEA">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6577"/>
      <w:bookmarkStart w:id="8" w:name="_Toc19183"/>
      <w:bookmarkStart w:id="9" w:name="_Toc9448"/>
      <w:bookmarkStart w:id="10" w:name="_Toc27087"/>
      <w:bookmarkStart w:id="11" w:name="_Toc10195"/>
      <w:bookmarkStart w:id="12" w:name="_Toc427"/>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3266914"/>
      <w:bookmarkStart w:id="20" w:name="_Toc33265752"/>
      <w:bookmarkStart w:id="21" w:name="_Toc33285487"/>
      <w:bookmarkStart w:id="22" w:name="_Toc30534"/>
      <w:bookmarkStart w:id="23" w:name="_Toc33266627"/>
      <w:bookmarkStart w:id="24" w:name="_Toc33265653"/>
      <w:bookmarkStart w:id="25" w:name="_Toc33266950"/>
      <w:bookmarkStart w:id="26" w:name="_Toc33267001"/>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6628"/>
      <w:bookmarkStart w:id="29" w:name="_Toc33285489"/>
      <w:bookmarkStart w:id="30" w:name="_Toc33267002"/>
      <w:bookmarkStart w:id="31" w:name="_Toc33265753"/>
      <w:bookmarkStart w:id="32" w:name="_Toc33266915"/>
      <w:bookmarkStart w:id="33" w:name="_Toc33266951"/>
      <w:bookmarkStart w:id="34" w:name="_Toc33265654"/>
      <w:bookmarkStart w:id="35" w:name="_Toc395116634"/>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6"/>
      <w:bookmarkStart w:id="40" w:name="OLE_LINK29"/>
      <w:bookmarkStart w:id="41" w:name="OLE_LINK27"/>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1E537202">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21022"/>
      <w:bookmarkStart w:id="45" w:name="_Toc2363"/>
      <w:bookmarkStart w:id="46" w:name="_Toc1495"/>
      <w:bookmarkStart w:id="47" w:name="_Toc31869"/>
      <w:bookmarkStart w:id="48" w:name="_Toc762"/>
      <w:bookmarkStart w:id="49" w:name="_Toc13479"/>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1D7756A">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6346"/>
      <w:bookmarkStart w:id="59" w:name="_Toc3372"/>
      <w:bookmarkStart w:id="60" w:name="_Toc8032"/>
      <w:bookmarkStart w:id="61" w:name="_Toc6957"/>
      <w:bookmarkStart w:id="62" w:name="_Toc30738"/>
      <w:bookmarkStart w:id="63" w:name="_Toc23870"/>
      <w:bookmarkStart w:id="64" w:name="_Toc7511"/>
      <w:bookmarkStart w:id="65" w:name="_Toc13562"/>
      <w:bookmarkStart w:id="66" w:name="_Toc14517"/>
      <w:bookmarkStart w:id="67" w:name="_Toc20272"/>
      <w:bookmarkStart w:id="68" w:name="_Toc11355"/>
      <w:bookmarkStart w:id="69" w:name="_Toc24913"/>
      <w:bookmarkStart w:id="70" w:name="_Toc18606"/>
      <w:bookmarkStart w:id="71" w:name="_Toc12563"/>
      <w:bookmarkStart w:id="72" w:name="_Toc4483"/>
      <w:bookmarkStart w:id="73" w:name="_Toc21497"/>
      <w:bookmarkStart w:id="74" w:name="_Toc24964"/>
      <w:bookmarkStart w:id="75" w:name="_Toc4532"/>
      <w:bookmarkStart w:id="76" w:name="_Toc13555"/>
      <w:bookmarkStart w:id="77" w:name="_Toc7110"/>
      <w:bookmarkStart w:id="78" w:name="_Toc18182"/>
      <w:bookmarkStart w:id="79" w:name="_Toc18805"/>
      <w:bookmarkStart w:id="80" w:name="_Toc13605"/>
      <w:bookmarkStart w:id="81" w:name="_Toc133783966"/>
      <w:bookmarkStart w:id="82" w:name="_Toc22649"/>
      <w:bookmarkStart w:id="83" w:name="_Toc13988"/>
      <w:bookmarkStart w:id="84" w:name="_Toc8202"/>
      <w:bookmarkStart w:id="85" w:name="_Toc4029"/>
      <w:bookmarkStart w:id="86" w:name="_Toc16358"/>
      <w:bookmarkStart w:id="87" w:name="_Toc12552"/>
      <w:bookmarkStart w:id="88" w:name="_Toc3565"/>
      <w:bookmarkStart w:id="89" w:name="_Toc28236"/>
      <w:bookmarkStart w:id="90" w:name="_Toc19672"/>
      <w:bookmarkStart w:id="91" w:name="_Toc20467"/>
      <w:bookmarkStart w:id="92" w:name="_Toc1884"/>
      <w:bookmarkStart w:id="93" w:name="_Toc12714"/>
      <w:bookmarkStart w:id="94" w:name="_Toc4194"/>
      <w:bookmarkStart w:id="95" w:name="_Toc32378"/>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08F45C39">
      <w:pPr>
        <w:pStyle w:val="19"/>
      </w:pPr>
    </w:p>
    <w:p w14:paraId="1DE11E7A">
      <w:pPr>
        <w:keepNext/>
        <w:keepLines/>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中国重汽集团济南商用车</w:t>
      </w:r>
    </w:p>
    <w:p w14:paraId="2F03A50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lang w:eastAsia="zh-CN"/>
        </w:rPr>
        <w:t>胎压监测标定设备项目</w:t>
      </w:r>
    </w:p>
    <w:p w14:paraId="39DE2F05">
      <w:pPr>
        <w:jc w:val="right"/>
        <w:rPr>
          <w:rFonts w:ascii="Calibri" w:hAnsi="Calibri" w:eastAsia="宋体" w:cs="Times New Roman"/>
          <w:color w:val="000000"/>
          <w:sz w:val="28"/>
          <w:szCs w:val="28"/>
        </w:rPr>
      </w:pPr>
    </w:p>
    <w:p w14:paraId="1BBE9EDF">
      <w:pPr>
        <w:pStyle w:val="19"/>
      </w:pPr>
    </w:p>
    <w:p w14:paraId="7AE1927F">
      <w:pPr>
        <w:jc w:val="center"/>
        <w:rPr>
          <w:rFonts w:hint="eastAsia" w:ascii="黑体" w:hAnsi="宋体" w:eastAsia="黑体" w:cs="Times New Roman"/>
          <w:color w:val="000000"/>
          <w:sz w:val="72"/>
          <w:szCs w:val="72"/>
        </w:rPr>
      </w:pPr>
    </w:p>
    <w:p w14:paraId="3ABE08E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76835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DEEFD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A37FA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64986F">
      <w:pPr>
        <w:pStyle w:val="19"/>
      </w:pPr>
    </w:p>
    <w:p w14:paraId="4738BCDB">
      <w:pPr>
        <w:pStyle w:val="19"/>
        <w:rPr>
          <w:rFonts w:hint="eastAsia" w:ascii="黑体" w:hAnsi="宋体" w:eastAsia="黑体" w:cs="Times New Roman"/>
          <w:color w:val="000000"/>
          <w:sz w:val="72"/>
          <w:szCs w:val="72"/>
        </w:rPr>
      </w:pPr>
    </w:p>
    <w:p w14:paraId="66B1F200">
      <w:pPr>
        <w:pStyle w:val="19"/>
        <w:rPr>
          <w:rFonts w:hint="eastAsia" w:ascii="黑体" w:hAnsi="宋体" w:eastAsia="黑体" w:cs="Times New Roman"/>
          <w:color w:val="000000"/>
          <w:sz w:val="72"/>
          <w:szCs w:val="72"/>
        </w:rPr>
      </w:pPr>
    </w:p>
    <w:p w14:paraId="539DDF0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8251D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8A31F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ACC067">
      <w:pPr>
        <w:pStyle w:val="19"/>
        <w:rPr>
          <w:b/>
          <w:bCs/>
        </w:rPr>
      </w:pPr>
    </w:p>
    <w:p w14:paraId="525E152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p>
    <w:p w14:paraId="7E5F061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6EF46D46">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A00A385">
      <w:pPr>
        <w:pStyle w:val="2"/>
        <w:jc w:val="center"/>
      </w:pPr>
      <w:sdt>
        <w:sdtPr>
          <w:rPr>
            <w:rFonts w:hint="eastAsia"/>
          </w:rPr>
          <w:id w:val="147465172"/>
          <w:showingPlcHdr/>
          <w:docPartObj>
            <w:docPartGallery w:val="Table of Contents"/>
            <w:docPartUnique/>
          </w:docPartObj>
        </w:sdtPr>
        <w:sdtEndPr>
          <w:rPr>
            <w:rFonts w:hint="eastAsia"/>
          </w:rPr>
        </w:sdtEndPr>
        <w:sdtContent>
          <w:r>
            <w:rPr>
              <w:rFonts w:hint="eastAsia"/>
              <w:lang w:eastAsia="zh-CN"/>
            </w:rPr>
            <w:t xml:space="preserve">     </w:t>
          </w:r>
        </w:sdtContent>
      </w:sdt>
      <w:r>
        <w:rPr>
          <w:rFonts w:hint="eastAsia"/>
        </w:rPr>
        <w:t>一、项目概况</w:t>
      </w:r>
    </w:p>
    <w:p w14:paraId="56C12895">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济南商用车调试分线在整车调检过程中，</w:t>
      </w:r>
      <w:r>
        <w:rPr>
          <w:rFonts w:hint="eastAsia" w:asciiTheme="minorEastAsia" w:hAnsiTheme="minorEastAsia" w:eastAsiaTheme="minorEastAsia"/>
          <w:sz w:val="24"/>
          <w:szCs w:val="24"/>
          <w:lang w:val="en-US" w:eastAsia="zh-CN"/>
        </w:rPr>
        <w:t>对选装胎压报警功能的车型，需要进行功能检测，购置三台检测</w:t>
      </w:r>
      <w:r>
        <w:rPr>
          <w:rFonts w:hint="eastAsia" w:asciiTheme="minorEastAsia" w:hAnsiTheme="minorEastAsia" w:eastAsiaTheme="minorEastAsia"/>
          <w:sz w:val="24"/>
          <w:szCs w:val="24"/>
        </w:rPr>
        <w:t>设备。</w:t>
      </w:r>
    </w:p>
    <w:p w14:paraId="639451B6">
      <w:pPr>
        <w:spacing w:line="360" w:lineRule="auto"/>
        <w:jc w:val="center"/>
        <w:rPr>
          <w:rFonts w:asciiTheme="minorEastAsia" w:hAnsiTheme="minorEastAsia" w:eastAsiaTheme="minorEastAsia"/>
          <w:b/>
          <w:bCs/>
          <w:kern w:val="0"/>
          <w:sz w:val="28"/>
          <w:szCs w:val="28"/>
        </w:rPr>
      </w:pPr>
      <w:r>
        <w:rPr>
          <w:rFonts w:hint="eastAsia" w:asciiTheme="minorEastAsia" w:hAnsiTheme="minorEastAsia" w:eastAsiaTheme="minorEastAsia"/>
          <w:b/>
          <w:bCs/>
          <w:kern w:val="0"/>
          <w:sz w:val="28"/>
          <w:szCs w:val="28"/>
        </w:rPr>
        <w:t>二、使用环境</w:t>
      </w:r>
    </w:p>
    <w:p w14:paraId="6645545C">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.产能：双班1</w:t>
      </w:r>
      <w:r>
        <w:rPr>
          <w:rFonts w:asciiTheme="minorEastAsia" w:hAnsiTheme="minorEastAsia" w:eastAsiaTheme="minorEastAsia"/>
          <w:sz w:val="24"/>
          <w:szCs w:val="24"/>
        </w:rPr>
        <w:t>0</w:t>
      </w:r>
      <w:r>
        <w:rPr>
          <w:rFonts w:hint="eastAsia" w:asciiTheme="minorEastAsia" w:hAnsiTheme="minorEastAsia" w:eastAsiaTheme="minorEastAsia"/>
          <w:sz w:val="24"/>
          <w:szCs w:val="24"/>
        </w:rPr>
        <w:t>万辆/年</w:t>
      </w:r>
    </w:p>
    <w:p w14:paraId="7F07FF55">
      <w:pPr>
        <w:spacing w:line="360" w:lineRule="auto"/>
        <w:rPr>
          <w:sz w:val="24"/>
          <w:szCs w:val="24"/>
          <w:u w:val="single"/>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.工作地点：</w:t>
      </w:r>
      <w:r>
        <w:rPr>
          <w:rFonts w:asciiTheme="minorEastAsia" w:hAnsiTheme="minorEastAsia" w:eastAsiaTheme="minorEastAsia"/>
          <w:sz w:val="24"/>
          <w:szCs w:val="24"/>
        </w:rPr>
        <w:t>济南商用车制造公司（章丘重汽工业园）</w:t>
      </w:r>
    </w:p>
    <w:p w14:paraId="71D52DCD">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.工作制度：全年工作345天，双班22小时/天。</w:t>
      </w:r>
    </w:p>
    <w:p w14:paraId="389DB3AE">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.年时基数：设备年时基数7600小时</w:t>
      </w:r>
    </w:p>
    <w:p w14:paraId="4DAB4490">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5.使用年限：≥10年</w:t>
      </w:r>
    </w:p>
    <w:p w14:paraId="41D292FB">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6.使用地点区域自然环境：</w:t>
      </w:r>
    </w:p>
    <w:p w14:paraId="7932DEC7">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6.1.海拔高度：4000m以下</w:t>
      </w:r>
    </w:p>
    <w:p w14:paraId="13651208">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6.2.室外温度：-20℃～45℃，</w:t>
      </w:r>
      <w:r>
        <w:rPr>
          <w:rFonts w:asciiTheme="minorEastAsia" w:hAnsiTheme="minorEastAsia" w:eastAsiaTheme="minorEastAsia"/>
          <w:sz w:val="24"/>
          <w:szCs w:val="24"/>
        </w:rPr>
        <w:t>昼夜最大温差25℃</w:t>
      </w:r>
    </w:p>
    <w:p w14:paraId="378BB167">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6.3.室内温度：-10℃～45℃</w:t>
      </w:r>
      <w:r>
        <w:rPr>
          <w:rFonts w:hint="eastAsia" w:asciiTheme="minorEastAsia" w:hAnsiTheme="minorEastAsia" w:eastAsiaTheme="minorEastAsia"/>
          <w:sz w:val="24"/>
          <w:szCs w:val="24"/>
        </w:rPr>
        <w:tab/>
      </w:r>
    </w:p>
    <w:p w14:paraId="5C9D5516">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6.4.环境湿度：</w:t>
      </w:r>
      <w:r>
        <w:rPr>
          <w:rFonts w:asciiTheme="minorEastAsia" w:hAnsiTheme="minorEastAsia" w:eastAsiaTheme="minorEastAsia"/>
          <w:sz w:val="24"/>
          <w:szCs w:val="24"/>
        </w:rPr>
        <w:t>年平均59%，最大95%、最小15%</w:t>
      </w:r>
    </w:p>
    <w:p w14:paraId="64EB029A">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7.压缩空气压力：</w:t>
      </w:r>
      <w:r>
        <w:rPr>
          <w:rFonts w:asciiTheme="minorEastAsia" w:hAnsiTheme="minorEastAsia" w:eastAsiaTheme="minorEastAsia"/>
          <w:sz w:val="24"/>
          <w:szCs w:val="24"/>
        </w:rPr>
        <w:t>厂区空压机自产压缩空气，0.55～0.7 Mpa</w:t>
      </w:r>
    </w:p>
    <w:p w14:paraId="1033FE2E">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8.电源电压：三相五线制，符合中国制式，供电电压：AC380V±10%，</w:t>
      </w:r>
    </w:p>
    <w:p w14:paraId="2C1DF324">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供电频率：50Hz±0.5Hz，单相电：AC220V±10%，供电频率：50Hz±0.5Hz。</w:t>
      </w:r>
    </w:p>
    <w:p w14:paraId="01A4CFEC">
      <w:pPr>
        <w:pStyle w:val="2"/>
        <w:jc w:val="center"/>
      </w:pPr>
      <w:r>
        <w:rPr>
          <w:rFonts w:hint="eastAsia"/>
        </w:rPr>
        <w:t>三、涉及产品</w:t>
      </w:r>
    </w:p>
    <w:p w14:paraId="2CC56B03">
      <w:pPr>
        <w:spacing w:line="360" w:lineRule="auto"/>
        <w:ind w:firstLine="480" w:firstLineChars="200"/>
        <w:rPr>
          <w:rFonts w:eastAsiaTheme="minorEastAsia"/>
          <w:sz w:val="24"/>
          <w:szCs w:val="24"/>
        </w:rPr>
      </w:pPr>
      <w:r>
        <w:rPr>
          <w:rFonts w:hint="eastAsia" w:eastAsiaTheme="minorEastAsia"/>
          <w:sz w:val="24"/>
          <w:szCs w:val="24"/>
        </w:rPr>
        <w:t>济南商用车公司</w:t>
      </w:r>
      <w:r>
        <w:rPr>
          <w:rFonts w:hint="eastAsia" w:eastAsiaTheme="minorEastAsia"/>
          <w:sz w:val="24"/>
          <w:szCs w:val="24"/>
          <w:lang w:val="en-US" w:eastAsia="zh-CN"/>
        </w:rPr>
        <w:t>生产的带有胎压报警功能</w:t>
      </w:r>
      <w:r>
        <w:rPr>
          <w:rFonts w:hint="eastAsia" w:eastAsiaTheme="minorEastAsia"/>
          <w:sz w:val="24"/>
          <w:szCs w:val="24"/>
        </w:rPr>
        <w:t>的全部产品。</w:t>
      </w:r>
    </w:p>
    <w:p w14:paraId="3B89CAEC">
      <w:pPr>
        <w:widowControl/>
        <w:jc w:val="left"/>
        <w:rPr>
          <w:sz w:val="24"/>
          <w:szCs w:val="24"/>
        </w:rPr>
      </w:pPr>
    </w:p>
    <w:p w14:paraId="762C3930">
      <w:pPr>
        <w:pStyle w:val="2"/>
        <w:jc w:val="center"/>
      </w:pPr>
      <w:r>
        <w:rPr>
          <w:rFonts w:hint="eastAsia"/>
        </w:rPr>
        <w:t>四、供货范围</w:t>
      </w:r>
    </w:p>
    <w:p w14:paraId="4D77E96C">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本项目包含工具的设计、采购、制造、运输、装卸、安装、调试、验收及培训等，并交付使用，提供相关的售后服务、最终的工艺安装图、电控程序等技术文件,以及必须的备品备件清单。</w:t>
      </w:r>
    </w:p>
    <w:p w14:paraId="05999D3B">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1.主要设备、工具</w:t>
      </w:r>
    </w:p>
    <w:tbl>
      <w:tblPr>
        <w:tblStyle w:val="38"/>
        <w:tblW w:w="8745" w:type="dxa"/>
        <w:jc w:val="center"/>
        <w:tblLayout w:type="fixed"/>
        <w:tblCellMar>
          <w:top w:w="0" w:type="dxa"/>
          <w:left w:w="0" w:type="dxa"/>
          <w:bottom w:w="0" w:type="dxa"/>
          <w:right w:w="0" w:type="dxa"/>
        </w:tblCellMar>
      </w:tblPr>
      <w:tblGrid>
        <w:gridCol w:w="690"/>
        <w:gridCol w:w="4343"/>
        <w:gridCol w:w="2100"/>
        <w:gridCol w:w="885"/>
        <w:gridCol w:w="727"/>
      </w:tblGrid>
      <w:tr w14:paraId="2B2185DC">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7E47E">
            <w:pPr>
              <w:widowControl/>
              <w:jc w:val="center"/>
              <w:textAlignment w:val="center"/>
              <w:rPr>
                <w:rFonts w:ascii="宋体" w:hAnsi="宋体" w:cs="宋体"/>
                <w:color w:val="000000"/>
              </w:rPr>
            </w:pPr>
            <w:r>
              <w:rPr>
                <w:rFonts w:hint="eastAsia" w:ascii="宋体" w:hAnsi="宋体" w:cs="宋体"/>
                <w:color w:val="000000"/>
                <w:kern w:val="0"/>
              </w:rPr>
              <w:t>序号</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B92C0F1">
            <w:pPr>
              <w:widowControl/>
              <w:jc w:val="center"/>
              <w:textAlignment w:val="center"/>
              <w:rPr>
                <w:rFonts w:ascii="宋体" w:hAnsi="宋体" w:cs="宋体"/>
                <w:color w:val="000000"/>
              </w:rPr>
            </w:pPr>
            <w:r>
              <w:rPr>
                <w:rFonts w:hint="eastAsia" w:ascii="宋体" w:hAnsi="宋体" w:cs="宋体"/>
                <w:color w:val="000000"/>
                <w:kern w:val="0"/>
              </w:rPr>
              <w:t>设备名称</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8980B22">
            <w:pPr>
              <w:widowControl/>
              <w:jc w:val="center"/>
              <w:textAlignment w:val="center"/>
              <w:rPr>
                <w:rFonts w:ascii="宋体" w:hAnsi="宋体" w:cs="宋体"/>
                <w:color w:val="000000"/>
                <w:kern w:val="0"/>
              </w:rPr>
            </w:pPr>
            <w:r>
              <w:rPr>
                <w:rFonts w:hint="eastAsia" w:ascii="宋体" w:hAnsi="宋体" w:cs="宋体"/>
                <w:color w:val="000000"/>
                <w:kern w:val="0"/>
              </w:rPr>
              <w:t>规格型号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331E0">
            <w:pPr>
              <w:widowControl/>
              <w:jc w:val="center"/>
              <w:textAlignment w:val="center"/>
              <w:rPr>
                <w:rFonts w:ascii="宋体" w:hAnsi="宋体" w:cs="宋体"/>
                <w:color w:val="000000"/>
              </w:rPr>
            </w:pPr>
            <w:r>
              <w:rPr>
                <w:rFonts w:hint="eastAsia" w:ascii="宋体" w:hAnsi="宋体" w:cs="宋体"/>
                <w:color w:val="000000"/>
                <w:kern w:val="0"/>
              </w:rPr>
              <w:t>数量</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CBE6C">
            <w:pPr>
              <w:widowControl/>
              <w:jc w:val="center"/>
              <w:textAlignment w:val="center"/>
              <w:rPr>
                <w:rFonts w:ascii="宋体" w:hAnsi="宋体" w:cs="宋体"/>
                <w:color w:val="000000"/>
              </w:rPr>
            </w:pPr>
            <w:r>
              <w:rPr>
                <w:rFonts w:hint="eastAsia" w:ascii="宋体" w:hAnsi="宋体" w:cs="宋体"/>
                <w:color w:val="000000"/>
                <w:kern w:val="0"/>
              </w:rPr>
              <w:t>备注</w:t>
            </w:r>
          </w:p>
        </w:tc>
      </w:tr>
      <w:tr w14:paraId="733C38BC">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7D89A">
            <w:pPr>
              <w:widowControl/>
              <w:jc w:val="center"/>
              <w:textAlignment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A4A7873">
            <w:pPr>
              <w:widowControl/>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胎压监测标定设备</w:t>
            </w: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FA90D6E">
            <w:pPr>
              <w:widowControl/>
              <w:textAlignment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无</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18341">
            <w:pPr>
              <w:widowControl/>
              <w:textAlignment w:val="center"/>
              <w:rPr>
                <w:rFonts w:ascii="宋体" w:hAnsi="宋体" w:eastAsia="宋体" w:cs="宋体"/>
                <w:color w:val="000000"/>
                <w:kern w:val="2"/>
                <w:sz w:val="21"/>
                <w:szCs w:val="21"/>
                <w:lang w:val="en-US" w:eastAsia="zh-CN" w:bidi="ar-SA"/>
              </w:rPr>
            </w:pPr>
            <w:r>
              <w:rPr>
                <w:rFonts w:hint="eastAsia" w:ascii="宋体" w:hAnsi="宋体" w:cs="宋体"/>
                <w:color w:val="000000"/>
                <w:kern w:val="0"/>
              </w:rPr>
              <w:t>3</w:t>
            </w: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4384E">
            <w:pPr>
              <w:rPr>
                <w:rFonts w:ascii="宋体" w:hAnsi="宋体" w:eastAsia="宋体" w:cs="宋体"/>
                <w:color w:val="000000"/>
                <w:kern w:val="2"/>
                <w:sz w:val="21"/>
                <w:szCs w:val="21"/>
                <w:lang w:val="en-US" w:eastAsia="zh-CN" w:bidi="ar-SA"/>
              </w:rPr>
            </w:pPr>
          </w:p>
        </w:tc>
      </w:tr>
      <w:tr w14:paraId="5005D251">
        <w:tblPrEx>
          <w:tblCellMar>
            <w:top w:w="0" w:type="dxa"/>
            <w:left w:w="0" w:type="dxa"/>
            <w:bottom w:w="0" w:type="dxa"/>
            <w:right w:w="0" w:type="dxa"/>
          </w:tblCellMar>
        </w:tblPrEx>
        <w:trPr>
          <w:trHeight w:val="44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9ED1A">
            <w:pPr>
              <w:widowControl/>
              <w:jc w:val="center"/>
              <w:textAlignment w:val="center"/>
              <w:rPr>
                <w:rFonts w:ascii="宋体" w:hAnsi="宋体" w:cs="宋体"/>
                <w:color w:val="000000"/>
              </w:rPr>
            </w:pPr>
          </w:p>
        </w:tc>
        <w:tc>
          <w:tcPr>
            <w:tcW w:w="4343"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B28BDF7">
            <w:pPr>
              <w:widowControl/>
              <w:textAlignment w:val="center"/>
              <w:rPr>
                <w:rFonts w:ascii="宋体" w:hAnsi="宋体" w:cs="宋体"/>
                <w:color w:val="000000"/>
              </w:rPr>
            </w:pPr>
          </w:p>
        </w:tc>
        <w:tc>
          <w:tcPr>
            <w:tcW w:w="21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93C03E5">
            <w:pPr>
              <w:widowControl/>
              <w:textAlignment w:val="center"/>
              <w:rPr>
                <w:rFonts w:ascii="宋体" w:hAnsi="宋体" w:cs="宋体"/>
                <w:color w:val="000000"/>
                <w:kern w:val="0"/>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50698">
            <w:pPr>
              <w:widowControl/>
              <w:textAlignment w:val="center"/>
              <w:rPr>
                <w:rFonts w:ascii="宋体" w:hAnsi="宋体" w:cs="宋体"/>
                <w:color w:val="000000"/>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21642">
            <w:pPr>
              <w:rPr>
                <w:rFonts w:ascii="宋体" w:hAnsi="宋体" w:cs="宋体"/>
                <w:color w:val="000000"/>
              </w:rPr>
            </w:pPr>
          </w:p>
        </w:tc>
      </w:tr>
    </w:tbl>
    <w:p w14:paraId="03DBE4EA">
      <w:pPr>
        <w:spacing w:line="360" w:lineRule="auto"/>
        <w:rPr>
          <w:rFonts w:asciiTheme="minorEastAsia" w:hAnsiTheme="minorEastAsia" w:eastAsiaTheme="minorEastAsia"/>
          <w:sz w:val="28"/>
          <w:szCs w:val="28"/>
        </w:rPr>
      </w:pPr>
    </w:p>
    <w:p w14:paraId="33E12609">
      <w:pPr>
        <w:pStyle w:val="2"/>
        <w:numPr>
          <w:ilvl w:val="0"/>
          <w:numId w:val="11"/>
        </w:numPr>
        <w:jc w:val="center"/>
        <w:rPr>
          <w:rFonts w:hint="eastAsia" w:ascii="宋体" w:hAnsi="宋体" w:eastAsia="宋体" w:cs="宋体"/>
        </w:rPr>
      </w:pPr>
      <w:r>
        <w:rPr>
          <w:rFonts w:hint="eastAsia" w:ascii="宋体" w:hAnsi="宋体" w:eastAsia="宋体" w:cs="宋体"/>
        </w:rPr>
        <w:t>技术要求（专用）</w:t>
      </w:r>
    </w:p>
    <w:p w14:paraId="2AE7A5F3">
      <w:pPr>
        <w:keepNext/>
        <w:keepLines/>
        <w:spacing w:line="360" w:lineRule="auto"/>
        <w:outlineLvl w:val="2"/>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1.项目整体要求</w:t>
      </w:r>
    </w:p>
    <w:p w14:paraId="6DD7582A">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1.1供货周期：自发出中标通知书之日起，40天内。</w:t>
      </w:r>
    </w:p>
    <w:p w14:paraId="4D461A26">
      <w:pPr>
        <w:spacing w:line="360" w:lineRule="auto"/>
        <w:outlineLvl w:val="3"/>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1.2节拍要求：≤4min/台。</w:t>
      </w:r>
    </w:p>
    <w:p w14:paraId="71FF3FFE">
      <w:pPr>
        <w:spacing w:line="360" w:lineRule="auto"/>
        <w:outlineLvl w:val="3"/>
        <w:rPr>
          <w:rFonts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1.3设备可以在室外温度下正常工作。</w:t>
      </w:r>
    </w:p>
    <w:p w14:paraId="0F9E0629">
      <w:pPr>
        <w:keepNext/>
        <w:keepLines/>
        <w:spacing w:line="360" w:lineRule="auto"/>
        <w:outlineLvl w:val="2"/>
        <w:rPr>
          <w:rFonts w:hint="default"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val="en-US" w:eastAsia="zh-CN"/>
        </w:rPr>
        <w:t>2.详细技术要求</w:t>
      </w:r>
    </w:p>
    <w:p w14:paraId="3594E32B">
      <w:pPr>
        <w:spacing w:line="360" w:lineRule="auto"/>
        <w:outlineLvl w:val="3"/>
        <w:rPr>
          <w:bCs/>
          <w:sz w:val="24"/>
          <w:szCs w:val="24"/>
          <w:highlight w:val="none"/>
        </w:rPr>
      </w:pPr>
      <w:r>
        <w:rPr>
          <w:rFonts w:hint="eastAsia"/>
          <w:bCs/>
          <w:sz w:val="24"/>
          <w:szCs w:val="24"/>
          <w:highlight w:val="none"/>
        </w:rPr>
        <w:t>（1）写车型信息：6.UDS Services→11.Write V-Type→按驱动形式选择→1.IC Lost→Succeed。</w:t>
      </w:r>
    </w:p>
    <w:p w14:paraId="0D6DACC5">
      <w:pPr>
        <w:spacing w:line="360" w:lineRule="auto"/>
        <w:outlineLvl w:val="3"/>
        <w:rPr>
          <w:bCs/>
          <w:sz w:val="24"/>
          <w:szCs w:val="24"/>
          <w:highlight w:val="none"/>
        </w:rPr>
      </w:pPr>
      <w:r>
        <w:rPr>
          <w:rFonts w:hint="eastAsia"/>
          <w:bCs/>
          <w:sz w:val="24"/>
          <w:szCs w:val="24"/>
          <w:highlight w:val="none"/>
        </w:rPr>
        <w:t>（2）获取传感器ID：2.Learn ID→00左一桥→ENTER→靠近传感器标签读取ID→上下箭头选择01右一、02左二、03左三依次重复读取各轮ID。</w:t>
      </w:r>
    </w:p>
    <w:p w14:paraId="63D701D0">
      <w:pPr>
        <w:spacing w:line="360" w:lineRule="auto"/>
        <w:outlineLvl w:val="3"/>
        <w:rPr>
          <w:bCs/>
          <w:sz w:val="24"/>
          <w:szCs w:val="24"/>
          <w:highlight w:val="none"/>
        </w:rPr>
      </w:pPr>
      <w:r>
        <w:rPr>
          <w:rFonts w:hint="eastAsia"/>
          <w:bCs/>
          <w:sz w:val="24"/>
          <w:szCs w:val="24"/>
          <w:highlight w:val="none"/>
        </w:rPr>
        <w:t>（3）写入传感器ID：3.Write ID→Succeed。</w:t>
      </w:r>
    </w:p>
    <w:p w14:paraId="37946BC9">
      <w:pPr>
        <w:spacing w:line="360" w:lineRule="auto"/>
        <w:outlineLvl w:val="3"/>
        <w:rPr>
          <w:bCs/>
          <w:sz w:val="24"/>
          <w:szCs w:val="24"/>
          <w:highlight w:val="none"/>
        </w:rPr>
      </w:pPr>
      <w:r>
        <w:rPr>
          <w:rFonts w:hint="eastAsia"/>
          <w:bCs/>
          <w:sz w:val="24"/>
          <w:szCs w:val="24"/>
          <w:highlight w:val="none"/>
        </w:rPr>
        <w:t>（4）写轮胎标准压力值：6.UDS Services→7.Write SP→num→上下箭头选择00、01、02、03更改轮胎编号→按ESC按钮→SP→上下箭头更改胎压标准→按ESC按钮→Save→ENTER→Succeed。</w:t>
      </w:r>
    </w:p>
    <w:p w14:paraId="33AEFF72">
      <w:pPr>
        <w:spacing w:line="360" w:lineRule="auto"/>
        <w:outlineLvl w:val="3"/>
        <w:rPr>
          <w:rFonts w:hint="eastAsia"/>
          <w:bCs/>
          <w:sz w:val="24"/>
          <w:szCs w:val="24"/>
          <w:highlight w:val="none"/>
        </w:rPr>
      </w:pPr>
      <w:r>
        <w:rPr>
          <w:rFonts w:hint="eastAsia"/>
          <w:bCs/>
          <w:sz w:val="24"/>
          <w:szCs w:val="24"/>
          <w:highlight w:val="none"/>
        </w:rPr>
        <w:t>（5）完成标定后，仪表各轮胎胎压正常显示，若仪表报故障，进行问题排查直至故障消除。</w:t>
      </w:r>
    </w:p>
    <w:p w14:paraId="11EDA78A">
      <w:pPr>
        <w:spacing w:line="360" w:lineRule="auto"/>
        <w:outlineLvl w:val="3"/>
        <w:rPr>
          <w:rFonts w:hint="default" w:eastAsia="宋体"/>
          <w:bCs/>
          <w:sz w:val="24"/>
          <w:szCs w:val="24"/>
          <w:highlight w:val="none"/>
          <w:lang w:val="en-US" w:eastAsia="zh-CN"/>
        </w:rPr>
      </w:pPr>
      <w:r>
        <w:rPr>
          <w:rFonts w:hint="eastAsia"/>
          <w:bCs/>
          <w:sz w:val="24"/>
          <w:szCs w:val="24"/>
          <w:highlight w:val="none"/>
          <w:lang w:eastAsia="zh-CN"/>
        </w:rPr>
        <w:t>（</w:t>
      </w:r>
      <w:r>
        <w:rPr>
          <w:rFonts w:hint="eastAsia"/>
          <w:bCs/>
          <w:sz w:val="24"/>
          <w:szCs w:val="24"/>
          <w:highlight w:val="none"/>
          <w:lang w:val="en-US" w:eastAsia="zh-CN"/>
        </w:rPr>
        <w:t>6</w:t>
      </w:r>
      <w:r>
        <w:rPr>
          <w:rFonts w:hint="eastAsia"/>
          <w:bCs/>
          <w:sz w:val="24"/>
          <w:szCs w:val="24"/>
          <w:highlight w:val="none"/>
          <w:lang w:eastAsia="zh-CN"/>
        </w:rPr>
        <w:t>）</w:t>
      </w:r>
      <w:r>
        <w:rPr>
          <w:rFonts w:hint="eastAsia"/>
          <w:bCs/>
          <w:sz w:val="24"/>
          <w:szCs w:val="24"/>
          <w:highlight w:val="none"/>
          <w:lang w:val="en-US" w:eastAsia="zh-CN"/>
        </w:rPr>
        <w:t>可以检测上海保隆生产的产品。</w:t>
      </w:r>
    </w:p>
    <w:p w14:paraId="23A9A42F">
      <w:pPr>
        <w:keepNext/>
        <w:keepLines/>
        <w:spacing w:line="420" w:lineRule="exact"/>
        <w:jc w:val="both"/>
        <w:outlineLvl w:val="2"/>
        <w:rPr>
          <w:b/>
          <w:bCs/>
          <w:color w:val="000000"/>
          <w:sz w:val="24"/>
          <w:szCs w:val="24"/>
        </w:rPr>
      </w:pPr>
    </w:p>
    <w:p w14:paraId="7CC5AE1E">
      <w:pPr>
        <w:pStyle w:val="2"/>
        <w:jc w:val="center"/>
      </w:pPr>
      <w:r>
        <w:rPr>
          <w:rFonts w:hint="eastAsia"/>
          <w:lang w:val="en-US" w:eastAsia="zh-CN"/>
        </w:rPr>
        <w:t>六</w:t>
      </w:r>
      <w:r>
        <w:t>、技术资料</w:t>
      </w:r>
    </w:p>
    <w:p w14:paraId="1C6F1F6A">
      <w:pPr>
        <w:spacing w:line="360" w:lineRule="auto"/>
        <w:outlineLvl w:val="3"/>
        <w:rPr>
          <w:b/>
          <w:sz w:val="24"/>
          <w:szCs w:val="24"/>
        </w:rPr>
      </w:pPr>
      <w:r>
        <w:rPr>
          <w:b/>
          <w:sz w:val="24"/>
          <w:szCs w:val="24"/>
        </w:rPr>
        <w:t>1</w:t>
      </w:r>
      <w:r>
        <w:rPr>
          <w:rFonts w:hint="eastAsia"/>
          <w:b/>
          <w:sz w:val="24"/>
          <w:szCs w:val="24"/>
        </w:rPr>
        <w:t>.</w:t>
      </w:r>
      <w:r>
        <w:rPr>
          <w:b/>
          <w:sz w:val="24"/>
          <w:szCs w:val="24"/>
        </w:rPr>
        <w:t>硬件资料</w:t>
      </w:r>
    </w:p>
    <w:p w14:paraId="33F91AE2">
      <w:pPr>
        <w:numPr>
          <w:ilvl w:val="0"/>
          <w:numId w:val="12"/>
        </w:numPr>
        <w:spacing w:line="360" w:lineRule="auto"/>
        <w:ind w:firstLine="480" w:firstLineChars="200"/>
        <w:rPr>
          <w:sz w:val="24"/>
          <w:szCs w:val="24"/>
        </w:rPr>
      </w:pPr>
      <w:r>
        <w:rPr>
          <w:rFonts w:hint="eastAsia"/>
          <w:sz w:val="24"/>
          <w:szCs w:val="24"/>
        </w:rPr>
        <w:t>投标方</w:t>
      </w:r>
      <w:r>
        <w:rPr>
          <w:sz w:val="24"/>
          <w:szCs w:val="24"/>
        </w:rPr>
        <w:t>提供的资料应包括涉及所有系统部件的安装、运行、注意事项和维护方法的详细说明，此外还应包括所购设备的完整设备清单和详细指南。与设备清单相对应的设备项目代号应在所有相关图纸上表示出来，</w:t>
      </w:r>
      <w:r>
        <w:rPr>
          <w:rFonts w:hint="eastAsia"/>
          <w:sz w:val="24"/>
          <w:szCs w:val="24"/>
        </w:rPr>
        <w:t>投标方</w:t>
      </w:r>
      <w:r>
        <w:rPr>
          <w:sz w:val="24"/>
          <w:szCs w:val="24"/>
        </w:rPr>
        <w:t>还应根据要求提供其设备代号与市场上可买到的该设备型号间的参照表。</w:t>
      </w:r>
    </w:p>
    <w:p w14:paraId="17250280">
      <w:pPr>
        <w:numPr>
          <w:ilvl w:val="0"/>
          <w:numId w:val="12"/>
        </w:numPr>
        <w:spacing w:line="360" w:lineRule="auto"/>
        <w:ind w:firstLine="480" w:firstLineChars="200"/>
        <w:rPr>
          <w:sz w:val="24"/>
          <w:szCs w:val="24"/>
        </w:rPr>
      </w:pPr>
      <w:r>
        <w:rPr>
          <w:rFonts w:hint="eastAsia"/>
          <w:sz w:val="24"/>
          <w:szCs w:val="24"/>
        </w:rPr>
        <w:t>投标方</w:t>
      </w:r>
      <w:r>
        <w:rPr>
          <w:sz w:val="24"/>
          <w:szCs w:val="24"/>
        </w:rPr>
        <w:t>至少应提供下列手册和图纸：</w:t>
      </w:r>
    </w:p>
    <w:p w14:paraId="6EE3B778">
      <w:pPr>
        <w:spacing w:line="460" w:lineRule="exact"/>
        <w:ind w:firstLine="480" w:firstLineChars="200"/>
        <w:rPr>
          <w:color w:val="000000"/>
          <w:kern w:val="0"/>
          <w:sz w:val="24"/>
          <w:szCs w:val="24"/>
        </w:rPr>
      </w:pPr>
      <w:r>
        <w:rPr>
          <w:color w:val="000000"/>
          <w:kern w:val="0"/>
          <w:sz w:val="24"/>
          <w:szCs w:val="24"/>
        </w:rPr>
        <w:t>--设备硬件手册。</w:t>
      </w:r>
    </w:p>
    <w:p w14:paraId="29C933B7">
      <w:pPr>
        <w:spacing w:line="460" w:lineRule="exact"/>
        <w:ind w:firstLine="480" w:firstLineChars="200"/>
        <w:rPr>
          <w:color w:val="000000"/>
          <w:kern w:val="0"/>
          <w:sz w:val="24"/>
          <w:szCs w:val="24"/>
        </w:rPr>
      </w:pPr>
      <w:r>
        <w:rPr>
          <w:sz w:val="24"/>
          <w:szCs w:val="24"/>
        </w:rPr>
        <w:t>--</w:t>
      </w:r>
      <w:r>
        <w:rPr>
          <w:color w:val="000000"/>
          <w:kern w:val="0"/>
          <w:sz w:val="24"/>
          <w:szCs w:val="24"/>
        </w:rPr>
        <w:t>设备操作手册（含安全操作规程、操作和安全事项的使用说明书）。</w:t>
      </w:r>
    </w:p>
    <w:p w14:paraId="789C94D4">
      <w:pPr>
        <w:spacing w:line="460" w:lineRule="exact"/>
        <w:ind w:firstLine="480" w:firstLineChars="200"/>
        <w:rPr>
          <w:color w:val="000000"/>
          <w:kern w:val="0"/>
          <w:sz w:val="24"/>
          <w:szCs w:val="24"/>
        </w:rPr>
      </w:pPr>
      <w:r>
        <w:rPr>
          <w:color w:val="000000"/>
          <w:kern w:val="0"/>
          <w:sz w:val="24"/>
          <w:szCs w:val="24"/>
        </w:rPr>
        <w:t>--设备维护手册（含润滑图表、含有易损件的检查更换指南、易损件使用时间）。</w:t>
      </w:r>
    </w:p>
    <w:p w14:paraId="6068EBCF">
      <w:pPr>
        <w:spacing w:line="460" w:lineRule="exact"/>
        <w:ind w:firstLine="480" w:firstLineChars="200"/>
        <w:rPr>
          <w:color w:val="000000"/>
          <w:kern w:val="0"/>
          <w:sz w:val="24"/>
          <w:szCs w:val="24"/>
        </w:rPr>
      </w:pPr>
      <w:r>
        <w:rPr>
          <w:color w:val="000000"/>
          <w:kern w:val="0"/>
          <w:sz w:val="24"/>
          <w:szCs w:val="24"/>
        </w:rPr>
        <w:t>--内部布置图。</w:t>
      </w:r>
    </w:p>
    <w:p w14:paraId="676DB93A">
      <w:pPr>
        <w:spacing w:line="460" w:lineRule="exact"/>
        <w:ind w:firstLine="480" w:firstLineChars="200"/>
        <w:rPr>
          <w:color w:val="000000"/>
          <w:kern w:val="0"/>
          <w:sz w:val="24"/>
          <w:szCs w:val="24"/>
        </w:rPr>
      </w:pPr>
      <w:r>
        <w:rPr>
          <w:color w:val="000000"/>
          <w:kern w:val="0"/>
          <w:sz w:val="24"/>
          <w:szCs w:val="24"/>
        </w:rPr>
        <w:t>--安装步骤、包括装配细节、设备散热和设备重量等。</w:t>
      </w:r>
    </w:p>
    <w:p w14:paraId="5EC7D694">
      <w:pPr>
        <w:spacing w:line="460" w:lineRule="exact"/>
        <w:ind w:firstLine="480" w:firstLineChars="200"/>
        <w:rPr>
          <w:color w:val="000000"/>
          <w:kern w:val="0"/>
          <w:sz w:val="24"/>
          <w:szCs w:val="24"/>
        </w:rPr>
      </w:pPr>
      <w:r>
        <w:rPr>
          <w:color w:val="000000"/>
          <w:kern w:val="0"/>
          <w:sz w:val="24"/>
          <w:szCs w:val="24"/>
        </w:rPr>
        <w:t>--材料清册，包括备件、易损件和耗材清单。</w:t>
      </w:r>
    </w:p>
    <w:p w14:paraId="02389754">
      <w:pPr>
        <w:spacing w:line="460" w:lineRule="exact"/>
        <w:ind w:firstLine="480" w:firstLineChars="200"/>
        <w:rPr>
          <w:color w:val="000000"/>
          <w:kern w:val="0"/>
          <w:sz w:val="24"/>
          <w:szCs w:val="24"/>
        </w:rPr>
      </w:pPr>
      <w:r>
        <w:rPr>
          <w:color w:val="000000"/>
          <w:kern w:val="0"/>
          <w:sz w:val="24"/>
          <w:szCs w:val="24"/>
        </w:rPr>
        <w:t>--所有外围设备的样本（包括主机、显示器、键盘、打印机等）。</w:t>
      </w:r>
    </w:p>
    <w:p w14:paraId="3281AA0A">
      <w:pPr>
        <w:spacing w:line="460" w:lineRule="exact"/>
        <w:ind w:firstLine="480" w:firstLineChars="200"/>
        <w:rPr>
          <w:color w:val="000000"/>
          <w:kern w:val="0"/>
          <w:sz w:val="24"/>
          <w:szCs w:val="24"/>
        </w:rPr>
      </w:pPr>
      <w:r>
        <w:rPr>
          <w:color w:val="000000"/>
          <w:kern w:val="0"/>
          <w:sz w:val="24"/>
          <w:szCs w:val="24"/>
        </w:rPr>
        <w:t>--产品合格证。</w:t>
      </w:r>
    </w:p>
    <w:p w14:paraId="32FEA83F">
      <w:pPr>
        <w:spacing w:line="460" w:lineRule="exact"/>
        <w:ind w:firstLine="480" w:firstLineChars="200"/>
        <w:rPr>
          <w:color w:val="000000"/>
          <w:kern w:val="0"/>
          <w:sz w:val="24"/>
          <w:szCs w:val="24"/>
        </w:rPr>
      </w:pPr>
      <w:r>
        <w:rPr>
          <w:color w:val="000000"/>
          <w:kern w:val="0"/>
          <w:sz w:val="24"/>
          <w:szCs w:val="24"/>
        </w:rPr>
        <w:t>--开箱记录等随机文件材料。</w:t>
      </w:r>
    </w:p>
    <w:p w14:paraId="68536F9B">
      <w:pPr>
        <w:spacing w:line="360" w:lineRule="auto"/>
        <w:outlineLvl w:val="3"/>
        <w:rPr>
          <w:b/>
          <w:sz w:val="24"/>
          <w:szCs w:val="24"/>
        </w:rPr>
      </w:pPr>
      <w:r>
        <w:rPr>
          <w:b/>
          <w:sz w:val="24"/>
          <w:szCs w:val="24"/>
        </w:rPr>
        <w:t>2</w:t>
      </w:r>
      <w:r>
        <w:rPr>
          <w:rFonts w:hint="eastAsia"/>
          <w:b/>
          <w:sz w:val="24"/>
          <w:szCs w:val="24"/>
        </w:rPr>
        <w:t>.</w:t>
      </w:r>
      <w:r>
        <w:rPr>
          <w:b/>
          <w:sz w:val="24"/>
          <w:szCs w:val="24"/>
        </w:rPr>
        <w:t>软件资料</w:t>
      </w:r>
    </w:p>
    <w:p w14:paraId="1073BBCF">
      <w:pPr>
        <w:numPr>
          <w:ilvl w:val="0"/>
          <w:numId w:val="13"/>
        </w:numPr>
        <w:spacing w:line="360" w:lineRule="auto"/>
        <w:ind w:firstLine="480"/>
        <w:rPr>
          <w:sz w:val="24"/>
          <w:szCs w:val="24"/>
        </w:rPr>
      </w:pPr>
      <w:r>
        <w:rPr>
          <w:rFonts w:hint="eastAsia"/>
          <w:sz w:val="24"/>
          <w:szCs w:val="24"/>
        </w:rPr>
        <w:t>投标方</w:t>
      </w:r>
      <w:r>
        <w:rPr>
          <w:sz w:val="24"/>
          <w:szCs w:val="24"/>
        </w:rPr>
        <w:t>应提供足以使</w:t>
      </w:r>
      <w:r>
        <w:rPr>
          <w:rFonts w:hint="eastAsia"/>
          <w:sz w:val="24"/>
          <w:szCs w:val="24"/>
        </w:rPr>
        <w:t>招标方</w:t>
      </w:r>
      <w:r>
        <w:rPr>
          <w:sz w:val="24"/>
          <w:szCs w:val="24"/>
        </w:rPr>
        <w:t>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1FFC1B65">
      <w:pPr>
        <w:numPr>
          <w:ilvl w:val="0"/>
          <w:numId w:val="13"/>
        </w:numPr>
        <w:spacing w:line="360" w:lineRule="auto"/>
        <w:ind w:firstLine="480"/>
        <w:rPr>
          <w:sz w:val="24"/>
          <w:szCs w:val="24"/>
        </w:rPr>
      </w:pPr>
      <w:r>
        <w:rPr>
          <w:sz w:val="24"/>
          <w:szCs w:val="24"/>
        </w:rPr>
        <w:t>编程指导材料，</w:t>
      </w:r>
      <w:r>
        <w:rPr>
          <w:rFonts w:hint="eastAsia"/>
          <w:sz w:val="24"/>
          <w:szCs w:val="24"/>
        </w:rPr>
        <w:t>投标方</w:t>
      </w:r>
      <w:r>
        <w:rPr>
          <w:sz w:val="24"/>
          <w:szCs w:val="24"/>
        </w:rPr>
        <w:t>应提供用于各系统程序的源码说明，包括交互在程序中的注释，以便整个程序的理解，这一资料应存放在工程师站和U盘内提供给</w:t>
      </w:r>
      <w:r>
        <w:rPr>
          <w:rFonts w:hint="eastAsia"/>
          <w:sz w:val="24"/>
          <w:szCs w:val="24"/>
        </w:rPr>
        <w:t>招标方</w:t>
      </w:r>
      <w:r>
        <w:rPr>
          <w:sz w:val="24"/>
          <w:szCs w:val="24"/>
        </w:rPr>
        <w:t>。</w:t>
      </w:r>
    </w:p>
    <w:p w14:paraId="4A76BA50">
      <w:pPr>
        <w:pStyle w:val="2"/>
        <w:jc w:val="center"/>
        <w:rPr>
          <w:sz w:val="24"/>
          <w:szCs w:val="24"/>
        </w:rPr>
      </w:pPr>
      <w:r>
        <w:rPr>
          <w:rFonts w:hint="eastAsia"/>
          <w:lang w:val="en-US" w:eastAsia="zh-CN"/>
        </w:rPr>
        <w:t>七</w:t>
      </w:r>
      <w:r>
        <w:rPr>
          <w:rFonts w:hint="eastAsia"/>
        </w:rPr>
        <w:t>、质保期及售后服务</w:t>
      </w:r>
    </w:p>
    <w:p w14:paraId="060DD02A">
      <w:pPr>
        <w:spacing w:line="360" w:lineRule="auto"/>
        <w:outlineLvl w:val="3"/>
        <w:rPr>
          <w:b/>
          <w:bCs/>
          <w:sz w:val="24"/>
          <w:szCs w:val="24"/>
        </w:rPr>
      </w:pPr>
      <w:r>
        <w:rPr>
          <w:rFonts w:hint="eastAsia"/>
          <w:b/>
          <w:bCs/>
          <w:sz w:val="24"/>
          <w:szCs w:val="24"/>
        </w:rPr>
        <w:t>1.</w:t>
      </w:r>
      <w:r>
        <w:rPr>
          <w:b/>
          <w:bCs/>
          <w:sz w:val="24"/>
          <w:szCs w:val="24"/>
        </w:rPr>
        <w:t>质保期及质保要求</w:t>
      </w:r>
    </w:p>
    <w:p w14:paraId="47FF1495">
      <w:pPr>
        <w:adjustRightInd w:val="0"/>
        <w:snapToGrid w:val="0"/>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（1）全部供货范围内的设备、材料、零配件和工器具等，除合同特别约定外，</w:t>
      </w:r>
      <w:r>
        <w:rPr>
          <w:rFonts w:hint="eastAsia" w:asciiTheme="minorEastAsia" w:hAnsiTheme="minorEastAsia" w:eastAsiaTheme="minorEastAsia" w:cstheme="minorEastAsia"/>
          <w:b/>
          <w:bCs/>
          <w:sz w:val="24"/>
          <w:szCs w:val="24"/>
        </w:rPr>
        <w:t>其质保期均自终验收签字生效之日起</w:t>
      </w:r>
      <w:r>
        <w:rPr>
          <w:rFonts w:hint="eastAsia" w:asciiTheme="minorEastAsia" w:hAnsiTheme="minorEastAsia" w:eastAsiaTheme="minorEastAsia" w:cstheme="minorEastAsia"/>
          <w:b/>
          <w:bCs/>
          <w:sz w:val="24"/>
          <w:szCs w:val="24"/>
          <w:u w:val="single"/>
        </w:rPr>
        <w:t>12</w:t>
      </w:r>
      <w:r>
        <w:rPr>
          <w:rFonts w:hint="eastAsia" w:asciiTheme="minorEastAsia" w:hAnsiTheme="minorEastAsia" w:eastAsiaTheme="minorEastAsia" w:cstheme="minorEastAsia"/>
          <w:b/>
          <w:bCs/>
          <w:sz w:val="24"/>
          <w:szCs w:val="24"/>
        </w:rPr>
        <w:t>个月。</w:t>
      </w:r>
    </w:p>
    <w:p w14:paraId="553B74CA">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交付货物或涉及的关键总成和零件，如果有更长时间质保期，允许更改并说明，此将有利于投标方。</w:t>
      </w:r>
    </w:p>
    <w:p w14:paraId="770B20EF">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设计使用寿命短于质保期的易损件除外，但属于易损件的，应当有明确说明。</w:t>
      </w:r>
    </w:p>
    <w:p w14:paraId="2456EE7E">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（2）质保期之内，如果货物出现设备、总成、关键零部件或者多处一般零部件的二次以上的更换或维修行为，则质保期自更换或维修行为结束、货物重新正常运行使用之日起重新计算。</w:t>
      </w:r>
    </w:p>
    <w:p w14:paraId="146CBF95">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（3）质保期内免费提供零部件和及时有效的服务。质保期内因货物本身缺陷造成的各种故障，投标方应负责免费维修和服务。给招标方造成的直接经济损失由投标方承担。</w:t>
      </w:r>
    </w:p>
    <w:p w14:paraId="6C89EE42">
      <w:pPr>
        <w:adjustRightInd w:val="0"/>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（4）质保期终止之日起</w:t>
      </w:r>
      <w:r>
        <w:rPr>
          <w:rFonts w:hint="eastAsia" w:asciiTheme="minorEastAsia" w:hAnsiTheme="minorEastAsia" w:eastAsiaTheme="minorEastAsia" w:cstheme="minorEastAsia"/>
          <w:sz w:val="24"/>
          <w:szCs w:val="24"/>
          <w:u w:val="single"/>
        </w:rPr>
        <w:t>一年内</w:t>
      </w:r>
      <w:r>
        <w:rPr>
          <w:rFonts w:hint="eastAsia" w:asciiTheme="minorEastAsia" w:hAnsiTheme="minorEastAsia" w:eastAsiaTheme="minorEastAsia" w:cstheme="minorEastAsia"/>
          <w:sz w:val="24"/>
          <w:szCs w:val="24"/>
        </w:rPr>
        <w:t>重复出现的质保期之内出现的故障，仍属质保范围而且应当免费。</w:t>
      </w:r>
    </w:p>
    <w:p w14:paraId="0ECFCC7A">
      <w:pPr>
        <w:spacing w:line="360" w:lineRule="auto"/>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2.售后服务</w:t>
      </w:r>
    </w:p>
    <w:p w14:paraId="2E16C9EB">
      <w:pPr>
        <w:numPr>
          <w:ilvl w:val="0"/>
          <w:numId w:val="1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在质保期之内，如发现投标方所提供的设备（或材料）存在问题，投标方须在接到通知后12小时内派有关人员到达现场，解决问题；</w:t>
      </w:r>
    </w:p>
    <w:p w14:paraId="6F7B9AF3">
      <w:pPr>
        <w:numPr>
          <w:ilvl w:val="0"/>
          <w:numId w:val="14"/>
        </w:numPr>
        <w:spacing w:line="360" w:lineRule="auto"/>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在质保期之后，如发现投标方所提供的设备（或材料）存在问题，需要投标方配合解决时，投标方须在接到通知后24小时内派有关人员到达现场，协助招标方解决问题；</w:t>
      </w:r>
    </w:p>
    <w:p w14:paraId="0057B257">
      <w:pPr>
        <w:numPr>
          <w:ilvl w:val="0"/>
          <w:numId w:val="14"/>
        </w:numPr>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所有的售后服务均由投标方受理。如果发生问题并且收到报告，应当在2小时内予以答复；</w:t>
      </w:r>
    </w:p>
    <w:p w14:paraId="209515E5">
      <w:pPr>
        <w:pStyle w:val="2"/>
        <w:jc w:val="center"/>
      </w:pPr>
      <w:r>
        <w:rPr>
          <w:rFonts w:hint="eastAsia"/>
          <w:lang w:val="en-US" w:eastAsia="zh-CN"/>
        </w:rPr>
        <w:t>八</w:t>
      </w:r>
      <w:r>
        <w:rPr>
          <w:rFonts w:hint="eastAsia"/>
        </w:rPr>
        <w:t>、</w:t>
      </w:r>
      <w:r>
        <w:t>验收</w:t>
      </w:r>
    </w:p>
    <w:p w14:paraId="58430A3B">
      <w:pPr>
        <w:spacing w:line="360" w:lineRule="auto"/>
        <w:outlineLvl w:val="3"/>
        <w:rPr>
          <w:b/>
          <w:bCs/>
          <w:sz w:val="24"/>
          <w:szCs w:val="24"/>
        </w:rPr>
      </w:pPr>
      <w:r>
        <w:rPr>
          <w:rFonts w:hint="eastAsia"/>
          <w:b/>
          <w:bCs/>
          <w:sz w:val="24"/>
          <w:szCs w:val="24"/>
        </w:rPr>
        <w:t>1.</w:t>
      </w:r>
      <w:r>
        <w:rPr>
          <w:b/>
          <w:bCs/>
          <w:sz w:val="24"/>
          <w:szCs w:val="24"/>
        </w:rPr>
        <w:t>验收依据和验收标准</w:t>
      </w:r>
    </w:p>
    <w:p w14:paraId="3D9C545F">
      <w:pPr>
        <w:spacing w:line="360" w:lineRule="auto"/>
        <w:outlineLvl w:val="3"/>
        <w:rPr>
          <w:b/>
          <w:bCs/>
          <w:sz w:val="24"/>
          <w:szCs w:val="24"/>
        </w:rPr>
      </w:pPr>
      <w:r>
        <w:rPr>
          <w:rFonts w:hint="eastAsia"/>
          <w:sz w:val="24"/>
          <w:szCs w:val="24"/>
        </w:rPr>
        <w:t xml:space="preserve">  （1）国家及地方政府或行业有关的法律、法规、标准。</w:t>
      </w:r>
    </w:p>
    <w:p w14:paraId="49BC405A">
      <w:pPr>
        <w:spacing w:line="360" w:lineRule="auto"/>
        <w:ind w:firstLine="480" w:firstLineChars="200"/>
        <w:rPr>
          <w:color w:val="000000"/>
          <w:sz w:val="24"/>
          <w:szCs w:val="24"/>
        </w:rPr>
      </w:pPr>
      <w:r>
        <w:rPr>
          <w:rFonts w:hint="eastAsia"/>
          <w:color w:val="000000"/>
          <w:sz w:val="24"/>
          <w:szCs w:val="24"/>
        </w:rPr>
        <w:t>（2）</w:t>
      </w:r>
      <w:r>
        <w:rPr>
          <w:color w:val="000000"/>
          <w:sz w:val="24"/>
          <w:szCs w:val="24"/>
        </w:rPr>
        <w:t>验收标准以技术标书和合同规定验收。无论技术标书和合同，是否全部并准确列明验收所涉及的相关标准，均作为验收标准之一。</w:t>
      </w:r>
    </w:p>
    <w:p w14:paraId="2438CB40">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如果验收过程中，发现招标文件、投标文件、答疑文件、技术</w:t>
      </w:r>
      <w:r>
        <w:rPr>
          <w:rFonts w:hint="eastAsia"/>
          <w:color w:val="000000"/>
          <w:sz w:val="24"/>
          <w:szCs w:val="24"/>
        </w:rPr>
        <w:t>协议等存在差异时，效力顺序为：法律法规标准优先，其次是技术协议及会签文件，最后是招、投标文件和答疑文件</w:t>
      </w:r>
      <w:r>
        <w:rPr>
          <w:color w:val="000000"/>
          <w:sz w:val="24"/>
          <w:szCs w:val="24"/>
        </w:rPr>
        <w:t>。</w:t>
      </w:r>
    </w:p>
    <w:p w14:paraId="2A9DFE05">
      <w:pPr>
        <w:spacing w:line="360" w:lineRule="auto"/>
        <w:outlineLvl w:val="3"/>
        <w:rPr>
          <w:b/>
          <w:bCs/>
          <w:sz w:val="24"/>
          <w:szCs w:val="24"/>
        </w:rPr>
      </w:pPr>
      <w:r>
        <w:rPr>
          <w:rFonts w:hint="eastAsia"/>
          <w:b/>
          <w:bCs/>
          <w:sz w:val="24"/>
          <w:szCs w:val="24"/>
        </w:rPr>
        <w:t>2.</w:t>
      </w:r>
      <w:r>
        <w:rPr>
          <w:b/>
          <w:bCs/>
          <w:sz w:val="24"/>
          <w:szCs w:val="24"/>
        </w:rPr>
        <w:t>检验</w:t>
      </w:r>
    </w:p>
    <w:p w14:paraId="1EA9E5B6">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w:t>
      </w:r>
      <w:r>
        <w:rPr>
          <w:rFonts w:hint="eastAsia"/>
          <w:color w:val="000000"/>
          <w:sz w:val="24"/>
          <w:szCs w:val="24"/>
        </w:rPr>
        <w:t>投标方负责</w:t>
      </w:r>
      <w:r>
        <w:rPr>
          <w:color w:val="000000"/>
          <w:sz w:val="24"/>
          <w:szCs w:val="24"/>
        </w:rPr>
        <w:t>检验费用</w:t>
      </w:r>
      <w:r>
        <w:rPr>
          <w:rFonts w:hint="eastAsia"/>
          <w:color w:val="000000"/>
          <w:sz w:val="24"/>
          <w:szCs w:val="24"/>
        </w:rPr>
        <w:t>，</w:t>
      </w:r>
      <w:r>
        <w:rPr>
          <w:color w:val="000000"/>
          <w:sz w:val="24"/>
          <w:szCs w:val="24"/>
        </w:rPr>
        <w:t>基本约定如下：</w:t>
      </w:r>
    </w:p>
    <w:p w14:paraId="040FF1B9">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14:paraId="4EEF6164">
      <w:pPr>
        <w:adjustRightInd w:val="0"/>
        <w:snapToGrid w:val="0"/>
        <w:spacing w:line="360" w:lineRule="auto"/>
        <w:ind w:firstLine="480" w:firstLineChars="200"/>
        <w:rPr>
          <w:color w:val="000000"/>
          <w:sz w:val="24"/>
          <w:szCs w:val="24"/>
        </w:rPr>
      </w:pPr>
      <w:r>
        <w:rPr>
          <w:color w:val="000000"/>
          <w:sz w:val="24"/>
          <w:szCs w:val="24"/>
        </w:rPr>
        <w:t>2.进口货物的检验，</w:t>
      </w:r>
      <w:r>
        <w:rPr>
          <w:rFonts w:hint="eastAsia"/>
          <w:color w:val="000000"/>
          <w:sz w:val="24"/>
          <w:szCs w:val="24"/>
        </w:rPr>
        <w:t>投标方</w:t>
      </w:r>
      <w:r>
        <w:rPr>
          <w:color w:val="000000"/>
          <w:sz w:val="24"/>
          <w:szCs w:val="24"/>
        </w:rPr>
        <w:t>需要按照下述要求进行：</w:t>
      </w:r>
    </w:p>
    <w:p w14:paraId="66AA6837">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01678066">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w:t>
      </w:r>
      <w:r>
        <w:rPr>
          <w:rFonts w:hint="eastAsia"/>
          <w:color w:val="000000"/>
          <w:sz w:val="24"/>
          <w:szCs w:val="24"/>
        </w:rPr>
        <w:t>招标方</w:t>
      </w:r>
      <w:r>
        <w:rPr>
          <w:color w:val="000000"/>
          <w:sz w:val="24"/>
          <w:szCs w:val="24"/>
        </w:rPr>
        <w:t>检验的依据。</w:t>
      </w:r>
    </w:p>
    <w:p w14:paraId="57D9BF54">
      <w:pPr>
        <w:spacing w:line="360" w:lineRule="auto"/>
        <w:outlineLvl w:val="3"/>
        <w:rPr>
          <w:b/>
          <w:bCs/>
          <w:sz w:val="24"/>
          <w:szCs w:val="24"/>
        </w:rPr>
      </w:pPr>
      <w:r>
        <w:rPr>
          <w:rFonts w:hint="eastAsia"/>
          <w:b/>
          <w:bCs/>
          <w:sz w:val="24"/>
          <w:szCs w:val="24"/>
        </w:rPr>
        <w:t>3.</w:t>
      </w:r>
      <w:r>
        <w:rPr>
          <w:b/>
          <w:bCs/>
          <w:sz w:val="24"/>
          <w:szCs w:val="24"/>
        </w:rPr>
        <w:t>验收</w:t>
      </w:r>
    </w:p>
    <w:p w14:paraId="31AEC1BC">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3.1本项目不进行预验收，终验收在安装调试完成后进行。</w:t>
      </w:r>
    </w:p>
    <w:p w14:paraId="696D44AA">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3.2买卖双方按照合同约定执行了合同，同时货物完成了试运行并经检验合格，则具备了终验收条件。</w:t>
      </w:r>
    </w:p>
    <w:p w14:paraId="69D32FFA">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（1）外观检查及供货清单确认：投标方提供的设备内容及数量应满足合同和技术协议的要求，文档资料应满足技术协议的要求；设备应是全新的、完好的、无破损、无裂纹等。</w:t>
      </w:r>
    </w:p>
    <w:p w14:paraId="50D2420F">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（2）设备运行时，货物应连续运行30天，每天连续10小时或单次连续运24小时。</w:t>
      </w:r>
    </w:p>
    <w:p w14:paraId="5BD7F47B">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3.3</w:t>
      </w:r>
      <w:r>
        <w:rPr>
          <w:rFonts w:hint="eastAsia" w:asciiTheme="minorEastAsia" w:hAnsiTheme="minorEastAsia" w:eastAsiaTheme="minorEastAsia" w:cstheme="minorEastAsia"/>
          <w:sz w:val="24"/>
          <w:szCs w:val="24"/>
        </w:rPr>
        <w:t>验收标准</w:t>
      </w:r>
    </w:p>
    <w:p w14:paraId="45B9F02F">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（1）资料齐全性、完整性和有效性</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设备主要配置清单、说明书等4份纸质文件，电子档文件3份。</w:t>
      </w:r>
    </w:p>
    <w:p w14:paraId="19C431FE">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（2）设备应运行灵活、稳定、可靠、安全，无异常声音和非正常振动。</w:t>
      </w:r>
    </w:p>
    <w:p w14:paraId="5A72D89D">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（3）设备外观应无损伤，应该涂满同种明亮清晰的油漆（特殊标志除外）。设备应该完整且所有的零部件应该安装牢固，所有的焊缝饱满、无残渣等缺陷；</w:t>
      </w:r>
    </w:p>
    <w:p w14:paraId="039156B2">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）设备应有完整的标牌，且清晰易见；</w:t>
      </w:r>
    </w:p>
    <w:p w14:paraId="74615FF1">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）设备的安全要求符合中国最新的相关法律、法规、标准和规范以及合同要求；</w:t>
      </w:r>
    </w:p>
    <w:p w14:paraId="2CC03F03">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）地线连接和地极符合国际（ISO/IEC）标准规范；</w:t>
      </w:r>
    </w:p>
    <w:p w14:paraId="19F4EAA6">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）计量仪器、仪表配套合理，采用中国的法定计量单位，计量准确、灵敏可靠。计量仪器、仪表出具计量检验报告、产品合格证等。</w:t>
      </w:r>
    </w:p>
    <w:p w14:paraId="162A18E2">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）设备质量、技术性能等，按照签定的技术协议书和合同规定的终验收标准验收；</w:t>
      </w:r>
    </w:p>
    <w:p w14:paraId="09A0AF2C">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）备品备件的数量、规格等，按照技术协议和合同规定的标准。</w:t>
      </w:r>
    </w:p>
    <w:p w14:paraId="178E60CF">
      <w:pPr>
        <w:adjustRightInd w:val="0"/>
        <w:snapToGrid w:val="0"/>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3.4出现下列问题之一，视作验收失败：</w:t>
      </w:r>
    </w:p>
    <w:p w14:paraId="121B8113">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（1）在整个验收过程中发生关键零部件损坏或重大故障；</w:t>
      </w:r>
    </w:p>
    <w:p w14:paraId="458028D2">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（2）一般性故障超过2次；</w:t>
      </w:r>
    </w:p>
    <w:p w14:paraId="43B58696">
      <w:pPr>
        <w:adjustRightInd w:val="0"/>
        <w:snapToGrid w:val="0"/>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（3）所有出现的维修调整，每次时间均超过10分钟；所有维修调整时间的总和超过总运行时间的5%；</w:t>
      </w:r>
    </w:p>
    <w:p w14:paraId="4B4F3E85">
      <w:pPr>
        <w:adjustRightInd w:val="0"/>
        <w:snapToGrid w:val="0"/>
        <w:spacing w:line="360" w:lineRule="auto"/>
        <w:ind w:firstLine="480" w:firstLineChars="200"/>
        <w:rPr>
          <w:rFonts w:hint="eastAsia"/>
        </w:rPr>
      </w:pPr>
      <w:r>
        <w:rPr>
          <w:rFonts w:hint="eastAsia" w:asciiTheme="minorEastAsia" w:hAnsiTheme="minorEastAsia" w:eastAsiaTheme="minorEastAsia" w:cstheme="minorEastAsia"/>
          <w:color w:val="000000"/>
          <w:sz w:val="24"/>
          <w:szCs w:val="24"/>
        </w:rPr>
        <w:t>（4）更换的零部件货值超过总货值的1%。</w:t>
      </w:r>
    </w:p>
    <w:p w14:paraId="017D893E">
      <w:pPr>
        <w:pStyle w:val="2"/>
        <w:jc w:val="center"/>
        <w:rPr>
          <w:rFonts w:hint="eastAsia"/>
        </w:rPr>
      </w:pPr>
    </w:p>
    <w:p w14:paraId="4F53AC22">
      <w:pPr>
        <w:pStyle w:val="2"/>
        <w:jc w:val="center"/>
        <w:rPr>
          <w:rFonts w:hint="eastAsia"/>
        </w:rPr>
      </w:pPr>
    </w:p>
    <w:p w14:paraId="37CCCFD7">
      <w:pPr>
        <w:pStyle w:val="2"/>
        <w:jc w:val="center"/>
        <w:rPr>
          <w:rFonts w:hint="eastAsia"/>
        </w:rPr>
      </w:pPr>
    </w:p>
    <w:p w14:paraId="391BE117">
      <w:pPr>
        <w:pStyle w:val="2"/>
        <w:jc w:val="center"/>
        <w:rPr>
          <w:rFonts w:hint="eastAsia"/>
        </w:rPr>
      </w:pPr>
    </w:p>
    <w:p w14:paraId="06CBD0AE">
      <w:pPr>
        <w:pStyle w:val="2"/>
        <w:jc w:val="center"/>
        <w:rPr>
          <w:rFonts w:hint="eastAsia"/>
        </w:rPr>
      </w:pPr>
    </w:p>
    <w:p w14:paraId="685C1B3E">
      <w:pPr>
        <w:pStyle w:val="2"/>
        <w:jc w:val="center"/>
        <w:rPr>
          <w:rFonts w:hint="eastAsia"/>
        </w:rPr>
      </w:pPr>
    </w:p>
    <w:p w14:paraId="78798C9B">
      <w:pPr>
        <w:pStyle w:val="19"/>
      </w:pPr>
    </w:p>
    <w:p w14:paraId="6A1419F5">
      <w:pPr>
        <w:spacing w:line="360" w:lineRule="auto"/>
        <w:jc w:val="center"/>
        <w:outlineLvl w:val="0"/>
        <w:rPr>
          <w:rFonts w:ascii="宋体" w:hAnsi="Calibri" w:eastAsia="宋体" w:cs="Times New Roman"/>
          <w:b/>
          <w:sz w:val="36"/>
          <w:szCs w:val="36"/>
        </w:rPr>
      </w:pPr>
      <w:bookmarkStart w:id="96" w:name="_Toc26233"/>
      <w:bookmarkStart w:id="97" w:name="_Toc3584"/>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6"/>
      <w:bookmarkEnd w:id="97"/>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2D83DFFB">
      <w:pPr>
        <w:spacing w:line="360" w:lineRule="auto"/>
        <w:rPr>
          <w:rFonts w:hint="eastAsia" w:ascii="宋体" w:hAnsi="宋体" w:cs="宋体"/>
          <w:bCs/>
          <w:sz w:val="22"/>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98" w:name="_Toc20726"/>
      <w:r>
        <w:rPr>
          <w:rFonts w:hint="eastAsia" w:ascii="黑体" w:hAnsi="黑体" w:eastAsia="黑体" w:cs="宋体"/>
          <w:iCs/>
          <w:sz w:val="28"/>
          <w:szCs w:val="28"/>
        </w:rPr>
        <w:t>1 合同设备</w:t>
      </w:r>
      <w:bookmarkEnd w:id="98"/>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99" w:name="_Toc21541"/>
      <w:r>
        <w:rPr>
          <w:rFonts w:hint="eastAsia" w:ascii="黑体" w:hAnsi="黑体" w:eastAsia="黑体" w:cs="宋体"/>
          <w:iCs/>
          <w:sz w:val="28"/>
          <w:szCs w:val="28"/>
        </w:rPr>
        <w:t>2 包装</w:t>
      </w:r>
      <w:bookmarkEnd w:id="99"/>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0" w:name="_Toc27921"/>
      <w:r>
        <w:rPr>
          <w:rFonts w:hint="eastAsia" w:ascii="黑体" w:hAnsi="黑体" w:eastAsia="黑体" w:cs="宋体"/>
          <w:iCs/>
          <w:sz w:val="28"/>
          <w:szCs w:val="28"/>
        </w:rPr>
        <w:t>3 运输标记</w:t>
      </w:r>
      <w:bookmarkEnd w:id="100"/>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1" w:name="_Toc26319"/>
      <w:r>
        <w:rPr>
          <w:rFonts w:hint="eastAsia" w:ascii="黑体" w:hAnsi="黑体" w:eastAsia="黑体" w:cs="宋体"/>
          <w:iCs/>
          <w:sz w:val="28"/>
          <w:szCs w:val="28"/>
        </w:rPr>
        <w:t>4 检验</w:t>
      </w:r>
      <w:bookmarkEnd w:id="101"/>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2" w:name="_Toc26689"/>
      <w:r>
        <w:rPr>
          <w:rFonts w:hint="eastAsia" w:ascii="黑体" w:hAnsi="黑体" w:eastAsia="黑体" w:cs="宋体"/>
          <w:iCs/>
          <w:sz w:val="28"/>
          <w:szCs w:val="28"/>
        </w:rPr>
        <w:t>5 权利担保</w:t>
      </w:r>
      <w:bookmarkEnd w:id="102"/>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3" w:name="_Toc9048"/>
      <w:r>
        <w:rPr>
          <w:rFonts w:hint="eastAsia" w:ascii="黑体" w:hAnsi="黑体" w:eastAsia="黑体" w:cs="宋体"/>
          <w:iCs/>
          <w:sz w:val="28"/>
          <w:szCs w:val="28"/>
        </w:rPr>
        <w:t>6 交货</w:t>
      </w:r>
      <w:bookmarkEnd w:id="103"/>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4" w:name="_Toc20865"/>
      <w:r>
        <w:rPr>
          <w:rFonts w:hint="eastAsia" w:ascii="黑体" w:hAnsi="黑体" w:eastAsia="黑体" w:cs="宋体"/>
          <w:iCs/>
          <w:sz w:val="28"/>
          <w:szCs w:val="28"/>
        </w:rPr>
        <w:t>7 安装、调试</w:t>
      </w:r>
      <w:bookmarkEnd w:id="104"/>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5" w:name="_Toc4014"/>
      <w:r>
        <w:rPr>
          <w:rFonts w:hint="eastAsia" w:ascii="黑体" w:hAnsi="黑体" w:eastAsia="黑体" w:cs="宋体"/>
          <w:iCs/>
          <w:sz w:val="28"/>
          <w:szCs w:val="28"/>
        </w:rPr>
        <w:t>8 价款与支付</w:t>
      </w:r>
      <w:bookmarkEnd w:id="105"/>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6" w:name="_Toc1626"/>
      <w:r>
        <w:rPr>
          <w:rFonts w:hint="eastAsia" w:ascii="黑体" w:hAnsi="黑体" w:eastAsia="黑体" w:cs="宋体"/>
          <w:iCs/>
          <w:sz w:val="28"/>
          <w:szCs w:val="28"/>
        </w:rPr>
        <w:t>9 质量保证及售后服务</w:t>
      </w:r>
      <w:bookmarkEnd w:id="106"/>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7" w:name="_Toc11560"/>
      <w:r>
        <w:rPr>
          <w:rFonts w:hint="eastAsia" w:ascii="黑体" w:hAnsi="黑体" w:eastAsia="黑体" w:cs="宋体"/>
          <w:iCs/>
          <w:sz w:val="28"/>
          <w:szCs w:val="28"/>
        </w:rPr>
        <w:t>10法定责任</w:t>
      </w:r>
      <w:bookmarkEnd w:id="107"/>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8" w:name="_Toc31994"/>
      <w:r>
        <w:rPr>
          <w:rFonts w:hint="eastAsia" w:ascii="黑体" w:hAnsi="黑体" w:eastAsia="黑体" w:cs="宋体"/>
          <w:iCs/>
          <w:sz w:val="28"/>
          <w:szCs w:val="28"/>
        </w:rPr>
        <w:t>11 违约责任</w:t>
      </w:r>
      <w:bookmarkEnd w:id="108"/>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9" w:name="_Toc21186"/>
      <w:r>
        <w:rPr>
          <w:rFonts w:hint="eastAsia" w:ascii="黑体" w:hAnsi="黑体" w:eastAsia="黑体" w:cs="宋体"/>
          <w:iCs/>
          <w:sz w:val="28"/>
          <w:szCs w:val="28"/>
        </w:rPr>
        <w:t>12 合同的终止与解除</w:t>
      </w:r>
      <w:bookmarkEnd w:id="109"/>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0" w:name="_Toc3044"/>
      <w:r>
        <w:rPr>
          <w:rFonts w:hint="eastAsia" w:ascii="黑体" w:hAnsi="黑体" w:eastAsia="黑体" w:cs="宋体"/>
          <w:iCs/>
          <w:sz w:val="28"/>
          <w:szCs w:val="28"/>
        </w:rPr>
        <w:t>13 不可抗力</w:t>
      </w:r>
      <w:bookmarkEnd w:id="110"/>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1" w:name="_Toc21120"/>
      <w:r>
        <w:rPr>
          <w:rFonts w:hint="eastAsia" w:ascii="黑体" w:hAnsi="黑体" w:eastAsia="黑体" w:cs="宋体"/>
          <w:iCs/>
          <w:sz w:val="28"/>
          <w:szCs w:val="28"/>
        </w:rPr>
        <w:t>14 通讯</w:t>
      </w:r>
      <w:bookmarkEnd w:id="111"/>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12" w:name="_Toc1107"/>
      <w:r>
        <w:rPr>
          <w:rFonts w:hint="eastAsia" w:ascii="黑体" w:hAnsi="黑体" w:eastAsia="黑体" w:cs="宋体"/>
          <w:iCs/>
          <w:sz w:val="28"/>
          <w:szCs w:val="28"/>
        </w:rPr>
        <w:t>15 适用法律及争议解决</w:t>
      </w:r>
      <w:bookmarkEnd w:id="112"/>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3" w:name="_Toc2775"/>
      <w:r>
        <w:rPr>
          <w:rFonts w:hint="eastAsia" w:ascii="黑体" w:hAnsi="黑体" w:eastAsia="黑体" w:cs="宋体"/>
          <w:iCs/>
          <w:sz w:val="28"/>
          <w:szCs w:val="28"/>
        </w:rPr>
        <w:t>16 附件</w:t>
      </w:r>
      <w:bookmarkEnd w:id="113"/>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4" w:name="_Toc23685"/>
      <w:r>
        <w:rPr>
          <w:rFonts w:hint="eastAsia" w:ascii="黑体" w:hAnsi="黑体" w:eastAsia="黑体" w:cs="宋体"/>
          <w:iCs/>
          <w:sz w:val="28"/>
          <w:szCs w:val="28"/>
        </w:rPr>
        <w:t>17 其他规定</w:t>
      </w:r>
      <w:bookmarkEnd w:id="114"/>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5" w:name="_Toc19515"/>
      <w:r>
        <w:rPr>
          <w:rFonts w:hint="eastAsia" w:ascii="黑体" w:hAnsi="黑体" w:eastAsia="黑体" w:cs="宋体"/>
          <w:iCs/>
          <w:sz w:val="28"/>
          <w:szCs w:val="28"/>
        </w:rPr>
        <w:t>18 签署事项</w:t>
      </w:r>
      <w:bookmarkEnd w:id="115"/>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16" w:name="_Toc14581"/>
      <w:r>
        <w:rPr>
          <w:rFonts w:hint="eastAsia" w:ascii="黑体" w:hAnsi="黑体" w:eastAsia="黑体" w:cstheme="minorEastAsia"/>
          <w:b w:val="0"/>
          <w:sz w:val="28"/>
          <w:szCs w:val="28"/>
        </w:rPr>
        <w:t>附件一：设备清单明细表</w:t>
      </w:r>
      <w:bookmarkEnd w:id="116"/>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17" w:name="_Toc8175"/>
      <w:r>
        <w:rPr>
          <w:rFonts w:hint="eastAsia" w:ascii="黑体" w:hAnsi="黑体" w:eastAsia="黑体" w:cstheme="minorEastAsia"/>
          <w:b w:val="0"/>
          <w:sz w:val="28"/>
          <w:szCs w:val="28"/>
        </w:rPr>
        <w:t>附件二 技术协议书</w:t>
      </w:r>
      <w:bookmarkEnd w:id="117"/>
    </w:p>
    <w:p w14:paraId="75DC16D0">
      <w:pPr>
        <w:ind w:right="360"/>
        <w:rPr>
          <w:rFonts w:hint="eastAsia"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18" w:name="_Toc1903"/>
      <w:bookmarkStart w:id="119" w:name="_Toc22783"/>
      <w:bookmarkStart w:id="120" w:name="_Toc16875"/>
      <w:bookmarkStart w:id="121" w:name="_Toc3018"/>
      <w:bookmarkStart w:id="122" w:name="_Toc11699"/>
      <w:bookmarkStart w:id="123" w:name="_Toc31191"/>
      <w:r>
        <w:rPr>
          <w:rFonts w:hint="eastAsia" w:ascii="仿宋_GB2312" w:hAnsi="仿宋_GB2312" w:eastAsia="仿宋_GB2312" w:cs="仿宋_GB2312"/>
          <w:sz w:val="44"/>
          <w:szCs w:val="44"/>
          <w:lang w:val="en-US" w:eastAsia="zh-CN"/>
        </w:rPr>
        <w:t>第六部分 投标文件附件</w:t>
      </w:r>
      <w:bookmarkEnd w:id="118"/>
      <w:bookmarkEnd w:id="119"/>
      <w:bookmarkEnd w:id="120"/>
      <w:bookmarkEnd w:id="121"/>
      <w:bookmarkEnd w:id="122"/>
      <w:bookmarkEnd w:id="123"/>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0B986634">
      <w:pPr>
        <w:pStyle w:val="19"/>
        <w:rPr>
          <w:rFonts w:hint="eastAsia" w:ascii="仿宋_GB2312" w:hAnsi="仿宋_GB2312" w:eastAsia="仿宋_GB2312" w:cs="仿宋_GB2312"/>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24" w:name="_Toc20564"/>
      <w:bookmarkStart w:id="125" w:name="_Toc28575"/>
      <w:bookmarkStart w:id="126" w:name="_Toc23117"/>
      <w:r>
        <w:rPr>
          <w:rFonts w:hint="eastAsia" w:ascii="仿宋_GB2312" w:hAnsi="仿宋_GB2312" w:eastAsia="仿宋_GB2312" w:cs="仿宋_GB2312"/>
          <w:b/>
          <w:bCs/>
          <w:kern w:val="2"/>
          <w:sz w:val="36"/>
          <w:szCs w:val="36"/>
          <w:lang w:val="en-US" w:eastAsia="zh-CN" w:bidi="ar-SA"/>
        </w:rPr>
        <w:t>附件1</w:t>
      </w:r>
      <w:bookmarkStart w:id="127" w:name="_Toc639004"/>
      <w:bookmarkStart w:id="128" w:name="_Toc25811"/>
      <w:bookmarkStart w:id="129" w:name="_Toc212369550"/>
      <w:bookmarkStart w:id="130" w:name="_Toc353881012"/>
      <w:r>
        <w:rPr>
          <w:rFonts w:hint="eastAsia" w:ascii="仿宋_GB2312" w:hAnsi="仿宋_GB2312" w:eastAsia="仿宋_GB2312" w:cs="仿宋_GB2312"/>
          <w:b/>
          <w:bCs/>
          <w:kern w:val="2"/>
          <w:sz w:val="36"/>
          <w:szCs w:val="36"/>
          <w:lang w:val="en-US" w:eastAsia="zh-CN" w:bidi="ar-SA"/>
        </w:rPr>
        <w:t xml:space="preserve"> 投标函</w:t>
      </w:r>
      <w:bookmarkEnd w:id="124"/>
      <w:bookmarkEnd w:id="125"/>
      <w:bookmarkEnd w:id="126"/>
      <w:bookmarkEnd w:id="127"/>
      <w:bookmarkEnd w:id="128"/>
      <w:bookmarkEnd w:id="129"/>
      <w:bookmarkEnd w:id="130"/>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中国重汽集团济南商用车胎压监测标定设备项目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1" w:name="_Toc16460"/>
      <w:bookmarkStart w:id="132" w:name="_Toc6733"/>
      <w:bookmarkStart w:id="133" w:name="_Toc31515"/>
      <w:r>
        <w:rPr>
          <w:rFonts w:hint="eastAsia" w:ascii="仿宋_GB2312" w:hAnsi="仿宋_GB2312" w:eastAsia="仿宋_GB2312" w:cs="仿宋_GB2312"/>
          <w:b/>
          <w:bCs/>
          <w:kern w:val="2"/>
          <w:sz w:val="36"/>
          <w:szCs w:val="36"/>
          <w:lang w:val="en-US" w:eastAsia="zh-CN" w:bidi="ar-SA"/>
        </w:rPr>
        <w:t>附件2 法定代表人授权委托书</w:t>
      </w:r>
      <w:bookmarkEnd w:id="131"/>
      <w:bookmarkEnd w:id="132"/>
      <w:bookmarkEnd w:id="133"/>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中国重汽集团济南商用车胎压监测标定设备项目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CGZX2025030139</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498A4843">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4" w:name="_Toc24567"/>
      <w:bookmarkStart w:id="135" w:name="_Toc13989"/>
      <w:bookmarkStart w:id="136" w:name="_Toc27444"/>
      <w:r>
        <w:rPr>
          <w:rFonts w:hint="eastAsia" w:ascii="仿宋_GB2312" w:hAnsi="仿宋_GB2312" w:eastAsia="仿宋_GB2312" w:cs="仿宋_GB2312"/>
          <w:b/>
          <w:bCs/>
          <w:kern w:val="2"/>
          <w:sz w:val="36"/>
          <w:szCs w:val="36"/>
          <w:lang w:val="en-US" w:eastAsia="zh-CN" w:bidi="ar-SA"/>
        </w:rPr>
        <w:t>附件3 投标人基本情况表</w:t>
      </w:r>
      <w:bookmarkEnd w:id="134"/>
      <w:bookmarkEnd w:id="135"/>
      <w:bookmarkEnd w:id="136"/>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18143312">
      <w:pPr>
        <w:pStyle w:val="19"/>
        <w:rPr>
          <w:rFonts w:hint="eastAsia" w:ascii="仿宋_GB2312" w:hAnsi="仿宋_GB2312" w:eastAsia="仿宋_GB2312" w:cs="仿宋_GB2312"/>
          <w:b/>
          <w:bCs/>
          <w:color w:val="000000"/>
          <w:sz w:val="24"/>
          <w:szCs w:val="24"/>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7" w:name="_Toc21977"/>
      <w:bookmarkStart w:id="138" w:name="_Toc17882"/>
      <w:bookmarkStart w:id="139" w:name="_Toc21910"/>
      <w:r>
        <w:rPr>
          <w:rFonts w:hint="eastAsia" w:ascii="仿宋_GB2312" w:hAnsi="仿宋_GB2312" w:eastAsia="仿宋_GB2312" w:cs="仿宋_GB2312"/>
          <w:b/>
          <w:bCs/>
          <w:kern w:val="2"/>
          <w:sz w:val="36"/>
          <w:szCs w:val="36"/>
          <w:lang w:val="en-US" w:eastAsia="zh-CN" w:bidi="ar-SA"/>
        </w:rPr>
        <w:t>附件4 保密承诺函</w:t>
      </w:r>
      <w:bookmarkEnd w:id="137"/>
      <w:bookmarkEnd w:id="138"/>
      <w:bookmarkEnd w:id="139"/>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56A945DF">
      <w:pPr>
        <w:rPr>
          <w:rFonts w:hint="eastAsia" w:ascii="仿宋_GB2312" w:hAnsi="仿宋_GB2312" w:eastAsia="仿宋_GB2312" w:cs="仿宋_GB2312"/>
          <w:b/>
          <w:bCs/>
          <w:color w:val="000000"/>
          <w:sz w:val="28"/>
          <w:szCs w:val="20"/>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0" w:name="_Toc20318"/>
      <w:bookmarkStart w:id="141" w:name="_Toc6608"/>
      <w:bookmarkStart w:id="142" w:name="_Toc12909"/>
      <w:r>
        <w:rPr>
          <w:rFonts w:hint="eastAsia" w:ascii="仿宋_GB2312" w:hAnsi="仿宋_GB2312" w:eastAsia="仿宋_GB2312" w:cs="仿宋_GB2312"/>
          <w:b/>
          <w:bCs/>
          <w:kern w:val="2"/>
          <w:sz w:val="36"/>
          <w:szCs w:val="36"/>
          <w:lang w:val="en-US" w:eastAsia="zh-CN" w:bidi="ar-SA"/>
        </w:rPr>
        <w:t>附件5-1 技术规格偏离表</w:t>
      </w:r>
      <w:bookmarkEnd w:id="140"/>
      <w:bookmarkEnd w:id="141"/>
      <w:bookmarkEnd w:id="142"/>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5FF8E956">
      <w:pPr>
        <w:rPr>
          <w:rFonts w:hint="eastAsia" w:ascii="仿宋_GB2312" w:hAnsi="仿宋_GB2312" w:eastAsia="仿宋_GB2312" w:cs="仿宋_GB2312"/>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3" w:name="_Toc16139"/>
      <w:bookmarkStart w:id="144" w:name="_Toc1711"/>
      <w:bookmarkStart w:id="145" w:name="_Toc4359"/>
      <w:r>
        <w:rPr>
          <w:rFonts w:hint="eastAsia" w:ascii="仿宋_GB2312" w:hAnsi="仿宋_GB2312" w:eastAsia="仿宋_GB2312" w:cs="仿宋_GB2312"/>
          <w:b/>
          <w:bCs/>
          <w:kern w:val="2"/>
          <w:sz w:val="36"/>
          <w:szCs w:val="36"/>
          <w:lang w:val="en-US" w:eastAsia="zh-CN" w:bidi="ar-SA"/>
        </w:rPr>
        <w:t>附件5-2 设备分项配置</w:t>
      </w:r>
      <w:bookmarkEnd w:id="143"/>
      <w:bookmarkEnd w:id="144"/>
      <w:bookmarkEnd w:id="145"/>
    </w:p>
    <w:p w14:paraId="143F9C4D">
      <w:pPr>
        <w:bidi w:val="0"/>
        <w:jc w:val="center"/>
        <w:rPr>
          <w:rFonts w:hint="eastAsia" w:ascii="仿宋_GB2312" w:hAnsi="仿宋_GB2312" w:eastAsia="仿宋_GB2312" w:cs="仿宋_GB2312"/>
          <w:sz w:val="24"/>
          <w:szCs w:val="24"/>
        </w:rPr>
      </w:pPr>
      <w:bookmarkStart w:id="146"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46"/>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tbl>
      <w:tblPr>
        <w:tblStyle w:val="130"/>
        <w:tblpPr w:leftFromText="180" w:rightFromText="180" w:vertAnchor="text" w:horzAnchor="page" w:tblpX="1293" w:tblpY="-46"/>
        <w:tblOverlap w:val="never"/>
        <w:tblW w:w="136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3615"/>
        <w:gridCol w:w="793"/>
        <w:gridCol w:w="990"/>
        <w:gridCol w:w="953"/>
        <w:gridCol w:w="1453"/>
        <w:gridCol w:w="5438"/>
      </w:tblGrid>
      <w:tr w14:paraId="7E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453" w:type="dxa"/>
            <w:vAlign w:val="center"/>
          </w:tcPr>
          <w:p w14:paraId="0EDBB5AA">
            <w:pPr>
              <w:spacing w:before="97" w:line="18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1</w:t>
            </w:r>
          </w:p>
        </w:tc>
        <w:tc>
          <w:tcPr>
            <w:tcW w:w="3615" w:type="dxa"/>
            <w:vAlign w:val="center"/>
          </w:tcPr>
          <w:p w14:paraId="5187481E">
            <w:pPr>
              <w:spacing w:before="99" w:line="183" w:lineRule="auto"/>
              <w:jc w:val="cente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2</w:t>
            </w:r>
          </w:p>
        </w:tc>
        <w:tc>
          <w:tcPr>
            <w:tcW w:w="793" w:type="dxa"/>
            <w:vAlign w:val="center"/>
          </w:tcPr>
          <w:p w14:paraId="38CF1749">
            <w:pPr>
              <w:spacing w:before="99" w:line="183"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3</w:t>
            </w:r>
          </w:p>
        </w:tc>
        <w:tc>
          <w:tcPr>
            <w:tcW w:w="990" w:type="dxa"/>
            <w:vAlign w:val="center"/>
          </w:tcPr>
          <w:p w14:paraId="79B554D5">
            <w:pPr>
              <w:spacing w:before="98" w:line="185"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4</w:t>
            </w:r>
          </w:p>
        </w:tc>
        <w:tc>
          <w:tcPr>
            <w:tcW w:w="953" w:type="dxa"/>
            <w:vAlign w:val="center"/>
          </w:tcPr>
          <w:p w14:paraId="3F6C81F9">
            <w:pPr>
              <w:spacing w:before="100" w:line="182"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5</w:t>
            </w:r>
          </w:p>
        </w:tc>
        <w:tc>
          <w:tcPr>
            <w:tcW w:w="1453" w:type="dxa"/>
            <w:tcBorders>
              <w:left w:val="single" w:color="000000" w:sz="4" w:space="0"/>
            </w:tcBorders>
            <w:vAlign w:val="center"/>
          </w:tcPr>
          <w:p w14:paraId="6A47F361">
            <w:pPr>
              <w:spacing w:before="100" w:line="182"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6</w:t>
            </w:r>
          </w:p>
        </w:tc>
        <w:tc>
          <w:tcPr>
            <w:tcW w:w="5438" w:type="dxa"/>
            <w:vAlign w:val="center"/>
          </w:tcPr>
          <w:p w14:paraId="7F241853">
            <w:pPr>
              <w:spacing w:before="99" w:line="183"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7</w:t>
            </w:r>
          </w:p>
        </w:tc>
      </w:tr>
      <w:tr w14:paraId="20FB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453" w:type="dxa"/>
            <w:vAlign w:val="center"/>
          </w:tcPr>
          <w:p w14:paraId="32381784">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序号</w:t>
            </w:r>
          </w:p>
        </w:tc>
        <w:tc>
          <w:tcPr>
            <w:tcW w:w="3615" w:type="dxa"/>
            <w:vAlign w:val="center"/>
          </w:tcPr>
          <w:p w14:paraId="4C0571AA">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货物名称</w:t>
            </w:r>
          </w:p>
        </w:tc>
        <w:tc>
          <w:tcPr>
            <w:tcW w:w="793" w:type="dxa"/>
            <w:vAlign w:val="center"/>
          </w:tcPr>
          <w:p w14:paraId="1A9B1DCF">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型号和规格</w:t>
            </w:r>
          </w:p>
        </w:tc>
        <w:tc>
          <w:tcPr>
            <w:tcW w:w="990" w:type="dxa"/>
            <w:vAlign w:val="center"/>
          </w:tcPr>
          <w:p w14:paraId="09D373C7">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数量</w:t>
            </w:r>
          </w:p>
        </w:tc>
        <w:tc>
          <w:tcPr>
            <w:tcW w:w="953" w:type="dxa"/>
            <w:vAlign w:val="center"/>
          </w:tcPr>
          <w:p w14:paraId="657DE76E">
            <w:pPr>
              <w:spacing w:before="0" w:line="221" w:lineRule="auto"/>
              <w:ind w:left="0" w:right="0" w:firstLine="0"/>
              <w:jc w:val="cente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t>单位</w:t>
            </w:r>
          </w:p>
        </w:tc>
        <w:tc>
          <w:tcPr>
            <w:tcW w:w="1453" w:type="dxa"/>
            <w:tcBorders>
              <w:left w:val="single" w:color="000000" w:sz="4" w:space="0"/>
            </w:tcBorders>
            <w:vAlign w:val="center"/>
          </w:tcPr>
          <w:p w14:paraId="08A384D4">
            <w:pPr>
              <w:spacing w:before="0" w:line="221" w:lineRule="auto"/>
              <w:ind w:left="0" w:leftChars="0"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原产地和制造商名称</w:t>
            </w:r>
          </w:p>
        </w:tc>
        <w:tc>
          <w:tcPr>
            <w:tcW w:w="5438" w:type="dxa"/>
            <w:vAlign w:val="center"/>
          </w:tcPr>
          <w:p w14:paraId="55A6BC7E">
            <w:pPr>
              <w:spacing w:before="0" w:line="221" w:lineRule="auto"/>
              <w:ind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备  注</w:t>
            </w:r>
          </w:p>
        </w:tc>
      </w:tr>
      <w:tr w14:paraId="3565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3" w:type="dxa"/>
            <w:vAlign w:val="center"/>
          </w:tcPr>
          <w:p w14:paraId="3BF7C5AC">
            <w:pPr>
              <w:adjustRightInd w:val="0"/>
              <w:snapToGrid w:val="0"/>
              <w:spacing w:before="156" w:beforeLines="50" w:after="156" w:afterLines="50"/>
              <w:jc w:val="center"/>
              <w:rPr>
                <w:rFonts w:hint="eastAsia" w:ascii="宋体" w:hAnsi="宋体" w:cs="宋体"/>
                <w:szCs w:val="21"/>
              </w:rPr>
            </w:pPr>
          </w:p>
          <w:p w14:paraId="41963206">
            <w:pPr>
              <w:adjustRightInd w:val="0"/>
              <w:snapToGrid w:val="0"/>
              <w:spacing w:before="156" w:beforeLines="50" w:after="156" w:afterLines="50"/>
              <w:jc w:val="center"/>
              <w:rPr>
                <w:rFonts w:hint="eastAsia" w:ascii="仿宋_GB2312" w:hAnsi="仿宋_GB2312" w:eastAsia="仿宋_GB2312" w:cs="仿宋_GB2312"/>
                <w:position w:val="1"/>
                <w:sz w:val="21"/>
                <w:szCs w:val="21"/>
                <w:lang w:val="en-US" w:eastAsia="zh-CN"/>
              </w:rPr>
            </w:pPr>
            <w:r>
              <w:rPr>
                <w:rFonts w:hint="eastAsia" w:ascii="宋体" w:hAnsi="宋体" w:cs="宋体"/>
                <w:szCs w:val="21"/>
                <w:lang w:val="en-US" w:eastAsia="zh-CN"/>
              </w:rPr>
              <w:t>1</w:t>
            </w:r>
          </w:p>
          <w:p w14:paraId="7D3DE561">
            <w:pPr>
              <w:adjustRightInd w:val="0"/>
              <w:snapToGrid w:val="0"/>
              <w:spacing w:before="156" w:beforeLines="50" w:after="156" w:afterLines="50"/>
              <w:jc w:val="center"/>
              <w:rPr>
                <w:rFonts w:hint="default" w:ascii="仿宋_GB2312" w:hAnsi="仿宋_GB2312" w:eastAsia="仿宋_GB2312" w:cs="仿宋_GB2312"/>
                <w:position w:val="1"/>
                <w:sz w:val="21"/>
                <w:szCs w:val="21"/>
                <w:lang w:val="en-US" w:eastAsia="zh-CN"/>
              </w:rPr>
            </w:pPr>
          </w:p>
        </w:tc>
        <w:tc>
          <w:tcPr>
            <w:tcW w:w="3615" w:type="dxa"/>
            <w:vAlign w:val="center"/>
          </w:tcPr>
          <w:p w14:paraId="74B5056D">
            <w:pPr>
              <w:widowControl/>
              <w:jc w:val="center"/>
              <w:textAlignment w:val="center"/>
              <w:rPr>
                <w:rFonts w:hint="eastAsia" w:ascii="宋体" w:hAnsi="宋体" w:cs="宋体"/>
                <w:color w:val="000000"/>
                <w:kern w:val="0"/>
                <w:sz w:val="24"/>
                <w:szCs w:val="24"/>
              </w:rPr>
            </w:pPr>
            <w:r>
              <w:rPr>
                <w:rFonts w:hint="eastAsia" w:ascii="宋体" w:hAnsi="宋体" w:cs="宋体"/>
                <w:color w:val="000000"/>
                <w:kern w:val="0"/>
                <w:sz w:val="24"/>
                <w:szCs w:val="24"/>
              </w:rPr>
              <w:t>胎压监测标定设备</w:t>
            </w:r>
          </w:p>
        </w:tc>
        <w:tc>
          <w:tcPr>
            <w:tcW w:w="793" w:type="dxa"/>
            <w:vAlign w:val="center"/>
          </w:tcPr>
          <w:p w14:paraId="4C6B42D6">
            <w:pPr>
              <w:widowControl/>
              <w:jc w:val="center"/>
              <w:textAlignment w:val="center"/>
              <w:rPr>
                <w:rFonts w:hint="eastAsia" w:ascii="仿宋_GB2312" w:hAnsi="仿宋_GB2312" w:eastAsia="仿宋_GB2312" w:cs="仿宋_GB2312"/>
                <w:position w:val="1"/>
                <w:sz w:val="21"/>
                <w:szCs w:val="21"/>
                <w:highlight w:val="green"/>
                <w:lang w:val="en-US" w:eastAsia="zh-CN"/>
              </w:rPr>
            </w:pPr>
            <w:r>
              <w:rPr>
                <w:rFonts w:hint="eastAsia" w:ascii="宋体" w:hAnsi="宋体" w:cs="宋体"/>
                <w:color w:val="000000"/>
                <w:kern w:val="0"/>
              </w:rPr>
              <w:t>非标</w:t>
            </w:r>
          </w:p>
        </w:tc>
        <w:tc>
          <w:tcPr>
            <w:tcW w:w="990" w:type="dxa"/>
            <w:vAlign w:val="center"/>
          </w:tcPr>
          <w:p w14:paraId="137ACAE3">
            <w:pPr>
              <w:widowControl/>
              <w:jc w:val="center"/>
              <w:textAlignment w:val="center"/>
              <w:rPr>
                <w:rFonts w:hint="default" w:ascii="仿宋_GB2312" w:hAnsi="仿宋_GB2312" w:eastAsia="宋体" w:cs="仿宋_GB2312"/>
                <w:sz w:val="21"/>
                <w:szCs w:val="21"/>
                <w:highlight w:val="green"/>
                <w:lang w:val="en-US" w:eastAsia="zh-CN"/>
              </w:rPr>
            </w:pPr>
            <w:r>
              <w:rPr>
                <w:rFonts w:hint="eastAsia" w:ascii="仿宋_GB2312" w:hAnsi="仿宋_GB2312" w:eastAsia="宋体" w:cs="仿宋_GB2312"/>
                <w:sz w:val="21"/>
                <w:szCs w:val="21"/>
                <w:highlight w:val="green"/>
                <w:lang w:val="en-US" w:eastAsia="zh-CN"/>
              </w:rPr>
              <w:t>3</w:t>
            </w:r>
          </w:p>
        </w:tc>
        <w:tc>
          <w:tcPr>
            <w:tcW w:w="953" w:type="dxa"/>
            <w:vAlign w:val="center"/>
          </w:tcPr>
          <w:p w14:paraId="321B73C1">
            <w:pPr>
              <w:widowControl/>
              <w:jc w:val="center"/>
              <w:textAlignment w:val="center"/>
              <w:rPr>
                <w:rFonts w:hint="eastAsia" w:ascii="仿宋_GB2312" w:hAnsi="仿宋_GB2312" w:eastAsia="仿宋_GB2312" w:cs="仿宋_GB2312"/>
                <w:sz w:val="21"/>
                <w:szCs w:val="21"/>
                <w:highlight w:val="green"/>
                <w:lang w:val="en-US" w:eastAsia="zh-CN"/>
              </w:rPr>
            </w:pPr>
          </w:p>
        </w:tc>
        <w:tc>
          <w:tcPr>
            <w:tcW w:w="1453" w:type="dxa"/>
            <w:tcBorders>
              <w:left w:val="single" w:color="000000" w:sz="4" w:space="0"/>
            </w:tcBorders>
            <w:vAlign w:val="center"/>
          </w:tcPr>
          <w:p w14:paraId="2FC5CFCA">
            <w:pPr>
              <w:jc w:val="center"/>
              <w:rPr>
                <w:rFonts w:hint="eastAsia" w:ascii="仿宋_GB2312" w:hAnsi="仿宋_GB2312" w:eastAsia="仿宋_GB2312" w:cs="仿宋_GB2312"/>
                <w:sz w:val="21"/>
                <w:szCs w:val="21"/>
                <w:highlight w:val="green"/>
              </w:rPr>
            </w:pPr>
          </w:p>
        </w:tc>
        <w:tc>
          <w:tcPr>
            <w:tcW w:w="5438" w:type="dxa"/>
            <w:vAlign w:val="center"/>
          </w:tcPr>
          <w:p w14:paraId="2B80D040">
            <w:pPr>
              <w:jc w:val="left"/>
              <w:rPr>
                <w:rFonts w:hint="eastAsia" w:ascii="仿宋_GB2312" w:hAnsi="仿宋_GB2312" w:eastAsia="仿宋_GB2312" w:cs="仿宋_GB2312"/>
                <w:sz w:val="21"/>
                <w:szCs w:val="21"/>
                <w:highlight w:val="green"/>
              </w:rPr>
            </w:pPr>
          </w:p>
        </w:tc>
      </w:tr>
      <w:tr w14:paraId="7063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453" w:type="dxa"/>
            <w:vAlign w:val="center"/>
          </w:tcPr>
          <w:p w14:paraId="798BE975">
            <w:pPr>
              <w:spacing w:before="79" w:line="284" w:lineRule="exact"/>
              <w:ind w:left="249"/>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1"/>
                <w:sz w:val="21"/>
                <w:szCs w:val="21"/>
              </w:rPr>
              <w:t>…</w:t>
            </w:r>
          </w:p>
        </w:tc>
        <w:tc>
          <w:tcPr>
            <w:tcW w:w="3615" w:type="dxa"/>
            <w:vAlign w:val="center"/>
          </w:tcPr>
          <w:p w14:paraId="4886842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18"/>
                <w:szCs w:val="18"/>
              </w:rPr>
              <w:t>以上投标设备不足之处请往下添加序号自行补充</w:t>
            </w:r>
          </w:p>
        </w:tc>
        <w:tc>
          <w:tcPr>
            <w:tcW w:w="793" w:type="dxa"/>
            <w:vAlign w:val="center"/>
          </w:tcPr>
          <w:p w14:paraId="28DCA18F">
            <w:pPr>
              <w:jc w:val="center"/>
              <w:rPr>
                <w:rFonts w:hint="eastAsia" w:ascii="仿宋_GB2312" w:hAnsi="仿宋_GB2312" w:eastAsia="仿宋_GB2312" w:cs="仿宋_GB2312"/>
                <w:sz w:val="21"/>
                <w:szCs w:val="21"/>
              </w:rPr>
            </w:pPr>
          </w:p>
        </w:tc>
        <w:tc>
          <w:tcPr>
            <w:tcW w:w="990" w:type="dxa"/>
            <w:vAlign w:val="center"/>
          </w:tcPr>
          <w:p w14:paraId="3BCD1371">
            <w:pPr>
              <w:jc w:val="center"/>
              <w:rPr>
                <w:rFonts w:hint="eastAsia" w:ascii="仿宋_GB2312" w:hAnsi="仿宋_GB2312" w:eastAsia="仿宋_GB2312" w:cs="仿宋_GB2312"/>
                <w:sz w:val="21"/>
                <w:szCs w:val="21"/>
              </w:rPr>
            </w:pPr>
          </w:p>
        </w:tc>
        <w:tc>
          <w:tcPr>
            <w:tcW w:w="953" w:type="dxa"/>
            <w:vAlign w:val="center"/>
          </w:tcPr>
          <w:p w14:paraId="01190E94">
            <w:pPr>
              <w:jc w:val="center"/>
              <w:rPr>
                <w:rFonts w:hint="eastAsia" w:ascii="仿宋_GB2312" w:hAnsi="仿宋_GB2312" w:eastAsia="仿宋_GB2312" w:cs="仿宋_GB2312"/>
                <w:sz w:val="21"/>
                <w:szCs w:val="21"/>
              </w:rPr>
            </w:pPr>
          </w:p>
        </w:tc>
        <w:tc>
          <w:tcPr>
            <w:tcW w:w="1453" w:type="dxa"/>
            <w:tcBorders>
              <w:left w:val="single" w:color="000000" w:sz="4" w:space="0"/>
            </w:tcBorders>
            <w:vAlign w:val="center"/>
          </w:tcPr>
          <w:p w14:paraId="4124AE63">
            <w:pPr>
              <w:jc w:val="center"/>
              <w:rPr>
                <w:rFonts w:hint="eastAsia" w:ascii="仿宋_GB2312" w:hAnsi="仿宋_GB2312" w:eastAsia="仿宋_GB2312" w:cs="仿宋_GB2312"/>
                <w:sz w:val="21"/>
                <w:szCs w:val="21"/>
              </w:rPr>
            </w:pPr>
          </w:p>
        </w:tc>
        <w:tc>
          <w:tcPr>
            <w:tcW w:w="5438" w:type="dxa"/>
            <w:vAlign w:val="center"/>
          </w:tcPr>
          <w:p w14:paraId="0D63D49B">
            <w:pPr>
              <w:jc w:val="left"/>
              <w:rPr>
                <w:rFonts w:hint="eastAsia" w:ascii="仿宋_GB2312" w:hAnsi="仿宋_GB2312" w:eastAsia="仿宋_GB2312" w:cs="仿宋_GB2312"/>
                <w:sz w:val="21"/>
                <w:szCs w:val="21"/>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0F256AAD">
      <w:pPr>
        <w:rPr>
          <w:rFonts w:hint="eastAsia" w:ascii="仿宋_GB2312" w:hAnsi="仿宋_GB2312" w:eastAsia="仿宋_GB2312" w:cs="仿宋_GB2312"/>
          <w:lang w:val="en-US" w:eastAsia="zh-CN"/>
        </w:rPr>
        <w:sectPr>
          <w:footerReference r:id="rId23"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7" w:name="_Toc26990"/>
      <w:bookmarkStart w:id="148" w:name="_Toc32609"/>
      <w:bookmarkStart w:id="149" w:name="_Toc17522"/>
      <w:r>
        <w:rPr>
          <w:rFonts w:hint="eastAsia" w:ascii="仿宋_GB2312" w:hAnsi="仿宋_GB2312" w:eastAsia="仿宋_GB2312" w:cs="仿宋_GB2312"/>
          <w:b/>
          <w:bCs/>
          <w:kern w:val="2"/>
          <w:sz w:val="36"/>
          <w:szCs w:val="36"/>
          <w:lang w:val="en-US" w:eastAsia="zh-CN" w:bidi="ar-SA"/>
        </w:rPr>
        <w:t>附件6 2021年1月1日至今同类项目业绩一览表</w:t>
      </w:r>
      <w:bookmarkEnd w:id="147"/>
      <w:bookmarkEnd w:id="148"/>
      <w:bookmarkEnd w:id="149"/>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21</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2735816A">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0" w:name="_Toc13376"/>
      <w:bookmarkStart w:id="151" w:name="_Toc15631"/>
      <w:bookmarkStart w:id="152" w:name="_Toc11000"/>
      <w:r>
        <w:rPr>
          <w:rFonts w:hint="eastAsia" w:ascii="仿宋_GB2312" w:hAnsi="仿宋_GB2312" w:eastAsia="仿宋_GB2312" w:cs="仿宋_GB2312"/>
          <w:b/>
          <w:bCs/>
          <w:kern w:val="2"/>
          <w:sz w:val="36"/>
          <w:szCs w:val="36"/>
          <w:lang w:val="en-US" w:eastAsia="zh-CN" w:bidi="ar-SA"/>
        </w:rPr>
        <w:t>附件7 设备质量承诺函</w:t>
      </w:r>
      <w:bookmarkEnd w:id="150"/>
      <w:bookmarkEnd w:id="151"/>
      <w:bookmarkEnd w:id="152"/>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649C0B7">
      <w:pPr>
        <w:rPr>
          <w:rFonts w:hint="eastAsia" w:ascii="仿宋_GB2312" w:hAnsi="仿宋_GB2312" w:eastAsia="仿宋_GB2312" w:cs="仿宋_GB2312"/>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3" w:name="_Toc30507"/>
      <w:bookmarkStart w:id="154" w:name="_Toc14734"/>
      <w:bookmarkStart w:id="155" w:name="_Toc31406"/>
      <w:r>
        <w:rPr>
          <w:rFonts w:hint="eastAsia" w:ascii="仿宋_GB2312" w:hAnsi="仿宋_GB2312" w:eastAsia="仿宋_GB2312" w:cs="仿宋_GB2312"/>
          <w:b/>
          <w:bCs/>
          <w:kern w:val="2"/>
          <w:sz w:val="36"/>
          <w:szCs w:val="36"/>
          <w:lang w:val="en-US" w:eastAsia="zh-CN" w:bidi="ar-SA"/>
        </w:rPr>
        <w:t>附件8 开标一览表</w:t>
      </w:r>
      <w:bookmarkEnd w:id="153"/>
      <w:bookmarkEnd w:id="154"/>
      <w:bookmarkEnd w:id="155"/>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eastAsia" w:ascii="仿宋_GB2312" w:hAnsi="仿宋_GB2312" w:eastAsia="仿宋_GB2312" w:cs="仿宋_GB2312"/>
                <w:b/>
                <w:bCs w:val="0"/>
                <w:szCs w:val="20"/>
                <w:lang w:val="en-US" w:eastAsia="zh-CN"/>
              </w:rPr>
            </w:pPr>
            <w:r>
              <w:rPr>
                <w:rFonts w:hint="eastAsia" w:ascii="仿宋_GB2312" w:hAnsi="仿宋_GB2312" w:eastAsia="仿宋_GB2312" w:cs="仿宋_GB2312"/>
                <w:b/>
                <w:bCs/>
                <w:sz w:val="24"/>
                <w:szCs w:val="24"/>
                <w:highlight w:val="green"/>
                <w:lang w:eastAsia="zh-CN"/>
              </w:rPr>
              <w:t>中国重汽集团济南商用车胎压监测标定设备项目</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lang w:val="en-US" w:eastAsia="zh-CN"/>
              </w:rPr>
              <w:t>3</w:t>
            </w:r>
            <w:r>
              <w:rPr>
                <w:rFonts w:hint="eastAsia" w:ascii="Times New Roman" w:hAnsi="Times New Roman" w:eastAsia="宋体" w:cs="Times New Roman"/>
                <w:b/>
                <w:szCs w:val="20"/>
              </w:rPr>
              <w:t>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62E06B2">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7AFED1BC">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891C424">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6" w:name="_Toc27992"/>
      <w:bookmarkStart w:id="157" w:name="_Toc13743"/>
      <w:bookmarkStart w:id="158" w:name="_Toc20761"/>
      <w:r>
        <w:rPr>
          <w:rFonts w:hint="eastAsia" w:ascii="仿宋_GB2312" w:hAnsi="仿宋_GB2312" w:eastAsia="仿宋_GB2312" w:cs="仿宋_GB2312"/>
          <w:b/>
          <w:bCs/>
          <w:kern w:val="2"/>
          <w:sz w:val="36"/>
          <w:szCs w:val="36"/>
          <w:lang w:val="en-US" w:eastAsia="zh-CN" w:bidi="ar-SA"/>
        </w:rPr>
        <w:t>附件9 设备分项报价表</w:t>
      </w:r>
      <w:bookmarkEnd w:id="156"/>
      <w:bookmarkEnd w:id="157"/>
      <w:bookmarkEnd w:id="158"/>
    </w:p>
    <w:p w14:paraId="16F6CDCF">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0DBE3B4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30"/>
        <w:tblpPr w:leftFromText="180" w:rightFromText="180" w:vertAnchor="page" w:horzAnchor="page" w:tblpX="637" w:tblpY="3235"/>
        <w:tblOverlap w:val="never"/>
        <w:tblW w:w="147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334"/>
        <w:gridCol w:w="2478"/>
        <w:gridCol w:w="1906"/>
        <w:gridCol w:w="953"/>
        <w:gridCol w:w="953"/>
        <w:gridCol w:w="1432"/>
        <w:gridCol w:w="2145"/>
        <w:gridCol w:w="2073"/>
        <w:gridCol w:w="910"/>
      </w:tblGrid>
      <w:tr w14:paraId="4504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50F5490A">
            <w:pPr>
              <w:spacing w:before="97" w:line="186" w:lineRule="auto"/>
              <w:ind w:left="304"/>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3812" w:type="dxa"/>
            <w:gridSpan w:val="2"/>
          </w:tcPr>
          <w:p w14:paraId="00E7AEED">
            <w:pPr>
              <w:spacing w:before="99" w:line="183" w:lineRule="auto"/>
              <w:ind w:left="0" w:firstLine="0" w:firstLineChars="0"/>
              <w:jc w:val="cente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906" w:type="dxa"/>
          </w:tcPr>
          <w:p w14:paraId="617869BC">
            <w:pPr>
              <w:spacing w:before="99" w:line="183"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953" w:type="dxa"/>
            <w:vAlign w:val="top"/>
          </w:tcPr>
          <w:p w14:paraId="47009308">
            <w:pPr>
              <w:spacing w:before="98" w:line="185" w:lineRule="auto"/>
              <w:ind w:left="51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953" w:type="dxa"/>
            <w:vAlign w:val="top"/>
          </w:tcPr>
          <w:p w14:paraId="1A0F9DB7">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1432" w:type="dxa"/>
            <w:vAlign w:val="top"/>
          </w:tcPr>
          <w:p w14:paraId="3A4042F7">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2145" w:type="dxa"/>
            <w:tcBorders>
              <w:right w:val="single" w:color="000000" w:sz="4" w:space="0"/>
            </w:tcBorders>
          </w:tcPr>
          <w:p w14:paraId="568B51BB">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073" w:type="dxa"/>
            <w:tcBorders>
              <w:left w:val="single" w:color="000000" w:sz="4" w:space="0"/>
            </w:tcBorders>
          </w:tcPr>
          <w:p w14:paraId="3C86290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910" w:type="dxa"/>
          </w:tcPr>
          <w:p w14:paraId="55A3B053">
            <w:pPr>
              <w:spacing w:before="99" w:line="183" w:lineRule="auto"/>
              <w:ind w:firstLine="422"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9</w:t>
            </w:r>
          </w:p>
        </w:tc>
      </w:tr>
      <w:tr w14:paraId="6A52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835B88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812" w:type="dxa"/>
            <w:gridSpan w:val="2"/>
            <w:vAlign w:val="center"/>
          </w:tcPr>
          <w:p w14:paraId="7848AB9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906" w:type="dxa"/>
            <w:vAlign w:val="center"/>
          </w:tcPr>
          <w:p w14:paraId="2B7B52B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953" w:type="dxa"/>
            <w:vAlign w:val="center"/>
          </w:tcPr>
          <w:p w14:paraId="01D67E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53" w:type="dxa"/>
            <w:vAlign w:val="center"/>
          </w:tcPr>
          <w:p w14:paraId="63BFDE4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32" w:type="dxa"/>
            <w:vAlign w:val="center"/>
          </w:tcPr>
          <w:p w14:paraId="7F6EA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45" w:type="dxa"/>
            <w:tcBorders>
              <w:right w:val="single" w:color="000000" w:sz="4" w:space="0"/>
            </w:tcBorders>
            <w:vAlign w:val="center"/>
          </w:tcPr>
          <w:p w14:paraId="6FB1969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5204A8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73" w:type="dxa"/>
            <w:tcBorders>
              <w:left w:val="single" w:color="000000" w:sz="4" w:space="0"/>
            </w:tcBorders>
            <w:vAlign w:val="center"/>
          </w:tcPr>
          <w:p w14:paraId="4EAFE96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1821FAA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10" w:type="dxa"/>
            <w:vAlign w:val="center"/>
          </w:tcPr>
          <w:p w14:paraId="1D30F86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5EA5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664B7E">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812" w:type="dxa"/>
            <w:gridSpan w:val="2"/>
            <w:vAlign w:val="center"/>
          </w:tcPr>
          <w:p w14:paraId="0DD943ED">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cs="宋体"/>
                <w:color w:val="000000"/>
                <w:kern w:val="0"/>
              </w:rPr>
              <w:t>胎压监测标定设备</w:t>
            </w:r>
          </w:p>
        </w:tc>
        <w:tc>
          <w:tcPr>
            <w:tcW w:w="1906" w:type="dxa"/>
            <w:vAlign w:val="center"/>
          </w:tcPr>
          <w:p w14:paraId="69934A81">
            <w:pPr>
              <w:widowControl/>
              <w:jc w:val="center"/>
              <w:textAlignment w:val="center"/>
              <w:rPr>
                <w:rFonts w:hint="default" w:ascii="仿宋_GB2312" w:hAnsi="仿宋_GB2312" w:eastAsia="仿宋_GB2312" w:cs="仿宋_GB2312"/>
                <w:sz w:val="24"/>
                <w:szCs w:val="24"/>
                <w:lang w:val="en-US" w:eastAsia="zh-CN"/>
              </w:rPr>
            </w:pPr>
            <w:r>
              <w:rPr>
                <w:rFonts w:hint="eastAsia" w:ascii="宋体" w:hAnsi="宋体" w:cs="宋体"/>
                <w:color w:val="000000"/>
                <w:kern w:val="0"/>
              </w:rPr>
              <w:t>非标</w:t>
            </w:r>
          </w:p>
        </w:tc>
        <w:tc>
          <w:tcPr>
            <w:tcW w:w="953" w:type="dxa"/>
            <w:vAlign w:val="center"/>
          </w:tcPr>
          <w:p w14:paraId="158D275B">
            <w:pPr>
              <w:spacing w:line="420" w:lineRule="exact"/>
              <w:jc w:val="center"/>
              <w:rPr>
                <w:rFonts w:hint="eastAsia" w:ascii="宋体" w:hAnsi="宋体" w:eastAsia="宋体" w:cs="宋体"/>
                <w:color w:val="000000"/>
                <w:szCs w:val="21"/>
              </w:rPr>
            </w:pPr>
          </w:p>
        </w:tc>
        <w:tc>
          <w:tcPr>
            <w:tcW w:w="953" w:type="dxa"/>
            <w:vAlign w:val="center"/>
          </w:tcPr>
          <w:p w14:paraId="07DC69D4">
            <w:pPr>
              <w:spacing w:line="420" w:lineRule="exact"/>
              <w:jc w:val="center"/>
              <w:rPr>
                <w:rFonts w:hint="default" w:ascii="宋体" w:hAnsi="宋体" w:eastAsiaTheme="minorEastAsia"/>
                <w:color w:val="000000"/>
                <w:szCs w:val="21"/>
                <w:lang w:val="en-US" w:eastAsia="zh-CN"/>
              </w:rPr>
            </w:pPr>
            <w:r>
              <w:rPr>
                <w:rFonts w:hint="eastAsia" w:ascii="宋体" w:hAnsi="宋体"/>
                <w:color w:val="000000"/>
                <w:szCs w:val="21"/>
                <w:lang w:val="en-US" w:eastAsia="zh-CN"/>
              </w:rPr>
              <w:t>3</w:t>
            </w:r>
          </w:p>
        </w:tc>
        <w:tc>
          <w:tcPr>
            <w:tcW w:w="1432" w:type="dxa"/>
          </w:tcPr>
          <w:p w14:paraId="3B03C77F">
            <w:pPr>
              <w:rPr>
                <w:rFonts w:hint="eastAsia" w:ascii="仿宋_GB2312" w:hAnsi="仿宋_GB2312" w:eastAsia="仿宋_GB2312" w:cs="仿宋_GB2312"/>
              </w:rPr>
            </w:pPr>
          </w:p>
        </w:tc>
        <w:tc>
          <w:tcPr>
            <w:tcW w:w="2145" w:type="dxa"/>
            <w:tcBorders>
              <w:right w:val="single" w:color="000000" w:sz="4" w:space="0"/>
            </w:tcBorders>
          </w:tcPr>
          <w:p w14:paraId="7575DC35">
            <w:pPr>
              <w:rPr>
                <w:rFonts w:hint="eastAsia" w:ascii="仿宋_GB2312" w:hAnsi="仿宋_GB2312" w:eastAsia="仿宋_GB2312" w:cs="仿宋_GB2312"/>
              </w:rPr>
            </w:pPr>
          </w:p>
        </w:tc>
        <w:tc>
          <w:tcPr>
            <w:tcW w:w="2073" w:type="dxa"/>
            <w:tcBorders>
              <w:left w:val="single" w:color="000000" w:sz="4" w:space="0"/>
            </w:tcBorders>
          </w:tcPr>
          <w:p w14:paraId="229E894D">
            <w:pPr>
              <w:rPr>
                <w:rFonts w:hint="eastAsia" w:ascii="仿宋_GB2312" w:hAnsi="仿宋_GB2312" w:eastAsia="仿宋_GB2312" w:cs="仿宋_GB2312"/>
              </w:rPr>
            </w:pPr>
          </w:p>
        </w:tc>
        <w:tc>
          <w:tcPr>
            <w:tcW w:w="910" w:type="dxa"/>
          </w:tcPr>
          <w:p w14:paraId="26B06071">
            <w:pPr>
              <w:rPr>
                <w:rFonts w:hint="eastAsia" w:ascii="仿宋_GB2312" w:hAnsi="仿宋_GB2312" w:eastAsia="仿宋_GB2312" w:cs="仿宋_GB2312"/>
              </w:rPr>
            </w:pPr>
          </w:p>
        </w:tc>
      </w:tr>
      <w:tr w14:paraId="77249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238E9BA0">
            <w:pPr>
              <w:spacing w:line="360" w:lineRule="exact"/>
              <w:jc w:val="center"/>
              <w:rPr>
                <w:rFonts w:hint="eastAsia" w:ascii="宋体" w:hAnsi="宋体" w:eastAsia="宋体" w:cs="宋体"/>
                <w:sz w:val="24"/>
                <w:szCs w:val="24"/>
                <w:lang w:val="en-US" w:eastAsia="zh-CN"/>
              </w:rPr>
            </w:pPr>
          </w:p>
        </w:tc>
        <w:tc>
          <w:tcPr>
            <w:tcW w:w="3812" w:type="dxa"/>
            <w:gridSpan w:val="2"/>
            <w:vAlign w:val="center"/>
          </w:tcPr>
          <w:p w14:paraId="6B4F1457">
            <w:pPr>
              <w:jc w:val="center"/>
              <w:rPr>
                <w:rFonts w:hint="eastAsia" w:ascii="仿宋_GB2312" w:hAnsi="仿宋_GB2312" w:eastAsia="仿宋_GB2312" w:cs="仿宋_GB2312"/>
                <w:sz w:val="24"/>
                <w:szCs w:val="24"/>
                <w:lang w:val="en-US" w:eastAsia="zh-CN"/>
              </w:rPr>
            </w:pPr>
          </w:p>
        </w:tc>
        <w:tc>
          <w:tcPr>
            <w:tcW w:w="1906" w:type="dxa"/>
            <w:vAlign w:val="center"/>
          </w:tcPr>
          <w:p w14:paraId="4DFF4236">
            <w:pPr>
              <w:jc w:val="center"/>
              <w:rPr>
                <w:rFonts w:hint="eastAsia" w:ascii="仿宋_GB2312" w:hAnsi="仿宋_GB2312" w:eastAsia="仿宋_GB2312" w:cs="仿宋_GB2312"/>
                <w:sz w:val="24"/>
                <w:szCs w:val="24"/>
                <w:lang w:val="en-US" w:eastAsia="zh-CN"/>
              </w:rPr>
            </w:pPr>
          </w:p>
        </w:tc>
        <w:tc>
          <w:tcPr>
            <w:tcW w:w="953" w:type="dxa"/>
            <w:vAlign w:val="center"/>
          </w:tcPr>
          <w:p w14:paraId="33C1720E">
            <w:pPr>
              <w:spacing w:line="420" w:lineRule="exact"/>
              <w:jc w:val="center"/>
              <w:rPr>
                <w:rFonts w:hint="eastAsia" w:ascii="宋体" w:hAnsi="宋体" w:eastAsia="宋体" w:cs="宋体"/>
                <w:color w:val="000000"/>
                <w:szCs w:val="21"/>
              </w:rPr>
            </w:pPr>
          </w:p>
        </w:tc>
        <w:tc>
          <w:tcPr>
            <w:tcW w:w="953" w:type="dxa"/>
            <w:vAlign w:val="center"/>
          </w:tcPr>
          <w:p w14:paraId="267079BB">
            <w:pPr>
              <w:spacing w:line="420" w:lineRule="exact"/>
              <w:jc w:val="center"/>
              <w:rPr>
                <w:rFonts w:hint="eastAsia" w:ascii="宋体" w:hAnsi="宋体"/>
                <w:color w:val="000000"/>
                <w:szCs w:val="21"/>
              </w:rPr>
            </w:pPr>
          </w:p>
        </w:tc>
        <w:tc>
          <w:tcPr>
            <w:tcW w:w="1432" w:type="dxa"/>
          </w:tcPr>
          <w:p w14:paraId="48F52AD3">
            <w:pPr>
              <w:rPr>
                <w:rFonts w:hint="eastAsia" w:ascii="仿宋_GB2312" w:hAnsi="仿宋_GB2312" w:eastAsia="仿宋_GB2312" w:cs="仿宋_GB2312"/>
              </w:rPr>
            </w:pPr>
          </w:p>
        </w:tc>
        <w:tc>
          <w:tcPr>
            <w:tcW w:w="2145" w:type="dxa"/>
            <w:tcBorders>
              <w:right w:val="single" w:color="000000" w:sz="4" w:space="0"/>
            </w:tcBorders>
          </w:tcPr>
          <w:p w14:paraId="28B467D5">
            <w:pPr>
              <w:rPr>
                <w:rFonts w:hint="eastAsia" w:ascii="仿宋_GB2312" w:hAnsi="仿宋_GB2312" w:eastAsia="仿宋_GB2312" w:cs="仿宋_GB2312"/>
              </w:rPr>
            </w:pPr>
          </w:p>
        </w:tc>
        <w:tc>
          <w:tcPr>
            <w:tcW w:w="2073" w:type="dxa"/>
            <w:tcBorders>
              <w:left w:val="single" w:color="000000" w:sz="4" w:space="0"/>
            </w:tcBorders>
          </w:tcPr>
          <w:p w14:paraId="732AC7BE">
            <w:pPr>
              <w:rPr>
                <w:rFonts w:hint="eastAsia" w:ascii="仿宋_GB2312" w:hAnsi="仿宋_GB2312" w:eastAsia="仿宋_GB2312" w:cs="仿宋_GB2312"/>
              </w:rPr>
            </w:pPr>
          </w:p>
        </w:tc>
        <w:tc>
          <w:tcPr>
            <w:tcW w:w="910" w:type="dxa"/>
          </w:tcPr>
          <w:p w14:paraId="5F5CFDB5">
            <w:pPr>
              <w:rPr>
                <w:rFonts w:hint="eastAsia" w:ascii="仿宋_GB2312" w:hAnsi="仿宋_GB2312" w:eastAsia="仿宋_GB2312" w:cs="仿宋_GB2312"/>
              </w:rPr>
            </w:pPr>
          </w:p>
        </w:tc>
      </w:tr>
      <w:tr w14:paraId="4E7A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08E49B27">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3812" w:type="dxa"/>
            <w:gridSpan w:val="2"/>
          </w:tcPr>
          <w:p w14:paraId="3FDEA502">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906" w:type="dxa"/>
          </w:tcPr>
          <w:p w14:paraId="10C55D33">
            <w:pPr>
              <w:rPr>
                <w:rFonts w:hint="eastAsia" w:ascii="仿宋_GB2312" w:hAnsi="仿宋_GB2312" w:eastAsia="仿宋_GB2312" w:cs="仿宋_GB2312"/>
              </w:rPr>
            </w:pPr>
          </w:p>
        </w:tc>
        <w:tc>
          <w:tcPr>
            <w:tcW w:w="953" w:type="dxa"/>
          </w:tcPr>
          <w:p w14:paraId="15829E15">
            <w:pPr>
              <w:rPr>
                <w:rFonts w:hint="eastAsia" w:ascii="仿宋_GB2312" w:hAnsi="仿宋_GB2312" w:eastAsia="仿宋_GB2312" w:cs="仿宋_GB2312"/>
              </w:rPr>
            </w:pPr>
          </w:p>
        </w:tc>
        <w:tc>
          <w:tcPr>
            <w:tcW w:w="953" w:type="dxa"/>
          </w:tcPr>
          <w:p w14:paraId="14750D05">
            <w:pPr>
              <w:rPr>
                <w:rFonts w:hint="eastAsia" w:ascii="仿宋_GB2312" w:hAnsi="仿宋_GB2312" w:eastAsia="仿宋_GB2312" w:cs="仿宋_GB2312"/>
              </w:rPr>
            </w:pPr>
          </w:p>
        </w:tc>
        <w:tc>
          <w:tcPr>
            <w:tcW w:w="1432" w:type="dxa"/>
          </w:tcPr>
          <w:p w14:paraId="62ED6468">
            <w:pPr>
              <w:rPr>
                <w:rFonts w:hint="eastAsia" w:ascii="仿宋_GB2312" w:hAnsi="仿宋_GB2312" w:eastAsia="仿宋_GB2312" w:cs="仿宋_GB2312"/>
              </w:rPr>
            </w:pPr>
          </w:p>
        </w:tc>
        <w:tc>
          <w:tcPr>
            <w:tcW w:w="2145" w:type="dxa"/>
            <w:tcBorders>
              <w:right w:val="single" w:color="000000" w:sz="4" w:space="0"/>
            </w:tcBorders>
          </w:tcPr>
          <w:p w14:paraId="47323467">
            <w:pPr>
              <w:rPr>
                <w:rFonts w:hint="eastAsia" w:ascii="仿宋_GB2312" w:hAnsi="仿宋_GB2312" w:eastAsia="仿宋_GB2312" w:cs="仿宋_GB2312"/>
              </w:rPr>
            </w:pPr>
          </w:p>
        </w:tc>
        <w:tc>
          <w:tcPr>
            <w:tcW w:w="2073" w:type="dxa"/>
            <w:tcBorders>
              <w:left w:val="single" w:color="000000" w:sz="4" w:space="0"/>
            </w:tcBorders>
          </w:tcPr>
          <w:p w14:paraId="4815EE58">
            <w:pPr>
              <w:rPr>
                <w:rFonts w:hint="eastAsia" w:ascii="仿宋_GB2312" w:hAnsi="仿宋_GB2312" w:eastAsia="仿宋_GB2312" w:cs="仿宋_GB2312"/>
              </w:rPr>
            </w:pPr>
          </w:p>
        </w:tc>
        <w:tc>
          <w:tcPr>
            <w:tcW w:w="910" w:type="dxa"/>
          </w:tcPr>
          <w:p w14:paraId="2C47C7BC">
            <w:pPr>
              <w:rPr>
                <w:rFonts w:hint="eastAsia" w:ascii="仿宋_GB2312" w:hAnsi="仿宋_GB2312" w:eastAsia="仿宋_GB2312" w:cs="仿宋_GB2312"/>
              </w:rPr>
            </w:pPr>
          </w:p>
        </w:tc>
      </w:tr>
      <w:tr w14:paraId="430F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06" w:type="dxa"/>
            <w:gridSpan w:val="2"/>
            <w:tcBorders>
              <w:right w:val="single" w:color="000000" w:sz="4" w:space="0"/>
            </w:tcBorders>
          </w:tcPr>
          <w:p w14:paraId="43F85D0B">
            <w:pPr>
              <w:jc w:val="center"/>
              <w:rPr>
                <w:rFonts w:hint="eastAsia" w:ascii="仿宋_GB2312" w:hAnsi="仿宋_GB2312" w:eastAsia="仿宋_GB2312" w:cs="仿宋_GB2312"/>
                <w:spacing w:val="-6"/>
                <w:szCs w:val="21"/>
              </w:rPr>
            </w:pPr>
          </w:p>
        </w:tc>
        <w:tc>
          <w:tcPr>
            <w:tcW w:w="9867" w:type="dxa"/>
            <w:gridSpan w:val="6"/>
            <w:tcBorders>
              <w:right w:val="single" w:color="000000" w:sz="4" w:space="0"/>
            </w:tcBorders>
          </w:tcPr>
          <w:p w14:paraId="7DC06160">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73" w:type="dxa"/>
            <w:tcBorders>
              <w:left w:val="single" w:color="000000" w:sz="4" w:space="0"/>
            </w:tcBorders>
          </w:tcPr>
          <w:p w14:paraId="480D6045">
            <w:pPr>
              <w:rPr>
                <w:rFonts w:hint="eastAsia" w:ascii="仿宋_GB2312" w:hAnsi="仿宋_GB2312" w:eastAsia="仿宋_GB2312" w:cs="仿宋_GB2312"/>
              </w:rPr>
            </w:pPr>
          </w:p>
        </w:tc>
        <w:tc>
          <w:tcPr>
            <w:tcW w:w="910" w:type="dxa"/>
          </w:tcPr>
          <w:p w14:paraId="0C38F1CE">
            <w:pPr>
              <w:rPr>
                <w:rFonts w:hint="eastAsia" w:ascii="仿宋_GB2312" w:hAnsi="仿宋_GB2312" w:eastAsia="仿宋_GB2312" w:cs="仿宋_GB2312"/>
              </w:rPr>
            </w:pPr>
          </w:p>
        </w:tc>
      </w:tr>
    </w:tbl>
    <w:p w14:paraId="4D4E502C">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2F124BDE">
      <w:pPr>
        <w:rPr>
          <w:rFonts w:hint="eastAsia" w:ascii="仿宋_GB2312" w:hAnsi="仿宋_GB2312" w:eastAsia="仿宋_GB2312" w:cs="仿宋_GB2312"/>
        </w:rPr>
        <w:sectPr>
          <w:footerReference r:id="rId26"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2722997F">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47FBE7D5">
      <w:pPr>
        <w:rPr>
          <w:rFonts w:hint="eastAsia" w:ascii="仿宋_GB2312" w:hAnsi="仿宋_GB2312" w:eastAsia="仿宋_GB2312" w:cs="仿宋_GB2312"/>
          <w:sz w:val="24"/>
          <w:szCs w:val="24"/>
        </w:rPr>
        <w:sectPr>
          <w:footerReference r:id="rId27"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14ED6CB8">
      <w:pPr>
        <w:spacing w:before="35" w:line="239" w:lineRule="auto"/>
        <w:ind w:left="724"/>
        <w:rPr>
          <w:rFonts w:hint="eastAsia" w:ascii="仿宋_GB2312" w:hAnsi="仿宋_GB2312" w:eastAsia="仿宋_GB2312" w:cs="仿宋_GB2312"/>
          <w:spacing w:val="-1"/>
          <w:sz w:val="24"/>
          <w:szCs w:val="24"/>
        </w:rPr>
        <w:sectPr>
          <w:footerReference r:id="rId28"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08C46E21">
      <w:pPr>
        <w:spacing w:before="87" w:line="198" w:lineRule="auto"/>
        <w:ind w:left="411"/>
        <w:rPr>
          <w:rFonts w:hint="eastAsia" w:ascii="仿宋_GB2312" w:hAnsi="仿宋_GB2312" w:eastAsia="仿宋_GB2312" w:cs="仿宋_GB2312"/>
          <w:spacing w:val="-2"/>
          <w:sz w:val="24"/>
          <w:szCs w:val="24"/>
        </w:rPr>
        <w:sectPr>
          <w:footerReference r:id="rId29"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29A898F6">
      <w:pPr>
        <w:spacing w:before="140" w:line="220" w:lineRule="auto"/>
        <w:ind w:left="2" w:firstLine="464" w:firstLineChars="200"/>
        <w:rPr>
          <w:rFonts w:hint="eastAsia" w:ascii="仿宋_GB2312" w:hAnsi="仿宋_GB2312" w:eastAsia="仿宋_GB2312" w:cs="仿宋_GB2312"/>
          <w:spacing w:val="-2"/>
          <w:szCs w:val="21"/>
        </w:rPr>
        <w:sectPr>
          <w:footerReference r:id="rId30"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9" w:name="_Toc18898"/>
      <w:bookmarkStart w:id="160" w:name="_Toc19502"/>
      <w:bookmarkStart w:id="161" w:name="_Toc27000"/>
      <w:r>
        <w:rPr>
          <w:rFonts w:hint="eastAsia" w:ascii="仿宋_GB2312" w:hAnsi="仿宋_GB2312" w:eastAsia="仿宋_GB2312" w:cs="仿宋_GB2312"/>
          <w:b/>
          <w:bCs/>
          <w:kern w:val="2"/>
          <w:sz w:val="36"/>
          <w:szCs w:val="36"/>
          <w:lang w:val="en-US" w:eastAsia="zh-CN" w:bidi="ar-SA"/>
        </w:rPr>
        <w:t>附件10 商务条款偏离表</w:t>
      </w:r>
      <w:bookmarkEnd w:id="159"/>
      <w:bookmarkEnd w:id="160"/>
      <w:bookmarkEnd w:id="161"/>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08745C7D">
      <w:pPr>
        <w:rPr>
          <w:rFonts w:hint="eastAsia" w:ascii="仿宋_GB2312" w:hAnsi="仿宋_GB2312" w:eastAsia="仿宋_GB2312" w:cs="仿宋_GB2312"/>
          <w:b/>
          <w:bCs/>
          <w:color w:val="000000"/>
          <w:sz w:val="28"/>
          <w:szCs w:val="20"/>
        </w:rPr>
        <w:sectPr>
          <w:footerReference r:id="rId32" w:type="first"/>
          <w:footerReference r:id="rId31"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2" w:name="_Toc13839"/>
      <w:bookmarkStart w:id="163" w:name="_Toc11845"/>
      <w:bookmarkStart w:id="164" w:name="_Toc7851"/>
      <w:r>
        <w:rPr>
          <w:rFonts w:hint="eastAsia" w:ascii="仿宋_GB2312" w:hAnsi="仿宋_GB2312" w:eastAsia="仿宋_GB2312" w:cs="仿宋_GB2312"/>
          <w:b/>
          <w:bCs/>
          <w:kern w:val="2"/>
          <w:sz w:val="36"/>
          <w:szCs w:val="36"/>
          <w:lang w:val="en-US" w:eastAsia="zh-CN" w:bidi="ar-SA"/>
        </w:rPr>
        <w:t>附件11 投标人承诺</w:t>
      </w:r>
      <w:bookmarkEnd w:id="162"/>
      <w:bookmarkEnd w:id="163"/>
      <w:bookmarkEnd w:id="164"/>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5C25F850">
      <w:pPr>
        <w:pStyle w:val="19"/>
        <w:rPr>
          <w:rFonts w:hint="eastAsia" w:ascii="仿宋_GB2312" w:hAnsi="仿宋_GB2312" w:eastAsia="仿宋_GB2312" w:cs="仿宋_GB2312"/>
          <w:sz w:val="24"/>
          <w:szCs w:val="24"/>
        </w:rPr>
        <w:sectPr>
          <w:footerReference r:id="rId33"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5" w:name="_Toc26438"/>
      <w:bookmarkStart w:id="166" w:name="_Toc300"/>
      <w:bookmarkStart w:id="167" w:name="_Toc12037"/>
      <w:r>
        <w:rPr>
          <w:rFonts w:hint="eastAsia" w:ascii="仿宋_GB2312" w:hAnsi="仿宋_GB2312" w:eastAsia="仿宋_GB2312" w:cs="仿宋_GB2312"/>
          <w:b/>
          <w:bCs/>
          <w:kern w:val="2"/>
          <w:sz w:val="36"/>
          <w:szCs w:val="36"/>
          <w:lang w:val="en-US" w:eastAsia="zh-CN" w:bidi="ar-SA"/>
        </w:rPr>
        <w:t>附件12 服务承诺函</w:t>
      </w:r>
      <w:bookmarkEnd w:id="165"/>
      <w:bookmarkEnd w:id="166"/>
      <w:bookmarkEnd w:id="167"/>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68" w:name="_Toc19953"/>
      <w:bookmarkStart w:id="169" w:name="_Toc5295"/>
      <w:bookmarkStart w:id="170" w:name="_Toc5869"/>
      <w:r>
        <w:rPr>
          <w:rFonts w:hint="eastAsia" w:ascii="仿宋_GB2312" w:hAnsi="仿宋_GB2312" w:eastAsia="仿宋_GB2312" w:cs="仿宋_GB2312"/>
          <w:b/>
          <w:bCs/>
          <w:kern w:val="2"/>
          <w:sz w:val="36"/>
          <w:szCs w:val="36"/>
          <w:lang w:val="en-US" w:eastAsia="zh-CN" w:bidi="ar-SA"/>
        </w:rPr>
        <w:t>附件13 投标文件封面及封口格式</w:t>
      </w:r>
      <w:bookmarkEnd w:id="168"/>
      <w:bookmarkEnd w:id="169"/>
      <w:bookmarkEnd w:id="170"/>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中国重汽集团济南商用车胎压监测标定设备项目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1BEEC456">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71" w:name="_Toc32474"/>
      <w:bookmarkStart w:id="172" w:name="_Toc5470"/>
      <w:bookmarkStart w:id="173" w:name="_Toc31821"/>
      <w:r>
        <w:rPr>
          <w:rFonts w:hint="eastAsia" w:ascii="仿宋_GB2312" w:hAnsi="仿宋_GB2312" w:eastAsia="仿宋_GB2312" w:cs="仿宋_GB2312"/>
          <w:b/>
          <w:bCs/>
          <w:kern w:val="2"/>
          <w:sz w:val="36"/>
          <w:szCs w:val="36"/>
          <w:lang w:val="en-US" w:eastAsia="zh-CN" w:bidi="ar-SA"/>
        </w:rPr>
        <w:t>附件14技术标评分标准</w:t>
      </w:r>
      <w:bookmarkEnd w:id="171"/>
      <w:bookmarkEnd w:id="172"/>
      <w:bookmarkEnd w:id="173"/>
    </w:p>
    <w:p w14:paraId="3AE49E6C">
      <w:pPr>
        <w:rPr>
          <w:rFonts w:hint="eastAsia"/>
        </w:rPr>
      </w:pPr>
    </w:p>
    <w:p w14:paraId="57B7CAF3">
      <w:pPr>
        <w:ind w:firstLine="480" w:firstLineChars="200"/>
        <w:rPr>
          <w:rFonts w:hint="eastAsia" w:eastAsiaTheme="minorEastAsia"/>
          <w:lang w:val="en-US"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cs="宋体"/>
          <w:color w:val="000000"/>
          <w:sz w:val="24"/>
          <w:szCs w:val="24"/>
          <w:lang w:val="en-US" w:eastAsia="zh-CN"/>
        </w:rPr>
        <w:t>无</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74" w:name="_Toc31993"/>
      <w:bookmarkStart w:id="175" w:name="_Toc6157"/>
      <w:bookmarkStart w:id="176" w:name="_Toc507"/>
      <w:r>
        <w:rPr>
          <w:rFonts w:hint="eastAsia" w:ascii="仿宋_GB2312" w:hAnsi="仿宋_GB2312" w:eastAsia="仿宋_GB2312" w:cs="仿宋_GB2312"/>
          <w:b/>
          <w:bCs/>
          <w:kern w:val="2"/>
          <w:sz w:val="36"/>
          <w:szCs w:val="36"/>
          <w:lang w:val="en-US" w:eastAsia="zh-CN" w:bidi="ar-SA"/>
        </w:rPr>
        <w:t>附件15 SRM非生产供应商注册操作手册</w:t>
      </w:r>
      <w:bookmarkEnd w:id="174"/>
      <w:bookmarkEnd w:id="175"/>
      <w:bookmarkEnd w:id="176"/>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C29D916">
      <w:pPr>
        <w:outlineLvl w:val="1"/>
        <w:rPr>
          <w:rFonts w:hint="eastAsia" w:ascii="仿宋_GB2312" w:hAnsi="仿宋_GB2312" w:eastAsia="仿宋_GB2312" w:cs="仿宋_GB2312"/>
          <w:b/>
          <w:bCs/>
          <w:kern w:val="2"/>
          <w:sz w:val="36"/>
          <w:szCs w:val="36"/>
          <w:lang w:val="en-US" w:eastAsia="zh-CN" w:bidi="ar-SA"/>
        </w:rPr>
      </w:pPr>
      <w:r>
        <w:rPr>
          <w:rFonts w:hint="eastAsia" w:hAnsi="宋体" w:eastAsia="宋体" w:cs="宋体"/>
          <w:b/>
          <w:bCs/>
          <w:color w:val="000000"/>
          <w:sz w:val="24"/>
          <w:szCs w:val="28"/>
          <w:highlight w:val="yellow"/>
        </w:rPr>
        <w:t>2.配套能力“供货类别”填“工艺设备”，业务主管部门为“工艺研究院”。</w:t>
      </w:r>
      <w:bookmarkStart w:id="177" w:name="_Toc19611"/>
      <w:bookmarkStart w:id="178" w:name="_Toc9496"/>
      <w:bookmarkStart w:id="179" w:name="_Toc14977"/>
    </w:p>
    <w:p w14:paraId="56E5D6B4">
      <w:pPr>
        <w:outlineLvl w:val="1"/>
        <w:rPr>
          <w:rFonts w:hint="eastAsia" w:ascii="仿宋_GB2312" w:hAnsi="仿宋_GB2312" w:eastAsia="仿宋_GB2312" w:cs="仿宋_GB2312"/>
          <w:b/>
          <w:bCs/>
          <w:kern w:val="2"/>
          <w:sz w:val="36"/>
          <w:szCs w:val="36"/>
          <w:lang w:val="en-US" w:eastAsia="zh-CN" w:bidi="ar-SA"/>
        </w:rPr>
      </w:pPr>
    </w:p>
    <w:p w14:paraId="3D0A6B7D">
      <w:pPr>
        <w:outlineLvl w:val="1"/>
        <w:rPr>
          <w:rFonts w:hint="eastAsia" w:ascii="仿宋_GB2312" w:hAnsi="仿宋_GB2312" w:eastAsia="仿宋_GB2312" w:cs="仿宋_GB2312"/>
          <w:b/>
          <w:bCs/>
          <w:kern w:val="2"/>
          <w:sz w:val="36"/>
          <w:szCs w:val="36"/>
          <w:lang w:val="en-US" w:eastAsia="zh-CN" w:bidi="ar-SA"/>
        </w:rPr>
      </w:pPr>
    </w:p>
    <w:p w14:paraId="2E62C82D">
      <w:pPr>
        <w:outlineLvl w:val="1"/>
        <w:rPr>
          <w:rFonts w:hint="eastAsia" w:ascii="仿宋_GB2312" w:hAnsi="仿宋_GB2312" w:eastAsia="仿宋_GB2312" w:cs="仿宋_GB2312"/>
          <w:b/>
          <w:bCs/>
          <w:kern w:val="2"/>
          <w:sz w:val="36"/>
          <w:szCs w:val="36"/>
          <w:lang w:val="en-US" w:eastAsia="zh-CN" w:bidi="ar-SA"/>
        </w:rPr>
      </w:pPr>
    </w:p>
    <w:p w14:paraId="2E6D59FD">
      <w:pPr>
        <w:outlineLvl w:val="1"/>
        <w:rPr>
          <w:rFonts w:hint="eastAsia" w:ascii="仿宋_GB2312" w:hAnsi="仿宋_GB2312" w:eastAsia="仿宋_GB2312" w:cs="仿宋_GB2312"/>
          <w:b/>
          <w:bCs/>
          <w:kern w:val="2"/>
          <w:sz w:val="36"/>
          <w:szCs w:val="36"/>
          <w:lang w:val="en-US" w:eastAsia="zh-CN" w:bidi="ar-SA"/>
        </w:rPr>
      </w:pPr>
    </w:p>
    <w:p w14:paraId="2ECC87AE">
      <w:pPr>
        <w:outlineLvl w:val="1"/>
        <w:rPr>
          <w:rFonts w:hint="eastAsia" w:ascii="仿宋_GB2312" w:hAnsi="仿宋_GB2312" w:eastAsia="仿宋_GB2312" w:cs="仿宋_GB2312"/>
          <w:b/>
          <w:bCs/>
          <w:kern w:val="2"/>
          <w:sz w:val="36"/>
          <w:szCs w:val="36"/>
          <w:lang w:val="en-US" w:eastAsia="zh-CN" w:bidi="ar-SA"/>
        </w:rPr>
      </w:pPr>
    </w:p>
    <w:p w14:paraId="70C46261">
      <w:pPr>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附件16 SRM系统供应商用户手册</w:t>
      </w:r>
      <w:bookmarkEnd w:id="177"/>
      <w:bookmarkEnd w:id="178"/>
      <w:bookmarkEnd w:id="179"/>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180" w:name="_Toc2672"/>
      <w:bookmarkStart w:id="181" w:name="_Toc3441"/>
      <w:bookmarkStart w:id="182" w:name="_Toc8718"/>
      <w:r>
        <w:rPr>
          <w:rFonts w:hint="eastAsia" w:ascii="仿宋_GB2312" w:hAnsi="仿宋_GB2312" w:eastAsia="仿宋_GB2312" w:cs="仿宋_GB2312"/>
          <w:b/>
          <w:bCs/>
          <w:color w:val="000000"/>
          <w:sz w:val="24"/>
          <w:szCs w:val="24"/>
        </w:rPr>
        <w:t>1.供应商应标</w:t>
      </w:r>
      <w:bookmarkEnd w:id="180"/>
      <w:bookmarkEnd w:id="181"/>
      <w:bookmarkEnd w:id="182"/>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183" w:name="_Toc21366"/>
      <w:bookmarkStart w:id="184" w:name="_Toc21689"/>
      <w:bookmarkStart w:id="185" w:name="_Toc27304"/>
      <w:r>
        <w:rPr>
          <w:rFonts w:hint="eastAsia" w:ascii="仿宋_GB2312" w:hAnsi="仿宋_GB2312" w:eastAsia="仿宋_GB2312" w:cs="仿宋_GB2312"/>
          <w:b/>
          <w:bCs/>
          <w:color w:val="000000"/>
          <w:sz w:val="24"/>
          <w:szCs w:val="24"/>
        </w:rPr>
        <w:t>2.供应商投标</w:t>
      </w:r>
      <w:bookmarkEnd w:id="183"/>
      <w:bookmarkEnd w:id="184"/>
      <w:bookmarkEnd w:id="185"/>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186" w:name="_Toc24733"/>
      <w:bookmarkStart w:id="187" w:name="_Toc27334"/>
      <w:bookmarkStart w:id="188" w:name="_Toc14408"/>
      <w:r>
        <w:rPr>
          <w:rFonts w:hint="eastAsia" w:ascii="仿宋_GB2312" w:hAnsi="仿宋_GB2312" w:eastAsia="仿宋_GB2312" w:cs="仿宋_GB2312"/>
          <w:b/>
          <w:bCs/>
          <w:color w:val="000000"/>
          <w:sz w:val="24"/>
          <w:szCs w:val="24"/>
        </w:rPr>
        <w:t>3.供应商技术标澄清函</w:t>
      </w:r>
      <w:bookmarkEnd w:id="186"/>
      <w:bookmarkEnd w:id="187"/>
      <w:bookmarkEnd w:id="188"/>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189" w:name="_Toc2163"/>
      <w:bookmarkStart w:id="190" w:name="_Toc4672"/>
      <w:bookmarkStart w:id="191" w:name="_Toc24161"/>
      <w:r>
        <w:rPr>
          <w:rFonts w:hint="eastAsia" w:ascii="仿宋_GB2312" w:hAnsi="仿宋_GB2312" w:eastAsia="仿宋_GB2312" w:cs="仿宋_GB2312"/>
          <w:b/>
          <w:bCs/>
          <w:color w:val="000000"/>
          <w:sz w:val="24"/>
          <w:szCs w:val="24"/>
        </w:rPr>
        <w:t>4.供应商报价</w:t>
      </w:r>
      <w:bookmarkEnd w:id="189"/>
      <w:bookmarkEnd w:id="190"/>
      <w:bookmarkEnd w:id="191"/>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192" w:name="_Toc21183"/>
      <w:bookmarkStart w:id="193" w:name="_Toc7227"/>
      <w:bookmarkStart w:id="194" w:name="_Toc25209"/>
      <w:r>
        <w:rPr>
          <w:rFonts w:hint="eastAsia" w:ascii="仿宋_GB2312" w:hAnsi="仿宋_GB2312" w:eastAsia="仿宋_GB2312" w:cs="仿宋_GB2312"/>
          <w:b/>
          <w:bCs/>
          <w:color w:val="000000"/>
          <w:sz w:val="24"/>
          <w:szCs w:val="24"/>
        </w:rPr>
        <w:t>5.供应商澄清报价</w:t>
      </w:r>
      <w:bookmarkEnd w:id="192"/>
      <w:bookmarkEnd w:id="193"/>
      <w:bookmarkEnd w:id="194"/>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195" w:name="_Toc4981"/>
      <w:bookmarkStart w:id="196" w:name="_Toc30950"/>
      <w:bookmarkStart w:id="197" w:name="_Toc21540"/>
      <w:r>
        <w:rPr>
          <w:rFonts w:hint="eastAsia" w:ascii="仿宋_GB2312" w:hAnsi="仿宋_GB2312" w:eastAsia="仿宋_GB2312" w:cs="仿宋_GB2312"/>
          <w:b/>
          <w:bCs/>
          <w:color w:val="000000"/>
          <w:sz w:val="24"/>
          <w:szCs w:val="24"/>
        </w:rPr>
        <w:t>6.供应商查看中标通知</w:t>
      </w:r>
      <w:bookmarkEnd w:id="195"/>
      <w:bookmarkEnd w:id="196"/>
      <w:bookmarkEnd w:id="197"/>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35" w:type="first"/>
      <w:footerReference r:id="rId37" w:type="first"/>
      <w:headerReference r:id="rId34" w:type="default"/>
      <w:footerReference r:id="rId36"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29F1">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138C">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9F03E"/>
    <w:multiLevelType w:val="singleLevel"/>
    <w:tmpl w:val="81C9F03E"/>
    <w:lvl w:ilvl="0" w:tentative="0">
      <w:start w:val="1"/>
      <w:numFmt w:val="decimal"/>
      <w:suff w:val="nothing"/>
      <w:lvlText w:val="（%1）"/>
      <w:lvlJc w:val="left"/>
      <w:pPr>
        <w:ind w:left="50"/>
      </w:pPr>
    </w:lvl>
  </w:abstractNum>
  <w:abstractNum w:abstractNumId="1">
    <w:nsid w:val="B6A5F174"/>
    <w:multiLevelType w:val="singleLevel"/>
    <w:tmpl w:val="B6A5F174"/>
    <w:lvl w:ilvl="0" w:tentative="0">
      <w:start w:val="1"/>
      <w:numFmt w:val="decimal"/>
      <w:suff w:val="nothing"/>
      <w:lvlText w:val="（%1）"/>
      <w:lvlJc w:val="left"/>
      <w:pPr>
        <w:ind w:left="280"/>
      </w:p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4BAFC96"/>
    <w:multiLevelType w:val="singleLevel"/>
    <w:tmpl w:val="E4BAFC96"/>
    <w:lvl w:ilvl="0" w:tentative="0">
      <w:start w:val="5"/>
      <w:numFmt w:val="chineseCounting"/>
      <w:suff w:val="nothing"/>
      <w:lvlText w:val="%1、"/>
      <w:lvlJc w:val="left"/>
      <w:rPr>
        <w:rFonts w:hint="eastAsia"/>
      </w:rPr>
    </w:lvl>
  </w:abstractNum>
  <w:abstractNum w:abstractNumId="5">
    <w:nsid w:val="FC52A02D"/>
    <w:multiLevelType w:val="singleLevel"/>
    <w:tmpl w:val="FC52A02D"/>
    <w:lvl w:ilvl="0" w:tentative="0">
      <w:start w:val="1"/>
      <w:numFmt w:val="decimal"/>
      <w:suff w:val="nothing"/>
      <w:lvlText w:val="（%1）"/>
      <w:lvlJc w:val="left"/>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13"/>
  </w:num>
  <w:num w:numId="4">
    <w:abstractNumId w:val="8"/>
  </w:num>
  <w:num w:numId="5">
    <w:abstractNumId w:val="6"/>
  </w:num>
  <w:num w:numId="6">
    <w:abstractNumId w:val="10"/>
  </w:num>
  <w:num w:numId="7">
    <w:abstractNumId w:val="3"/>
  </w:num>
  <w:num w:numId="8">
    <w:abstractNumId w:val="9"/>
  </w:num>
  <w:num w:numId="9">
    <w:abstractNumId w:val="7"/>
  </w:num>
  <w:num w:numId="10">
    <w:abstractNumId w:val="2"/>
  </w:num>
  <w:num w:numId="11">
    <w:abstractNumId w:val="4"/>
  </w:num>
  <w:num w:numId="12">
    <w:abstractNumId w:val="5"/>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75D66"/>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963F39"/>
    <w:rsid w:val="02B66382"/>
    <w:rsid w:val="02BA7274"/>
    <w:rsid w:val="03247961"/>
    <w:rsid w:val="03251978"/>
    <w:rsid w:val="0325718A"/>
    <w:rsid w:val="033A780B"/>
    <w:rsid w:val="033B50CF"/>
    <w:rsid w:val="03BB27D2"/>
    <w:rsid w:val="042921B6"/>
    <w:rsid w:val="043432A1"/>
    <w:rsid w:val="0442138C"/>
    <w:rsid w:val="04AD02B8"/>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542EEE"/>
    <w:rsid w:val="0D9308F8"/>
    <w:rsid w:val="0DD17656"/>
    <w:rsid w:val="0DDA6377"/>
    <w:rsid w:val="0E1A1D85"/>
    <w:rsid w:val="0E1E25B6"/>
    <w:rsid w:val="0E2322C1"/>
    <w:rsid w:val="0E2350DD"/>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91386"/>
    <w:rsid w:val="127B2E60"/>
    <w:rsid w:val="12C1629E"/>
    <w:rsid w:val="12E55336"/>
    <w:rsid w:val="12E60579"/>
    <w:rsid w:val="12F232D0"/>
    <w:rsid w:val="130A724C"/>
    <w:rsid w:val="130B4CCD"/>
    <w:rsid w:val="13371015"/>
    <w:rsid w:val="13695B36"/>
    <w:rsid w:val="136C088B"/>
    <w:rsid w:val="1372609F"/>
    <w:rsid w:val="13920429"/>
    <w:rsid w:val="13A82806"/>
    <w:rsid w:val="14092DB2"/>
    <w:rsid w:val="143E3DC5"/>
    <w:rsid w:val="145A6A37"/>
    <w:rsid w:val="1467440F"/>
    <w:rsid w:val="14D7277E"/>
    <w:rsid w:val="14E21050"/>
    <w:rsid w:val="14EC3BDE"/>
    <w:rsid w:val="14F5646A"/>
    <w:rsid w:val="14F73019"/>
    <w:rsid w:val="15044722"/>
    <w:rsid w:val="15080C95"/>
    <w:rsid w:val="15433A9B"/>
    <w:rsid w:val="15AD1F11"/>
    <w:rsid w:val="15BB0D33"/>
    <w:rsid w:val="15D13671"/>
    <w:rsid w:val="15F81DA1"/>
    <w:rsid w:val="15FC2F04"/>
    <w:rsid w:val="16181FAC"/>
    <w:rsid w:val="165B00BA"/>
    <w:rsid w:val="168756A0"/>
    <w:rsid w:val="1697741D"/>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C52B18"/>
    <w:rsid w:val="1FE258CB"/>
    <w:rsid w:val="200D253F"/>
    <w:rsid w:val="20107567"/>
    <w:rsid w:val="202A27D1"/>
    <w:rsid w:val="208717DB"/>
    <w:rsid w:val="20AB56C6"/>
    <w:rsid w:val="20D52D39"/>
    <w:rsid w:val="20F2001C"/>
    <w:rsid w:val="20F73191"/>
    <w:rsid w:val="212C13E3"/>
    <w:rsid w:val="21545FA4"/>
    <w:rsid w:val="2176507C"/>
    <w:rsid w:val="219E32F8"/>
    <w:rsid w:val="21BA10C4"/>
    <w:rsid w:val="21BE35AF"/>
    <w:rsid w:val="21C11174"/>
    <w:rsid w:val="22244B28"/>
    <w:rsid w:val="22467FD4"/>
    <w:rsid w:val="22784511"/>
    <w:rsid w:val="229451FD"/>
    <w:rsid w:val="22A12DB6"/>
    <w:rsid w:val="22C97F89"/>
    <w:rsid w:val="23195423"/>
    <w:rsid w:val="23252EAE"/>
    <w:rsid w:val="23400B66"/>
    <w:rsid w:val="23510E00"/>
    <w:rsid w:val="236356D1"/>
    <w:rsid w:val="23A91C83"/>
    <w:rsid w:val="23C94380"/>
    <w:rsid w:val="23C962E8"/>
    <w:rsid w:val="23F628B3"/>
    <w:rsid w:val="241779D8"/>
    <w:rsid w:val="241F0332"/>
    <w:rsid w:val="243954FA"/>
    <w:rsid w:val="24482B12"/>
    <w:rsid w:val="244E64C3"/>
    <w:rsid w:val="246818DB"/>
    <w:rsid w:val="247E4FED"/>
    <w:rsid w:val="24B30BE8"/>
    <w:rsid w:val="24C6643F"/>
    <w:rsid w:val="24E34060"/>
    <w:rsid w:val="24E42F6F"/>
    <w:rsid w:val="24E73693"/>
    <w:rsid w:val="25143CB6"/>
    <w:rsid w:val="25275183"/>
    <w:rsid w:val="253A0491"/>
    <w:rsid w:val="25491B20"/>
    <w:rsid w:val="25851E17"/>
    <w:rsid w:val="25E036B2"/>
    <w:rsid w:val="25E9082A"/>
    <w:rsid w:val="25F42473"/>
    <w:rsid w:val="25FF7AB9"/>
    <w:rsid w:val="26701A1C"/>
    <w:rsid w:val="267E2DFB"/>
    <w:rsid w:val="267F0FB7"/>
    <w:rsid w:val="26AA1A7C"/>
    <w:rsid w:val="26AF2D79"/>
    <w:rsid w:val="26B34B91"/>
    <w:rsid w:val="26DD6B95"/>
    <w:rsid w:val="26E159E4"/>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E019B"/>
    <w:rsid w:val="29CF070E"/>
    <w:rsid w:val="29CF26DC"/>
    <w:rsid w:val="2A1C5DA0"/>
    <w:rsid w:val="2A200D39"/>
    <w:rsid w:val="2A507EFF"/>
    <w:rsid w:val="2A931BAD"/>
    <w:rsid w:val="2ACB3B45"/>
    <w:rsid w:val="2ADC05A4"/>
    <w:rsid w:val="2B6F0D7F"/>
    <w:rsid w:val="2B797443"/>
    <w:rsid w:val="2B8716BD"/>
    <w:rsid w:val="2B8B76FF"/>
    <w:rsid w:val="2B906D86"/>
    <w:rsid w:val="2BD5034F"/>
    <w:rsid w:val="2C0B6845"/>
    <w:rsid w:val="2C164021"/>
    <w:rsid w:val="2C4E3791"/>
    <w:rsid w:val="2C8A2821"/>
    <w:rsid w:val="2CC04EFA"/>
    <w:rsid w:val="2CF750C7"/>
    <w:rsid w:val="2D025012"/>
    <w:rsid w:val="2D4178F0"/>
    <w:rsid w:val="2D9C5B61"/>
    <w:rsid w:val="2DA535EC"/>
    <w:rsid w:val="2DAE631A"/>
    <w:rsid w:val="2DD877E0"/>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E95803"/>
    <w:rsid w:val="2EFB1B0E"/>
    <w:rsid w:val="2F521E67"/>
    <w:rsid w:val="2F5C684F"/>
    <w:rsid w:val="2F7B3E4B"/>
    <w:rsid w:val="2FB67DA1"/>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814686"/>
    <w:rsid w:val="349138EA"/>
    <w:rsid w:val="349D0BDD"/>
    <w:rsid w:val="34DE1E4F"/>
    <w:rsid w:val="34F07DB1"/>
    <w:rsid w:val="351224A5"/>
    <w:rsid w:val="352B6E83"/>
    <w:rsid w:val="353046F2"/>
    <w:rsid w:val="356157C6"/>
    <w:rsid w:val="357F234A"/>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6E72BFB"/>
    <w:rsid w:val="37085B1F"/>
    <w:rsid w:val="372E04CB"/>
    <w:rsid w:val="3762046C"/>
    <w:rsid w:val="376A7E9C"/>
    <w:rsid w:val="376B5C1E"/>
    <w:rsid w:val="37742729"/>
    <w:rsid w:val="37814B09"/>
    <w:rsid w:val="3790083E"/>
    <w:rsid w:val="37C77814"/>
    <w:rsid w:val="382C7B34"/>
    <w:rsid w:val="38662298"/>
    <w:rsid w:val="38715CEA"/>
    <w:rsid w:val="388A3751"/>
    <w:rsid w:val="38D65199"/>
    <w:rsid w:val="38E070F2"/>
    <w:rsid w:val="39034314"/>
    <w:rsid w:val="390B0AC4"/>
    <w:rsid w:val="390D33AB"/>
    <w:rsid w:val="391E6D06"/>
    <w:rsid w:val="393A3C1D"/>
    <w:rsid w:val="3950297B"/>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2C44C5"/>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2057BC"/>
    <w:rsid w:val="3D363C36"/>
    <w:rsid w:val="3D397557"/>
    <w:rsid w:val="3D4C7C96"/>
    <w:rsid w:val="3D635B43"/>
    <w:rsid w:val="3D8B2178"/>
    <w:rsid w:val="3D9364A0"/>
    <w:rsid w:val="3D937B72"/>
    <w:rsid w:val="3DB34909"/>
    <w:rsid w:val="3DD115F5"/>
    <w:rsid w:val="3DE435F0"/>
    <w:rsid w:val="3DE5122C"/>
    <w:rsid w:val="3DF37E53"/>
    <w:rsid w:val="3E134150"/>
    <w:rsid w:val="3E1E6276"/>
    <w:rsid w:val="3E52684D"/>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C2D2D"/>
    <w:rsid w:val="421E4A73"/>
    <w:rsid w:val="424A4B98"/>
    <w:rsid w:val="42581D3A"/>
    <w:rsid w:val="4262787F"/>
    <w:rsid w:val="42643391"/>
    <w:rsid w:val="42FE0080"/>
    <w:rsid w:val="43315D2E"/>
    <w:rsid w:val="43824A1C"/>
    <w:rsid w:val="4390486D"/>
    <w:rsid w:val="4399333D"/>
    <w:rsid w:val="43B2241F"/>
    <w:rsid w:val="43CE64CC"/>
    <w:rsid w:val="43D110E1"/>
    <w:rsid w:val="43DB1093"/>
    <w:rsid w:val="43E873C9"/>
    <w:rsid w:val="44250817"/>
    <w:rsid w:val="4429652B"/>
    <w:rsid w:val="44905B1F"/>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901553"/>
    <w:rsid w:val="469B1BC5"/>
    <w:rsid w:val="469E62EA"/>
    <w:rsid w:val="46C1577B"/>
    <w:rsid w:val="46F450DE"/>
    <w:rsid w:val="46F91E7C"/>
    <w:rsid w:val="46FF21F6"/>
    <w:rsid w:val="47131BFB"/>
    <w:rsid w:val="47200EE3"/>
    <w:rsid w:val="47435AC2"/>
    <w:rsid w:val="47544B78"/>
    <w:rsid w:val="47587AF7"/>
    <w:rsid w:val="47745A86"/>
    <w:rsid w:val="479010F6"/>
    <w:rsid w:val="47A52B16"/>
    <w:rsid w:val="47AC17F9"/>
    <w:rsid w:val="47E239AC"/>
    <w:rsid w:val="480F4B73"/>
    <w:rsid w:val="48580F04"/>
    <w:rsid w:val="48602ADC"/>
    <w:rsid w:val="486F6565"/>
    <w:rsid w:val="48886075"/>
    <w:rsid w:val="48CD3476"/>
    <w:rsid w:val="48DB38E3"/>
    <w:rsid w:val="48EB1D78"/>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735469"/>
    <w:rsid w:val="4EF11A75"/>
    <w:rsid w:val="4F08773C"/>
    <w:rsid w:val="4F31409F"/>
    <w:rsid w:val="4F5C0D3C"/>
    <w:rsid w:val="4F5E670E"/>
    <w:rsid w:val="4F830A4B"/>
    <w:rsid w:val="4F846A83"/>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18E7"/>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4472E"/>
    <w:rsid w:val="55326D63"/>
    <w:rsid w:val="55484F36"/>
    <w:rsid w:val="555D1A10"/>
    <w:rsid w:val="557F6D1A"/>
    <w:rsid w:val="55CE2B4A"/>
    <w:rsid w:val="55E77D6B"/>
    <w:rsid w:val="560449EF"/>
    <w:rsid w:val="562338FD"/>
    <w:rsid w:val="56440315"/>
    <w:rsid w:val="56574DB7"/>
    <w:rsid w:val="566766E5"/>
    <w:rsid w:val="568A5206"/>
    <w:rsid w:val="56AC4A78"/>
    <w:rsid w:val="56BE449A"/>
    <w:rsid w:val="56C502EA"/>
    <w:rsid w:val="56DB16B9"/>
    <w:rsid w:val="56DE4C90"/>
    <w:rsid w:val="56F03CB1"/>
    <w:rsid w:val="572F3F4E"/>
    <w:rsid w:val="57442EFB"/>
    <w:rsid w:val="574436DA"/>
    <w:rsid w:val="574E01FE"/>
    <w:rsid w:val="577A3463"/>
    <w:rsid w:val="57DB3DF1"/>
    <w:rsid w:val="57E200A3"/>
    <w:rsid w:val="57F967AD"/>
    <w:rsid w:val="58052975"/>
    <w:rsid w:val="582D112D"/>
    <w:rsid w:val="583152CE"/>
    <w:rsid w:val="58D802CE"/>
    <w:rsid w:val="58E525CA"/>
    <w:rsid w:val="59351174"/>
    <w:rsid w:val="593B5DDE"/>
    <w:rsid w:val="593D045A"/>
    <w:rsid w:val="5960739E"/>
    <w:rsid w:val="59896D0A"/>
    <w:rsid w:val="59B72684"/>
    <w:rsid w:val="59CC6E29"/>
    <w:rsid w:val="59CE7D0B"/>
    <w:rsid w:val="59CF110D"/>
    <w:rsid w:val="59F66B3A"/>
    <w:rsid w:val="5A0532BF"/>
    <w:rsid w:val="5A6E0A5B"/>
    <w:rsid w:val="5A6E4EEC"/>
    <w:rsid w:val="5A9579AE"/>
    <w:rsid w:val="5AC468CD"/>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AA5AC3"/>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BE53E1"/>
    <w:rsid w:val="5EFB4BA4"/>
    <w:rsid w:val="5F0535BA"/>
    <w:rsid w:val="5F0A2EB1"/>
    <w:rsid w:val="5F1F3F1B"/>
    <w:rsid w:val="5F5F46B5"/>
    <w:rsid w:val="5F6505FD"/>
    <w:rsid w:val="5F654690"/>
    <w:rsid w:val="5F746EA8"/>
    <w:rsid w:val="5F895CFD"/>
    <w:rsid w:val="5FB25360"/>
    <w:rsid w:val="5FBA3CC0"/>
    <w:rsid w:val="5FC150E1"/>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E9611E"/>
    <w:rsid w:val="65F903DC"/>
    <w:rsid w:val="65FB005C"/>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9A3DB2"/>
    <w:rsid w:val="69D64558"/>
    <w:rsid w:val="69E23E3D"/>
    <w:rsid w:val="6A042548"/>
    <w:rsid w:val="6A304492"/>
    <w:rsid w:val="6A471EFD"/>
    <w:rsid w:val="6A90616B"/>
    <w:rsid w:val="6AA64288"/>
    <w:rsid w:val="6AB57116"/>
    <w:rsid w:val="6AE461D0"/>
    <w:rsid w:val="6AE73176"/>
    <w:rsid w:val="6B053C47"/>
    <w:rsid w:val="6B0A525B"/>
    <w:rsid w:val="6B17424A"/>
    <w:rsid w:val="6B2218FA"/>
    <w:rsid w:val="6B691672"/>
    <w:rsid w:val="6B755FDA"/>
    <w:rsid w:val="6B7D64E9"/>
    <w:rsid w:val="6B811C71"/>
    <w:rsid w:val="6BB640C5"/>
    <w:rsid w:val="6BCF0C2E"/>
    <w:rsid w:val="6BE526B4"/>
    <w:rsid w:val="6BE97F42"/>
    <w:rsid w:val="6C3A0859"/>
    <w:rsid w:val="6C5E6A51"/>
    <w:rsid w:val="6C6513C3"/>
    <w:rsid w:val="6C744268"/>
    <w:rsid w:val="6CCD388D"/>
    <w:rsid w:val="6CD62D03"/>
    <w:rsid w:val="6CD97FB6"/>
    <w:rsid w:val="6CDA233C"/>
    <w:rsid w:val="6D170809"/>
    <w:rsid w:val="6D4B22B8"/>
    <w:rsid w:val="6D663E0B"/>
    <w:rsid w:val="6D9045F1"/>
    <w:rsid w:val="6D930013"/>
    <w:rsid w:val="6DF47CC9"/>
    <w:rsid w:val="6E1A1656"/>
    <w:rsid w:val="6E231DD6"/>
    <w:rsid w:val="6E337CDC"/>
    <w:rsid w:val="6E404513"/>
    <w:rsid w:val="6E5A5288"/>
    <w:rsid w:val="6E614EA5"/>
    <w:rsid w:val="6E6F0172"/>
    <w:rsid w:val="6EE013EE"/>
    <w:rsid w:val="6EE079F1"/>
    <w:rsid w:val="6EE42C42"/>
    <w:rsid w:val="6F1B5C73"/>
    <w:rsid w:val="6F211A55"/>
    <w:rsid w:val="6F5953DE"/>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B6906"/>
    <w:rsid w:val="712E56F7"/>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02EA4"/>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BB71AF"/>
    <w:rsid w:val="75BE5F9B"/>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A9674E"/>
    <w:rsid w:val="78CD6DCC"/>
    <w:rsid w:val="78D07CAF"/>
    <w:rsid w:val="78DE12D7"/>
    <w:rsid w:val="78FC2038"/>
    <w:rsid w:val="78FC33D7"/>
    <w:rsid w:val="79183D69"/>
    <w:rsid w:val="79210683"/>
    <w:rsid w:val="79951709"/>
    <w:rsid w:val="799C3465"/>
    <w:rsid w:val="79B14EC4"/>
    <w:rsid w:val="79BE1ECC"/>
    <w:rsid w:val="79C066C2"/>
    <w:rsid w:val="79C51BC1"/>
    <w:rsid w:val="7A024BBA"/>
    <w:rsid w:val="7A2A6B4A"/>
    <w:rsid w:val="7A6320F6"/>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4A6738"/>
    <w:rsid w:val="7C502792"/>
    <w:rsid w:val="7C8B6DF3"/>
    <w:rsid w:val="7C92265B"/>
    <w:rsid w:val="7CB14B4D"/>
    <w:rsid w:val="7CB479A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 w:type="paragraph" w:customStyle="1" w:styleId="144">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footer" Target="footer2.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image" Target="media/image2.png"/><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63</Pages>
  <Words>13014</Words>
  <Characters>13810</Characters>
  <Lines>335</Lines>
  <Paragraphs>94</Paragraphs>
  <TotalTime>30</TotalTime>
  <ScaleCrop>false</ScaleCrop>
  <LinksUpToDate>false</LinksUpToDate>
  <CharactersWithSpaces>14322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2025-04-22T08:54:23Z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