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CC739">
      <w:pPr>
        <w:pStyle w:val="3"/>
        <w:jc w:val="center"/>
        <w:rPr>
          <w:i w:val="0"/>
          <w:sz w:val="32"/>
          <w:szCs w:val="32"/>
        </w:rPr>
      </w:pPr>
      <w:bookmarkStart w:id="0" w:name="_Toc317"/>
      <w:bookmarkStart w:id="1" w:name="_Toc16518"/>
      <w:bookmarkStart w:id="2" w:name="_Toc23462"/>
      <w:bookmarkStart w:id="3" w:name="_Toc17817321"/>
      <w:bookmarkStart w:id="4" w:name="_Toc9654"/>
      <w:r>
        <w:rPr>
          <w:rFonts w:hint="eastAsia"/>
          <w:i w:val="0"/>
          <w:sz w:val="32"/>
          <w:szCs w:val="32"/>
        </w:rPr>
        <w:t>招标公告</w:t>
      </w:r>
      <w:bookmarkEnd w:id="0"/>
      <w:bookmarkEnd w:id="1"/>
      <w:bookmarkEnd w:id="2"/>
    </w:p>
    <w:p w14:paraId="00DA332C">
      <w:pPr>
        <w:widowControl/>
        <w:spacing w:line="360" w:lineRule="auto"/>
        <w:ind w:firstLine="482" w:firstLineChars="200"/>
        <w:jc w:val="center"/>
        <w:rPr>
          <w:rFonts w:ascii="宋体" w:hAnsi="宋体" w:cs="宋体"/>
          <w:b/>
          <w:bCs/>
          <w:kern w:val="0"/>
          <w:sz w:val="24"/>
          <w:highlight w:val="none"/>
          <w:lang w:bidi="en-US"/>
        </w:rPr>
      </w:pPr>
      <w:r>
        <w:rPr>
          <w:rFonts w:hint="eastAsia" w:ascii="宋体" w:hAnsi="宋体" w:cs="宋体"/>
          <w:b/>
          <w:bCs/>
          <w:kern w:val="0"/>
          <w:sz w:val="24"/>
          <w:highlight w:val="none"/>
          <w:lang w:bidi="en-US"/>
        </w:rPr>
        <w:t>（e采通</w:t>
      </w:r>
      <w:r>
        <w:rPr>
          <w:rFonts w:hint="eastAsia" w:ascii="宋体" w:hAnsi="宋体" w:cs="宋体"/>
          <w:b/>
          <w:bCs/>
          <w:kern w:val="0"/>
          <w:sz w:val="24"/>
          <w:highlight w:val="none"/>
          <w:lang w:val="en-US" w:eastAsia="zh-CN" w:bidi="en-US"/>
        </w:rPr>
        <w:t>招标形式</w:t>
      </w:r>
      <w:r>
        <w:rPr>
          <w:rFonts w:hint="eastAsia" w:ascii="宋体" w:hAnsi="宋体" w:cs="宋体"/>
          <w:b/>
          <w:bCs/>
          <w:kern w:val="0"/>
          <w:sz w:val="24"/>
          <w:highlight w:val="none"/>
          <w:lang w:bidi="en-US"/>
        </w:rPr>
        <w:t>编号：</w:t>
      </w:r>
      <w:r>
        <w:rPr>
          <w:rFonts w:hint="eastAsia" w:ascii="宋体" w:hAnsi="宋体" w:cs="宋体"/>
          <w:b/>
          <w:bCs/>
          <w:kern w:val="0"/>
          <w:sz w:val="24"/>
          <w:highlight w:val="none"/>
          <w:lang w:val="en-US" w:eastAsia="zh-CN" w:bidi="en-US"/>
        </w:rPr>
        <w:t>CGZX2025040158</w:t>
      </w:r>
      <w:r>
        <w:rPr>
          <w:rFonts w:hint="eastAsia" w:ascii="宋体" w:hAnsi="宋体" w:cs="宋体"/>
          <w:b/>
          <w:bCs/>
          <w:kern w:val="0"/>
          <w:sz w:val="24"/>
          <w:highlight w:val="none"/>
          <w:lang w:bidi="en-US"/>
        </w:rPr>
        <w:t>）</w:t>
      </w:r>
    </w:p>
    <w:p w14:paraId="3F56383D">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459FB5F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济南卡车股份有限公司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党家庄厂区新能源改造技改项目生产线改造及新增充电桩配套设施工程施工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济南卡车股份有限公司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5D07AEB0">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302D48B2">
      <w:pPr>
        <w:widowControl/>
        <w:spacing w:line="360" w:lineRule="auto"/>
        <w:ind w:firstLine="480" w:firstLineChars="200"/>
        <w:jc w:val="left"/>
        <w:rPr>
          <w:rFonts w:ascii="宋体" w:hAnsi="宋体" w:cs="宋体"/>
          <w:kern w:val="0"/>
          <w:sz w:val="24"/>
          <w:lang w:bidi="en-US"/>
        </w:rPr>
      </w:pPr>
      <w:bookmarkStart w:id="5" w:name="_Toc152045514"/>
      <w:bookmarkEnd w:id="5"/>
      <w:bookmarkStart w:id="6" w:name="_Toc144974482"/>
      <w:bookmarkEnd w:id="6"/>
      <w:bookmarkStart w:id="7" w:name="_Toc179632530"/>
      <w:bookmarkEnd w:id="7"/>
      <w:bookmarkStart w:id="8" w:name="_Toc152042290"/>
      <w:bookmarkEnd w:id="8"/>
      <w:bookmarkStart w:id="9" w:name="_Toc285809451"/>
      <w:bookmarkEnd w:id="9"/>
      <w:r>
        <w:rPr>
          <w:rFonts w:hint="eastAsia" w:ascii="宋体" w:hAnsi="宋体" w:cs="宋体"/>
          <w:kern w:val="0"/>
          <w:sz w:val="24"/>
          <w:lang w:bidi="en-US"/>
        </w:rPr>
        <w:t>2.1工程名称：</w:t>
      </w:r>
      <w:r>
        <w:rPr>
          <w:rFonts w:hint="eastAsia" w:ascii="宋体" w:hAnsi="宋体" w:cs="宋体"/>
          <w:kern w:val="0"/>
          <w:sz w:val="24"/>
          <w:u w:val="single"/>
          <w:lang w:eastAsia="zh-CN" w:bidi="en-US"/>
        </w:rPr>
        <w:t>党家庄厂区新能源改造技改项目生产线改造及新增充电桩配套设施工程施工</w:t>
      </w:r>
      <w:r>
        <w:rPr>
          <w:rFonts w:hint="eastAsia" w:ascii="宋体" w:hAnsi="宋体" w:cs="宋体"/>
          <w:kern w:val="0"/>
          <w:sz w:val="24"/>
          <w:lang w:bidi="en-US"/>
        </w:rPr>
        <w:t>；</w:t>
      </w:r>
    </w:p>
    <w:p w14:paraId="0E48B78F">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6"/>
          <w:rFonts w:hint="eastAsia" w:ascii="宋体" w:hAnsi="宋体"/>
          <w:sz w:val="24"/>
          <w:u w:val="single"/>
        </w:rPr>
        <w:t>济南市</w:t>
      </w:r>
      <w:r>
        <w:rPr>
          <w:rStyle w:val="36"/>
          <w:rFonts w:hint="eastAsia" w:ascii="宋体" w:hAnsi="宋体"/>
          <w:sz w:val="24"/>
          <w:u w:val="single"/>
          <w:lang w:val="en-US" w:eastAsia="zh-CN"/>
        </w:rPr>
        <w:t>市中</w:t>
      </w:r>
      <w:r>
        <w:rPr>
          <w:rStyle w:val="36"/>
          <w:rFonts w:hint="eastAsia" w:ascii="宋体" w:hAnsi="宋体"/>
          <w:sz w:val="24"/>
          <w:u w:val="single"/>
        </w:rPr>
        <w:t>区</w:t>
      </w:r>
      <w:r>
        <w:rPr>
          <w:rFonts w:hint="eastAsia" w:ascii="宋体" w:hAnsi="宋体" w:cs="宋体"/>
          <w:kern w:val="0"/>
          <w:sz w:val="24"/>
        </w:rPr>
        <w:t>；</w:t>
      </w:r>
    </w:p>
    <w:p w14:paraId="71BA57CD">
      <w:pPr>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lang w:bidi="en-US"/>
        </w:rPr>
        <w:t>2.3工程概况：</w:t>
      </w:r>
      <w:r>
        <w:rPr>
          <w:rFonts w:hint="eastAsia" w:ascii="宋体" w:hAnsi="宋体" w:cs="宋体"/>
          <w:kern w:val="0"/>
          <w:sz w:val="24"/>
          <w:u w:val="single"/>
          <w:lang w:eastAsia="zh-CN" w:bidi="en-US"/>
        </w:rPr>
        <w:t>党家庄厂区新能源改造技改项目生产线改造及新增充电桩配套设施工程施工，主要内容包括板链分装线</w:t>
      </w:r>
      <w:r>
        <w:rPr>
          <w:rFonts w:hint="eastAsia" w:ascii="宋体" w:hAnsi="宋体" w:cs="宋体"/>
          <w:kern w:val="0"/>
          <w:sz w:val="24"/>
          <w:u w:val="single"/>
          <w:lang w:val="en-US" w:eastAsia="zh-CN" w:bidi="en-US"/>
        </w:rPr>
        <w:t>基础施工、行车梁改造、增加物流门、钢结构改造、公用配套、</w:t>
      </w:r>
      <w:bookmarkStart w:id="16" w:name="_GoBack"/>
      <w:bookmarkEnd w:id="16"/>
      <w:r>
        <w:rPr>
          <w:rFonts w:hint="eastAsia" w:ascii="宋体" w:hAnsi="宋体" w:cs="宋体"/>
          <w:kern w:val="0"/>
          <w:sz w:val="24"/>
          <w:u w:val="single"/>
          <w:lang w:val="en-US" w:eastAsia="zh-CN" w:bidi="en-US"/>
        </w:rPr>
        <w:t>箱变设备（甲供）安装调试及电气配套工程、箱变基础、</w:t>
      </w:r>
      <w:r>
        <w:rPr>
          <w:rFonts w:hint="eastAsia" w:ascii="宋体" w:hAnsi="宋体" w:cs="宋体"/>
          <w:kern w:val="0"/>
          <w:sz w:val="24"/>
          <w:u w:val="single"/>
          <w:lang w:bidi="en-US"/>
        </w:rPr>
        <w:t>地面</w:t>
      </w:r>
      <w:r>
        <w:rPr>
          <w:rFonts w:hint="eastAsia" w:ascii="宋体" w:hAnsi="宋体" w:cs="宋体"/>
          <w:kern w:val="0"/>
          <w:sz w:val="24"/>
          <w:u w:val="single"/>
          <w:lang w:val="en-US" w:eastAsia="zh-CN" w:bidi="en-US"/>
        </w:rPr>
        <w:t>破除、</w:t>
      </w:r>
      <w:r>
        <w:rPr>
          <w:rFonts w:hint="eastAsia" w:ascii="宋体" w:hAnsi="宋体" w:cs="宋体"/>
          <w:kern w:val="0"/>
          <w:sz w:val="24"/>
          <w:u w:val="single"/>
          <w:lang w:bidi="en-US"/>
        </w:rPr>
        <w:t>硬化</w:t>
      </w:r>
      <w:r>
        <w:rPr>
          <w:rFonts w:hint="eastAsia" w:ascii="宋体" w:hAnsi="宋体" w:cs="宋体"/>
          <w:kern w:val="0"/>
          <w:sz w:val="24"/>
          <w:u w:val="single"/>
          <w:lang w:eastAsia="zh-CN" w:bidi="en-US"/>
        </w:rPr>
        <w:t>，安装防护栏、</w:t>
      </w:r>
      <w:r>
        <w:rPr>
          <w:rFonts w:hint="eastAsia" w:ascii="宋体" w:hAnsi="宋体" w:cs="宋体"/>
          <w:kern w:val="0"/>
          <w:sz w:val="24"/>
          <w:u w:val="single"/>
          <w:lang w:val="en-US" w:eastAsia="zh-CN" w:bidi="en-US"/>
        </w:rPr>
        <w:t>防撞柱，安装遮雨棚</w:t>
      </w:r>
      <w:r>
        <w:rPr>
          <w:rFonts w:hint="eastAsia" w:ascii="宋体" w:hAnsi="宋体" w:cs="宋体"/>
          <w:kern w:val="0"/>
          <w:sz w:val="24"/>
          <w:u w:val="single"/>
          <w:lang w:eastAsia="zh-CN" w:bidi="en-US"/>
        </w:rPr>
        <w:t>等</w:t>
      </w:r>
      <w:r>
        <w:rPr>
          <w:rFonts w:hint="eastAsia" w:ascii="宋体" w:hAnsi="宋体" w:cs="宋体"/>
          <w:kern w:val="0"/>
          <w:sz w:val="24"/>
          <w:u w:val="single"/>
          <w:lang w:val="en-US" w:eastAsia="zh-CN" w:bidi="en-US"/>
        </w:rPr>
        <w:t>建安工程</w:t>
      </w:r>
      <w:r>
        <w:rPr>
          <w:rFonts w:hint="eastAsia" w:ascii="宋体" w:hAnsi="宋体" w:cs="宋体"/>
          <w:kern w:val="0"/>
          <w:sz w:val="24"/>
          <w:u w:val="single"/>
          <w:lang w:eastAsia="zh-CN" w:bidi="en-US"/>
        </w:rPr>
        <w:t>，具体内容及要求详见招标文件、图纸及工程量单，以</w:t>
      </w:r>
      <w:r>
        <w:rPr>
          <w:rFonts w:hint="eastAsia" w:ascii="宋体" w:hAnsi="宋体" w:cs="宋体"/>
          <w:kern w:val="0"/>
          <w:sz w:val="24"/>
          <w:u w:val="single"/>
          <w:lang w:bidi="en-US"/>
        </w:rPr>
        <w:t>上工程项目总投资估</w:t>
      </w:r>
      <w:r>
        <w:rPr>
          <w:rFonts w:hint="eastAsia" w:ascii="宋体" w:hAnsi="宋体" w:cs="宋体"/>
          <w:kern w:val="0"/>
          <w:sz w:val="24"/>
          <w:highlight w:val="none"/>
          <w:u w:val="single"/>
          <w:lang w:bidi="en-US"/>
        </w:rPr>
        <w:t>算人民币</w:t>
      </w:r>
      <w:r>
        <w:rPr>
          <w:rFonts w:hint="eastAsia" w:ascii="宋体" w:hAnsi="宋体" w:cs="宋体"/>
          <w:kern w:val="0"/>
          <w:sz w:val="24"/>
          <w:highlight w:val="none"/>
          <w:u w:val="single"/>
          <w:lang w:val="en-US" w:eastAsia="zh-CN" w:bidi="en-US"/>
        </w:rPr>
        <w:t>230</w:t>
      </w:r>
      <w:r>
        <w:rPr>
          <w:rFonts w:hint="eastAsia" w:ascii="宋体" w:hAnsi="宋体" w:cs="宋体"/>
          <w:kern w:val="0"/>
          <w:sz w:val="24"/>
          <w:highlight w:val="none"/>
          <w:u w:val="single"/>
          <w:lang w:bidi="en-US"/>
        </w:rPr>
        <w:t>万元/含税</w:t>
      </w:r>
      <w:r>
        <w:rPr>
          <w:rFonts w:hint="eastAsia" w:ascii="宋体" w:hAnsi="宋体" w:cs="宋体"/>
          <w:kern w:val="0"/>
          <w:sz w:val="24"/>
          <w:highlight w:val="none"/>
          <w:lang w:bidi="en-US"/>
        </w:rPr>
        <w:t>；</w:t>
      </w:r>
    </w:p>
    <w:p w14:paraId="0F413589">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r>
        <w:rPr>
          <w:rFonts w:hint="eastAsia" w:ascii="宋体" w:hAnsi="宋体" w:cs="宋体"/>
          <w:kern w:val="0"/>
          <w:sz w:val="24"/>
          <w:highlight w:val="none"/>
          <w:lang w:bidi="en-US"/>
        </w:rPr>
        <w:t>；</w:t>
      </w:r>
    </w:p>
    <w:p w14:paraId="388CD681">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计划工期暂定</w:t>
      </w:r>
      <w:r>
        <w:rPr>
          <w:rFonts w:hint="eastAsia" w:ascii="宋体" w:hAnsi="宋体" w:cs="宋体"/>
          <w:kern w:val="0"/>
          <w:sz w:val="24"/>
          <w:highlight w:val="none"/>
          <w:u w:val="single"/>
          <w:lang w:val="en-US" w:eastAsia="zh-CN" w:bidi="en-US"/>
        </w:rPr>
        <w:t>3</w:t>
      </w:r>
      <w:r>
        <w:rPr>
          <w:rFonts w:hint="eastAsia" w:ascii="宋体" w:hAnsi="宋体" w:cs="宋体"/>
          <w:kern w:val="0"/>
          <w:sz w:val="24"/>
          <w:highlight w:val="none"/>
          <w:u w:val="single"/>
          <w:lang w:bidi="en-US"/>
        </w:rPr>
        <w:t>0日历天（暂定，具体以招标文件为准）</w:t>
      </w:r>
      <w:r>
        <w:rPr>
          <w:rFonts w:hint="eastAsia" w:ascii="宋体" w:hAnsi="宋体" w:cs="宋体"/>
          <w:kern w:val="0"/>
          <w:sz w:val="24"/>
          <w:highlight w:val="none"/>
          <w:lang w:bidi="en-US"/>
        </w:rPr>
        <w:t>；</w:t>
      </w:r>
    </w:p>
    <w:p w14:paraId="771079A6">
      <w:pPr>
        <w:widowControl/>
        <w:spacing w:line="360" w:lineRule="auto"/>
        <w:ind w:firstLine="480" w:firstLineChars="200"/>
        <w:jc w:val="left"/>
        <w:rPr>
          <w:rFonts w:hint="eastAsia" w:eastAsia="宋体"/>
          <w:lang w:eastAsia="zh-CN"/>
        </w:rPr>
      </w:pPr>
      <w:r>
        <w:rPr>
          <w:rFonts w:hint="eastAsia" w:ascii="宋体" w:hAnsi="宋体" w:cs="宋体"/>
          <w:kern w:val="0"/>
          <w:sz w:val="24"/>
          <w:highlight w:val="none"/>
          <w:lang w:bidi="en-US"/>
        </w:rPr>
        <w:t>2.6招标范围：</w:t>
      </w:r>
      <w:r>
        <w:rPr>
          <w:rFonts w:hint="eastAsia" w:ascii="宋体" w:hAnsi="宋体"/>
          <w:sz w:val="24"/>
          <w:highlight w:val="none"/>
          <w:u w:val="single"/>
        </w:rPr>
        <w:t>本次招标范围包括但不限于施工图纸范围内</w:t>
      </w:r>
      <w:r>
        <w:rPr>
          <w:rFonts w:hint="eastAsia" w:ascii="宋体" w:hAnsi="宋体"/>
          <w:sz w:val="24"/>
          <w:u w:val="single"/>
        </w:rPr>
        <w:t>的全部工作内容的施工、验收及质量保修，以及招标人新增清单外施工内容等，详见招标文件、图纸及工程量清单</w:t>
      </w:r>
      <w:r>
        <w:rPr>
          <w:rFonts w:hint="eastAsia" w:ascii="宋体" w:hAnsi="宋体"/>
          <w:sz w:val="24"/>
          <w:u w:val="single"/>
          <w:lang w:eastAsia="zh-CN"/>
        </w:rPr>
        <w:t>。</w:t>
      </w:r>
    </w:p>
    <w:p w14:paraId="16C5B74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03412425">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1792312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060F6607">
      <w:pPr>
        <w:widowControl/>
        <w:adjustRightInd w:val="0"/>
        <w:snapToGrid w:val="0"/>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2352EEA1">
      <w:pPr>
        <w:adjustRightInd w:val="0"/>
        <w:snapToGrid w:val="0"/>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具有建筑工程施工总承包叁级及以上资质</w:t>
      </w:r>
      <w:r>
        <w:rPr>
          <w:rFonts w:hint="eastAsia" w:ascii="宋体" w:hAnsi="宋体"/>
          <w:kern w:val="0"/>
          <w:sz w:val="24"/>
          <w:szCs w:val="21"/>
          <w:lang w:bidi="en-US"/>
        </w:rPr>
        <w:t>，并具有有效的安全生产许可证；</w:t>
      </w:r>
    </w:p>
    <w:p w14:paraId="4F5099EC">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（3）投标人拟派项目负责人要求：须具备建筑工程专业</w:t>
      </w:r>
      <w:r>
        <w:rPr>
          <w:rFonts w:hint="eastAsia" w:ascii="宋体" w:hAnsi="宋体" w:cs="宋体"/>
          <w:kern w:val="0"/>
          <w:sz w:val="24"/>
        </w:rPr>
        <w:t>贰级及以上</w:t>
      </w:r>
      <w:r>
        <w:rPr>
          <w:rFonts w:hint="eastAsia" w:ascii="宋体" w:hAnsi="宋体"/>
          <w:kern w:val="0"/>
          <w:sz w:val="24"/>
          <w:szCs w:val="21"/>
          <w:lang w:bidi="en-US"/>
        </w:rPr>
        <w:t>注册建造师证书，具有有效的安全考核合格B证，且不得担任其他在施建设工程项目的项目经理；</w:t>
      </w:r>
    </w:p>
    <w:p w14:paraId="1B4DEC68">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（4）财务要求：近三年财务状况良好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近三年指2022、2023、2024年</w:t>
      </w:r>
      <w:r>
        <w:rPr>
          <w:rFonts w:hint="eastAsia" w:ascii="宋体" w:hAnsi="宋体"/>
          <w:kern w:val="0"/>
          <w:sz w:val="24"/>
          <w:lang w:bidi="en-US"/>
        </w:rPr>
        <w:t>，要求包含企业最近半年完税证明、信用证明材料（中国人民银行征信报告）；年度纳税信用评价信息；企业对外担保说明）；</w:t>
      </w:r>
      <w:r>
        <w:rPr>
          <w:rFonts w:hint="eastAsia" w:ascii="宋体" w:hAnsi="宋体"/>
          <w:kern w:val="0"/>
          <w:sz w:val="24"/>
          <w:u w:val="single"/>
          <w:lang w:bidi="en-US"/>
        </w:rPr>
        <w:t>征信报告查询网址http://www.pbccrc.org.cn/zxzx/qyzx/202201/2a31586ca7d240fb8b64cba4b608085e.shtml</w:t>
      </w:r>
      <w:r>
        <w:rPr>
          <w:rFonts w:hint="eastAsia" w:ascii="宋体" w:hAnsi="宋体"/>
          <w:kern w:val="0"/>
          <w:sz w:val="24"/>
          <w:lang w:bidi="en-US"/>
        </w:rPr>
        <w:t>；（2024年没有的材料可以提交2021-2023年的）</w:t>
      </w:r>
    </w:p>
    <w:p w14:paraId="24E0D39F">
      <w:pPr>
        <w:widowControl/>
        <w:adjustRightInd w:val="0"/>
        <w:snapToGrid w:val="0"/>
        <w:spacing w:line="360" w:lineRule="auto"/>
        <w:ind w:firstLine="480" w:firstLineChars="200"/>
        <w:jc w:val="left"/>
        <w:rPr>
          <w:rFonts w:hint="eastAsia" w:ascii="宋体" w:cs="宋体"/>
          <w:sz w:val="24"/>
        </w:rPr>
      </w:pPr>
      <w:r>
        <w:rPr>
          <w:rFonts w:hint="eastAsia" w:ascii="宋体" w:hAnsi="宋体"/>
          <w:kern w:val="0"/>
          <w:sz w:val="24"/>
          <w:szCs w:val="21"/>
          <w:lang w:bidi="en-US"/>
        </w:rPr>
        <w:t>（5）信誉要求：</w:t>
      </w:r>
      <w:r>
        <w:rPr>
          <w:rFonts w:hint="eastAsia" w:ascii="宋体" w:cs="宋体"/>
          <w:sz w:val="24"/>
        </w:rPr>
        <w:t>公司信誉良好，无行政处罚及失信记录等信息，无与本项目有关的违法违规等不良行为，无招标违规、谎报年度报告信息、提供虚假资质资料等行为或其他行政处罚记录；</w:t>
      </w:r>
    </w:p>
    <w:p w14:paraId="0B588742">
      <w:pPr>
        <w:widowControl/>
        <w:adjustRightInd w:val="0"/>
        <w:snapToGrid w:val="0"/>
        <w:spacing w:line="360" w:lineRule="auto"/>
        <w:ind w:firstLine="480" w:firstLineChars="200"/>
        <w:jc w:val="left"/>
        <w:rPr>
          <w:rFonts w:hint="default" w:ascii="宋体" w:eastAsia="宋体" w:cs="宋体"/>
          <w:sz w:val="24"/>
          <w:lang w:val="en-US" w:eastAsia="zh-CN"/>
        </w:rPr>
      </w:pPr>
      <w:r>
        <w:rPr>
          <w:rFonts w:hint="eastAsia" w:ascii="宋体" w:cs="宋体"/>
          <w:sz w:val="24"/>
          <w:lang w:eastAsia="zh-CN"/>
        </w:rPr>
        <w:t>（</w:t>
      </w:r>
      <w:r>
        <w:rPr>
          <w:rFonts w:hint="eastAsia" w:ascii="宋体" w:cs="宋体"/>
          <w:sz w:val="24"/>
          <w:lang w:val="en-US" w:eastAsia="zh-CN"/>
        </w:rPr>
        <w:t>6</w:t>
      </w:r>
      <w:r>
        <w:rPr>
          <w:rFonts w:hint="eastAsia" w:ascii="宋体" w:cs="宋体"/>
          <w:sz w:val="24"/>
          <w:lang w:eastAsia="zh-CN"/>
        </w:rPr>
        <w:t>）</w:t>
      </w:r>
      <w:r>
        <w:rPr>
          <w:rFonts w:hint="eastAsia" w:ascii="宋体" w:cs="宋体"/>
          <w:sz w:val="24"/>
          <w:lang w:val="en-US" w:eastAsia="zh-CN"/>
        </w:rPr>
        <w:t>业绩要求：近三年（2022年4月1日至今）三个单项合同额不少于200万元的工业厂房改造、设备基础、配电改造等类似业绩；</w:t>
      </w:r>
    </w:p>
    <w:p w14:paraId="0284DC47">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7</w:t>
      </w:r>
      <w:r>
        <w:rPr>
          <w:rFonts w:hint="eastAsia" w:ascii="宋体" w:cs="宋体"/>
          <w:sz w:val="24"/>
        </w:rPr>
        <w:t>）单位负责人为同一人或者存在控股、管理关系的不同投标人，不得同时报名参加本次招标活动，否则须另提供上级单位对本项目投标的授权；</w:t>
      </w:r>
    </w:p>
    <w:p w14:paraId="7EBFB8F0">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8</w:t>
      </w:r>
      <w:r>
        <w:rPr>
          <w:rFonts w:hint="eastAsia" w:ascii="宋体" w:cs="宋体"/>
          <w:sz w:val="24"/>
        </w:rPr>
        <w:t>）投标人没有被我</w:t>
      </w:r>
      <w:r>
        <w:rPr>
          <w:rFonts w:hint="eastAsia" w:ascii="宋体" w:hAnsi="宋体"/>
          <w:kern w:val="0"/>
          <w:sz w:val="24"/>
          <w:szCs w:val="21"/>
          <w:lang w:bidi="en-US"/>
        </w:rPr>
        <w:t>公司</w:t>
      </w:r>
      <w:r>
        <w:rPr>
          <w:rFonts w:hint="eastAsia" w:ascii="宋体" w:cs="宋体"/>
          <w:sz w:val="24"/>
        </w:rPr>
        <w:t>列入黑名单；</w:t>
      </w:r>
    </w:p>
    <w:p w14:paraId="20F1CA7C">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9</w:t>
      </w:r>
      <w:r>
        <w:rPr>
          <w:rFonts w:hint="eastAsia" w:ascii="宋体" w:cs="宋体"/>
          <w:sz w:val="24"/>
        </w:rPr>
        <w:t>）投标人的直接或</w:t>
      </w:r>
      <w:r>
        <w:rPr>
          <w:rFonts w:hint="eastAsia" w:ascii="宋体" w:hAnsi="宋体"/>
          <w:kern w:val="0"/>
          <w:sz w:val="24"/>
          <w:szCs w:val="21"/>
          <w:lang w:bidi="en-US"/>
        </w:rPr>
        <w:t>间接</w:t>
      </w:r>
      <w:r>
        <w:rPr>
          <w:rFonts w:hint="eastAsia" w:ascii="宋体" w:cs="宋体"/>
          <w:sz w:val="24"/>
        </w:rPr>
        <w:t>股东、法定代表人、董事、监事、高管非重汽员工及其亲属。</w:t>
      </w:r>
    </w:p>
    <w:p w14:paraId="04502777">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hint="eastAsia" w:ascii="宋体" w:cs="宋体"/>
          <w:kern w:val="0"/>
          <w:sz w:val="24"/>
          <w:lang w:val="en-US" w:eastAsia="zh-CN"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09B5B33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551F67D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w:t>
      </w:r>
      <w:r>
        <w:rPr>
          <w:rFonts w:hint="eastAsia" w:ascii="宋体" w:hAnsi="宋体" w:cs="宋体"/>
          <w:kern w:val="0"/>
          <w:sz w:val="24"/>
          <w:highlight w:val="none"/>
          <w:lang w:bidi="en-US"/>
        </w:rPr>
        <w:t>，请于202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4</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22</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日至202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4</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27</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日每</w:t>
      </w:r>
      <w:r>
        <w:rPr>
          <w:rFonts w:hint="eastAsia" w:ascii="宋体" w:hAnsi="宋体" w:cs="宋体"/>
          <w:kern w:val="0"/>
          <w:sz w:val="24"/>
          <w:lang w:bidi="en-US"/>
        </w:rPr>
        <w:t>日</w:t>
      </w:r>
      <w:r>
        <w:rPr>
          <w:rFonts w:hint="eastAsia" w:ascii="宋体" w:hAnsi="宋体" w:cs="宋体"/>
          <w:kern w:val="0"/>
          <w:sz w:val="24"/>
          <w:lang w:val="en-US" w:eastAsia="zh-CN" w:bidi="en-US"/>
        </w:rPr>
        <w:t>8</w:t>
      </w: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 xml:space="preserve">0 </w:t>
      </w:r>
      <w:r>
        <w:rPr>
          <w:rFonts w:hint="eastAsia" w:ascii="宋体" w:hAnsi="宋体" w:cs="宋体"/>
          <w:kern w:val="0"/>
          <w:sz w:val="24"/>
          <w:lang w:val="en-US" w:eastAsia="zh-CN" w:bidi="en-US"/>
        </w:rPr>
        <w:t>-</w:t>
      </w:r>
      <w:r>
        <w:rPr>
          <w:rFonts w:hint="eastAsia" w:ascii="宋体" w:hAnsi="宋体" w:cs="宋体"/>
          <w:kern w:val="0"/>
          <w:sz w:val="24"/>
          <w:lang w:bidi="en-US"/>
        </w:rPr>
        <w:t>16：30（北京时间，下同），到将以下资料的原件扫描件发送至邮箱</w:t>
      </w:r>
      <w:r>
        <w:rPr>
          <w:rFonts w:ascii="宋体" w:hAnsi="宋体" w:cs="宋体"/>
          <w:sz w:val="24"/>
        </w:rPr>
        <w:t>liuyuan@sinotruk.com</w:t>
      </w:r>
      <w:r>
        <w:rPr>
          <w:rFonts w:hint="eastAsia" w:ascii="宋体" w:hAnsi="宋体" w:cs="宋体"/>
          <w:kern w:val="0"/>
          <w:sz w:val="24"/>
          <w:lang w:bidi="en-US"/>
        </w:rPr>
        <w:t>并电话联系工作人员查收（联系人：刘圆；联系方式：13953178362）：</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1B283290">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641AB719">
      <w:pPr>
        <w:widowControl/>
        <w:numPr>
          <w:ilvl w:val="0"/>
          <w:numId w:val="1"/>
        </w:numPr>
        <w:spacing w:line="360" w:lineRule="auto"/>
        <w:jc w:val="left"/>
        <w:rPr>
          <w:kern w:val="0"/>
          <w:sz w:val="24"/>
          <w:szCs w:val="21"/>
          <w:lang w:bidi="en-US"/>
        </w:rPr>
      </w:pPr>
      <w:r>
        <w:rPr>
          <w:rFonts w:hint="eastAsia"/>
          <w:kern w:val="0"/>
          <w:sz w:val="24"/>
          <w:szCs w:val="21"/>
          <w:lang w:bidi="en-US"/>
        </w:rPr>
        <w:t>拟派项目经理注册建造师证书证及</w:t>
      </w:r>
      <w:r>
        <w:rPr>
          <w:rFonts w:hint="eastAsia" w:ascii="宋体"/>
          <w:kern w:val="0"/>
          <w:sz w:val="24"/>
          <w:szCs w:val="21"/>
          <w:lang w:bidi="en-US"/>
        </w:rPr>
        <w:t>有效的安全考核合格B证项目项目经理的履历简介、从业业绩</w:t>
      </w:r>
      <w:r>
        <w:rPr>
          <w:rFonts w:hint="eastAsia"/>
          <w:kern w:val="0"/>
          <w:sz w:val="24"/>
          <w:szCs w:val="21"/>
          <w:lang w:bidi="en-US"/>
        </w:rPr>
        <w:t>、近6个月社保缴纳证明</w:t>
      </w:r>
      <w:r>
        <w:rPr>
          <w:rFonts w:hint="eastAsia" w:ascii="宋体"/>
          <w:kern w:val="0"/>
          <w:sz w:val="24"/>
          <w:szCs w:val="21"/>
          <w:lang w:bidi="en-US"/>
        </w:rPr>
        <w:t>（要求报名拟派项目经理经招标人综合审查通过后</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2C093D">
      <w:pPr>
        <w:widowControl/>
        <w:numPr>
          <w:ilvl w:val="0"/>
          <w:numId w:val="1"/>
        </w:numPr>
        <w:spacing w:line="360" w:lineRule="auto"/>
        <w:jc w:val="left"/>
        <w:rPr>
          <w:kern w:val="0"/>
          <w:sz w:val="24"/>
          <w:szCs w:val="21"/>
          <w:lang w:bidi="en-US"/>
        </w:rPr>
      </w:pPr>
      <w:r>
        <w:rPr>
          <w:rFonts w:hint="eastAsia"/>
          <w:kern w:val="0"/>
          <w:sz w:val="24"/>
          <w:szCs w:val="21"/>
          <w:lang w:bidi="en-US"/>
        </w:rPr>
        <w:t>类似工业项目业绩，要求提供合同扫描件，数量不限，能报尽报，填写附件</w:t>
      </w:r>
      <w:r>
        <w:rPr>
          <w:rFonts w:hint="eastAsia"/>
          <w:kern w:val="0"/>
          <w:sz w:val="24"/>
          <w:szCs w:val="21"/>
          <w:lang w:val="en-US" w:eastAsia="zh-CN" w:bidi="en-US"/>
        </w:rPr>
        <w:t>2</w:t>
      </w:r>
      <w:r>
        <w:rPr>
          <w:rFonts w:hint="eastAsia"/>
          <w:kern w:val="0"/>
          <w:sz w:val="24"/>
          <w:szCs w:val="21"/>
          <w:lang w:bidi="en-US"/>
        </w:rPr>
        <w:t>；</w:t>
      </w:r>
    </w:p>
    <w:p w14:paraId="1735B288">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唯一的法人授权委托书、授权人和被授权人身份证、及在本单位近12个月社保缴纳证明；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6"/>
          <w:rFonts w:ascii="宋体" w:cs="宋体"/>
          <w:b/>
          <w:bCs/>
          <w:color w:val="auto"/>
        </w:rPr>
      </w:pPr>
      <w:r>
        <w:rPr>
          <w:rFonts w:hint="eastAsia" w:ascii="宋体" w:cs="宋体"/>
          <w:b/>
          <w:bCs/>
          <w:sz w:val="24"/>
        </w:rPr>
        <w:t>报名同时请按照附件3《非生产供应商注册操作手册》完成平台注册（网址：</w:t>
      </w:r>
      <w:r>
        <w:rPr>
          <w:highlight w:val="none"/>
        </w:rPr>
        <w:fldChar w:fldCharType="begin"/>
      </w:r>
      <w:r>
        <w:rPr>
          <w:highlight w:val="none"/>
        </w:rPr>
        <w:instrText xml:space="preserve"> HYPERLINK "http://ecaitong.sinotruk.com:8012/#/login），注册时，业务主管部门选择" </w:instrText>
      </w:r>
      <w:r>
        <w:rPr>
          <w:highlight w:val="none"/>
        </w:rPr>
        <w:fldChar w:fldCharType="separate"/>
      </w:r>
      <w:r>
        <w:rPr>
          <w:rStyle w:val="26"/>
          <w:rFonts w:hint="eastAsia" w:ascii="宋体" w:cs="宋体"/>
          <w:b/>
          <w:bCs/>
          <w:color w:val="auto"/>
          <w:highlight w:val="none"/>
        </w:rPr>
        <w:t>https://ecaitong.sinotruk.com:8012/#/login），注册时，从非生产供应商（招标）板块进入，管理单位选择【直管单位】、意向配套单位选择【直管单位】</w:t>
      </w:r>
      <w:r>
        <w:rPr>
          <w:rStyle w:val="26"/>
          <w:rFonts w:hint="eastAsia" w:ascii="宋体" w:cs="宋体"/>
          <w:b/>
          <w:bCs/>
          <w:color w:val="auto"/>
          <w:highlight w:val="none"/>
          <w:lang w:eastAsia="zh-CN"/>
        </w:rPr>
        <w:t>，</w:t>
      </w:r>
      <w:r>
        <w:rPr>
          <w:rStyle w:val="26"/>
          <w:rFonts w:hint="eastAsia" w:ascii="宋体" w:cs="宋体"/>
          <w:b/>
          <w:bCs/>
          <w:color w:val="auto"/>
          <w:highlight w:val="none"/>
        </w:rPr>
        <w:t>业务主管部门选择“技术改造部”，从非生产供应商（招标）板块进入，类别选择“工程建设-工程建设”。项目编号为“CGZX202504015</w:t>
      </w:r>
      <w:r>
        <w:rPr>
          <w:rStyle w:val="26"/>
          <w:rFonts w:hint="eastAsia" w:ascii="宋体" w:cs="宋体"/>
          <w:b/>
          <w:bCs/>
          <w:color w:val="auto"/>
          <w:highlight w:val="none"/>
          <w:lang w:val="en-US" w:eastAsia="zh-CN"/>
        </w:rPr>
        <w:t>8</w:t>
      </w:r>
      <w:r>
        <w:rPr>
          <w:rStyle w:val="26"/>
          <w:rFonts w:hint="eastAsia" w:ascii="宋体" w:cs="宋体"/>
          <w:b/>
          <w:bCs/>
          <w:color w:val="auto"/>
          <w:highlight w:val="none"/>
        </w:rPr>
        <w:t>”</w:t>
      </w:r>
      <w:r>
        <w:rPr>
          <w:rStyle w:val="26"/>
          <w:rFonts w:hint="eastAsia" w:ascii="宋体" w:cs="宋体"/>
          <w:b/>
          <w:bCs/>
          <w:color w:val="auto"/>
          <w:highlight w:val="none"/>
        </w:rPr>
        <w:fldChar w:fldCharType="end"/>
      </w:r>
      <w:r>
        <w:rPr>
          <w:rStyle w:val="26"/>
          <w:rFonts w:hint="eastAsia" w:ascii="宋体" w:cs="宋体"/>
          <w:b/>
          <w:bCs/>
          <w:color w:val="auto"/>
          <w:highlight w:val="none"/>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276F432A">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31C8DAE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8957A5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2B61EA7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DB122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5B52714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人：中国重汽集团</w:t>
      </w:r>
      <w:r>
        <w:rPr>
          <w:rFonts w:hint="eastAsia" w:ascii="宋体" w:hAnsi="宋体" w:cs="宋体"/>
          <w:kern w:val="0"/>
          <w:sz w:val="24"/>
          <w:lang w:eastAsia="zh-CN" w:bidi="en-US"/>
        </w:rPr>
        <w:t>济南卡车股份有限公司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w:t>
      </w:r>
    </w:p>
    <w:p w14:paraId="14EF4A80">
      <w:pPr>
        <w:widowControl/>
        <w:spacing w:line="500" w:lineRule="exact"/>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ascii="宋体" w:hAnsi="宋体" w:cs="宋体"/>
          <w:sz w:val="24"/>
        </w:rPr>
        <w:t>liuyuan@sinotruk.com</w:t>
      </w:r>
    </w:p>
    <w:p w14:paraId="6B743E1A">
      <w:pPr>
        <w:widowControl/>
        <w:spacing w:line="500" w:lineRule="exact"/>
        <w:ind w:firstLine="480" w:firstLineChars="200"/>
        <w:jc w:val="right"/>
        <w:rPr>
          <w:rFonts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val="en-US" w:eastAsia="zh-CN" w:bidi="en-US"/>
        </w:rPr>
        <w:t>5</w:t>
      </w:r>
      <w:r>
        <w:rPr>
          <w:rFonts w:hint="eastAsia" w:ascii="宋体" w:hAnsi="宋体"/>
          <w:kern w:val="0"/>
          <w:sz w:val="24"/>
          <w:szCs w:val="21"/>
          <w:lang w:eastAsia="en-US" w:bidi="en-US"/>
        </w:rPr>
        <w:t>年</w:t>
      </w:r>
      <w:r>
        <w:rPr>
          <w:rFonts w:hint="eastAsia" w:ascii="宋体" w:hAnsi="宋体"/>
          <w:kern w:val="0"/>
          <w:sz w:val="24"/>
          <w:szCs w:val="21"/>
          <w:lang w:val="en-US" w:eastAsia="zh-CN" w:bidi="en-US"/>
        </w:rPr>
        <w:t>4</w:t>
      </w:r>
      <w:r>
        <w:rPr>
          <w:rFonts w:hint="eastAsia" w:ascii="宋体" w:hAnsi="宋体"/>
          <w:kern w:val="0"/>
          <w:sz w:val="24"/>
          <w:szCs w:val="21"/>
          <w:lang w:eastAsia="en-US" w:bidi="en-US"/>
        </w:rPr>
        <w:t>月</w:t>
      </w:r>
      <w:r>
        <w:rPr>
          <w:rFonts w:hint="eastAsia" w:ascii="宋体" w:hAnsi="宋体"/>
          <w:kern w:val="0"/>
          <w:sz w:val="24"/>
          <w:szCs w:val="21"/>
          <w:lang w:val="en-US" w:eastAsia="zh-CN" w:bidi="en-US"/>
        </w:rPr>
        <w:t>21</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p>
    <w:p w14:paraId="3E0373AF">
      <w:pPr>
        <w:pStyle w:val="16"/>
        <w:rPr>
          <w:rFonts w:ascii="宋体" w:hAnsi="宋体"/>
          <w:color w:val="FF0000"/>
          <w:kern w:val="0"/>
          <w:sz w:val="24"/>
          <w:szCs w:val="21"/>
          <w:lang w:bidi="en-US"/>
        </w:rPr>
      </w:pPr>
    </w:p>
    <w:bookmarkEnd w:id="3"/>
    <w:bookmarkEnd w:id="4"/>
    <w:p w14:paraId="403F775F">
      <w:pPr>
        <w:rPr>
          <w:rFonts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6"/>
          <w:rFonts w:hint="eastAsia" w:ascii="宋体"/>
        </w:rPr>
        <w:t>请按以下表格内容如实填写，提供经会计师事务所审计且出具无保留意见的</w:t>
      </w:r>
      <w:r>
        <w:rPr>
          <w:rStyle w:val="36"/>
          <w:rFonts w:hint="eastAsia" w:ascii="宋体"/>
          <w:b/>
          <w:bCs/>
        </w:rPr>
        <w:t>近三年的财务审计报告</w:t>
      </w:r>
      <w:r>
        <w:rPr>
          <w:rStyle w:val="36"/>
          <w:rFonts w:hint="eastAsia" w:ascii="宋体"/>
        </w:rPr>
        <w:t>，并</w:t>
      </w:r>
      <w:r>
        <w:rPr>
          <w:rStyle w:val="36"/>
          <w:rFonts w:hint="eastAsia" w:ascii="宋体"/>
          <w:b/>
          <w:bCs/>
        </w:rPr>
        <w:t>加盖公章</w:t>
      </w:r>
      <w:r>
        <w:rPr>
          <w:rStyle w:val="36"/>
          <w:rFonts w:hint="eastAsia" w:ascii="宋体"/>
        </w:rPr>
        <w:t>（包括但不限于报告页、经审计的资产负债表、利润表、现金流量表及报表附注）。如投标人公司没有经审计的财务报告，可提供</w:t>
      </w:r>
      <w:r>
        <w:rPr>
          <w:rStyle w:val="36"/>
          <w:rFonts w:hint="eastAsia" w:ascii="宋体"/>
          <w:b/>
          <w:bCs/>
        </w:rPr>
        <w:t>加盖公章的近三年财务报表</w:t>
      </w:r>
      <w:r>
        <w:rPr>
          <w:rStyle w:val="36"/>
          <w:rFonts w:hint="eastAsia" w:ascii="宋体"/>
        </w:rPr>
        <w:t>，包括但不限于资产负债表、利润表、现金流量表。应提供</w:t>
      </w:r>
      <w:r>
        <w:rPr>
          <w:rStyle w:val="36"/>
          <w:rFonts w:hint="eastAsia" w:ascii="宋体"/>
          <w:b/>
          <w:bCs/>
        </w:rPr>
        <w:t>中文版本</w:t>
      </w:r>
      <w:r>
        <w:rPr>
          <w:rStyle w:val="36"/>
          <w:rFonts w:hint="eastAsia" w:ascii="宋体"/>
        </w:rPr>
        <w:t>的审计报告或财务报表。</w:t>
      </w:r>
      <w:r>
        <w:rPr>
          <w:rStyle w:val="36"/>
          <w:rFonts w:hint="eastAsia" w:ascii="宋体"/>
          <w:b/>
          <w:bCs/>
        </w:rPr>
        <w:t>要求汇总表与财务报告（表）数据必须一致。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124"/>
        <w:gridCol w:w="2124"/>
        <w:gridCol w:w="2124"/>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E0BCCCC">
            <w:pPr>
              <w:spacing w:line="440" w:lineRule="exact"/>
              <w:jc w:val="center"/>
              <w:rPr>
                <w:rStyle w:val="36"/>
                <w:rFonts w:ascii="宋体" w:hAnsi="宋体"/>
              </w:rPr>
            </w:pPr>
            <w:r>
              <w:rPr>
                <w:rStyle w:val="36"/>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spacing w:line="440" w:lineRule="exact"/>
              <w:jc w:val="center"/>
              <w:rPr>
                <w:rStyle w:val="36"/>
                <w:rFonts w:ascii="宋体" w:hAnsi="宋体"/>
              </w:rPr>
            </w:pPr>
            <w:r>
              <w:rPr>
                <w:rStyle w:val="36"/>
                <w:rFonts w:hint="eastAsia" w:ascii="宋体" w:hAnsi="宋体"/>
              </w:rPr>
              <w:t>注册资金（万元）</w:t>
            </w:r>
          </w:p>
        </w:tc>
        <w:tc>
          <w:tcPr>
            <w:tcW w:w="6966" w:type="dxa"/>
            <w:gridSpan w:val="3"/>
          </w:tcPr>
          <w:p w14:paraId="6A8FE17F">
            <w:pPr>
              <w:spacing w:line="440" w:lineRule="exact"/>
              <w:jc w:val="center"/>
              <w:rPr>
                <w:rStyle w:val="36"/>
                <w:rFonts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spacing w:line="440" w:lineRule="exact"/>
              <w:jc w:val="center"/>
              <w:rPr>
                <w:rStyle w:val="36"/>
                <w:rFonts w:ascii="宋体" w:hAnsi="宋体"/>
              </w:rPr>
            </w:pPr>
            <w:r>
              <w:rPr>
                <w:rStyle w:val="36"/>
                <w:rFonts w:ascii="宋体" w:hAnsi="宋体"/>
              </w:rPr>
              <w:t>实收资金（万元）</w:t>
            </w:r>
          </w:p>
        </w:tc>
        <w:tc>
          <w:tcPr>
            <w:tcW w:w="6966" w:type="dxa"/>
            <w:gridSpan w:val="3"/>
          </w:tcPr>
          <w:p w14:paraId="4C7E780E">
            <w:pPr>
              <w:spacing w:line="440" w:lineRule="exact"/>
              <w:jc w:val="center"/>
              <w:rPr>
                <w:rStyle w:val="36"/>
                <w:rFonts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spacing w:line="440" w:lineRule="exact"/>
              <w:jc w:val="center"/>
              <w:rPr>
                <w:rStyle w:val="36"/>
                <w:rFonts w:ascii="宋体" w:hAnsi="宋体"/>
              </w:rPr>
            </w:pPr>
            <w:r>
              <w:rPr>
                <w:rStyle w:val="36"/>
                <w:rFonts w:hint="eastAsia" w:ascii="宋体" w:hAnsi="宋体"/>
              </w:rPr>
              <w:t>年度资产情况</w:t>
            </w:r>
          </w:p>
        </w:tc>
        <w:tc>
          <w:tcPr>
            <w:tcW w:w="2322" w:type="dxa"/>
          </w:tcPr>
          <w:p w14:paraId="000903C6">
            <w:pPr>
              <w:spacing w:line="440" w:lineRule="exact"/>
              <w:jc w:val="center"/>
              <w:rPr>
                <w:rStyle w:val="36"/>
                <w:rFonts w:ascii="宋体" w:hAnsi="宋体"/>
              </w:rPr>
            </w:pPr>
            <w:r>
              <w:rPr>
                <w:rStyle w:val="36"/>
                <w:rFonts w:hint="eastAsia" w:ascii="宋体" w:hAnsi="宋体"/>
                <w:lang w:val="en-US" w:eastAsia="zh-CN"/>
              </w:rPr>
              <w:t>2022年/</w:t>
            </w:r>
            <w:r>
              <w:rPr>
                <w:rStyle w:val="36"/>
                <w:rFonts w:hint="eastAsia" w:ascii="宋体" w:hAnsi="宋体"/>
              </w:rPr>
              <w:t>2021年</w:t>
            </w:r>
          </w:p>
        </w:tc>
        <w:tc>
          <w:tcPr>
            <w:tcW w:w="2322" w:type="dxa"/>
          </w:tcPr>
          <w:p w14:paraId="03608751">
            <w:pPr>
              <w:spacing w:line="440" w:lineRule="exact"/>
              <w:jc w:val="center"/>
              <w:rPr>
                <w:rStyle w:val="36"/>
                <w:rFonts w:ascii="宋体" w:hAnsi="宋体"/>
              </w:rPr>
            </w:pPr>
            <w:r>
              <w:rPr>
                <w:rStyle w:val="36"/>
                <w:rFonts w:hint="eastAsia" w:ascii="宋体" w:hAnsi="宋体"/>
              </w:rPr>
              <w:t>2023年</w:t>
            </w:r>
            <w:r>
              <w:rPr>
                <w:rStyle w:val="36"/>
                <w:rFonts w:hint="eastAsia" w:ascii="宋体" w:hAnsi="宋体"/>
                <w:lang w:val="en-US" w:eastAsia="zh-CN"/>
              </w:rPr>
              <w:t>/</w:t>
            </w:r>
            <w:r>
              <w:rPr>
                <w:rStyle w:val="36"/>
                <w:rFonts w:hint="eastAsia" w:ascii="宋体" w:hAnsi="宋体"/>
              </w:rPr>
              <w:t>2022年</w:t>
            </w:r>
          </w:p>
        </w:tc>
        <w:tc>
          <w:tcPr>
            <w:tcW w:w="2322" w:type="dxa"/>
          </w:tcPr>
          <w:p w14:paraId="0001C91A">
            <w:pPr>
              <w:spacing w:line="440" w:lineRule="exact"/>
              <w:jc w:val="center"/>
              <w:rPr>
                <w:rStyle w:val="36"/>
                <w:rFonts w:ascii="宋体" w:hAnsi="宋体"/>
              </w:rPr>
            </w:pPr>
            <w:r>
              <w:rPr>
                <w:rStyle w:val="36"/>
                <w:rFonts w:hint="eastAsia" w:ascii="宋体" w:hAnsi="宋体"/>
                <w:lang w:val="en-US" w:eastAsia="zh-CN"/>
              </w:rPr>
              <w:t>2024年/</w:t>
            </w:r>
            <w:r>
              <w:rPr>
                <w:rStyle w:val="36"/>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spacing w:line="440" w:lineRule="exact"/>
              <w:jc w:val="center"/>
              <w:rPr>
                <w:rStyle w:val="36"/>
                <w:rFonts w:ascii="宋体" w:hAnsi="宋体"/>
              </w:rPr>
            </w:pPr>
            <w:r>
              <w:rPr>
                <w:rStyle w:val="36"/>
                <w:rFonts w:hint="eastAsia" w:ascii="宋体" w:hAnsi="宋体"/>
              </w:rPr>
              <w:t>流动资产（万元）</w:t>
            </w:r>
          </w:p>
        </w:tc>
        <w:tc>
          <w:tcPr>
            <w:tcW w:w="2322" w:type="dxa"/>
          </w:tcPr>
          <w:p w14:paraId="3061FB2E">
            <w:pPr>
              <w:spacing w:line="440" w:lineRule="exact"/>
              <w:jc w:val="center"/>
              <w:rPr>
                <w:rStyle w:val="36"/>
                <w:rFonts w:ascii="宋体" w:hAnsi="宋体"/>
              </w:rPr>
            </w:pPr>
          </w:p>
        </w:tc>
        <w:tc>
          <w:tcPr>
            <w:tcW w:w="2322" w:type="dxa"/>
          </w:tcPr>
          <w:p w14:paraId="331B2C71">
            <w:pPr>
              <w:spacing w:line="440" w:lineRule="exact"/>
              <w:jc w:val="center"/>
              <w:rPr>
                <w:rStyle w:val="36"/>
                <w:rFonts w:ascii="宋体" w:hAnsi="宋体"/>
              </w:rPr>
            </w:pPr>
          </w:p>
        </w:tc>
        <w:tc>
          <w:tcPr>
            <w:tcW w:w="2322" w:type="dxa"/>
          </w:tcPr>
          <w:p w14:paraId="5293F412">
            <w:pPr>
              <w:spacing w:line="440" w:lineRule="exact"/>
              <w:jc w:val="center"/>
              <w:rPr>
                <w:rStyle w:val="36"/>
                <w:rFonts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spacing w:line="440" w:lineRule="exact"/>
              <w:jc w:val="center"/>
              <w:rPr>
                <w:rStyle w:val="36"/>
                <w:rFonts w:ascii="宋体" w:hAnsi="宋体"/>
              </w:rPr>
            </w:pPr>
            <w:r>
              <w:rPr>
                <w:rStyle w:val="36"/>
                <w:rFonts w:hint="eastAsia" w:ascii="宋体" w:hAnsi="宋体"/>
              </w:rPr>
              <w:t>非流动资产（万元）</w:t>
            </w:r>
          </w:p>
        </w:tc>
        <w:tc>
          <w:tcPr>
            <w:tcW w:w="2322" w:type="dxa"/>
          </w:tcPr>
          <w:p w14:paraId="3D9817DD">
            <w:pPr>
              <w:spacing w:line="440" w:lineRule="exact"/>
              <w:jc w:val="center"/>
              <w:rPr>
                <w:rStyle w:val="36"/>
                <w:rFonts w:ascii="宋体" w:hAnsi="宋体"/>
              </w:rPr>
            </w:pPr>
          </w:p>
        </w:tc>
        <w:tc>
          <w:tcPr>
            <w:tcW w:w="2322" w:type="dxa"/>
          </w:tcPr>
          <w:p w14:paraId="0B304EBF">
            <w:pPr>
              <w:spacing w:line="440" w:lineRule="exact"/>
              <w:jc w:val="center"/>
              <w:rPr>
                <w:rStyle w:val="36"/>
                <w:rFonts w:ascii="宋体" w:hAnsi="宋体"/>
              </w:rPr>
            </w:pPr>
          </w:p>
        </w:tc>
        <w:tc>
          <w:tcPr>
            <w:tcW w:w="2322" w:type="dxa"/>
          </w:tcPr>
          <w:p w14:paraId="5572AFAB">
            <w:pPr>
              <w:spacing w:line="440" w:lineRule="exact"/>
              <w:jc w:val="center"/>
              <w:rPr>
                <w:rStyle w:val="36"/>
                <w:rFonts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spacing w:line="440" w:lineRule="exact"/>
              <w:jc w:val="center"/>
              <w:rPr>
                <w:rStyle w:val="36"/>
                <w:rFonts w:ascii="宋体" w:hAnsi="宋体"/>
              </w:rPr>
            </w:pPr>
            <w:r>
              <w:rPr>
                <w:rStyle w:val="36"/>
                <w:rFonts w:hint="eastAsia" w:ascii="宋体" w:hAnsi="宋体"/>
              </w:rPr>
              <w:t>营业收入（万元）</w:t>
            </w:r>
          </w:p>
        </w:tc>
        <w:tc>
          <w:tcPr>
            <w:tcW w:w="2322" w:type="dxa"/>
          </w:tcPr>
          <w:p w14:paraId="7B7A0DA1">
            <w:pPr>
              <w:spacing w:line="440" w:lineRule="exact"/>
              <w:jc w:val="center"/>
              <w:rPr>
                <w:rStyle w:val="36"/>
                <w:rFonts w:ascii="宋体" w:hAnsi="宋体"/>
              </w:rPr>
            </w:pPr>
          </w:p>
        </w:tc>
        <w:tc>
          <w:tcPr>
            <w:tcW w:w="2322" w:type="dxa"/>
          </w:tcPr>
          <w:p w14:paraId="115B4F99">
            <w:pPr>
              <w:spacing w:line="440" w:lineRule="exact"/>
              <w:jc w:val="center"/>
              <w:rPr>
                <w:rStyle w:val="36"/>
                <w:rFonts w:ascii="宋体" w:hAnsi="宋体"/>
              </w:rPr>
            </w:pPr>
          </w:p>
        </w:tc>
        <w:tc>
          <w:tcPr>
            <w:tcW w:w="2322" w:type="dxa"/>
          </w:tcPr>
          <w:p w14:paraId="4CF0538B">
            <w:pPr>
              <w:spacing w:line="440" w:lineRule="exact"/>
              <w:jc w:val="center"/>
              <w:rPr>
                <w:rStyle w:val="36"/>
                <w:rFonts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spacing w:line="440" w:lineRule="exact"/>
              <w:jc w:val="center"/>
              <w:rPr>
                <w:rStyle w:val="36"/>
                <w:rFonts w:ascii="宋体" w:hAnsi="宋体"/>
              </w:rPr>
            </w:pPr>
            <w:r>
              <w:rPr>
                <w:rStyle w:val="36"/>
                <w:rFonts w:hint="eastAsia" w:ascii="宋体" w:hAnsi="宋体"/>
              </w:rPr>
              <w:t>年底资产总值（万元）</w:t>
            </w:r>
          </w:p>
        </w:tc>
        <w:tc>
          <w:tcPr>
            <w:tcW w:w="2322" w:type="dxa"/>
          </w:tcPr>
          <w:p w14:paraId="6EB220BA">
            <w:pPr>
              <w:spacing w:line="440" w:lineRule="exact"/>
              <w:jc w:val="center"/>
              <w:rPr>
                <w:rStyle w:val="36"/>
                <w:rFonts w:ascii="宋体" w:hAnsi="宋体"/>
              </w:rPr>
            </w:pPr>
          </w:p>
        </w:tc>
        <w:tc>
          <w:tcPr>
            <w:tcW w:w="2322" w:type="dxa"/>
          </w:tcPr>
          <w:p w14:paraId="3D59A82A">
            <w:pPr>
              <w:spacing w:line="440" w:lineRule="exact"/>
              <w:jc w:val="center"/>
              <w:rPr>
                <w:rStyle w:val="36"/>
                <w:rFonts w:ascii="宋体" w:hAnsi="宋体"/>
              </w:rPr>
            </w:pPr>
          </w:p>
        </w:tc>
        <w:tc>
          <w:tcPr>
            <w:tcW w:w="2322" w:type="dxa"/>
          </w:tcPr>
          <w:p w14:paraId="020B1A70">
            <w:pPr>
              <w:spacing w:line="440" w:lineRule="exact"/>
              <w:jc w:val="center"/>
              <w:rPr>
                <w:rStyle w:val="36"/>
                <w:rFonts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spacing w:line="440" w:lineRule="exact"/>
              <w:jc w:val="center"/>
              <w:rPr>
                <w:rStyle w:val="36"/>
                <w:rFonts w:ascii="宋体" w:hAnsi="宋体"/>
              </w:rPr>
            </w:pPr>
            <w:r>
              <w:rPr>
                <w:rStyle w:val="36"/>
                <w:rFonts w:hint="eastAsia" w:ascii="宋体" w:hAnsi="宋体"/>
              </w:rPr>
              <w:t>年底负债总值（万元）</w:t>
            </w:r>
          </w:p>
        </w:tc>
        <w:tc>
          <w:tcPr>
            <w:tcW w:w="2322" w:type="dxa"/>
          </w:tcPr>
          <w:p w14:paraId="447B3205">
            <w:pPr>
              <w:spacing w:line="440" w:lineRule="exact"/>
              <w:jc w:val="center"/>
              <w:rPr>
                <w:rStyle w:val="36"/>
                <w:rFonts w:ascii="宋体" w:hAnsi="宋体"/>
              </w:rPr>
            </w:pPr>
          </w:p>
        </w:tc>
        <w:tc>
          <w:tcPr>
            <w:tcW w:w="2322" w:type="dxa"/>
          </w:tcPr>
          <w:p w14:paraId="6036ABA6">
            <w:pPr>
              <w:spacing w:line="440" w:lineRule="exact"/>
              <w:jc w:val="center"/>
              <w:rPr>
                <w:rStyle w:val="36"/>
                <w:rFonts w:ascii="宋体" w:hAnsi="宋体"/>
              </w:rPr>
            </w:pPr>
          </w:p>
        </w:tc>
        <w:tc>
          <w:tcPr>
            <w:tcW w:w="2322" w:type="dxa"/>
          </w:tcPr>
          <w:p w14:paraId="3A86D7BB">
            <w:pPr>
              <w:spacing w:line="440" w:lineRule="exact"/>
              <w:jc w:val="center"/>
              <w:rPr>
                <w:rStyle w:val="36"/>
                <w:rFonts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spacing w:line="440" w:lineRule="exact"/>
              <w:jc w:val="center"/>
              <w:rPr>
                <w:rStyle w:val="36"/>
                <w:rFonts w:ascii="宋体" w:hAnsi="宋体"/>
              </w:rPr>
            </w:pPr>
            <w:r>
              <w:rPr>
                <w:rStyle w:val="36"/>
                <w:rFonts w:ascii="宋体" w:hAnsi="宋体"/>
              </w:rPr>
              <w:t>资产负债率</w:t>
            </w:r>
            <w:r>
              <w:rPr>
                <w:rStyle w:val="36"/>
                <w:rFonts w:hint="eastAsia" w:ascii="宋体" w:hAnsi="宋体"/>
              </w:rPr>
              <w:t>（</w:t>
            </w:r>
            <w:r>
              <w:rPr>
                <w:rStyle w:val="36"/>
                <w:rFonts w:hint="eastAsia" w:ascii="宋体" w:hAnsi="宋体"/>
                <w:u w:val="single"/>
              </w:rPr>
              <w:t xml:space="preserve">  </w:t>
            </w:r>
            <w:r>
              <w:rPr>
                <w:rStyle w:val="36"/>
                <w:rFonts w:hint="eastAsia" w:ascii="宋体" w:hAnsi="宋体"/>
              </w:rPr>
              <w:t>%）</w:t>
            </w:r>
          </w:p>
        </w:tc>
        <w:tc>
          <w:tcPr>
            <w:tcW w:w="2322" w:type="dxa"/>
          </w:tcPr>
          <w:p w14:paraId="52C6AF3A">
            <w:pPr>
              <w:spacing w:line="440" w:lineRule="exact"/>
              <w:jc w:val="center"/>
              <w:rPr>
                <w:rStyle w:val="36"/>
                <w:rFonts w:ascii="宋体" w:hAnsi="宋体"/>
              </w:rPr>
            </w:pPr>
          </w:p>
        </w:tc>
        <w:tc>
          <w:tcPr>
            <w:tcW w:w="2322" w:type="dxa"/>
          </w:tcPr>
          <w:p w14:paraId="0CD28754">
            <w:pPr>
              <w:spacing w:line="440" w:lineRule="exact"/>
              <w:jc w:val="center"/>
              <w:rPr>
                <w:rStyle w:val="36"/>
                <w:rFonts w:ascii="宋体" w:hAnsi="宋体"/>
              </w:rPr>
            </w:pPr>
          </w:p>
        </w:tc>
        <w:tc>
          <w:tcPr>
            <w:tcW w:w="2322" w:type="dxa"/>
          </w:tcPr>
          <w:p w14:paraId="525245D6">
            <w:pPr>
              <w:spacing w:line="440" w:lineRule="exact"/>
              <w:jc w:val="center"/>
              <w:rPr>
                <w:rStyle w:val="36"/>
                <w:rFonts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spacing w:line="440" w:lineRule="exact"/>
              <w:jc w:val="center"/>
              <w:rPr>
                <w:rStyle w:val="36"/>
                <w:rFonts w:ascii="宋体" w:hAnsi="宋体"/>
              </w:rPr>
            </w:pPr>
            <w:r>
              <w:rPr>
                <w:rStyle w:val="36"/>
                <w:rFonts w:hint="eastAsia" w:ascii="宋体" w:hAnsi="宋体"/>
              </w:rPr>
              <w:t>净利润（万元）</w:t>
            </w:r>
          </w:p>
        </w:tc>
        <w:tc>
          <w:tcPr>
            <w:tcW w:w="2322" w:type="dxa"/>
          </w:tcPr>
          <w:p w14:paraId="39AB1DB8">
            <w:pPr>
              <w:spacing w:line="440" w:lineRule="exact"/>
              <w:jc w:val="center"/>
              <w:rPr>
                <w:rStyle w:val="36"/>
                <w:rFonts w:ascii="宋体" w:hAnsi="宋体"/>
              </w:rPr>
            </w:pPr>
          </w:p>
        </w:tc>
        <w:tc>
          <w:tcPr>
            <w:tcW w:w="2322" w:type="dxa"/>
          </w:tcPr>
          <w:p w14:paraId="529EBD13">
            <w:pPr>
              <w:spacing w:line="440" w:lineRule="exact"/>
              <w:jc w:val="center"/>
              <w:rPr>
                <w:rStyle w:val="36"/>
                <w:rFonts w:ascii="宋体" w:hAnsi="宋体"/>
              </w:rPr>
            </w:pPr>
          </w:p>
        </w:tc>
        <w:tc>
          <w:tcPr>
            <w:tcW w:w="2322" w:type="dxa"/>
          </w:tcPr>
          <w:p w14:paraId="1C7A71F1">
            <w:pPr>
              <w:spacing w:line="440" w:lineRule="exact"/>
              <w:jc w:val="center"/>
              <w:rPr>
                <w:rStyle w:val="36"/>
                <w:rFonts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spacing w:line="440" w:lineRule="exact"/>
              <w:jc w:val="center"/>
              <w:rPr>
                <w:rStyle w:val="36"/>
                <w:rFonts w:ascii="宋体" w:hAnsi="宋体"/>
              </w:rPr>
            </w:pPr>
            <w:r>
              <w:rPr>
                <w:rStyle w:val="36"/>
                <w:rFonts w:hint="eastAsia" w:ascii="宋体" w:hAnsi="宋体"/>
              </w:rPr>
              <w:t>未分配利润（万元）</w:t>
            </w:r>
          </w:p>
        </w:tc>
        <w:tc>
          <w:tcPr>
            <w:tcW w:w="2322" w:type="dxa"/>
          </w:tcPr>
          <w:p w14:paraId="24FF75A7">
            <w:pPr>
              <w:spacing w:line="440" w:lineRule="exact"/>
              <w:jc w:val="center"/>
              <w:rPr>
                <w:rStyle w:val="36"/>
                <w:rFonts w:ascii="宋体" w:hAnsi="宋体"/>
              </w:rPr>
            </w:pPr>
          </w:p>
        </w:tc>
        <w:tc>
          <w:tcPr>
            <w:tcW w:w="2322" w:type="dxa"/>
          </w:tcPr>
          <w:p w14:paraId="19D63F46">
            <w:pPr>
              <w:spacing w:line="440" w:lineRule="exact"/>
              <w:jc w:val="center"/>
              <w:rPr>
                <w:rStyle w:val="36"/>
                <w:rFonts w:ascii="宋体" w:hAnsi="宋体"/>
              </w:rPr>
            </w:pPr>
          </w:p>
        </w:tc>
        <w:tc>
          <w:tcPr>
            <w:tcW w:w="2322" w:type="dxa"/>
          </w:tcPr>
          <w:p w14:paraId="38B7B44E">
            <w:pPr>
              <w:spacing w:line="440" w:lineRule="exact"/>
              <w:jc w:val="center"/>
              <w:rPr>
                <w:rStyle w:val="36"/>
                <w:rFonts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spacing w:line="440" w:lineRule="exact"/>
              <w:jc w:val="center"/>
              <w:rPr>
                <w:rFonts w:ascii="宋体" w:hAnsi="宋体"/>
              </w:rPr>
            </w:pPr>
            <w:r>
              <w:rPr>
                <w:rStyle w:val="36"/>
                <w:rFonts w:hint="eastAsia" w:ascii="宋体" w:hAnsi="宋体"/>
              </w:rPr>
              <w:t>营运</w:t>
            </w:r>
            <w:r>
              <w:rPr>
                <w:rStyle w:val="36"/>
                <w:rFonts w:ascii="宋体" w:hAnsi="宋体"/>
              </w:rPr>
              <w:t>资</w:t>
            </w:r>
            <w:r>
              <w:rPr>
                <w:rStyle w:val="36"/>
                <w:rFonts w:hint="eastAsia" w:ascii="宋体" w:hAnsi="宋体"/>
              </w:rPr>
              <w:t>金</w:t>
            </w:r>
          </w:p>
        </w:tc>
        <w:tc>
          <w:tcPr>
            <w:tcW w:w="2322" w:type="dxa"/>
          </w:tcPr>
          <w:p w14:paraId="0E36FEFD">
            <w:pPr>
              <w:spacing w:line="440" w:lineRule="exact"/>
              <w:jc w:val="center"/>
              <w:rPr>
                <w:rStyle w:val="36"/>
                <w:rFonts w:ascii="宋体" w:hAnsi="宋体"/>
              </w:rPr>
            </w:pPr>
          </w:p>
        </w:tc>
        <w:tc>
          <w:tcPr>
            <w:tcW w:w="2322" w:type="dxa"/>
          </w:tcPr>
          <w:p w14:paraId="35C27A90">
            <w:pPr>
              <w:spacing w:line="440" w:lineRule="exact"/>
              <w:jc w:val="center"/>
              <w:rPr>
                <w:rStyle w:val="36"/>
                <w:rFonts w:ascii="宋体" w:hAnsi="宋体"/>
              </w:rPr>
            </w:pPr>
          </w:p>
        </w:tc>
        <w:tc>
          <w:tcPr>
            <w:tcW w:w="2322" w:type="dxa"/>
          </w:tcPr>
          <w:p w14:paraId="5A79310D">
            <w:pPr>
              <w:spacing w:line="440" w:lineRule="exact"/>
              <w:jc w:val="center"/>
              <w:rPr>
                <w:rStyle w:val="36"/>
                <w:rFonts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spacing w:line="440" w:lineRule="exact"/>
              <w:jc w:val="center"/>
              <w:rPr>
                <w:rFonts w:ascii="宋体" w:hAnsi="宋体"/>
              </w:rPr>
            </w:pPr>
            <w:r>
              <w:rPr>
                <w:rStyle w:val="36"/>
                <w:rFonts w:hint="eastAsia" w:ascii="宋体" w:hAnsi="宋体"/>
              </w:rPr>
              <w:t>（本年营业收入-上年营业收入）÷上年营业收入</w:t>
            </w:r>
          </w:p>
        </w:tc>
        <w:tc>
          <w:tcPr>
            <w:tcW w:w="2322" w:type="dxa"/>
          </w:tcPr>
          <w:p w14:paraId="72C27644">
            <w:pPr>
              <w:spacing w:line="440" w:lineRule="exact"/>
              <w:jc w:val="center"/>
              <w:rPr>
                <w:rStyle w:val="36"/>
                <w:rFonts w:ascii="宋体" w:hAnsi="宋体"/>
              </w:rPr>
            </w:pPr>
          </w:p>
        </w:tc>
        <w:tc>
          <w:tcPr>
            <w:tcW w:w="2322" w:type="dxa"/>
          </w:tcPr>
          <w:p w14:paraId="27C33886">
            <w:pPr>
              <w:spacing w:line="440" w:lineRule="exact"/>
              <w:jc w:val="center"/>
              <w:rPr>
                <w:rStyle w:val="36"/>
                <w:rFonts w:ascii="宋体" w:hAnsi="宋体"/>
              </w:rPr>
            </w:pPr>
          </w:p>
        </w:tc>
        <w:tc>
          <w:tcPr>
            <w:tcW w:w="2322" w:type="dxa"/>
          </w:tcPr>
          <w:p w14:paraId="65E50F10">
            <w:pPr>
              <w:spacing w:line="440" w:lineRule="exact"/>
              <w:jc w:val="center"/>
              <w:rPr>
                <w:rStyle w:val="36"/>
                <w:rFonts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tbl>
      <w:tblPr>
        <w:tblStyle w:val="23"/>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5C2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CBBD1FD">
            <w:pPr>
              <w:autoSpaceDE w:val="0"/>
              <w:autoSpaceDN w:val="0"/>
              <w:jc w:val="center"/>
              <w:rPr>
                <w:b/>
                <w:bCs/>
                <w:sz w:val="30"/>
                <w:szCs w:val="30"/>
              </w:rPr>
            </w:pPr>
            <w:r>
              <w:rPr>
                <w:rFonts w:hint="eastAsia"/>
                <w:b/>
                <w:bCs/>
                <w:sz w:val="28"/>
                <w:szCs w:val="28"/>
              </w:rPr>
              <w:t>近三年类似</w:t>
            </w:r>
            <w:r>
              <w:rPr>
                <w:b/>
                <w:bCs/>
                <w:sz w:val="28"/>
                <w:szCs w:val="28"/>
              </w:rPr>
              <w:t>业绩</w:t>
            </w:r>
            <w:r>
              <w:rPr>
                <w:rFonts w:hint="eastAsia"/>
                <w:b/>
                <w:bCs/>
                <w:sz w:val="28"/>
                <w:szCs w:val="28"/>
              </w:rPr>
              <w:t>列表</w:t>
            </w:r>
          </w:p>
        </w:tc>
      </w:tr>
      <w:tr w14:paraId="51B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9DF1151">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23160123">
            <w:pPr>
              <w:autoSpaceDE w:val="0"/>
              <w:autoSpaceDN w:val="0"/>
              <w:jc w:val="center"/>
              <w:rPr>
                <w:sz w:val="24"/>
              </w:rPr>
            </w:pPr>
            <w:r>
              <w:rPr>
                <w:rFonts w:hint="eastAsia"/>
                <w:sz w:val="24"/>
              </w:rPr>
              <w:t>项目/合同</w:t>
            </w:r>
          </w:p>
          <w:p w14:paraId="7B03D957">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5D3579C">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FA95E8B">
            <w:pPr>
              <w:autoSpaceDE w:val="0"/>
              <w:autoSpaceDN w:val="0"/>
              <w:jc w:val="center"/>
              <w:rPr>
                <w:sz w:val="24"/>
              </w:rPr>
            </w:pPr>
            <w:r>
              <w:rPr>
                <w:rFonts w:hint="eastAsia"/>
                <w:sz w:val="24"/>
              </w:rPr>
              <w:t>工程规模（面积㎡）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F696AD">
            <w:pPr>
              <w:autoSpaceDE w:val="0"/>
              <w:autoSpaceDN w:val="0"/>
              <w:jc w:val="center"/>
              <w:rPr>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6548BDD">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611227D4">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420BA470">
            <w:pPr>
              <w:autoSpaceDE w:val="0"/>
              <w:autoSpaceDN w:val="0"/>
              <w:jc w:val="center"/>
              <w:rPr>
                <w:sz w:val="24"/>
              </w:rPr>
            </w:pPr>
            <w:r>
              <w:rPr>
                <w:rFonts w:hint="eastAsia"/>
                <w:sz w:val="24"/>
              </w:rPr>
              <w:t>开竣工时间</w:t>
            </w:r>
          </w:p>
        </w:tc>
      </w:tr>
      <w:tr w14:paraId="60C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706DEB9">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5048559D">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28D035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277315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D03079A">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816A03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564FEA">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3F3D3C47">
            <w:pPr>
              <w:autoSpaceDE w:val="0"/>
              <w:autoSpaceDN w:val="0"/>
              <w:rPr>
                <w:sz w:val="24"/>
              </w:rPr>
            </w:pPr>
          </w:p>
        </w:tc>
      </w:tr>
      <w:tr w14:paraId="10A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B0CC3E">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663FDFB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1D303A6">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217249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91D07B0">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DC59E0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EBB7896">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493E0926">
            <w:pPr>
              <w:autoSpaceDE w:val="0"/>
              <w:autoSpaceDN w:val="0"/>
              <w:jc w:val="center"/>
              <w:rPr>
                <w:sz w:val="24"/>
              </w:rPr>
            </w:pPr>
          </w:p>
        </w:tc>
      </w:tr>
      <w:tr w14:paraId="357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8A08E98">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02B419B2">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3D5253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37BE455B">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76142C4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4AACEE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D6747CB">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76181B1">
            <w:pPr>
              <w:autoSpaceDE w:val="0"/>
              <w:autoSpaceDN w:val="0"/>
              <w:jc w:val="center"/>
              <w:rPr>
                <w:sz w:val="24"/>
              </w:rPr>
            </w:pPr>
          </w:p>
        </w:tc>
      </w:tr>
      <w:tr w14:paraId="0A9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1583149">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636712A">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7895D389">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66943BE">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CE0038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72ABAE9">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866D9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33CB521">
            <w:pPr>
              <w:autoSpaceDE w:val="0"/>
              <w:autoSpaceDN w:val="0"/>
              <w:jc w:val="center"/>
              <w:rPr>
                <w:sz w:val="24"/>
              </w:rPr>
            </w:pPr>
          </w:p>
        </w:tc>
      </w:tr>
      <w:tr w14:paraId="61FE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47E5FF">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8137AC3">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CE0473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ACCEFD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37CE6D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7E8743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2003029">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CA4EC1E">
            <w:pPr>
              <w:autoSpaceDE w:val="0"/>
              <w:autoSpaceDN w:val="0"/>
              <w:rPr>
                <w:sz w:val="24"/>
              </w:rPr>
            </w:pPr>
          </w:p>
        </w:tc>
      </w:tr>
      <w:tr w14:paraId="3FD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7FA68E">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1DDFF45B">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C8DCA95">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49BD619">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D4FC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0CC07E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BD1D4D6">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3EFA8BC">
            <w:pPr>
              <w:autoSpaceDE w:val="0"/>
              <w:autoSpaceDN w:val="0"/>
              <w:rPr>
                <w:sz w:val="24"/>
              </w:rPr>
            </w:pPr>
          </w:p>
        </w:tc>
      </w:tr>
    </w:tbl>
    <w:p w14:paraId="70782D03">
      <w:pPr>
        <w:rPr>
          <w:rFonts w:ascii="宋体" w:hAnsi="宋体"/>
          <w:kern w:val="0"/>
          <w:sz w:val="24"/>
          <w:szCs w:val="21"/>
          <w:lang w:bidi="en-US"/>
        </w:rPr>
      </w:pPr>
    </w:p>
    <w:p w14:paraId="760B78E3">
      <w:pPr>
        <w:rPr>
          <w:rFonts w:ascii="宋体" w:cs="宋体"/>
          <w:sz w:val="24"/>
        </w:rPr>
      </w:pPr>
      <w:r>
        <w:rPr>
          <w:rFonts w:hint="eastAsia" w:ascii="宋体" w:cs="宋体"/>
          <w:sz w:val="24"/>
          <w:lang w:val="en-US" w:eastAsia="zh-CN"/>
        </w:rPr>
        <w:t>类似业绩指</w:t>
      </w:r>
      <w:r>
        <w:rPr>
          <w:rFonts w:hint="eastAsia" w:ascii="宋体" w:cs="宋体"/>
          <w:sz w:val="24"/>
        </w:rPr>
        <w:t>近三年（2022年4月1日至今）</w:t>
      </w:r>
      <w:r>
        <w:rPr>
          <w:rFonts w:hint="eastAsia" w:ascii="宋体" w:cs="宋体"/>
          <w:sz w:val="24"/>
          <w:lang w:val="en-US" w:eastAsia="zh-CN"/>
        </w:rPr>
        <w:t>单项合同额</w:t>
      </w:r>
      <w:r>
        <w:rPr>
          <w:rFonts w:hint="eastAsia" w:ascii="宋体" w:cs="宋体"/>
          <w:sz w:val="24"/>
        </w:rPr>
        <w:t>不少于200万元的工业项目设备基础、配电改造等类似业绩</w:t>
      </w:r>
      <w:r>
        <w:rPr>
          <w:rFonts w:hint="eastAsia" w:ascii="宋体" w:cs="宋体"/>
          <w:sz w:val="24"/>
          <w:lang w:eastAsia="zh-CN"/>
        </w:rPr>
        <w:t>。</w:t>
      </w:r>
      <w:r>
        <w:rPr>
          <w:rFonts w:hint="eastAsia" w:ascii="宋体" w:cs="宋体"/>
          <w:sz w:val="24"/>
        </w:rPr>
        <w:br w:type="page"/>
      </w:r>
    </w:p>
    <w:p w14:paraId="679ADDCD">
      <w:pPr>
        <w:pStyle w:val="22"/>
        <w:widowControl/>
        <w:ind w:left="0" w:leftChars="0" w:firstLine="0" w:firstLineChars="0"/>
        <w:rPr>
          <w:rFonts w:ascii="宋体"/>
          <w:b/>
          <w:iCs/>
          <w:sz w:val="36"/>
          <w:szCs w:val="20"/>
        </w:rPr>
      </w:pPr>
      <w:r>
        <w:rPr>
          <w:rFonts w:hint="eastAsia" w:ascii="宋体" w:cs="宋体"/>
          <w:sz w:val="24"/>
        </w:rPr>
        <w:t>附件3</w:t>
      </w:r>
    </w:p>
    <w:p w14:paraId="11871AC8">
      <w:pPr>
        <w:pStyle w:val="19"/>
        <w:snapToGrid w:val="0"/>
      </w:pPr>
      <w:bookmarkStart w:id="11" w:name="_Toc20729"/>
      <w:bookmarkStart w:id="12" w:name="_Toc5225"/>
      <w:bookmarkStart w:id="13" w:name="_Toc7701"/>
      <w:bookmarkStart w:id="14" w:name="_Toc3889"/>
      <w:bookmarkStart w:id="15" w:name="_Toc6557"/>
      <w:r>
        <w:rPr>
          <w:b w:val="0"/>
        </w:rPr>
        <w:t>非生产供应商注册操作手册</w:t>
      </w:r>
      <w:bookmarkEnd w:id="11"/>
      <w:bookmarkEnd w:id="12"/>
      <w:bookmarkEnd w:id="13"/>
      <w:bookmarkEnd w:id="14"/>
      <w:bookmarkEnd w:id="15"/>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5"/>
        <w:ind w:left="560" w:firstLine="0" w:firstLineChars="0"/>
        <w:rPr>
          <w:szCs w:val="21"/>
        </w:rPr>
      </w:pPr>
      <w:r>
        <w:rPr>
          <w:szCs w:val="21"/>
        </w:rPr>
        <w:t>3</w:t>
      </w:r>
      <w:r>
        <w:rPr>
          <w:rFonts w:hint="eastAsia" w:ascii="宋体"/>
          <w:szCs w:val="21"/>
        </w:rPr>
        <w:t>）页面规则</w:t>
      </w:r>
    </w:p>
    <w:p w14:paraId="59343CFD">
      <w:pPr>
        <w:pStyle w:val="4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5"/>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5"/>
        <w:numPr>
          <w:ilvl w:val="0"/>
          <w:numId w:val="2"/>
        </w:numPr>
        <w:ind w:firstLine="420"/>
        <w:rPr>
          <w:szCs w:val="21"/>
        </w:rPr>
      </w:pPr>
      <w:r>
        <w:rPr>
          <w:rFonts w:hint="eastAsia" w:ascii="宋体"/>
          <w:szCs w:val="21"/>
        </w:rPr>
        <w:t>页面规则</w:t>
      </w:r>
    </w:p>
    <w:p w14:paraId="640B2235">
      <w:pPr>
        <w:pStyle w:val="45"/>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5"/>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5"/>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7094DA4E">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243B">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1CD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104F92"/>
    <w:rsid w:val="0012657E"/>
    <w:rsid w:val="00132AA3"/>
    <w:rsid w:val="001669D4"/>
    <w:rsid w:val="001B6B36"/>
    <w:rsid w:val="001C3A1C"/>
    <w:rsid w:val="001E4DAC"/>
    <w:rsid w:val="001F3ADA"/>
    <w:rsid w:val="001F6D81"/>
    <w:rsid w:val="002C3BFD"/>
    <w:rsid w:val="00301138"/>
    <w:rsid w:val="003176F0"/>
    <w:rsid w:val="003754B9"/>
    <w:rsid w:val="00382A60"/>
    <w:rsid w:val="003831FC"/>
    <w:rsid w:val="003A1AF0"/>
    <w:rsid w:val="003B6CAA"/>
    <w:rsid w:val="003E23C8"/>
    <w:rsid w:val="004111B8"/>
    <w:rsid w:val="0042405C"/>
    <w:rsid w:val="00505719"/>
    <w:rsid w:val="005316E6"/>
    <w:rsid w:val="005862AC"/>
    <w:rsid w:val="005D75AE"/>
    <w:rsid w:val="00612F27"/>
    <w:rsid w:val="00631CA6"/>
    <w:rsid w:val="0063599B"/>
    <w:rsid w:val="006803FC"/>
    <w:rsid w:val="00702E5D"/>
    <w:rsid w:val="007E300E"/>
    <w:rsid w:val="00852B0D"/>
    <w:rsid w:val="008A238E"/>
    <w:rsid w:val="00924BCD"/>
    <w:rsid w:val="00974111"/>
    <w:rsid w:val="009D1308"/>
    <w:rsid w:val="00A2096D"/>
    <w:rsid w:val="00A2552F"/>
    <w:rsid w:val="00A72C3B"/>
    <w:rsid w:val="00A93436"/>
    <w:rsid w:val="00A9489F"/>
    <w:rsid w:val="00A97E81"/>
    <w:rsid w:val="00B17A04"/>
    <w:rsid w:val="00B40DC3"/>
    <w:rsid w:val="00B52321"/>
    <w:rsid w:val="00B75784"/>
    <w:rsid w:val="00B8163F"/>
    <w:rsid w:val="00BD350D"/>
    <w:rsid w:val="00BD430C"/>
    <w:rsid w:val="00D02047"/>
    <w:rsid w:val="00D4065C"/>
    <w:rsid w:val="00DB489A"/>
    <w:rsid w:val="00DD0B78"/>
    <w:rsid w:val="00DE195E"/>
    <w:rsid w:val="00E66FA8"/>
    <w:rsid w:val="00E67CF4"/>
    <w:rsid w:val="00E73B54"/>
    <w:rsid w:val="00E956C3"/>
    <w:rsid w:val="00EB17EE"/>
    <w:rsid w:val="00EF16FF"/>
    <w:rsid w:val="00F025EA"/>
    <w:rsid w:val="00F27BDB"/>
    <w:rsid w:val="00F602C2"/>
    <w:rsid w:val="00FE03BA"/>
    <w:rsid w:val="013B4944"/>
    <w:rsid w:val="0143280E"/>
    <w:rsid w:val="01475930"/>
    <w:rsid w:val="015A74AA"/>
    <w:rsid w:val="01D71174"/>
    <w:rsid w:val="01E07299"/>
    <w:rsid w:val="0201716B"/>
    <w:rsid w:val="022766A9"/>
    <w:rsid w:val="024C263E"/>
    <w:rsid w:val="02531E27"/>
    <w:rsid w:val="02985DB7"/>
    <w:rsid w:val="02C602A8"/>
    <w:rsid w:val="02CF69B1"/>
    <w:rsid w:val="037E603E"/>
    <w:rsid w:val="03A16026"/>
    <w:rsid w:val="03CB7D0A"/>
    <w:rsid w:val="04164081"/>
    <w:rsid w:val="045B6010"/>
    <w:rsid w:val="049338D7"/>
    <w:rsid w:val="04B211F2"/>
    <w:rsid w:val="04F27A0F"/>
    <w:rsid w:val="053A3164"/>
    <w:rsid w:val="055D0D8E"/>
    <w:rsid w:val="05AD6675"/>
    <w:rsid w:val="05BA607B"/>
    <w:rsid w:val="05F2028D"/>
    <w:rsid w:val="05FF1DAE"/>
    <w:rsid w:val="063E20E3"/>
    <w:rsid w:val="066E2587"/>
    <w:rsid w:val="06862B05"/>
    <w:rsid w:val="069A266D"/>
    <w:rsid w:val="06AA6409"/>
    <w:rsid w:val="06E44281"/>
    <w:rsid w:val="07014810"/>
    <w:rsid w:val="0733461A"/>
    <w:rsid w:val="07484B91"/>
    <w:rsid w:val="07A8603F"/>
    <w:rsid w:val="07C1191B"/>
    <w:rsid w:val="07DA7F0D"/>
    <w:rsid w:val="08033923"/>
    <w:rsid w:val="081F1F8D"/>
    <w:rsid w:val="084A19AA"/>
    <w:rsid w:val="088B6AD7"/>
    <w:rsid w:val="08B4006C"/>
    <w:rsid w:val="08E22CC1"/>
    <w:rsid w:val="09063BDE"/>
    <w:rsid w:val="09502F56"/>
    <w:rsid w:val="09977F89"/>
    <w:rsid w:val="09A15D2F"/>
    <w:rsid w:val="09B01C47"/>
    <w:rsid w:val="09C15C02"/>
    <w:rsid w:val="09F2037E"/>
    <w:rsid w:val="09F26440"/>
    <w:rsid w:val="0A1D791A"/>
    <w:rsid w:val="0A4249CA"/>
    <w:rsid w:val="0AA413E9"/>
    <w:rsid w:val="0AE147AE"/>
    <w:rsid w:val="0B062F42"/>
    <w:rsid w:val="0B0653F7"/>
    <w:rsid w:val="0B332B30"/>
    <w:rsid w:val="0B446A99"/>
    <w:rsid w:val="0B5F3D2C"/>
    <w:rsid w:val="0B7373D0"/>
    <w:rsid w:val="0C0A151E"/>
    <w:rsid w:val="0C2F6CB1"/>
    <w:rsid w:val="0C49267E"/>
    <w:rsid w:val="0C69668F"/>
    <w:rsid w:val="0C9C460A"/>
    <w:rsid w:val="0CD14217"/>
    <w:rsid w:val="0D417786"/>
    <w:rsid w:val="0D776204"/>
    <w:rsid w:val="0D8862D3"/>
    <w:rsid w:val="0D933AC8"/>
    <w:rsid w:val="0D945EE0"/>
    <w:rsid w:val="0D9A51F4"/>
    <w:rsid w:val="0DEF595D"/>
    <w:rsid w:val="0DF014C3"/>
    <w:rsid w:val="0DF26BF3"/>
    <w:rsid w:val="0E230ED5"/>
    <w:rsid w:val="0E801780"/>
    <w:rsid w:val="0EB946B8"/>
    <w:rsid w:val="0ED174EF"/>
    <w:rsid w:val="0ED65CAC"/>
    <w:rsid w:val="0EF71212"/>
    <w:rsid w:val="0F125B2D"/>
    <w:rsid w:val="0FB35025"/>
    <w:rsid w:val="0FB51777"/>
    <w:rsid w:val="0FBD0D96"/>
    <w:rsid w:val="0FC562C3"/>
    <w:rsid w:val="0FE31AF2"/>
    <w:rsid w:val="101914A3"/>
    <w:rsid w:val="103C5FE2"/>
    <w:rsid w:val="104D78DD"/>
    <w:rsid w:val="10825588"/>
    <w:rsid w:val="10D601E5"/>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94569F"/>
    <w:rsid w:val="1EA551C0"/>
    <w:rsid w:val="1EBD551E"/>
    <w:rsid w:val="1EDC27EF"/>
    <w:rsid w:val="1EFB3381"/>
    <w:rsid w:val="1F220A99"/>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2B8599C"/>
    <w:rsid w:val="2332525A"/>
    <w:rsid w:val="23E32EED"/>
    <w:rsid w:val="23F76D95"/>
    <w:rsid w:val="24196FD0"/>
    <w:rsid w:val="245A4C76"/>
    <w:rsid w:val="245D7FBC"/>
    <w:rsid w:val="249C4ADD"/>
    <w:rsid w:val="24D05BE5"/>
    <w:rsid w:val="24EC5DD1"/>
    <w:rsid w:val="25202506"/>
    <w:rsid w:val="258B5E98"/>
    <w:rsid w:val="259F64C7"/>
    <w:rsid w:val="25D37172"/>
    <w:rsid w:val="2685793C"/>
    <w:rsid w:val="27052670"/>
    <w:rsid w:val="2709243A"/>
    <w:rsid w:val="277A580F"/>
    <w:rsid w:val="282F0619"/>
    <w:rsid w:val="28465DDB"/>
    <w:rsid w:val="287A1CEF"/>
    <w:rsid w:val="28983C59"/>
    <w:rsid w:val="28BE2459"/>
    <w:rsid w:val="28CA0D49"/>
    <w:rsid w:val="28F74D45"/>
    <w:rsid w:val="28F758E0"/>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BDE2EF7"/>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4828F8"/>
    <w:rsid w:val="34605E94"/>
    <w:rsid w:val="34755000"/>
    <w:rsid w:val="347F3F05"/>
    <w:rsid w:val="34837B48"/>
    <w:rsid w:val="349255C1"/>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161217"/>
    <w:rsid w:val="395018F6"/>
    <w:rsid w:val="39916AF0"/>
    <w:rsid w:val="399D5494"/>
    <w:rsid w:val="39B53568"/>
    <w:rsid w:val="3A210CE6"/>
    <w:rsid w:val="3A34346A"/>
    <w:rsid w:val="3A3951BD"/>
    <w:rsid w:val="3A8275B3"/>
    <w:rsid w:val="3A9B32F7"/>
    <w:rsid w:val="3AC448FF"/>
    <w:rsid w:val="3B4103CD"/>
    <w:rsid w:val="3B474590"/>
    <w:rsid w:val="3B7304D5"/>
    <w:rsid w:val="3B814510"/>
    <w:rsid w:val="3B822661"/>
    <w:rsid w:val="3BAE7C66"/>
    <w:rsid w:val="3BCD0DCE"/>
    <w:rsid w:val="3BF45F72"/>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8E39C3"/>
    <w:rsid w:val="3F9410E8"/>
    <w:rsid w:val="3F9F6F85"/>
    <w:rsid w:val="40074D14"/>
    <w:rsid w:val="40413E86"/>
    <w:rsid w:val="40782BB5"/>
    <w:rsid w:val="40864196"/>
    <w:rsid w:val="40D35740"/>
    <w:rsid w:val="40DB29AD"/>
    <w:rsid w:val="40F3190F"/>
    <w:rsid w:val="41286C44"/>
    <w:rsid w:val="417D488E"/>
    <w:rsid w:val="417D61FB"/>
    <w:rsid w:val="41817A57"/>
    <w:rsid w:val="418E3FCE"/>
    <w:rsid w:val="41942815"/>
    <w:rsid w:val="41D03EDA"/>
    <w:rsid w:val="41D626A7"/>
    <w:rsid w:val="41F84714"/>
    <w:rsid w:val="424233D5"/>
    <w:rsid w:val="424E7922"/>
    <w:rsid w:val="42A933F4"/>
    <w:rsid w:val="42FE40ED"/>
    <w:rsid w:val="434B7D0F"/>
    <w:rsid w:val="43FB581A"/>
    <w:rsid w:val="443A7A13"/>
    <w:rsid w:val="444147B5"/>
    <w:rsid w:val="44977AA4"/>
    <w:rsid w:val="44A60DA1"/>
    <w:rsid w:val="44D97F2B"/>
    <w:rsid w:val="44E855C1"/>
    <w:rsid w:val="456F7CFB"/>
    <w:rsid w:val="457A48DC"/>
    <w:rsid w:val="45BC56A3"/>
    <w:rsid w:val="460821D9"/>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88B752C"/>
    <w:rsid w:val="49050FB9"/>
    <w:rsid w:val="491017DF"/>
    <w:rsid w:val="495D4852"/>
    <w:rsid w:val="496930A0"/>
    <w:rsid w:val="499248EA"/>
    <w:rsid w:val="49A377FA"/>
    <w:rsid w:val="49DC7913"/>
    <w:rsid w:val="49ED77B7"/>
    <w:rsid w:val="4A037596"/>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5D5A9B"/>
    <w:rsid w:val="4D720CBA"/>
    <w:rsid w:val="4D8E1A3E"/>
    <w:rsid w:val="4DA31497"/>
    <w:rsid w:val="4E1542CD"/>
    <w:rsid w:val="4E1A7EED"/>
    <w:rsid w:val="4E7B44C1"/>
    <w:rsid w:val="4E8F658C"/>
    <w:rsid w:val="4E9A16B0"/>
    <w:rsid w:val="4ECA3CF2"/>
    <w:rsid w:val="4F304989"/>
    <w:rsid w:val="4F4637CC"/>
    <w:rsid w:val="4F7439BB"/>
    <w:rsid w:val="4F903279"/>
    <w:rsid w:val="4FC357FD"/>
    <w:rsid w:val="4FD07EA9"/>
    <w:rsid w:val="4FF17A7C"/>
    <w:rsid w:val="500A342C"/>
    <w:rsid w:val="501568D4"/>
    <w:rsid w:val="50330996"/>
    <w:rsid w:val="50CC6AF5"/>
    <w:rsid w:val="50DE39D3"/>
    <w:rsid w:val="50FB3A85"/>
    <w:rsid w:val="511107EA"/>
    <w:rsid w:val="519226D4"/>
    <w:rsid w:val="52711649"/>
    <w:rsid w:val="529A1FAF"/>
    <w:rsid w:val="52A667A8"/>
    <w:rsid w:val="530A37F5"/>
    <w:rsid w:val="53306DF2"/>
    <w:rsid w:val="53513EE3"/>
    <w:rsid w:val="53600DED"/>
    <w:rsid w:val="540240D6"/>
    <w:rsid w:val="54607A2C"/>
    <w:rsid w:val="5474450F"/>
    <w:rsid w:val="54877854"/>
    <w:rsid w:val="548A4B3B"/>
    <w:rsid w:val="548D7566"/>
    <w:rsid w:val="548E5813"/>
    <w:rsid w:val="557A7637"/>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820D29"/>
    <w:rsid w:val="58A223B7"/>
    <w:rsid w:val="591519E0"/>
    <w:rsid w:val="59513E7A"/>
    <w:rsid w:val="59C26B25"/>
    <w:rsid w:val="59D95C1D"/>
    <w:rsid w:val="59EC76FE"/>
    <w:rsid w:val="5A094754"/>
    <w:rsid w:val="5A0E1452"/>
    <w:rsid w:val="5A117AE7"/>
    <w:rsid w:val="5AC36FEF"/>
    <w:rsid w:val="5B24111A"/>
    <w:rsid w:val="5B4D0D61"/>
    <w:rsid w:val="5BB25761"/>
    <w:rsid w:val="5BB973AE"/>
    <w:rsid w:val="5C03381B"/>
    <w:rsid w:val="5C6D5130"/>
    <w:rsid w:val="5CAC3222"/>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10B8F"/>
    <w:rsid w:val="5F623641"/>
    <w:rsid w:val="5FDD7FD1"/>
    <w:rsid w:val="5FE80DAB"/>
    <w:rsid w:val="5FF05A6E"/>
    <w:rsid w:val="60394FAB"/>
    <w:rsid w:val="60490780"/>
    <w:rsid w:val="60A12B14"/>
    <w:rsid w:val="60AB79B2"/>
    <w:rsid w:val="60D056F4"/>
    <w:rsid w:val="60F02FFA"/>
    <w:rsid w:val="610709AB"/>
    <w:rsid w:val="61152DC7"/>
    <w:rsid w:val="612873A9"/>
    <w:rsid w:val="614366AD"/>
    <w:rsid w:val="61653E49"/>
    <w:rsid w:val="619568CD"/>
    <w:rsid w:val="61F00415"/>
    <w:rsid w:val="61F435C6"/>
    <w:rsid w:val="621427D7"/>
    <w:rsid w:val="622B32D6"/>
    <w:rsid w:val="625D0FA0"/>
    <w:rsid w:val="62C16EF1"/>
    <w:rsid w:val="62DA1288"/>
    <w:rsid w:val="62E736C8"/>
    <w:rsid w:val="63ED479F"/>
    <w:rsid w:val="64294449"/>
    <w:rsid w:val="64326656"/>
    <w:rsid w:val="644764EB"/>
    <w:rsid w:val="64B42671"/>
    <w:rsid w:val="64C25C2B"/>
    <w:rsid w:val="64E043E1"/>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A2E0C"/>
    <w:rsid w:val="691E7FBD"/>
    <w:rsid w:val="69C21D45"/>
    <w:rsid w:val="69C25A0D"/>
    <w:rsid w:val="69CF67F1"/>
    <w:rsid w:val="69EC0E79"/>
    <w:rsid w:val="69FB0F56"/>
    <w:rsid w:val="6A0B603F"/>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0D38CD"/>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CE7583"/>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1577BF"/>
    <w:rsid w:val="7E253138"/>
    <w:rsid w:val="7E3178F8"/>
    <w:rsid w:val="7E397793"/>
    <w:rsid w:val="7E48224E"/>
    <w:rsid w:val="7E5847C3"/>
    <w:rsid w:val="7E7A11D0"/>
    <w:rsid w:val="7F160FB2"/>
    <w:rsid w:val="7F192331"/>
    <w:rsid w:val="7F1B5B78"/>
    <w:rsid w:val="7F2F3DF2"/>
    <w:rsid w:val="7FBA7E62"/>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3"/>
    <w:semiHidden/>
    <w:unhideWhenUsed/>
    <w:qFormat/>
    <w:uiPriority w:val="99"/>
    <w:rPr>
      <w:rFonts w:ascii="宋体"/>
      <w:sz w:val="18"/>
      <w:szCs w:val="18"/>
    </w:rPr>
  </w:style>
  <w:style w:type="paragraph" w:styleId="9">
    <w:name w:val="annotation text"/>
    <w:basedOn w:val="1"/>
    <w:link w:val="30"/>
    <w:semiHidden/>
    <w:qFormat/>
    <w:uiPriority w:val="0"/>
    <w:pPr>
      <w:jc w:val="left"/>
    </w:pPr>
    <w:rPr>
      <w:rFonts w:asciiTheme="minorHAnsi" w:hAnsiTheme="minorHAnsi" w:cstheme="minorBidi"/>
    </w:rPr>
  </w:style>
  <w:style w:type="paragraph" w:styleId="10">
    <w:name w:val="Body Text"/>
    <w:basedOn w:val="1"/>
    <w:next w:val="1"/>
    <w:link w:val="58"/>
    <w:qFormat/>
    <w:uiPriority w:val="0"/>
    <w:rPr>
      <w:rFonts w:eastAsia="楷体_GB2312"/>
      <w:sz w:val="28"/>
      <w:szCs w:val="20"/>
    </w:rPr>
  </w:style>
  <w:style w:type="paragraph" w:styleId="11">
    <w:name w:val="Body Text Indent"/>
    <w:basedOn w:val="1"/>
    <w:next w:val="1"/>
    <w:link w:val="56"/>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Balloon Text"/>
    <w:basedOn w:val="1"/>
    <w:link w:val="32"/>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9"/>
      </w:tabs>
    </w:pPr>
    <w:rPr>
      <w:b/>
    </w:rPr>
  </w:style>
  <w:style w:type="paragraph" w:styleId="17">
    <w:name w:val="toc 2"/>
    <w:basedOn w:val="1"/>
    <w:next w:val="1"/>
    <w:qFormat/>
    <w:uiPriority w:val="39"/>
    <w:pPr>
      <w:tabs>
        <w:tab w:val="right" w:leader="dot" w:pos="9629"/>
      </w:tabs>
      <w:ind w:left="480" w:leftChars="200"/>
    </w:pPr>
    <w:rPr>
      <w:b/>
    </w:rPr>
  </w:style>
  <w:style w:type="paragraph" w:styleId="18">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19">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0">
    <w:name w:val="annotation subject"/>
    <w:basedOn w:val="9"/>
    <w:next w:val="9"/>
    <w:link w:val="37"/>
    <w:semiHidden/>
    <w:unhideWhenUsed/>
    <w:qFormat/>
    <w:uiPriority w:val="99"/>
    <w:rPr>
      <w:rFonts w:ascii="Times New Roman" w:hAnsi="Times New Roman" w:cs="Times New Roman"/>
      <w:b/>
      <w:bCs/>
    </w:rPr>
  </w:style>
  <w:style w:type="paragraph" w:styleId="21">
    <w:name w:val="Body Text First Indent"/>
    <w:basedOn w:val="10"/>
    <w:link w:val="53"/>
    <w:semiHidden/>
    <w:unhideWhenUsed/>
    <w:qFormat/>
    <w:uiPriority w:val="99"/>
    <w:pPr>
      <w:ind w:firstLine="420" w:firstLineChars="100"/>
    </w:pPr>
  </w:style>
  <w:style w:type="paragraph" w:styleId="22">
    <w:name w:val="Body Text First Indent 2"/>
    <w:basedOn w:val="11"/>
    <w:next w:val="17"/>
    <w:link w:val="57"/>
    <w:qFormat/>
    <w:uiPriority w:val="0"/>
    <w:pPr>
      <w:spacing w:line="276" w:lineRule="auto"/>
      <w:ind w:left="200" w:firstLine="200" w:firstLineChars="200"/>
      <w:jc w:val="left"/>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qFormat/>
    <w:uiPriority w:val="99"/>
    <w:rPr>
      <w:rFonts w:eastAsia="宋体"/>
      <w:color w:val="0000FF"/>
      <w:sz w:val="24"/>
      <w:u w:val="single"/>
    </w:rPr>
  </w:style>
  <w:style w:type="character" w:styleId="27">
    <w:name w:val="annotation reference"/>
    <w:basedOn w:val="25"/>
    <w:qFormat/>
    <w:uiPriority w:val="0"/>
    <w:rPr>
      <w:sz w:val="21"/>
      <w:szCs w:val="21"/>
    </w:rPr>
  </w:style>
  <w:style w:type="paragraph" w:customStyle="1" w:styleId="28">
    <w:name w:val="列出段落1"/>
    <w:basedOn w:val="1"/>
    <w:unhideWhenUsed/>
    <w:qFormat/>
    <w:uiPriority w:val="34"/>
    <w:pPr>
      <w:ind w:firstLine="420" w:firstLineChars="200"/>
    </w:pPr>
    <w:rPr>
      <w:rFonts w:hint="eastAsia"/>
    </w:rPr>
  </w:style>
  <w:style w:type="character" w:customStyle="1" w:styleId="29">
    <w:name w:val="标题 1 Char"/>
    <w:basedOn w:val="25"/>
    <w:link w:val="2"/>
    <w:qFormat/>
    <w:uiPriority w:val="0"/>
    <w:rPr>
      <w:rFonts w:ascii="Times New Roman" w:hAnsi="Times New Roman" w:eastAsia="宋体" w:cs="Times New Roman"/>
      <w:b/>
      <w:bCs/>
      <w:kern w:val="44"/>
      <w:sz w:val="44"/>
      <w:szCs w:val="44"/>
    </w:rPr>
  </w:style>
  <w:style w:type="character" w:customStyle="1" w:styleId="30">
    <w:name w:val="批注文字 Char"/>
    <w:link w:val="9"/>
    <w:semiHidden/>
    <w:qFormat/>
    <w:uiPriority w:val="0"/>
    <w:rPr>
      <w:rFonts w:eastAsia="宋体"/>
      <w:szCs w:val="24"/>
    </w:rPr>
  </w:style>
  <w:style w:type="character" w:customStyle="1" w:styleId="31">
    <w:name w:val="批注文字 Char1"/>
    <w:basedOn w:val="25"/>
    <w:semiHidden/>
    <w:qFormat/>
    <w:uiPriority w:val="99"/>
    <w:rPr>
      <w:rFonts w:ascii="Times New Roman" w:hAnsi="Times New Roman" w:eastAsia="宋体" w:cs="Times New Roman"/>
      <w:szCs w:val="24"/>
    </w:rPr>
  </w:style>
  <w:style w:type="character" w:customStyle="1" w:styleId="32">
    <w:name w:val="批注框文本 Char"/>
    <w:basedOn w:val="25"/>
    <w:link w:val="13"/>
    <w:semiHidden/>
    <w:qFormat/>
    <w:uiPriority w:val="99"/>
    <w:rPr>
      <w:rFonts w:ascii="Times New Roman" w:hAnsi="Times New Roman" w:eastAsia="宋体" w:cs="Times New Roman"/>
      <w:sz w:val="18"/>
      <w:szCs w:val="18"/>
    </w:rPr>
  </w:style>
  <w:style w:type="character" w:customStyle="1" w:styleId="33">
    <w:name w:val="文档结构图 Char"/>
    <w:basedOn w:val="25"/>
    <w:link w:val="8"/>
    <w:semiHidden/>
    <w:qFormat/>
    <w:uiPriority w:val="99"/>
    <w:rPr>
      <w:rFonts w:ascii="宋体" w:hAnsi="Times New Roman" w:eastAsia="宋体" w:cs="Times New Roman"/>
      <w:sz w:val="18"/>
      <w:szCs w:val="18"/>
    </w:rPr>
  </w:style>
  <w:style w:type="character" w:customStyle="1" w:styleId="34">
    <w:name w:val="页眉 Char"/>
    <w:basedOn w:val="25"/>
    <w:link w:val="15"/>
    <w:qFormat/>
    <w:uiPriority w:val="99"/>
    <w:rPr>
      <w:rFonts w:ascii="Times New Roman" w:hAnsi="Times New Roman" w:eastAsia="宋体" w:cs="Times New Roman"/>
      <w:sz w:val="18"/>
      <w:szCs w:val="18"/>
    </w:rPr>
  </w:style>
  <w:style w:type="character" w:customStyle="1" w:styleId="35">
    <w:name w:val="页脚 Char"/>
    <w:basedOn w:val="25"/>
    <w:link w:val="14"/>
    <w:qFormat/>
    <w:uiPriority w:val="99"/>
    <w:rPr>
      <w:rFonts w:ascii="Times New Roman" w:hAnsi="Times New Roman" w:eastAsia="宋体" w:cs="Times New Roman"/>
      <w:sz w:val="18"/>
      <w:szCs w:val="18"/>
    </w:rPr>
  </w:style>
  <w:style w:type="character" w:customStyle="1" w:styleId="36">
    <w:name w:val="NormalCharacter"/>
    <w:qFormat/>
    <w:uiPriority w:val="0"/>
  </w:style>
  <w:style w:type="character" w:customStyle="1" w:styleId="37">
    <w:name w:val="批注主题 Char"/>
    <w:basedOn w:val="30"/>
    <w:link w:val="20"/>
    <w:semiHidden/>
    <w:qFormat/>
    <w:uiPriority w:val="99"/>
    <w:rPr>
      <w:rFonts w:eastAsia="宋体"/>
      <w:b/>
      <w:bCs/>
      <w:kern w:val="2"/>
      <w:sz w:val="21"/>
      <w:szCs w:val="24"/>
    </w:rPr>
  </w:style>
  <w:style w:type="paragraph" w:customStyle="1" w:styleId="38">
    <w:name w:val="BodyText3"/>
    <w:basedOn w:val="1"/>
    <w:qFormat/>
    <w:uiPriority w:val="0"/>
    <w:pPr>
      <w:spacing w:after="120"/>
    </w:pPr>
    <w:rPr>
      <w:sz w:val="16"/>
      <w:szCs w:val="16"/>
    </w:rPr>
  </w:style>
  <w:style w:type="paragraph" w:customStyle="1" w:styleId="39">
    <w:name w:val="UserStyle_92"/>
    <w:basedOn w:val="1"/>
    <w:qFormat/>
    <w:uiPriority w:val="0"/>
    <w:rPr>
      <w:szCs w:val="21"/>
    </w:rPr>
  </w:style>
  <w:style w:type="paragraph" w:customStyle="1" w:styleId="40">
    <w:name w:val="UserStyle_95"/>
    <w:basedOn w:val="41"/>
    <w:qFormat/>
    <w:uiPriority w:val="0"/>
  </w:style>
  <w:style w:type="paragraph" w:customStyle="1" w:styleId="41">
    <w:name w:val="Heading4"/>
    <w:basedOn w:val="1"/>
    <w:next w:val="1"/>
    <w:qFormat/>
    <w:uiPriority w:val="0"/>
    <w:pPr>
      <w:keepNext/>
      <w:spacing w:before="240" w:after="60"/>
    </w:pPr>
    <w:rPr>
      <w:b/>
      <w:bCs/>
      <w:sz w:val="28"/>
      <w:szCs w:val="28"/>
    </w:rPr>
  </w:style>
  <w:style w:type="paragraph" w:customStyle="1" w:styleId="42">
    <w:name w:val="Heading2"/>
    <w:basedOn w:val="1"/>
    <w:next w:val="1"/>
    <w:qFormat/>
    <w:uiPriority w:val="0"/>
    <w:pPr>
      <w:keepNext/>
      <w:spacing w:before="240" w:after="60"/>
    </w:pPr>
    <w:rPr>
      <w:rFonts w:ascii="Cambria" w:hAnsi="Cambria"/>
      <w:b/>
      <w:bCs/>
      <w:i/>
      <w:iCs/>
      <w:sz w:val="28"/>
      <w:szCs w:val="28"/>
    </w:rPr>
  </w:style>
  <w:style w:type="paragraph" w:customStyle="1" w:styleId="43">
    <w:name w:val="BodyTextIndent"/>
    <w:basedOn w:val="1"/>
    <w:qFormat/>
    <w:uiPriority w:val="0"/>
    <w:pPr>
      <w:spacing w:after="120"/>
      <w:ind w:left="420" w:leftChars="200"/>
    </w:pPr>
    <w:rPr>
      <w:sz w:val="20"/>
    </w:rPr>
  </w:style>
  <w:style w:type="paragraph" w:customStyle="1" w:styleId="44">
    <w:name w:val="Heading3"/>
    <w:basedOn w:val="1"/>
    <w:next w:val="1"/>
    <w:qFormat/>
    <w:uiPriority w:val="0"/>
    <w:pPr>
      <w:keepNext/>
      <w:spacing w:before="240" w:after="60"/>
    </w:pPr>
    <w:rPr>
      <w:rFonts w:ascii="Cambria" w:hAnsi="Cambria"/>
      <w:b/>
      <w:bCs/>
      <w:sz w:val="26"/>
      <w:szCs w:val="26"/>
    </w:rPr>
  </w:style>
  <w:style w:type="paragraph" w:styleId="45">
    <w:name w:val="List Paragraph"/>
    <w:basedOn w:val="1"/>
    <w:unhideWhenUsed/>
    <w:qFormat/>
    <w:uiPriority w:val="99"/>
    <w:pPr>
      <w:ind w:firstLine="420" w:firstLineChars="200"/>
    </w:pPr>
  </w:style>
  <w:style w:type="character" w:customStyle="1" w:styleId="46">
    <w:name w:val="font101"/>
    <w:basedOn w:val="25"/>
    <w:qFormat/>
    <w:uiPriority w:val="0"/>
    <w:rPr>
      <w:rFonts w:hint="eastAsia" w:ascii="仿宋" w:hAnsi="仿宋" w:eastAsia="仿宋" w:cs="仿宋"/>
      <w:color w:val="000000"/>
      <w:sz w:val="28"/>
      <w:szCs w:val="28"/>
      <w:u w:val="none"/>
    </w:rPr>
  </w:style>
  <w:style w:type="paragraph" w:customStyle="1" w:styleId="47">
    <w:name w:val="标题4"/>
    <w:basedOn w:val="5"/>
    <w:qFormat/>
    <w:uiPriority w:val="0"/>
  </w:style>
  <w:style w:type="character" w:customStyle="1" w:styleId="48">
    <w:name w:val="font81"/>
    <w:basedOn w:val="25"/>
    <w:qFormat/>
    <w:uiPriority w:val="0"/>
    <w:rPr>
      <w:rFonts w:hint="eastAsia" w:ascii="仿宋" w:hAnsi="仿宋" w:eastAsia="仿宋" w:cs="仿宋"/>
      <w:color w:val="000000"/>
      <w:sz w:val="24"/>
      <w:szCs w:val="24"/>
      <w:u w:val="none"/>
    </w:rPr>
  </w:style>
  <w:style w:type="character" w:customStyle="1" w:styleId="49">
    <w:name w:val="font11"/>
    <w:basedOn w:val="25"/>
    <w:qFormat/>
    <w:uiPriority w:val="0"/>
    <w:rPr>
      <w:rFonts w:hint="eastAsia" w:ascii="仿宋" w:hAnsi="仿宋" w:eastAsia="仿宋" w:cs="仿宋"/>
      <w:color w:val="000000"/>
      <w:sz w:val="24"/>
      <w:szCs w:val="24"/>
      <w:u w:val="none"/>
    </w:rPr>
  </w:style>
  <w:style w:type="character" w:customStyle="1" w:styleId="50">
    <w:name w:val="font01"/>
    <w:basedOn w:val="25"/>
    <w:qFormat/>
    <w:uiPriority w:val="0"/>
    <w:rPr>
      <w:rFonts w:ascii="Arial" w:hAnsi="Arial" w:cs="Arial"/>
      <w:color w:val="000000"/>
      <w:sz w:val="24"/>
      <w:szCs w:val="24"/>
      <w:u w:val="none"/>
    </w:rPr>
  </w:style>
  <w:style w:type="character" w:customStyle="1" w:styleId="51">
    <w:name w:val="font31"/>
    <w:basedOn w:val="25"/>
    <w:qFormat/>
    <w:uiPriority w:val="0"/>
    <w:rPr>
      <w:rFonts w:hint="eastAsia" w:ascii="仿宋" w:hAnsi="仿宋" w:eastAsia="仿宋" w:cs="仿宋"/>
      <w:color w:val="000000"/>
      <w:sz w:val="28"/>
      <w:szCs w:val="28"/>
      <w:u w:val="none"/>
    </w:rPr>
  </w:style>
  <w:style w:type="character" w:customStyle="1" w:styleId="52">
    <w:name w:val="正文文本 字符"/>
    <w:basedOn w:val="25"/>
    <w:qFormat/>
    <w:uiPriority w:val="0"/>
    <w:rPr>
      <w:kern w:val="2"/>
      <w:sz w:val="21"/>
      <w:szCs w:val="24"/>
    </w:rPr>
  </w:style>
  <w:style w:type="character" w:customStyle="1" w:styleId="53">
    <w:name w:val="正文首行缩进 Char"/>
    <w:link w:val="21"/>
    <w:qFormat/>
    <w:uiPriority w:val="0"/>
    <w:rPr>
      <w:sz w:val="21"/>
      <w:szCs w:val="21"/>
    </w:rPr>
  </w:style>
  <w:style w:type="character" w:customStyle="1" w:styleId="54">
    <w:name w:val="正文文本缩进 字符"/>
    <w:basedOn w:val="25"/>
    <w:qFormat/>
    <w:uiPriority w:val="0"/>
    <w:rPr>
      <w:sz w:val="21"/>
      <w:szCs w:val="21"/>
    </w:rPr>
  </w:style>
  <w:style w:type="character" w:customStyle="1" w:styleId="55">
    <w:name w:val="正文首行缩进 2 字符"/>
    <w:basedOn w:val="54"/>
    <w:qFormat/>
    <w:uiPriority w:val="0"/>
    <w:rPr>
      <w:sz w:val="21"/>
      <w:szCs w:val="21"/>
    </w:rPr>
  </w:style>
  <w:style w:type="character" w:customStyle="1" w:styleId="56">
    <w:name w:val="正文文本缩进 Char"/>
    <w:basedOn w:val="25"/>
    <w:link w:val="11"/>
    <w:qFormat/>
    <w:uiPriority w:val="0"/>
    <w:rPr>
      <w:kern w:val="2"/>
      <w:sz w:val="21"/>
      <w:szCs w:val="21"/>
    </w:rPr>
  </w:style>
  <w:style w:type="character" w:customStyle="1" w:styleId="57">
    <w:name w:val="正文首行缩进 2 Char"/>
    <w:basedOn w:val="56"/>
    <w:link w:val="22"/>
    <w:qFormat/>
    <w:uiPriority w:val="0"/>
    <w:rPr>
      <w:kern w:val="2"/>
      <w:sz w:val="21"/>
      <w:szCs w:val="21"/>
    </w:rPr>
  </w:style>
  <w:style w:type="character" w:customStyle="1" w:styleId="58">
    <w:name w:val="正文文本 Char"/>
    <w:basedOn w:val="25"/>
    <w:link w:val="10"/>
    <w:qFormat/>
    <w:uiPriority w:val="0"/>
    <w:rPr>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212EE-541F-4D8C-876F-9CE35798242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Pages>
  <Words>2742</Words>
  <Characters>3071</Characters>
  <Lines>39</Lines>
  <Paragraphs>10</Paragraphs>
  <TotalTime>0</TotalTime>
  <ScaleCrop>false</ScaleCrop>
  <LinksUpToDate>false</LinksUpToDate>
  <CharactersWithSpaces>3105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2021-07-02T07:15:00Z</dcterms:created>
  <dc:creator>Windows 用户</dc:creator>
  <cp:lastModifiedBy>刘圆</cp:lastModifiedBy>
  <cp:lastPrinted>2022-03-12T06:20:00Z</cp:lastPrinted>
  <dcterms:modified xsi:type="dcterms:W3CDTF">2025-04-21T09:29:40Z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ED54539CBD774A2A95708653B59EB12F</vt:lpwstr>
  </property>
  <property fmtid="{D5CDD505-2E9C-101B-9397-08002B2CF9AE}" pid="4" name="KSOTemplateDocerSaveRecord">
    <vt:lpwstr>eyJoZGlkIjoiMjJhNjJiODI0ZmMxYjk3YmM0Y2Y3OGI1NDBkMWUyYTMifQ==</vt:lpwstr>
  </property>
</Properties>
</file>