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2025年度产品试验检测中心工装夹具</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外协加工服务招标项目</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60"/>
        <w:rPr>
          <w:rFonts w:hint="eastAsia" w:ascii="宋体" w:hAnsi="宋体" w:eastAsia="宋体" w:cs="宋体"/>
        </w:rPr>
      </w:pPr>
      <w:r>
        <w:rPr>
          <w:rFonts w:hint="eastAsia" w:ascii="宋体" w:hAnsi="宋体" w:eastAsia="宋体" w:cs="宋体"/>
        </w:rPr>
        <w:t>第一章  招标公告</w:t>
      </w:r>
    </w:p>
    <w:p>
      <w:pPr>
        <w:pStyle w:val="82"/>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2025年度产品试验检测中心工装夹具外协加工服务招标项目</w:t>
      </w:r>
    </w:p>
    <w:p>
      <w:pPr>
        <w:pStyle w:val="6"/>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采购形式编号：CGZX2025020095</w:t>
      </w:r>
    </w:p>
    <w:bookmarkEnd w:id="0"/>
    <w:p>
      <w:pPr>
        <w:pStyle w:val="82"/>
        <w:rPr>
          <w:rFonts w:hint="eastAsia" w:ascii="宋体" w:hAnsi="宋体" w:eastAsia="宋体" w:cs="宋体"/>
        </w:rPr>
      </w:pPr>
      <w:r>
        <w:rPr>
          <w:rFonts w:hint="eastAsia" w:ascii="宋体" w:hAnsi="宋体" w:eastAsia="宋体" w:cs="宋体"/>
        </w:rPr>
        <w:t>二、招标内容及形式</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1、招标内容：2025年度产品试验检测中心工装夹具外协加工服务招标项目</w:t>
      </w:r>
    </w:p>
    <w:p>
      <w:pPr>
        <w:pStyle w:val="1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2"/>
        <w:rPr>
          <w:rFonts w:hint="eastAsia" w:ascii="宋体" w:hAnsi="宋体" w:eastAsia="宋体" w:cs="宋体"/>
        </w:rPr>
      </w:pPr>
      <w:r>
        <w:rPr>
          <w:rFonts w:hint="eastAsia" w:ascii="宋体" w:hAnsi="宋体" w:eastAsia="宋体" w:cs="宋体"/>
        </w:rPr>
        <w:t>三、项目概况与招标范围</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1、项目名称：2025年度产品试验检测中心工装夹具外协加工服务招标项目</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80"/>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80"/>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4"/>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b w:val="0"/>
              </w:rPr>
            </w:pPr>
            <w:r>
              <w:rPr>
                <w:rFonts w:hint="eastAsia" w:ascii="宋体" w:hAnsi="宋体" w:eastAsia="宋体" w:cs="宋体"/>
                <w:b w:val="0"/>
              </w:rPr>
              <w:t>2025年度产品试验检测中心工装夹具外协加工服务招标项目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4"/>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4"/>
              <w:jc w:val="center"/>
              <w:rPr>
                <w:rFonts w:hint="eastAsia" w:ascii="宋体" w:hAnsi="宋体" w:eastAsia="宋体" w:cs="宋体"/>
                <w:b w:val="0"/>
              </w:rPr>
            </w:pPr>
            <w:r>
              <w:rPr>
                <w:rFonts w:hint="default" w:ascii="宋体" w:hAnsi="宋体" w:eastAsia="宋体" w:cs="宋体"/>
                <w:b w:val="0"/>
                <w:highlight w:val="yellow"/>
                <w:lang w:val="en-US" w:eastAsia="zh-CN"/>
              </w:rPr>
              <w:t>工装夹具全部到齐，经现场安装验收合格交付使用后，</w:t>
            </w:r>
            <w:r>
              <w:rPr>
                <w:rFonts w:hint="eastAsia" w:ascii="宋体" w:hAnsi="宋体" w:eastAsia="宋体" w:cs="宋体"/>
                <w:b w:val="0"/>
                <w:highlight w:val="yellow"/>
                <w:lang w:val="en-US" w:eastAsia="zh-CN"/>
              </w:rPr>
              <w:t>投标</w:t>
            </w:r>
            <w:r>
              <w:rPr>
                <w:rFonts w:hint="default" w:ascii="宋体" w:hAnsi="宋体" w:eastAsia="宋体" w:cs="宋体"/>
                <w:b w:val="0"/>
                <w:highlight w:val="yellow"/>
                <w:lang w:val="en-US" w:eastAsia="zh-CN"/>
              </w:rPr>
              <w:t>方提交金额为合同价款100%的增值税专用发票，经</w:t>
            </w:r>
            <w:r>
              <w:rPr>
                <w:rFonts w:hint="eastAsia" w:ascii="宋体" w:hAnsi="宋体" w:eastAsia="宋体" w:cs="宋体"/>
                <w:b w:val="0"/>
                <w:highlight w:val="yellow"/>
                <w:lang w:val="en-US" w:eastAsia="zh-CN"/>
              </w:rPr>
              <w:t>招标</w:t>
            </w:r>
            <w:r>
              <w:rPr>
                <w:rFonts w:hint="default" w:ascii="宋体" w:hAnsi="宋体" w:eastAsia="宋体" w:cs="宋体"/>
                <w:b w:val="0"/>
                <w:highlight w:val="yellow"/>
                <w:lang w:val="en-US" w:eastAsia="zh-CN"/>
              </w:rPr>
              <w:t>方依照财务制度审核无误后30个工作日内支付。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84"/>
              <w:jc w:val="center"/>
              <w:rPr>
                <w:rFonts w:hint="eastAsia" w:ascii="宋体" w:hAnsi="宋体" w:eastAsia="宋体" w:cs="宋体"/>
                <w:b w:val="0"/>
              </w:rPr>
            </w:pPr>
            <w:r>
              <w:rPr>
                <w:rFonts w:hint="eastAsia" w:ascii="宋体" w:hAnsi="宋体" w:eastAsia="宋体" w:cs="宋体"/>
                <w:b w:val="0"/>
              </w:rPr>
              <w:t>100%</w:t>
            </w:r>
          </w:p>
        </w:tc>
      </w:tr>
    </w:tbl>
    <w:p>
      <w:pPr>
        <w:pStyle w:val="82"/>
        <w:rPr>
          <w:rFonts w:hint="eastAsia" w:ascii="宋体" w:hAnsi="宋体" w:eastAsia="宋体" w:cs="宋体"/>
        </w:rPr>
      </w:pPr>
      <w:r>
        <w:rPr>
          <w:rFonts w:hint="eastAsia" w:ascii="宋体" w:hAnsi="宋体" w:eastAsia="宋体" w:cs="宋体"/>
        </w:rPr>
        <w:t>四、投标说明</w:t>
      </w:r>
    </w:p>
    <w:p>
      <w:pPr>
        <w:pStyle w:val="90"/>
        <w:ind w:firstLine="480"/>
        <w:rPr>
          <w:rFonts w:hint="eastAsia" w:ascii="宋体" w:hAnsi="宋体" w:eastAsia="宋体" w:cs="宋体"/>
        </w:rPr>
      </w:pPr>
      <w:r>
        <w:rPr>
          <w:rFonts w:hint="eastAsia" w:ascii="宋体" w:hAnsi="宋体" w:eastAsia="宋体" w:cs="宋体"/>
        </w:rPr>
        <w:t>1、报名方式</w:t>
      </w:r>
    </w:p>
    <w:p>
      <w:pPr>
        <w:pStyle w:val="80"/>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80"/>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80"/>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80"/>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80"/>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80"/>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80"/>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6"/>
        <w:ind w:firstLine="480"/>
        <w:rPr>
          <w:rFonts w:hint="eastAsia" w:ascii="宋体" w:hAnsi="宋体" w:eastAsia="宋体" w:cs="宋体"/>
        </w:rPr>
      </w:pPr>
      <w:r>
        <w:rPr>
          <w:rFonts w:hint="eastAsia" w:ascii="宋体" w:hAnsi="宋体" w:eastAsia="宋体" w:cs="宋体"/>
        </w:rPr>
        <w:t>2、投标条件</w:t>
      </w:r>
    </w:p>
    <w:p>
      <w:pPr>
        <w:pStyle w:val="18"/>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8"/>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8"/>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8"/>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8"/>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8"/>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80"/>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6"/>
        <w:ind w:firstLine="480"/>
        <w:rPr>
          <w:rFonts w:hint="eastAsia" w:ascii="宋体" w:hAnsi="宋体" w:eastAsia="宋体" w:cs="宋体"/>
        </w:rPr>
      </w:pPr>
      <w:r>
        <w:rPr>
          <w:rFonts w:hint="eastAsia" w:ascii="宋体" w:hAnsi="宋体" w:eastAsia="宋体" w:cs="宋体"/>
        </w:rPr>
        <w:t>3、报价</w:t>
      </w:r>
    </w:p>
    <w:p>
      <w:pPr>
        <w:pStyle w:val="1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80"/>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80"/>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90"/>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6"/>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80"/>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6"/>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80"/>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80"/>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6"/>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80"/>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80"/>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80"/>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80"/>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80"/>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80"/>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80"/>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80"/>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80"/>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6"/>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80"/>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2"/>
        <w:rPr>
          <w:rFonts w:hint="eastAsia" w:ascii="宋体" w:hAnsi="宋体" w:eastAsia="宋体" w:cs="宋体"/>
        </w:rPr>
      </w:pPr>
      <w:r>
        <w:rPr>
          <w:rFonts w:hint="eastAsia" w:ascii="宋体" w:hAnsi="宋体" w:eastAsia="宋体" w:cs="宋体"/>
        </w:rPr>
        <w:t>五、议程安排</w:t>
      </w:r>
    </w:p>
    <w:p>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6</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8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80"/>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3</w:t>
      </w:r>
      <w:r>
        <w:rPr>
          <w:rFonts w:hint="eastAsia" w:ascii="宋体" w:hAnsi="宋体" w:eastAsia="宋体" w:cs="宋体"/>
          <w:bCs/>
        </w:rPr>
        <w:t>月</w:t>
      </w:r>
      <w:r>
        <w:rPr>
          <w:rFonts w:hint="default" w:eastAsia="宋体" w:cs="宋体"/>
          <w:bCs/>
          <w:woUserID w:val="1"/>
        </w:rPr>
        <w:t>17</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6"/>
        <w:ind w:firstLine="480"/>
        <w:rPr>
          <w:rFonts w:hint="eastAsia" w:ascii="宋体" w:hAnsi="宋体" w:eastAsia="宋体" w:cs="宋体"/>
        </w:rPr>
      </w:pPr>
      <w:r>
        <w:rPr>
          <w:rFonts w:hint="eastAsia" w:ascii="宋体" w:hAnsi="宋体" w:eastAsia="宋体" w:cs="宋体"/>
        </w:rPr>
        <w:t>4、技术答疑</w:t>
      </w:r>
    </w:p>
    <w:p>
      <w:pPr>
        <w:pStyle w:val="80"/>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3</w:t>
      </w:r>
      <w:r>
        <w:rPr>
          <w:rFonts w:hint="eastAsia" w:ascii="宋体" w:hAnsi="宋体" w:eastAsia="宋体" w:cs="宋体"/>
          <w:bCs/>
          <w:woUserID w:val="1"/>
        </w:rPr>
        <w:t>月</w:t>
      </w:r>
      <w:r>
        <w:rPr>
          <w:rFonts w:hint="default" w:eastAsia="宋体" w:cs="宋体"/>
          <w:bCs/>
          <w:woUserID w:val="1"/>
        </w:rPr>
        <w:t>17</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80"/>
        <w:ind w:firstLine="480"/>
        <w:rPr>
          <w:rFonts w:hint="eastAsia" w:ascii="宋体" w:hAnsi="宋体" w:eastAsia="宋体" w:cs="宋体"/>
        </w:rPr>
      </w:pPr>
      <w:r>
        <w:rPr>
          <w:rFonts w:hint="eastAsia" w:ascii="宋体" w:hAnsi="宋体" w:eastAsia="宋体" w:cs="宋体"/>
        </w:rPr>
        <w:t>答疑方式：书面及邮件</w:t>
      </w:r>
    </w:p>
    <w:p>
      <w:pPr>
        <w:pStyle w:val="80"/>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邵主青</w:t>
      </w:r>
    </w:p>
    <w:p>
      <w:pPr>
        <w:pStyle w:val="80"/>
        <w:ind w:firstLine="480"/>
        <w:rPr>
          <w:rFonts w:hint="eastAsia" w:ascii="宋体" w:hAnsi="宋体" w:eastAsia="宋体" w:cs="宋体"/>
          <w:lang w:val="en-US" w:eastAsia="zh-CN"/>
        </w:rPr>
      </w:pPr>
      <w:r>
        <w:rPr>
          <w:rFonts w:hint="eastAsia" w:ascii="宋体" w:hAnsi="宋体" w:eastAsia="宋体" w:cs="宋体"/>
        </w:rPr>
        <w:t>电    话：0531-58066211</w:t>
      </w:r>
    </w:p>
    <w:p>
      <w:pPr>
        <w:pStyle w:val="80"/>
        <w:ind w:firstLine="480"/>
        <w:rPr>
          <w:rFonts w:hint="eastAsia" w:ascii="宋体" w:hAnsi="宋体" w:eastAsia="宋体" w:cs="宋体"/>
        </w:rPr>
      </w:pPr>
      <w:r>
        <w:rPr>
          <w:rFonts w:hint="eastAsia" w:ascii="宋体" w:hAnsi="宋体" w:eastAsia="宋体" w:cs="宋体"/>
        </w:rPr>
        <w:t xml:space="preserve">邮    箱：shaozq@sinotruk.com </w:t>
      </w:r>
    </w:p>
    <w:p>
      <w:pPr>
        <w:pStyle w:val="86"/>
        <w:ind w:firstLine="480"/>
        <w:rPr>
          <w:rFonts w:hint="eastAsia" w:ascii="宋体" w:hAnsi="宋体" w:eastAsia="宋体" w:cs="宋体"/>
        </w:rPr>
      </w:pPr>
      <w:r>
        <w:rPr>
          <w:rFonts w:hint="eastAsia" w:ascii="宋体" w:hAnsi="宋体" w:eastAsia="宋体" w:cs="宋体"/>
        </w:rPr>
        <w:t>5、商务答疑</w:t>
      </w:r>
    </w:p>
    <w:p>
      <w:pPr>
        <w:pStyle w:val="80"/>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80"/>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80"/>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80"/>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6"/>
        <w:ind w:firstLine="480"/>
        <w:rPr>
          <w:rFonts w:hint="eastAsia" w:ascii="宋体" w:hAnsi="宋体" w:eastAsia="宋体" w:cs="宋体"/>
        </w:rPr>
      </w:pPr>
      <w:r>
        <w:rPr>
          <w:rFonts w:hint="eastAsia" w:ascii="宋体" w:hAnsi="宋体" w:eastAsia="宋体" w:cs="宋体"/>
        </w:rPr>
        <w:t>6、投标报名及注意事项</w:t>
      </w:r>
    </w:p>
    <w:p>
      <w:pPr>
        <w:pStyle w:val="82"/>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6"/>
        <w:ind w:firstLine="480"/>
        <w:rPr>
          <w:rFonts w:hint="eastAsia" w:ascii="宋体" w:hAnsi="宋体" w:eastAsia="宋体" w:cs="宋体"/>
        </w:rPr>
      </w:pPr>
      <w:r>
        <w:rPr>
          <w:rFonts w:hint="eastAsia" w:ascii="宋体" w:hAnsi="宋体" w:eastAsia="宋体" w:cs="宋体"/>
        </w:rPr>
        <w:t>7、开标时间</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3</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18</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bookmarkStart w:id="64" w:name="_GoBack"/>
      <w:bookmarkEnd w:id="64"/>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6"/>
        <w:ind w:firstLine="480"/>
        <w:rPr>
          <w:rFonts w:hint="eastAsia" w:ascii="宋体" w:hAnsi="宋体" w:eastAsia="宋体" w:cs="宋体"/>
        </w:rPr>
      </w:pPr>
      <w:r>
        <w:rPr>
          <w:rFonts w:hint="eastAsia" w:ascii="宋体" w:hAnsi="宋体" w:eastAsia="宋体" w:cs="宋体"/>
        </w:rPr>
        <w:t>8、开标方式</w:t>
      </w:r>
    </w:p>
    <w:p>
      <w:pPr>
        <w:pStyle w:val="86"/>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8"/>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8"/>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6"/>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80"/>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80"/>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8"/>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2"/>
        <w:rPr>
          <w:rFonts w:hint="eastAsia" w:ascii="宋体" w:hAnsi="宋体" w:eastAsia="宋体" w:cs="宋体"/>
        </w:rPr>
      </w:pPr>
      <w:r>
        <w:rPr>
          <w:rFonts w:hint="eastAsia" w:ascii="宋体" w:hAnsi="宋体" w:eastAsia="宋体" w:cs="宋体"/>
        </w:rPr>
        <w:t>六、评标规则</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本次招标采用综合评标（技术标分数占比30%，商务标评分占比70%）。本着公平、公正、公开的原则，在通过技术标综合评审后入围的前提下，通过综合评标法确定中标人，对未中标方不做任何解释。</w:t>
      </w:r>
    </w:p>
    <w:p>
      <w:pPr>
        <w:pStyle w:val="80"/>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8"/>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6"/>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highlight w:val="none"/>
        </w:rPr>
      </w:pPr>
      <w:r>
        <w:rPr>
          <w:rFonts w:hint="eastAsia" w:ascii="宋体" w:hAnsi="宋体" w:eastAsia="宋体" w:cs="宋体"/>
          <w:b/>
          <w:sz w:val="24"/>
          <w:szCs w:val="24"/>
        </w:rPr>
        <w:t>中标人确定：</w:t>
      </w:r>
      <w:r>
        <w:rPr>
          <w:rFonts w:hint="eastAsia" w:ascii="宋体" w:hAnsi="宋体" w:cs="宋体"/>
          <w:b/>
          <w:sz w:val="24"/>
          <w:szCs w:val="24"/>
          <w:highlight w:val="none"/>
          <w:lang w:val="en-US" w:eastAsia="zh-CN"/>
        </w:rPr>
        <w:t>综合得分最高者确定为推荐中标人，综合得分＝</w:t>
      </w:r>
      <w:r>
        <w:rPr>
          <w:rFonts w:hint="eastAsia" w:ascii="宋体" w:hAnsi="宋体" w:cs="宋体"/>
          <w:b/>
          <w:sz w:val="24"/>
          <w:szCs w:val="24"/>
          <w:highlight w:val="none"/>
        </w:rPr>
        <w:t>技术标</w:t>
      </w:r>
      <w:r>
        <w:rPr>
          <w:rFonts w:hint="eastAsia" w:ascii="宋体" w:hAnsi="宋体" w:cs="宋体"/>
          <w:b/>
          <w:sz w:val="24"/>
          <w:szCs w:val="24"/>
          <w:highlight w:val="none"/>
          <w:lang w:val="en-US" w:eastAsia="zh-CN"/>
        </w:rPr>
        <w:t>得分*</w:t>
      </w:r>
      <w:r>
        <w:rPr>
          <w:rFonts w:hint="eastAsia" w:ascii="宋体" w:hAnsi="宋体" w:cs="宋体"/>
          <w:b/>
          <w:sz w:val="24"/>
          <w:szCs w:val="24"/>
          <w:highlight w:val="none"/>
        </w:rPr>
        <w:t>30%</w:t>
      </w:r>
      <w:r>
        <w:rPr>
          <w:rFonts w:hint="eastAsia" w:ascii="宋体" w:hAnsi="宋体" w:cs="宋体"/>
          <w:b/>
          <w:sz w:val="24"/>
          <w:szCs w:val="24"/>
          <w:highlight w:val="none"/>
          <w:lang w:val="en-US" w:eastAsia="zh-CN"/>
        </w:rPr>
        <w:t>＋</w:t>
      </w:r>
      <w:r>
        <w:rPr>
          <w:rFonts w:hint="eastAsia" w:ascii="宋体" w:hAnsi="宋体" w:cs="宋体"/>
          <w:b/>
          <w:sz w:val="24"/>
          <w:szCs w:val="24"/>
          <w:highlight w:val="none"/>
        </w:rPr>
        <w:t>商务标</w:t>
      </w:r>
      <w:r>
        <w:rPr>
          <w:rFonts w:hint="eastAsia" w:ascii="宋体" w:hAnsi="宋体" w:cs="宋体"/>
          <w:b/>
          <w:sz w:val="24"/>
          <w:szCs w:val="24"/>
          <w:highlight w:val="none"/>
          <w:lang w:val="en-US" w:eastAsia="zh-CN"/>
        </w:rPr>
        <w:t>得分*</w:t>
      </w:r>
      <w:r>
        <w:rPr>
          <w:rFonts w:hint="eastAsia" w:ascii="宋体" w:hAnsi="宋体" w:cs="宋体"/>
          <w:b/>
          <w:sz w:val="24"/>
          <w:szCs w:val="24"/>
          <w:highlight w:val="none"/>
        </w:rPr>
        <w:t>70%</w:t>
      </w:r>
      <w:r>
        <w:rPr>
          <w:rFonts w:hint="eastAsia" w:ascii="宋体" w:hAnsi="宋体" w:cs="宋体"/>
          <w:b/>
          <w:sz w:val="24"/>
          <w:szCs w:val="24"/>
          <w:highlight w:val="none"/>
          <w:lang w:eastAsia="zh-CN"/>
        </w:rPr>
        <w:t>，</w:t>
      </w:r>
      <w:r>
        <w:rPr>
          <w:rFonts w:hint="eastAsia" w:ascii="宋体" w:hAnsi="宋体" w:cs="宋体"/>
          <w:b/>
          <w:sz w:val="24"/>
          <w:szCs w:val="24"/>
          <w:highlight w:val="none"/>
        </w:rPr>
        <w:t>本着公平、公正、公开的原则，在通过技术标综合评审后入围的前提下，通过综合评标法确定中标</w:t>
      </w:r>
      <w:r>
        <w:rPr>
          <w:rFonts w:hint="eastAsia" w:ascii="宋体" w:hAnsi="宋体" w:cs="宋体"/>
          <w:b/>
          <w:sz w:val="24"/>
          <w:szCs w:val="24"/>
          <w:highlight w:val="none"/>
          <w:lang w:eastAsia="zh-CN"/>
        </w:rPr>
        <w:t>。</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本项目产生</w:t>
      </w:r>
      <w:r>
        <w:rPr>
          <w:rFonts w:hint="eastAsia" w:ascii="宋体" w:hAnsi="宋体" w:cs="宋体"/>
          <w:color w:val="000000"/>
          <w:sz w:val="24"/>
          <w:szCs w:val="24"/>
          <w:lang w:val="en-US" w:eastAsia="zh-CN"/>
        </w:rPr>
        <w:t>两</w:t>
      </w:r>
      <w:r>
        <w:rPr>
          <w:rFonts w:hint="eastAsia" w:ascii="宋体" w:hAnsi="宋体" w:eastAsia="宋体" w:cs="宋体"/>
          <w:color w:val="000000"/>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80"/>
        <w:ind w:firstLine="480"/>
        <w:rPr>
          <w:rFonts w:hint="eastAsia" w:ascii="宋体" w:hAnsi="宋体" w:eastAsia="宋体" w:cs="宋体"/>
        </w:rPr>
      </w:pPr>
      <w:r>
        <w:rPr>
          <w:rFonts w:hint="eastAsia" w:ascii="宋体" w:hAnsi="宋体" w:eastAsia="宋体" w:cs="宋体"/>
        </w:rPr>
        <w:t>2、中标</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2"/>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80"/>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8"/>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80"/>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80"/>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2"/>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8"/>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80"/>
        <w:ind w:firstLine="0" w:firstLineChars="0"/>
        <w:rPr>
          <w:rFonts w:hint="eastAsia" w:ascii="宋体" w:hAnsi="宋体" w:eastAsia="宋体" w:cs="宋体"/>
        </w:rPr>
      </w:pPr>
    </w:p>
    <w:p>
      <w:pPr>
        <w:pStyle w:val="80"/>
        <w:ind w:firstLine="0" w:firstLineChars="0"/>
        <w:rPr>
          <w:rFonts w:hint="eastAsia" w:ascii="宋体" w:hAnsi="宋体" w:eastAsia="宋体" w:cs="宋体"/>
        </w:rPr>
      </w:pPr>
    </w:p>
    <w:p>
      <w:pPr>
        <w:pStyle w:val="80"/>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附件1</w:t>
      </w:r>
      <w:bookmarkStart w:id="6" w:name="_Toc25811"/>
      <w:bookmarkStart w:id="7" w:name="_Toc212369550"/>
      <w:bookmarkStart w:id="8" w:name="_Toc353881012"/>
      <w:bookmarkStart w:id="9" w:name="_Toc639004"/>
      <w:r>
        <w:rPr>
          <w:rFonts w:hint="eastAsia" w:ascii="宋体" w:hAnsi="宋体" w:eastAsia="宋体" w:cs="宋体"/>
        </w:rPr>
        <w:t xml:space="preserve"> 投标函</w:t>
      </w:r>
      <w:bookmarkEnd w:id="6"/>
      <w:bookmarkEnd w:id="7"/>
      <w:bookmarkEnd w:id="8"/>
      <w:bookmarkEnd w:id="9"/>
    </w:p>
    <w:p>
      <w:pPr>
        <w:pStyle w:val="80"/>
        <w:ind w:firstLine="480"/>
        <w:rPr>
          <w:rFonts w:hint="eastAsia" w:ascii="宋体" w:hAnsi="宋体" w:eastAsia="宋体" w:cs="宋体"/>
        </w:rPr>
      </w:pPr>
      <w:r>
        <w:rPr>
          <w:rFonts w:hint="eastAsia" w:ascii="宋体" w:hAnsi="宋体" w:eastAsia="宋体" w:cs="宋体"/>
        </w:rPr>
        <w:t>致：中国重汽集团济南动力有限公司：</w:t>
      </w:r>
    </w:p>
    <w:p>
      <w:pPr>
        <w:pStyle w:val="80"/>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80"/>
        <w:ind w:firstLine="480"/>
        <w:rPr>
          <w:rFonts w:hint="eastAsia" w:ascii="宋体" w:hAnsi="宋体" w:eastAsia="宋体" w:cs="宋体"/>
        </w:rPr>
      </w:pPr>
      <w:r>
        <w:rPr>
          <w:rFonts w:hint="eastAsia" w:ascii="宋体" w:hAnsi="宋体" w:eastAsia="宋体" w:cs="宋体"/>
        </w:rPr>
        <w:t>据此函，签字代表宣布同意如下：</w:t>
      </w:r>
    </w:p>
    <w:p>
      <w:pPr>
        <w:pStyle w:val="80"/>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80"/>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80"/>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80"/>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80"/>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80"/>
        <w:ind w:firstLine="480"/>
        <w:rPr>
          <w:rFonts w:hint="eastAsia" w:ascii="宋体" w:hAnsi="宋体" w:eastAsia="宋体" w:cs="宋体"/>
        </w:rPr>
      </w:pPr>
      <w:r>
        <w:rPr>
          <w:rFonts w:hint="eastAsia" w:ascii="宋体" w:hAnsi="宋体" w:eastAsia="宋体" w:cs="宋体"/>
        </w:rPr>
        <w:t>6、与本投标有关的一切正式往来信函请寄：</w:t>
      </w:r>
    </w:p>
    <w:p>
      <w:pPr>
        <w:pStyle w:val="80"/>
        <w:ind w:firstLine="480"/>
        <w:rPr>
          <w:rFonts w:hint="eastAsia" w:ascii="宋体" w:hAnsi="宋体" w:eastAsia="宋体" w:cs="宋体"/>
        </w:rPr>
      </w:pPr>
      <w:r>
        <w:rPr>
          <w:rFonts w:hint="eastAsia" w:ascii="宋体" w:hAnsi="宋体" w:eastAsia="宋体" w:cs="宋体"/>
        </w:rPr>
        <w:t xml:space="preserve">地址：                             </w:t>
      </w:r>
    </w:p>
    <w:p>
      <w:pPr>
        <w:pStyle w:val="80"/>
        <w:ind w:firstLine="480"/>
        <w:rPr>
          <w:rFonts w:hint="eastAsia" w:ascii="宋体" w:hAnsi="宋体" w:eastAsia="宋体" w:cs="宋体"/>
        </w:rPr>
      </w:pPr>
      <w:r>
        <w:rPr>
          <w:rFonts w:hint="eastAsia" w:ascii="宋体" w:hAnsi="宋体" w:eastAsia="宋体" w:cs="宋体"/>
        </w:rPr>
        <w:t xml:space="preserve">邮编：        </w:t>
      </w:r>
    </w:p>
    <w:p>
      <w:pPr>
        <w:pStyle w:val="80"/>
        <w:ind w:firstLine="480"/>
        <w:rPr>
          <w:rFonts w:hint="eastAsia" w:ascii="宋体" w:hAnsi="宋体" w:eastAsia="宋体" w:cs="宋体"/>
        </w:rPr>
      </w:pPr>
      <w:r>
        <w:rPr>
          <w:rFonts w:hint="eastAsia" w:ascii="宋体" w:hAnsi="宋体" w:eastAsia="宋体" w:cs="宋体"/>
        </w:rPr>
        <w:t xml:space="preserve">电话：        传真：                   </w:t>
      </w:r>
    </w:p>
    <w:p>
      <w:pPr>
        <w:pStyle w:val="80"/>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80"/>
        <w:ind w:firstLine="480"/>
        <w:rPr>
          <w:rFonts w:hint="eastAsia" w:ascii="宋体" w:hAnsi="宋体" w:eastAsia="宋体" w:cs="宋体"/>
        </w:rPr>
      </w:pPr>
      <w:r>
        <w:rPr>
          <w:rFonts w:hint="eastAsia" w:ascii="宋体" w:hAnsi="宋体" w:eastAsia="宋体" w:cs="宋体"/>
        </w:rPr>
        <w:t xml:space="preserve">开户银行：                   </w:t>
      </w:r>
    </w:p>
    <w:p>
      <w:pPr>
        <w:pStyle w:val="80"/>
        <w:ind w:firstLine="480"/>
        <w:rPr>
          <w:rFonts w:hint="eastAsia" w:ascii="宋体" w:hAnsi="宋体" w:eastAsia="宋体" w:cs="宋体"/>
        </w:rPr>
      </w:pPr>
      <w:r>
        <w:rPr>
          <w:rFonts w:hint="eastAsia" w:ascii="宋体" w:hAnsi="宋体" w:eastAsia="宋体" w:cs="宋体"/>
        </w:rPr>
        <w:t>银行帐号：</w:t>
      </w:r>
    </w:p>
    <w:p>
      <w:pPr>
        <w:pStyle w:val="80"/>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80"/>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80"/>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2"/>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附件2 法定代表人授权委托书</w:t>
      </w:r>
    </w:p>
    <w:p>
      <w:pPr>
        <w:pStyle w:val="14"/>
        <w:adjustRightInd w:val="0"/>
        <w:snapToGrid w:val="0"/>
        <w:spacing w:before="93" w:beforeLines="30" w:line="240" w:lineRule="exact"/>
        <w:jc w:val="center"/>
        <w:rPr>
          <w:rFonts w:hint="eastAsia" w:ascii="宋体" w:hAnsi="宋体" w:eastAsia="宋体" w:cs="宋体"/>
          <w:sz w:val="24"/>
        </w:rPr>
      </w:pPr>
    </w:p>
    <w:p>
      <w:pPr>
        <w:pStyle w:val="80"/>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80"/>
        <w:ind w:firstLine="480"/>
        <w:rPr>
          <w:rFonts w:hint="eastAsia" w:ascii="宋体" w:hAnsi="宋体" w:eastAsia="宋体" w:cs="宋体"/>
        </w:rPr>
      </w:pPr>
      <w:r>
        <w:rPr>
          <w:rFonts w:hint="eastAsia" w:ascii="宋体" w:hAnsi="宋体" w:eastAsia="宋体" w:cs="宋体"/>
        </w:rPr>
        <w:t>全权代表无转委权。特此委托。</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80"/>
        <w:ind w:firstLine="480"/>
        <w:rPr>
          <w:rFonts w:hint="eastAsia" w:ascii="宋体" w:hAnsi="宋体" w:eastAsia="宋体" w:cs="宋体"/>
        </w:rPr>
      </w:pPr>
      <w:r>
        <w:rPr>
          <w:rFonts w:hint="eastAsia" w:ascii="宋体" w:hAnsi="宋体" w:eastAsia="宋体" w:cs="宋体"/>
        </w:rPr>
        <w:t>全权代表姓名：            性别：          年龄：</w:t>
      </w:r>
    </w:p>
    <w:p>
      <w:pPr>
        <w:pStyle w:val="80"/>
        <w:ind w:firstLine="480"/>
        <w:rPr>
          <w:rFonts w:hint="eastAsia" w:ascii="宋体" w:hAnsi="宋体" w:eastAsia="宋体" w:cs="宋体"/>
        </w:rPr>
      </w:pPr>
      <w:r>
        <w:rPr>
          <w:rFonts w:hint="eastAsia" w:ascii="宋体" w:hAnsi="宋体" w:eastAsia="宋体" w:cs="宋体"/>
        </w:rPr>
        <w:t>单位：                    部门：          职务：</w:t>
      </w:r>
    </w:p>
    <w:p>
      <w:pPr>
        <w:pStyle w:val="80"/>
        <w:ind w:firstLine="480"/>
        <w:rPr>
          <w:rFonts w:hint="eastAsia" w:ascii="宋体" w:hAnsi="宋体" w:eastAsia="宋体" w:cs="宋体"/>
        </w:rPr>
      </w:pPr>
      <w:r>
        <w:rPr>
          <w:rFonts w:hint="eastAsia" w:ascii="宋体" w:hAnsi="宋体" w:eastAsia="宋体" w:cs="宋体"/>
        </w:rPr>
        <w:t xml:space="preserve">法定代表人签字或盖章                          </w:t>
      </w:r>
    </w:p>
    <w:p>
      <w:pPr>
        <w:pStyle w:val="80"/>
        <w:ind w:firstLine="480"/>
        <w:rPr>
          <w:rFonts w:hint="eastAsia" w:ascii="宋体" w:hAnsi="宋体" w:eastAsia="宋体" w:cs="宋体"/>
        </w:rPr>
      </w:pPr>
      <w:r>
        <w:rPr>
          <w:rFonts w:hint="eastAsia" w:ascii="宋体" w:hAnsi="宋体" w:eastAsia="宋体" w:cs="宋体"/>
        </w:rPr>
        <w:t xml:space="preserve">被授权人签字  </w:t>
      </w:r>
    </w:p>
    <w:p>
      <w:pPr>
        <w:pStyle w:val="80"/>
        <w:ind w:firstLine="480"/>
        <w:rPr>
          <w:rFonts w:hint="eastAsia" w:ascii="宋体" w:hAnsi="宋体" w:eastAsia="宋体" w:cs="宋体"/>
        </w:rPr>
      </w:pPr>
      <w:r>
        <w:rPr>
          <w:rFonts w:hint="eastAsia" w:ascii="宋体" w:hAnsi="宋体" w:eastAsia="宋体" w:cs="宋体"/>
        </w:rPr>
        <w:t xml:space="preserve">被授权人电话：                          </w:t>
      </w:r>
    </w:p>
    <w:p>
      <w:pPr>
        <w:pStyle w:val="80"/>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6"/>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80"/>
        <w:ind w:firstLine="480"/>
        <w:rPr>
          <w:rFonts w:hint="eastAsia" w:ascii="宋体" w:hAnsi="宋体" w:eastAsia="宋体" w:cs="宋体"/>
        </w:rPr>
      </w:pPr>
      <w:r>
        <w:rPr>
          <w:rFonts w:hint="eastAsia" w:ascii="宋体" w:hAnsi="宋体" w:eastAsia="宋体" w:cs="宋体"/>
        </w:rPr>
        <w:t xml:space="preserve">项目名称：                                                           </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4"/>
              <w:rPr>
                <w:rFonts w:hint="eastAsia" w:ascii="宋体" w:hAnsi="宋体" w:eastAsia="宋体" w:cs="宋体"/>
              </w:rPr>
            </w:pPr>
            <w:r>
              <w:rPr>
                <w:rFonts w:hint="eastAsia" w:ascii="宋体" w:hAnsi="宋体" w:eastAsia="宋体" w:cs="宋体"/>
              </w:rPr>
              <w:t>序号</w:t>
            </w:r>
          </w:p>
        </w:tc>
        <w:tc>
          <w:tcPr>
            <w:tcW w:w="1903" w:type="pct"/>
            <w:vAlign w:val="center"/>
          </w:tcPr>
          <w:p>
            <w:pPr>
              <w:pStyle w:val="84"/>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4"/>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4"/>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4"/>
              <w:rPr>
                <w:rFonts w:hint="default" w:ascii="宋体" w:hAnsi="宋体" w:eastAsia="宋体" w:cs="宋体"/>
                <w:sz w:val="24"/>
                <w:lang w:val="en-US" w:eastAsia="zh-CN"/>
              </w:rPr>
            </w:pPr>
            <w:r>
              <w:rPr>
                <w:rFonts w:hint="eastAsia" w:ascii="宋体" w:hAnsi="宋体" w:eastAsia="宋体" w:cs="宋体"/>
                <w:sz w:val="24"/>
                <w:lang w:val="en-US" w:eastAsia="zh-CN"/>
              </w:rPr>
              <w:t>按照技术协议书要求提供相应服务</w:t>
            </w: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rPr>
            </w:pPr>
          </w:p>
        </w:tc>
        <w:tc>
          <w:tcPr>
            <w:tcW w:w="1903" w:type="pct"/>
          </w:tcPr>
          <w:p>
            <w:pPr>
              <w:pStyle w:val="84"/>
              <w:rPr>
                <w:rFonts w:hint="eastAsia" w:ascii="宋体" w:hAnsi="宋体" w:eastAsia="宋体" w:cs="宋体"/>
                <w:sz w:val="24"/>
              </w:rPr>
            </w:pP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80"/>
        <w:ind w:firstLine="480"/>
        <w:rPr>
          <w:rFonts w:hint="eastAsia" w:ascii="宋体" w:hAnsi="宋体" w:eastAsia="宋体" w:cs="宋体"/>
        </w:rPr>
      </w:pPr>
      <w:r>
        <w:rPr>
          <w:rFonts w:hint="eastAsia" w:ascii="宋体" w:hAnsi="宋体" w:eastAsia="宋体" w:cs="宋体"/>
        </w:rPr>
        <w:t>项目名称：</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7"/>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7"/>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7"/>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7"/>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7"/>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7"/>
              <w:jc w:val="center"/>
              <w:rPr>
                <w:rFonts w:hint="eastAsia" w:ascii="宋体" w:hAnsi="宋体" w:eastAsia="宋体" w:cs="宋体"/>
                <w:b/>
                <w:szCs w:val="21"/>
              </w:rPr>
            </w:pPr>
            <w:r>
              <w:rPr>
                <w:rFonts w:hint="eastAsia" w:ascii="宋体" w:hAnsi="宋体" w:eastAsia="宋体" w:cs="宋体"/>
                <w:b/>
                <w:szCs w:val="21"/>
              </w:rPr>
              <w:t>联系人及</w:t>
            </w:r>
          </w:p>
          <w:p>
            <w:pPr>
              <w:pStyle w:val="27"/>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7"/>
              <w:rPr>
                <w:rFonts w:hint="eastAsia" w:ascii="宋体" w:hAnsi="宋体" w:eastAsia="宋体" w:cs="宋体"/>
                <w:b/>
              </w:rPr>
            </w:pPr>
          </w:p>
        </w:tc>
        <w:tc>
          <w:tcPr>
            <w:tcW w:w="1264" w:type="pct"/>
          </w:tcPr>
          <w:p>
            <w:pPr>
              <w:pStyle w:val="27"/>
              <w:rPr>
                <w:rFonts w:hint="eastAsia" w:ascii="宋体" w:hAnsi="宋体" w:eastAsia="宋体" w:cs="宋体"/>
                <w:b/>
              </w:rPr>
            </w:pPr>
          </w:p>
        </w:tc>
        <w:tc>
          <w:tcPr>
            <w:tcW w:w="1144" w:type="pct"/>
          </w:tcPr>
          <w:p>
            <w:pPr>
              <w:pStyle w:val="27"/>
              <w:rPr>
                <w:rFonts w:hint="eastAsia" w:ascii="宋体" w:hAnsi="宋体" w:eastAsia="宋体" w:cs="宋体"/>
                <w:b/>
              </w:rPr>
            </w:pPr>
          </w:p>
        </w:tc>
        <w:tc>
          <w:tcPr>
            <w:tcW w:w="688" w:type="pct"/>
          </w:tcPr>
          <w:p>
            <w:pPr>
              <w:pStyle w:val="27"/>
              <w:rPr>
                <w:rFonts w:hint="eastAsia" w:ascii="宋体" w:hAnsi="宋体" w:eastAsia="宋体" w:cs="宋体"/>
                <w:b/>
              </w:rPr>
            </w:pPr>
          </w:p>
        </w:tc>
        <w:tc>
          <w:tcPr>
            <w:tcW w:w="611" w:type="pct"/>
          </w:tcPr>
          <w:p>
            <w:pPr>
              <w:pStyle w:val="27"/>
              <w:rPr>
                <w:rFonts w:hint="eastAsia" w:ascii="宋体" w:hAnsi="宋体" w:eastAsia="宋体" w:cs="宋体"/>
                <w:b/>
              </w:rPr>
            </w:pPr>
          </w:p>
        </w:tc>
        <w:tc>
          <w:tcPr>
            <w:tcW w:w="819" w:type="pct"/>
          </w:tcPr>
          <w:p>
            <w:pPr>
              <w:pStyle w:val="27"/>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80"/>
        <w:ind w:firstLine="480"/>
        <w:rPr>
          <w:rFonts w:hint="eastAsia" w:ascii="宋体" w:hAnsi="宋体" w:eastAsia="宋体" w:cs="宋体"/>
          <w:b/>
        </w:rPr>
      </w:pPr>
      <w:r>
        <w:rPr>
          <w:rFonts w:hint="eastAsia" w:ascii="宋体" w:hAnsi="宋体" w:eastAsia="宋体" w:cs="宋体"/>
          <w:b/>
        </w:rPr>
        <w:t>《开标一览表》单独封存，以备唱标使用</w:t>
      </w:r>
    </w:p>
    <w:p>
      <w:pPr>
        <w:pStyle w:val="80"/>
        <w:ind w:firstLine="480"/>
        <w:rPr>
          <w:rFonts w:hint="eastAsia" w:ascii="宋体" w:hAnsi="宋体" w:eastAsia="宋体" w:cs="宋体"/>
        </w:rPr>
      </w:pPr>
      <w:r>
        <w:rPr>
          <w:rFonts w:hint="eastAsia" w:ascii="宋体" w:hAnsi="宋体" w:eastAsia="宋体" w:cs="宋体"/>
        </w:rPr>
        <w:t>项目名称：</w:t>
      </w:r>
    </w:p>
    <w:tbl>
      <w:tblPr>
        <w:tblStyle w:val="34"/>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82"/>
        <w:gridCol w:w="1132"/>
        <w:gridCol w:w="1351"/>
        <w:gridCol w:w="648"/>
        <w:gridCol w:w="736"/>
        <w:gridCol w:w="1048"/>
        <w:gridCol w:w="1189"/>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pPr>
              <w:pStyle w:val="84"/>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358" w:type="pct"/>
            <w:vAlign w:val="center"/>
          </w:tcPr>
          <w:p>
            <w:pPr>
              <w:pStyle w:val="84"/>
              <w:rPr>
                <w:rFonts w:hint="eastAsia" w:ascii="宋体" w:hAnsi="宋体" w:eastAsia="宋体" w:cs="宋体"/>
              </w:rPr>
            </w:pPr>
            <w:r>
              <w:rPr>
                <w:rFonts w:hint="eastAsia" w:ascii="宋体" w:hAnsi="宋体" w:eastAsia="宋体" w:cs="宋体"/>
              </w:rPr>
              <w:t>序号</w:t>
            </w:r>
          </w:p>
        </w:tc>
        <w:tc>
          <w:tcPr>
            <w:tcW w:w="690" w:type="pct"/>
            <w:vAlign w:val="center"/>
          </w:tcPr>
          <w:p>
            <w:pPr>
              <w:pStyle w:val="84"/>
              <w:rPr>
                <w:rFonts w:hint="eastAsia" w:ascii="宋体" w:hAnsi="宋体" w:eastAsia="宋体" w:cs="宋体"/>
              </w:rPr>
            </w:pPr>
            <w:r>
              <w:rPr>
                <w:rFonts w:hint="eastAsia" w:ascii="宋体" w:hAnsi="宋体" w:eastAsia="宋体" w:cs="宋体"/>
              </w:rPr>
              <w:t>项目名称</w:t>
            </w:r>
          </w:p>
        </w:tc>
        <w:tc>
          <w:tcPr>
            <w:tcW w:w="609" w:type="pct"/>
            <w:vAlign w:val="center"/>
          </w:tcPr>
          <w:p>
            <w:pPr>
              <w:pStyle w:val="84"/>
              <w:rPr>
                <w:rFonts w:hint="eastAsia" w:ascii="宋体" w:hAnsi="宋体" w:eastAsia="宋体" w:cs="宋体"/>
              </w:rPr>
            </w:pPr>
            <w:r>
              <w:rPr>
                <w:rFonts w:hint="eastAsia" w:ascii="宋体" w:hAnsi="宋体" w:eastAsia="宋体" w:cs="宋体"/>
                <w:lang w:val="en-US" w:eastAsia="zh-CN"/>
              </w:rPr>
              <w:t>基准</w:t>
            </w:r>
            <w:r>
              <w:rPr>
                <w:rFonts w:hint="eastAsia" w:ascii="宋体" w:hAnsi="宋体" w:eastAsia="宋体" w:cs="宋体"/>
              </w:rPr>
              <w:t>总价</w:t>
            </w:r>
          </w:p>
          <w:p>
            <w:pPr>
              <w:pStyle w:val="84"/>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万</w:t>
            </w:r>
            <w:r>
              <w:rPr>
                <w:rFonts w:hint="eastAsia" w:ascii="宋体" w:hAnsi="宋体" w:eastAsia="宋体" w:cs="宋体"/>
              </w:rPr>
              <w:t>元</w:t>
            </w:r>
            <w:r>
              <w:rPr>
                <w:rFonts w:hint="eastAsia" w:ascii="宋体" w:hAnsi="宋体" w:eastAsia="宋体" w:cs="宋体"/>
                <w:lang w:val="en-US" w:eastAsia="zh-CN"/>
              </w:rPr>
              <w:t>/不含税</w:t>
            </w:r>
            <w:r>
              <w:rPr>
                <w:rFonts w:hint="eastAsia" w:ascii="宋体" w:hAnsi="宋体" w:eastAsia="宋体" w:cs="宋体"/>
              </w:rPr>
              <w:t>）</w:t>
            </w:r>
          </w:p>
        </w:tc>
        <w:tc>
          <w:tcPr>
            <w:tcW w:w="727" w:type="pct"/>
            <w:vAlign w:val="center"/>
          </w:tcPr>
          <w:p>
            <w:pPr>
              <w:pStyle w:val="84"/>
              <w:rPr>
                <w:rFonts w:hint="eastAsia" w:ascii="宋体" w:hAnsi="宋体" w:eastAsia="宋体" w:cs="宋体"/>
              </w:rPr>
            </w:pPr>
            <w:r>
              <w:rPr>
                <w:rFonts w:hint="eastAsia" w:ascii="宋体" w:hAnsi="宋体" w:eastAsia="宋体" w:cs="宋体"/>
                <w:lang w:val="en-US" w:eastAsia="zh-CN"/>
              </w:rPr>
              <w:t>基准</w:t>
            </w:r>
            <w:r>
              <w:rPr>
                <w:rFonts w:hint="eastAsia" w:ascii="宋体" w:hAnsi="宋体" w:eastAsia="宋体" w:cs="宋体"/>
              </w:rPr>
              <w:t>总价</w:t>
            </w:r>
          </w:p>
          <w:p>
            <w:pPr>
              <w:pStyle w:val="84"/>
              <w:rPr>
                <w:rFonts w:hint="eastAsia" w:ascii="宋体" w:hAnsi="宋体" w:eastAsia="宋体" w:cs="宋体"/>
                <w:b/>
                <w:kern w:val="2"/>
                <w:sz w:val="21"/>
                <w:szCs w:val="22"/>
                <w:lang w:val="en-US" w:eastAsia="zh-CN" w:bidi="ar-SA"/>
              </w:rPr>
            </w:pPr>
            <w:r>
              <w:rPr>
                <w:rFonts w:hint="eastAsia" w:ascii="宋体" w:hAnsi="宋体" w:eastAsia="宋体" w:cs="宋体"/>
              </w:rPr>
              <w:t>（</w:t>
            </w:r>
            <w:r>
              <w:rPr>
                <w:rFonts w:hint="eastAsia" w:ascii="宋体" w:hAnsi="宋体" w:eastAsia="宋体" w:cs="宋体"/>
                <w:lang w:val="en-US" w:eastAsia="zh-CN"/>
              </w:rPr>
              <w:t>万</w:t>
            </w:r>
            <w:r>
              <w:rPr>
                <w:rFonts w:hint="eastAsia" w:ascii="宋体" w:hAnsi="宋体" w:eastAsia="宋体" w:cs="宋体"/>
              </w:rPr>
              <w:t>元</w:t>
            </w:r>
            <w:r>
              <w:rPr>
                <w:rFonts w:hint="eastAsia" w:ascii="宋体" w:hAnsi="宋体" w:eastAsia="宋体" w:cs="宋体"/>
                <w:lang w:val="en-US" w:eastAsia="zh-CN"/>
              </w:rPr>
              <w:t>/含税</w:t>
            </w:r>
            <w:r>
              <w:rPr>
                <w:rFonts w:hint="eastAsia" w:ascii="宋体" w:hAnsi="宋体" w:eastAsia="宋体" w:cs="宋体"/>
              </w:rPr>
              <w:t>）</w:t>
            </w:r>
          </w:p>
        </w:tc>
        <w:tc>
          <w:tcPr>
            <w:tcW w:w="348" w:type="pct"/>
            <w:vAlign w:val="center"/>
          </w:tcPr>
          <w:p>
            <w:pPr>
              <w:pStyle w:val="84"/>
              <w:rPr>
                <w:rFonts w:hint="default" w:ascii="宋体" w:hAnsi="宋体" w:eastAsia="宋体" w:cs="宋体"/>
                <w:szCs w:val="21"/>
                <w:lang w:val="en-US" w:eastAsia="zh-CN"/>
              </w:rPr>
            </w:pPr>
            <w:r>
              <w:rPr>
                <w:rFonts w:hint="eastAsia" w:ascii="宋体" w:hAnsi="宋体" w:eastAsia="宋体" w:cs="宋体"/>
                <w:szCs w:val="21"/>
                <w:lang w:val="en-US" w:eastAsia="zh-CN"/>
              </w:rPr>
              <w:t>折扣</w:t>
            </w:r>
          </w:p>
        </w:tc>
        <w:tc>
          <w:tcPr>
            <w:tcW w:w="396" w:type="pct"/>
            <w:vAlign w:val="center"/>
          </w:tcPr>
          <w:p>
            <w:pPr>
              <w:pStyle w:val="84"/>
              <w:rPr>
                <w:rFonts w:hint="eastAsia" w:ascii="宋体" w:hAnsi="宋体" w:eastAsia="宋体" w:cs="宋体"/>
                <w:szCs w:val="21"/>
              </w:rPr>
            </w:pPr>
            <w:r>
              <w:rPr>
                <w:rFonts w:hint="eastAsia" w:ascii="宋体" w:hAnsi="宋体" w:eastAsia="宋体" w:cs="宋体"/>
                <w:szCs w:val="21"/>
              </w:rPr>
              <w:t>税率</w:t>
            </w:r>
          </w:p>
        </w:tc>
        <w:tc>
          <w:tcPr>
            <w:tcW w:w="564" w:type="pct"/>
            <w:vAlign w:val="center"/>
          </w:tcPr>
          <w:p>
            <w:pPr>
              <w:pStyle w:val="84"/>
              <w:rPr>
                <w:rFonts w:hint="eastAsia" w:ascii="宋体" w:hAnsi="宋体" w:eastAsia="宋体" w:cs="宋体"/>
              </w:rPr>
            </w:pPr>
            <w:r>
              <w:rPr>
                <w:rFonts w:hint="eastAsia" w:ascii="宋体" w:hAnsi="宋体" w:eastAsia="宋体" w:cs="宋体"/>
              </w:rPr>
              <w:t>质保期</w:t>
            </w:r>
          </w:p>
          <w:p>
            <w:pPr>
              <w:pStyle w:val="84"/>
              <w:rPr>
                <w:rFonts w:hint="eastAsia" w:ascii="宋体" w:hAnsi="宋体" w:eastAsia="宋体" w:cs="宋体"/>
              </w:rPr>
            </w:pPr>
            <w:r>
              <w:rPr>
                <w:rFonts w:hint="eastAsia" w:ascii="宋体" w:hAnsi="宋体" w:eastAsia="宋体" w:cs="宋体"/>
              </w:rPr>
              <w:t>（若有）</w:t>
            </w:r>
          </w:p>
        </w:tc>
        <w:tc>
          <w:tcPr>
            <w:tcW w:w="640" w:type="pct"/>
            <w:vAlign w:val="center"/>
          </w:tcPr>
          <w:p>
            <w:pPr>
              <w:pStyle w:val="84"/>
              <w:rPr>
                <w:rFonts w:hint="eastAsia" w:ascii="宋体" w:hAnsi="宋体" w:eastAsia="宋体" w:cs="宋体"/>
              </w:rPr>
            </w:pPr>
            <w:r>
              <w:rPr>
                <w:rFonts w:hint="eastAsia" w:ascii="宋体" w:hAnsi="宋体" w:eastAsia="宋体" w:cs="宋体"/>
              </w:rPr>
              <w:t>付款方式及比例如何响应</w:t>
            </w:r>
          </w:p>
        </w:tc>
        <w:tc>
          <w:tcPr>
            <w:tcW w:w="664" w:type="pct"/>
            <w:vAlign w:val="center"/>
          </w:tcPr>
          <w:p>
            <w:pPr>
              <w:pStyle w:val="84"/>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358" w:type="pct"/>
            <w:vAlign w:val="center"/>
          </w:tcPr>
          <w:p>
            <w:pPr>
              <w:pStyle w:val="84"/>
              <w:rPr>
                <w:rFonts w:hint="eastAsia" w:ascii="宋体" w:hAnsi="宋体" w:eastAsia="宋体" w:cs="宋体"/>
              </w:rPr>
            </w:pPr>
            <w:r>
              <w:rPr>
                <w:rFonts w:hint="eastAsia" w:ascii="宋体" w:hAnsi="宋体" w:eastAsia="宋体" w:cs="宋体"/>
              </w:rPr>
              <w:t>1</w:t>
            </w:r>
          </w:p>
        </w:tc>
        <w:tc>
          <w:tcPr>
            <w:tcW w:w="690" w:type="pct"/>
            <w:vAlign w:val="center"/>
          </w:tcPr>
          <w:p>
            <w:pPr>
              <w:pStyle w:val="84"/>
              <w:jc w:val="both"/>
              <w:rPr>
                <w:rFonts w:hint="default" w:ascii="宋体" w:hAnsi="宋体" w:eastAsia="宋体" w:cs="宋体"/>
                <w:lang w:val="en-US" w:eastAsia="zh-CN"/>
              </w:rPr>
            </w:pPr>
            <w:r>
              <w:rPr>
                <w:rFonts w:hint="eastAsia" w:ascii="宋体" w:hAnsi="宋体" w:eastAsia="宋体" w:cs="宋体"/>
                <w:b w:val="0"/>
                <w:bCs/>
              </w:rPr>
              <w:t>工装夹具外协加工服务</w:t>
            </w:r>
            <w:r>
              <w:rPr>
                <w:rFonts w:hint="eastAsia" w:ascii="宋体" w:hAnsi="宋体" w:eastAsia="宋体" w:cs="宋体"/>
                <w:b w:val="0"/>
                <w:bCs/>
                <w:lang w:val="en-US" w:eastAsia="zh-CN"/>
              </w:rPr>
              <w:t>-材料</w:t>
            </w:r>
          </w:p>
        </w:tc>
        <w:tc>
          <w:tcPr>
            <w:tcW w:w="609" w:type="pct"/>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56</w:t>
            </w:r>
          </w:p>
        </w:tc>
        <w:tc>
          <w:tcPr>
            <w:tcW w:w="727" w:type="pct"/>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97</w:t>
            </w:r>
          </w:p>
        </w:tc>
        <w:tc>
          <w:tcPr>
            <w:tcW w:w="348" w:type="pct"/>
            <w:vAlign w:val="center"/>
          </w:tcPr>
          <w:p>
            <w:pPr>
              <w:pStyle w:val="84"/>
              <w:rPr>
                <w:rFonts w:hint="eastAsia" w:ascii="宋体" w:hAnsi="宋体" w:eastAsia="宋体" w:cs="宋体"/>
              </w:rPr>
            </w:pPr>
          </w:p>
        </w:tc>
        <w:tc>
          <w:tcPr>
            <w:tcW w:w="396" w:type="pct"/>
            <w:vAlign w:val="center"/>
          </w:tcPr>
          <w:p>
            <w:pPr>
              <w:pStyle w:val="84"/>
              <w:rPr>
                <w:rFonts w:hint="eastAsia" w:ascii="宋体" w:hAnsi="宋体" w:eastAsia="宋体" w:cs="宋体"/>
              </w:rPr>
            </w:pPr>
          </w:p>
        </w:tc>
        <w:tc>
          <w:tcPr>
            <w:tcW w:w="564" w:type="pct"/>
            <w:vAlign w:val="center"/>
          </w:tcPr>
          <w:p>
            <w:pPr>
              <w:pStyle w:val="84"/>
              <w:rPr>
                <w:rFonts w:hint="eastAsia" w:ascii="宋体" w:hAnsi="宋体" w:eastAsia="宋体" w:cs="宋体"/>
              </w:rPr>
            </w:pPr>
          </w:p>
        </w:tc>
        <w:tc>
          <w:tcPr>
            <w:tcW w:w="640" w:type="pct"/>
            <w:vAlign w:val="center"/>
          </w:tcPr>
          <w:p>
            <w:pPr>
              <w:pStyle w:val="84"/>
              <w:rPr>
                <w:rFonts w:hint="eastAsia" w:ascii="宋体" w:hAnsi="宋体" w:eastAsia="宋体" w:cs="宋体"/>
              </w:rPr>
            </w:pPr>
          </w:p>
        </w:tc>
        <w:tc>
          <w:tcPr>
            <w:tcW w:w="664" w:type="pct"/>
            <w:vAlign w:val="center"/>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358" w:type="pct"/>
            <w:vAlign w:val="center"/>
          </w:tcPr>
          <w:p>
            <w:pPr>
              <w:pStyle w:val="84"/>
              <w:rPr>
                <w:rFonts w:hint="eastAsia" w:ascii="宋体" w:hAnsi="宋体" w:eastAsia="宋体" w:cs="宋体"/>
                <w:lang w:val="en-US" w:eastAsia="zh-CN"/>
              </w:rPr>
            </w:pPr>
            <w:r>
              <w:rPr>
                <w:rFonts w:hint="eastAsia" w:ascii="宋体" w:hAnsi="宋体" w:eastAsia="宋体" w:cs="宋体"/>
                <w:lang w:val="en-US" w:eastAsia="zh-CN"/>
              </w:rPr>
              <w:t>2</w:t>
            </w:r>
          </w:p>
        </w:tc>
        <w:tc>
          <w:tcPr>
            <w:tcW w:w="690" w:type="pct"/>
            <w:vAlign w:val="center"/>
          </w:tcPr>
          <w:p>
            <w:pPr>
              <w:pStyle w:val="84"/>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lang w:val="en-US"/>
              </w:rPr>
            </w:pPr>
            <w:r>
              <w:rPr>
                <w:rFonts w:hint="eastAsia" w:ascii="宋体" w:hAnsi="宋体" w:eastAsia="宋体" w:cs="宋体"/>
                <w:b w:val="0"/>
                <w:bCs/>
              </w:rPr>
              <w:t>工装夹具外协加工服务</w:t>
            </w:r>
            <w:r>
              <w:rPr>
                <w:rFonts w:hint="eastAsia" w:ascii="宋体" w:hAnsi="宋体" w:eastAsia="宋体" w:cs="宋体"/>
                <w:b w:val="0"/>
                <w:bCs/>
                <w:lang w:val="en-US" w:eastAsia="zh-CN"/>
              </w:rPr>
              <w:t>-加工工序</w:t>
            </w:r>
          </w:p>
        </w:tc>
        <w:tc>
          <w:tcPr>
            <w:tcW w:w="609" w:type="pct"/>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9</w:t>
            </w:r>
          </w:p>
        </w:tc>
        <w:tc>
          <w:tcPr>
            <w:tcW w:w="727" w:type="pct"/>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0</w:t>
            </w:r>
            <w:r>
              <w:rPr>
                <w:rFonts w:hint="eastAsia" w:ascii="宋体" w:hAnsi="宋体" w:cs="宋体"/>
                <w:i w:val="0"/>
                <w:iCs w:val="0"/>
                <w:color w:val="000000"/>
                <w:kern w:val="0"/>
                <w:sz w:val="22"/>
                <w:szCs w:val="22"/>
                <w:u w:val="none"/>
                <w:lang w:val="en-US" w:eastAsia="zh-CN" w:bidi="ar"/>
              </w:rPr>
              <w:t>3</w:t>
            </w:r>
          </w:p>
        </w:tc>
        <w:tc>
          <w:tcPr>
            <w:tcW w:w="348" w:type="pct"/>
            <w:vAlign w:val="center"/>
          </w:tcPr>
          <w:p>
            <w:pPr>
              <w:pStyle w:val="84"/>
              <w:rPr>
                <w:rFonts w:hint="eastAsia" w:ascii="宋体" w:hAnsi="宋体" w:eastAsia="宋体" w:cs="宋体"/>
              </w:rPr>
            </w:pPr>
          </w:p>
        </w:tc>
        <w:tc>
          <w:tcPr>
            <w:tcW w:w="396" w:type="pct"/>
            <w:vAlign w:val="center"/>
          </w:tcPr>
          <w:p>
            <w:pPr>
              <w:pStyle w:val="84"/>
              <w:rPr>
                <w:rFonts w:hint="eastAsia" w:ascii="宋体" w:hAnsi="宋体" w:eastAsia="宋体" w:cs="宋体"/>
              </w:rPr>
            </w:pPr>
          </w:p>
        </w:tc>
        <w:tc>
          <w:tcPr>
            <w:tcW w:w="564" w:type="pct"/>
            <w:vAlign w:val="center"/>
          </w:tcPr>
          <w:p>
            <w:pPr>
              <w:pStyle w:val="84"/>
              <w:rPr>
                <w:rFonts w:hint="eastAsia" w:ascii="宋体" w:hAnsi="宋体" w:eastAsia="宋体" w:cs="宋体"/>
              </w:rPr>
            </w:pPr>
          </w:p>
        </w:tc>
        <w:tc>
          <w:tcPr>
            <w:tcW w:w="640" w:type="pct"/>
            <w:vAlign w:val="center"/>
          </w:tcPr>
          <w:p>
            <w:pPr>
              <w:pStyle w:val="84"/>
              <w:rPr>
                <w:rFonts w:hint="eastAsia" w:ascii="宋体" w:hAnsi="宋体" w:eastAsia="宋体" w:cs="宋体"/>
              </w:rPr>
            </w:pPr>
          </w:p>
        </w:tc>
        <w:tc>
          <w:tcPr>
            <w:tcW w:w="664" w:type="pct"/>
            <w:vAlign w:val="center"/>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1048" w:type="pct"/>
            <w:gridSpan w:val="2"/>
            <w:vAlign w:val="center"/>
          </w:tcPr>
          <w:p>
            <w:pPr>
              <w:pStyle w:val="84"/>
              <w:rPr>
                <w:rFonts w:hint="eastAsia" w:ascii="宋体" w:hAnsi="宋体" w:eastAsia="宋体" w:cs="宋体"/>
              </w:rPr>
            </w:pPr>
            <w:r>
              <w:rPr>
                <w:rFonts w:hint="eastAsia" w:ascii="宋体" w:hAnsi="宋体" w:eastAsia="宋体" w:cs="宋体"/>
              </w:rPr>
              <w:t>合计</w:t>
            </w:r>
          </w:p>
        </w:tc>
        <w:tc>
          <w:tcPr>
            <w:tcW w:w="3951" w:type="pct"/>
            <w:gridSpan w:val="7"/>
            <w:vAlign w:val="center"/>
          </w:tcPr>
          <w:p>
            <w:pPr>
              <w:pStyle w:val="84"/>
              <w:rPr>
                <w:rFonts w:hint="eastAsia" w:ascii="宋体" w:hAnsi="宋体" w:eastAsia="宋体" w:cs="宋体"/>
              </w:rPr>
            </w:pPr>
          </w:p>
        </w:tc>
      </w:tr>
    </w:tbl>
    <w:p>
      <w:pPr>
        <w:pStyle w:val="80"/>
        <w:ind w:left="0" w:leftChars="0" w:firstLine="0" w:firstLineChars="0"/>
        <w:rPr>
          <w:rFonts w:hint="eastAsia" w:ascii="宋体" w:hAnsi="宋体" w:eastAsia="宋体" w:cs="宋体"/>
          <w:b/>
          <w:bCs/>
          <w:szCs w:val="21"/>
        </w:rPr>
      </w:pPr>
    </w:p>
    <w:p>
      <w:pPr>
        <w:pStyle w:val="80"/>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4、本项目报价上限为70万元（含税），折扣为同步折扣。</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6"/>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80"/>
        <w:ind w:firstLine="480"/>
        <w:rPr>
          <w:rFonts w:hint="eastAsia" w:ascii="宋体" w:hAnsi="宋体" w:eastAsia="宋体" w:cs="宋体"/>
        </w:rPr>
      </w:pPr>
      <w:r>
        <w:rPr>
          <w:rFonts w:hint="eastAsia" w:ascii="宋体" w:hAnsi="宋体" w:eastAsia="宋体" w:cs="宋体"/>
        </w:rPr>
        <w:t>项目名称：</w:t>
      </w:r>
    </w:p>
    <w:p>
      <w:pPr>
        <w:pStyle w:val="8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lang w:val="en-US" w:eastAsia="zh-CN"/>
        </w:rPr>
      </w:pPr>
      <w:r>
        <w:rPr>
          <w:rFonts w:hint="eastAsia" w:eastAsia="宋体" w:cs="宋体"/>
          <w:lang w:val="en-US" w:eastAsia="zh-CN"/>
        </w:rPr>
        <w:t>材料报价清单</w:t>
      </w:r>
    </w:p>
    <w:tbl>
      <w:tblPr>
        <w:tblStyle w:val="34"/>
        <w:tblW w:w="0" w:type="auto"/>
        <w:tblInd w:w="0" w:type="dxa"/>
        <w:tblLayout w:type="fixed"/>
        <w:tblCellMar>
          <w:top w:w="0" w:type="dxa"/>
          <w:left w:w="108" w:type="dxa"/>
          <w:bottom w:w="0" w:type="dxa"/>
          <w:right w:w="108" w:type="dxa"/>
        </w:tblCellMar>
      </w:tblPr>
      <w:tblGrid>
        <w:gridCol w:w="525"/>
        <w:gridCol w:w="2316"/>
        <w:gridCol w:w="1916"/>
        <w:gridCol w:w="1500"/>
        <w:gridCol w:w="702"/>
        <w:gridCol w:w="1491"/>
        <w:gridCol w:w="836"/>
      </w:tblGrid>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序号</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lang w:val="en-US" w:eastAsia="zh-CN"/>
              </w:rPr>
              <w:t>材料</w:t>
            </w:r>
            <w:r>
              <w:rPr>
                <w:rFonts w:hint="eastAsia" w:ascii="宋体" w:hAnsi="宋体" w:eastAsia="宋体" w:cs="宋体"/>
                <w:kern w:val="0"/>
                <w:sz w:val="20"/>
                <w:szCs w:val="20"/>
              </w:rPr>
              <w:t>名称</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计量单位</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sz w:val="20"/>
                <w:szCs w:val="20"/>
                <w:lang w:val="en-US" w:eastAsia="zh-CN"/>
              </w:rPr>
            </w:pPr>
            <w:r>
              <w:rPr>
                <w:rFonts w:hint="eastAsia" w:ascii="宋体" w:hAnsi="宋体" w:cs="宋体"/>
                <w:sz w:val="20"/>
                <w:szCs w:val="20"/>
                <w:lang w:val="en-US" w:eastAsia="zh-CN"/>
              </w:rPr>
              <w:t>未税</w:t>
            </w:r>
            <w:r>
              <w:rPr>
                <w:rFonts w:hint="eastAsia" w:ascii="宋体" w:hAnsi="宋体" w:eastAsia="宋体" w:cs="宋体"/>
                <w:sz w:val="20"/>
                <w:szCs w:val="20"/>
                <w:lang w:val="en-US" w:eastAsia="zh-CN"/>
              </w:rPr>
              <w:t>基准价格</w:t>
            </w:r>
          </w:p>
          <w:p>
            <w:pPr>
              <w:bidi w:val="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（元）</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预估数量</w:t>
            </w:r>
          </w:p>
        </w:tc>
        <w:tc>
          <w:tcPr>
            <w:tcW w:w="14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cs="宋体"/>
                <w:kern w:val="0"/>
                <w:sz w:val="20"/>
                <w:szCs w:val="20"/>
                <w:lang w:val="en-US" w:eastAsia="zh-CN"/>
              </w:rPr>
              <w:t>折扣后未税</w:t>
            </w:r>
            <w:r>
              <w:rPr>
                <w:rFonts w:hint="eastAsia" w:ascii="宋体" w:hAnsi="宋体" w:eastAsia="宋体" w:cs="宋体"/>
                <w:kern w:val="0"/>
                <w:sz w:val="20"/>
                <w:szCs w:val="20"/>
                <w:lang w:val="en-US" w:eastAsia="zh-CN"/>
              </w:rPr>
              <w:t>投标报价（元）</w:t>
            </w: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备注</w:t>
            </w: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rPr>
            </w:pPr>
            <w:r>
              <w:rPr>
                <w:rFonts w:hint="eastAsia" w:ascii="宋体" w:hAnsi="宋体" w:eastAsia="宋体" w:cs="宋体"/>
                <w:i w:val="0"/>
                <w:iCs w:val="0"/>
                <w:color w:val="000000"/>
                <w:kern w:val="0"/>
                <w:sz w:val="20"/>
                <w:szCs w:val="20"/>
                <w:u w:val="none"/>
                <w:lang w:val="en-US" w:eastAsia="zh-CN" w:bidi="ar"/>
              </w:rPr>
              <w:t>1</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highlight w:val="none"/>
              </w:rPr>
            </w:pPr>
            <w:r>
              <w:rPr>
                <w:rFonts w:hint="eastAsia" w:ascii="宋体" w:hAnsi="宋体" w:eastAsia="宋体" w:cs="宋体"/>
                <w:color w:val="000000"/>
                <w:kern w:val="0"/>
                <w:sz w:val="20"/>
                <w:szCs w:val="20"/>
                <w:highlight w:val="none"/>
              </w:rPr>
              <w:t>40Cr</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lang w:eastAsia="zh-CN"/>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5.89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1500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lang w:val="en-US" w:eastAsia="zh-CN"/>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rPr>
            </w:pPr>
            <w:r>
              <w:rPr>
                <w:rFonts w:hint="eastAsia" w:ascii="宋体" w:hAnsi="宋体" w:eastAsia="宋体" w:cs="宋体"/>
                <w:i w:val="0"/>
                <w:iCs w:val="0"/>
                <w:color w:val="000000"/>
                <w:kern w:val="0"/>
                <w:sz w:val="20"/>
                <w:szCs w:val="20"/>
                <w:u w:val="none"/>
                <w:lang w:val="en-US" w:eastAsia="zh-CN" w:bidi="ar"/>
              </w:rPr>
              <w:t>2</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highlight w:val="none"/>
              </w:rPr>
            </w:pPr>
            <w:r>
              <w:rPr>
                <w:rFonts w:hint="eastAsia" w:ascii="宋体" w:hAnsi="宋体" w:eastAsia="宋体" w:cs="宋体"/>
                <w:color w:val="000000"/>
                <w:kern w:val="0"/>
                <w:sz w:val="20"/>
                <w:szCs w:val="20"/>
                <w:highlight w:val="none"/>
              </w:rPr>
              <w:t>45#</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4.87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1200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rPr>
            </w:pPr>
            <w:r>
              <w:rPr>
                <w:rFonts w:hint="eastAsia" w:ascii="宋体" w:hAnsi="宋体" w:eastAsia="宋体" w:cs="宋体"/>
                <w:i w:val="0"/>
                <w:iCs w:val="0"/>
                <w:color w:val="000000"/>
                <w:kern w:val="0"/>
                <w:sz w:val="20"/>
                <w:szCs w:val="20"/>
                <w:u w:val="none"/>
                <w:lang w:val="en-US" w:eastAsia="zh-CN" w:bidi="ar"/>
              </w:rPr>
              <w:t>3</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highlight w:val="none"/>
              </w:rPr>
            </w:pPr>
            <w:r>
              <w:rPr>
                <w:rFonts w:hint="eastAsia" w:ascii="宋体" w:hAnsi="宋体" w:eastAsia="宋体" w:cs="宋体"/>
                <w:color w:val="000000"/>
                <w:kern w:val="0"/>
                <w:sz w:val="20"/>
                <w:szCs w:val="20"/>
                <w:highlight w:val="none"/>
              </w:rPr>
              <w:t>Q345B</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5.70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1190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4</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304不锈钢板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21.00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5</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316不锈钢板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26.60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250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6</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AS#</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17.10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250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7</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型材槽钢、方管、角铁</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5.89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400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8</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highlight w:val="none"/>
              </w:rPr>
            </w:pPr>
            <w:r>
              <w:rPr>
                <w:rFonts w:hint="eastAsia" w:ascii="宋体" w:hAnsi="宋体" w:eastAsia="宋体" w:cs="宋体"/>
                <w:color w:val="000000"/>
                <w:kern w:val="0"/>
                <w:sz w:val="20"/>
                <w:szCs w:val="20"/>
                <w:highlight w:val="none"/>
              </w:rPr>
              <w:t>42Cr</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6.27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401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9</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highlight w:val="none"/>
              </w:rPr>
            </w:pPr>
            <w:r>
              <w:rPr>
                <w:rFonts w:hint="eastAsia" w:ascii="宋体" w:hAnsi="宋体" w:eastAsia="宋体" w:cs="宋体"/>
                <w:color w:val="000000"/>
                <w:kern w:val="0"/>
                <w:sz w:val="20"/>
                <w:szCs w:val="20"/>
                <w:highlight w:val="none"/>
              </w:rPr>
              <w:t>Q235</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5.49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400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10</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铸钢件</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7.52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11</w:t>
            </w: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锻造件</w:t>
            </w:r>
          </w:p>
        </w:tc>
        <w:tc>
          <w:tcPr>
            <w:tcW w:w="1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7.60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12</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尼龙</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16.81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100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13</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304不锈钢圆钢</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 xml:space="preserve">15.93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316不锈钢圆钢</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22.12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15</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 xml:space="preserve">黄铜 </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54.63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16</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铝</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21.00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155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17</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Cr12</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15.93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280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18</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20CrMoTi</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7.41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400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19</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highlight w:val="none"/>
              </w:rPr>
            </w:pPr>
            <w:r>
              <w:rPr>
                <w:rFonts w:hint="eastAsia" w:ascii="宋体" w:hAnsi="宋体" w:eastAsia="宋体" w:cs="宋体"/>
                <w:color w:val="000000"/>
                <w:kern w:val="0"/>
                <w:sz w:val="20"/>
                <w:szCs w:val="20"/>
                <w:highlight w:val="none"/>
              </w:rPr>
              <w:t>锻打40Cr</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7.52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20</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highlight w:val="none"/>
              </w:rPr>
            </w:pPr>
            <w:r>
              <w:rPr>
                <w:rFonts w:hint="eastAsia" w:ascii="宋体" w:hAnsi="宋体" w:eastAsia="宋体" w:cs="宋体"/>
                <w:color w:val="000000"/>
                <w:kern w:val="0"/>
                <w:sz w:val="20"/>
                <w:szCs w:val="20"/>
                <w:highlight w:val="none"/>
              </w:rPr>
              <w:t>锻打45#</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7.13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21</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highlight w:val="none"/>
              </w:rPr>
            </w:pPr>
            <w:r>
              <w:rPr>
                <w:rFonts w:hint="eastAsia" w:ascii="宋体" w:hAnsi="宋体" w:eastAsia="宋体" w:cs="宋体"/>
                <w:color w:val="000000"/>
                <w:kern w:val="0"/>
                <w:sz w:val="20"/>
                <w:szCs w:val="20"/>
                <w:highlight w:val="none"/>
              </w:rPr>
              <w:t>锻打42CrMo</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7.96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22</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橡胶</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27.55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23</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HT600</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7.52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24</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普通钢板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5.51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25</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铝合金型材</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19.95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300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26</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细木工板</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kg</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135.00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27</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高密度泡沫</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张（2m×1m×9mm）</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420.00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120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28</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聚氨酯发泡胶ab组合料</w:t>
            </w:r>
          </w:p>
        </w:tc>
        <w:tc>
          <w:tcPr>
            <w:tcW w:w="1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lang w:val="en-US" w:eastAsia="zh-CN"/>
              </w:rPr>
              <w:t>块（2m×1m×300mm）</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32.00 </w:t>
            </w:r>
          </w:p>
        </w:tc>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 xml:space="preserve">200 </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r>
        <w:tblPrEx>
          <w:tblCellMar>
            <w:top w:w="0" w:type="dxa"/>
            <w:left w:w="108" w:type="dxa"/>
            <w:bottom w:w="0" w:type="dxa"/>
            <w:right w:w="108" w:type="dxa"/>
          </w:tblCellMar>
        </w:tblPrEx>
        <w:trPr>
          <w:trHeight w:val="624" w:hRule="atLeast"/>
        </w:trPr>
        <w:tc>
          <w:tcPr>
            <w:tcW w:w="695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color w:val="000000"/>
                <w:kern w:val="0"/>
                <w:sz w:val="20"/>
                <w:szCs w:val="20"/>
                <w:lang w:val="en-US" w:eastAsia="zh-CN"/>
              </w:rPr>
              <w:t>合计预估总价未税185604.40元</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c>
          <w:tcPr>
            <w:tcW w:w="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0"/>
                <w:szCs w:val="20"/>
              </w:rPr>
            </w:pPr>
          </w:p>
        </w:tc>
      </w:tr>
    </w:tbl>
    <w:p>
      <w:pPr>
        <w:pStyle w:val="80"/>
        <w:ind w:left="0" w:leftChars="0" w:firstLine="0" w:firstLineChars="0"/>
        <w:rPr>
          <w:rFonts w:hint="eastAsia" w:ascii="宋体" w:hAnsi="宋体" w:eastAsia="宋体" w:cs="宋体"/>
          <w:b/>
        </w:rPr>
      </w:pPr>
    </w:p>
    <w:p>
      <w:pPr>
        <w:rPr>
          <w:rFonts w:hint="eastAsia" w:eastAsia="宋体" w:cs="宋体"/>
          <w:lang w:val="en-US" w:eastAsia="zh-CN"/>
        </w:rPr>
      </w:pPr>
      <w:r>
        <w:rPr>
          <w:rFonts w:hint="eastAsia" w:eastAsia="宋体" w:cs="宋体"/>
          <w:lang w:val="en-US" w:eastAsia="zh-CN"/>
        </w:rPr>
        <w:br w:type="page"/>
      </w:r>
    </w:p>
    <w:p>
      <w:pPr>
        <w:pStyle w:val="8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lang w:val="en-US" w:eastAsia="zh-CN"/>
        </w:rPr>
      </w:pPr>
      <w:r>
        <w:rPr>
          <w:rFonts w:hint="eastAsia" w:eastAsia="宋体" w:cs="宋体"/>
          <w:lang w:val="en-US" w:eastAsia="zh-CN"/>
        </w:rPr>
        <w:t>加工工序报价清单</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868"/>
        <w:gridCol w:w="1199"/>
        <w:gridCol w:w="1552"/>
        <w:gridCol w:w="1493"/>
        <w:gridCol w:w="1487"/>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序号</w:t>
            </w:r>
          </w:p>
        </w:tc>
        <w:tc>
          <w:tcPr>
            <w:tcW w:w="1006"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名称</w:t>
            </w:r>
          </w:p>
        </w:tc>
        <w:tc>
          <w:tcPr>
            <w:tcW w:w="646"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单位</w:t>
            </w:r>
          </w:p>
        </w:tc>
        <w:tc>
          <w:tcPr>
            <w:tcW w:w="836"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未税基准价格</w:t>
            </w:r>
          </w:p>
          <w:p>
            <w:pPr>
              <w:pStyle w:val="84"/>
              <w:jc w:val="center"/>
              <w:rPr>
                <w:rFonts w:hint="default"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（元）</w:t>
            </w:r>
          </w:p>
        </w:tc>
        <w:tc>
          <w:tcPr>
            <w:tcW w:w="801" w:type="pct"/>
            <w:vAlign w:val="center"/>
          </w:tcPr>
          <w:p>
            <w:pPr>
              <w:pStyle w:val="84"/>
              <w:jc w:val="center"/>
              <w:rPr>
                <w:rFonts w:hint="default"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预估数量</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折扣后未税投标报价（元）</w:t>
            </w:r>
          </w:p>
        </w:tc>
        <w:tc>
          <w:tcPr>
            <w:tcW w:w="506"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车床</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16.78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2500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default"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2</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铣床</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16.78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2500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3</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刨床</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15.00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1500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4</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磨床</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19.56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1500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5</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钳工</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16.78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1250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6</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线切割</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2.44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2500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7</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电焊</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19.56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3000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8</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镗孔</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17.14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1500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9</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钣金</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19.56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2500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10</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加工中心</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工时</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24.45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4500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11</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锻打</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kg</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3.43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2250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12</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调质</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kg</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0.64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3000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13</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淬火</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kg</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1.07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3000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14</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高频淬火</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kg</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1.07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2500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15</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渗碳</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kg</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1.86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1200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16</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渗氮</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kg</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1.86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1100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17</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煮黑</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kg</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0.64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2000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18</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喷涂</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kg</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0.88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3800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99" w:type="pct"/>
            <w:vAlign w:val="center"/>
          </w:tcPr>
          <w:p>
            <w:pPr>
              <w:pStyle w:val="84"/>
              <w:jc w:val="center"/>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19</w:t>
            </w:r>
          </w:p>
        </w:tc>
        <w:tc>
          <w:tcPr>
            <w:tcW w:w="100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电镀</w:t>
            </w:r>
          </w:p>
        </w:tc>
        <w:tc>
          <w:tcPr>
            <w:tcW w:w="646" w:type="pct"/>
            <w:vAlign w:val="center"/>
          </w:tcPr>
          <w:p>
            <w:pPr>
              <w:widowControl/>
              <w:jc w:val="center"/>
              <w:rPr>
                <w:rFonts w:hint="eastAsia" w:ascii="宋体" w:hAnsi="宋体" w:eastAsia="宋体" w:cs="宋体"/>
                <w:b w:val="0"/>
                <w:kern w:val="0"/>
                <w:sz w:val="21"/>
                <w:szCs w:val="21"/>
                <w:lang w:val="en-US" w:eastAsia="zh-CN" w:bidi="ar-SA"/>
              </w:rPr>
            </w:pPr>
            <w:r>
              <w:rPr>
                <w:rFonts w:hint="eastAsia" w:ascii="宋体" w:hAnsi="宋体" w:eastAsia="宋体" w:cs="宋体"/>
                <w:color w:val="000000"/>
                <w:kern w:val="0"/>
                <w:sz w:val="21"/>
                <w:szCs w:val="21"/>
              </w:rPr>
              <w:t>kg</w:t>
            </w:r>
          </w:p>
        </w:tc>
        <w:tc>
          <w:tcPr>
            <w:tcW w:w="1552"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0.88 </w:t>
            </w:r>
          </w:p>
        </w:tc>
        <w:tc>
          <w:tcPr>
            <w:tcW w:w="1493" w:type="dxa"/>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 xml:space="preserve">3800 </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691" w:type="pct"/>
            <w:gridSpan w:val="5"/>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1"/>
                <w:szCs w:val="21"/>
                <w:lang w:val="en-US" w:eastAsia="zh-CN"/>
              </w:rPr>
              <w:t>合计预估总价未税433863.95元</w:t>
            </w:r>
          </w:p>
        </w:tc>
        <w:tc>
          <w:tcPr>
            <w:tcW w:w="801" w:type="pct"/>
            <w:vAlign w:val="center"/>
          </w:tcPr>
          <w:p>
            <w:pPr>
              <w:pStyle w:val="84"/>
              <w:jc w:val="center"/>
              <w:rPr>
                <w:rFonts w:hint="eastAsia" w:ascii="宋体" w:hAnsi="宋体" w:eastAsia="宋体" w:cs="宋体"/>
                <w:b w:val="0"/>
                <w:kern w:val="0"/>
                <w:sz w:val="21"/>
                <w:szCs w:val="21"/>
                <w:lang w:val="en-US" w:eastAsia="zh-CN" w:bidi="ar-SA"/>
              </w:rPr>
            </w:pPr>
          </w:p>
        </w:tc>
        <w:tc>
          <w:tcPr>
            <w:tcW w:w="506" w:type="pct"/>
            <w:vAlign w:val="center"/>
          </w:tcPr>
          <w:p>
            <w:pPr>
              <w:pStyle w:val="84"/>
              <w:jc w:val="center"/>
              <w:rPr>
                <w:rFonts w:hint="eastAsia" w:ascii="宋体" w:hAnsi="宋体" w:eastAsia="宋体" w:cs="宋体"/>
                <w:b w:val="0"/>
                <w:kern w:val="0"/>
                <w:sz w:val="21"/>
                <w:szCs w:val="21"/>
                <w:lang w:val="en-US" w:eastAsia="zh-CN" w:bidi="ar-SA"/>
              </w:rPr>
            </w:pPr>
          </w:p>
        </w:tc>
      </w:tr>
    </w:tbl>
    <w:p>
      <w:pPr>
        <w:pStyle w:val="80"/>
        <w:ind w:left="0" w:leftChars="0" w:firstLine="0" w:firstLineChars="0"/>
        <w:rPr>
          <w:rFonts w:hint="eastAsia" w:ascii="宋体" w:hAnsi="宋体" w:eastAsia="宋体" w:cs="宋体"/>
          <w:b/>
        </w:rPr>
      </w:pPr>
    </w:p>
    <w:p>
      <w:pPr>
        <w:pStyle w:val="80"/>
        <w:ind w:firstLine="480"/>
        <w:rPr>
          <w:rFonts w:hint="eastAsia" w:ascii="宋体" w:hAnsi="宋体" w:eastAsia="宋体" w:cs="宋体"/>
          <w:b/>
        </w:rPr>
      </w:pPr>
      <w:r>
        <w:rPr>
          <w:rFonts w:hint="eastAsia" w:ascii="宋体" w:hAnsi="宋体" w:eastAsia="宋体" w:cs="宋体"/>
          <w:b/>
        </w:rPr>
        <w:t>注：</w:t>
      </w:r>
    </w:p>
    <w:p>
      <w:pPr>
        <w:pStyle w:val="80"/>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80"/>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80"/>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4"/>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是否偏离</w:t>
            </w:r>
          </w:p>
          <w:p>
            <w:pPr>
              <w:pStyle w:val="84"/>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4"/>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4"/>
              <w:rPr>
                <w:rFonts w:hint="default" w:ascii="宋体" w:hAnsi="宋体" w:eastAsia="宋体" w:cs="宋体"/>
                <w:szCs w:val="21"/>
                <w:lang w:val="en-US" w:eastAsia="zh-CN"/>
              </w:rPr>
            </w:pPr>
            <w:r>
              <w:rPr>
                <w:rFonts w:hint="eastAsia" w:ascii="宋体" w:hAnsi="宋体" w:eastAsia="宋体" w:cs="宋体"/>
                <w:szCs w:val="21"/>
                <w:lang w:val="en-US" w:eastAsia="zh-CN"/>
              </w:rPr>
              <w:t>按照技术协议书要求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p>
        </w:tc>
      </w:tr>
    </w:tbl>
    <w:p>
      <w:pPr>
        <w:pStyle w:val="80"/>
        <w:ind w:firstLine="480"/>
        <w:rPr>
          <w:rFonts w:hint="eastAsia" w:ascii="宋体" w:hAnsi="宋体" w:eastAsia="宋体" w:cs="宋体"/>
        </w:rPr>
      </w:pPr>
      <w:r>
        <w:rPr>
          <w:rFonts w:hint="eastAsia" w:ascii="宋体" w:hAnsi="宋体" w:eastAsia="宋体" w:cs="宋体"/>
        </w:rPr>
        <w:t>投标人名称：                   授权代表签字：            日期：</w:t>
      </w:r>
    </w:p>
    <w:p>
      <w:pPr>
        <w:pStyle w:val="80"/>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80"/>
        <w:ind w:firstLine="480"/>
        <w:rPr>
          <w:rFonts w:hint="eastAsia" w:ascii="宋体" w:hAnsi="宋体" w:eastAsia="宋体" w:cs="宋体"/>
        </w:rPr>
      </w:pPr>
      <w:r>
        <w:rPr>
          <w:rFonts w:hint="eastAsia" w:ascii="宋体" w:hAnsi="宋体" w:eastAsia="宋体" w:cs="宋体"/>
        </w:rPr>
        <w:t>投标人：（盖章）</w:t>
      </w:r>
    </w:p>
    <w:p>
      <w:pPr>
        <w:pStyle w:val="80"/>
        <w:ind w:firstLine="480"/>
        <w:rPr>
          <w:rFonts w:hint="eastAsia" w:ascii="宋体" w:hAnsi="宋体" w:eastAsia="宋体" w:cs="宋体"/>
        </w:rPr>
      </w:pPr>
      <w:r>
        <w:rPr>
          <w:rFonts w:hint="eastAsia" w:ascii="宋体" w:hAnsi="宋体" w:eastAsia="宋体" w:cs="宋体"/>
        </w:rPr>
        <w:t>法定代表人（委托代理人）：（签字）</w:t>
      </w:r>
    </w:p>
    <w:p>
      <w:pPr>
        <w:pStyle w:val="80"/>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附件1</w:t>
      </w:r>
      <w:r>
        <w:rPr>
          <w:rFonts w:hint="eastAsia" w:ascii="宋体" w:hAnsi="宋体" w:eastAsia="宋体" w:cs="宋体"/>
          <w:lang w:val="en-US" w:eastAsia="zh-CN"/>
        </w:rPr>
        <w:t>1</w:t>
      </w:r>
      <w:r>
        <w:rPr>
          <w:rFonts w:hint="eastAsia" w:ascii="宋体" w:hAnsi="宋体" w:eastAsia="宋体" w:cs="宋体"/>
        </w:rPr>
        <w:t>维修备品备件、易损件和专用耗材明细表（若有）</w:t>
      </w:r>
    </w:p>
    <w:p>
      <w:pPr>
        <w:jc w:val="right"/>
        <w:rPr>
          <w:rFonts w:hint="eastAsia" w:ascii="宋体" w:hAnsi="宋体" w:eastAsia="宋体" w:cs="宋体"/>
        </w:rPr>
      </w:pPr>
      <w:r>
        <w:rPr>
          <w:rFonts w:hint="eastAsia" w:ascii="宋体" w:hAnsi="宋体" w:eastAsia="宋体" w:cs="宋体"/>
          <w:bCs/>
          <w:sz w:val="24"/>
        </w:rPr>
        <w:t>单位：元</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hint="eastAsia" w:ascii="宋体" w:hAnsi="宋体" w:eastAsia="宋体" w:cs="宋体"/>
              </w:rPr>
            </w:pPr>
            <w:r>
              <w:rPr>
                <w:rFonts w:hint="eastAsia" w:ascii="宋体" w:hAnsi="宋体" w:eastAsia="宋体" w:cs="宋体"/>
              </w:rPr>
              <w:t>序号</w:t>
            </w:r>
          </w:p>
        </w:tc>
        <w:tc>
          <w:tcPr>
            <w:tcW w:w="1924" w:type="dxa"/>
          </w:tcPr>
          <w:p>
            <w:pPr>
              <w:pStyle w:val="84"/>
              <w:rPr>
                <w:rFonts w:hint="eastAsia" w:ascii="宋体" w:hAnsi="宋体" w:eastAsia="宋体" w:cs="宋体"/>
              </w:rPr>
            </w:pPr>
            <w:r>
              <w:rPr>
                <w:rFonts w:hint="eastAsia" w:ascii="宋体" w:hAnsi="宋体" w:eastAsia="宋体" w:cs="宋体"/>
              </w:rPr>
              <w:t>名称</w:t>
            </w:r>
          </w:p>
        </w:tc>
        <w:tc>
          <w:tcPr>
            <w:tcW w:w="1236" w:type="dxa"/>
          </w:tcPr>
          <w:p>
            <w:pPr>
              <w:pStyle w:val="84"/>
              <w:rPr>
                <w:rFonts w:hint="eastAsia" w:ascii="宋体" w:hAnsi="宋体" w:eastAsia="宋体" w:cs="宋体"/>
              </w:rPr>
            </w:pPr>
            <w:r>
              <w:rPr>
                <w:rFonts w:hint="eastAsia" w:ascii="宋体" w:hAnsi="宋体" w:eastAsia="宋体" w:cs="宋体"/>
              </w:rPr>
              <w:t>型号规格</w:t>
            </w:r>
          </w:p>
        </w:tc>
        <w:tc>
          <w:tcPr>
            <w:tcW w:w="720" w:type="dxa"/>
          </w:tcPr>
          <w:p>
            <w:pPr>
              <w:pStyle w:val="84"/>
              <w:rPr>
                <w:rFonts w:hint="eastAsia" w:ascii="宋体" w:hAnsi="宋体" w:eastAsia="宋体" w:cs="宋体"/>
              </w:rPr>
            </w:pPr>
            <w:r>
              <w:rPr>
                <w:rFonts w:hint="eastAsia" w:ascii="宋体" w:hAnsi="宋体" w:eastAsia="宋体" w:cs="宋体"/>
              </w:rPr>
              <w:t>单位</w:t>
            </w:r>
          </w:p>
        </w:tc>
        <w:tc>
          <w:tcPr>
            <w:tcW w:w="720" w:type="dxa"/>
          </w:tcPr>
          <w:p>
            <w:pPr>
              <w:pStyle w:val="84"/>
              <w:rPr>
                <w:rFonts w:hint="eastAsia" w:ascii="宋体" w:hAnsi="宋体" w:eastAsia="宋体" w:cs="宋体"/>
              </w:rPr>
            </w:pPr>
            <w:r>
              <w:rPr>
                <w:rFonts w:hint="eastAsia" w:ascii="宋体" w:hAnsi="宋体" w:eastAsia="宋体" w:cs="宋体"/>
              </w:rPr>
              <w:t>数量</w:t>
            </w:r>
          </w:p>
        </w:tc>
        <w:tc>
          <w:tcPr>
            <w:tcW w:w="720" w:type="dxa"/>
          </w:tcPr>
          <w:p>
            <w:pPr>
              <w:pStyle w:val="84"/>
              <w:rPr>
                <w:rFonts w:hint="eastAsia" w:ascii="宋体" w:hAnsi="宋体" w:eastAsia="宋体" w:cs="宋体"/>
              </w:rPr>
            </w:pPr>
            <w:r>
              <w:rPr>
                <w:rFonts w:hint="eastAsia" w:ascii="宋体" w:hAnsi="宋体" w:eastAsia="宋体" w:cs="宋体"/>
              </w:rPr>
              <w:t>单价</w:t>
            </w:r>
          </w:p>
        </w:tc>
        <w:tc>
          <w:tcPr>
            <w:tcW w:w="720" w:type="dxa"/>
          </w:tcPr>
          <w:p>
            <w:pPr>
              <w:pStyle w:val="84"/>
              <w:rPr>
                <w:rFonts w:hint="eastAsia" w:ascii="宋体" w:hAnsi="宋体" w:eastAsia="宋体" w:cs="宋体"/>
              </w:rPr>
            </w:pPr>
            <w:r>
              <w:rPr>
                <w:rFonts w:hint="eastAsia" w:ascii="宋体" w:hAnsi="宋体" w:eastAsia="宋体" w:cs="宋体"/>
              </w:rPr>
              <w:t>总价</w:t>
            </w:r>
          </w:p>
        </w:tc>
        <w:tc>
          <w:tcPr>
            <w:tcW w:w="2235" w:type="dxa"/>
          </w:tcPr>
          <w:p>
            <w:pPr>
              <w:pStyle w:val="84"/>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hint="eastAsia" w:ascii="宋体" w:hAnsi="宋体" w:eastAsia="宋体" w:cs="宋体"/>
              </w:rPr>
            </w:pPr>
          </w:p>
        </w:tc>
        <w:tc>
          <w:tcPr>
            <w:tcW w:w="1924" w:type="dxa"/>
          </w:tcPr>
          <w:p>
            <w:pPr>
              <w:pStyle w:val="84"/>
              <w:rPr>
                <w:rFonts w:hint="eastAsia" w:ascii="宋体" w:hAnsi="宋体" w:eastAsia="宋体" w:cs="宋体"/>
              </w:rPr>
            </w:pPr>
          </w:p>
        </w:tc>
        <w:tc>
          <w:tcPr>
            <w:tcW w:w="1236"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2235" w:type="dxa"/>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hint="eastAsia" w:ascii="宋体" w:hAnsi="宋体" w:eastAsia="宋体" w:cs="宋体"/>
              </w:rPr>
            </w:pPr>
          </w:p>
        </w:tc>
        <w:tc>
          <w:tcPr>
            <w:tcW w:w="1924" w:type="dxa"/>
          </w:tcPr>
          <w:p>
            <w:pPr>
              <w:pStyle w:val="84"/>
              <w:rPr>
                <w:rFonts w:hint="eastAsia" w:ascii="宋体" w:hAnsi="宋体" w:eastAsia="宋体" w:cs="宋体"/>
              </w:rPr>
            </w:pPr>
          </w:p>
        </w:tc>
        <w:tc>
          <w:tcPr>
            <w:tcW w:w="1236"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2235" w:type="dxa"/>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hint="eastAsia" w:ascii="宋体" w:hAnsi="宋体" w:eastAsia="宋体" w:cs="宋体"/>
              </w:rPr>
            </w:pPr>
          </w:p>
        </w:tc>
        <w:tc>
          <w:tcPr>
            <w:tcW w:w="1924" w:type="dxa"/>
          </w:tcPr>
          <w:p>
            <w:pPr>
              <w:pStyle w:val="84"/>
              <w:rPr>
                <w:rFonts w:hint="eastAsia" w:ascii="宋体" w:hAnsi="宋体" w:eastAsia="宋体" w:cs="宋体"/>
              </w:rPr>
            </w:pPr>
          </w:p>
        </w:tc>
        <w:tc>
          <w:tcPr>
            <w:tcW w:w="1236"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2235" w:type="dxa"/>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hint="eastAsia" w:ascii="宋体" w:hAnsi="宋体" w:eastAsia="宋体" w:cs="宋体"/>
              </w:rPr>
            </w:pPr>
          </w:p>
        </w:tc>
        <w:tc>
          <w:tcPr>
            <w:tcW w:w="1924" w:type="dxa"/>
          </w:tcPr>
          <w:p>
            <w:pPr>
              <w:pStyle w:val="84"/>
              <w:rPr>
                <w:rFonts w:hint="eastAsia" w:ascii="宋体" w:hAnsi="宋体" w:eastAsia="宋体" w:cs="宋体"/>
              </w:rPr>
            </w:pPr>
          </w:p>
        </w:tc>
        <w:tc>
          <w:tcPr>
            <w:tcW w:w="1236"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2235" w:type="dxa"/>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hint="eastAsia" w:ascii="宋体" w:hAnsi="宋体" w:eastAsia="宋体" w:cs="宋体"/>
              </w:rPr>
            </w:pPr>
          </w:p>
        </w:tc>
        <w:tc>
          <w:tcPr>
            <w:tcW w:w="1924" w:type="dxa"/>
          </w:tcPr>
          <w:p>
            <w:pPr>
              <w:pStyle w:val="84"/>
              <w:rPr>
                <w:rFonts w:hint="eastAsia" w:ascii="宋体" w:hAnsi="宋体" w:eastAsia="宋体" w:cs="宋体"/>
              </w:rPr>
            </w:pPr>
          </w:p>
        </w:tc>
        <w:tc>
          <w:tcPr>
            <w:tcW w:w="1236"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2235" w:type="dxa"/>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4"/>
              <w:rPr>
                <w:rFonts w:hint="eastAsia" w:ascii="宋体" w:hAnsi="宋体" w:eastAsia="宋体" w:cs="宋体"/>
              </w:rPr>
            </w:pPr>
          </w:p>
        </w:tc>
        <w:tc>
          <w:tcPr>
            <w:tcW w:w="1924" w:type="dxa"/>
          </w:tcPr>
          <w:p>
            <w:pPr>
              <w:pStyle w:val="84"/>
              <w:rPr>
                <w:rFonts w:hint="eastAsia" w:ascii="宋体" w:hAnsi="宋体" w:eastAsia="宋体" w:cs="宋体"/>
              </w:rPr>
            </w:pPr>
          </w:p>
        </w:tc>
        <w:tc>
          <w:tcPr>
            <w:tcW w:w="1236"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720" w:type="dxa"/>
          </w:tcPr>
          <w:p>
            <w:pPr>
              <w:pStyle w:val="84"/>
              <w:rPr>
                <w:rFonts w:hint="eastAsia" w:ascii="宋体" w:hAnsi="宋体" w:eastAsia="宋体" w:cs="宋体"/>
              </w:rPr>
            </w:pPr>
          </w:p>
        </w:tc>
        <w:tc>
          <w:tcPr>
            <w:tcW w:w="2235" w:type="dxa"/>
          </w:tcPr>
          <w:p>
            <w:pPr>
              <w:pStyle w:val="84"/>
              <w:rPr>
                <w:rFonts w:hint="eastAsia" w:ascii="宋体" w:hAnsi="宋体" w:eastAsia="宋体" w:cs="宋体"/>
              </w:rPr>
            </w:pPr>
          </w:p>
        </w:tc>
      </w:tr>
    </w:tbl>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6"/>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15535"/>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80"/>
        <w:ind w:firstLine="480"/>
        <w:rPr>
          <w:rFonts w:hint="eastAsia" w:ascii="宋体" w:hAnsi="宋体" w:eastAsia="宋体" w:cs="宋体"/>
        </w:rPr>
      </w:pPr>
      <w:r>
        <w:rPr>
          <w:rFonts w:hint="eastAsia" w:ascii="宋体" w:hAnsi="宋体" w:eastAsia="宋体" w:cs="宋体"/>
        </w:rPr>
        <w:t>封面格式：</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4"/>
              <w:rPr>
                <w:rFonts w:hint="eastAsia" w:ascii="宋体" w:hAnsi="宋体" w:eastAsia="宋体" w:cs="宋体"/>
              </w:rPr>
            </w:pPr>
          </w:p>
          <w:p>
            <w:pPr>
              <w:pStyle w:val="84"/>
              <w:rPr>
                <w:rFonts w:hint="eastAsia" w:ascii="宋体" w:hAnsi="宋体" w:eastAsia="宋体" w:cs="宋体"/>
                <w:sz w:val="30"/>
                <w:szCs w:val="30"/>
              </w:rPr>
            </w:pPr>
            <w:r>
              <w:rPr>
                <w:rFonts w:hint="eastAsia" w:ascii="宋体" w:hAnsi="宋体" w:eastAsia="宋体" w:cs="宋体"/>
                <w:sz w:val="30"/>
                <w:szCs w:val="30"/>
              </w:rPr>
              <w:t>投标文件</w:t>
            </w:r>
          </w:p>
          <w:p>
            <w:pPr>
              <w:pStyle w:val="84"/>
              <w:jc w:val="both"/>
              <w:rPr>
                <w:rFonts w:hint="eastAsia" w:ascii="宋体" w:hAnsi="宋体" w:eastAsia="宋体" w:cs="宋体"/>
                <w:sz w:val="30"/>
                <w:szCs w:val="30"/>
              </w:rPr>
            </w:pPr>
          </w:p>
          <w:p>
            <w:pPr>
              <w:pStyle w:val="84"/>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r>
              <w:rPr>
                <w:rFonts w:hint="eastAsia" w:ascii="宋体" w:hAnsi="宋体" w:eastAsia="宋体" w:cs="宋体"/>
              </w:rPr>
              <w:t>项目名称：</w:t>
            </w:r>
          </w:p>
          <w:p>
            <w:pPr>
              <w:pStyle w:val="84"/>
              <w:rPr>
                <w:rFonts w:hint="eastAsia" w:ascii="宋体" w:hAnsi="宋体" w:eastAsia="宋体" w:cs="宋体"/>
              </w:rPr>
            </w:pPr>
            <w:r>
              <w:rPr>
                <w:rFonts w:hint="eastAsia" w:ascii="宋体" w:hAnsi="宋体" w:eastAsia="宋体" w:cs="宋体"/>
              </w:rPr>
              <w:t>投标人名称（公章）：</w:t>
            </w:r>
          </w:p>
          <w:p>
            <w:pPr>
              <w:pStyle w:val="84"/>
              <w:rPr>
                <w:rFonts w:hint="eastAsia" w:ascii="宋体" w:hAnsi="宋体" w:eastAsia="宋体" w:cs="宋体"/>
              </w:rPr>
            </w:pPr>
            <w:r>
              <w:rPr>
                <w:rFonts w:hint="eastAsia" w:ascii="宋体" w:hAnsi="宋体" w:eastAsia="宋体" w:cs="宋体"/>
              </w:rPr>
              <w:t>地址：</w:t>
            </w:r>
          </w:p>
          <w:p>
            <w:pPr>
              <w:pStyle w:val="84"/>
              <w:rPr>
                <w:rFonts w:hint="eastAsia" w:ascii="宋体" w:hAnsi="宋体" w:eastAsia="宋体" w:cs="宋体"/>
              </w:rPr>
            </w:pPr>
            <w:r>
              <w:rPr>
                <w:rFonts w:hint="eastAsia" w:ascii="宋体" w:hAnsi="宋体" w:eastAsia="宋体" w:cs="宋体"/>
              </w:rPr>
              <w:t>授权代表电话：</w:t>
            </w:r>
          </w:p>
          <w:p>
            <w:pPr>
              <w:pStyle w:val="84"/>
              <w:rPr>
                <w:rFonts w:hint="eastAsia" w:ascii="宋体" w:hAnsi="宋体" w:eastAsia="宋体" w:cs="宋体"/>
              </w:rPr>
            </w:pPr>
            <w:r>
              <w:rPr>
                <w:rFonts w:hint="eastAsia" w:ascii="宋体" w:hAnsi="宋体" w:eastAsia="宋体" w:cs="宋体"/>
              </w:rPr>
              <w:t>传真：</w:t>
            </w:r>
          </w:p>
          <w:p>
            <w:pPr>
              <w:pStyle w:val="84"/>
              <w:rPr>
                <w:rFonts w:hint="eastAsia" w:ascii="宋体" w:hAnsi="宋体" w:eastAsia="宋体" w:cs="宋体"/>
              </w:rPr>
            </w:pPr>
          </w:p>
          <w:p>
            <w:pPr>
              <w:pStyle w:val="84"/>
              <w:rPr>
                <w:rFonts w:hint="eastAsia" w:ascii="宋体" w:hAnsi="宋体" w:eastAsia="宋体" w:cs="宋体"/>
              </w:rPr>
            </w:pPr>
          </w:p>
        </w:tc>
      </w:tr>
    </w:tbl>
    <w:p>
      <w:pPr>
        <w:pStyle w:val="80"/>
        <w:ind w:firstLine="480"/>
        <w:rPr>
          <w:rFonts w:hint="eastAsia" w:ascii="宋体" w:hAnsi="宋体" w:eastAsia="宋体" w:cs="宋体"/>
        </w:rPr>
      </w:pPr>
      <w:r>
        <w:rPr>
          <w:rFonts w:hint="eastAsia" w:ascii="宋体" w:hAnsi="宋体" w:eastAsia="宋体" w:cs="宋体"/>
        </w:rPr>
        <w:t>投标人名称：                   授权代表签字：                  日期</w:t>
      </w:r>
    </w:p>
    <w:p>
      <w:pPr>
        <w:pStyle w:val="60"/>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8"/>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6"/>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7"/>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8"/>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9"/>
                    <a:stretch>
                      <a:fillRect/>
                    </a:stretch>
                  </pic:blipFill>
                  <pic:spPr>
                    <a:xfrm>
                      <a:off x="0" y="0"/>
                      <a:ext cx="5760085" cy="2810122"/>
                    </a:xfrm>
                    <a:prstGeom prst="rect">
                      <a:avLst/>
                    </a:prstGeom>
                  </pic:spPr>
                </pic:pic>
              </a:graphicData>
            </a:graphic>
          </wp:inline>
        </w:drawing>
      </w:r>
    </w:p>
    <w:p>
      <w:pPr>
        <w:pStyle w:val="18"/>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20042"/>
                    </a:xfrm>
                    <a:prstGeom prst="rect">
                      <a:avLst/>
                    </a:prstGeom>
                  </pic:spPr>
                </pic:pic>
              </a:graphicData>
            </a:graphic>
          </wp:inline>
        </w:drawing>
      </w:r>
    </w:p>
    <w:p>
      <w:pPr>
        <w:pStyle w:val="18"/>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40"/>
          <w:rFonts w:hint="eastAsia" w:ascii="宋体" w:hAnsi="宋体" w:cs="宋体"/>
          <w:sz w:val="24"/>
          <w:szCs w:val="24"/>
          <w:lang w:eastAsia="zh-CN"/>
        </w:rPr>
        <w:t>https</w:t>
      </w:r>
      <w:r>
        <w:rPr>
          <w:rStyle w:val="40"/>
          <w:rFonts w:hint="eastAsia" w:ascii="宋体" w:hAnsi="宋体" w:eastAsia="宋体" w:cs="宋体"/>
          <w:sz w:val="24"/>
          <w:szCs w:val="24"/>
        </w:rPr>
        <w:t>://ecaitong.sinotruk.com:8012/</w:t>
      </w:r>
      <w:r>
        <w:rPr>
          <w:rStyle w:val="40"/>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8"/>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8"/>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pPr>
        <w:pStyle w:val="18"/>
        <w:rPr>
          <w:rFonts w:hint="eastAsia" w:ascii="宋体" w:hAnsi="宋体" w:eastAsia="宋体" w:cs="宋体"/>
          <w:b/>
          <w:color w:val="000000"/>
          <w:sz w:val="24"/>
          <w:szCs w:val="24"/>
        </w:rPr>
      </w:pPr>
    </w:p>
    <w:p>
      <w:pPr>
        <w:pStyle w:val="60"/>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6"/>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4"/>
        <w:tblpPr w:leftFromText="180" w:rightFromText="180" w:vertAnchor="text" w:horzAnchor="page" w:tblpX="981" w:tblpY="226"/>
        <w:tblOverlap w:val="never"/>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2008"/>
        <w:gridCol w:w="6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79" w:type="dxa"/>
            <w:noWrap w:val="0"/>
            <w:vAlign w:val="center"/>
          </w:tcPr>
          <w:p>
            <w:pPr>
              <w:spacing w:after="200" w:line="300" w:lineRule="exact"/>
              <w:jc w:val="center"/>
              <w:rPr>
                <w:rFonts w:hint="eastAsia" w:ascii="宋体" w:cs="宋体"/>
                <w:bCs/>
              </w:rPr>
            </w:pPr>
            <w:r>
              <w:rPr>
                <w:rFonts w:hint="eastAsia" w:ascii="宋体" w:cs="宋体"/>
                <w:bCs/>
              </w:rPr>
              <w:t>得分项</w:t>
            </w:r>
          </w:p>
        </w:tc>
        <w:tc>
          <w:tcPr>
            <w:tcW w:w="8260" w:type="dxa"/>
            <w:gridSpan w:val="2"/>
            <w:noWrap w:val="0"/>
            <w:vAlign w:val="center"/>
          </w:tcPr>
          <w:p>
            <w:pPr>
              <w:spacing w:after="200" w:line="300" w:lineRule="exact"/>
              <w:jc w:val="center"/>
              <w:rPr>
                <w:rFonts w:hint="eastAsia" w:ascii="宋体" w:cs="宋体"/>
                <w:b/>
                <w:bCs/>
              </w:rPr>
            </w:pPr>
            <w:r>
              <w:rPr>
                <w:rFonts w:hint="eastAsia" w:ascii="宋体" w:cs="宋体"/>
                <w:bCs/>
              </w:rPr>
              <w:t>评审内容（共100分）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379" w:type="dxa"/>
            <w:vMerge w:val="restart"/>
            <w:noWrap w:val="0"/>
            <w:vAlign w:val="center"/>
          </w:tcPr>
          <w:p>
            <w:pPr>
              <w:spacing w:after="200" w:line="300" w:lineRule="exact"/>
              <w:jc w:val="center"/>
              <w:rPr>
                <w:rFonts w:hint="eastAsia" w:ascii="宋体" w:cs="宋体"/>
              </w:rPr>
            </w:pPr>
            <w:r>
              <w:rPr>
                <w:rFonts w:hint="eastAsia" w:ascii="宋体" w:cs="宋体"/>
              </w:rPr>
              <w:t>技术标</w:t>
            </w:r>
          </w:p>
          <w:p>
            <w:pPr>
              <w:pStyle w:val="14"/>
              <w:jc w:val="center"/>
              <w:rPr>
                <w:rFonts w:hint="eastAsia" w:ascii="宋体" w:cs="宋体"/>
              </w:rPr>
            </w:pPr>
            <w:r>
              <w:rPr>
                <w:rFonts w:hint="eastAsia" w:ascii="宋体" w:hAnsi="Times New Roman" w:eastAsia="宋体" w:cs="宋体"/>
                <w:kern w:val="2"/>
                <w:sz w:val="21"/>
                <w:szCs w:val="20"/>
                <w:lang w:val="en-US" w:eastAsia="zh-CN" w:bidi="ar-SA"/>
              </w:rPr>
              <w:t>（100分）</w:t>
            </w:r>
          </w:p>
        </w:tc>
        <w:tc>
          <w:tcPr>
            <w:tcW w:w="2008" w:type="dxa"/>
            <w:noWrap w:val="0"/>
            <w:vAlign w:val="center"/>
          </w:tcPr>
          <w:p>
            <w:pPr>
              <w:widowControl/>
              <w:shd w:val="clear" w:color="auto" w:fill="FFFFFF"/>
              <w:spacing w:line="300" w:lineRule="exact"/>
              <w:jc w:val="center"/>
              <w:rPr>
                <w:rFonts w:hint="eastAsia" w:ascii="宋体" w:cs="宋体"/>
              </w:rPr>
            </w:pPr>
            <w:r>
              <w:rPr>
                <w:rFonts w:hint="eastAsia" w:ascii="宋体" w:cs="宋体"/>
              </w:rPr>
              <w:t>项目实施整体思路</w:t>
            </w:r>
          </w:p>
          <w:p>
            <w:pPr>
              <w:widowControl/>
              <w:shd w:val="clear" w:color="auto" w:fill="FFFFFF"/>
              <w:spacing w:line="300" w:lineRule="exact"/>
              <w:jc w:val="center"/>
              <w:rPr>
                <w:rFonts w:hint="eastAsia" w:ascii="宋体" w:cs="宋体"/>
              </w:rPr>
            </w:pPr>
            <w:r>
              <w:rPr>
                <w:rFonts w:hint="eastAsia" w:ascii="宋体" w:cs="宋体"/>
              </w:rPr>
              <w:t>20分</w:t>
            </w:r>
          </w:p>
        </w:tc>
        <w:tc>
          <w:tcPr>
            <w:tcW w:w="6252" w:type="dxa"/>
            <w:noWrap w:val="0"/>
            <w:vAlign w:val="center"/>
          </w:tcPr>
          <w:p>
            <w:pPr>
              <w:widowControl/>
              <w:shd w:val="clear" w:color="auto" w:fill="FFFFFF"/>
              <w:spacing w:line="300" w:lineRule="exact"/>
              <w:rPr>
                <w:rFonts w:hint="eastAsia"/>
              </w:rPr>
            </w:pPr>
            <w:r>
              <w:rPr>
                <w:rFonts w:hint="eastAsia"/>
              </w:rPr>
              <w:t>对项目的总体实施思路进行阐述，详细阐述项目建设目标、实现思路和关键技术的理解。为保证项目完成，对本项目的认识，</w:t>
            </w:r>
            <w:r>
              <w:rPr>
                <w:rFonts w:hint="eastAsia"/>
                <w:lang w:eastAsia="zh-CN"/>
              </w:rPr>
              <w:t>从</w:t>
            </w:r>
            <w:r>
              <w:rPr>
                <w:rFonts w:hint="eastAsia"/>
              </w:rPr>
              <w:t>设计、制造</w:t>
            </w:r>
            <w:r>
              <w:rPr>
                <w:rFonts w:hint="eastAsia"/>
                <w:lang w:eastAsia="zh-CN"/>
              </w:rPr>
              <w:t>供货</w:t>
            </w:r>
            <w:r>
              <w:rPr>
                <w:rFonts w:hint="eastAsia"/>
              </w:rPr>
              <w:t>、安装、调试、验收的实施方案</w:t>
            </w:r>
          </w:p>
          <w:p>
            <w:pPr>
              <w:widowControl/>
              <w:shd w:val="clear" w:color="auto" w:fill="FFFFFF"/>
              <w:spacing w:line="300" w:lineRule="exact"/>
              <w:rPr>
                <w:rFonts w:hint="eastAsia" w:ascii="宋体" w:cs="宋体"/>
              </w:rPr>
            </w:pPr>
            <w:r>
              <w:rPr>
                <w:rFonts w:hint="eastAsia" w:ascii="宋体" w:cs="宋体"/>
              </w:rPr>
              <w:t>优秀得15-20分；</w:t>
            </w:r>
          </w:p>
          <w:p>
            <w:pPr>
              <w:widowControl/>
              <w:shd w:val="clear" w:color="auto" w:fill="FFFFFF"/>
              <w:spacing w:line="300" w:lineRule="exact"/>
              <w:rPr>
                <w:rFonts w:hint="eastAsia" w:ascii="宋体" w:cs="宋体"/>
              </w:rPr>
            </w:pPr>
            <w:r>
              <w:rPr>
                <w:rFonts w:hint="eastAsia" w:ascii="宋体" w:cs="宋体"/>
              </w:rPr>
              <w:t>符合得10-15分；</w:t>
            </w:r>
          </w:p>
          <w:p>
            <w:pPr>
              <w:pStyle w:val="2"/>
              <w:ind w:left="0" w:leftChars="0" w:firstLine="0" w:firstLineChars="0"/>
            </w:pPr>
            <w:r>
              <w:rPr>
                <w:rFonts w:hint="eastAsia" w:ascii="宋体" w:cs="宋体"/>
              </w:rPr>
              <w:t>基本满足得0-10分。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379" w:type="dxa"/>
            <w:vMerge w:val="continue"/>
            <w:noWrap w:val="0"/>
            <w:vAlign w:val="center"/>
          </w:tcPr>
          <w:p/>
        </w:tc>
        <w:tc>
          <w:tcPr>
            <w:tcW w:w="2008" w:type="dxa"/>
            <w:noWrap w:val="0"/>
            <w:vAlign w:val="center"/>
          </w:tcPr>
          <w:p>
            <w:pPr>
              <w:widowControl/>
              <w:shd w:val="clear" w:color="auto" w:fill="FFFFFF"/>
              <w:spacing w:line="300" w:lineRule="exact"/>
              <w:jc w:val="center"/>
              <w:rPr>
                <w:rFonts w:hint="eastAsia" w:ascii="宋体" w:cs="宋体"/>
              </w:rPr>
            </w:pPr>
            <w:r>
              <w:rPr>
                <w:rFonts w:hint="eastAsia" w:ascii="宋体" w:cs="宋体"/>
              </w:rPr>
              <w:t>设计方案及主材设备的技术性能参数</w:t>
            </w:r>
          </w:p>
          <w:p>
            <w:pPr>
              <w:widowControl/>
              <w:shd w:val="clear" w:color="auto" w:fill="FFFFFF"/>
              <w:spacing w:line="300" w:lineRule="exact"/>
              <w:jc w:val="center"/>
              <w:rPr>
                <w:rFonts w:hint="eastAsia" w:ascii="宋体" w:cs="宋体"/>
                <w:lang w:eastAsia="en-US"/>
              </w:rPr>
            </w:pPr>
            <w:r>
              <w:rPr>
                <w:rFonts w:hint="eastAsia" w:ascii="宋体" w:cs="宋体"/>
              </w:rPr>
              <w:t>30分</w:t>
            </w:r>
          </w:p>
        </w:tc>
        <w:tc>
          <w:tcPr>
            <w:tcW w:w="6252" w:type="dxa"/>
            <w:noWrap w:val="0"/>
            <w:vAlign w:val="center"/>
          </w:tcPr>
          <w:p>
            <w:pPr>
              <w:widowControl/>
              <w:numPr>
                <w:ilvl w:val="0"/>
                <w:numId w:val="7"/>
              </w:numPr>
              <w:shd w:val="clear" w:color="auto" w:fill="FFFFFF"/>
              <w:spacing w:line="300" w:lineRule="exact"/>
              <w:rPr>
                <w:rFonts w:hint="eastAsia" w:ascii="宋体" w:cs="宋体"/>
              </w:rPr>
            </w:pPr>
            <w:r>
              <w:rPr>
                <w:rFonts w:hint="eastAsia" w:ascii="宋体" w:cs="宋体"/>
              </w:rPr>
              <w:t>整体的设计解决方案，投标方案与需求的吻合程度，包括方案的全面性、合理性、匹配性、可行性、先进性、经济性。</w:t>
            </w:r>
          </w:p>
          <w:p>
            <w:pPr>
              <w:widowControl/>
              <w:numPr>
                <w:ilvl w:val="0"/>
                <w:numId w:val="7"/>
              </w:numPr>
              <w:shd w:val="clear" w:color="auto" w:fill="FFFFFF"/>
              <w:spacing w:line="300" w:lineRule="exact"/>
              <w:rPr>
                <w:rFonts w:hint="eastAsia" w:ascii="宋体" w:cs="宋体"/>
              </w:rPr>
            </w:pPr>
            <w:r>
              <w:rPr>
                <w:rFonts w:hint="eastAsia" w:ascii="宋体" w:cs="宋体"/>
              </w:rPr>
              <w:t>所</w:t>
            </w:r>
            <w:r>
              <w:rPr>
                <w:rFonts w:hint="eastAsia" w:ascii="宋体" w:cs="宋体"/>
                <w:lang w:val="en-US" w:eastAsia="zh-CN"/>
              </w:rPr>
              <w:t>施工项目</w:t>
            </w:r>
            <w:r>
              <w:rPr>
                <w:rFonts w:hint="eastAsia" w:ascii="宋体" w:cs="宋体"/>
              </w:rPr>
              <w:t>的实际各项技术参数、技术工艺及主要</w:t>
            </w:r>
            <w:r>
              <w:rPr>
                <w:rFonts w:hint="eastAsia" w:ascii="宋体" w:cs="宋体"/>
                <w:lang w:val="en-US" w:eastAsia="zh-CN"/>
              </w:rPr>
              <w:t>材料选型</w:t>
            </w:r>
            <w:r>
              <w:rPr>
                <w:rFonts w:hint="eastAsia" w:ascii="宋体" w:cs="宋体"/>
              </w:rPr>
              <w:t>配置方案等。</w:t>
            </w:r>
          </w:p>
          <w:p>
            <w:pPr>
              <w:widowControl/>
              <w:shd w:val="clear" w:color="auto" w:fill="FFFFFF"/>
              <w:spacing w:line="300" w:lineRule="exact"/>
              <w:rPr>
                <w:rFonts w:hint="eastAsia" w:ascii="宋体" w:cs="宋体"/>
              </w:rPr>
            </w:pPr>
            <w:r>
              <w:rPr>
                <w:rFonts w:hint="eastAsia" w:ascii="宋体" w:cs="宋体"/>
              </w:rPr>
              <w:t>优秀得15-30分；</w:t>
            </w:r>
          </w:p>
          <w:p>
            <w:pPr>
              <w:widowControl/>
              <w:shd w:val="clear" w:color="auto" w:fill="FFFFFF"/>
              <w:spacing w:line="300" w:lineRule="exact"/>
              <w:rPr>
                <w:rFonts w:hint="eastAsia" w:ascii="宋体" w:cs="宋体"/>
              </w:rPr>
            </w:pPr>
            <w:r>
              <w:rPr>
                <w:rFonts w:hint="eastAsia" w:ascii="宋体" w:cs="宋体"/>
              </w:rPr>
              <w:t>符合得10-20分；</w:t>
            </w:r>
          </w:p>
          <w:p>
            <w:pPr>
              <w:widowControl/>
              <w:shd w:val="clear" w:color="auto" w:fill="FFFFFF"/>
              <w:spacing w:line="300" w:lineRule="exact"/>
              <w:rPr>
                <w:rFonts w:hint="eastAsia" w:ascii="宋体" w:cs="宋体"/>
              </w:rPr>
            </w:pPr>
            <w:r>
              <w:rPr>
                <w:rFonts w:hint="eastAsia" w:ascii="宋体" w:cs="宋体"/>
              </w:rPr>
              <w:t>基本满足得0-10分。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79" w:type="dxa"/>
            <w:vMerge w:val="continue"/>
            <w:noWrap w:val="0"/>
            <w:vAlign w:val="center"/>
          </w:tcPr>
          <w:p/>
        </w:tc>
        <w:tc>
          <w:tcPr>
            <w:tcW w:w="2008" w:type="dxa"/>
            <w:noWrap w:val="0"/>
            <w:vAlign w:val="center"/>
          </w:tcPr>
          <w:p>
            <w:pPr>
              <w:widowControl/>
              <w:shd w:val="clear" w:color="auto" w:fill="FFFFFF"/>
              <w:spacing w:line="300" w:lineRule="exact"/>
              <w:jc w:val="center"/>
              <w:rPr>
                <w:rFonts w:hint="eastAsia" w:ascii="宋体" w:cs="宋体"/>
              </w:rPr>
            </w:pPr>
            <w:r>
              <w:rPr>
                <w:rFonts w:hint="eastAsia" w:ascii="宋体" w:cs="宋体"/>
              </w:rPr>
              <w:t>施工质量、安全文明措施</w:t>
            </w:r>
          </w:p>
          <w:p>
            <w:pPr>
              <w:widowControl/>
              <w:shd w:val="clear" w:color="auto" w:fill="FFFFFF"/>
              <w:spacing w:line="300" w:lineRule="exact"/>
              <w:jc w:val="center"/>
              <w:rPr>
                <w:rFonts w:hint="eastAsia" w:ascii="宋体" w:cs="宋体"/>
              </w:rPr>
            </w:pPr>
            <w:r>
              <w:rPr>
                <w:rFonts w:hint="eastAsia" w:ascii="宋体" w:cs="宋体"/>
                <w:lang w:val="en-US" w:eastAsia="zh-CN"/>
              </w:rPr>
              <w:t>1</w:t>
            </w:r>
            <w:r>
              <w:rPr>
                <w:rFonts w:hint="eastAsia" w:ascii="宋体" w:cs="宋体"/>
              </w:rPr>
              <w:t>0分</w:t>
            </w:r>
          </w:p>
        </w:tc>
        <w:tc>
          <w:tcPr>
            <w:tcW w:w="6252" w:type="dxa"/>
            <w:noWrap w:val="0"/>
            <w:vAlign w:val="center"/>
          </w:tcPr>
          <w:p>
            <w:pPr>
              <w:pStyle w:val="14"/>
              <w:rPr>
                <w:rFonts w:hint="eastAsia" w:ascii="宋体" w:cs="宋体"/>
              </w:rPr>
            </w:pPr>
            <w:r>
              <w:rPr>
                <w:rFonts w:hint="eastAsia" w:ascii="宋体" w:hAnsi="Times New Roman" w:eastAsia="宋体" w:cs="Times New Roman"/>
                <w:bCs/>
                <w:kern w:val="2"/>
                <w:sz w:val="20"/>
                <w:szCs w:val="20"/>
                <w:lang w:val="en-US" w:eastAsia="zh-CN" w:bidi="ar-SA"/>
              </w:rPr>
              <w:t>为完成本项目，对现场施工的质量保证措施、安全生产、文明施工、环境保护等措施进行阐述。按照上述综合表述内容酌情得0-10分，技术标书中未体现此内容不得分。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1379" w:type="dxa"/>
            <w:vMerge w:val="continue"/>
            <w:noWrap w:val="0"/>
            <w:vAlign w:val="center"/>
          </w:tcPr>
          <w:p/>
        </w:tc>
        <w:tc>
          <w:tcPr>
            <w:tcW w:w="2008" w:type="dxa"/>
            <w:noWrap w:val="0"/>
            <w:vAlign w:val="center"/>
          </w:tcPr>
          <w:p>
            <w:pPr>
              <w:widowControl/>
              <w:shd w:val="clear" w:color="auto" w:fill="FFFFFF"/>
              <w:spacing w:line="300" w:lineRule="exact"/>
              <w:jc w:val="center"/>
              <w:rPr>
                <w:rFonts w:hint="eastAsia" w:ascii="宋体" w:cs="宋体"/>
              </w:rPr>
            </w:pPr>
            <w:r>
              <w:rPr>
                <w:rFonts w:hint="eastAsia"/>
                <w:lang w:val="en-US" w:eastAsia="zh-CN"/>
              </w:rPr>
              <w:t>施工</w:t>
            </w:r>
            <w:r>
              <w:rPr>
                <w:rFonts w:hint="eastAsia"/>
              </w:rPr>
              <w:t>进度保证措施</w:t>
            </w:r>
          </w:p>
          <w:p>
            <w:pPr>
              <w:widowControl/>
              <w:shd w:val="clear" w:color="auto" w:fill="FFFFFF"/>
              <w:spacing w:line="300" w:lineRule="exact"/>
              <w:jc w:val="center"/>
              <w:rPr>
                <w:rFonts w:hint="eastAsia" w:ascii="宋体" w:cs="宋体"/>
              </w:rPr>
            </w:pPr>
            <w:r>
              <w:rPr>
                <w:rFonts w:hint="eastAsia" w:ascii="宋体" w:cs="宋体"/>
                <w:lang w:val="en-US" w:eastAsia="zh-CN"/>
              </w:rPr>
              <w:t>15</w:t>
            </w:r>
            <w:r>
              <w:rPr>
                <w:rFonts w:hint="eastAsia" w:ascii="宋体" w:cs="宋体"/>
              </w:rPr>
              <w:t>分</w:t>
            </w:r>
          </w:p>
        </w:tc>
        <w:tc>
          <w:tcPr>
            <w:tcW w:w="6252" w:type="dxa"/>
            <w:noWrap w:val="0"/>
            <w:vAlign w:val="center"/>
          </w:tcPr>
          <w:p>
            <w:pPr>
              <w:widowControl/>
              <w:shd w:val="clear" w:color="auto" w:fill="FFFFFF"/>
              <w:spacing w:line="300" w:lineRule="exact"/>
              <w:jc w:val="left"/>
              <w:rPr>
                <w:rFonts w:hint="eastAsia" w:ascii="宋体" w:cs="宋体"/>
              </w:rPr>
            </w:pPr>
            <w:r>
              <w:rPr>
                <w:rFonts w:hint="eastAsia" w:ascii="宋体"/>
                <w:bCs/>
                <w:sz w:val="20"/>
                <w:szCs w:val="20"/>
              </w:rPr>
              <w:t>为完成本项目，制定合理的进度计划，从深化设计、</w:t>
            </w:r>
            <w:r>
              <w:rPr>
                <w:rFonts w:hint="eastAsia" w:ascii="宋体"/>
                <w:bCs/>
                <w:sz w:val="20"/>
                <w:szCs w:val="20"/>
                <w:lang w:val="en-US" w:eastAsia="zh-CN"/>
              </w:rPr>
              <w:t>材料准备</w:t>
            </w:r>
            <w:r>
              <w:rPr>
                <w:rFonts w:hint="eastAsia" w:ascii="宋体"/>
                <w:bCs/>
                <w:sz w:val="20"/>
                <w:szCs w:val="20"/>
              </w:rPr>
              <w:t>、供货、安装等方面，</w:t>
            </w:r>
            <w:r>
              <w:rPr>
                <w:rFonts w:hint="eastAsia" w:ascii="宋体" w:cs="宋体"/>
              </w:rPr>
              <w:t>在保证质量的前提下</w:t>
            </w:r>
            <w:r>
              <w:rPr>
                <w:rFonts w:hint="eastAsia" w:ascii="宋体"/>
                <w:bCs/>
                <w:sz w:val="20"/>
                <w:szCs w:val="20"/>
              </w:rPr>
              <w:t>详细说明控制进度的保证措施。</w:t>
            </w:r>
          </w:p>
          <w:p>
            <w:pPr>
              <w:widowControl/>
              <w:shd w:val="clear" w:color="auto" w:fill="FFFFFF"/>
              <w:spacing w:line="300" w:lineRule="exact"/>
              <w:rPr>
                <w:rFonts w:hint="eastAsia" w:ascii="宋体" w:cs="宋体"/>
              </w:rPr>
            </w:pPr>
            <w:r>
              <w:rPr>
                <w:rFonts w:hint="eastAsia" w:ascii="宋体" w:cs="宋体"/>
              </w:rPr>
              <w:t>优秀得1</w:t>
            </w:r>
            <w:r>
              <w:rPr>
                <w:rFonts w:hint="eastAsia" w:ascii="宋体" w:cs="宋体"/>
                <w:lang w:val="en-US" w:eastAsia="zh-CN"/>
              </w:rPr>
              <w:t>0</w:t>
            </w:r>
            <w:r>
              <w:rPr>
                <w:rFonts w:hint="eastAsia" w:ascii="宋体" w:cs="宋体"/>
              </w:rPr>
              <w:t>-</w:t>
            </w:r>
            <w:r>
              <w:rPr>
                <w:rFonts w:hint="eastAsia" w:ascii="宋体" w:cs="宋体"/>
                <w:lang w:val="en-US" w:eastAsia="zh-CN"/>
              </w:rPr>
              <w:t>15</w:t>
            </w:r>
            <w:r>
              <w:rPr>
                <w:rFonts w:hint="eastAsia" w:ascii="宋体" w:cs="宋体"/>
              </w:rPr>
              <w:t>分；</w:t>
            </w:r>
          </w:p>
          <w:p>
            <w:pPr>
              <w:widowControl/>
              <w:shd w:val="clear" w:color="auto" w:fill="FFFFFF"/>
              <w:spacing w:line="300" w:lineRule="exact"/>
              <w:rPr>
                <w:rFonts w:hint="eastAsia" w:ascii="宋体" w:cs="宋体"/>
              </w:rPr>
            </w:pPr>
            <w:r>
              <w:rPr>
                <w:rFonts w:hint="eastAsia" w:ascii="宋体" w:cs="宋体"/>
              </w:rPr>
              <w:t>符合得</w:t>
            </w:r>
            <w:r>
              <w:rPr>
                <w:rFonts w:hint="eastAsia" w:ascii="宋体" w:cs="宋体"/>
                <w:lang w:val="en-US" w:eastAsia="zh-CN"/>
              </w:rPr>
              <w:t>5</w:t>
            </w:r>
            <w:r>
              <w:rPr>
                <w:rFonts w:hint="eastAsia" w:ascii="宋体" w:cs="宋体"/>
              </w:rPr>
              <w:t>-1</w:t>
            </w:r>
            <w:r>
              <w:rPr>
                <w:rFonts w:hint="eastAsia" w:ascii="宋体" w:cs="宋体"/>
                <w:lang w:val="en-US" w:eastAsia="zh-CN"/>
              </w:rPr>
              <w:t>0</w:t>
            </w:r>
            <w:r>
              <w:rPr>
                <w:rFonts w:hint="eastAsia" w:ascii="宋体" w:cs="宋体"/>
              </w:rPr>
              <w:t>分；</w:t>
            </w:r>
          </w:p>
          <w:p>
            <w:pPr>
              <w:widowControl/>
              <w:shd w:val="clear" w:color="auto" w:fill="FFFFFF"/>
              <w:spacing w:line="300" w:lineRule="exact"/>
              <w:jc w:val="left"/>
              <w:rPr>
                <w:rFonts w:hint="eastAsia" w:ascii="宋体" w:cs="宋体"/>
              </w:rPr>
            </w:pPr>
            <w:r>
              <w:rPr>
                <w:rFonts w:hint="eastAsia" w:ascii="宋体" w:cs="宋体"/>
              </w:rPr>
              <w:t>基本满足得0-</w:t>
            </w:r>
            <w:r>
              <w:rPr>
                <w:rFonts w:hint="eastAsia" w:ascii="宋体" w:cs="宋体"/>
                <w:lang w:val="en-US" w:eastAsia="zh-CN"/>
              </w:rPr>
              <w:t>5</w:t>
            </w:r>
            <w:r>
              <w:rPr>
                <w:rFonts w:hint="eastAsia" w:ascii="宋体" w:cs="宋体"/>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379" w:type="dxa"/>
            <w:vMerge w:val="continue"/>
            <w:noWrap w:val="0"/>
            <w:vAlign w:val="center"/>
          </w:tcPr>
          <w:p/>
        </w:tc>
        <w:tc>
          <w:tcPr>
            <w:tcW w:w="2008" w:type="dxa"/>
            <w:noWrap w:val="0"/>
            <w:vAlign w:val="center"/>
          </w:tcPr>
          <w:p>
            <w:pPr>
              <w:widowControl/>
              <w:shd w:val="clear" w:color="auto" w:fill="FFFFFF"/>
              <w:spacing w:line="300" w:lineRule="exact"/>
              <w:jc w:val="center"/>
              <w:rPr>
                <w:rFonts w:hint="eastAsia" w:ascii="宋体" w:cs="宋体"/>
              </w:rPr>
            </w:pPr>
            <w:r>
              <w:rPr>
                <w:rFonts w:hint="eastAsia" w:ascii="宋体" w:cs="宋体"/>
              </w:rPr>
              <w:t>质保期及</w:t>
            </w:r>
          </w:p>
          <w:p>
            <w:pPr>
              <w:widowControl/>
              <w:shd w:val="clear" w:color="auto" w:fill="FFFFFF"/>
              <w:spacing w:line="300" w:lineRule="exact"/>
              <w:jc w:val="center"/>
              <w:rPr>
                <w:rFonts w:hint="eastAsia" w:ascii="宋体" w:cs="宋体"/>
              </w:rPr>
            </w:pPr>
            <w:r>
              <w:rPr>
                <w:rFonts w:hint="eastAsia" w:ascii="宋体" w:cs="宋体"/>
              </w:rPr>
              <w:t>售后服务</w:t>
            </w:r>
          </w:p>
          <w:p>
            <w:pPr>
              <w:widowControl/>
              <w:shd w:val="clear" w:color="auto" w:fill="FFFFFF"/>
              <w:spacing w:line="300" w:lineRule="exact"/>
              <w:jc w:val="center"/>
              <w:rPr>
                <w:rFonts w:hint="eastAsia" w:ascii="宋体" w:cs="宋体"/>
              </w:rPr>
            </w:pPr>
            <w:r>
              <w:rPr>
                <w:rFonts w:hint="eastAsia" w:ascii="宋体" w:cs="宋体"/>
              </w:rPr>
              <w:t>10分</w:t>
            </w:r>
          </w:p>
        </w:tc>
        <w:tc>
          <w:tcPr>
            <w:tcW w:w="6252" w:type="dxa"/>
            <w:noWrap w:val="0"/>
            <w:vAlign w:val="center"/>
          </w:tcPr>
          <w:p>
            <w:pPr>
              <w:widowControl/>
              <w:shd w:val="clear" w:color="auto" w:fill="FFFFFF"/>
              <w:spacing w:line="300" w:lineRule="exact"/>
              <w:jc w:val="left"/>
              <w:rPr>
                <w:rFonts w:hint="eastAsia" w:ascii="宋体" w:cs="宋体"/>
              </w:rPr>
            </w:pPr>
            <w:r>
              <w:rPr>
                <w:rFonts w:hint="eastAsia" w:ascii="宋体" w:cs="宋体"/>
              </w:rPr>
              <w:t>根据投标文件中关于质保期及售后服务部分的表述，应包含详细的售后服务保障措施，售后服务体系，项目所在地</w:t>
            </w:r>
            <w:r>
              <w:rPr>
                <w:rFonts w:hint="eastAsia" w:ascii="宋体" w:cs="宋体"/>
                <w:lang w:eastAsia="zh-CN"/>
              </w:rPr>
              <w:t>的服务力量等</w:t>
            </w:r>
            <w:r>
              <w:rPr>
                <w:rFonts w:hint="eastAsia" w:ascii="宋体" w:cs="宋体"/>
              </w:rPr>
              <w:t>，按照上述综合表述内容酌情得0-10分，技术标书中未体现此内容不得分。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379" w:type="dxa"/>
            <w:vMerge w:val="continue"/>
            <w:noWrap w:val="0"/>
            <w:vAlign w:val="center"/>
          </w:tcPr>
          <w:p/>
        </w:tc>
        <w:tc>
          <w:tcPr>
            <w:tcW w:w="2008" w:type="dxa"/>
            <w:noWrap w:val="0"/>
            <w:vAlign w:val="center"/>
          </w:tcPr>
          <w:p>
            <w:pPr>
              <w:widowControl/>
              <w:shd w:val="clear" w:color="auto" w:fill="FFFFFF"/>
              <w:spacing w:line="300" w:lineRule="exact"/>
              <w:jc w:val="center"/>
              <w:rPr>
                <w:rFonts w:hint="eastAsia" w:ascii="宋体" w:hAnsi="Times New Roman" w:eastAsia="宋体" w:cs="宋体"/>
                <w:lang w:eastAsia="zh-CN"/>
              </w:rPr>
            </w:pPr>
            <w:r>
              <w:rPr>
                <w:rFonts w:hint="eastAsia" w:ascii="宋体" w:hAnsi="Times New Roman" w:eastAsia="宋体" w:cs="宋体"/>
                <w:lang w:eastAsia="zh-CN"/>
              </w:rPr>
              <w:t>财务状况</w:t>
            </w:r>
          </w:p>
          <w:p>
            <w:pPr>
              <w:widowControl/>
              <w:shd w:val="clear" w:color="auto" w:fill="FFFFFF"/>
              <w:spacing w:line="300" w:lineRule="exact"/>
              <w:jc w:val="center"/>
              <w:rPr>
                <w:rFonts w:hint="default" w:ascii="宋体" w:hAnsi="Times New Roman" w:eastAsia="宋体" w:cs="宋体"/>
                <w:lang w:val="en-US" w:eastAsia="zh-CN"/>
              </w:rPr>
            </w:pPr>
            <w:r>
              <w:rPr>
                <w:rFonts w:hint="eastAsia" w:ascii="宋体" w:hAnsi="Times New Roman" w:eastAsia="宋体" w:cs="宋体"/>
                <w:lang w:val="en-US" w:eastAsia="zh-CN"/>
              </w:rPr>
              <w:t>5分</w:t>
            </w:r>
          </w:p>
        </w:tc>
        <w:tc>
          <w:tcPr>
            <w:tcW w:w="6252" w:type="dxa"/>
            <w:noWrap w:val="0"/>
            <w:vAlign w:val="center"/>
          </w:tcPr>
          <w:p>
            <w:pPr>
              <w:widowControl/>
              <w:shd w:val="clear" w:color="auto" w:fill="FFFFFF"/>
              <w:spacing w:line="300" w:lineRule="exact"/>
              <w:jc w:val="left"/>
              <w:rPr>
                <w:rFonts w:hint="eastAsia" w:ascii="宋体" w:hAnsi="Times New Roman" w:eastAsia="宋体" w:cs="宋体"/>
              </w:rPr>
            </w:pPr>
            <w:r>
              <w:rPr>
                <w:rFonts w:hint="eastAsia" w:ascii="宋体" w:hAnsi="Times New Roman" w:eastAsia="宋体" w:cs="宋体"/>
              </w:rPr>
              <w:t>根据技术标书中提供的投标单位资产情况汇总表数据，酌情得0-5分，技术标书中未体现此内容不得分。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1379" w:type="dxa"/>
            <w:vMerge w:val="continue"/>
            <w:noWrap w:val="0"/>
            <w:vAlign w:val="center"/>
          </w:tcPr>
          <w:p/>
        </w:tc>
        <w:tc>
          <w:tcPr>
            <w:tcW w:w="2008" w:type="dxa"/>
            <w:noWrap w:val="0"/>
            <w:vAlign w:val="center"/>
          </w:tcPr>
          <w:p>
            <w:pPr>
              <w:widowControl/>
              <w:shd w:val="clear" w:color="auto" w:fill="FFFFFF"/>
              <w:spacing w:line="300" w:lineRule="exact"/>
              <w:jc w:val="center"/>
              <w:rPr>
                <w:rFonts w:hint="eastAsia" w:ascii="宋体" w:hAnsi="Times New Roman" w:eastAsia="宋体" w:cs="宋体"/>
                <w:lang w:eastAsia="zh-CN"/>
              </w:rPr>
            </w:pPr>
            <w:r>
              <w:rPr>
                <w:rFonts w:hint="eastAsia" w:ascii="宋体" w:hAnsi="Times New Roman" w:eastAsia="宋体" w:cs="宋体"/>
                <w:lang w:eastAsia="zh-CN"/>
              </w:rPr>
              <w:t>业绩</w:t>
            </w:r>
          </w:p>
          <w:p>
            <w:pPr>
              <w:widowControl/>
              <w:shd w:val="clear" w:color="auto" w:fill="FFFFFF"/>
              <w:spacing w:line="300" w:lineRule="exact"/>
              <w:jc w:val="center"/>
              <w:rPr>
                <w:rFonts w:hint="default" w:ascii="宋体" w:hAnsi="Times New Roman" w:eastAsia="宋体" w:cs="宋体"/>
                <w:lang w:val="en-US" w:eastAsia="zh-CN"/>
              </w:rPr>
            </w:pPr>
            <w:r>
              <w:rPr>
                <w:rFonts w:hint="eastAsia" w:ascii="宋体" w:hAnsi="Times New Roman" w:eastAsia="宋体" w:cs="宋体"/>
                <w:lang w:val="en-US" w:eastAsia="zh-CN"/>
              </w:rPr>
              <w:t>10分</w:t>
            </w:r>
          </w:p>
        </w:tc>
        <w:tc>
          <w:tcPr>
            <w:tcW w:w="6252" w:type="dxa"/>
            <w:noWrap w:val="0"/>
            <w:vAlign w:val="center"/>
          </w:tcPr>
          <w:p>
            <w:pPr>
              <w:widowControl/>
              <w:shd w:val="clear" w:color="auto" w:fill="FFFFFF"/>
              <w:spacing w:line="300" w:lineRule="exact"/>
              <w:jc w:val="left"/>
              <w:rPr>
                <w:rFonts w:hint="eastAsia" w:ascii="宋体" w:hAnsi="Times New Roman" w:eastAsia="宋体" w:cs="宋体"/>
                <w:lang w:eastAsia="zh-CN"/>
              </w:rPr>
            </w:pPr>
            <w:r>
              <w:rPr>
                <w:rFonts w:hint="eastAsia" w:ascii="宋体" w:hAnsi="Times New Roman" w:eastAsia="宋体" w:cs="宋体"/>
              </w:rPr>
              <w:t>投标人每有一项</w:t>
            </w:r>
            <w:r>
              <w:rPr>
                <w:rFonts w:hint="eastAsia" w:ascii="宋体" w:hAnsi="Times New Roman" w:eastAsia="宋体" w:cs="宋体"/>
                <w:lang w:val="en-US" w:eastAsia="zh-CN"/>
              </w:rPr>
              <w:t>招标文件要求的</w:t>
            </w:r>
            <w:r>
              <w:rPr>
                <w:rFonts w:hint="eastAsia" w:ascii="宋体" w:hAnsi="Times New Roman" w:eastAsia="宋体" w:cs="宋体"/>
              </w:rPr>
              <w:t>业绩得</w:t>
            </w:r>
            <w:r>
              <w:rPr>
                <w:rFonts w:hint="eastAsia" w:ascii="宋体" w:hAnsi="Times New Roman" w:eastAsia="宋体" w:cs="宋体"/>
                <w:lang w:val="en-US" w:eastAsia="zh-CN"/>
              </w:rPr>
              <w:t>2</w:t>
            </w:r>
            <w:r>
              <w:rPr>
                <w:rFonts w:hint="eastAsia" w:ascii="宋体" w:hAnsi="Times New Roman" w:eastAsia="宋体" w:cs="宋体"/>
              </w:rPr>
              <w:t>分，最多得</w:t>
            </w:r>
            <w:r>
              <w:rPr>
                <w:rFonts w:hint="eastAsia" w:ascii="宋体" w:hAnsi="Times New Roman" w:eastAsia="宋体" w:cs="宋体"/>
                <w:lang w:val="en-US" w:eastAsia="zh-CN"/>
              </w:rPr>
              <w:t>10</w:t>
            </w:r>
            <w:r>
              <w:rPr>
                <w:rFonts w:hint="eastAsia" w:ascii="宋体" w:hAnsi="Times New Roman" w:eastAsia="宋体" w:cs="宋体"/>
              </w:rPr>
              <w:t>分(必须提供合同原件</w:t>
            </w:r>
            <w:r>
              <w:rPr>
                <w:rFonts w:hint="eastAsia" w:ascii="宋体" w:hAnsi="Times New Roman" w:eastAsia="宋体" w:cs="宋体"/>
                <w:lang w:eastAsia="zh-CN"/>
              </w:rPr>
              <w:t>扫描件及验收报告原件扫描件</w:t>
            </w:r>
            <w:r>
              <w:rPr>
                <w:rFonts w:hint="eastAsia" w:ascii="宋体" w:hAnsi="Times New Roman" w:eastAsia="宋体" w:cs="宋体"/>
              </w:rPr>
              <w:t>,否则不得分)。</w:t>
            </w:r>
          </w:p>
        </w:tc>
      </w:tr>
    </w:tbl>
    <w:p>
      <w:pPr>
        <w:rPr>
          <w:rFonts w:hint="eastAsia" w:ascii="宋体" w:hAnsi="宋体" w:eastAsia="宋体" w:cs="宋体"/>
          <w:b/>
          <w:bCs/>
          <w:sz w:val="24"/>
          <w:szCs w:val="24"/>
        </w:rPr>
      </w:pPr>
    </w:p>
    <w:p>
      <w:pPr>
        <w:pStyle w:val="60"/>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spacing w:beforeLines="0" w:afterLines="0" w:line="360" w:lineRule="auto"/>
        <w:jc w:val="center"/>
        <w:rPr>
          <w:rFonts w:hint="eastAsia" w:ascii="宋体" w:hAnsi="宋体" w:eastAsia="宋体" w:cs="宋体"/>
          <w:b/>
          <w:sz w:val="48"/>
          <w:szCs w:val="48"/>
          <w:u w:val="single"/>
        </w:rPr>
      </w:pPr>
      <w:r>
        <w:rPr>
          <w:rFonts w:hint="eastAsia" w:ascii="宋体" w:hAnsi="宋体" w:eastAsia="宋体" w:cs="宋体"/>
          <w:b/>
          <w:sz w:val="48"/>
          <w:szCs w:val="48"/>
          <w:u w:val="single"/>
        </w:rPr>
        <w:t>产品试验检测中心工装夹具外协加工</w:t>
      </w:r>
      <w:r>
        <w:rPr>
          <w:rFonts w:hint="eastAsia" w:ascii="宋体" w:hAnsi="宋体" w:cs="宋体"/>
          <w:b/>
          <w:sz w:val="48"/>
          <w:szCs w:val="48"/>
          <w:u w:val="single"/>
          <w:lang w:val="en-US" w:eastAsia="zh-CN"/>
        </w:rPr>
        <w:t>服务</w:t>
      </w:r>
    </w:p>
    <w:p>
      <w:pPr>
        <w:spacing w:beforeLines="0" w:afterLines="0" w:line="360" w:lineRule="auto"/>
        <w:jc w:val="center"/>
        <w:rPr>
          <w:rFonts w:hint="eastAsia" w:ascii="宋体" w:hAnsi="宋体" w:eastAsia="宋体" w:cs="宋体"/>
          <w:b/>
          <w:sz w:val="48"/>
          <w:szCs w:val="48"/>
          <w:u w:val="single"/>
        </w:rPr>
      </w:pPr>
      <w:r>
        <w:rPr>
          <w:rFonts w:hint="eastAsia" w:ascii="宋体" w:hAnsi="宋体" w:eastAsia="宋体" w:cs="宋体"/>
          <w:b/>
          <w:sz w:val="48"/>
          <w:szCs w:val="48"/>
          <w:u w:val="single"/>
        </w:rPr>
        <w:t>技术标书</w:t>
      </w:r>
    </w:p>
    <w:p>
      <w:pPr>
        <w:spacing w:beforeLines="0" w:afterLines="0" w:line="360" w:lineRule="auto"/>
        <w:rPr>
          <w:rFonts w:hint="eastAsia" w:ascii="宋体" w:hAnsi="宋体" w:eastAsia="宋体" w:cs="宋体"/>
          <w:b/>
          <w:kern w:val="0"/>
          <w:sz w:val="28"/>
          <w:szCs w:val="28"/>
        </w:rPr>
      </w:pPr>
    </w:p>
    <w:p>
      <w:pPr>
        <w:spacing w:beforeLines="0" w:afterLines="0" w:line="360" w:lineRule="auto"/>
        <w:rPr>
          <w:rFonts w:hint="eastAsia" w:ascii="宋体" w:hAnsi="宋体" w:eastAsia="宋体" w:cs="宋体"/>
          <w:b/>
          <w:kern w:val="0"/>
          <w:sz w:val="28"/>
          <w:szCs w:val="28"/>
        </w:rPr>
      </w:pPr>
    </w:p>
    <w:p>
      <w:pPr>
        <w:spacing w:beforeLines="0" w:afterLines="0" w:line="360" w:lineRule="auto"/>
        <w:jc w:val="center"/>
        <w:rPr>
          <w:rFonts w:hint="eastAsia" w:ascii="宋体" w:hAnsi="宋体" w:eastAsia="宋体" w:cs="宋体"/>
          <w:b/>
          <w:sz w:val="32"/>
          <w:szCs w:val="32"/>
        </w:rPr>
      </w:pPr>
    </w:p>
    <w:p>
      <w:pPr>
        <w:spacing w:beforeLines="0" w:afterLines="0" w:line="360" w:lineRule="auto"/>
        <w:jc w:val="center"/>
        <w:rPr>
          <w:rFonts w:hint="eastAsia" w:ascii="宋体" w:hAnsi="宋体" w:eastAsia="宋体" w:cs="宋体"/>
          <w:b/>
          <w:sz w:val="32"/>
          <w:szCs w:val="32"/>
        </w:rPr>
      </w:pPr>
    </w:p>
    <w:p>
      <w:pPr>
        <w:spacing w:beforeLines="0" w:afterLines="0" w:line="360" w:lineRule="auto"/>
        <w:jc w:val="center"/>
        <w:rPr>
          <w:rFonts w:hint="eastAsia" w:ascii="宋体" w:hAnsi="宋体" w:eastAsia="宋体" w:cs="宋体"/>
          <w:b/>
          <w:sz w:val="32"/>
          <w:szCs w:val="32"/>
        </w:rPr>
      </w:pPr>
    </w:p>
    <w:p>
      <w:pPr>
        <w:spacing w:beforeLines="0" w:afterLines="0" w:line="360" w:lineRule="auto"/>
        <w:jc w:val="center"/>
        <w:rPr>
          <w:rFonts w:hint="eastAsia" w:ascii="宋体" w:hAnsi="宋体" w:eastAsia="宋体" w:cs="宋体"/>
          <w:b/>
          <w:sz w:val="32"/>
          <w:szCs w:val="32"/>
        </w:rPr>
      </w:pPr>
    </w:p>
    <w:p>
      <w:pPr>
        <w:spacing w:beforeLines="0" w:afterLines="0" w:line="360" w:lineRule="auto"/>
        <w:jc w:val="center"/>
        <w:rPr>
          <w:rFonts w:hint="eastAsia" w:ascii="宋体" w:hAnsi="宋体" w:eastAsia="宋体" w:cs="宋体"/>
          <w:b/>
          <w:sz w:val="32"/>
          <w:szCs w:val="32"/>
        </w:rPr>
      </w:pPr>
    </w:p>
    <w:p>
      <w:pPr>
        <w:spacing w:beforeLines="0" w:afterLines="0" w:line="360" w:lineRule="auto"/>
        <w:jc w:val="center"/>
        <w:rPr>
          <w:rFonts w:hint="eastAsia" w:ascii="宋体" w:hAnsi="宋体" w:eastAsia="宋体" w:cs="宋体"/>
          <w:b/>
          <w:sz w:val="32"/>
          <w:szCs w:val="32"/>
        </w:rPr>
      </w:pPr>
    </w:p>
    <w:p>
      <w:pPr>
        <w:spacing w:beforeLines="0" w:afterLines="0" w:line="360" w:lineRule="auto"/>
        <w:ind w:firstLine="1836" w:firstLineChars="655"/>
        <w:jc w:val="left"/>
        <w:rPr>
          <w:rFonts w:hint="eastAsia" w:ascii="宋体" w:hAnsi="宋体" w:eastAsia="宋体" w:cs="宋体"/>
          <w:b/>
          <w:sz w:val="28"/>
          <w:szCs w:val="28"/>
          <w:u w:val="single"/>
        </w:rPr>
      </w:pPr>
      <w:r>
        <w:rPr>
          <w:rFonts w:hint="eastAsia" w:ascii="宋体" w:hAnsi="宋体" w:eastAsia="宋体" w:cs="宋体"/>
          <w:b/>
          <w:sz w:val="28"/>
          <w:szCs w:val="28"/>
        </w:rPr>
        <w:t>招标方：中国重汽集团济南动力有限公司</w:t>
      </w:r>
    </w:p>
    <w:p>
      <w:pPr>
        <w:spacing w:beforeLines="0" w:afterLines="0" w:line="360" w:lineRule="auto"/>
        <w:ind w:firstLine="1836" w:firstLineChars="655"/>
        <w:jc w:val="left"/>
        <w:rPr>
          <w:rFonts w:hint="eastAsia" w:ascii="宋体" w:hAnsi="宋体" w:eastAsia="宋体" w:cs="宋体"/>
          <w:b/>
          <w:sz w:val="28"/>
          <w:szCs w:val="28"/>
        </w:rPr>
      </w:pPr>
    </w:p>
    <w:p>
      <w:pPr>
        <w:spacing w:beforeLines="0" w:afterLines="0" w:line="360" w:lineRule="auto"/>
        <w:ind w:firstLine="1836" w:firstLineChars="655"/>
        <w:jc w:val="left"/>
        <w:rPr>
          <w:rFonts w:hint="eastAsia" w:ascii="宋体" w:hAnsi="宋体" w:eastAsia="宋体" w:cs="宋体"/>
          <w:b/>
          <w:sz w:val="28"/>
          <w:szCs w:val="28"/>
        </w:rPr>
      </w:pPr>
      <w:r>
        <w:rPr>
          <w:rFonts w:hint="eastAsia" w:ascii="宋体" w:hAnsi="宋体" w:eastAsia="宋体" w:cs="宋体"/>
          <w:b/>
          <w:sz w:val="28"/>
          <w:szCs w:val="28"/>
        </w:rPr>
        <w:t>投标方：</w:t>
      </w:r>
    </w:p>
    <w:p>
      <w:pPr>
        <w:spacing w:beforeLines="0" w:afterLines="0" w:line="360" w:lineRule="auto"/>
        <w:jc w:val="center"/>
        <w:rPr>
          <w:rFonts w:hint="eastAsia" w:ascii="宋体" w:hAnsi="宋体" w:eastAsia="宋体" w:cs="宋体"/>
          <w:b/>
          <w:sz w:val="28"/>
          <w:szCs w:val="28"/>
        </w:rPr>
      </w:pPr>
    </w:p>
    <w:p>
      <w:pPr>
        <w:spacing w:beforeLines="0" w:afterLines="0" w:line="360" w:lineRule="auto"/>
        <w:jc w:val="center"/>
        <w:rPr>
          <w:rFonts w:hint="eastAsia" w:ascii="宋体" w:hAnsi="宋体" w:eastAsia="宋体" w:cs="宋体"/>
          <w:b/>
          <w:sz w:val="28"/>
          <w:szCs w:val="28"/>
        </w:rPr>
      </w:pPr>
    </w:p>
    <w:p>
      <w:pPr>
        <w:widowControl/>
        <w:spacing w:beforeLines="0" w:afterLines="0"/>
        <w:jc w:val="left"/>
        <w:rPr>
          <w:rFonts w:hint="eastAsia" w:ascii="宋体" w:hAnsi="宋体" w:eastAsia="宋体" w:cs="宋体"/>
          <w:sz w:val="21"/>
          <w:szCs w:val="24"/>
        </w:rPr>
      </w:pPr>
      <w:r>
        <w:rPr>
          <w:rFonts w:hint="eastAsia" w:ascii="宋体" w:hAnsi="宋体" w:eastAsia="宋体" w:cs="宋体"/>
          <w:b/>
          <w:sz w:val="36"/>
          <w:szCs w:val="36"/>
        </w:rPr>
        <w:br w:type="page"/>
      </w:r>
    </w:p>
    <w:p>
      <w:pPr>
        <w:spacing w:beforeLines="0" w:afterLines="0" w:line="260" w:lineRule="exact"/>
        <w:jc w:val="center"/>
        <w:rPr>
          <w:rFonts w:hint="eastAsia" w:ascii="宋体" w:hAnsi="宋体" w:eastAsia="宋体" w:cs="宋体"/>
          <w:sz w:val="24"/>
          <w:szCs w:val="24"/>
        </w:rPr>
        <w:sectPr>
          <w:footerReference r:id="rId11" w:type="default"/>
          <w:pgSz w:w="11906" w:h="16838"/>
          <w:pgMar w:top="1440" w:right="1077" w:bottom="1440" w:left="1077" w:header="851" w:footer="992" w:gutter="0"/>
          <w:pgBorders>
            <w:top w:val="none" w:sz="0" w:space="0"/>
            <w:left w:val="none" w:sz="0" w:space="0"/>
            <w:bottom w:val="none" w:sz="0" w:space="0"/>
            <w:right w:val="none" w:sz="0" w:space="0"/>
          </w:pgBorders>
          <w:lnNumType w:countBy="0" w:distance="360"/>
          <w:cols w:space="720" w:num="1"/>
          <w:docGrid w:type="lines" w:linePitch="312" w:charSpace="-3931"/>
        </w:sectPr>
      </w:pPr>
    </w:p>
    <w:p>
      <w:pPr>
        <w:spacing w:beforeLines="0" w:afterLines="0"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招标方：中国重汽集团济南动力有限公司       </w:t>
      </w:r>
    </w:p>
    <w:p>
      <w:pPr>
        <w:spacing w:beforeLines="0" w:afterLines="0"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投标方：</w:t>
      </w: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5173345</wp:posOffset>
            </wp:positionH>
            <wp:positionV relativeFrom="paragraph">
              <wp:posOffset>581660</wp:posOffset>
            </wp:positionV>
            <wp:extent cx="635" cy="635"/>
            <wp:effectExtent l="0" t="0" r="0" b="0"/>
            <wp:wrapNone/>
            <wp:docPr id="4" name="墨迹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墨迹 10"/>
                    <pic:cNvPicPr>
                      <a:picLocks noGrp="1" noChangeAspect="1"/>
                    </pic:cNvPicPr>
                  </pic:nvPicPr>
                  <pic:blipFill>
                    <a:blip r:embed="rId27"/>
                    <a:stretch>
                      <a:fillRect/>
                    </a:stretch>
                  </pic:blipFill>
                  <pic:spPr>
                    <a:xfrm>
                      <a:off x="0" y="0"/>
                      <a:ext cx="635" cy="635"/>
                    </a:xfrm>
                    <a:prstGeom prst="rect">
                      <a:avLst/>
                    </a:prstGeom>
                    <a:noFill/>
                    <a:ln>
                      <a:noFill/>
                    </a:ln>
                  </pic:spPr>
                </pic:pic>
              </a:graphicData>
            </a:graphic>
          </wp:anchor>
        </w:drawing>
      </w:r>
    </w:p>
    <w:p>
      <w:pPr>
        <w:pStyle w:val="5"/>
        <w:numPr>
          <w:ilvl w:val="0"/>
          <w:numId w:val="8"/>
        </w:numPr>
        <w:tabs>
          <w:tab w:val="left" w:pos="425"/>
        </w:tabs>
        <w:spacing w:beforeLines="0" w:afterLines="0" w:line="360" w:lineRule="auto"/>
        <w:ind w:left="0" w:firstLine="0"/>
        <w:rPr>
          <w:rFonts w:hint="eastAsia" w:ascii="宋体" w:hAnsi="宋体" w:eastAsia="宋体" w:cs="宋体"/>
          <w:sz w:val="24"/>
          <w:szCs w:val="24"/>
        </w:rPr>
      </w:pPr>
      <w:bookmarkStart w:id="23" w:name="_Toc142724994"/>
      <w:r>
        <w:rPr>
          <w:rFonts w:hint="eastAsia" w:ascii="宋体" w:hAnsi="宋体" w:eastAsia="宋体" w:cs="宋体"/>
          <w:sz w:val="24"/>
          <w:szCs w:val="24"/>
        </w:rPr>
        <w:t>协议供货内容</w:t>
      </w:r>
      <w:bookmarkEnd w:id="23"/>
    </w:p>
    <w:p>
      <w:pPr>
        <w:pStyle w:val="6"/>
        <w:numPr>
          <w:ilvl w:val="0"/>
          <w:numId w:val="9"/>
        </w:numPr>
        <w:spacing w:beforeLines="0" w:afterLines="0" w:line="360" w:lineRule="auto"/>
        <w:ind w:left="0" w:firstLine="0"/>
        <w:rPr>
          <w:rFonts w:hint="eastAsia" w:ascii="宋体" w:hAnsi="宋体" w:eastAsia="宋体" w:cs="宋体"/>
          <w:sz w:val="24"/>
          <w:szCs w:val="24"/>
        </w:rPr>
      </w:pPr>
      <w:bookmarkStart w:id="24" w:name="_Toc142724995"/>
      <w:r>
        <w:rPr>
          <w:rFonts w:hint="eastAsia" w:ascii="宋体" w:hAnsi="宋体" w:eastAsia="宋体" w:cs="宋体"/>
          <w:sz w:val="24"/>
          <w:szCs w:val="24"/>
        </w:rPr>
        <w:t>使用环境</w:t>
      </w:r>
      <w:bookmarkEnd w:id="24"/>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一、项目名称：</w:t>
      </w:r>
      <w:r>
        <w:rPr>
          <w:rFonts w:hint="eastAsia" w:ascii="宋体" w:hAnsi="宋体" w:eastAsia="宋体" w:cs="宋体"/>
          <w:color w:val="000000"/>
          <w:sz w:val="24"/>
          <w:szCs w:val="24"/>
          <w:lang w:val="en-US" w:eastAsia="zh-CN"/>
        </w:rPr>
        <w:t>中国重汽集团济南动力有限公司产品试验检测中心工装夹具外协加工服务招标项目</w:t>
      </w:r>
    </w:p>
    <w:p>
      <w:pPr>
        <w:spacing w:beforeLines="0" w:afterLines="0"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二、建设地点：中国重汽</w:t>
      </w:r>
      <w:r>
        <w:rPr>
          <w:rFonts w:hint="eastAsia" w:ascii="宋体" w:hAnsi="宋体" w:cs="宋体"/>
          <w:color w:val="000000"/>
          <w:sz w:val="24"/>
          <w:szCs w:val="24"/>
          <w:lang w:val="en-US" w:eastAsia="zh-CN"/>
        </w:rPr>
        <w:t>集团</w:t>
      </w:r>
      <w:r>
        <w:rPr>
          <w:rFonts w:hint="eastAsia" w:ascii="宋体" w:hAnsi="宋体" w:eastAsia="宋体" w:cs="宋体"/>
          <w:color w:val="000000"/>
          <w:sz w:val="24"/>
          <w:szCs w:val="24"/>
        </w:rPr>
        <w:t>产品试验检测中心</w:t>
      </w:r>
    </w:p>
    <w:p>
      <w:pPr>
        <w:spacing w:beforeLines="0" w:afterLines="0" w:line="360" w:lineRule="auto"/>
        <w:ind w:firstLine="480" w:firstLineChars="200"/>
        <w:rPr>
          <w:rFonts w:hint="default" w:ascii="宋体" w:hAnsi="宋体" w:eastAsia="宋体" w:cs="宋体"/>
          <w:color w:val="000000"/>
          <w:sz w:val="24"/>
          <w:szCs w:val="24"/>
          <w:u w:val="single"/>
          <w:shd w:val="pct10" w:color="auto" w:fill="FFFFFF"/>
          <w:lang w:val="en-US" w:eastAsia="zh-CN"/>
        </w:rPr>
      </w:pPr>
      <w:r>
        <w:rPr>
          <w:rFonts w:hint="eastAsia" w:ascii="宋体" w:hAnsi="宋体" w:eastAsia="宋体" w:cs="宋体"/>
          <w:color w:val="000000"/>
          <w:sz w:val="24"/>
          <w:szCs w:val="24"/>
        </w:rPr>
        <w:t>三、存放地点：山东省济南市高新区华奥路777号</w:t>
      </w:r>
      <w:r>
        <w:rPr>
          <w:rFonts w:hint="eastAsia" w:ascii="宋体" w:hAnsi="宋体" w:cs="宋体"/>
          <w:color w:val="000000"/>
          <w:sz w:val="24"/>
          <w:szCs w:val="24"/>
          <w:lang w:val="en-US" w:eastAsia="zh-CN"/>
        </w:rPr>
        <w:t>中国重汽科技大厦</w:t>
      </w:r>
      <w:r>
        <w:rPr>
          <w:rFonts w:hint="eastAsia" w:ascii="宋体" w:hAnsi="宋体" w:eastAsia="宋体" w:cs="宋体"/>
          <w:color w:val="000000"/>
          <w:sz w:val="24"/>
          <w:szCs w:val="24"/>
        </w:rPr>
        <w:t>和章丘区</w:t>
      </w:r>
      <w:r>
        <w:rPr>
          <w:rFonts w:hint="eastAsia" w:ascii="宋体" w:hAnsi="宋体" w:cs="宋体"/>
          <w:color w:val="000000"/>
          <w:sz w:val="24"/>
          <w:szCs w:val="24"/>
          <w:lang w:val="en-US" w:eastAsia="zh-CN"/>
        </w:rPr>
        <w:t>重汽工业园</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四</w:t>
      </w:r>
      <w:r>
        <w:rPr>
          <w:rFonts w:hint="eastAsia" w:ascii="宋体" w:hAnsi="宋体" w:eastAsia="宋体" w:cs="宋体"/>
          <w:color w:val="000000"/>
          <w:sz w:val="24"/>
          <w:szCs w:val="24"/>
        </w:rPr>
        <w:t>、工作制度：全年工作</w:t>
      </w:r>
      <w:r>
        <w:rPr>
          <w:rFonts w:hint="eastAsia" w:ascii="宋体" w:hAnsi="宋体" w:cs="宋体"/>
          <w:color w:val="000000"/>
          <w:sz w:val="24"/>
          <w:szCs w:val="24"/>
          <w:lang w:val="en-US" w:eastAsia="zh-CN"/>
        </w:rPr>
        <w:t>365天、两班制、设备年时基数5840小</w:t>
      </w:r>
      <w:r>
        <w:rPr>
          <w:rFonts w:hint="eastAsia" w:ascii="宋体" w:hAnsi="宋体" w:eastAsia="宋体" w:cs="宋体"/>
          <w:color w:val="000000"/>
          <w:sz w:val="24"/>
          <w:szCs w:val="24"/>
        </w:rPr>
        <w:t>时</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五</w:t>
      </w:r>
      <w:r>
        <w:rPr>
          <w:rFonts w:hint="eastAsia" w:ascii="宋体" w:hAnsi="宋体" w:eastAsia="宋体" w:cs="宋体"/>
          <w:color w:val="000000"/>
          <w:sz w:val="24"/>
          <w:szCs w:val="24"/>
        </w:rPr>
        <w:t>、使用地点区域自然环境：</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1.海拔高度：1000m以下</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2.环境温度：室外极端最低温度-20℃、极端最高温度45℃，昼夜最大温差25℃；室内温度5～42℃</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3.相对湿度：最大95%、最小15%</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4.地震设防裂度：七度</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六</w:t>
      </w:r>
      <w:r>
        <w:rPr>
          <w:rFonts w:hint="eastAsia" w:ascii="宋体" w:hAnsi="宋体" w:eastAsia="宋体" w:cs="宋体"/>
          <w:color w:val="000000"/>
          <w:sz w:val="24"/>
          <w:szCs w:val="24"/>
        </w:rPr>
        <w:t>、使用试验室环境条件：</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1.电力：中国制式，供电电压690V±15%/380V±15%/220V±15%，供电频率50Hz±2%</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2.给水：市政自来水</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3.冷却水：&lt;32℃，冷冻水：&lt;9℃</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4.压缩空气：自备空压机自产压缩空气，0.5～0.7MPa</w:t>
      </w:r>
    </w:p>
    <w:p>
      <w:pPr>
        <w:pStyle w:val="6"/>
        <w:numPr>
          <w:ilvl w:val="0"/>
          <w:numId w:val="9"/>
        </w:numPr>
        <w:spacing w:beforeLines="0" w:afterLines="0" w:line="360" w:lineRule="auto"/>
        <w:ind w:left="0" w:firstLine="0"/>
        <w:rPr>
          <w:rFonts w:hint="eastAsia" w:ascii="宋体" w:hAnsi="宋体" w:eastAsia="宋体" w:cs="宋体"/>
          <w:sz w:val="24"/>
          <w:szCs w:val="24"/>
        </w:rPr>
      </w:pPr>
      <w:bookmarkStart w:id="25" w:name="_Toc465187640"/>
      <w:bookmarkStart w:id="26" w:name="_Toc142724996"/>
      <w:r>
        <w:rPr>
          <w:rFonts w:hint="eastAsia" w:ascii="宋体" w:hAnsi="宋体" w:eastAsia="宋体" w:cs="宋体"/>
          <w:sz w:val="24"/>
          <w:szCs w:val="24"/>
        </w:rPr>
        <w:t>供货内容概况</w:t>
      </w:r>
      <w:bookmarkEnd w:id="25"/>
      <w:bookmarkEnd w:id="26"/>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一、货物名称：工装夹具外协加工服务</w:t>
      </w:r>
    </w:p>
    <w:p>
      <w:pPr>
        <w:spacing w:beforeLines="0" w:afterLines="0"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工装夹具外协加工服务是指</w:t>
      </w:r>
      <w:r>
        <w:rPr>
          <w:rFonts w:hint="eastAsia" w:ascii="宋体" w:hAnsi="宋体" w:cs="宋体"/>
          <w:color w:val="000000"/>
          <w:sz w:val="24"/>
          <w:szCs w:val="24"/>
          <w:lang w:val="en-US" w:eastAsia="zh-CN"/>
        </w:rPr>
        <w:t>为</w:t>
      </w:r>
      <w:r>
        <w:rPr>
          <w:rFonts w:hint="eastAsia" w:ascii="宋体" w:hAnsi="宋体" w:eastAsia="宋体" w:cs="宋体"/>
          <w:color w:val="000000"/>
          <w:sz w:val="24"/>
          <w:szCs w:val="24"/>
        </w:rPr>
        <w:t>公司车辆试验项目（包括但不限于整车、发动机、零部件试验）所需的工位器具、工装、夹具</w:t>
      </w:r>
      <w:r>
        <w:rPr>
          <w:rFonts w:hint="eastAsia" w:ascii="宋体" w:hAnsi="宋体" w:eastAsia="宋体" w:cs="宋体"/>
          <w:color w:val="000000"/>
          <w:sz w:val="24"/>
          <w:szCs w:val="24"/>
          <w:lang w:val="en-US" w:eastAsia="zh-CN"/>
        </w:rPr>
        <w:t>提供加工并运送至指定位置的服务</w:t>
      </w:r>
      <w:r>
        <w:rPr>
          <w:rFonts w:hint="eastAsia" w:ascii="宋体" w:hAnsi="宋体" w:eastAsia="宋体" w:cs="宋体"/>
          <w:color w:val="000000"/>
          <w:sz w:val="24"/>
          <w:szCs w:val="24"/>
        </w:rPr>
        <w:t>的全过程</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工装夹具加工所需材料及工序详见附件8投标报价明细表。</w:t>
      </w:r>
    </w:p>
    <w:p>
      <w:pPr>
        <w:spacing w:beforeLines="0" w:afterLines="0" w:line="360" w:lineRule="auto"/>
        <w:ind w:firstLine="480" w:firstLineChars="200"/>
        <w:rPr>
          <w:rFonts w:hint="eastAsia" w:ascii="宋体" w:hAnsi="宋体" w:eastAsia="宋体" w:cs="宋体"/>
        </w:rPr>
      </w:pPr>
      <w:r>
        <w:rPr>
          <w:rFonts w:hint="eastAsia" w:ascii="宋体" w:hAnsi="宋体" w:eastAsia="宋体" w:cs="宋体"/>
          <w:color w:val="000000"/>
          <w:sz w:val="24"/>
          <w:szCs w:val="24"/>
        </w:rPr>
        <w:t>二、货物/服务数量：</w:t>
      </w:r>
      <w:r>
        <w:rPr>
          <w:rFonts w:hint="eastAsia" w:ascii="宋体" w:hAnsi="宋体" w:eastAsia="宋体" w:cs="宋体"/>
          <w:color w:val="000000"/>
          <w:sz w:val="24"/>
          <w:szCs w:val="24"/>
          <w:u w:val="single"/>
          <w:shd w:val="pct10" w:color="auto" w:fill="FFFFFF"/>
        </w:rPr>
        <w:t>一套</w:t>
      </w:r>
      <w:r>
        <w:rPr>
          <w:rFonts w:hint="eastAsia" w:ascii="宋体" w:hAnsi="宋体" w:eastAsia="宋体" w:cs="宋体"/>
          <w:color w:val="000000"/>
          <w:sz w:val="24"/>
          <w:szCs w:val="24"/>
        </w:rPr>
        <w:t xml:space="preserve">                   ★三、分投分中：</w:t>
      </w:r>
      <w:r>
        <w:rPr>
          <w:rFonts w:hint="eastAsia" w:ascii="宋体" w:hAnsi="宋体" w:eastAsia="宋体" w:cs="宋体"/>
          <w:color w:val="000000"/>
          <w:sz w:val="24"/>
          <w:szCs w:val="24"/>
          <w:u w:val="single"/>
          <w:shd w:val="pct10" w:color="auto" w:fill="FFFFFF"/>
        </w:rPr>
        <w:t>不允许</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lang w:val="en-US"/>
        </w:rPr>
      </w:pPr>
      <w:r>
        <w:rPr>
          <w:rFonts w:hint="eastAsia" w:ascii="宋体" w:hAnsi="宋体" w:eastAsia="宋体" w:cs="宋体"/>
          <w:kern w:val="2"/>
          <w:sz w:val="24"/>
          <w:szCs w:val="24"/>
          <w:lang w:val="en-US" w:eastAsia="zh-CN" w:bidi="ar"/>
        </w:rPr>
        <w:t>采购货物主要构成一览表</w:t>
      </w:r>
    </w:p>
    <w:tbl>
      <w:tblPr>
        <w:tblStyle w:val="168"/>
        <w:tblW w:w="512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14"/>
        <w:gridCol w:w="1696"/>
        <w:gridCol w:w="3874"/>
        <w:gridCol w:w="805"/>
        <w:gridCol w:w="1062"/>
        <w:gridCol w:w="12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jc w:val="center"/>
        </w:trPr>
        <w:tc>
          <w:tcPr>
            <w:tcW w:w="330" w:type="pct"/>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pacing w:val="-1"/>
                <w:sz w:val="21"/>
                <w:szCs w:val="21"/>
              </w:rPr>
              <w:t>序号</w:t>
            </w:r>
          </w:p>
        </w:tc>
        <w:tc>
          <w:tcPr>
            <w:tcW w:w="910" w:type="pct"/>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pacing w:val="4"/>
                <w:sz w:val="21"/>
                <w:szCs w:val="21"/>
              </w:rPr>
              <w:t>名称</w:t>
            </w:r>
          </w:p>
        </w:tc>
        <w:tc>
          <w:tcPr>
            <w:tcW w:w="2079" w:type="pct"/>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型号规格</w:t>
            </w:r>
          </w:p>
        </w:tc>
        <w:tc>
          <w:tcPr>
            <w:tcW w:w="432" w:type="pct"/>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pacing w:val="-2"/>
                <w:sz w:val="21"/>
                <w:szCs w:val="21"/>
              </w:rPr>
              <w:t>单位</w:t>
            </w:r>
          </w:p>
        </w:tc>
        <w:tc>
          <w:tcPr>
            <w:tcW w:w="570" w:type="pct"/>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数量</w:t>
            </w:r>
          </w:p>
        </w:tc>
        <w:tc>
          <w:tcPr>
            <w:tcW w:w="677" w:type="pct"/>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安装地点/服务对象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330" w:type="pct"/>
            <w:tcBorders>
              <w:left w:val="single" w:color="000000" w:sz="6" w:space="0"/>
            </w:tcBorders>
            <w:vAlign w:val="center"/>
          </w:tcPr>
          <w:p>
            <w:pPr>
              <w:keepNext w:val="0"/>
              <w:keepLines w:val="0"/>
              <w:pageBreakBefore w:val="0"/>
              <w:widowControl w:val="0"/>
              <w:kinsoku/>
              <w:wordWrap/>
              <w:overflowPunct/>
              <w:topLinePunct w:val="0"/>
              <w:autoSpaceDE/>
              <w:autoSpaceDN/>
              <w:bidi w:val="0"/>
              <w:adjustRightInd/>
              <w:snapToGrid/>
              <w:spacing w:before="72" w:line="188"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910" w:type="pct"/>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试验用工装夹具</w:t>
            </w:r>
          </w:p>
        </w:tc>
        <w:tc>
          <w:tcPr>
            <w:tcW w:w="2079" w:type="pct"/>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车辆试验项目（包括但不限于整车、发动机、零部件试验）所需外协加工的工位器具、工装、夹具等</w:t>
            </w:r>
          </w:p>
        </w:tc>
        <w:tc>
          <w:tcPr>
            <w:tcW w:w="432" w:type="pct"/>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件</w:t>
            </w:r>
          </w:p>
        </w:tc>
        <w:tc>
          <w:tcPr>
            <w:tcW w:w="570" w:type="pct"/>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按实际需求</w:t>
            </w:r>
          </w:p>
        </w:tc>
        <w:tc>
          <w:tcPr>
            <w:tcW w:w="677" w:type="pct"/>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济南市高新区华奥路777号中国重汽科技大厦园区/重汽章丘工业园</w:t>
            </w:r>
          </w:p>
        </w:tc>
      </w:tr>
    </w:tbl>
    <w:p>
      <w:pPr>
        <w:pStyle w:val="2"/>
        <w:ind w:left="0" w:leftChars="0" w:firstLine="0" w:firstLineChars="0"/>
        <w:rPr>
          <w:rFonts w:hint="eastAsia"/>
        </w:rPr>
      </w:pPr>
    </w:p>
    <w:p>
      <w:pPr>
        <w:pStyle w:val="5"/>
        <w:numPr>
          <w:ilvl w:val="0"/>
          <w:numId w:val="8"/>
        </w:numPr>
        <w:tabs>
          <w:tab w:val="left" w:pos="425"/>
        </w:tabs>
        <w:spacing w:beforeLines="0" w:afterLines="0" w:line="360" w:lineRule="auto"/>
        <w:rPr>
          <w:rFonts w:hint="eastAsia" w:ascii="宋体" w:hAnsi="宋体" w:eastAsia="宋体" w:cs="宋体"/>
          <w:sz w:val="24"/>
          <w:szCs w:val="24"/>
        </w:rPr>
      </w:pPr>
      <w:bookmarkStart w:id="27" w:name="_Toc142724999"/>
      <w:r>
        <w:rPr>
          <w:rFonts w:hint="eastAsia" w:ascii="宋体" w:hAnsi="宋体" w:eastAsia="宋体" w:cs="宋体"/>
          <w:sz w:val="24"/>
          <w:szCs w:val="24"/>
        </w:rPr>
        <w:t>技术要求</w:t>
      </w:r>
      <w:bookmarkEnd w:id="27"/>
    </w:p>
    <w:p>
      <w:pPr>
        <w:pStyle w:val="6"/>
        <w:numPr>
          <w:ilvl w:val="0"/>
          <w:numId w:val="10"/>
        </w:numPr>
        <w:tabs>
          <w:tab w:val="left" w:pos="1143"/>
        </w:tabs>
        <w:spacing w:beforeLines="0" w:afterLines="0" w:line="360" w:lineRule="auto"/>
        <w:ind w:left="0" w:firstLine="0"/>
        <w:rPr>
          <w:rFonts w:hint="eastAsia" w:ascii="宋体" w:hAnsi="宋体" w:eastAsia="宋体" w:cs="宋体"/>
          <w:sz w:val="24"/>
          <w:szCs w:val="24"/>
        </w:rPr>
      </w:pPr>
      <w:bookmarkStart w:id="28" w:name="_Toc142725000"/>
      <w:r>
        <w:rPr>
          <w:rFonts w:hint="eastAsia" w:ascii="宋体" w:hAnsi="宋体" w:eastAsia="宋体" w:cs="宋体"/>
          <w:sz w:val="24"/>
          <w:szCs w:val="24"/>
        </w:rPr>
        <w:t>特别提示</w:t>
      </w:r>
      <w:bookmarkEnd w:id="28"/>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1.本章技术要求，仅对功能、设计、结构、性能、安装和试验检验等方面，提出了最低和一般性的技术要求，并未对一切技术细节作出规定。</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2.本技术要求所使用的标准、规范等，如与投标方所执行的标准、规范不一致时，应按高于本技术要求所列的标准、规范执行。</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3.投标方认为所供货物/服务必需由招标方配备、解决或提供的其它要求，如设备基础隔振和减振设施、软化水、洁净气源等，均应在投标文件“技术偏离”中予以充分说明。</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方应根据招投标货物/服务具体要求，提出对厂房、设备基础（或安装平台）、公用设施、消防、环保等超出招标文件、投标文件、答疑文件、技术交流文件、技术协议书和合同等规定的、有特殊需要的解释、说明和要求。</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5.无论是否有技术偏离，投标方均应在投标文件“技术偏离”中明确作出有无说明。若有异议，不管是多么微小，投标方必须予以明确和详细的说明或澄清。</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6.为避免投标方优势在招标评审时漏项，质保期超出本技术标书要求的，应当在投标文件“技术偏离”中特别注明。</w:t>
      </w:r>
    </w:p>
    <w:p>
      <w:pPr>
        <w:pStyle w:val="6"/>
        <w:numPr>
          <w:ilvl w:val="0"/>
          <w:numId w:val="10"/>
        </w:numPr>
        <w:tabs>
          <w:tab w:val="left" w:pos="1143"/>
        </w:tabs>
        <w:spacing w:beforeLines="0" w:afterLines="0" w:line="360" w:lineRule="auto"/>
        <w:ind w:left="0" w:firstLine="0"/>
        <w:rPr>
          <w:rFonts w:hint="eastAsia" w:ascii="宋体" w:hAnsi="宋体" w:eastAsia="宋体" w:cs="宋体"/>
          <w:sz w:val="24"/>
          <w:szCs w:val="24"/>
        </w:rPr>
      </w:pPr>
      <w:bookmarkStart w:id="29" w:name="_Toc142725001"/>
      <w:r>
        <w:rPr>
          <w:rFonts w:hint="eastAsia" w:ascii="宋体" w:hAnsi="宋体" w:eastAsia="宋体" w:cs="宋体"/>
          <w:sz w:val="24"/>
          <w:szCs w:val="24"/>
        </w:rPr>
        <w:t>基本要求</w:t>
      </w:r>
      <w:bookmarkEnd w:id="29"/>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★1.投标方需具备丰富的</w:t>
      </w:r>
      <w:r>
        <w:rPr>
          <w:rFonts w:hint="eastAsia" w:ascii="宋体" w:hAnsi="宋体" w:cs="宋体"/>
          <w:color w:val="000000"/>
          <w:sz w:val="24"/>
          <w:szCs w:val="24"/>
          <w:lang w:val="en-US" w:eastAsia="zh-CN"/>
        </w:rPr>
        <w:t>工装夹具制造经验</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none"/>
        </w:rPr>
        <w:t>公司注册资金不低于</w:t>
      </w:r>
      <w:r>
        <w:rPr>
          <w:rFonts w:hint="eastAsia" w:ascii="宋体" w:hAnsi="宋体" w:cs="宋体"/>
          <w:color w:val="auto"/>
          <w:sz w:val="24"/>
          <w:szCs w:val="24"/>
          <w:highlight w:val="none"/>
          <w:lang w:val="en-US" w:eastAsia="zh-CN"/>
        </w:rPr>
        <w:t>100万</w:t>
      </w:r>
      <w:r>
        <w:rPr>
          <w:rFonts w:hint="eastAsia" w:ascii="宋体" w:hAnsi="宋体" w:eastAsia="宋体" w:cs="宋体"/>
          <w:color w:val="auto"/>
          <w:sz w:val="24"/>
          <w:szCs w:val="24"/>
          <w:highlight w:val="none"/>
        </w:rPr>
        <w:t>人民币</w:t>
      </w:r>
      <w:r>
        <w:rPr>
          <w:rFonts w:hint="eastAsia" w:ascii="宋体" w:hAnsi="宋体" w:eastAsia="宋体" w:cs="宋体"/>
          <w:color w:val="auto"/>
          <w:sz w:val="24"/>
          <w:szCs w:val="24"/>
        </w:rPr>
        <w:t>，并提供至少</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例三年内</w:t>
      </w:r>
      <w:r>
        <w:rPr>
          <w:rFonts w:hint="eastAsia" w:ascii="宋体" w:hAnsi="宋体" w:cs="宋体"/>
          <w:color w:val="auto"/>
          <w:sz w:val="24"/>
          <w:szCs w:val="24"/>
          <w:lang w:val="en-US" w:eastAsia="zh-CN"/>
        </w:rPr>
        <w:t>工装夹具加工服务</w:t>
      </w:r>
      <w:r>
        <w:rPr>
          <w:rFonts w:hint="eastAsia" w:ascii="宋体" w:hAnsi="宋体" w:eastAsia="宋体" w:cs="宋体"/>
          <w:color w:val="auto"/>
          <w:sz w:val="24"/>
          <w:szCs w:val="24"/>
        </w:rPr>
        <w:t>项目案例。</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投标方所供的工装夹具，必须符合中国最新版的法律、法规和相关标准、规范的要求，符合项目所在地政府有关特殊要求。</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投标方所供工装夹具涉及的专利权技术以及知识产权保护的其它技术等，应保证招标方不因此受到任何侵权指控以及实际损失。</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投标方负责加工件的图纸设计、加工和成品送货上门等工作。</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投标方应满足招标方提出的各项技术要求，必要时应当免费提供技术承诺或担保。</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投标方应在招标方提出加工要求的1个工作</w:t>
      </w:r>
      <w:r>
        <w:rPr>
          <w:rFonts w:hint="eastAsia" w:ascii="宋体" w:hAnsi="宋体" w:cs="宋体"/>
          <w:color w:val="000000"/>
          <w:sz w:val="24"/>
          <w:szCs w:val="24"/>
          <w:lang w:val="en-US" w:eastAsia="zh-CN"/>
        </w:rPr>
        <w:t>日</w:t>
      </w:r>
      <w:r>
        <w:rPr>
          <w:rFonts w:hint="eastAsia" w:ascii="宋体" w:hAnsi="宋体" w:eastAsia="宋体" w:cs="宋体"/>
          <w:color w:val="000000"/>
          <w:sz w:val="24"/>
          <w:szCs w:val="24"/>
        </w:rPr>
        <w:t>内</w:t>
      </w:r>
      <w:r>
        <w:rPr>
          <w:rFonts w:hint="eastAsia" w:ascii="宋体" w:hAnsi="宋体" w:cs="宋体"/>
          <w:color w:val="000000"/>
          <w:sz w:val="24"/>
          <w:szCs w:val="24"/>
          <w:lang w:val="en-US" w:eastAsia="zh-CN"/>
        </w:rPr>
        <w:t>响应</w:t>
      </w:r>
      <w:r>
        <w:rPr>
          <w:rFonts w:hint="eastAsia" w:ascii="宋体" w:hAnsi="宋体" w:eastAsia="宋体" w:cs="宋体"/>
          <w:color w:val="000000"/>
          <w:sz w:val="24"/>
          <w:szCs w:val="24"/>
        </w:rPr>
        <w:t>，且在招标方规定的日期内完成包括设计、加工和送货的全部工作。</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7.</w:t>
      </w:r>
      <w:r>
        <w:rPr>
          <w:rFonts w:hint="eastAsia" w:ascii="宋体" w:hAnsi="宋体" w:eastAsia="宋体" w:cs="宋体"/>
          <w:color w:val="000000"/>
          <w:sz w:val="24"/>
          <w:szCs w:val="24"/>
        </w:rPr>
        <w:t>投标方应保证所供工装夹具的完整性和成套性，能保证工装夹具的正常运行、使用。</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cs="宋体"/>
          <w:color w:val="000000"/>
          <w:sz w:val="24"/>
          <w:szCs w:val="24"/>
          <w:lang w:eastAsia="zh-CN"/>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投标方应对招标方采购的工装夹具所涉及的技术、产能等信息负有保密义务，招标方拥有追究投标方泄密责任的权利；招标方如有需要，投标方应无条件签署保密协议</w:t>
      </w:r>
      <w:r>
        <w:rPr>
          <w:rFonts w:hint="eastAsia" w:ascii="宋体" w:hAnsi="宋体" w:cs="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.本次</w:t>
      </w:r>
      <w:r>
        <w:rPr>
          <w:rFonts w:hint="eastAsia" w:ascii="宋体" w:hAnsi="宋体" w:cs="宋体"/>
          <w:color w:val="auto"/>
          <w:sz w:val="24"/>
          <w:szCs w:val="24"/>
          <w:lang w:val="en-US" w:eastAsia="zh-CN"/>
        </w:rPr>
        <w:t>工装夹具外协加工服务</w:t>
      </w:r>
      <w:r>
        <w:rPr>
          <w:rFonts w:hint="eastAsia" w:ascii="宋体" w:hAnsi="宋体" w:eastAsia="宋体" w:cs="宋体"/>
          <w:color w:val="auto"/>
          <w:sz w:val="24"/>
          <w:szCs w:val="24"/>
        </w:rPr>
        <w:t>采用</w:t>
      </w:r>
      <w:r>
        <w:rPr>
          <w:rFonts w:hint="eastAsia" w:ascii="宋体" w:hAnsi="宋体" w:cs="宋体"/>
          <w:color w:val="auto"/>
          <w:sz w:val="24"/>
          <w:szCs w:val="24"/>
          <w:lang w:val="en-US" w:eastAsia="zh-CN"/>
        </w:rPr>
        <w:t>据实结算</w:t>
      </w:r>
      <w:r>
        <w:rPr>
          <w:rFonts w:hint="eastAsia" w:ascii="宋体" w:hAnsi="宋体" w:eastAsia="宋体" w:cs="宋体"/>
          <w:color w:val="auto"/>
          <w:sz w:val="24"/>
          <w:szCs w:val="24"/>
        </w:rPr>
        <w:t>的方式。</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10</w:t>
      </w:r>
      <w:r>
        <w:rPr>
          <w:rFonts w:hint="eastAsia" w:ascii="宋体" w:hAnsi="宋体" w:eastAsia="宋体" w:cs="宋体"/>
          <w:color w:val="000000"/>
          <w:sz w:val="24"/>
          <w:szCs w:val="24"/>
        </w:rPr>
        <w:t>.投标方应保证所供货物/服务的先进性、可靠性、经济性和实用性。</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11.投标方应保证所供货物/服务为中国政府指定或规定的主管部门公布的非淘汰货物/服务，并尽力提供中国政府指定或规定的主管部门认可的环保型和节能型货物/服务。</w:t>
      </w:r>
    </w:p>
    <w:p>
      <w:pPr>
        <w:pStyle w:val="6"/>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lang w:val="en-US" w:eastAsia="zh-CN"/>
        </w:rPr>
      </w:pPr>
      <w:r>
        <w:rPr>
          <w:rFonts w:hint="eastAsia" w:ascii="宋体" w:hAnsi="宋体" w:eastAsia="宋体" w:cs="宋体"/>
          <w:b w:val="0"/>
          <w:bCs w:val="0"/>
          <w:color w:val="000000"/>
          <w:kern w:val="2"/>
          <w:sz w:val="24"/>
          <w:szCs w:val="24"/>
          <w:lang w:val="en-US" w:eastAsia="zh-CN" w:bidi="ar-SA"/>
        </w:rPr>
        <w:t>12.供货期对本项目是非常重要的评价指标，投标方需严格遵守，供货期需要明确至自然天数，供货期起点为中标通知书确认的日期算起。</w:t>
      </w:r>
    </w:p>
    <w:p>
      <w:pPr>
        <w:pStyle w:val="6"/>
        <w:numPr>
          <w:ilvl w:val="0"/>
          <w:numId w:val="10"/>
        </w:numPr>
        <w:spacing w:beforeLines="0" w:afterLines="0" w:line="360" w:lineRule="auto"/>
        <w:ind w:left="0" w:firstLine="0"/>
        <w:rPr>
          <w:rFonts w:hint="eastAsia" w:ascii="宋体" w:hAnsi="宋体" w:eastAsia="宋体" w:cs="宋体"/>
          <w:sz w:val="24"/>
          <w:szCs w:val="24"/>
        </w:rPr>
      </w:pPr>
      <w:bookmarkStart w:id="30" w:name="_Toc142725002"/>
      <w:r>
        <w:rPr>
          <w:rFonts w:hint="eastAsia" w:ascii="宋体" w:hAnsi="宋体" w:eastAsia="宋体" w:cs="宋体"/>
          <w:sz w:val="24"/>
          <w:szCs w:val="24"/>
        </w:rPr>
        <w:t>技术要求</w:t>
      </w:r>
      <w:bookmarkEnd w:id="30"/>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bookmarkStart w:id="31" w:name="_Toc16155"/>
      <w:bookmarkStart w:id="32" w:name="_Toc49525560"/>
      <w:bookmarkStart w:id="33" w:name="_Toc460445903"/>
      <w:bookmarkStart w:id="34" w:name="_Toc15367969"/>
      <w:bookmarkStart w:id="35" w:name="_Toc51682263"/>
      <w:r>
        <w:rPr>
          <w:rFonts w:hint="default" w:ascii="宋体" w:hAnsi="宋体" w:eastAsia="宋体" w:cs="宋体"/>
          <w:b w:val="0"/>
          <w:bCs w:val="0"/>
          <w:color w:val="000000"/>
          <w:kern w:val="2"/>
          <w:sz w:val="24"/>
          <w:szCs w:val="24"/>
          <w:lang w:val="en-US" w:eastAsia="zh-CN" w:bidi="ar-SA"/>
        </w:rPr>
        <w:t>工装夹具类加工服务</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cs="宋体"/>
          <w:b w:val="0"/>
          <w:bCs w:val="0"/>
          <w:color w:val="000000"/>
          <w:kern w:val="2"/>
          <w:sz w:val="24"/>
          <w:szCs w:val="24"/>
          <w:lang w:val="en-US" w:eastAsia="zh-CN" w:bidi="ar-SA"/>
        </w:rPr>
        <w:t>1.</w:t>
      </w:r>
      <w:r>
        <w:rPr>
          <w:rFonts w:hint="default" w:ascii="宋体" w:hAnsi="宋体" w:eastAsia="宋体" w:cs="宋体"/>
          <w:b w:val="0"/>
          <w:bCs w:val="0"/>
          <w:color w:val="000000"/>
          <w:kern w:val="2"/>
          <w:sz w:val="24"/>
          <w:szCs w:val="24"/>
          <w:lang w:val="en-US" w:eastAsia="zh-CN" w:bidi="ar-SA"/>
        </w:rPr>
        <w:t>投标方根据基准价格进行报价，详细描述报价依据和计算过程</w:t>
      </w:r>
      <w:r>
        <w:rPr>
          <w:rFonts w:hint="eastAsia" w:ascii="宋体" w:hAnsi="宋体" w:cs="宋体"/>
          <w:b w:val="0"/>
          <w:bCs w:val="0"/>
          <w:color w:val="00000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cs="宋体"/>
          <w:b w:val="0"/>
          <w:bCs w:val="0"/>
          <w:color w:val="000000"/>
          <w:kern w:val="2"/>
          <w:sz w:val="24"/>
          <w:szCs w:val="24"/>
          <w:lang w:val="en-US" w:eastAsia="zh-CN" w:bidi="ar-SA"/>
        </w:rPr>
        <w:t>2.</w:t>
      </w:r>
      <w:r>
        <w:rPr>
          <w:rFonts w:hint="default" w:ascii="宋体" w:hAnsi="宋体" w:eastAsia="宋体" w:cs="宋体"/>
          <w:b w:val="0"/>
          <w:bCs w:val="0"/>
          <w:color w:val="000000"/>
          <w:kern w:val="2"/>
          <w:sz w:val="24"/>
          <w:szCs w:val="24"/>
          <w:lang w:val="en-US" w:eastAsia="zh-CN" w:bidi="ar-SA"/>
        </w:rPr>
        <w:t>投标方须根据招标方需求，在招标方指定地点完成待加工工装夹具的测量和设计工作</w:t>
      </w:r>
      <w:r>
        <w:rPr>
          <w:rFonts w:hint="eastAsia" w:ascii="宋体" w:hAnsi="宋体" w:cs="宋体"/>
          <w:b w:val="0"/>
          <w:bCs w:val="0"/>
          <w:color w:val="00000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cs="宋体"/>
          <w:b w:val="0"/>
          <w:bCs w:val="0"/>
          <w:color w:val="000000"/>
          <w:kern w:val="2"/>
          <w:sz w:val="24"/>
          <w:szCs w:val="24"/>
          <w:lang w:val="en-US" w:eastAsia="zh-CN" w:bidi="ar-SA"/>
        </w:rPr>
        <w:t>3.</w:t>
      </w:r>
      <w:r>
        <w:rPr>
          <w:rFonts w:hint="default" w:ascii="宋体" w:hAnsi="宋体" w:eastAsia="宋体" w:cs="宋体"/>
          <w:b w:val="0"/>
          <w:bCs w:val="0"/>
          <w:color w:val="000000"/>
          <w:kern w:val="2"/>
          <w:sz w:val="24"/>
          <w:szCs w:val="24"/>
          <w:lang w:val="en-US" w:eastAsia="zh-CN" w:bidi="ar-SA"/>
        </w:rPr>
        <w:t>投标方须在招标方提出需求后的3个工作日内响应并完成招标方有关工装夹具加工的要求（特殊情况延迟交付的须征得招标方同意），包括方案设计、加工和成品送货上门等。</w:t>
      </w:r>
    </w:p>
    <w:p>
      <w:pPr>
        <w:pStyle w:val="6"/>
        <w:numPr>
          <w:ilvl w:val="0"/>
          <w:numId w:val="10"/>
        </w:numPr>
        <w:spacing w:beforeLines="0" w:afterLines="0" w:line="360" w:lineRule="auto"/>
        <w:ind w:left="0" w:firstLine="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执行标准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1.招标方此处所列标准仅为涉及的主要标准，而且不保证其为最新版执行标准；投标方应当在投标文件中认真予以填写、补充和修改完善。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2.投标方需要执行的标准，应当采用所供工装夹具通过买方组织的最终验收之日已经开始执行的最新标准。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3.采购工装夹具的产品质量、技术标准如在招投标文件中无相应说明，则按中华人民共和国有关部门颁发的最新的国标或专业（部）标准执行及相应的国际标准。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4.采购工装夹具没有国家或专业（部）标准的，按企业标准执行时，卖方应在合同签署之前，将所涉及的企业标准提供给买方确认。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5.采购工装夹具如果采用国际标准，其执行标准由投标方提供、招标方确认。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6.采购工装夹具所涉及的标准不统一时，原则上按照最严格标准执行。</w:t>
      </w:r>
    </w:p>
    <w:bookmarkEnd w:id="31"/>
    <w:bookmarkEnd w:id="32"/>
    <w:bookmarkEnd w:id="33"/>
    <w:bookmarkEnd w:id="34"/>
    <w:bookmarkEnd w:id="35"/>
    <w:p>
      <w:pPr>
        <w:widowControl/>
        <w:spacing w:beforeLines="0" w:afterLines="0"/>
        <w:jc w:val="left"/>
        <w:rPr>
          <w:rFonts w:hint="eastAsia" w:ascii="宋体" w:hAnsi="宋体" w:eastAsia="宋体" w:cs="宋体"/>
          <w:b/>
          <w:kern w:val="44"/>
          <w:sz w:val="24"/>
          <w:szCs w:val="24"/>
        </w:rPr>
      </w:pPr>
    </w:p>
    <w:p>
      <w:pPr>
        <w:pStyle w:val="5"/>
        <w:numPr>
          <w:ilvl w:val="0"/>
          <w:numId w:val="8"/>
        </w:numPr>
        <w:tabs>
          <w:tab w:val="left" w:pos="425"/>
        </w:tabs>
        <w:spacing w:beforeLines="0" w:afterLines="0" w:line="360" w:lineRule="auto"/>
        <w:rPr>
          <w:rFonts w:hint="eastAsia" w:ascii="宋体" w:hAnsi="宋体" w:eastAsia="宋体" w:cs="宋体"/>
          <w:sz w:val="24"/>
          <w:szCs w:val="24"/>
        </w:rPr>
      </w:pPr>
      <w:bookmarkStart w:id="36" w:name="_Toc142725018"/>
      <w:r>
        <w:rPr>
          <w:rFonts w:hint="eastAsia" w:ascii="宋体" w:hAnsi="宋体" w:eastAsia="宋体" w:cs="宋体"/>
          <w:sz w:val="24"/>
          <w:szCs w:val="24"/>
        </w:rPr>
        <w:t>服务范围及服务方式</w:t>
      </w:r>
      <w:bookmarkEnd w:id="36"/>
    </w:p>
    <w:p>
      <w:pPr>
        <w:pStyle w:val="6"/>
        <w:numPr>
          <w:ilvl w:val="0"/>
          <w:numId w:val="11"/>
        </w:numPr>
        <w:spacing w:beforeLines="0" w:afterLines="0" w:line="360" w:lineRule="auto"/>
        <w:ind w:left="0" w:firstLine="0"/>
        <w:rPr>
          <w:rFonts w:hint="eastAsia" w:ascii="宋体" w:hAnsi="宋体" w:eastAsia="宋体" w:cs="宋体"/>
          <w:sz w:val="24"/>
          <w:szCs w:val="24"/>
        </w:rPr>
      </w:pPr>
      <w:bookmarkStart w:id="37" w:name="_Toc465187643"/>
      <w:bookmarkStart w:id="38" w:name="_Toc142725019"/>
      <w:r>
        <w:rPr>
          <w:rFonts w:hint="eastAsia" w:ascii="宋体" w:hAnsi="宋体" w:eastAsia="宋体" w:cs="宋体"/>
          <w:sz w:val="24"/>
          <w:szCs w:val="24"/>
        </w:rPr>
        <w:t>供货范围</w:t>
      </w:r>
      <w:bookmarkEnd w:id="37"/>
      <w:bookmarkEnd w:id="38"/>
    </w:p>
    <w:p>
      <w:pPr>
        <w:pStyle w:val="7"/>
        <w:tabs>
          <w:tab w:val="left" w:pos="709"/>
        </w:tabs>
        <w:spacing w:beforeLines="0" w:afterLines="0" w:line="360" w:lineRule="auto"/>
        <w:ind w:left="0" w:firstLine="0"/>
        <w:jc w:val="left"/>
        <w:rPr>
          <w:rFonts w:hint="eastAsia" w:ascii="宋体" w:hAnsi="宋体" w:eastAsia="宋体" w:cs="宋体"/>
          <w:sz w:val="24"/>
          <w:szCs w:val="20"/>
        </w:rPr>
      </w:pPr>
      <w:bookmarkStart w:id="39" w:name="_Toc142725020"/>
      <w:r>
        <w:rPr>
          <w:rFonts w:hint="eastAsia" w:ascii="宋体" w:hAnsi="宋体" w:eastAsia="宋体" w:cs="宋体"/>
          <w:sz w:val="24"/>
          <w:szCs w:val="20"/>
        </w:rPr>
        <w:t>一、供货范围</w:t>
      </w:r>
      <w:bookmarkEnd w:id="39"/>
    </w:p>
    <w:p>
      <w:pPr>
        <w:spacing w:beforeLines="0" w:afterLines="0"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（一）一般界定</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1、包括本技术标书所列明的主要工装夹具以及工装夹具正常运行所必需的材料等。</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2、包括为保证工装夹具正常使用所必需的整套配件、附件及材料等。</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如果终验收完成后，卖方有需要收回的配件、附件、材料等，应当在投标文件的技术偏离条款中，予以详细说明；否则视同包括在供货范围之内。</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3、包括工装夹具为达到产品标准以及环保、消防和劳动安全卫生等国家法律、法规和标准、规范要求而必须配备但标书未明确提出的材料等。</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如投标方难以提供或无优势提供以及属于选用配置的，则应当在投标文件的技术偏离条款中，予以详细说明并注明投标报价未包含该部分的货值。</w:t>
      </w:r>
    </w:p>
    <w:p>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（二）供货范围边界界定</w:t>
      </w:r>
    </w:p>
    <w:p>
      <w:pPr>
        <w:spacing w:beforeLines="0" w:afterLines="0" w:line="360" w:lineRule="auto"/>
        <w:ind w:firstLine="480" w:firstLineChars="200"/>
        <w:rPr>
          <w:rFonts w:hint="eastAsia"/>
          <w:highlight w:val="none"/>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投标方提供(包含但不局限于)：图纸设计、加工和成品送货上门</w:t>
      </w:r>
    </w:p>
    <w:p>
      <w:pPr>
        <w:spacing w:beforeLines="0" w:afterLines="0" w:line="360" w:lineRule="auto"/>
        <w:ind w:firstLine="480" w:firstLineChars="200"/>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eastAsia="宋体" w:cs="宋体"/>
          <w:color w:val="000000"/>
          <w:sz w:val="24"/>
          <w:szCs w:val="24"/>
          <w:highlight w:val="none"/>
        </w:rPr>
        <w:t>.对于招标文件中无明确具体要求而投标方认为必须具备的其它货物，投标方必须将该部分货物/服务单独报价（该报价含运杂费及税费等其它费用，而且不再作为其它报价涉及的其它费用的计算基数）。</w:t>
      </w:r>
    </w:p>
    <w:p>
      <w:pPr>
        <w:pStyle w:val="6"/>
        <w:numPr>
          <w:ilvl w:val="0"/>
          <w:numId w:val="11"/>
        </w:numPr>
        <w:spacing w:beforeLines="0" w:afterLines="0" w:line="360" w:lineRule="auto"/>
        <w:ind w:left="0" w:firstLine="0"/>
        <w:rPr>
          <w:rFonts w:hint="eastAsia" w:ascii="宋体" w:hAnsi="宋体" w:eastAsia="宋体" w:cs="宋体"/>
          <w:sz w:val="24"/>
          <w:szCs w:val="24"/>
        </w:rPr>
      </w:pPr>
      <w:bookmarkStart w:id="40" w:name="_Toc465187644"/>
      <w:bookmarkStart w:id="41" w:name="_Toc142725024"/>
      <w:r>
        <w:rPr>
          <w:rFonts w:hint="eastAsia" w:ascii="宋体" w:hAnsi="宋体" w:eastAsia="宋体" w:cs="宋体"/>
          <w:sz w:val="24"/>
          <w:szCs w:val="24"/>
        </w:rPr>
        <w:t>供货方式</w:t>
      </w:r>
      <w:bookmarkEnd w:id="40"/>
      <w:bookmarkEnd w:id="41"/>
    </w:p>
    <w:p>
      <w:pPr>
        <w:pStyle w:val="7"/>
        <w:tabs>
          <w:tab w:val="left" w:pos="709"/>
        </w:tabs>
        <w:spacing w:beforeLines="0" w:afterLines="0" w:line="360" w:lineRule="auto"/>
        <w:ind w:left="0" w:firstLine="0"/>
        <w:jc w:val="left"/>
        <w:rPr>
          <w:rFonts w:hint="eastAsia" w:ascii="宋体" w:hAnsi="宋体" w:eastAsia="宋体" w:cs="宋体"/>
          <w:sz w:val="24"/>
          <w:szCs w:val="20"/>
        </w:rPr>
      </w:pPr>
      <w:bookmarkStart w:id="42" w:name="_Toc142725025"/>
      <w:r>
        <w:rPr>
          <w:rFonts w:hint="eastAsia" w:ascii="宋体" w:hAnsi="宋体" w:eastAsia="宋体" w:cs="宋体"/>
          <w:sz w:val="24"/>
          <w:szCs w:val="20"/>
        </w:rPr>
        <w:t>一、供货方式</w:t>
      </w:r>
      <w:bookmarkEnd w:id="42"/>
    </w:p>
    <w:p>
      <w:pPr>
        <w:pStyle w:val="7"/>
        <w:keepNext/>
        <w:keepLines/>
        <w:pageBreakBefore w:val="0"/>
        <w:widowControl w:val="0"/>
        <w:tabs>
          <w:tab w:val="left" w:pos="709"/>
        </w:tabs>
        <w:kinsoku/>
        <w:wordWrap/>
        <w:overflowPunct/>
        <w:topLinePunct w:val="0"/>
        <w:autoSpaceDE/>
        <w:autoSpaceDN/>
        <w:bidi w:val="0"/>
        <w:adjustRightInd/>
        <w:snapToGrid/>
        <w:spacing w:before="0" w:beforeLines="0" w:after="0" w:afterLines="0" w:line="360" w:lineRule="auto"/>
        <w:ind w:left="0" w:firstLine="480" w:firstLineChars="200"/>
        <w:jc w:val="left"/>
        <w:textAlignment w:val="auto"/>
        <w:rPr>
          <w:rFonts w:hint="eastAsia" w:ascii="宋体" w:hAnsi="宋体" w:eastAsia="宋体" w:cs="宋体"/>
          <w:b w:val="0"/>
          <w:bCs w:val="0"/>
          <w:color w:val="000000"/>
          <w:kern w:val="2"/>
          <w:sz w:val="24"/>
          <w:szCs w:val="24"/>
          <w:highlight w:val="none"/>
          <w:lang w:val="en-US" w:eastAsia="zh-CN" w:bidi="ar-SA"/>
        </w:rPr>
      </w:pPr>
      <w:bookmarkStart w:id="43" w:name="_Toc142725026"/>
      <w:r>
        <w:rPr>
          <w:rFonts w:hint="eastAsia" w:ascii="宋体" w:hAnsi="宋体" w:eastAsia="宋体" w:cs="宋体"/>
          <w:b w:val="0"/>
          <w:bCs w:val="0"/>
          <w:color w:val="000000"/>
          <w:kern w:val="2"/>
          <w:sz w:val="24"/>
          <w:szCs w:val="24"/>
          <w:highlight w:val="none"/>
          <w:lang w:val="en-US" w:eastAsia="zh-CN" w:bidi="ar-SA"/>
        </w:rPr>
        <w:t>完全交钥匙方式，即本次招标工装夹具至少包括以下工装夹具及服务：非标或特需设计，制造，必要的卖方现场预验收，至交货地点的运输（含定点装卸），安装，调试，买方安装地竣工验收服务，工装夹具移交，约定培训等全流程范围。</w:t>
      </w:r>
    </w:p>
    <w:p>
      <w:pPr>
        <w:pStyle w:val="7"/>
        <w:tabs>
          <w:tab w:val="left" w:pos="709"/>
        </w:tabs>
        <w:spacing w:beforeLines="0" w:afterLines="0" w:line="360" w:lineRule="auto"/>
        <w:ind w:left="0" w:firstLine="0"/>
        <w:jc w:val="left"/>
        <w:rPr>
          <w:rFonts w:hint="eastAsia" w:ascii="宋体" w:hAnsi="宋体" w:eastAsia="宋体" w:cs="宋体"/>
          <w:sz w:val="24"/>
          <w:szCs w:val="20"/>
        </w:rPr>
      </w:pPr>
      <w:r>
        <w:rPr>
          <w:rFonts w:hint="eastAsia" w:ascii="宋体" w:hAnsi="宋体" w:eastAsia="宋体" w:cs="宋体"/>
          <w:sz w:val="24"/>
          <w:szCs w:val="20"/>
        </w:rPr>
        <w:t>二、供货地点</w:t>
      </w:r>
      <w:bookmarkEnd w:id="43"/>
    </w:p>
    <w:p>
      <w:pPr>
        <w:spacing w:beforeLines="0" w:afterLines="0" w:line="360" w:lineRule="auto"/>
        <w:ind w:firstLine="480" w:firstLineChars="200"/>
        <w:rPr>
          <w:rFonts w:hint="default" w:ascii="宋体" w:hAnsi="宋体" w:eastAsia="宋体" w:cs="宋体"/>
          <w:color w:val="000000"/>
          <w:sz w:val="24"/>
          <w:szCs w:val="24"/>
          <w:lang w:val="en-US"/>
        </w:rPr>
      </w:pPr>
      <w:r>
        <w:rPr>
          <w:rFonts w:hint="eastAsia" w:ascii="宋体" w:hAnsi="宋体" w:cs="宋体"/>
          <w:color w:val="000000"/>
          <w:sz w:val="24"/>
          <w:szCs w:val="24"/>
          <w:lang w:val="en-US" w:eastAsia="zh-CN"/>
        </w:rPr>
        <w:t>招标方指定</w:t>
      </w:r>
      <w:bookmarkStart w:id="44" w:name="_Toc142725027"/>
      <w:r>
        <w:rPr>
          <w:rFonts w:hint="eastAsia" w:ascii="宋体" w:hAnsi="宋体" w:cs="宋体"/>
          <w:color w:val="000000"/>
          <w:sz w:val="24"/>
          <w:szCs w:val="24"/>
          <w:lang w:val="en-US" w:eastAsia="zh-CN"/>
        </w:rPr>
        <w:t>地点</w:t>
      </w:r>
    </w:p>
    <w:p>
      <w:pPr>
        <w:pStyle w:val="7"/>
        <w:tabs>
          <w:tab w:val="left" w:pos="709"/>
        </w:tabs>
        <w:spacing w:beforeLines="0" w:afterLines="0" w:line="360" w:lineRule="auto"/>
        <w:ind w:left="0" w:firstLine="0"/>
        <w:jc w:val="left"/>
        <w:rPr>
          <w:rFonts w:hint="eastAsia" w:ascii="宋体" w:hAnsi="宋体" w:eastAsia="宋体" w:cs="宋体"/>
          <w:sz w:val="24"/>
          <w:szCs w:val="20"/>
        </w:rPr>
      </w:pPr>
      <w:r>
        <w:rPr>
          <w:rFonts w:hint="eastAsia" w:ascii="宋体" w:hAnsi="宋体" w:eastAsia="宋体" w:cs="宋体"/>
          <w:sz w:val="24"/>
          <w:szCs w:val="20"/>
        </w:rPr>
        <w:t>三、供货时间</w:t>
      </w:r>
      <w:bookmarkEnd w:id="44"/>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自招标方通知之日起，</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个日历日之内交货至供货地点。</w:t>
      </w:r>
    </w:p>
    <w:p>
      <w:pPr>
        <w:pStyle w:val="7"/>
        <w:tabs>
          <w:tab w:val="left" w:pos="709"/>
        </w:tabs>
        <w:spacing w:beforeLines="0" w:afterLines="0" w:line="360" w:lineRule="auto"/>
        <w:ind w:left="0" w:firstLine="0"/>
        <w:jc w:val="left"/>
        <w:rPr>
          <w:rFonts w:hint="eastAsia" w:ascii="宋体" w:hAnsi="宋体" w:eastAsia="宋体" w:cs="宋体"/>
          <w:sz w:val="24"/>
          <w:szCs w:val="20"/>
        </w:rPr>
      </w:pPr>
      <w:bookmarkStart w:id="45" w:name="_Toc142725028"/>
      <w:r>
        <w:rPr>
          <w:rFonts w:hint="eastAsia" w:ascii="宋体" w:hAnsi="宋体" w:eastAsia="宋体" w:cs="宋体"/>
          <w:sz w:val="24"/>
          <w:szCs w:val="20"/>
        </w:rPr>
        <w:t>四、包装</w:t>
      </w:r>
      <w:bookmarkEnd w:id="45"/>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1.所提供货物的包装，应遵照国家标准和有关包装、包皮的技术条件，或按照最好的商业惯例进行包装。</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3.所提供货物的包装，应能防止其一般性被窃或受外力破坏；一般不得采用有大缝隙的板条包装。</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4.应对包装件做必要的加固和固定，以防止运输可能造成的损坏。</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5.每个包装件应有装箱单，并至少标明名称、型号规格、数量、净重和毛重、投标方（或供货商）名称和制造日期等相关内容。</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7.应按照不同的装运要求在包装箱上标明“小心轻放”、“箭头向上”、“防潮”、“防磁”、“不准平放”等标志，以及其它适用的国标通用标志。</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8.包装箱应连续编号，不应出现重复编号。</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9.在不受到外界破坏情况下，包装应保证自交货日起一年内货物完好无损。</w:t>
      </w:r>
    </w:p>
    <w:p>
      <w:pPr>
        <w:adjustRightInd w:val="0"/>
        <w:snapToGrid w:val="0"/>
        <w:spacing w:beforeLines="0" w:afterLines="0"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五、运输</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投标方</w:t>
      </w:r>
      <w:r>
        <w:rPr>
          <w:rFonts w:hint="eastAsia" w:ascii="宋体" w:hAnsi="宋体" w:eastAsia="宋体" w:cs="宋体"/>
          <w:color w:val="000000"/>
          <w:sz w:val="24"/>
          <w:szCs w:val="24"/>
        </w:rPr>
        <w:t>应负责将货物运到目的地，并必须做到货物在任何运输过程中不受损坏和遗失。</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2.同批货物应统一包装、编号运输。</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3.一般情况下，经由铁路、公路运输的包装件尺寸和重量不应超过国家所规定的尺寸限制。特殊情况应予以说明。</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4.在每批货物发出后，应立即通知招标方；通知中应指明：合同号、货运单号、件数、重量和货物发出日期等相关内容。</w:t>
      </w:r>
    </w:p>
    <w:p>
      <w:pPr>
        <w:adjustRightInd w:val="0"/>
        <w:snapToGrid w:val="0"/>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5.货物运抵交货地点后，应负责货物的卸货、搬运、保管等事宜；或按照合同约定。</w:t>
      </w:r>
    </w:p>
    <w:p>
      <w:pPr>
        <w:pStyle w:val="5"/>
        <w:numPr>
          <w:ilvl w:val="0"/>
          <w:numId w:val="8"/>
        </w:numPr>
        <w:tabs>
          <w:tab w:val="left" w:pos="425"/>
        </w:tabs>
        <w:spacing w:beforeLines="0" w:afterLines="0" w:line="360" w:lineRule="auto"/>
        <w:rPr>
          <w:rFonts w:hint="eastAsia" w:ascii="宋体" w:hAnsi="宋体" w:eastAsia="宋体" w:cs="宋体"/>
          <w:sz w:val="24"/>
          <w:szCs w:val="24"/>
        </w:rPr>
      </w:pPr>
      <w:bookmarkStart w:id="46" w:name="_Toc142725029"/>
      <w:r>
        <w:rPr>
          <w:rFonts w:hint="eastAsia" w:ascii="宋体" w:hAnsi="宋体" w:eastAsia="宋体" w:cs="宋体"/>
          <w:sz w:val="24"/>
          <w:szCs w:val="24"/>
        </w:rPr>
        <w:t>质保期及售后服务</w:t>
      </w:r>
      <w:bookmarkEnd w:id="46"/>
    </w:p>
    <w:p>
      <w:pPr>
        <w:pStyle w:val="6"/>
        <w:numPr>
          <w:ilvl w:val="0"/>
          <w:numId w:val="12"/>
        </w:numPr>
        <w:spacing w:beforeLines="0" w:afterLines="0" w:line="360" w:lineRule="auto"/>
        <w:ind w:left="0" w:firstLine="0"/>
        <w:rPr>
          <w:rFonts w:hint="eastAsia" w:ascii="宋体" w:hAnsi="宋体" w:eastAsia="宋体" w:cs="宋体"/>
          <w:sz w:val="24"/>
          <w:szCs w:val="24"/>
        </w:rPr>
      </w:pPr>
      <w:bookmarkStart w:id="47" w:name="_Toc142725030"/>
      <w:r>
        <w:rPr>
          <w:rFonts w:hint="eastAsia" w:ascii="宋体" w:hAnsi="宋体" w:eastAsia="宋体" w:cs="宋体"/>
          <w:sz w:val="24"/>
          <w:szCs w:val="24"/>
        </w:rPr>
        <w:t>质保期及质保要求</w:t>
      </w:r>
      <w:bookmarkEnd w:id="47"/>
    </w:p>
    <w:p>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★1.全部供货范围内的设备、材料、零配件和工器具等，除合同特别约定外，其质保期均自验收签字生效之日起</w:t>
      </w:r>
      <w:r>
        <w:rPr>
          <w:rFonts w:hint="eastAsia" w:ascii="宋体" w:hAnsi="宋体" w:eastAsia="宋体" w:cs="宋体"/>
          <w:color w:val="000000"/>
          <w:sz w:val="24"/>
          <w:szCs w:val="24"/>
          <w:u w:val="single"/>
          <w:shd w:val="pct10" w:color="auto" w:fill="FFFFFF"/>
        </w:rPr>
        <w:t>12</w:t>
      </w:r>
      <w:r>
        <w:rPr>
          <w:rFonts w:hint="eastAsia" w:ascii="宋体" w:hAnsi="宋体" w:eastAsia="宋体" w:cs="宋体"/>
          <w:color w:val="000000"/>
          <w:sz w:val="24"/>
          <w:szCs w:val="24"/>
        </w:rPr>
        <w:t>个月。</w:t>
      </w:r>
    </w:p>
    <w:p>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投标货物或涉及的关键总成和零件，如果有更长时间质保期，允许更改并说明，此将有利于投标方。</w:t>
      </w:r>
    </w:p>
    <w:p>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设计使用寿命短于质保期的易损件除外，但属于易损件的，应当有明确说明。</w:t>
      </w:r>
    </w:p>
    <w:p>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2.质保期之内，如果</w:t>
      </w:r>
      <w:r>
        <w:rPr>
          <w:rFonts w:hint="eastAsia" w:ascii="宋体" w:hAnsi="宋体" w:cs="宋体"/>
          <w:color w:val="000000"/>
          <w:sz w:val="24"/>
          <w:szCs w:val="24"/>
          <w:lang w:val="en-US" w:eastAsia="zh-CN"/>
        </w:rPr>
        <w:t>工装夹具</w:t>
      </w:r>
      <w:r>
        <w:rPr>
          <w:rFonts w:hint="eastAsia" w:ascii="宋体" w:hAnsi="宋体" w:eastAsia="宋体" w:cs="宋体"/>
          <w:color w:val="000000"/>
          <w:sz w:val="24"/>
          <w:szCs w:val="24"/>
        </w:rPr>
        <w:t>出现总成、关键零部件或者多处一般零部件的二次以上的更换或维修行为，则质保期自更换或维修行为结束、货物重新正常运行使用之日起重新计算。</w:t>
      </w:r>
    </w:p>
    <w:p>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3.质保期内免费提供零部件和及时有效的服务。质保期内因货物本身缺陷造成的各种故障，投标方应负责免费维修和服务。</w:t>
      </w:r>
    </w:p>
    <w:p>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4.质保期终止之日起一年内重复出现的质保期之内出现的故障，仍属质保范围而且应当免费。</w:t>
      </w:r>
    </w:p>
    <w:p>
      <w:pPr>
        <w:spacing w:beforeLines="0" w:afterLines="0" w:line="420" w:lineRule="exact"/>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5、质量保证期满后，投标方保证向招标方提供及时的、质优的、价格优惠的技术服务和备品备件供应。</w:t>
      </w:r>
    </w:p>
    <w:p>
      <w:pPr>
        <w:adjustRightInd w:val="0"/>
        <w:snapToGrid w:val="0"/>
        <w:spacing w:beforeLines="0" w:afterLines="0"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6、质量保证期满后，如出现质量问题，投标方也应及时修复和更换，且只收取成本费，费用由招标方承担，投标方对</w:t>
      </w:r>
      <w:r>
        <w:rPr>
          <w:rFonts w:hint="eastAsia" w:ascii="宋体" w:hAnsi="宋体" w:cs="宋体"/>
          <w:color w:val="000000"/>
          <w:sz w:val="24"/>
          <w:szCs w:val="24"/>
          <w:lang w:val="en-US" w:eastAsia="zh-CN"/>
        </w:rPr>
        <w:t>工装夹具</w:t>
      </w:r>
      <w:r>
        <w:rPr>
          <w:rFonts w:hint="eastAsia" w:ascii="宋体" w:hAnsi="宋体" w:eastAsia="宋体" w:cs="宋体"/>
          <w:color w:val="000000"/>
          <w:sz w:val="24"/>
          <w:szCs w:val="24"/>
        </w:rPr>
        <w:t>质量问题所负的责任直到</w:t>
      </w:r>
      <w:r>
        <w:rPr>
          <w:rFonts w:hint="eastAsia" w:ascii="宋体" w:hAnsi="宋体" w:cs="宋体"/>
          <w:color w:val="000000"/>
          <w:sz w:val="24"/>
          <w:szCs w:val="24"/>
          <w:lang w:val="en-US" w:eastAsia="zh-CN"/>
        </w:rPr>
        <w:t>其</w:t>
      </w:r>
      <w:r>
        <w:rPr>
          <w:rFonts w:hint="eastAsia" w:ascii="宋体" w:hAnsi="宋体" w:eastAsia="宋体" w:cs="宋体"/>
          <w:color w:val="000000"/>
          <w:sz w:val="24"/>
          <w:szCs w:val="24"/>
        </w:rPr>
        <w:t>使用寿命周期结束。</w:t>
      </w:r>
    </w:p>
    <w:p>
      <w:pPr>
        <w:adjustRightInd w:val="0"/>
        <w:snapToGrid w:val="0"/>
        <w:spacing w:beforeLines="0" w:afterLines="0" w:line="420" w:lineRule="exact"/>
        <w:ind w:firstLine="480" w:firstLineChars="200"/>
        <w:rPr>
          <w:rFonts w:hint="eastAsia" w:ascii="宋体" w:hAnsi="宋体" w:eastAsia="宋体" w:cs="宋体"/>
          <w:color w:val="000000"/>
          <w:sz w:val="24"/>
          <w:szCs w:val="24"/>
        </w:rPr>
      </w:pPr>
      <w:bookmarkStart w:id="48" w:name="_Toc19879482"/>
      <w:bookmarkStart w:id="49" w:name="_Toc19879387"/>
      <w:bookmarkStart w:id="50" w:name="_Toc19880441"/>
      <w:bookmarkStart w:id="51" w:name="_Toc24632443"/>
      <w:r>
        <w:rPr>
          <w:rFonts w:hint="eastAsia" w:ascii="宋体" w:hAnsi="宋体" w:eastAsia="宋体" w:cs="宋体"/>
          <w:color w:val="000000"/>
          <w:sz w:val="24"/>
          <w:szCs w:val="24"/>
        </w:rPr>
        <w:t>7、质量保证：</w:t>
      </w:r>
      <w:bookmarkEnd w:id="48"/>
      <w:bookmarkEnd w:id="49"/>
      <w:bookmarkEnd w:id="50"/>
      <w:bookmarkEnd w:id="51"/>
    </w:p>
    <w:p>
      <w:pPr>
        <w:pStyle w:val="96"/>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20" w:lineRule="exact"/>
        <w:ind w:left="0" w:leftChars="0" w:firstLine="480" w:firstLineChars="20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7.1严格按照合同要求，向招标方提供符合设计标准、质量合格的工程。</w:t>
      </w:r>
      <w:bookmarkStart w:id="52" w:name="_Toc322595517"/>
      <w:bookmarkStart w:id="53" w:name="_Toc322596892"/>
      <w:bookmarkStart w:id="54" w:name="_Toc450569856"/>
      <w:bookmarkStart w:id="55" w:name="_Toc322614008"/>
      <w:r>
        <w:rPr>
          <w:rFonts w:hint="eastAsia" w:ascii="宋体" w:hAnsi="宋体" w:eastAsia="宋体" w:cs="宋体"/>
          <w:color w:val="000000"/>
          <w:kern w:val="2"/>
          <w:sz w:val="24"/>
          <w:szCs w:val="24"/>
          <w:lang w:val="en-US" w:eastAsia="zh-CN" w:bidi="ar-SA"/>
        </w:rPr>
        <w:t>质量保证期不含投标方对其设备的排故时间，即在质量保证期内由投标方原因导致的故障，质量保证期顺延；设备的重要部件在质量保证期间因发生故障进行更换，则此部件从更换时间重新开始计算质保期。</w:t>
      </w:r>
      <w:bookmarkEnd w:id="52"/>
      <w:bookmarkEnd w:id="53"/>
      <w:bookmarkEnd w:id="54"/>
      <w:bookmarkEnd w:id="55"/>
    </w:p>
    <w:p>
      <w:pPr>
        <w:pStyle w:val="96"/>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20" w:lineRule="exact"/>
        <w:ind w:left="0" w:leftChars="0" w:firstLine="480" w:firstLineChars="20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7.2严格检查和控制</w:t>
      </w:r>
      <w:r>
        <w:rPr>
          <w:rFonts w:hint="eastAsia" w:ascii="宋体" w:hAnsi="宋体" w:cs="宋体"/>
          <w:color w:val="000000"/>
          <w:kern w:val="2"/>
          <w:sz w:val="24"/>
          <w:szCs w:val="24"/>
          <w:lang w:val="en-US" w:eastAsia="zh-CN" w:bidi="ar-SA"/>
        </w:rPr>
        <w:t>用于加工</w:t>
      </w:r>
      <w:r>
        <w:rPr>
          <w:rFonts w:hint="eastAsia" w:ascii="宋体" w:hAnsi="宋体" w:eastAsia="宋体" w:cs="宋体"/>
          <w:color w:val="000000"/>
          <w:kern w:val="2"/>
          <w:sz w:val="24"/>
          <w:szCs w:val="24"/>
          <w:lang w:val="en-US" w:eastAsia="zh-CN" w:bidi="ar-SA"/>
        </w:rPr>
        <w:t>的材料质量。投标方提供的所有材料均应为符合国家有关</w:t>
      </w:r>
      <w:r>
        <w:rPr>
          <w:rFonts w:hint="eastAsia" w:ascii="宋体" w:hAnsi="宋体" w:eastAsia="宋体" w:cs="宋体"/>
          <w:color w:val="000000"/>
          <w:kern w:val="2"/>
          <w:sz w:val="24"/>
          <w:szCs w:val="24"/>
          <w:lang w:val="en-US" w:eastAsia="zh-CN" w:bidi="ar-SA"/>
        </w:rPr>
        <w:fldChar w:fldCharType="begin"/>
      </w:r>
      <w:r>
        <w:rPr>
          <w:rFonts w:hint="eastAsia" w:ascii="宋体" w:hAnsi="宋体" w:eastAsia="宋体" w:cs="宋体"/>
          <w:color w:val="000000"/>
          <w:kern w:val="2"/>
          <w:sz w:val="24"/>
          <w:szCs w:val="24"/>
          <w:lang w:val="en-US" w:eastAsia="zh-CN" w:bidi="ar-SA"/>
        </w:rPr>
        <w:instrText xml:space="preserve"> HYPERLINK "http://www.so.com/s?q=%E8%B4%A8%E9%87%8F%E6%A0%87%E5%87%86&amp;ie=utf-8&amp;src=wenda_link" \t "_blank" </w:instrText>
      </w:r>
      <w:r>
        <w:rPr>
          <w:rFonts w:hint="eastAsia" w:ascii="宋体" w:hAnsi="宋体" w:eastAsia="宋体" w:cs="宋体"/>
          <w:color w:val="000000"/>
          <w:kern w:val="2"/>
          <w:sz w:val="24"/>
          <w:szCs w:val="24"/>
          <w:lang w:val="en-US" w:eastAsia="zh-CN" w:bidi="ar-SA"/>
        </w:rPr>
        <w:fldChar w:fldCharType="separate"/>
      </w:r>
      <w:r>
        <w:rPr>
          <w:rFonts w:hint="eastAsia" w:ascii="宋体" w:hAnsi="宋体" w:eastAsia="宋体" w:cs="宋体"/>
          <w:color w:val="000000"/>
          <w:kern w:val="2"/>
          <w:sz w:val="24"/>
          <w:szCs w:val="24"/>
          <w:lang w:val="en-US" w:eastAsia="zh-CN" w:bidi="ar-SA"/>
        </w:rPr>
        <w:t>质量标准</w:t>
      </w:r>
      <w:r>
        <w:rPr>
          <w:rFonts w:hint="eastAsia" w:ascii="宋体" w:hAnsi="宋体" w:eastAsia="宋体" w:cs="宋体"/>
          <w:color w:val="000000"/>
          <w:kern w:val="2"/>
          <w:sz w:val="24"/>
          <w:szCs w:val="24"/>
          <w:lang w:val="en-US" w:eastAsia="zh-CN" w:bidi="ar-SA"/>
        </w:rPr>
        <w:fldChar w:fldCharType="end"/>
      </w:r>
      <w:r>
        <w:rPr>
          <w:rFonts w:hint="eastAsia" w:ascii="宋体" w:hAnsi="宋体" w:eastAsia="宋体" w:cs="宋体"/>
          <w:color w:val="000000"/>
          <w:kern w:val="2"/>
          <w:sz w:val="24"/>
          <w:szCs w:val="24"/>
          <w:lang w:val="en-US" w:eastAsia="zh-CN" w:bidi="ar-SA"/>
        </w:rPr>
        <w:t>的产品，并经招标方认可。</w:t>
      </w:r>
    </w:p>
    <w:p>
      <w:pPr>
        <w:pStyle w:val="96"/>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20" w:lineRule="exact"/>
        <w:ind w:left="0" w:leftChars="0" w:firstLine="480" w:firstLineChars="20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7.3对</w:t>
      </w:r>
      <w:r>
        <w:rPr>
          <w:rFonts w:hint="eastAsia" w:ascii="宋体" w:hAnsi="宋体" w:cs="宋体"/>
          <w:color w:val="000000"/>
          <w:kern w:val="2"/>
          <w:sz w:val="24"/>
          <w:szCs w:val="24"/>
          <w:lang w:val="en-US" w:eastAsia="zh-CN" w:bidi="ar-SA"/>
        </w:rPr>
        <w:t>工装夹具加工</w:t>
      </w:r>
      <w:r>
        <w:rPr>
          <w:rFonts w:hint="eastAsia" w:ascii="宋体" w:hAnsi="宋体" w:eastAsia="宋体" w:cs="宋体"/>
          <w:color w:val="000000"/>
          <w:kern w:val="2"/>
          <w:sz w:val="24"/>
          <w:szCs w:val="24"/>
          <w:lang w:val="en-US" w:eastAsia="zh-CN" w:bidi="ar-SA"/>
        </w:rPr>
        <w:t>过程中出现的质量缺陷</w:t>
      </w:r>
      <w:r>
        <w:rPr>
          <w:rFonts w:hint="eastAsia" w:ascii="宋体" w:hAnsi="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投标方及时向招标方通报，不隐瞒。若</w:t>
      </w:r>
      <w:r>
        <w:rPr>
          <w:rFonts w:hint="eastAsia" w:ascii="宋体" w:hAnsi="宋体" w:cs="宋体"/>
          <w:color w:val="000000"/>
          <w:kern w:val="2"/>
          <w:sz w:val="24"/>
          <w:szCs w:val="24"/>
          <w:lang w:val="en-US" w:eastAsia="zh-CN" w:bidi="ar-SA"/>
        </w:rPr>
        <w:t>加工</w:t>
      </w:r>
      <w:r>
        <w:rPr>
          <w:rFonts w:hint="eastAsia" w:ascii="宋体" w:hAnsi="宋体" w:eastAsia="宋体" w:cs="宋体"/>
          <w:color w:val="000000"/>
          <w:kern w:val="2"/>
          <w:sz w:val="24"/>
          <w:szCs w:val="24"/>
          <w:lang w:val="en-US" w:eastAsia="zh-CN" w:bidi="ar-SA"/>
        </w:rPr>
        <w:t>质量</w:t>
      </w:r>
      <w:r>
        <w:rPr>
          <w:rFonts w:hint="eastAsia" w:ascii="宋体" w:hAnsi="宋体" w:cs="宋体"/>
          <w:color w:val="000000"/>
          <w:kern w:val="2"/>
          <w:sz w:val="24"/>
          <w:szCs w:val="24"/>
          <w:lang w:val="en-US" w:eastAsia="zh-CN" w:bidi="ar-SA"/>
        </w:rPr>
        <w:t>低于</w:t>
      </w:r>
      <w:r>
        <w:rPr>
          <w:rFonts w:hint="eastAsia" w:ascii="宋体" w:hAnsi="宋体" w:eastAsia="宋体" w:cs="宋体"/>
          <w:color w:val="000000"/>
          <w:kern w:val="2"/>
          <w:sz w:val="24"/>
          <w:szCs w:val="24"/>
          <w:lang w:val="en-US" w:eastAsia="zh-CN" w:bidi="ar-SA"/>
        </w:rPr>
        <w:t>合同规定的标准，投标方无条件拆除重新</w:t>
      </w:r>
      <w:r>
        <w:rPr>
          <w:rFonts w:hint="eastAsia" w:ascii="宋体" w:hAnsi="宋体" w:cs="宋体"/>
          <w:color w:val="000000"/>
          <w:kern w:val="2"/>
          <w:sz w:val="24"/>
          <w:szCs w:val="24"/>
          <w:lang w:val="en-US" w:eastAsia="zh-CN" w:bidi="ar-SA"/>
        </w:rPr>
        <w:t>加工</w:t>
      </w:r>
      <w:r>
        <w:rPr>
          <w:rFonts w:hint="eastAsia" w:ascii="宋体" w:hAnsi="宋体" w:eastAsia="宋体" w:cs="宋体"/>
          <w:color w:val="000000"/>
          <w:kern w:val="2"/>
          <w:sz w:val="24"/>
          <w:szCs w:val="24"/>
          <w:lang w:val="en-US" w:eastAsia="zh-CN" w:bidi="ar-SA"/>
        </w:rPr>
        <w:t>。在安装和试运行过程中，出现的质量问题，先处理问题，再分清责任，一切以满足进度需要为准则。</w:t>
      </w:r>
    </w:p>
    <w:p>
      <w:pPr>
        <w:pStyle w:val="96"/>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20" w:lineRule="exact"/>
        <w:ind w:left="0" w:leftChars="0" w:firstLine="480" w:firstLineChars="20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7.4在</w:t>
      </w:r>
      <w:r>
        <w:rPr>
          <w:rFonts w:hint="eastAsia" w:ascii="宋体" w:hAnsi="宋体" w:cs="宋体"/>
          <w:color w:val="000000"/>
          <w:kern w:val="2"/>
          <w:sz w:val="24"/>
          <w:szCs w:val="24"/>
          <w:lang w:val="en-US" w:eastAsia="zh-CN" w:bidi="ar-SA"/>
        </w:rPr>
        <w:t>工装夹具的加工</w:t>
      </w:r>
      <w:r>
        <w:rPr>
          <w:rFonts w:hint="eastAsia" w:ascii="宋体" w:hAnsi="宋体" w:eastAsia="宋体" w:cs="宋体"/>
          <w:color w:val="000000"/>
          <w:kern w:val="2"/>
          <w:sz w:val="24"/>
          <w:szCs w:val="24"/>
          <w:lang w:val="en-US" w:eastAsia="zh-CN" w:bidi="ar-SA"/>
        </w:rPr>
        <w:t>以及今后在运行中发现的质量问题，投标方应承担全部责任。</w:t>
      </w:r>
    </w:p>
    <w:p>
      <w:pPr>
        <w:adjustRightInd w:val="0"/>
        <w:snapToGrid w:val="0"/>
        <w:spacing w:beforeLines="0" w:afterLines="0" w:line="420" w:lineRule="exact"/>
        <w:ind w:firstLine="480" w:firstLineChars="200"/>
        <w:jc w:val="left"/>
        <w:rPr>
          <w:rFonts w:hint="eastAsia" w:ascii="宋体" w:hAnsi="宋体" w:eastAsia="宋体" w:cs="宋体"/>
          <w:color w:val="000000"/>
          <w:sz w:val="24"/>
          <w:szCs w:val="24"/>
        </w:rPr>
      </w:pPr>
    </w:p>
    <w:p>
      <w:pPr>
        <w:pStyle w:val="6"/>
        <w:numPr>
          <w:ilvl w:val="0"/>
          <w:numId w:val="12"/>
        </w:numPr>
        <w:spacing w:beforeLines="0" w:afterLines="0" w:line="360" w:lineRule="auto"/>
        <w:ind w:left="0" w:firstLine="0"/>
        <w:rPr>
          <w:rFonts w:hint="eastAsia" w:ascii="宋体" w:hAnsi="宋体" w:eastAsia="宋体" w:cs="宋体"/>
          <w:sz w:val="24"/>
          <w:szCs w:val="24"/>
        </w:rPr>
      </w:pPr>
      <w:bookmarkStart w:id="56" w:name="_Toc142725031"/>
      <w:r>
        <w:rPr>
          <w:rFonts w:hint="eastAsia" w:ascii="宋体" w:hAnsi="宋体" w:eastAsia="宋体" w:cs="宋体"/>
          <w:sz w:val="24"/>
          <w:szCs w:val="24"/>
        </w:rPr>
        <w:t>技术及培训服务</w:t>
      </w:r>
      <w:bookmarkEnd w:id="56"/>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应负责在招标方使用现场，对技术、维修和操作人员提供免费的理论、技术和操作、维修等方面的技术指导和培训，并接受招标方有关人员的技术咨询。</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2.若投标方提供货物涉及到外购外协货物、而且该货物的技术质量等较为关键时，投标方应能保证得到配套厂家的技术支持，并免费为招标方提供技术服务。</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sz w:val="21"/>
          <w:szCs w:val="21"/>
        </w:rPr>
      </w:pPr>
      <w:r>
        <w:rPr>
          <w:rFonts w:hint="eastAsia" w:ascii="宋体" w:hAnsi="宋体" w:cs="宋体"/>
          <w:sz w:val="24"/>
          <w:szCs w:val="24"/>
          <w:lang w:val="en-US" w:eastAsia="zh-CN"/>
        </w:rPr>
        <w:t>3</w:t>
      </w:r>
      <w:r>
        <w:rPr>
          <w:rFonts w:hint="eastAsia" w:ascii="宋体" w:hAnsi="宋体" w:eastAsia="宋体" w:cs="宋体"/>
          <w:sz w:val="24"/>
          <w:szCs w:val="24"/>
        </w:rPr>
        <w:t>.应按要求免费积极协助和提供招标方以及有关人员所需要的、与</w:t>
      </w:r>
      <w:r>
        <w:rPr>
          <w:rFonts w:hint="eastAsia" w:ascii="宋体" w:hAnsi="宋体" w:cs="宋体"/>
          <w:sz w:val="24"/>
          <w:szCs w:val="24"/>
          <w:lang w:val="en-US" w:eastAsia="zh-CN"/>
        </w:rPr>
        <w:t>工装夹具加工</w:t>
      </w:r>
      <w:r>
        <w:rPr>
          <w:rFonts w:hint="eastAsia" w:ascii="宋体" w:hAnsi="宋体" w:eastAsia="宋体" w:cs="宋体"/>
          <w:sz w:val="24"/>
          <w:szCs w:val="24"/>
        </w:rPr>
        <w:t>服务有关的设计资料、技术咨询等。</w:t>
      </w:r>
    </w:p>
    <w:p>
      <w:pPr>
        <w:pStyle w:val="6"/>
        <w:numPr>
          <w:ilvl w:val="0"/>
          <w:numId w:val="12"/>
        </w:numPr>
        <w:spacing w:beforeLines="0" w:afterLines="0" w:line="360" w:lineRule="auto"/>
        <w:ind w:left="0" w:firstLine="0"/>
        <w:rPr>
          <w:rFonts w:hint="eastAsia" w:ascii="宋体" w:hAnsi="宋体" w:eastAsia="宋体" w:cs="宋体"/>
          <w:color w:val="000000"/>
          <w:sz w:val="24"/>
          <w:szCs w:val="24"/>
        </w:rPr>
      </w:pPr>
      <w:bookmarkStart w:id="57" w:name="_Toc142725032"/>
      <w:r>
        <w:rPr>
          <w:rFonts w:hint="eastAsia" w:ascii="宋体" w:hAnsi="宋体" w:eastAsia="宋体" w:cs="宋体"/>
          <w:sz w:val="24"/>
          <w:szCs w:val="24"/>
        </w:rPr>
        <w:t>安装及验收服务</w:t>
      </w:r>
      <w:bookmarkEnd w:id="57"/>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.招标方将积极协助投标方达到</w:t>
      </w:r>
      <w:r>
        <w:rPr>
          <w:rFonts w:hint="eastAsia" w:ascii="宋体" w:hAnsi="宋体" w:cs="宋体"/>
          <w:color w:val="000000"/>
          <w:sz w:val="24"/>
          <w:szCs w:val="24"/>
          <w:lang w:val="en-US" w:eastAsia="zh-CN"/>
        </w:rPr>
        <w:t>工装夹具</w:t>
      </w:r>
      <w:r>
        <w:rPr>
          <w:rFonts w:hint="eastAsia" w:ascii="宋体" w:hAnsi="宋体" w:eastAsia="宋体" w:cs="宋体"/>
          <w:color w:val="000000"/>
          <w:sz w:val="24"/>
          <w:szCs w:val="24"/>
        </w:rPr>
        <w:t>的各项技术指标和性能要求。投标方在招标方现场进行的</w:t>
      </w:r>
      <w:r>
        <w:rPr>
          <w:rFonts w:hint="eastAsia" w:ascii="宋体" w:hAnsi="宋体" w:cs="宋体"/>
          <w:color w:val="000000"/>
          <w:sz w:val="24"/>
          <w:szCs w:val="24"/>
          <w:lang w:val="en-US" w:eastAsia="zh-CN"/>
        </w:rPr>
        <w:t>工装夹具</w:t>
      </w:r>
      <w:r>
        <w:rPr>
          <w:rFonts w:hint="eastAsia" w:ascii="宋体" w:hAnsi="宋体" w:eastAsia="宋体" w:cs="宋体"/>
          <w:color w:val="000000"/>
          <w:sz w:val="24"/>
          <w:szCs w:val="24"/>
        </w:rPr>
        <w:t>的安装和试运行</w:t>
      </w:r>
      <w:r>
        <w:rPr>
          <w:rFonts w:hint="eastAsia" w:ascii="宋体" w:hAnsi="宋体" w:cs="宋体"/>
          <w:color w:val="000000"/>
          <w:sz w:val="24"/>
          <w:szCs w:val="24"/>
          <w:lang w:val="en-US" w:eastAsia="zh-CN"/>
        </w:rPr>
        <w:t>等</w:t>
      </w:r>
      <w:r>
        <w:rPr>
          <w:rFonts w:hint="eastAsia" w:ascii="宋体" w:hAnsi="宋体" w:eastAsia="宋体" w:cs="宋体"/>
          <w:color w:val="000000"/>
          <w:sz w:val="24"/>
          <w:szCs w:val="24"/>
        </w:rPr>
        <w:t>，招标方有权参与，投标方应无条件向招标方提供现场记录</w:t>
      </w:r>
      <w:r>
        <w:rPr>
          <w:rFonts w:hint="eastAsia" w:ascii="宋体" w:hAnsi="宋体" w:cs="宋体"/>
          <w:color w:val="000000"/>
          <w:sz w:val="24"/>
          <w:szCs w:val="24"/>
          <w:lang w:val="en-US" w:eastAsia="zh-CN"/>
        </w:rPr>
        <w:t>等</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.投标方应当向招标方提供货物验收的有关标准、规范和方法，同时提供货物涉及并使用的软件合法性证明。</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.服务缺陷视同</w:t>
      </w:r>
      <w:r>
        <w:rPr>
          <w:rFonts w:hint="eastAsia" w:ascii="宋体" w:hAnsi="宋体" w:cs="宋体"/>
          <w:color w:val="000000"/>
          <w:sz w:val="24"/>
          <w:szCs w:val="24"/>
          <w:lang w:val="en-US" w:eastAsia="zh-CN"/>
        </w:rPr>
        <w:t>质量</w:t>
      </w:r>
      <w:r>
        <w:rPr>
          <w:rFonts w:hint="eastAsia" w:ascii="宋体" w:hAnsi="宋体" w:eastAsia="宋体" w:cs="宋体"/>
          <w:color w:val="000000"/>
          <w:sz w:val="24"/>
          <w:szCs w:val="24"/>
        </w:rPr>
        <w:t>缺陷和履约延期。</w:t>
      </w:r>
    </w:p>
    <w:p>
      <w:pPr>
        <w:pStyle w:val="6"/>
        <w:numPr>
          <w:ilvl w:val="0"/>
          <w:numId w:val="12"/>
        </w:numPr>
        <w:spacing w:beforeLines="0" w:afterLines="0" w:line="360" w:lineRule="auto"/>
        <w:ind w:left="0" w:firstLine="0"/>
        <w:rPr>
          <w:rFonts w:hint="eastAsia" w:ascii="宋体" w:hAnsi="宋体" w:eastAsia="宋体" w:cs="宋体"/>
          <w:sz w:val="24"/>
          <w:szCs w:val="24"/>
        </w:rPr>
      </w:pPr>
      <w:bookmarkStart w:id="58" w:name="_Toc142725033"/>
      <w:r>
        <w:rPr>
          <w:rFonts w:hint="eastAsia" w:ascii="宋体" w:hAnsi="宋体" w:eastAsia="宋体" w:cs="宋体"/>
          <w:sz w:val="24"/>
          <w:szCs w:val="24"/>
        </w:rPr>
        <w:t>售后服务</w:t>
      </w:r>
      <w:bookmarkEnd w:id="58"/>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1.投标方提供的货物/服务涉及的所有售后服务均由投标方负责。如果发生问题并且收到通知，投标方应当在2小时内予以答复。</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w:t>
      </w:r>
      <w:r>
        <w:rPr>
          <w:rFonts w:hint="eastAsia" w:ascii="宋体" w:hAnsi="宋体" w:cs="宋体"/>
          <w:color w:val="000000"/>
          <w:sz w:val="24"/>
          <w:szCs w:val="24"/>
          <w:lang w:val="en-US" w:eastAsia="zh-CN"/>
        </w:rPr>
        <w:t>工装夹具</w:t>
      </w:r>
      <w:r>
        <w:rPr>
          <w:rFonts w:hint="eastAsia" w:ascii="宋体" w:hAnsi="宋体" w:eastAsia="宋体" w:cs="宋体"/>
          <w:color w:val="000000"/>
          <w:sz w:val="24"/>
          <w:szCs w:val="24"/>
        </w:rPr>
        <w:t>存在问题，需要投标方解决或配合解决时：在质保期之内，应在接到通知后</w:t>
      </w:r>
      <w:r>
        <w:rPr>
          <w:rFonts w:hint="eastAsia" w:ascii="宋体" w:hAnsi="宋体" w:cs="宋体"/>
          <w:color w:val="000000"/>
          <w:sz w:val="24"/>
          <w:szCs w:val="24"/>
          <w:lang w:val="en-US" w:eastAsia="zh-CN"/>
        </w:rPr>
        <w:t>24</w:t>
      </w:r>
      <w:r>
        <w:rPr>
          <w:rFonts w:hint="eastAsia" w:ascii="宋体" w:hAnsi="宋体" w:eastAsia="宋体" w:cs="宋体"/>
          <w:color w:val="000000"/>
          <w:sz w:val="24"/>
          <w:szCs w:val="24"/>
        </w:rPr>
        <w:t>小时内上门提供免费技术支持（不限于电话、远程 、邮件、视频等方式）；在质保期之外，应在接到通知后</w:t>
      </w:r>
      <w:r>
        <w:rPr>
          <w:rFonts w:hint="eastAsia" w:ascii="宋体" w:hAnsi="宋体" w:eastAsia="宋体" w:cs="宋体"/>
          <w:color w:val="000000"/>
          <w:sz w:val="24"/>
          <w:szCs w:val="24"/>
          <w:lang w:val="en-US" w:eastAsia="zh-CN"/>
        </w:rPr>
        <w:t>48</w:t>
      </w:r>
      <w:r>
        <w:rPr>
          <w:rFonts w:hint="eastAsia" w:ascii="宋体" w:hAnsi="宋体" w:eastAsia="宋体" w:cs="宋体"/>
          <w:color w:val="000000"/>
          <w:sz w:val="24"/>
          <w:szCs w:val="24"/>
        </w:rPr>
        <w:t>小时内上门提供免费技术支持（不限于电话、远程 、邮件、视频等方式）。</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3.投标方派往招标方使用现场的人员，应具有较高的业务素质；现场解决问题时，不得无故拖延或推迟，应为招标方提供最佳的服务。</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4.投标方及时向招标方提供按合同规定的全部技术资料和图纸 ,无条件配合招标方的相关检查、验收工作。</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5.严格执行供需双方就有关问题召开会议的纪要或签订的协议。 </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.质量保证期内所有保修服务方式均为上门保修，即由投标方派</w:t>
      </w:r>
      <w:r>
        <w:rPr>
          <w:rFonts w:hint="eastAsia" w:ascii="宋体" w:hAnsi="宋体" w:cs="宋体"/>
          <w:color w:val="000000"/>
          <w:sz w:val="24"/>
          <w:szCs w:val="24"/>
          <w:lang w:val="en-US" w:eastAsia="zh-CN"/>
        </w:rPr>
        <w:t>人</w:t>
      </w:r>
      <w:r>
        <w:rPr>
          <w:rFonts w:hint="eastAsia" w:ascii="宋体" w:hAnsi="宋体" w:eastAsia="宋体" w:cs="宋体"/>
          <w:color w:val="000000"/>
          <w:sz w:val="24"/>
          <w:szCs w:val="24"/>
        </w:rPr>
        <w:t>员到用户使用现场维修。由此产生的一切费用均由投标方承担。</w:t>
      </w:r>
    </w:p>
    <w:p>
      <w:pPr>
        <w:pStyle w:val="6"/>
        <w:numPr>
          <w:ilvl w:val="0"/>
          <w:numId w:val="12"/>
        </w:numPr>
        <w:spacing w:beforeLines="0" w:afterLines="0" w:line="360" w:lineRule="auto"/>
        <w:ind w:left="0" w:firstLine="0"/>
        <w:rPr>
          <w:rFonts w:hint="eastAsia" w:ascii="宋体" w:hAnsi="宋体" w:eastAsia="宋体" w:cs="宋体"/>
          <w:sz w:val="24"/>
          <w:szCs w:val="24"/>
        </w:rPr>
      </w:pPr>
      <w:bookmarkStart w:id="59" w:name="_Toc142725034"/>
      <w:r>
        <w:rPr>
          <w:rFonts w:hint="eastAsia" w:ascii="宋体" w:hAnsi="宋体" w:eastAsia="宋体" w:cs="宋体"/>
          <w:sz w:val="24"/>
          <w:szCs w:val="24"/>
        </w:rPr>
        <w:t>其它服务</w:t>
      </w:r>
      <w:bookmarkEnd w:id="59"/>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1、若</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方所提供工装夹具有需要进口的，</w:t>
      </w:r>
      <w:r>
        <w:rPr>
          <w:rFonts w:hint="eastAsia" w:ascii="宋体" w:hAnsi="宋体" w:eastAsia="宋体" w:cs="宋体"/>
          <w:color w:val="000000"/>
          <w:sz w:val="24"/>
          <w:szCs w:val="24"/>
          <w:lang w:val="en-US" w:eastAsia="zh-CN"/>
        </w:rPr>
        <w:t>投标方</w:t>
      </w:r>
      <w:r>
        <w:rPr>
          <w:rFonts w:hint="eastAsia" w:ascii="宋体" w:hAnsi="宋体" w:eastAsia="宋体" w:cs="宋体"/>
          <w:color w:val="000000"/>
          <w:sz w:val="24"/>
          <w:szCs w:val="24"/>
        </w:rPr>
        <w:t>一般应自行、自费办理；必要时，双方共同办理。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2、除招标文件、投标文件、答疑文件、技术协议、合同等约定之外，</w:t>
      </w:r>
      <w:r>
        <w:rPr>
          <w:rFonts w:hint="eastAsia" w:ascii="宋体" w:hAnsi="宋体" w:eastAsia="宋体" w:cs="宋体"/>
          <w:color w:val="000000"/>
          <w:sz w:val="24"/>
          <w:szCs w:val="24"/>
          <w:lang w:val="en-US" w:eastAsia="zh-CN"/>
        </w:rPr>
        <w:t>投标</w:t>
      </w:r>
      <w:r>
        <w:rPr>
          <w:rFonts w:hint="eastAsia" w:ascii="宋体" w:hAnsi="宋体" w:eastAsia="宋体" w:cs="宋体"/>
          <w:color w:val="000000"/>
          <w:sz w:val="24"/>
          <w:szCs w:val="24"/>
        </w:rPr>
        <w:t>方应免费负责必要的或强制性的工装夹具的检验、试验、化验等直接费用。</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kern w:val="44"/>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3、本章节条款所列“免费”，并非指定不可收费，而是指招标文件、投标文件、答疑文件、技术交流文件、技术协议书和合同等范围之外，投标方不可另行收取的费用。</w:t>
      </w:r>
      <w:r>
        <w:rPr>
          <w:rFonts w:hint="eastAsia" w:ascii="宋体" w:hAnsi="宋体" w:eastAsia="宋体" w:cs="宋体"/>
          <w:sz w:val="21"/>
          <w:szCs w:val="24"/>
        </w:rPr>
        <w:br w:type="page"/>
      </w:r>
    </w:p>
    <w:p>
      <w:pPr>
        <w:pStyle w:val="5"/>
        <w:numPr>
          <w:ilvl w:val="0"/>
          <w:numId w:val="8"/>
        </w:numPr>
        <w:tabs>
          <w:tab w:val="left" w:pos="425"/>
        </w:tabs>
        <w:spacing w:beforeLines="0" w:afterLines="0" w:line="360" w:lineRule="auto"/>
        <w:rPr>
          <w:rFonts w:hint="eastAsia" w:ascii="宋体" w:hAnsi="宋体" w:eastAsia="宋体" w:cs="宋体"/>
          <w:sz w:val="24"/>
          <w:szCs w:val="24"/>
        </w:rPr>
      </w:pPr>
      <w:bookmarkStart w:id="60" w:name="_Toc142725035"/>
      <w:r>
        <w:rPr>
          <w:rFonts w:hint="eastAsia" w:ascii="宋体" w:hAnsi="宋体" w:eastAsia="宋体" w:cs="宋体"/>
          <w:sz w:val="24"/>
          <w:szCs w:val="24"/>
        </w:rPr>
        <w:t>验收</w:t>
      </w:r>
      <w:bookmarkEnd w:id="60"/>
    </w:p>
    <w:p>
      <w:pPr>
        <w:pStyle w:val="6"/>
        <w:numPr>
          <w:ilvl w:val="0"/>
          <w:numId w:val="13"/>
        </w:numPr>
        <w:spacing w:beforeLines="0" w:afterLines="0" w:line="360" w:lineRule="auto"/>
        <w:ind w:left="0" w:firstLine="0"/>
        <w:rPr>
          <w:rFonts w:hint="eastAsia" w:ascii="宋体" w:hAnsi="宋体" w:eastAsia="宋体" w:cs="宋体"/>
          <w:sz w:val="24"/>
          <w:szCs w:val="24"/>
        </w:rPr>
      </w:pPr>
      <w:bookmarkStart w:id="61" w:name="_Toc142725036"/>
      <w:r>
        <w:rPr>
          <w:rFonts w:hint="eastAsia" w:ascii="宋体" w:hAnsi="宋体" w:eastAsia="宋体" w:cs="宋体"/>
          <w:sz w:val="24"/>
          <w:szCs w:val="24"/>
        </w:rPr>
        <w:t>验收依据和验收标准</w:t>
      </w:r>
      <w:bookmarkEnd w:id="61"/>
    </w:p>
    <w:p>
      <w:pPr>
        <w:keepNext w:val="0"/>
        <w:keepLines w:val="0"/>
        <w:pageBreakBefore w:val="0"/>
        <w:widowControl w:val="0"/>
        <w:kinsoku/>
        <w:wordWrap/>
        <w:overflowPunct/>
        <w:topLinePunct w:val="0"/>
        <w:autoSpaceDE/>
        <w:autoSpaceDN/>
        <w:bidi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pPr>
        <w:pStyle w:val="6"/>
        <w:numPr>
          <w:ilvl w:val="0"/>
          <w:numId w:val="13"/>
        </w:numPr>
        <w:spacing w:beforeLines="0" w:afterLines="0" w:line="360" w:lineRule="auto"/>
        <w:ind w:left="0" w:firstLine="0"/>
        <w:rPr>
          <w:rFonts w:hint="eastAsia" w:ascii="宋体" w:hAnsi="宋体" w:eastAsia="宋体" w:cs="宋体"/>
          <w:sz w:val="24"/>
          <w:szCs w:val="24"/>
        </w:rPr>
      </w:pPr>
      <w:bookmarkStart w:id="62" w:name="_Toc142725037"/>
      <w:r>
        <w:rPr>
          <w:rFonts w:hint="eastAsia" w:ascii="宋体" w:hAnsi="宋体" w:eastAsia="宋体" w:cs="宋体"/>
          <w:sz w:val="24"/>
          <w:szCs w:val="24"/>
        </w:rPr>
        <w:t>检验</w:t>
      </w:r>
      <w:bookmarkEnd w:id="62"/>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货物的检验一般由双方共同进行或按照合同要求进行。</w:t>
      </w:r>
    </w:p>
    <w:p>
      <w:pPr>
        <w:pStyle w:val="6"/>
        <w:numPr>
          <w:ilvl w:val="0"/>
          <w:numId w:val="13"/>
        </w:numPr>
        <w:spacing w:beforeLines="0" w:afterLines="0" w:line="360" w:lineRule="auto"/>
        <w:ind w:left="0" w:firstLine="0"/>
        <w:rPr>
          <w:rFonts w:hint="eastAsia" w:ascii="宋体" w:hAnsi="宋体" w:eastAsia="宋体" w:cs="宋体"/>
          <w:color w:val="000000"/>
          <w:sz w:val="24"/>
          <w:szCs w:val="32"/>
        </w:rPr>
      </w:pPr>
      <w:bookmarkStart w:id="63" w:name="_Toc142725038"/>
      <w:r>
        <w:rPr>
          <w:rFonts w:hint="eastAsia" w:ascii="宋体" w:hAnsi="宋体" w:eastAsia="宋体" w:cs="宋体"/>
          <w:sz w:val="24"/>
          <w:szCs w:val="24"/>
        </w:rPr>
        <w:t>验收基本条件</w:t>
      </w:r>
      <w:bookmarkEnd w:id="63"/>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买卖双方按照合同约定执行了合同，同时工装夹具</w:t>
      </w:r>
      <w:r>
        <w:rPr>
          <w:rFonts w:hint="eastAsia" w:ascii="宋体" w:hAnsi="宋体" w:cs="宋体"/>
          <w:color w:val="000000"/>
          <w:sz w:val="24"/>
          <w:szCs w:val="24"/>
          <w:lang w:val="en-US" w:eastAsia="zh-CN"/>
        </w:rPr>
        <w:t>正常</w:t>
      </w:r>
      <w:r>
        <w:rPr>
          <w:rFonts w:hint="eastAsia" w:ascii="宋体" w:hAnsi="宋体" w:eastAsia="宋体" w:cs="宋体"/>
          <w:color w:val="000000"/>
          <w:sz w:val="24"/>
          <w:szCs w:val="24"/>
        </w:rPr>
        <w:t>使用并经检验合格，则具备验收条件。</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1.验收一般条件</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1.1投标方已经按照要求提供了验收资料，并且资料齐全、完整和有效。</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1.2</w:t>
      </w:r>
      <w:r>
        <w:rPr>
          <w:rFonts w:hint="eastAsia" w:ascii="宋体" w:hAnsi="宋体" w:cs="宋体"/>
          <w:color w:val="000000"/>
          <w:sz w:val="24"/>
          <w:szCs w:val="24"/>
          <w:lang w:val="en-US" w:eastAsia="zh-CN"/>
        </w:rPr>
        <w:t>工装夹具</w:t>
      </w:r>
      <w:r>
        <w:rPr>
          <w:rFonts w:hint="eastAsia" w:ascii="宋体" w:hAnsi="宋体" w:eastAsia="宋体" w:cs="宋体"/>
          <w:color w:val="000000"/>
          <w:sz w:val="24"/>
          <w:szCs w:val="24"/>
        </w:rPr>
        <w:t>应完整且所有的零部件应该安装牢固，外观无损伤，所有的焊缝饱满、无残渣等缺陷。</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1.3货物的油漆质量应饱满、有光泽，无掉漆、无色差、无“桔皮”等不良现象（特殊标志除外）。</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货物的安全要求符合中国最新的相关法律、法规、标准和规范以及合同要求。</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5工装夹具</w:t>
      </w:r>
      <w:r>
        <w:rPr>
          <w:rFonts w:hint="eastAsia" w:ascii="宋体" w:hAnsi="宋体" w:eastAsia="宋体" w:cs="宋体"/>
          <w:color w:val="000000"/>
          <w:sz w:val="24"/>
          <w:szCs w:val="24"/>
        </w:rPr>
        <w:t>安装完毕，试运行</w:t>
      </w:r>
      <w:r>
        <w:rPr>
          <w:rFonts w:hint="eastAsia" w:ascii="宋体" w:hAnsi="宋体" w:cs="宋体"/>
          <w:color w:val="000000"/>
          <w:sz w:val="24"/>
          <w:szCs w:val="24"/>
          <w:lang w:val="en-US" w:eastAsia="zh-CN"/>
        </w:rPr>
        <w:t>期间</w:t>
      </w:r>
      <w:r>
        <w:rPr>
          <w:rFonts w:hint="eastAsia" w:ascii="宋体" w:hAnsi="宋体" w:eastAsia="宋体" w:cs="宋体"/>
          <w:color w:val="000000"/>
          <w:sz w:val="24"/>
          <w:szCs w:val="24"/>
        </w:rPr>
        <w:t>或之后无维修、调整等行为（特殊情况除外）。</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6工装夹具</w:t>
      </w:r>
      <w:r>
        <w:rPr>
          <w:rFonts w:hint="eastAsia" w:ascii="宋体" w:hAnsi="宋体" w:eastAsia="宋体" w:cs="宋体"/>
          <w:color w:val="000000"/>
          <w:sz w:val="24"/>
          <w:szCs w:val="24"/>
        </w:rPr>
        <w:t>质量、技术性能等，达到签定的技术协议书和合同规定的验收标准。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2.验收基本要求</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出现下列问题之一，视作验收失败：</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.1在整个验收过程中发生关键零部件损坏或重大故障；</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.2一般性故障超过</w:t>
      </w:r>
      <w:r>
        <w:rPr>
          <w:rFonts w:hint="eastAsia" w:ascii="宋体" w:hAnsi="宋体" w:eastAsia="宋体" w:cs="宋体"/>
          <w:color w:val="000000"/>
          <w:sz w:val="24"/>
          <w:szCs w:val="24"/>
          <w:u w:val="single"/>
        </w:rPr>
        <w:t>2</w:t>
      </w:r>
      <w:r>
        <w:rPr>
          <w:rFonts w:hint="eastAsia" w:ascii="宋体" w:hAnsi="宋体" w:eastAsia="宋体" w:cs="宋体"/>
          <w:color w:val="000000"/>
          <w:sz w:val="24"/>
          <w:szCs w:val="24"/>
        </w:rPr>
        <w:t>次；</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更换的零部件货值不超过总货值的</w:t>
      </w:r>
      <w:r>
        <w:rPr>
          <w:rFonts w:hint="eastAsia" w:ascii="宋体" w:hAnsi="宋体" w:eastAsia="宋体" w:cs="宋体"/>
          <w:color w:val="000000"/>
          <w:sz w:val="24"/>
          <w:szCs w:val="24"/>
          <w:u w:val="single"/>
        </w:rPr>
        <w:t xml:space="preserve"> 3 </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验收原则上要求一次完成。若一次验收不成功，最多允许两次；如果出现第三次验收失败，重新作价或退货；</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验收通过后双方共同签署验收报告，并移交、核对全部供货范围内物品。</w:t>
      </w:r>
    </w:p>
    <w:p>
      <w:pPr>
        <w:pStyle w:val="5"/>
        <w:numPr>
          <w:ilvl w:val="0"/>
          <w:numId w:val="8"/>
        </w:numPr>
        <w:tabs>
          <w:tab w:val="left" w:pos="425"/>
        </w:tabs>
        <w:spacing w:beforeLines="0" w:afterLines="0"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其他说明</w:t>
      </w:r>
    </w:p>
    <w:p>
      <w:pPr>
        <w:pStyle w:val="6"/>
        <w:numPr>
          <w:ilvl w:val="0"/>
          <w:numId w:val="14"/>
        </w:numPr>
        <w:spacing w:beforeLines="0" w:afterLines="0" w:line="360" w:lineRule="auto"/>
        <w:ind w:left="0" w:firstLine="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技术文件一般内容要求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1.投标方应认真阅读招标文件和本技术标书，并按要求编写投标技术文件。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2.投标技术文件至少应对投标工装夹具的功能用途、技术性能、质量标准、技术参数等作出详细说明。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3.投标技术文件至少应根据投标工装夹具的关键设备、总成、零部件或系统作出满足或优于招标文件要求的详细说明。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4.投标技术文件至少应按照招标文件要求（或投标方建议）列明备品备件、易损件和专用耗材明细。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5.投标方应当而且必须分别说明所列备品备件、易损件和专用耗材的使用寿命（以有效工作小时数说明）。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6.投标的工装夹具，应当根据其配置和备品备件、易损件、专用耗材情况，尽可能详细且分类填入下表：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6.1“开标一览表”和“明细表”仅作为投标方编制投标技术文件的一般格式。其中序号编写应当便于招标方了解分类或分项工装夹具之间的所属关系，如1、1.1、1.2。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6.2应当尽可能将工装夹具的配置列全、列细，这将有助于投标方胜出。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6.3单价与总价之间、总价与分类小计价之间、分类小计价与合计价之间数据应当齐全而且准确。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6.4本条款表格中的制造商，应当为全称或公认的简称。</w:t>
      </w:r>
    </w:p>
    <w:p>
      <w:pPr>
        <w:pStyle w:val="6"/>
        <w:numPr>
          <w:ilvl w:val="0"/>
          <w:numId w:val="14"/>
        </w:numPr>
        <w:spacing w:beforeLines="0" w:afterLines="0" w:line="360" w:lineRule="auto"/>
        <w:ind w:left="0" w:firstLine="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为保证本技术标书所列采购工装夹具的质量以及先进性、可靠性、经济性和实用性，要求投标方在投标文件中，至少应具备以下资格证明文件或资料：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1.投标方应是独立法人或得到法人授权的机构。应当在投标文件中提供法人营业执照（复印件）、税务登记证以及组织机构代码证（国际供应商参考该要求提供有效证明文件），并保证其真实性和有效性。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2.投标方应当是通过有关资格认证的法人。应当在投标文件中提供有效期内的资格认证证书，如：ISO9001、VDA6.1、QS9000等。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3.应附有其它与投标单位、采购工装夹具有关的荣誉证书或资料。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4.必须附有投标工装夹具涉及产品要求的、国家或行业管理规定要求的、或者投标方认为能够体现其投标工装夹具合法性及先进性的最高级别的证明材料（投标工装夹具不涉及的除外）：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4.1国家相关机构颁发的有效期之内所必需的《生产许可证》。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4.2产品（或技术）鉴定报告/证书、专利证书或专利许可证书、新技术成果证书等。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4.3产品相关检验、试验报告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4.4其它能够证明所供工装夹具的质量水平、技术水平、安全性水平、节能性水平、环保性水平等相关的其它证明文件或资料、报告等。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4.5该类报告或证明材料对于投标方胜出乃至中标极为重要！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必须附有：与本采购工装夹具相同或相似技术规格、型号的而且已经正常使用或通过验收的近三年的工装夹具的市场销售业绩清单，清单中应具备：买方单位名称、销售工装夹具的规格型号、数量、（交货）时间、联系人和联系电话（非移动通信号码）等条目内容；投标方应当保证其业绩的真实性，否则将影响投标或中标资格。</w:t>
      </w:r>
    </w:p>
    <w:p>
      <w:pPr>
        <w:pStyle w:val="6"/>
        <w:numPr>
          <w:ilvl w:val="0"/>
          <w:numId w:val="14"/>
        </w:numPr>
        <w:spacing w:beforeLines="0" w:afterLines="0" w:line="360" w:lineRule="auto"/>
        <w:ind w:left="0" w:firstLine="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其他说明</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lang w:val="en-US" w:eastAsia="zh-CN"/>
        </w:rPr>
        <w:t>投标方可以根据自身的技术、经验等优势以及对招标文件和本技术标书的理解，写明对招标方所采购货物的优化方案或建议意见。投标方的这些努力，投标方表示感谢，并将有助于投标方优先胜出。</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lang w:val="en-US" w:eastAsia="zh-CN"/>
        </w:rPr>
        <w:t>即使有建议意见或建议方案，仍应依据招标文件和本技术标书要求，编写符合要求的投标文件。建议方案或建议意见，应以单独篇章或文件，予以说明和报价。</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招标文件、投标文件、答疑文件、技术交流文件、技术协议书等，在采购过程全部为有效文件，如有差异，以对招标方最有利的条款为准。</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4.</w:t>
      </w:r>
      <w:r>
        <w:rPr>
          <w:rFonts w:hint="eastAsia" w:ascii="宋体" w:hAnsi="宋体" w:eastAsia="宋体" w:cs="宋体"/>
          <w:color w:val="000000"/>
          <w:sz w:val="24"/>
          <w:szCs w:val="24"/>
          <w:lang w:val="en-US" w:eastAsia="zh-CN"/>
        </w:rPr>
        <w:t>为避免歧异，本技术标书涉及招投标环节的条款，均将潜在的卖方称为投标方、将买方称为招标方；定标后合同签署环节以及后续的合同执行环节条款，招标方称为买方、投标方中的中标方称为卖方。</w:t>
      </w:r>
    </w:p>
    <w:p>
      <w:pPr>
        <w:rPr>
          <w:rFonts w:hint="eastAsia" w:ascii="宋体" w:hAnsi="宋体" w:eastAsia="宋体" w:cs="宋体"/>
        </w:rPr>
      </w:pPr>
    </w:p>
    <w:sectPr>
      <w:headerReference r:id="rId12" w:type="default"/>
      <w:footerReference r:id="rId13"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50"/>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PAGE   \* MERGEFORMAT</w:instrText>
    </w:r>
    <w:r>
      <w:fldChar w:fldCharType="separate"/>
    </w:r>
    <w:r>
      <w:rPr>
        <w:lang w:val="zh-CN"/>
      </w:rPr>
      <w:t>-</w:t>
    </w:r>
    <w:r>
      <w:t xml:space="preserve"> 2 -</w:t>
    </w:r>
    <w:r>
      <w:fldChar w:fldCharType="end"/>
    </w:r>
  </w:p>
  <w:p>
    <w:pPr>
      <w:pStyle w:val="23"/>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PAGE   \* MERGEFORMAT</w:instrText>
    </w:r>
    <w:r>
      <w:fldChar w:fldCharType="separate"/>
    </w:r>
    <w:r>
      <w:rPr>
        <w:lang w:val="zh-CN"/>
      </w:rPr>
      <w:t>-</w:t>
    </w:r>
    <w:r>
      <w:t xml:space="preserve"> 1 -</w:t>
    </w:r>
    <w:r>
      <w:fldChar w:fldCharType="end"/>
    </w:r>
  </w:p>
  <w:p>
    <w:pPr>
      <w:pStyle w:val="23"/>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pacing w:beforeLines="0" w:afterLines="0"/>
      <w:jc w:val="center"/>
      <w:rPr>
        <w:rFonts w:hint="default"/>
        <w:sz w:val="18"/>
        <w:szCs w:val="18"/>
      </w:rPr>
    </w:pPr>
    <w:r>
      <w:rPr>
        <w:rFonts w:hint="default"/>
        <w:sz w:val="18"/>
        <w:szCs w:val="18"/>
        <w:lang w:val="zh-CN"/>
      </w:rPr>
      <w:t xml:space="preserve"> </w:t>
    </w:r>
    <w:r>
      <w:rPr>
        <w:rFonts w:hint="default"/>
        <w:b/>
        <w:sz w:val="18"/>
        <w:szCs w:val="18"/>
      </w:rPr>
      <w:fldChar w:fldCharType="begin"/>
    </w:r>
    <w:r>
      <w:rPr>
        <w:rFonts w:hint="default"/>
        <w:b/>
        <w:sz w:val="18"/>
        <w:szCs w:val="18"/>
      </w:rPr>
      <w:instrText xml:space="preserve">PAGE</w:instrText>
    </w:r>
    <w:r>
      <w:rPr>
        <w:rFonts w:hint="default"/>
        <w:b/>
        <w:sz w:val="18"/>
        <w:szCs w:val="18"/>
      </w:rPr>
      <w:fldChar w:fldCharType="separate"/>
    </w:r>
    <w:r>
      <w:rPr>
        <w:rFonts w:hint="default"/>
        <w:b/>
        <w:sz w:val="18"/>
        <w:szCs w:val="18"/>
        <w:lang w:val="zh-CN"/>
      </w:rPr>
      <w:t>2</w:t>
    </w:r>
    <w:r>
      <w:rPr>
        <w:rFonts w:hint="default"/>
        <w:b/>
        <w:sz w:val="18"/>
        <w:szCs w:val="18"/>
        <w:lang w:val="zh-CN"/>
      </w:rPr>
      <w:fldChar w:fldCharType="end"/>
    </w:r>
    <w:r>
      <w:rPr>
        <w:rFonts w:hint="default"/>
        <w:sz w:val="18"/>
        <w:szCs w:val="18"/>
        <w:lang w:val="zh-CN"/>
      </w:rPr>
      <w:t xml:space="preserve"> / </w:t>
    </w:r>
    <w:r>
      <w:rPr>
        <w:rFonts w:hint="default"/>
        <w:b/>
        <w:sz w:val="18"/>
        <w:szCs w:val="18"/>
      </w:rPr>
      <w:fldChar w:fldCharType="begin"/>
    </w:r>
    <w:r>
      <w:rPr>
        <w:rFonts w:hint="default"/>
        <w:b/>
        <w:sz w:val="18"/>
        <w:szCs w:val="18"/>
      </w:rPr>
      <w:instrText xml:space="preserve">NUMPAGES</w:instrText>
    </w:r>
    <w:r>
      <w:rPr>
        <w:rFonts w:hint="default"/>
        <w:b/>
        <w:sz w:val="18"/>
        <w:szCs w:val="18"/>
      </w:rPr>
      <w:fldChar w:fldCharType="separate"/>
    </w:r>
    <w:r>
      <w:rPr>
        <w:rFonts w:hint="default"/>
        <w:b/>
        <w:sz w:val="18"/>
        <w:szCs w:val="18"/>
        <w:lang w:val="zh-CN"/>
      </w:rPr>
      <w:t>2</w:t>
    </w:r>
    <w:r>
      <w:rPr>
        <w:rFonts w:hint="default"/>
        <w:b/>
        <w:sz w:val="18"/>
        <w:szCs w:val="18"/>
        <w:lang w:val="zh-CN"/>
      </w:rPr>
      <w:fldChar w:fldCharType="end"/>
    </w:r>
  </w:p>
  <w:p>
    <w:pPr>
      <w:pStyle w:val="23"/>
      <w:spacing w:beforeLines="0" w:afterLines="0"/>
      <w:rPr>
        <w:rFonts w:hint="default"/>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D7A17C"/>
    <w:multiLevelType w:val="multilevel"/>
    <w:tmpl w:val="A5D7A17C"/>
    <w:lvl w:ilvl="0" w:tentative="0">
      <w:start w:val="1"/>
      <w:numFmt w:val="japaneseCounting"/>
      <w:lvlText w:val="第%1节、"/>
      <w:lvlJc w:val="left"/>
      <w:pPr>
        <w:ind w:left="1080" w:hanging="108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abstractNum w:abstractNumId="1">
    <w:nsid w:val="CE032D4D"/>
    <w:multiLevelType w:val="singleLevel"/>
    <w:tmpl w:val="CE032D4D"/>
    <w:lvl w:ilvl="0" w:tentative="0">
      <w:start w:val="1"/>
      <w:numFmt w:val="decimal"/>
      <w:lvlText w:val="%1."/>
      <w:lvlJc w:val="left"/>
      <w:pPr>
        <w:tabs>
          <w:tab w:val="left" w:pos="312"/>
        </w:tabs>
        <w:ind w:left="0" w:firstLine="0"/>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4038EB"/>
    <w:multiLevelType w:val="multilevel"/>
    <w:tmpl w:val="004038EB"/>
    <w:lvl w:ilvl="0" w:tentative="0">
      <w:start w:val="1"/>
      <w:numFmt w:val="japaneseCounting"/>
      <w:lvlText w:val="第%1节、"/>
      <w:lvlJc w:val="left"/>
      <w:pPr>
        <w:ind w:left="1080" w:hanging="108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AEC23D6"/>
    <w:multiLevelType w:val="multilevel"/>
    <w:tmpl w:val="0AEC23D6"/>
    <w:lvl w:ilvl="0" w:tentative="0">
      <w:start w:val="1"/>
      <w:numFmt w:val="japaneseCounting"/>
      <w:lvlText w:val="第%1节、"/>
      <w:lvlJc w:val="left"/>
      <w:pPr>
        <w:ind w:left="1080" w:hanging="108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2DA5A67"/>
    <w:multiLevelType w:val="multilevel"/>
    <w:tmpl w:val="42DA5A67"/>
    <w:lvl w:ilvl="0" w:tentative="0">
      <w:start w:val="1"/>
      <w:numFmt w:val="japaneseCounting"/>
      <w:lvlText w:val="第%1节、"/>
      <w:lvlJc w:val="left"/>
      <w:pPr>
        <w:ind w:left="1080" w:hanging="108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4CD41338"/>
    <w:multiLevelType w:val="multilevel"/>
    <w:tmpl w:val="4CD41338"/>
    <w:lvl w:ilvl="0" w:tentative="0">
      <w:start w:val="1"/>
      <w:numFmt w:val="japaneseCounting"/>
      <w:lvlText w:val="第%1节、"/>
      <w:lvlJc w:val="left"/>
      <w:pPr>
        <w:ind w:left="1080" w:hanging="108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abstractNum w:abstractNumId="11">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775F3A22"/>
    <w:multiLevelType w:val="multilevel"/>
    <w:tmpl w:val="775F3A22"/>
    <w:lvl w:ilvl="0" w:tentative="0">
      <w:start w:val="1"/>
      <w:numFmt w:val="japaneseCounting"/>
      <w:lvlText w:val="第%1章、"/>
      <w:lvlJc w:val="left"/>
      <w:pPr>
        <w:ind w:left="1080" w:hanging="108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abstractNum w:abstractNumId="13">
    <w:nsid w:val="795456BA"/>
    <w:multiLevelType w:val="multilevel"/>
    <w:tmpl w:val="795456BA"/>
    <w:lvl w:ilvl="0" w:tentative="0">
      <w:start w:val="1"/>
      <w:numFmt w:val="japaneseCounting"/>
      <w:lvlText w:val="第%1节、"/>
      <w:lvlJc w:val="left"/>
      <w:pPr>
        <w:ind w:left="1080" w:hanging="1080"/>
      </w:pPr>
      <w:rPr>
        <w:rFonts w:hint="default"/>
        <w:u w:val="none" w:color="auto"/>
      </w:rPr>
    </w:lvl>
    <w:lvl w:ilvl="1" w:tentative="0">
      <w:start w:val="1"/>
      <w:numFmt w:val="lowerLetter"/>
      <w:lvlText w:val="%2)"/>
      <w:lvlJc w:val="left"/>
      <w:pPr>
        <w:ind w:left="840" w:hanging="420"/>
      </w:pPr>
      <w:rPr>
        <w:rFonts w:hint="default"/>
        <w:u w:val="none" w:color="auto"/>
      </w:rPr>
    </w:lvl>
    <w:lvl w:ilvl="2" w:tentative="0">
      <w:start w:val="1"/>
      <w:numFmt w:val="lowerRoman"/>
      <w:lvlText w:val="%3."/>
      <w:lvlJc w:val="right"/>
      <w:pPr>
        <w:ind w:left="1260" w:hanging="420"/>
      </w:pPr>
      <w:rPr>
        <w:rFonts w:hint="default"/>
        <w:u w:val="none" w:color="auto"/>
      </w:rPr>
    </w:lvl>
    <w:lvl w:ilvl="3" w:tentative="0">
      <w:start w:val="1"/>
      <w:numFmt w:val="decimal"/>
      <w:lvlText w:val="%4."/>
      <w:lvlJc w:val="left"/>
      <w:pPr>
        <w:ind w:left="1680" w:hanging="420"/>
      </w:pPr>
      <w:rPr>
        <w:rFonts w:hint="default"/>
        <w:u w:val="none" w:color="auto"/>
      </w:rPr>
    </w:lvl>
    <w:lvl w:ilvl="4" w:tentative="0">
      <w:start w:val="1"/>
      <w:numFmt w:val="lowerLetter"/>
      <w:lvlText w:val="%5)"/>
      <w:lvlJc w:val="left"/>
      <w:pPr>
        <w:ind w:left="2100" w:hanging="420"/>
      </w:pPr>
      <w:rPr>
        <w:rFonts w:hint="default"/>
        <w:u w:val="none" w:color="auto"/>
      </w:rPr>
    </w:lvl>
    <w:lvl w:ilvl="5" w:tentative="0">
      <w:start w:val="1"/>
      <w:numFmt w:val="lowerRoman"/>
      <w:lvlText w:val="%6."/>
      <w:lvlJc w:val="right"/>
      <w:pPr>
        <w:ind w:left="2520" w:hanging="420"/>
      </w:pPr>
      <w:rPr>
        <w:rFonts w:hint="default"/>
        <w:u w:val="none" w:color="auto"/>
      </w:rPr>
    </w:lvl>
    <w:lvl w:ilvl="6" w:tentative="0">
      <w:start w:val="1"/>
      <w:numFmt w:val="decimal"/>
      <w:lvlText w:val="%7."/>
      <w:lvlJc w:val="left"/>
      <w:pPr>
        <w:ind w:left="2940" w:hanging="420"/>
      </w:pPr>
      <w:rPr>
        <w:rFonts w:hint="default"/>
        <w:u w:val="none" w:color="auto"/>
      </w:rPr>
    </w:lvl>
    <w:lvl w:ilvl="7" w:tentative="0">
      <w:start w:val="1"/>
      <w:numFmt w:val="lowerLetter"/>
      <w:lvlText w:val="%8)"/>
      <w:lvlJc w:val="left"/>
      <w:pPr>
        <w:ind w:left="3360" w:hanging="420"/>
      </w:pPr>
      <w:rPr>
        <w:rFonts w:hint="default"/>
        <w:u w:val="none" w:color="auto"/>
      </w:rPr>
    </w:lvl>
    <w:lvl w:ilvl="8" w:tentative="0">
      <w:start w:val="1"/>
      <w:numFmt w:val="lowerRoman"/>
      <w:lvlText w:val="%9."/>
      <w:lvlJc w:val="right"/>
      <w:pPr>
        <w:ind w:left="3780" w:hanging="420"/>
      </w:pPr>
      <w:rPr>
        <w:rFonts w:hint="default"/>
        <w:u w:val="none" w:color="auto"/>
      </w:rPr>
    </w:lvl>
  </w:abstractNum>
  <w:num w:numId="1">
    <w:abstractNumId w:val="11"/>
  </w:num>
  <w:num w:numId="2">
    <w:abstractNumId w:val="5"/>
  </w:num>
  <w:num w:numId="3">
    <w:abstractNumId w:val="4"/>
  </w:num>
  <w:num w:numId="4">
    <w:abstractNumId w:val="9"/>
  </w:num>
  <w:num w:numId="5">
    <w:abstractNumId w:val="2"/>
  </w:num>
  <w:num w:numId="6">
    <w:abstractNumId w:val="7"/>
  </w:num>
  <w:num w:numId="7">
    <w:abstractNumId w:val="1"/>
  </w:num>
  <w:num w:numId="8">
    <w:abstractNumId w:val="12"/>
  </w:num>
  <w:num w:numId="9">
    <w:abstractNumId w:val="6"/>
  </w:num>
  <w:num w:numId="10">
    <w:abstractNumId w:val="13"/>
  </w:num>
  <w:num w:numId="11">
    <w:abstractNumId w:val="10"/>
  </w:num>
  <w:num w:numId="12">
    <w:abstractNumId w:val="3"/>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C5159"/>
    <w:rsid w:val="0E465229"/>
    <w:rsid w:val="118B17C0"/>
    <w:rsid w:val="14A15C19"/>
    <w:rsid w:val="17EC378B"/>
    <w:rsid w:val="233DEE04"/>
    <w:rsid w:val="2EB771D0"/>
    <w:rsid w:val="2EE00777"/>
    <w:rsid w:val="347E0C7B"/>
    <w:rsid w:val="34F7633C"/>
    <w:rsid w:val="36F7EB32"/>
    <w:rsid w:val="37FB941B"/>
    <w:rsid w:val="38C0438B"/>
    <w:rsid w:val="4C3A530E"/>
    <w:rsid w:val="520D3BC4"/>
    <w:rsid w:val="5D704391"/>
    <w:rsid w:val="60AE53F2"/>
    <w:rsid w:val="60EE4022"/>
    <w:rsid w:val="636F4F70"/>
    <w:rsid w:val="64D3442A"/>
    <w:rsid w:val="65AD6236"/>
    <w:rsid w:val="699A3928"/>
    <w:rsid w:val="720E4873"/>
    <w:rsid w:val="77EF6C01"/>
    <w:rsid w:val="7D4635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5">
    <w:name w:val="heading 1"/>
    <w:basedOn w:val="1"/>
    <w:next w:val="1"/>
    <w:link w:val="42"/>
    <w:qFormat/>
    <w:uiPriority w:val="0"/>
    <w:pPr>
      <w:keepNext/>
      <w:keepLines/>
      <w:spacing w:before="340" w:after="330" w:line="576" w:lineRule="auto"/>
      <w:outlineLvl w:val="0"/>
    </w:pPr>
    <w:rPr>
      <w:b/>
      <w:bCs/>
      <w:kern w:val="44"/>
      <w:sz w:val="44"/>
      <w:szCs w:val="44"/>
      <w:lang w:val="zh-CN" w:eastAsia="zh-CN"/>
    </w:rPr>
  </w:style>
  <w:style w:type="paragraph" w:styleId="6">
    <w:name w:val="heading 2"/>
    <w:basedOn w:val="1"/>
    <w:next w:val="1"/>
    <w:link w:val="43"/>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7">
    <w:name w:val="heading 3"/>
    <w:basedOn w:val="1"/>
    <w:next w:val="1"/>
    <w:link w:val="44"/>
    <w:qFormat/>
    <w:uiPriority w:val="0"/>
    <w:pPr>
      <w:keepNext/>
      <w:keepLines/>
      <w:spacing w:before="260" w:after="260" w:line="416" w:lineRule="auto"/>
      <w:outlineLvl w:val="2"/>
    </w:pPr>
    <w:rPr>
      <w:b/>
      <w:bCs/>
      <w:sz w:val="32"/>
      <w:szCs w:val="32"/>
      <w:lang w:val="zh-CN" w:eastAsia="zh-CN"/>
    </w:rPr>
  </w:style>
  <w:style w:type="paragraph" w:styleId="8">
    <w:name w:val="heading 4"/>
    <w:basedOn w:val="1"/>
    <w:next w:val="1"/>
    <w:link w:val="46"/>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firstLine="420"/>
      <w:jc w:val="left"/>
    </w:pPr>
    <w:rPr>
      <w:rFonts w:ascii="Calibri" w:hAnsi="Calibri"/>
      <w:kern w:val="0"/>
      <w:sz w:val="22"/>
      <w:lang w:eastAsia="en-US"/>
    </w:rPr>
  </w:style>
  <w:style w:type="paragraph" w:styleId="3">
    <w:name w:val="Body Text Indent"/>
    <w:basedOn w:val="1"/>
    <w:next w:val="1"/>
    <w:link w:val="92"/>
    <w:qFormat/>
    <w:uiPriority w:val="0"/>
    <w:pPr>
      <w:spacing w:after="120"/>
      <w:ind w:left="420" w:leftChars="200"/>
    </w:pPr>
    <w:rPr>
      <w:lang w:val="zh-CN" w:eastAsia="zh-CN"/>
    </w:rPr>
  </w:style>
  <w:style w:type="paragraph" w:styleId="4">
    <w:name w:val="toc 2"/>
    <w:basedOn w:val="1"/>
    <w:next w:val="1"/>
    <w:unhideWhenUsed/>
    <w:qFormat/>
    <w:uiPriority w:val="0"/>
    <w:pPr>
      <w:ind w:left="420" w:leftChars="200"/>
    </w:pPr>
  </w:style>
  <w:style w:type="paragraph" w:styleId="9">
    <w:name w:val="toc 7"/>
    <w:basedOn w:val="1"/>
    <w:next w:val="1"/>
    <w:qFormat/>
    <w:uiPriority w:val="0"/>
    <w:pPr>
      <w:ind w:left="1440"/>
      <w:jc w:val="left"/>
    </w:pPr>
    <w:rPr>
      <w:sz w:val="18"/>
      <w:szCs w:val="18"/>
    </w:rPr>
  </w:style>
  <w:style w:type="paragraph" w:styleId="10">
    <w:name w:val="caption"/>
    <w:basedOn w:val="1"/>
    <w:next w:val="1"/>
    <w:qFormat/>
    <w:uiPriority w:val="0"/>
    <w:pPr>
      <w:spacing w:before="152" w:after="160"/>
    </w:pPr>
    <w:rPr>
      <w:rFonts w:ascii="Arial" w:hAnsi="Arial" w:eastAsia="黑体" w:cs="Arial"/>
      <w:sz w:val="20"/>
    </w:rPr>
  </w:style>
  <w:style w:type="paragraph" w:styleId="11">
    <w:name w:val="Document Map"/>
    <w:basedOn w:val="1"/>
    <w:link w:val="61"/>
    <w:qFormat/>
    <w:uiPriority w:val="0"/>
    <w:pPr>
      <w:shd w:val="clear" w:color="auto" w:fill="000080"/>
    </w:pPr>
    <w:rPr>
      <w:rFonts w:asciiTheme="minorHAnsi" w:hAnsiTheme="minorHAnsi" w:eastAsiaTheme="minorEastAsia" w:cstheme="minorBidi"/>
      <w:sz w:val="24"/>
      <w:szCs w:val="24"/>
    </w:rPr>
  </w:style>
  <w:style w:type="paragraph" w:styleId="12">
    <w:name w:val="toa heading"/>
    <w:basedOn w:val="1"/>
    <w:next w:val="1"/>
    <w:qFormat/>
    <w:uiPriority w:val="0"/>
    <w:pPr>
      <w:spacing w:before="120"/>
    </w:pPr>
    <w:rPr>
      <w:rFonts w:ascii="Arial" w:hAnsi="Arial" w:cs="Arial"/>
      <w:sz w:val="24"/>
      <w:szCs w:val="24"/>
    </w:rPr>
  </w:style>
  <w:style w:type="paragraph" w:styleId="13">
    <w:name w:val="annotation text"/>
    <w:basedOn w:val="1"/>
    <w:link w:val="49"/>
    <w:unhideWhenUsed/>
    <w:qFormat/>
    <w:uiPriority w:val="0"/>
    <w:pPr>
      <w:jc w:val="left"/>
    </w:pPr>
  </w:style>
  <w:style w:type="paragraph" w:styleId="14">
    <w:name w:val="Body Text"/>
    <w:basedOn w:val="1"/>
    <w:link w:val="100"/>
    <w:qFormat/>
    <w:uiPriority w:val="0"/>
    <w:rPr>
      <w:rFonts w:ascii="仿宋_GB2312" w:eastAsia="仿宋_GB2312"/>
      <w:sz w:val="32"/>
      <w:lang w:val="zh-CN" w:eastAsia="zh-CN"/>
    </w:rPr>
  </w:style>
  <w:style w:type="paragraph" w:styleId="15">
    <w:name w:val="index 4"/>
    <w:basedOn w:val="1"/>
    <w:next w:val="1"/>
    <w:qFormat/>
    <w:uiPriority w:val="0"/>
    <w:pPr>
      <w:ind w:left="600" w:leftChars="600"/>
    </w:pPr>
  </w:style>
  <w:style w:type="paragraph" w:styleId="16">
    <w:name w:val="toc 5"/>
    <w:basedOn w:val="1"/>
    <w:next w:val="1"/>
    <w:qFormat/>
    <w:uiPriority w:val="0"/>
    <w:pPr>
      <w:ind w:left="960"/>
      <w:jc w:val="left"/>
    </w:pPr>
    <w:rPr>
      <w:sz w:val="18"/>
      <w:szCs w:val="18"/>
    </w:rPr>
  </w:style>
  <w:style w:type="paragraph" w:styleId="17">
    <w:name w:val="toc 3"/>
    <w:basedOn w:val="1"/>
    <w:next w:val="1"/>
    <w:qFormat/>
    <w:uiPriority w:val="0"/>
    <w:pPr>
      <w:ind w:left="480"/>
      <w:jc w:val="left"/>
    </w:pPr>
    <w:rPr>
      <w:i/>
      <w:iCs/>
      <w:sz w:val="20"/>
    </w:rPr>
  </w:style>
  <w:style w:type="paragraph" w:styleId="18">
    <w:name w:val="Plain Text"/>
    <w:basedOn w:val="1"/>
    <w:link w:val="63"/>
    <w:qFormat/>
    <w:uiPriority w:val="0"/>
    <w:rPr>
      <w:rFonts w:ascii="宋体" w:hAnsi="Courier New" w:cstheme="minorBidi"/>
      <w:szCs w:val="22"/>
    </w:rPr>
  </w:style>
  <w:style w:type="paragraph" w:styleId="19">
    <w:name w:val="toc 8"/>
    <w:basedOn w:val="1"/>
    <w:next w:val="1"/>
    <w:qFormat/>
    <w:uiPriority w:val="0"/>
    <w:pPr>
      <w:ind w:left="1680"/>
      <w:jc w:val="left"/>
    </w:pPr>
    <w:rPr>
      <w:sz w:val="18"/>
      <w:szCs w:val="18"/>
    </w:rPr>
  </w:style>
  <w:style w:type="paragraph" w:styleId="20">
    <w:name w:val="Date"/>
    <w:basedOn w:val="1"/>
    <w:next w:val="1"/>
    <w:link w:val="68"/>
    <w:qFormat/>
    <w:uiPriority w:val="0"/>
    <w:pPr>
      <w:ind w:left="100" w:leftChars="2500"/>
    </w:pPr>
    <w:rPr>
      <w:rFonts w:asciiTheme="minorHAnsi" w:hAnsiTheme="minorHAnsi" w:eastAsiaTheme="minorEastAsia" w:cstheme="minorBidi"/>
      <w:sz w:val="24"/>
      <w:szCs w:val="24"/>
    </w:rPr>
  </w:style>
  <w:style w:type="paragraph" w:styleId="21">
    <w:name w:val="Body Text Indent 2"/>
    <w:basedOn w:val="1"/>
    <w:link w:val="54"/>
    <w:qFormat/>
    <w:uiPriority w:val="0"/>
    <w:pPr>
      <w:spacing w:after="120" w:line="480" w:lineRule="auto"/>
      <w:ind w:left="420" w:leftChars="200"/>
    </w:pPr>
    <w:rPr>
      <w:rFonts w:asciiTheme="minorHAnsi" w:hAnsiTheme="minorHAnsi" w:eastAsiaTheme="minorEastAsia" w:cstheme="minorBidi"/>
      <w:szCs w:val="22"/>
    </w:rPr>
  </w:style>
  <w:style w:type="paragraph" w:styleId="22">
    <w:name w:val="Balloon Text"/>
    <w:basedOn w:val="1"/>
    <w:link w:val="71"/>
    <w:qFormat/>
    <w:uiPriority w:val="0"/>
    <w:rPr>
      <w:rFonts w:asciiTheme="minorHAnsi" w:hAnsiTheme="minorHAnsi" w:eastAsiaTheme="minorEastAsia" w:cstheme="minorBidi"/>
      <w:sz w:val="18"/>
      <w:szCs w:val="18"/>
    </w:rPr>
  </w:style>
  <w:style w:type="paragraph" w:styleId="23">
    <w:name w:val="footer"/>
    <w:basedOn w:val="1"/>
    <w:link w:val="57"/>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4">
    <w:name w:val="header"/>
    <w:basedOn w:val="1"/>
    <w:link w:val="65"/>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5">
    <w:name w:val="toc 1"/>
    <w:basedOn w:val="1"/>
    <w:next w:val="1"/>
    <w:qFormat/>
    <w:uiPriority w:val="0"/>
    <w:pPr>
      <w:spacing w:line="360" w:lineRule="auto"/>
      <w:jc w:val="left"/>
    </w:pPr>
    <w:rPr>
      <w:rFonts w:ascii="宋体" w:hAnsi="宋体"/>
      <w:b/>
      <w:caps/>
      <w:color w:val="FF0000"/>
      <w:szCs w:val="21"/>
    </w:rPr>
  </w:style>
  <w:style w:type="paragraph" w:styleId="26">
    <w:name w:val="toc 4"/>
    <w:basedOn w:val="1"/>
    <w:next w:val="1"/>
    <w:qFormat/>
    <w:uiPriority w:val="0"/>
    <w:pPr>
      <w:ind w:left="720"/>
      <w:jc w:val="left"/>
    </w:pPr>
    <w:rPr>
      <w:sz w:val="18"/>
      <w:szCs w:val="18"/>
    </w:rPr>
  </w:style>
  <w:style w:type="paragraph" w:styleId="27">
    <w:name w:val="List"/>
    <w:basedOn w:val="1"/>
    <w:qFormat/>
    <w:uiPriority w:val="0"/>
    <w:pPr>
      <w:ind w:left="420" w:hanging="420"/>
    </w:pPr>
  </w:style>
  <w:style w:type="paragraph" w:styleId="28">
    <w:name w:val="toc 6"/>
    <w:basedOn w:val="1"/>
    <w:next w:val="1"/>
    <w:qFormat/>
    <w:uiPriority w:val="0"/>
    <w:pPr>
      <w:ind w:left="1200"/>
      <w:jc w:val="left"/>
    </w:pPr>
    <w:rPr>
      <w:sz w:val="18"/>
      <w:szCs w:val="18"/>
    </w:rPr>
  </w:style>
  <w:style w:type="paragraph" w:styleId="29">
    <w:name w:val="Body Text Indent 3"/>
    <w:basedOn w:val="1"/>
    <w:link w:val="52"/>
    <w:qFormat/>
    <w:uiPriority w:val="0"/>
    <w:pPr>
      <w:spacing w:after="120"/>
      <w:ind w:left="420" w:leftChars="200"/>
    </w:pPr>
    <w:rPr>
      <w:rFonts w:asciiTheme="minorHAnsi" w:hAnsiTheme="minorHAnsi" w:eastAsiaTheme="minorEastAsia" w:cstheme="minorBidi"/>
      <w:sz w:val="16"/>
      <w:szCs w:val="16"/>
    </w:rPr>
  </w:style>
  <w:style w:type="paragraph" w:styleId="30">
    <w:name w:val="toc 9"/>
    <w:basedOn w:val="1"/>
    <w:next w:val="1"/>
    <w:qFormat/>
    <w:uiPriority w:val="0"/>
    <w:pPr>
      <w:ind w:left="1920"/>
      <w:jc w:val="left"/>
    </w:pPr>
    <w:rPr>
      <w:sz w:val="18"/>
      <w:szCs w:val="18"/>
    </w:rPr>
  </w:style>
  <w:style w:type="paragraph" w:styleId="31">
    <w:name w:val="index 1"/>
    <w:basedOn w:val="1"/>
    <w:next w:val="1"/>
    <w:qFormat/>
    <w:uiPriority w:val="0"/>
    <w:rPr>
      <w:sz w:val="24"/>
      <w:szCs w:val="24"/>
    </w:rPr>
  </w:style>
  <w:style w:type="paragraph" w:styleId="32">
    <w:name w:val="Title"/>
    <w:basedOn w:val="1"/>
    <w:next w:val="1"/>
    <w:link w:val="73"/>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3">
    <w:name w:val="annotation subject"/>
    <w:basedOn w:val="13"/>
    <w:next w:val="13"/>
    <w:link w:val="48"/>
    <w:qFormat/>
    <w:uiPriority w:val="0"/>
    <w:rPr>
      <w:rFonts w:asciiTheme="minorHAnsi" w:hAnsiTheme="minorHAnsi" w:eastAsiaTheme="minorEastAsia" w:cstheme="minorBidi"/>
      <w:b/>
      <w:bCs/>
      <w:szCs w:val="22"/>
    </w:rPr>
  </w:style>
  <w:style w:type="table" w:styleId="35">
    <w:name w:val="Table Grid"/>
    <w:basedOn w:val="34"/>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rPr>
  </w:style>
  <w:style w:type="character" w:styleId="38">
    <w:name w:val="page number"/>
    <w:basedOn w:val="36"/>
    <w:qFormat/>
    <w:uiPriority w:val="0"/>
  </w:style>
  <w:style w:type="character" w:styleId="39">
    <w:name w:val="FollowedHyperlink"/>
    <w:qFormat/>
    <w:uiPriority w:val="99"/>
    <w:rPr>
      <w:color w:val="800080"/>
      <w:u w:val="single"/>
    </w:rPr>
  </w:style>
  <w:style w:type="character" w:styleId="40">
    <w:name w:val="Hyperlink"/>
    <w:basedOn w:val="36"/>
    <w:qFormat/>
    <w:uiPriority w:val="0"/>
    <w:rPr>
      <w:rFonts w:cs="Times New Roman"/>
      <w:color w:val="1F4F88"/>
      <w:u w:val="none"/>
    </w:rPr>
  </w:style>
  <w:style w:type="character" w:styleId="41">
    <w:name w:val="annotation reference"/>
    <w:qFormat/>
    <w:uiPriority w:val="0"/>
    <w:rPr>
      <w:sz w:val="21"/>
      <w:szCs w:val="21"/>
    </w:rPr>
  </w:style>
  <w:style w:type="character" w:customStyle="1" w:styleId="42">
    <w:name w:val="标题 1 字符"/>
    <w:basedOn w:val="36"/>
    <w:link w:val="5"/>
    <w:qFormat/>
    <w:uiPriority w:val="0"/>
    <w:rPr>
      <w:rFonts w:ascii="Times New Roman" w:hAnsi="Times New Roman" w:eastAsia="宋体" w:cs="Times New Roman"/>
      <w:b/>
      <w:bCs/>
      <w:kern w:val="44"/>
      <w:sz w:val="44"/>
      <w:szCs w:val="44"/>
      <w:lang w:val="zh-CN" w:eastAsia="zh-CN"/>
    </w:rPr>
  </w:style>
  <w:style w:type="character" w:customStyle="1" w:styleId="43">
    <w:name w:val="标题 2 字符"/>
    <w:basedOn w:val="36"/>
    <w:link w:val="6"/>
    <w:qFormat/>
    <w:uiPriority w:val="0"/>
    <w:rPr>
      <w:rFonts w:ascii="Arial" w:hAnsi="Arial" w:eastAsia="黑体" w:cs="Times New Roman"/>
      <w:b/>
      <w:bCs/>
      <w:sz w:val="32"/>
      <w:szCs w:val="32"/>
      <w:lang w:val="zh-CN" w:eastAsia="zh-CN"/>
    </w:rPr>
  </w:style>
  <w:style w:type="character" w:customStyle="1" w:styleId="44">
    <w:name w:val="标题 3 字符"/>
    <w:basedOn w:val="36"/>
    <w:link w:val="7"/>
    <w:qFormat/>
    <w:uiPriority w:val="0"/>
    <w:rPr>
      <w:rFonts w:ascii="Times New Roman" w:hAnsi="Times New Roman" w:eastAsia="宋体" w:cs="Times New Roman"/>
      <w:b/>
      <w:bCs/>
      <w:sz w:val="32"/>
      <w:szCs w:val="32"/>
      <w:lang w:val="zh-CN" w:eastAsia="zh-CN"/>
    </w:rPr>
  </w:style>
  <w:style w:type="character" w:customStyle="1" w:styleId="45">
    <w:name w:val="标题 4 字符"/>
    <w:basedOn w:val="36"/>
    <w:semiHidden/>
    <w:qFormat/>
    <w:uiPriority w:val="9"/>
    <w:rPr>
      <w:rFonts w:asciiTheme="majorHAnsi" w:hAnsiTheme="majorHAnsi" w:eastAsiaTheme="majorEastAsia" w:cstheme="majorBidi"/>
      <w:b/>
      <w:bCs/>
      <w:sz w:val="28"/>
      <w:szCs w:val="28"/>
    </w:rPr>
  </w:style>
  <w:style w:type="character" w:customStyle="1" w:styleId="46">
    <w:name w:val="标题 4 字符1"/>
    <w:link w:val="8"/>
    <w:semiHidden/>
    <w:qFormat/>
    <w:uiPriority w:val="0"/>
    <w:rPr>
      <w:rFonts w:ascii="Cambria" w:hAnsi="Cambria" w:eastAsia="宋体" w:cs="Times New Roman"/>
      <w:b/>
      <w:bCs/>
      <w:sz w:val="28"/>
      <w:szCs w:val="28"/>
      <w:lang w:val="zh-CN" w:eastAsia="zh-CN"/>
    </w:rPr>
  </w:style>
  <w:style w:type="character" w:customStyle="1" w:styleId="47">
    <w:name w:val="纯文本 Char"/>
    <w:qFormat/>
    <w:uiPriority w:val="0"/>
    <w:rPr>
      <w:rFonts w:ascii="宋体" w:hAnsi="Courier New" w:eastAsia="宋体"/>
      <w:kern w:val="2"/>
      <w:sz w:val="21"/>
      <w:lang w:val="en-US" w:eastAsia="zh-CN" w:bidi="ar-SA"/>
    </w:rPr>
  </w:style>
  <w:style w:type="character" w:customStyle="1" w:styleId="48">
    <w:name w:val="批注主题 字符"/>
    <w:link w:val="33"/>
    <w:qFormat/>
    <w:uiPriority w:val="0"/>
    <w:rPr>
      <w:b/>
      <w:bCs/>
    </w:rPr>
  </w:style>
  <w:style w:type="character" w:customStyle="1" w:styleId="49">
    <w:name w:val="批注文字 字符"/>
    <w:basedOn w:val="36"/>
    <w:link w:val="13"/>
    <w:qFormat/>
    <w:uiPriority w:val="0"/>
    <w:rPr>
      <w:rFonts w:ascii="Times New Roman" w:hAnsi="Times New Roman" w:eastAsia="宋体" w:cs="Times New Roman"/>
      <w:szCs w:val="20"/>
    </w:rPr>
  </w:style>
  <w:style w:type="character" w:customStyle="1" w:styleId="50">
    <w:name w:val="批注主题 字符1"/>
    <w:basedOn w:val="49"/>
    <w:semiHidden/>
    <w:qFormat/>
    <w:uiPriority w:val="99"/>
    <w:rPr>
      <w:rFonts w:ascii="Times New Roman" w:hAnsi="Times New Roman" w:eastAsia="宋体" w:cs="Times New Roman"/>
      <w:b/>
      <w:bCs/>
      <w:szCs w:val="20"/>
    </w:rPr>
  </w:style>
  <w:style w:type="character" w:customStyle="1" w:styleId="51">
    <w:name w:val="批注文字 字符1"/>
    <w:qFormat/>
    <w:uiPriority w:val="0"/>
    <w:rPr>
      <w:kern w:val="2"/>
      <w:sz w:val="21"/>
    </w:rPr>
  </w:style>
  <w:style w:type="character" w:customStyle="1" w:styleId="52">
    <w:name w:val="正文文本缩进 3 字符"/>
    <w:link w:val="29"/>
    <w:qFormat/>
    <w:uiPriority w:val="0"/>
    <w:rPr>
      <w:sz w:val="16"/>
      <w:szCs w:val="16"/>
    </w:rPr>
  </w:style>
  <w:style w:type="character" w:customStyle="1" w:styleId="53">
    <w:name w:val="正文文本缩进 3 字符1"/>
    <w:basedOn w:val="36"/>
    <w:semiHidden/>
    <w:qFormat/>
    <w:uiPriority w:val="99"/>
    <w:rPr>
      <w:rFonts w:ascii="Times New Roman" w:hAnsi="Times New Roman" w:eastAsia="宋体" w:cs="Times New Roman"/>
      <w:sz w:val="16"/>
      <w:szCs w:val="16"/>
    </w:rPr>
  </w:style>
  <w:style w:type="character" w:customStyle="1" w:styleId="54">
    <w:name w:val="正文文本缩进 2 字符"/>
    <w:link w:val="21"/>
    <w:qFormat/>
    <w:uiPriority w:val="0"/>
  </w:style>
  <w:style w:type="character" w:customStyle="1" w:styleId="55">
    <w:name w:val="正文文本缩进 2 字符1"/>
    <w:basedOn w:val="36"/>
    <w:semiHidden/>
    <w:qFormat/>
    <w:uiPriority w:val="99"/>
    <w:rPr>
      <w:rFonts w:ascii="Times New Roman" w:hAnsi="Times New Roman" w:eastAsia="宋体" w:cs="Times New Roman"/>
      <w:szCs w:val="20"/>
    </w:rPr>
  </w:style>
  <w:style w:type="character" w:customStyle="1" w:styleId="56">
    <w:name w:val="Char Char3"/>
    <w:qFormat/>
    <w:uiPriority w:val="0"/>
    <w:rPr>
      <w:rFonts w:ascii="宋体" w:hAnsi="Courier New" w:eastAsia="宋体"/>
      <w:kern w:val="2"/>
      <w:sz w:val="21"/>
      <w:lang w:val="en-US" w:eastAsia="zh-CN" w:bidi="ar-SA"/>
    </w:rPr>
  </w:style>
  <w:style w:type="character" w:customStyle="1" w:styleId="57">
    <w:name w:val="页脚 字符"/>
    <w:link w:val="23"/>
    <w:qFormat/>
    <w:uiPriority w:val="0"/>
    <w:rPr>
      <w:sz w:val="18"/>
      <w:szCs w:val="18"/>
    </w:rPr>
  </w:style>
  <w:style w:type="character" w:customStyle="1" w:styleId="58">
    <w:name w:val="页脚 字符1"/>
    <w:basedOn w:val="36"/>
    <w:semiHidden/>
    <w:qFormat/>
    <w:uiPriority w:val="99"/>
    <w:rPr>
      <w:rFonts w:ascii="Times New Roman" w:hAnsi="Times New Roman" w:eastAsia="宋体" w:cs="Times New Roman"/>
      <w:sz w:val="18"/>
      <w:szCs w:val="18"/>
    </w:rPr>
  </w:style>
  <w:style w:type="character" w:customStyle="1" w:styleId="59">
    <w:name w:val="标书一级标题 字符"/>
    <w:link w:val="60"/>
    <w:qFormat/>
    <w:uiPriority w:val="0"/>
    <w:rPr>
      <w:rFonts w:eastAsia="黑体"/>
      <w:bCs/>
      <w:color w:val="000000"/>
      <w:kern w:val="44"/>
      <w:sz w:val="30"/>
      <w:szCs w:val="24"/>
    </w:rPr>
  </w:style>
  <w:style w:type="paragraph" w:customStyle="1" w:styleId="60">
    <w:name w:val="标书一级标题"/>
    <w:basedOn w:val="5"/>
    <w:link w:val="59"/>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1">
    <w:name w:val="文档结构图 字符"/>
    <w:link w:val="11"/>
    <w:qFormat/>
    <w:uiPriority w:val="0"/>
    <w:rPr>
      <w:sz w:val="24"/>
      <w:szCs w:val="24"/>
      <w:shd w:val="clear" w:color="auto" w:fill="000080"/>
    </w:rPr>
  </w:style>
  <w:style w:type="character" w:customStyle="1" w:styleId="62">
    <w:name w:val="文档结构图 字符1"/>
    <w:basedOn w:val="36"/>
    <w:semiHidden/>
    <w:qFormat/>
    <w:uiPriority w:val="99"/>
    <w:rPr>
      <w:rFonts w:ascii="Microsoft YaHei UI" w:hAnsi="Times New Roman" w:eastAsia="Microsoft YaHei UI" w:cs="Times New Roman"/>
      <w:sz w:val="18"/>
      <w:szCs w:val="18"/>
    </w:rPr>
  </w:style>
  <w:style w:type="character" w:customStyle="1" w:styleId="63">
    <w:name w:val="纯文本 字符1"/>
    <w:link w:val="18"/>
    <w:qFormat/>
    <w:uiPriority w:val="0"/>
    <w:rPr>
      <w:rFonts w:ascii="宋体" w:hAnsi="Courier New" w:eastAsia="宋体"/>
    </w:rPr>
  </w:style>
  <w:style w:type="character" w:customStyle="1" w:styleId="64">
    <w:name w:val="纯文本 字符"/>
    <w:basedOn w:val="36"/>
    <w:qFormat/>
    <w:uiPriority w:val="0"/>
    <w:rPr>
      <w:rFonts w:hAnsi="Courier New" w:cs="Courier New" w:asciiTheme="minorEastAsia"/>
      <w:szCs w:val="20"/>
    </w:rPr>
  </w:style>
  <w:style w:type="character" w:customStyle="1" w:styleId="65">
    <w:name w:val="页眉 字符"/>
    <w:link w:val="24"/>
    <w:qFormat/>
    <w:uiPriority w:val="0"/>
    <w:rPr>
      <w:rFonts w:eastAsia="宋体"/>
      <w:sz w:val="18"/>
      <w:szCs w:val="18"/>
    </w:rPr>
  </w:style>
  <w:style w:type="character" w:customStyle="1" w:styleId="66">
    <w:name w:val="页眉 字符1"/>
    <w:basedOn w:val="36"/>
    <w:semiHidden/>
    <w:qFormat/>
    <w:uiPriority w:val="99"/>
    <w:rPr>
      <w:rFonts w:ascii="Times New Roman" w:hAnsi="Times New Roman" w:eastAsia="宋体" w:cs="Times New Roman"/>
      <w:sz w:val="18"/>
      <w:szCs w:val="18"/>
    </w:rPr>
  </w:style>
  <w:style w:type="character" w:customStyle="1" w:styleId="67">
    <w:name w:val="apple-converted-space"/>
    <w:basedOn w:val="36"/>
    <w:qFormat/>
    <w:uiPriority w:val="0"/>
  </w:style>
  <w:style w:type="character" w:customStyle="1" w:styleId="68">
    <w:name w:val="日期 字符"/>
    <w:link w:val="20"/>
    <w:qFormat/>
    <w:uiPriority w:val="0"/>
    <w:rPr>
      <w:sz w:val="24"/>
      <w:szCs w:val="24"/>
    </w:rPr>
  </w:style>
  <w:style w:type="character" w:customStyle="1" w:styleId="69">
    <w:name w:val="日期 字符1"/>
    <w:basedOn w:val="36"/>
    <w:semiHidden/>
    <w:qFormat/>
    <w:uiPriority w:val="99"/>
    <w:rPr>
      <w:rFonts w:ascii="Times New Roman" w:hAnsi="Times New Roman" w:eastAsia="宋体" w:cs="Times New Roman"/>
      <w:szCs w:val="20"/>
    </w:rPr>
  </w:style>
  <w:style w:type="character" w:customStyle="1" w:styleId="70">
    <w:name w:val="Char Char2"/>
    <w:qFormat/>
    <w:uiPriority w:val="0"/>
    <w:rPr>
      <w:rFonts w:ascii="宋体" w:hAnsi="Courier New" w:cs="宋体"/>
      <w:kern w:val="2"/>
      <w:sz w:val="21"/>
      <w:szCs w:val="21"/>
    </w:rPr>
  </w:style>
  <w:style w:type="character" w:customStyle="1" w:styleId="71">
    <w:name w:val="批注框文本 字符"/>
    <w:link w:val="22"/>
    <w:qFormat/>
    <w:uiPriority w:val="0"/>
    <w:rPr>
      <w:sz w:val="18"/>
      <w:szCs w:val="18"/>
    </w:rPr>
  </w:style>
  <w:style w:type="character" w:customStyle="1" w:styleId="72">
    <w:name w:val="批注框文本 字符1"/>
    <w:basedOn w:val="36"/>
    <w:semiHidden/>
    <w:qFormat/>
    <w:uiPriority w:val="99"/>
    <w:rPr>
      <w:rFonts w:ascii="Times New Roman" w:hAnsi="Times New Roman" w:eastAsia="宋体" w:cs="Times New Roman"/>
      <w:sz w:val="18"/>
      <w:szCs w:val="18"/>
    </w:rPr>
  </w:style>
  <w:style w:type="character" w:customStyle="1" w:styleId="73">
    <w:name w:val="标题 字符"/>
    <w:link w:val="32"/>
    <w:qFormat/>
    <w:uiPriority w:val="0"/>
    <w:rPr>
      <w:rFonts w:ascii="Arial" w:hAnsi="Arial" w:cs="Arial"/>
      <w:b/>
      <w:bCs/>
      <w:sz w:val="32"/>
      <w:szCs w:val="32"/>
    </w:rPr>
  </w:style>
  <w:style w:type="character" w:customStyle="1" w:styleId="74">
    <w:name w:val="标题 字符1"/>
    <w:basedOn w:val="36"/>
    <w:qFormat/>
    <w:uiPriority w:val="10"/>
    <w:rPr>
      <w:rFonts w:asciiTheme="majorHAnsi" w:hAnsiTheme="majorHAnsi" w:eastAsiaTheme="majorEastAsia" w:cstheme="majorBidi"/>
      <w:b/>
      <w:bCs/>
      <w:sz w:val="32"/>
      <w:szCs w:val="32"/>
    </w:rPr>
  </w:style>
  <w:style w:type="character" w:customStyle="1" w:styleId="75">
    <w:name w:val="BODY TEXT Char"/>
    <w:link w:val="76"/>
    <w:qFormat/>
    <w:uiPriority w:val="0"/>
    <w:rPr>
      <w:rFonts w:eastAsia="新宋体"/>
      <w:szCs w:val="21"/>
    </w:rPr>
  </w:style>
  <w:style w:type="paragraph" w:customStyle="1" w:styleId="76">
    <w:name w:val="正文文本1"/>
    <w:basedOn w:val="1"/>
    <w:link w:val="75"/>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7">
    <w:name w:val="HTML Markup"/>
    <w:qFormat/>
    <w:uiPriority w:val="0"/>
    <w:rPr>
      <w:vanish/>
      <w:color w:val="FF0000"/>
    </w:rPr>
  </w:style>
  <w:style w:type="character" w:customStyle="1" w:styleId="78">
    <w:name w:val="Char Char5"/>
    <w:qFormat/>
    <w:uiPriority w:val="0"/>
    <w:rPr>
      <w:rFonts w:ascii="宋体" w:hAnsi="Courier New" w:eastAsia="宋体"/>
      <w:kern w:val="2"/>
      <w:sz w:val="21"/>
      <w:lang w:val="en-US" w:eastAsia="zh-CN" w:bidi="ar-SA"/>
    </w:rPr>
  </w:style>
  <w:style w:type="character" w:customStyle="1" w:styleId="79">
    <w:name w:val="标书正文格式 字符"/>
    <w:link w:val="80"/>
    <w:qFormat/>
    <w:uiPriority w:val="0"/>
    <w:rPr>
      <w:rFonts w:ascii="宋体" w:hAnsi="宋体"/>
      <w:color w:val="000000"/>
      <w:sz w:val="24"/>
      <w:szCs w:val="24"/>
    </w:rPr>
  </w:style>
  <w:style w:type="paragraph" w:customStyle="1" w:styleId="80">
    <w:name w:val="标书正文格式"/>
    <w:basedOn w:val="18"/>
    <w:link w:val="79"/>
    <w:qFormat/>
    <w:uiPriority w:val="0"/>
    <w:pPr>
      <w:spacing w:line="360" w:lineRule="auto"/>
      <w:ind w:firstLine="200" w:firstLineChars="200"/>
    </w:pPr>
    <w:rPr>
      <w:rFonts w:hAnsi="宋体" w:eastAsiaTheme="minorEastAsia"/>
      <w:color w:val="000000"/>
      <w:sz w:val="24"/>
      <w:szCs w:val="24"/>
    </w:rPr>
  </w:style>
  <w:style w:type="character" w:customStyle="1" w:styleId="81">
    <w:name w:val="标书二级标题 字符"/>
    <w:link w:val="82"/>
    <w:qFormat/>
    <w:uiPriority w:val="0"/>
    <w:rPr>
      <w:rFonts w:ascii="宋体" w:hAnsi="宋体" w:eastAsia="黑体"/>
      <w:bCs/>
      <w:sz w:val="28"/>
      <w:szCs w:val="30"/>
    </w:rPr>
  </w:style>
  <w:style w:type="paragraph" w:customStyle="1" w:styleId="82">
    <w:name w:val="标书二级标题"/>
    <w:basedOn w:val="6"/>
    <w:link w:val="81"/>
    <w:qFormat/>
    <w:uiPriority w:val="0"/>
    <w:pPr>
      <w:spacing w:before="0" w:after="0" w:line="240" w:lineRule="auto"/>
      <w:jc w:val="left"/>
    </w:pPr>
    <w:rPr>
      <w:rFonts w:ascii="宋体" w:hAnsi="宋体" w:cstheme="minorBidi"/>
      <w:b w:val="0"/>
      <w:sz w:val="28"/>
      <w:szCs w:val="30"/>
      <w:lang w:val="en-US" w:eastAsia="zh-CN"/>
    </w:rPr>
  </w:style>
  <w:style w:type="character" w:customStyle="1" w:styleId="83">
    <w:name w:val="标书表格 字符"/>
    <w:link w:val="84"/>
    <w:qFormat/>
    <w:uiPriority w:val="0"/>
    <w:rPr>
      <w:b/>
    </w:rPr>
  </w:style>
  <w:style w:type="paragraph" w:customStyle="1" w:styleId="84">
    <w:name w:val="标书表格"/>
    <w:basedOn w:val="1"/>
    <w:link w:val="83"/>
    <w:qFormat/>
    <w:uiPriority w:val="0"/>
    <w:pPr>
      <w:jc w:val="center"/>
    </w:pPr>
    <w:rPr>
      <w:rFonts w:asciiTheme="minorHAnsi" w:hAnsiTheme="minorHAnsi" w:eastAsiaTheme="minorEastAsia" w:cstheme="minorBidi"/>
      <w:b/>
      <w:szCs w:val="22"/>
    </w:rPr>
  </w:style>
  <w:style w:type="character" w:customStyle="1" w:styleId="85">
    <w:name w:val="标书三级标题 字符"/>
    <w:link w:val="86"/>
    <w:qFormat/>
    <w:uiPriority w:val="0"/>
    <w:rPr>
      <w:b/>
      <w:bCs/>
      <w:color w:val="000000"/>
      <w:sz w:val="24"/>
      <w:szCs w:val="24"/>
    </w:rPr>
  </w:style>
  <w:style w:type="paragraph" w:customStyle="1" w:styleId="86">
    <w:name w:val="标书三级标题"/>
    <w:basedOn w:val="7"/>
    <w:next w:val="80"/>
    <w:link w:val="8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7">
    <w:name w:val="标正文 字符"/>
    <w:link w:val="88"/>
    <w:qFormat/>
    <w:uiPriority w:val="0"/>
    <w:rPr>
      <w:rFonts w:ascii="宋体" w:hAnsi="宋体"/>
      <w:color w:val="000000"/>
      <w:sz w:val="24"/>
      <w:szCs w:val="24"/>
    </w:rPr>
  </w:style>
  <w:style w:type="paragraph" w:customStyle="1" w:styleId="88">
    <w:name w:val="标正文"/>
    <w:basedOn w:val="80"/>
    <w:link w:val="87"/>
    <w:qFormat/>
    <w:uiPriority w:val="0"/>
  </w:style>
  <w:style w:type="character" w:customStyle="1" w:styleId="89">
    <w:name w:val="标三级标题 字符"/>
    <w:link w:val="90"/>
    <w:qFormat/>
    <w:uiPriority w:val="0"/>
    <w:rPr>
      <w:b/>
      <w:bCs/>
      <w:color w:val="000000"/>
      <w:sz w:val="24"/>
      <w:szCs w:val="24"/>
    </w:rPr>
  </w:style>
  <w:style w:type="paragraph" w:customStyle="1" w:styleId="90">
    <w:name w:val="标三级标题"/>
    <w:basedOn w:val="86"/>
    <w:link w:val="89"/>
    <w:qFormat/>
    <w:uiPriority w:val="0"/>
  </w:style>
  <w:style w:type="character" w:customStyle="1" w:styleId="91">
    <w:name w:val="正文文本缩进 字符"/>
    <w:basedOn w:val="36"/>
    <w:semiHidden/>
    <w:qFormat/>
    <w:uiPriority w:val="99"/>
    <w:rPr>
      <w:rFonts w:ascii="Times New Roman" w:hAnsi="Times New Roman" w:eastAsia="宋体" w:cs="Times New Roman"/>
      <w:szCs w:val="20"/>
    </w:rPr>
  </w:style>
  <w:style w:type="character" w:customStyle="1" w:styleId="92">
    <w:name w:val="正文文本缩进 字符1"/>
    <w:link w:val="3"/>
    <w:qFormat/>
    <w:uiPriority w:val="0"/>
    <w:rPr>
      <w:rFonts w:ascii="Times New Roman" w:hAnsi="Times New Roman" w:eastAsia="宋体" w:cs="Times New Roman"/>
      <w:szCs w:val="20"/>
      <w:lang w:val="zh-CN" w:eastAsia="zh-CN"/>
    </w:rPr>
  </w:style>
  <w:style w:type="paragraph" w:customStyle="1" w:styleId="9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5">
    <w:name w:val="列表段落1"/>
    <w:basedOn w:val="1"/>
    <w:qFormat/>
    <w:uiPriority w:val="0"/>
    <w:pPr>
      <w:ind w:firstLine="420" w:firstLineChars="200"/>
    </w:pPr>
    <w:rPr>
      <w:rFonts w:ascii="Calibri" w:hAnsi="Calibri"/>
      <w:szCs w:val="22"/>
    </w:rPr>
  </w:style>
  <w:style w:type="paragraph" w:styleId="96">
    <w:name w:val="List Paragraph"/>
    <w:basedOn w:val="1"/>
    <w:qFormat/>
    <w:uiPriority w:val="34"/>
    <w:pPr>
      <w:ind w:firstLine="420" w:firstLineChars="200"/>
    </w:pPr>
    <w:rPr>
      <w:rFonts w:ascii="Calibri" w:hAnsi="Calibri"/>
      <w:szCs w:val="22"/>
    </w:rPr>
  </w:style>
  <w:style w:type="paragraph" w:customStyle="1" w:styleId="9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8">
    <w:name w:val="1列"/>
    <w:basedOn w:val="1"/>
    <w:qFormat/>
    <w:uiPriority w:val="0"/>
    <w:pPr>
      <w:spacing w:line="360" w:lineRule="auto"/>
      <w:ind w:left="401" w:hanging="401" w:hangingChars="191"/>
    </w:pPr>
    <w:rPr>
      <w:szCs w:val="24"/>
    </w:rPr>
  </w:style>
  <w:style w:type="character" w:customStyle="1" w:styleId="99">
    <w:name w:val="正文文本 字符"/>
    <w:basedOn w:val="36"/>
    <w:semiHidden/>
    <w:qFormat/>
    <w:uiPriority w:val="99"/>
    <w:rPr>
      <w:rFonts w:ascii="Times New Roman" w:hAnsi="Times New Roman" w:eastAsia="宋体" w:cs="Times New Roman"/>
      <w:szCs w:val="20"/>
    </w:rPr>
  </w:style>
  <w:style w:type="character" w:customStyle="1" w:styleId="100">
    <w:name w:val="正文文本 字符1"/>
    <w:link w:val="14"/>
    <w:qFormat/>
    <w:uiPriority w:val="0"/>
    <w:rPr>
      <w:rFonts w:ascii="仿宋_GB2312" w:hAnsi="Times New Roman" w:eastAsia="仿宋_GB2312" w:cs="Times New Roman"/>
      <w:sz w:val="32"/>
      <w:szCs w:val="20"/>
      <w:lang w:val="zh-CN" w:eastAsia="zh-CN"/>
    </w:rPr>
  </w:style>
  <w:style w:type="paragraph" w:customStyle="1" w:styleId="101">
    <w:name w:val="Char Char Char Char Char Char Char"/>
    <w:basedOn w:val="1"/>
    <w:qFormat/>
    <w:uiPriority w:val="0"/>
    <w:rPr>
      <w:rFonts w:ascii="Verdana" w:hAnsi="Verdana"/>
      <w:kern w:val="0"/>
      <w:sz w:val="20"/>
      <w:lang w:eastAsia="en-US"/>
    </w:rPr>
  </w:style>
  <w:style w:type="paragraph" w:customStyle="1" w:styleId="102">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5">
    <w:name w:val="二级列表 Char"/>
    <w:basedOn w:val="1"/>
    <w:qFormat/>
    <w:uiPriority w:val="0"/>
    <w:rPr>
      <w:rFonts w:ascii="Calibri" w:hAnsi="Calibri"/>
    </w:rPr>
  </w:style>
  <w:style w:type="paragraph" w:customStyle="1" w:styleId="106">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7">
    <w:name w:val="纯文本 Char2"/>
    <w:qFormat/>
    <w:uiPriority w:val="0"/>
    <w:rPr>
      <w:rFonts w:ascii="宋体" w:hAnsi="Courier New" w:eastAsia="宋体"/>
      <w:kern w:val="2"/>
      <w:sz w:val="21"/>
      <w:lang w:val="en-US" w:eastAsia="zh-CN" w:bidi="ar-SA"/>
    </w:rPr>
  </w:style>
  <w:style w:type="character" w:customStyle="1" w:styleId="108">
    <w:name w:val="HR正文 Char1"/>
    <w:link w:val="109"/>
    <w:qFormat/>
    <w:uiPriority w:val="0"/>
    <w:rPr>
      <w:sz w:val="24"/>
      <w:szCs w:val="24"/>
    </w:rPr>
  </w:style>
  <w:style w:type="paragraph" w:customStyle="1" w:styleId="109">
    <w:name w:val="HR正文"/>
    <w:basedOn w:val="1"/>
    <w:link w:val="108"/>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0">
    <w:name w:val="纯文本 Char1"/>
    <w:qFormat/>
    <w:uiPriority w:val="0"/>
    <w:rPr>
      <w:rFonts w:ascii="宋体" w:hAnsi="Courier New"/>
      <w:kern w:val="2"/>
      <w:sz w:val="21"/>
    </w:rPr>
  </w:style>
  <w:style w:type="paragraph" w:customStyle="1" w:styleId="111">
    <w:name w:val="标题4"/>
    <w:basedOn w:val="8"/>
    <w:qFormat/>
    <w:uiPriority w:val="0"/>
    <w:pPr>
      <w:keepLines w:val="0"/>
      <w:spacing w:before="240" w:after="60" w:line="240" w:lineRule="auto"/>
    </w:pPr>
    <w:rPr>
      <w:rFonts w:ascii="Times New Roman" w:hAnsi="Times New Roman"/>
    </w:rPr>
  </w:style>
  <w:style w:type="character" w:customStyle="1" w:styleId="112">
    <w:name w:val="页脚 Char1"/>
    <w:qFormat/>
    <w:uiPriority w:val="0"/>
    <w:rPr>
      <w:rFonts w:hint="default" w:ascii="Times New Roman" w:hAnsi="Times New Roman" w:eastAsia="宋体" w:cs="Times New Roman"/>
      <w:sz w:val="18"/>
      <w:szCs w:val="18"/>
    </w:rPr>
  </w:style>
  <w:style w:type="character" w:customStyle="1" w:styleId="113">
    <w:name w:val="页眉 Char1"/>
    <w:qFormat/>
    <w:uiPriority w:val="0"/>
    <w:rPr>
      <w:rFonts w:hint="default" w:ascii="Times New Roman" w:hAnsi="Times New Roman" w:eastAsia="宋体" w:cs="Times New Roman"/>
      <w:sz w:val="18"/>
      <w:szCs w:val="18"/>
    </w:rPr>
  </w:style>
  <w:style w:type="paragraph" w:customStyle="1" w:styleId="114">
    <w:name w:val="列出段落1"/>
    <w:basedOn w:val="1"/>
    <w:qFormat/>
    <w:uiPriority w:val="99"/>
    <w:pPr>
      <w:ind w:firstLine="420" w:firstLineChars="200"/>
    </w:pPr>
    <w:rPr>
      <w:rFonts w:ascii="Calibri" w:hAnsi="Calibri"/>
      <w:szCs w:val="22"/>
    </w:rPr>
  </w:style>
  <w:style w:type="paragraph" w:customStyle="1" w:styleId="115">
    <w:name w:val="List Paragraph1"/>
    <w:basedOn w:val="1"/>
    <w:qFormat/>
    <w:uiPriority w:val="99"/>
    <w:pPr>
      <w:ind w:firstLine="420" w:firstLineChars="200"/>
    </w:pPr>
    <w:rPr>
      <w:szCs w:val="24"/>
    </w:rPr>
  </w:style>
  <w:style w:type="character" w:customStyle="1" w:styleId="116">
    <w:name w:val="font51"/>
    <w:qFormat/>
    <w:uiPriority w:val="0"/>
    <w:rPr>
      <w:rFonts w:hint="eastAsia" w:ascii="宋体" w:hAnsi="宋体" w:eastAsia="宋体"/>
      <w:color w:val="000000"/>
      <w:sz w:val="18"/>
      <w:szCs w:val="18"/>
      <w:u w:val="none"/>
    </w:rPr>
  </w:style>
  <w:style w:type="character" w:customStyle="1" w:styleId="117">
    <w:name w:val="font111"/>
    <w:qFormat/>
    <w:uiPriority w:val="0"/>
    <w:rPr>
      <w:rFonts w:hint="default" w:ascii="Times New Roman" w:hAnsi="Times New Roman" w:cs="Times New Roman"/>
      <w:color w:val="000000"/>
      <w:sz w:val="18"/>
      <w:szCs w:val="18"/>
      <w:u w:val="none"/>
    </w:rPr>
  </w:style>
  <w:style w:type="character" w:customStyle="1" w:styleId="118">
    <w:name w:val="font101"/>
    <w:qFormat/>
    <w:uiPriority w:val="0"/>
    <w:rPr>
      <w:rFonts w:hint="eastAsia" w:ascii="宋体" w:hAnsi="宋体" w:eastAsia="宋体"/>
      <w:color w:val="000000"/>
      <w:sz w:val="18"/>
      <w:szCs w:val="18"/>
      <w:u w:val="none"/>
    </w:rPr>
  </w:style>
  <w:style w:type="character" w:customStyle="1" w:styleId="119">
    <w:name w:val="font61"/>
    <w:qFormat/>
    <w:uiPriority w:val="0"/>
    <w:rPr>
      <w:rFonts w:hint="eastAsia" w:ascii="宋体" w:hAnsi="宋体" w:eastAsia="宋体"/>
      <w:color w:val="000000"/>
      <w:sz w:val="18"/>
      <w:szCs w:val="18"/>
      <w:u w:val="none"/>
    </w:rPr>
  </w:style>
  <w:style w:type="character" w:customStyle="1" w:styleId="120">
    <w:name w:val="font121"/>
    <w:qFormat/>
    <w:uiPriority w:val="0"/>
    <w:rPr>
      <w:rFonts w:hint="default" w:ascii="Times New Roman" w:hAnsi="Times New Roman" w:cs="Times New Roman"/>
      <w:color w:val="000000"/>
      <w:sz w:val="18"/>
      <w:szCs w:val="18"/>
      <w:u w:val="none"/>
    </w:rPr>
  </w:style>
  <w:style w:type="character" w:customStyle="1" w:styleId="121">
    <w:name w:val="标题 1 Char"/>
    <w:qFormat/>
    <w:uiPriority w:val="9"/>
    <w:rPr>
      <w:b/>
      <w:bCs/>
      <w:kern w:val="44"/>
      <w:sz w:val="44"/>
      <w:szCs w:val="44"/>
    </w:rPr>
  </w:style>
  <w:style w:type="character" w:customStyle="1" w:styleId="122">
    <w:name w:val="标题 Char"/>
    <w:qFormat/>
    <w:uiPriority w:val="10"/>
    <w:rPr>
      <w:rFonts w:ascii="Cambria" w:hAnsi="Cambria" w:cs="Times New Roman"/>
      <w:b/>
      <w:bCs/>
      <w:kern w:val="2"/>
      <w:sz w:val="32"/>
      <w:szCs w:val="32"/>
    </w:rPr>
  </w:style>
  <w:style w:type="character" w:customStyle="1" w:styleId="123">
    <w:name w:val="font81"/>
    <w:qFormat/>
    <w:uiPriority w:val="0"/>
    <w:rPr>
      <w:rFonts w:hint="eastAsia" w:ascii="宋体" w:hAnsi="宋体" w:eastAsia="宋体"/>
      <w:color w:val="000000"/>
      <w:sz w:val="18"/>
      <w:szCs w:val="18"/>
      <w:u w:val="none"/>
    </w:rPr>
  </w:style>
  <w:style w:type="character" w:customStyle="1" w:styleId="124">
    <w:name w:val="font21"/>
    <w:qFormat/>
    <w:uiPriority w:val="0"/>
    <w:rPr>
      <w:rFonts w:hint="default" w:ascii="Times New Roman" w:hAnsi="Times New Roman" w:cs="Times New Roman"/>
      <w:color w:val="000000"/>
      <w:sz w:val="18"/>
      <w:szCs w:val="18"/>
      <w:u w:val="none"/>
    </w:rPr>
  </w:style>
  <w:style w:type="character" w:customStyle="1" w:styleId="125">
    <w:name w:val="font11"/>
    <w:qFormat/>
    <w:uiPriority w:val="0"/>
    <w:rPr>
      <w:rFonts w:hint="eastAsia" w:ascii="宋体" w:hAnsi="宋体" w:eastAsia="宋体"/>
      <w:color w:val="000000"/>
      <w:sz w:val="18"/>
      <w:szCs w:val="18"/>
      <w:u w:val="none"/>
    </w:rPr>
  </w:style>
  <w:style w:type="character" w:customStyle="1" w:styleId="126">
    <w:name w:val="font91"/>
    <w:qFormat/>
    <w:uiPriority w:val="0"/>
    <w:rPr>
      <w:rFonts w:hint="eastAsia" w:ascii="宋体" w:hAnsi="宋体" w:eastAsia="宋体"/>
      <w:color w:val="000000"/>
      <w:sz w:val="18"/>
      <w:szCs w:val="18"/>
      <w:u w:val="none"/>
    </w:rPr>
  </w:style>
  <w:style w:type="character" w:customStyle="1" w:styleId="127">
    <w:name w:val="font71"/>
    <w:qFormat/>
    <w:uiPriority w:val="0"/>
    <w:rPr>
      <w:rFonts w:hint="eastAsia" w:ascii="宋体" w:hAnsi="宋体" w:eastAsia="宋体"/>
      <w:color w:val="000000"/>
      <w:sz w:val="18"/>
      <w:szCs w:val="18"/>
      <w:u w:val="none"/>
    </w:rPr>
  </w:style>
  <w:style w:type="paragraph" w:customStyle="1" w:styleId="128">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9">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0">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1">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2">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3">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5">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6">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7">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9">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5">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8">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0">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1">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2">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6">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9">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0">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2">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5">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table" w:customStyle="1" w:styleId="16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8234</Words>
  <Characters>8807</Characters>
  <Lines>247</Lines>
  <Paragraphs>69</Paragraphs>
  <TotalTime>0</TotalTime>
  <ScaleCrop>false</ScaleCrop>
  <LinksUpToDate>false</LinksUpToDate>
  <CharactersWithSpaces>11699</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2025-03-07T17:16:24Z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0F2027ED2BA1447F8E35F0DE0FBB01D9_13</vt:lpwstr>
  </property>
  <property fmtid="{D5CDD505-2E9C-101B-9397-08002B2CF9AE}" pid="4" name="KSOTemplateDocerSaveRecord">
    <vt:lpwstr>eyJoZGlkIjoiN2ZiZjhjZjUxYjg2N2Y1ZjY0NTc5ZGMxYTcwNjRmNWYiLCJ1c2VySWQiOiIzMDg0MzUwNTAifQ==</vt:lpwstr>
  </property>
</Properties>
</file>