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hint="eastAsia" w:ascii="Calibri" w:hAnsi="宋体" w:eastAsia="宋体" w:cs="Times New Roman"/>
          <w:b/>
          <w:bCs/>
          <w:color w:val="000000"/>
          <w:spacing w:val="-8"/>
          <w:sz w:val="48"/>
          <w:szCs w:val="44"/>
          <w:lang w:eastAsia="zh-CN"/>
        </w:rPr>
      </w:pPr>
      <w:bookmarkStart w:id="0" w:name="OLE_LINK31"/>
      <w:bookmarkStart w:id="1" w:name="OLE_LINK30"/>
    </w:p>
    <w:p>
      <w:pPr>
        <w:pStyle w:val="20"/>
        <w:rPr>
          <w:rFonts w:hint="eastAsia" w:ascii="Calibri" w:hAnsi="宋体" w:eastAsia="宋体" w:cs="Times New Roman"/>
          <w:b/>
          <w:bCs/>
          <w:color w:val="000000"/>
          <w:spacing w:val="-8"/>
          <w:sz w:val="48"/>
          <w:szCs w:val="44"/>
          <w:lang w:eastAsia="zh-CN"/>
        </w:rPr>
      </w:pPr>
    </w:p>
    <w:p>
      <w:pPr>
        <w:pStyle w:val="20"/>
        <w:rPr>
          <w:rFonts w:hint="eastAsia" w:ascii="Calibri" w:hAnsi="宋体" w:eastAsia="宋体" w:cs="Times New Roman"/>
          <w:b/>
          <w:bCs/>
          <w:color w:val="000000"/>
          <w:spacing w:val="-8"/>
          <w:sz w:val="48"/>
          <w:szCs w:val="44"/>
          <w:lang w:eastAsia="zh-CN"/>
        </w:rPr>
      </w:pPr>
    </w:p>
    <w:p>
      <w:pPr>
        <w:pStyle w:val="2"/>
        <w:rPr>
          <w:rFonts w:hint="eastAsia"/>
        </w:rPr>
      </w:pPr>
      <w:r>
        <w:rPr>
          <w:rFonts w:hint="eastAsia" w:hAnsi="宋体" w:eastAsia="宋体" w:cs="Times New Roman"/>
          <w:b/>
          <w:bCs/>
          <w:color w:val="000000"/>
          <w:spacing w:val="-8"/>
          <w:sz w:val="48"/>
          <w:szCs w:val="44"/>
          <w:lang w:eastAsia="zh-CN"/>
        </w:rPr>
        <w:t>济南商用车公司驾驶室后悬分装线建设项目</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b/>
          <w:bCs/>
          <w:sz w:val="32"/>
          <w:szCs w:val="28"/>
        </w:rPr>
      </w:pP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keepNext/>
        <w:keepLines/>
        <w:jc w:val="center"/>
        <w:rPr>
          <w:rFonts w:hint="eastAsia" w:ascii="Calibri" w:hAnsi="Calibri" w:eastAsia="宋体" w:cs="Times New Roman"/>
          <w:b/>
          <w:bCs/>
          <w:kern w:val="44"/>
          <w:sz w:val="36"/>
          <w:szCs w:val="44"/>
          <w:lang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lang w:eastAsia="zh-CN"/>
        </w:rPr>
        <w:t>月</w:t>
      </w: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pPr>
            <w:pStyle w:val="20"/>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济南商用车公司驾驶室后悬分装线建设项目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yellow"/>
                <w:u w:val="single"/>
                <w:lang w:val="en-US" w:eastAsia="zh-CN"/>
              </w:rPr>
              <w:t>CGZX2025010112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auto"/>
                <w:sz w:val="24"/>
                <w:szCs w:val="24"/>
                <w:highlight w:val="yellow"/>
                <w:u w:val="single"/>
                <w:lang w:val="en-US" w:eastAsia="zh-CN"/>
              </w:rPr>
              <w:t>：新建一条分装板链线。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招标</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赵翊旭</w:t>
            </w:r>
          </w:p>
          <w:p>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15165052573</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zhaoyixu@sinotruk.com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17</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0"/>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0"/>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20"/>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3</w:t>
            </w:r>
            <w:r>
              <w:rPr>
                <w:rFonts w:hint="eastAsia" w:eastAsia="宋体" w:cs="宋体"/>
                <w:highlight w:val="yellow"/>
                <w:lang w:eastAsia="zh-CN"/>
              </w:rPr>
              <w:t>月</w:t>
            </w:r>
            <w:r>
              <w:rPr>
                <w:rFonts w:hint="eastAsia" w:eastAsia="宋体" w:cs="宋体"/>
                <w:highlight w:val="yellow"/>
                <w:lang w:val="en-US" w:eastAsia="zh-CN"/>
              </w:rPr>
              <w:t>19</w:t>
            </w:r>
            <w:r>
              <w:rPr>
                <w:rFonts w:hint="eastAsia" w:eastAsia="宋体" w:cs="宋体"/>
                <w:highlight w:val="yellow"/>
              </w:rPr>
              <w:t>日</w:t>
            </w:r>
            <w:r>
              <w:rPr>
                <w:rFonts w:hint="eastAsia" w:eastAsia="宋体" w:cs="宋体"/>
                <w:highlight w:val="yellow"/>
                <w:lang w:val="en-US" w:eastAsia="zh-CN"/>
              </w:rPr>
              <w:t>17时00分00秒</w:t>
            </w:r>
          </w:p>
          <w:p>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val="0"/>
                <w:bCs w:val="0"/>
                <w:color w:val="000000"/>
                <w:sz w:val="24"/>
                <w:szCs w:val="24"/>
                <w:highlight w:val="yellow"/>
                <w:lang w:val="en-US" w:eastAsia="zh-CN"/>
              </w:rPr>
              <w:t>赵翊旭</w:t>
            </w:r>
            <w:r>
              <w:rPr>
                <w:rFonts w:hint="eastAsia" w:ascii="Times New Roman" w:hAnsi="Times New Roman" w:eastAsia="宋体" w:cs="Times New Roman"/>
                <w:b w:val="0"/>
                <w:bCs w:val="0"/>
                <w:color w:val="000000"/>
                <w:sz w:val="24"/>
                <w:szCs w:val="24"/>
                <w:highlight w:val="yellow"/>
                <w:lang w:val="en-US" w:eastAsia="zh-CN"/>
              </w:rPr>
              <w:t>/15165052573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21</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5000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b/>
                <w:bCs/>
                <w:sz w:val="24"/>
                <w:szCs w:val="24"/>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3</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19</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lang w:eastAsia="zh-CN"/>
              </w:rPr>
              <w:t>月</w:t>
            </w:r>
            <w:r>
              <w:rPr>
                <w:rFonts w:hint="eastAsia" w:ascii="宋体" w:hAnsi="宋体" w:cs="宋体"/>
                <w:sz w:val="24"/>
                <w:szCs w:val="24"/>
                <w:highlight w:val="yellow"/>
                <w:lang w:val="en-US" w:eastAsia="zh-CN"/>
              </w:rPr>
              <w:t>21</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w:t>
            </w:r>
            <w:bookmarkStart w:id="151" w:name="_GoBack"/>
            <w:bookmarkEnd w:id="151"/>
            <w:r>
              <w:rPr>
                <w:rFonts w:hint="eastAsia" w:ascii="宋体" w:hAnsi="宋体" w:eastAsia="宋体" w:cs="宋体"/>
                <w:sz w:val="24"/>
                <w:szCs w:val="24"/>
                <w:highlight w:val="yellow"/>
              </w:rPr>
              <w:t>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自合同签定生效之日起，40个日历日之内交货至供货地点。</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接续10个日历日之内安装调试完毕。</w:t>
            </w:r>
          </w:p>
          <w:p>
            <w:pPr>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yellow"/>
                <w:lang w:val="en-US" w:eastAsia="zh-CN"/>
              </w:rPr>
              <w:t>安装调试工期超过20个日历日的，投标人应当随标书提供详细的工期计划。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keepNext w:val="0"/>
              <w:keepLines w:val="0"/>
              <w:widowControl/>
              <w:suppressLineNumbers w:val="0"/>
              <w:ind w:firstLine="482" w:firstLineChars="200"/>
              <w:jc w:val="left"/>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default" w:ascii="Times New Roman" w:hAnsi="Times New Roman" w:eastAsia="宋体" w:cs="Times New Roman"/>
                <w:color w:val="000000"/>
                <w:sz w:val="24"/>
                <w:szCs w:val="24"/>
                <w:highlight w:val="yellow"/>
              </w:rPr>
              <w:t>济南商用车</w:t>
            </w:r>
            <w:r>
              <w:rPr>
                <w:rFonts w:hint="default" w:ascii="Times New Roman" w:hAnsi="Times New Roman" w:eastAsia="宋体" w:cs="Times New Roman"/>
                <w:color w:val="000000"/>
                <w:sz w:val="24"/>
                <w:szCs w:val="24"/>
                <w:highlight w:val="yellow"/>
                <w:lang w:val="en-US" w:eastAsia="zh-CN"/>
              </w:rPr>
              <w:t>制造</w:t>
            </w:r>
            <w:r>
              <w:rPr>
                <w:rFonts w:hint="default" w:ascii="Times New Roman" w:hAnsi="Times New Roman" w:eastAsia="宋体" w:cs="Times New Roman"/>
                <w:color w:val="000000"/>
                <w:sz w:val="24"/>
                <w:szCs w:val="24"/>
                <w:highlight w:val="yellow"/>
              </w:rPr>
              <w:t>公司（章丘重汽工业园）</w:t>
            </w:r>
            <w:r>
              <w:rPr>
                <w:rFonts w:hint="eastAsia" w:ascii="Times New Roman" w:hAnsi="Times New Roman" w:eastAsia="宋体" w:cs="Times New Roman"/>
                <w:color w:val="000000"/>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highlight w:val="yellow"/>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highlight w:val="yellow"/>
              </w:rPr>
              <w:t>0%</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0%增值税专用发票（税率为13 %，正本一份，复印件二份），经买方依照财务制度审核无误后【30】日后支付。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w:t>
            </w:r>
            <w:r>
              <w:rPr>
                <w:rFonts w:hint="eastAsia" w:ascii="宋体" w:hAnsi="宋体" w:eastAsia="宋体" w:cs="宋体"/>
                <w:b/>
                <w:bCs/>
                <w:color w:val="000000"/>
                <w:sz w:val="24"/>
                <w:szCs w:val="24"/>
                <w:highlight w:val="yellow"/>
              </w:rPr>
              <w:t>0 %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w:t>
            </w:r>
            <w:r>
              <w:rPr>
                <w:rFonts w:hint="eastAsia" w:ascii="宋体" w:hAnsi="宋体" w:eastAsia="宋体" w:cs="宋体"/>
                <w:color w:val="000000"/>
                <w:sz w:val="24"/>
                <w:szCs w:val="24"/>
                <w:highlight w:val="yellow"/>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20"/>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color w:val="000000"/>
          <w:sz w:val="24"/>
          <w:szCs w:val="24"/>
          <w:highlight w:val="yellow"/>
          <w:lang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2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6914"/>
      <w:bookmarkStart w:id="8" w:name="_Toc33265653"/>
      <w:bookmarkStart w:id="9" w:name="_Toc33285487"/>
      <w:bookmarkStart w:id="10" w:name="_Toc33265752"/>
      <w:bookmarkStart w:id="11" w:name="_Toc33266950"/>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7002"/>
      <w:bookmarkStart w:id="15" w:name="_Toc33266951"/>
      <w:bookmarkStart w:id="16" w:name="_Toc395116634"/>
      <w:bookmarkStart w:id="17" w:name="_Toc33265654"/>
      <w:bookmarkStart w:id="18" w:name="_Toc33285489"/>
      <w:bookmarkStart w:id="19" w:name="_Toc33266915"/>
      <w:bookmarkStart w:id="20" w:name="_Toc33266628"/>
      <w:bookmarkStart w:id="21" w:name="_Toc33265753"/>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6"/>
      <w:bookmarkStart w:id="24" w:name="OLE_LINK28"/>
      <w:bookmarkStart w:id="25" w:name="OLE_LINK25"/>
      <w:bookmarkStart w:id="26" w:name="OLE_LINK27"/>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int="eastAsia" w:ascii="宋体"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auto"/>
          <w:sz w:val="24"/>
          <w:szCs w:val="24"/>
          <w:highlight w:val="yellow"/>
        </w:rPr>
        <w:t>包括所代理品牌</w:t>
      </w:r>
      <w:r>
        <w:rPr>
          <w:rFonts w:hint="eastAsia" w:hAnsi="宋体" w:eastAsia="宋体" w:cs="宋体"/>
          <w:color w:val="auto"/>
          <w:sz w:val="24"/>
          <w:szCs w:val="24"/>
          <w:highlight w:val="yellow"/>
          <w:lang w:eastAsia="zh-CN"/>
        </w:rPr>
        <w:t>针对本项目唯一</w:t>
      </w:r>
      <w:r>
        <w:rPr>
          <w:rFonts w:hint="eastAsia" w:hAnsi="宋体" w:eastAsia="宋体" w:cs="宋体"/>
          <w:color w:val="auto"/>
          <w:sz w:val="24"/>
          <w:szCs w:val="24"/>
          <w:highlight w:val="yellow"/>
        </w:rPr>
        <w:t>的授权书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0"/>
      </w:pPr>
    </w:p>
    <w:p>
      <w:pPr>
        <w:pStyle w:val="20"/>
      </w:pPr>
    </w:p>
    <w:p>
      <w:pPr>
        <w:pStyle w:val="20"/>
      </w:pPr>
    </w:p>
    <w:p>
      <w:pPr>
        <w:pStyle w:val="20"/>
      </w:pPr>
    </w:p>
    <w:p>
      <w:pPr>
        <w:keepNext/>
        <w:keepLines/>
        <w:jc w:val="center"/>
        <w:outlineLvl w:val="0"/>
        <w:rPr>
          <w:rFonts w:ascii="Calibri" w:hAnsi="Calibri" w:eastAsia="宋体" w:cs="Times New Roman"/>
          <w:b/>
          <w:bCs/>
          <w:kern w:val="44"/>
          <w:sz w:val="36"/>
          <w:szCs w:val="44"/>
        </w:rPr>
      </w:pPr>
    </w:p>
    <w:p>
      <w:pPr>
        <w:pStyle w:val="20"/>
        <w:rPr>
          <w:highlight w:val="none"/>
        </w:rPr>
      </w:pPr>
      <w:r>
        <w:rPr>
          <w:rFonts w:hint="eastAsia" w:ascii="Calibri" w:hAnsi="宋体" w:eastAsia="宋体" w:cs="Times New Roman"/>
          <w:b/>
          <w:bCs/>
          <w:color w:val="000000"/>
          <w:spacing w:val="-8"/>
          <w:sz w:val="48"/>
          <w:szCs w:val="44"/>
          <w:highlight w:val="none"/>
          <w:lang w:eastAsia="zh-CN"/>
        </w:rPr>
        <w:t>济南商用车公司驾驶室后悬分装线建设项目</w:t>
      </w:r>
    </w:p>
    <w:p>
      <w:pPr>
        <w:jc w:val="center"/>
        <w:rPr>
          <w:rFonts w:hint="eastAsia" w:ascii="黑体" w:hAnsi="宋体" w:eastAsia="黑体" w:cs="Times New Roman"/>
          <w:color w:val="000000"/>
          <w:sz w:val="72"/>
          <w:szCs w:val="72"/>
          <w:highlight w:val="none"/>
        </w:rPr>
      </w:pPr>
    </w:p>
    <w:p>
      <w:pPr>
        <w:jc w:val="center"/>
        <w:rPr>
          <w:rFonts w:hint="eastAsia" w:ascii="黑体" w:hAnsi="宋体" w:eastAsia="黑体" w:cs="Times New Roman"/>
          <w:color w:val="000000"/>
          <w:sz w:val="72"/>
          <w:szCs w:val="72"/>
          <w:highlight w:val="none"/>
        </w:rPr>
      </w:pP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pPr>
        <w:pStyle w:val="20"/>
        <w:rPr>
          <w:highlight w:val="none"/>
        </w:rPr>
      </w:pPr>
    </w:p>
    <w:p>
      <w:pPr>
        <w:pStyle w:val="20"/>
        <w:rPr>
          <w:rFonts w:ascii="黑体" w:hAnsi="宋体" w:eastAsia="黑体" w:cs="Times New Roman"/>
          <w:color w:val="000000"/>
          <w:sz w:val="72"/>
          <w:szCs w:val="72"/>
          <w:highlight w:val="none"/>
        </w:rPr>
      </w:pPr>
    </w:p>
    <w:p>
      <w:pPr>
        <w:pStyle w:val="20"/>
        <w:rPr>
          <w:rFonts w:ascii="黑体" w:hAnsi="宋体" w:eastAsia="黑体" w:cs="Times New Roman"/>
          <w:color w:val="000000"/>
          <w:sz w:val="72"/>
          <w:szCs w:val="72"/>
          <w:highlight w:val="none"/>
        </w:rPr>
      </w:pPr>
    </w:p>
    <w:p>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pPr>
        <w:spacing w:line="860" w:lineRule="exact"/>
        <w:rPr>
          <w:rFonts w:hint="eastAsia" w:ascii="华文仿宋" w:hAnsi="华文仿宋" w:eastAsia="华文仿宋"/>
          <w:sz w:val="32"/>
          <w:szCs w:val="28"/>
          <w:highlight w:val="none"/>
        </w:rPr>
      </w:pPr>
    </w:p>
    <w:p>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pPr>
        <w:pStyle w:val="20"/>
        <w:rPr>
          <w:b/>
          <w:bCs/>
          <w:highlight w:val="none"/>
        </w:rPr>
      </w:pPr>
    </w:p>
    <w:p>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w:t>
      </w:r>
      <w:r>
        <w:rPr>
          <w:rFonts w:hint="eastAsia" w:ascii="宋体" w:hAnsi="宋体" w:eastAsia="宋体" w:cs="Times New Roman"/>
          <w:color w:val="000000"/>
          <w:sz w:val="28"/>
          <w:szCs w:val="28"/>
          <w:highlight w:val="none"/>
          <w:lang w:eastAsia="zh-CN"/>
        </w:rPr>
        <w:t>商用车制造公司</w:t>
      </w:r>
    </w:p>
    <w:p>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宋体" w:hAnsi="宋体" w:eastAsia="宋体" w:cs="Times New Roman"/>
          <w:color w:val="000000"/>
          <w:sz w:val="28"/>
          <w:szCs w:val="28"/>
          <w:highlight w:val="none"/>
          <w:lang w:val="en-US" w:eastAsia="zh-CN"/>
        </w:rPr>
        <w:t>3</w:t>
      </w:r>
      <w:r>
        <w:rPr>
          <w:rFonts w:hint="eastAsia" w:ascii="Calibri" w:hAnsi="Calibri" w:eastAsia="宋体" w:cs="Times New Roman"/>
          <w:color w:val="000000"/>
          <w:sz w:val="28"/>
          <w:szCs w:val="28"/>
          <w:highlight w:val="none"/>
        </w:rPr>
        <w:t>月</w:t>
      </w:r>
    </w:p>
    <w:p>
      <w:pPr>
        <w:spacing w:line="360" w:lineRule="auto"/>
        <w:rPr>
          <w:rFonts w:ascii="宋体" w:hAnsi="宋体" w:eastAsia="宋体" w:cs="Times New Roman"/>
          <w:b/>
          <w:sz w:val="36"/>
          <w:szCs w:val="36"/>
          <w:highlight w:val="none"/>
        </w:rPr>
        <w:sectPr>
          <w:headerReference r:id="rId11" w:type="default"/>
          <w:footerReference r:id="rId12" w:type="default"/>
          <w:pgSz w:w="11907" w:h="16840"/>
          <w:pgMar w:top="1304" w:right="1418" w:bottom="1304" w:left="1418" w:header="724" w:footer="851" w:gutter="0"/>
          <w:cols w:space="720" w:num="1"/>
          <w:docGrid w:linePitch="290" w:charSpace="-3931"/>
        </w:sectPr>
      </w:pPr>
    </w:p>
    <w:p>
      <w:pPr>
        <w:spacing w:line="360" w:lineRule="auto"/>
        <w:ind w:left="239" w:leftChars="114" w:right="238" w:firstLine="480" w:firstLineChars="200"/>
        <w:rPr>
          <w:rFonts w:hint="eastAsia" w:hAnsi="宋体" w:eastAsia="宋体" w:cs="宋体"/>
          <w:sz w:val="24"/>
          <w:szCs w:val="24"/>
          <w:highlight w:val="none"/>
        </w:rPr>
      </w:pPr>
    </w:p>
    <w:p>
      <w:pPr>
        <w:pStyle w:val="3"/>
        <w:jc w:val="left"/>
      </w:pPr>
      <w:sdt>
        <w:sdtPr>
          <w:rPr>
            <w:rFonts w:hint="eastAsia"/>
          </w:rPr>
          <w:id w:val="147470809"/>
          <w:showingPlcHdr/>
          <w15:color w:val="DBDBDB"/>
          <w:docPartObj>
            <w:docPartGallery w:val="Table of Contents"/>
            <w:docPartUnique/>
          </w:docPartObj>
        </w:sdtPr>
        <w:sdtEndPr>
          <w:rPr>
            <w:rFonts w:hint="eastAsia"/>
          </w:rPr>
        </w:sdtEndPr>
        <w:sdtContent/>
      </w:sdt>
      <w:bookmarkStart w:id="33" w:name="_Toc178067741"/>
      <w:r>
        <w:rPr>
          <w:rFonts w:hint="eastAsia"/>
        </w:rPr>
        <w:t>一、</w:t>
      </w:r>
      <w:bookmarkEnd w:id="33"/>
      <w:r>
        <w:rPr>
          <w:rFonts w:hint="eastAsia"/>
        </w:rPr>
        <w:t>项目概况</w:t>
      </w:r>
    </w:p>
    <w:p>
      <w:pPr>
        <w:spacing w:line="360" w:lineRule="auto"/>
        <w:ind w:firstLine="480" w:firstLineChars="200"/>
        <w:rPr>
          <w:rFonts w:asciiTheme="minorEastAsia" w:hAnsiTheme="minorEastAsia" w:eastAsiaTheme="minorEastAsia"/>
          <w:sz w:val="24"/>
          <w:szCs w:val="24"/>
        </w:rPr>
      </w:pPr>
      <w:bookmarkStart w:id="34" w:name="_Toc1842"/>
      <w:r>
        <w:rPr>
          <w:rFonts w:asciiTheme="minorEastAsia" w:hAnsiTheme="minorEastAsia" w:eastAsiaTheme="minorEastAsia"/>
          <w:sz w:val="24"/>
          <w:szCs w:val="24"/>
        </w:rPr>
        <w:t>在</w:t>
      </w:r>
      <w:r>
        <w:rPr>
          <w:rFonts w:hint="eastAsia" w:asciiTheme="minorEastAsia" w:hAnsiTheme="minorEastAsia" w:eastAsiaTheme="minorEastAsia"/>
          <w:sz w:val="24"/>
          <w:szCs w:val="24"/>
        </w:rPr>
        <w:t>车间现有的驾驶室后悬分装</w:t>
      </w:r>
      <w:r>
        <w:rPr>
          <w:rFonts w:asciiTheme="minorEastAsia" w:hAnsiTheme="minorEastAsia" w:eastAsiaTheme="minorEastAsia"/>
          <w:sz w:val="24"/>
          <w:szCs w:val="24"/>
        </w:rPr>
        <w:t>工位范围内，建设</w:t>
      </w:r>
      <w:r>
        <w:rPr>
          <w:rFonts w:hint="eastAsia" w:asciiTheme="minorEastAsia" w:hAnsiTheme="minorEastAsia" w:eastAsiaTheme="minorEastAsia"/>
          <w:sz w:val="24"/>
          <w:szCs w:val="24"/>
        </w:rPr>
        <w:t>一条地上板式输送链</w:t>
      </w:r>
      <w:r>
        <w:rPr>
          <w:rFonts w:asciiTheme="minorEastAsia" w:hAnsiTheme="minorEastAsia" w:eastAsiaTheme="minorEastAsia"/>
          <w:sz w:val="24"/>
          <w:szCs w:val="24"/>
        </w:rPr>
        <w:t>，</w:t>
      </w:r>
      <w:r>
        <w:rPr>
          <w:rFonts w:hint="eastAsia" w:asciiTheme="minorEastAsia" w:hAnsiTheme="minorEastAsia" w:eastAsiaTheme="minorEastAsia"/>
          <w:sz w:val="24"/>
          <w:szCs w:val="24"/>
        </w:rPr>
        <w:t>替代当前的分装小车。</w:t>
      </w:r>
      <w:r>
        <w:rPr>
          <w:rFonts w:asciiTheme="minorEastAsia" w:hAnsiTheme="minorEastAsia" w:eastAsiaTheme="minorEastAsia"/>
          <w:sz w:val="24"/>
          <w:szCs w:val="24"/>
        </w:rPr>
        <w:t>包含机</w:t>
      </w:r>
      <w:r>
        <w:rPr>
          <w:rFonts w:hint="eastAsia" w:asciiTheme="minorEastAsia" w:hAnsiTheme="minorEastAsia" w:eastAsiaTheme="minorEastAsia"/>
          <w:sz w:val="24"/>
          <w:szCs w:val="24"/>
        </w:rPr>
        <w:t>械框架</w:t>
      </w:r>
      <w:r>
        <w:rPr>
          <w:rFonts w:asciiTheme="minorEastAsia" w:hAnsiTheme="minorEastAsia" w:eastAsiaTheme="minorEastAsia"/>
          <w:sz w:val="24"/>
          <w:szCs w:val="24"/>
        </w:rPr>
        <w:t>、</w:t>
      </w:r>
      <w:r>
        <w:rPr>
          <w:rFonts w:hint="eastAsia" w:asciiTheme="minorEastAsia" w:hAnsiTheme="minorEastAsia" w:eastAsiaTheme="minorEastAsia"/>
          <w:sz w:val="24"/>
          <w:szCs w:val="24"/>
        </w:rPr>
        <w:t>轨道及输送链板</w:t>
      </w:r>
      <w:r>
        <w:rPr>
          <w:rFonts w:asciiTheme="minorEastAsia" w:hAnsiTheme="minorEastAsia" w:eastAsiaTheme="minorEastAsia"/>
          <w:sz w:val="24"/>
          <w:szCs w:val="24"/>
        </w:rPr>
        <w:t>、</w:t>
      </w:r>
      <w:r>
        <w:rPr>
          <w:rFonts w:hint="eastAsia" w:asciiTheme="minorEastAsia" w:hAnsiTheme="minorEastAsia" w:eastAsiaTheme="minorEastAsia"/>
          <w:sz w:val="24"/>
          <w:szCs w:val="24"/>
        </w:rPr>
        <w:t>驱动和张紧机构</w:t>
      </w:r>
      <w:r>
        <w:rPr>
          <w:rFonts w:asciiTheme="minorEastAsia" w:hAnsiTheme="minorEastAsia" w:eastAsiaTheme="minorEastAsia"/>
          <w:sz w:val="24"/>
          <w:szCs w:val="24"/>
        </w:rPr>
        <w:t>、电气控制</w:t>
      </w:r>
      <w:r>
        <w:rPr>
          <w:rFonts w:hint="eastAsia" w:asciiTheme="minorEastAsia" w:hAnsiTheme="minorEastAsia" w:eastAsiaTheme="minorEastAsia"/>
          <w:sz w:val="24"/>
          <w:szCs w:val="24"/>
        </w:rPr>
        <w:t>系统、单臂吊</w:t>
      </w:r>
      <w:r>
        <w:rPr>
          <w:rFonts w:asciiTheme="minorEastAsia" w:hAnsiTheme="minorEastAsia" w:eastAsiaTheme="minorEastAsia"/>
          <w:sz w:val="24"/>
          <w:szCs w:val="24"/>
        </w:rPr>
        <w:t>等。</w:t>
      </w:r>
      <w:r>
        <w:rPr>
          <w:rFonts w:hint="eastAsia" w:asciiTheme="minorEastAsia" w:hAnsiTheme="minorEastAsia" w:eastAsiaTheme="minorEastAsia"/>
          <w:sz w:val="24"/>
          <w:szCs w:val="24"/>
        </w:rPr>
        <w:t>本项目为交钥匙工程，投标方负责全部设备、设施的采购、制造、安装调试，直至实现本协议要求的全部功能。</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整条分装线用型材加工做承重骨架，全部采用地上结构，地脚螺栓固定，不做设备基础。花纹板折弯后做承重链板，两端固定在链条上。链板上安装聚氨酯材质的底座，用于装配过程中固定驾驶室后悬支架。分装线骨架的侧面、链板与骨架缝隙处，均加装护板，防止操作工发生机械夹伤。设置6个工位，每个工位安装1个启停按钮，作为输送线的启停信号。控制柜优先选择安装在分装线的线首或线尾，</w:t>
      </w:r>
      <w:bookmarkStart w:id="35" w:name="_Toc178067742"/>
      <w:r>
        <w:rPr>
          <w:rFonts w:hint="eastAsia" w:asciiTheme="minorEastAsia" w:hAnsiTheme="minorEastAsia" w:eastAsiaTheme="minorEastAsia"/>
          <w:sz w:val="24"/>
          <w:szCs w:val="24"/>
        </w:rPr>
        <w:t>减少占地面积。减速电机选用一级能效。</w:t>
      </w:r>
    </w:p>
    <w:p>
      <w:pPr>
        <w:spacing w:line="360" w:lineRule="auto"/>
        <w:jc w:val="left"/>
        <w:rPr>
          <w:rFonts w:asciiTheme="minorEastAsia" w:hAnsiTheme="minorEastAsia" w:eastAsiaTheme="minorEastAsia"/>
          <w:b/>
          <w:bCs/>
          <w:kern w:val="0"/>
          <w:sz w:val="28"/>
          <w:szCs w:val="28"/>
        </w:rPr>
      </w:pPr>
      <w:r>
        <w:rPr>
          <w:rFonts w:hint="eastAsia" w:asciiTheme="minorEastAsia" w:hAnsiTheme="minorEastAsia" w:eastAsiaTheme="minorEastAsia"/>
          <w:b/>
          <w:bCs/>
          <w:kern w:val="0"/>
          <w:sz w:val="28"/>
          <w:szCs w:val="28"/>
        </w:rPr>
        <w:t>二、使用环境</w:t>
      </w:r>
      <w:bookmarkEnd w:id="34"/>
      <w:bookmarkEnd w:id="35"/>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.产能：双班1</w:t>
      </w:r>
      <w:r>
        <w:rPr>
          <w:rFonts w:asciiTheme="minorEastAsia" w:hAnsiTheme="minorEastAsia" w:eastAsiaTheme="minorEastAsia"/>
          <w:sz w:val="24"/>
          <w:szCs w:val="24"/>
        </w:rPr>
        <w:t>0</w:t>
      </w:r>
      <w:r>
        <w:rPr>
          <w:rFonts w:hint="eastAsia" w:asciiTheme="minorEastAsia" w:hAnsiTheme="minorEastAsia" w:eastAsiaTheme="minorEastAsia"/>
          <w:sz w:val="24"/>
          <w:szCs w:val="24"/>
        </w:rPr>
        <w:t>万辆/年</w:t>
      </w:r>
    </w:p>
    <w:p>
      <w:pPr>
        <w:spacing w:line="360" w:lineRule="auto"/>
        <w:rPr>
          <w:sz w:val="24"/>
          <w:szCs w:val="24"/>
          <w:u w:val="single"/>
          <w:lang w:bidi="ar"/>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.工作地点：</w:t>
      </w:r>
      <w:r>
        <w:rPr>
          <w:rFonts w:asciiTheme="minorEastAsia" w:hAnsiTheme="minorEastAsia" w:eastAsiaTheme="minorEastAsia"/>
          <w:sz w:val="24"/>
          <w:szCs w:val="24"/>
        </w:rPr>
        <w:t>济南商用车制造公司（章丘重汽工业园）</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.工作制度：全年工作345天，双班22小时/天。</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.年时基数：设备年时基数7600小时</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5.使用年限：≥10年</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6.使用地点区域自然环境：</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6.1.海拔高度：4000m以下</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6.2.室外温度：-20℃～45℃，</w:t>
      </w:r>
      <w:r>
        <w:rPr>
          <w:rFonts w:asciiTheme="minorEastAsia" w:hAnsiTheme="minorEastAsia" w:eastAsiaTheme="minorEastAsia"/>
          <w:sz w:val="24"/>
          <w:szCs w:val="24"/>
        </w:rPr>
        <w:t>昼夜最大温差25℃</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6.3.室内温度：-10℃～45℃</w:t>
      </w:r>
      <w:r>
        <w:rPr>
          <w:rFonts w:hint="eastAsia" w:asciiTheme="minorEastAsia" w:hAnsiTheme="minorEastAsia" w:eastAsiaTheme="minorEastAsia"/>
          <w:sz w:val="24"/>
          <w:szCs w:val="24"/>
        </w:rPr>
        <w:tab/>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6.4.环境湿度：</w:t>
      </w:r>
      <w:r>
        <w:rPr>
          <w:rFonts w:asciiTheme="minorEastAsia" w:hAnsiTheme="minorEastAsia" w:eastAsiaTheme="minorEastAsia"/>
          <w:sz w:val="24"/>
          <w:szCs w:val="24"/>
        </w:rPr>
        <w:t>年平均59%，最大95%、最小15%</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7.压缩空气压力：</w:t>
      </w:r>
      <w:r>
        <w:rPr>
          <w:rFonts w:asciiTheme="minorEastAsia" w:hAnsiTheme="minorEastAsia" w:eastAsiaTheme="minorEastAsia"/>
          <w:sz w:val="24"/>
          <w:szCs w:val="24"/>
        </w:rPr>
        <w:t>厂区空压机自产压缩空气，0.55～0.7 Mpa</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8.电源电压：三相五线制，符合中国制式，供电电压：AC380V±10%，</w:t>
      </w:r>
    </w:p>
    <w:p>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供电频率：50Hz±0.5Hz，单相电：AC220V±10%，供电频率：50Hz±0.5Hz。</w:t>
      </w:r>
    </w:p>
    <w:p>
      <w:pPr>
        <w:pStyle w:val="3"/>
        <w:jc w:val="left"/>
      </w:pPr>
      <w:bookmarkStart w:id="36" w:name="_Toc178067743"/>
      <w:r>
        <w:rPr>
          <w:rFonts w:hint="eastAsia"/>
        </w:rPr>
        <w:t>三、涉及</w:t>
      </w:r>
      <w:bookmarkEnd w:id="36"/>
      <w:r>
        <w:rPr>
          <w:rFonts w:hint="eastAsia"/>
        </w:rPr>
        <w:t>产品</w:t>
      </w:r>
    </w:p>
    <w:p>
      <w:pPr>
        <w:spacing w:line="360" w:lineRule="auto"/>
        <w:ind w:firstLine="480" w:firstLineChars="200"/>
        <w:rPr>
          <w:sz w:val="24"/>
          <w:szCs w:val="24"/>
        </w:rPr>
      </w:pPr>
      <w:bookmarkStart w:id="37" w:name="_Hlk171344980"/>
      <w:r>
        <w:rPr>
          <w:rFonts w:hint="eastAsia" w:eastAsiaTheme="minorEastAsia"/>
          <w:sz w:val="24"/>
          <w:szCs w:val="24"/>
        </w:rPr>
        <w:t>分装</w:t>
      </w:r>
      <w:r>
        <w:rPr>
          <w:rFonts w:hint="eastAsia" w:asciiTheme="minorEastAsia" w:hAnsiTheme="minorEastAsia" w:eastAsiaTheme="minorEastAsia" w:cstheme="minorEastAsia"/>
          <w:sz w:val="24"/>
          <w:szCs w:val="24"/>
        </w:rPr>
        <w:t>线装配的产品件及工位设置，见下表</w:t>
      </w:r>
      <w:r>
        <w:rPr>
          <w:rFonts w:hint="eastAsia"/>
          <w:sz w:val="24"/>
          <w:szCs w:val="24"/>
        </w:rPr>
        <w:t>：</w:t>
      </w:r>
    </w:p>
    <w:p>
      <w:pPr>
        <w:spacing w:line="360" w:lineRule="auto"/>
        <w:ind w:firstLine="480" w:firstLineChars="200"/>
        <w:rPr>
          <w:sz w:val="24"/>
          <w:szCs w:val="24"/>
        </w:rPr>
      </w:pPr>
    </w:p>
    <w:tbl>
      <w:tblPr>
        <w:tblStyle w:val="41"/>
        <w:tblW w:w="9000" w:type="dxa"/>
        <w:tblInd w:w="93" w:type="dxa"/>
        <w:tblLayout w:type="autofit"/>
        <w:tblCellMar>
          <w:top w:w="0" w:type="dxa"/>
          <w:left w:w="108" w:type="dxa"/>
          <w:bottom w:w="0" w:type="dxa"/>
          <w:right w:w="108" w:type="dxa"/>
        </w:tblCellMar>
      </w:tblPr>
      <w:tblGrid>
        <w:gridCol w:w="705"/>
        <w:gridCol w:w="883"/>
        <w:gridCol w:w="3815"/>
        <w:gridCol w:w="1800"/>
        <w:gridCol w:w="1077"/>
        <w:gridCol w:w="720"/>
      </w:tblGrid>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序号</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工位</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作业内容</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主要产品件</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单车用量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备注</w:t>
            </w: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883"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一工位</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拿取后悬下支架、液压锁</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后悬下支架</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w:t>
            </w:r>
          </w:p>
        </w:tc>
        <w:tc>
          <w:tcPr>
            <w:tcW w:w="883"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拿取减震器、门型支架</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液压锁总成</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3</w:t>
            </w:r>
          </w:p>
        </w:tc>
        <w:tc>
          <w:tcPr>
            <w:tcW w:w="883"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二工位</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松装液压锁、减震器</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减振器总成</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4</w:t>
            </w:r>
          </w:p>
        </w:tc>
        <w:tc>
          <w:tcPr>
            <w:tcW w:w="883"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松装门型支架、线束支架</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门型支架总成</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5</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三工位</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分装液压锁油管</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单弯软管</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6</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连接液压锁油管，紧固接头并捆扎拉带</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双弯软管</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7</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四工位</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分装空滤器总成</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空滤器总成</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8</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安装空滤器总成并打紧</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9</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安装高度调节阀支架并打紧</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高度调节阀总成</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10</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五工位</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安装挂车板总成</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挂车板</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11</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安装挂车阀总成</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挂车阀</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12</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连接挂车阀气管并捆扎</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13</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安装燃油粗滤器并打紧</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燃油粗滤器总成</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14</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六工位</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连接并捆扎龙门架线束</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龙门架线束</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4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15</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总成下线+总成配送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rPr>
            </w:pPr>
          </w:p>
        </w:tc>
      </w:tr>
      <w:bookmarkEnd w:id="37"/>
    </w:tbl>
    <w:p>
      <w:pPr>
        <w:widowControl/>
        <w:jc w:val="left"/>
        <w:rPr>
          <w:sz w:val="24"/>
          <w:szCs w:val="24"/>
        </w:rPr>
      </w:pPr>
    </w:p>
    <w:p>
      <w:pPr>
        <w:pStyle w:val="3"/>
        <w:jc w:val="left"/>
      </w:pPr>
      <w:bookmarkStart w:id="38" w:name="_Toc30056"/>
      <w:bookmarkStart w:id="39" w:name="_Toc178067744"/>
      <w:r>
        <w:rPr>
          <w:rFonts w:hint="eastAsia"/>
        </w:rPr>
        <w:t>四、供货范围</w:t>
      </w:r>
      <w:bookmarkEnd w:id="38"/>
      <w:bookmarkEnd w:id="39"/>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包含驾驶室后悬分装线所涉及的设计、采购、制造、运输、装卸、安装、调试、验收及培训等，并交付使用；同时包含安全、环保相关设备的设计、制造、采购任务，并提供相关的售后服务、最终的工艺安装图、电控程序等技术文件,以及必须的备品备件清单。</w:t>
      </w:r>
      <w:bookmarkStart w:id="40" w:name="_Toc11536"/>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1.主要设备、设施</w:t>
      </w:r>
    </w:p>
    <w:tbl>
      <w:tblPr>
        <w:tblStyle w:val="4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1"/>
        <w:gridCol w:w="2404"/>
        <w:gridCol w:w="709"/>
        <w:gridCol w:w="4559"/>
        <w:gridCol w:w="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11" w:type="dxa"/>
            <w:vAlign w:val="center"/>
          </w:tcPr>
          <w:p>
            <w:pPr>
              <w:jc w:val="center"/>
              <w:rPr>
                <w:rFonts w:ascii="宋体" w:hAnsi="宋体" w:cs="宋体"/>
                <w:kern w:val="0"/>
              </w:rPr>
            </w:pPr>
            <w:r>
              <w:rPr>
                <w:rFonts w:hint="eastAsia" w:ascii="宋体" w:hAnsi="宋体" w:cs="宋体"/>
                <w:kern w:val="0"/>
              </w:rPr>
              <w:t>序号</w:t>
            </w:r>
          </w:p>
        </w:tc>
        <w:tc>
          <w:tcPr>
            <w:tcW w:w="2404" w:type="dxa"/>
            <w:tcBorders>
              <w:right w:val="single" w:color="auto" w:sz="4" w:space="0"/>
            </w:tcBorders>
            <w:vAlign w:val="center"/>
          </w:tcPr>
          <w:p>
            <w:pPr>
              <w:jc w:val="center"/>
              <w:rPr>
                <w:rFonts w:ascii="宋体" w:hAnsi="宋体" w:cs="宋体"/>
                <w:kern w:val="0"/>
              </w:rPr>
            </w:pPr>
            <w:r>
              <w:rPr>
                <w:rFonts w:hint="eastAsia" w:ascii="宋体" w:hAnsi="宋体" w:cs="宋体"/>
                <w:kern w:val="0"/>
              </w:rPr>
              <w:t>名称</w:t>
            </w:r>
          </w:p>
        </w:tc>
        <w:tc>
          <w:tcPr>
            <w:tcW w:w="709" w:type="dxa"/>
            <w:vAlign w:val="center"/>
          </w:tcPr>
          <w:p>
            <w:pPr>
              <w:jc w:val="center"/>
              <w:rPr>
                <w:rFonts w:ascii="宋体" w:hAnsi="宋体" w:cs="宋体"/>
                <w:kern w:val="0"/>
              </w:rPr>
            </w:pPr>
            <w:r>
              <w:rPr>
                <w:rFonts w:hint="eastAsia" w:ascii="宋体" w:hAnsi="宋体" w:cs="宋体"/>
                <w:kern w:val="0"/>
              </w:rPr>
              <w:t>数量</w:t>
            </w:r>
          </w:p>
        </w:tc>
        <w:tc>
          <w:tcPr>
            <w:tcW w:w="4559" w:type="dxa"/>
            <w:vAlign w:val="center"/>
          </w:tcPr>
          <w:p>
            <w:pPr>
              <w:jc w:val="center"/>
              <w:rPr>
                <w:rFonts w:ascii="宋体" w:hAnsi="宋体" w:cs="宋体"/>
                <w:kern w:val="0"/>
              </w:rPr>
            </w:pPr>
            <w:r>
              <w:rPr>
                <w:rFonts w:hint="eastAsia" w:ascii="宋体" w:hAnsi="宋体" w:cs="宋体"/>
                <w:kern w:val="0"/>
              </w:rPr>
              <w:t>说明</w:t>
            </w:r>
          </w:p>
        </w:tc>
        <w:tc>
          <w:tcPr>
            <w:tcW w:w="678" w:type="dxa"/>
            <w:vAlign w:val="center"/>
          </w:tcPr>
          <w:p>
            <w:pPr>
              <w:jc w:val="center"/>
              <w:rPr>
                <w:rFonts w:ascii="宋体" w:hAnsi="宋体" w:cs="宋体"/>
                <w:kern w:val="0"/>
              </w:rPr>
            </w:pPr>
            <w:r>
              <w:rPr>
                <w:rFonts w:hint="eastAsia" w:ascii="宋体" w:hAnsi="宋体" w:cs="宋体"/>
                <w:kern w:val="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ascii="宋体" w:hAnsi="宋体" w:cs="宋体"/>
                <w:kern w:val="0"/>
              </w:rPr>
            </w:pPr>
            <w:r>
              <w:rPr>
                <w:rFonts w:hint="eastAsia" w:ascii="宋体" w:hAnsi="宋体" w:cs="宋体"/>
                <w:kern w:val="0"/>
              </w:rPr>
              <w:t>1</w:t>
            </w:r>
          </w:p>
        </w:tc>
        <w:tc>
          <w:tcPr>
            <w:tcW w:w="2404" w:type="dxa"/>
            <w:tcBorders>
              <w:top w:val="single" w:color="auto" w:sz="4" w:space="0"/>
            </w:tcBorders>
            <w:vAlign w:val="center"/>
          </w:tcPr>
          <w:p>
            <w:pPr>
              <w:rPr>
                <w:rFonts w:ascii="宋体" w:hAnsi="宋体" w:cs="宋体"/>
                <w:color w:val="000000"/>
                <w:kern w:val="0"/>
              </w:rPr>
            </w:pPr>
            <w:r>
              <w:rPr>
                <w:rFonts w:hint="eastAsia" w:ascii="宋体" w:hAnsi="宋体" w:cs="宋体"/>
                <w:color w:val="000000"/>
                <w:kern w:val="0"/>
              </w:rPr>
              <w:t>设备主体框架</w:t>
            </w:r>
          </w:p>
        </w:tc>
        <w:tc>
          <w:tcPr>
            <w:tcW w:w="709" w:type="dxa"/>
            <w:tcBorders>
              <w:top w:val="single" w:color="auto" w:sz="4" w:space="0"/>
              <w:bottom w:val="single" w:color="auto" w:sz="4" w:space="0"/>
            </w:tcBorders>
            <w:vAlign w:val="center"/>
          </w:tcPr>
          <w:p>
            <w:pPr>
              <w:jc w:val="center"/>
              <w:rPr>
                <w:rFonts w:ascii="宋体" w:hAnsi="宋体" w:cs="宋体"/>
                <w:kern w:val="0"/>
              </w:rPr>
            </w:pPr>
            <w:r>
              <w:rPr>
                <w:rFonts w:hint="eastAsia" w:ascii="宋体" w:hAnsi="宋体" w:cs="宋体"/>
                <w:kern w:val="0"/>
              </w:rPr>
              <w:t>1</w:t>
            </w:r>
          </w:p>
        </w:tc>
        <w:tc>
          <w:tcPr>
            <w:tcW w:w="4559" w:type="dxa"/>
            <w:tcBorders>
              <w:top w:val="single" w:color="auto" w:sz="4" w:space="0"/>
              <w:bottom w:val="single" w:color="auto" w:sz="4" w:space="0"/>
            </w:tcBorders>
            <w:vAlign w:val="center"/>
          </w:tcPr>
          <w:p>
            <w:pPr>
              <w:jc w:val="left"/>
              <w:rPr>
                <w:rFonts w:ascii="宋体" w:hAnsi="宋体" w:cs="宋体"/>
                <w:kern w:val="0"/>
              </w:rPr>
            </w:pPr>
            <w:r>
              <w:rPr>
                <w:rFonts w:hint="eastAsia" w:ascii="宋体" w:hAnsi="宋体" w:cs="宋体"/>
                <w:kern w:val="0"/>
              </w:rPr>
              <w:t>型材切割加工后，焊接或螺栓连接做设备主体框架。现场安装尽量采用螺栓连接。</w:t>
            </w:r>
          </w:p>
        </w:tc>
        <w:tc>
          <w:tcPr>
            <w:tcW w:w="678" w:type="dxa"/>
            <w:tcBorders>
              <w:top w:val="single" w:color="auto" w:sz="4" w:space="0"/>
            </w:tcBorders>
            <w:vAlign w:val="center"/>
          </w:tcPr>
          <w:p>
            <w:pPr>
              <w:jc w:val="center"/>
              <w:rPr>
                <w:rFonts w:ascii="宋体"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ascii="宋体" w:hAnsi="宋体" w:cs="宋体"/>
                <w:kern w:val="0"/>
              </w:rPr>
            </w:pPr>
            <w:r>
              <w:rPr>
                <w:rFonts w:hint="eastAsia" w:ascii="宋体" w:hAnsi="宋体" w:cs="宋体"/>
                <w:kern w:val="0"/>
              </w:rPr>
              <w:t>2</w:t>
            </w:r>
          </w:p>
        </w:tc>
        <w:tc>
          <w:tcPr>
            <w:tcW w:w="2404" w:type="dxa"/>
            <w:tcBorders>
              <w:top w:val="single" w:color="auto" w:sz="4" w:space="0"/>
            </w:tcBorders>
            <w:vAlign w:val="center"/>
          </w:tcPr>
          <w:p>
            <w:pPr>
              <w:rPr>
                <w:rFonts w:ascii="宋体" w:hAnsi="宋体" w:cs="宋体"/>
                <w:color w:val="000000"/>
              </w:rPr>
            </w:pPr>
            <w:r>
              <w:rPr>
                <w:rFonts w:hint="eastAsia" w:ascii="宋体" w:hAnsi="宋体" w:cs="宋体"/>
                <w:color w:val="000000"/>
              </w:rPr>
              <w:t>驱动部分与链板</w:t>
            </w:r>
          </w:p>
        </w:tc>
        <w:tc>
          <w:tcPr>
            <w:tcW w:w="709" w:type="dxa"/>
            <w:tcBorders>
              <w:top w:val="single" w:color="auto" w:sz="4" w:space="0"/>
              <w:bottom w:val="single" w:color="auto" w:sz="4" w:space="0"/>
            </w:tcBorders>
            <w:vAlign w:val="center"/>
          </w:tcPr>
          <w:p>
            <w:pPr>
              <w:jc w:val="center"/>
              <w:rPr>
                <w:rFonts w:ascii="宋体" w:hAnsi="宋体" w:cs="宋体"/>
                <w:kern w:val="0"/>
              </w:rPr>
            </w:pPr>
            <w:r>
              <w:rPr>
                <w:rFonts w:hint="eastAsia" w:ascii="宋体" w:hAnsi="宋体" w:cs="宋体"/>
                <w:kern w:val="0"/>
              </w:rPr>
              <w:t>1</w:t>
            </w:r>
          </w:p>
        </w:tc>
        <w:tc>
          <w:tcPr>
            <w:tcW w:w="4559" w:type="dxa"/>
            <w:tcBorders>
              <w:top w:val="single" w:color="auto" w:sz="4" w:space="0"/>
              <w:bottom w:val="single" w:color="auto" w:sz="4" w:space="0"/>
            </w:tcBorders>
            <w:vAlign w:val="center"/>
          </w:tcPr>
          <w:p>
            <w:pPr>
              <w:jc w:val="left"/>
              <w:rPr>
                <w:rFonts w:ascii="宋体" w:hAnsi="宋体" w:cs="宋体"/>
                <w:kern w:val="0"/>
              </w:rPr>
            </w:pPr>
            <w:r>
              <w:rPr>
                <w:rFonts w:hint="eastAsia" w:ascii="宋体" w:hAnsi="宋体" w:cs="宋体"/>
                <w:kern w:val="0"/>
              </w:rPr>
              <w:t>驱动电机选用变频减速电机，链条选用耐磨链条，链板用花纹板折弯加工。</w:t>
            </w:r>
          </w:p>
        </w:tc>
        <w:tc>
          <w:tcPr>
            <w:tcW w:w="678" w:type="dxa"/>
            <w:tcBorders>
              <w:top w:val="single" w:color="auto" w:sz="4" w:space="0"/>
            </w:tcBorders>
            <w:vAlign w:val="center"/>
          </w:tcPr>
          <w:p>
            <w:pPr>
              <w:jc w:val="center"/>
              <w:rPr>
                <w:rFonts w:ascii="宋体"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ascii="宋体" w:hAnsi="宋体" w:cs="宋体"/>
                <w:kern w:val="0"/>
              </w:rPr>
            </w:pPr>
            <w:r>
              <w:rPr>
                <w:rFonts w:hint="eastAsia" w:ascii="宋体" w:hAnsi="宋体" w:cs="宋体"/>
                <w:kern w:val="0"/>
              </w:rPr>
              <w:t>3</w:t>
            </w:r>
          </w:p>
        </w:tc>
        <w:tc>
          <w:tcPr>
            <w:tcW w:w="2404" w:type="dxa"/>
            <w:tcBorders>
              <w:top w:val="single" w:color="auto" w:sz="4" w:space="0"/>
            </w:tcBorders>
            <w:vAlign w:val="center"/>
          </w:tcPr>
          <w:p>
            <w:pPr>
              <w:rPr>
                <w:rFonts w:ascii="宋体" w:hAnsi="宋体" w:cs="宋体"/>
                <w:color w:val="000000"/>
              </w:rPr>
            </w:pPr>
            <w:r>
              <w:rPr>
                <w:rFonts w:hint="eastAsia" w:ascii="宋体" w:hAnsi="宋体" w:cs="宋体"/>
                <w:color w:val="000000"/>
              </w:rPr>
              <w:t>控制部分</w:t>
            </w:r>
          </w:p>
        </w:tc>
        <w:tc>
          <w:tcPr>
            <w:tcW w:w="709" w:type="dxa"/>
            <w:tcBorders>
              <w:top w:val="single" w:color="auto" w:sz="4" w:space="0"/>
              <w:bottom w:val="single" w:color="auto" w:sz="4" w:space="0"/>
            </w:tcBorders>
            <w:vAlign w:val="center"/>
          </w:tcPr>
          <w:p>
            <w:pPr>
              <w:jc w:val="center"/>
              <w:rPr>
                <w:rFonts w:ascii="宋体" w:hAnsi="宋体" w:cs="宋体"/>
                <w:kern w:val="0"/>
              </w:rPr>
            </w:pPr>
            <w:r>
              <w:rPr>
                <w:rFonts w:hint="eastAsia" w:ascii="宋体" w:hAnsi="宋体" w:cs="宋体"/>
                <w:kern w:val="0"/>
              </w:rPr>
              <w:t>1</w:t>
            </w:r>
          </w:p>
        </w:tc>
        <w:tc>
          <w:tcPr>
            <w:tcW w:w="4559" w:type="dxa"/>
            <w:tcBorders>
              <w:top w:val="single" w:color="auto" w:sz="4" w:space="0"/>
              <w:bottom w:val="single" w:color="auto" w:sz="4" w:space="0"/>
            </w:tcBorders>
            <w:vAlign w:val="center"/>
          </w:tcPr>
          <w:p>
            <w:pPr>
              <w:widowControl/>
              <w:jc w:val="left"/>
              <w:rPr>
                <w:rFonts w:hint="default" w:ascii="宋体" w:hAnsi="宋体" w:eastAsia="宋体" w:cs="宋体"/>
                <w:kern w:val="0"/>
                <w:lang w:val="en-US" w:eastAsia="zh-CN"/>
              </w:rPr>
            </w:pPr>
            <w:r>
              <w:rPr>
                <w:rFonts w:hint="eastAsia" w:ascii="宋体" w:hAnsi="宋体" w:cs="宋体"/>
                <w:kern w:val="0"/>
                <w:lang w:val="en-US" w:eastAsia="zh-CN"/>
              </w:rPr>
              <w:t>西门子S7系列PLC</w:t>
            </w:r>
          </w:p>
        </w:tc>
        <w:tc>
          <w:tcPr>
            <w:tcW w:w="678" w:type="dxa"/>
            <w:tcBorders>
              <w:top w:val="single" w:color="auto" w:sz="4" w:space="0"/>
            </w:tcBorders>
            <w:vAlign w:val="center"/>
          </w:tcPr>
          <w:p>
            <w:pPr>
              <w:jc w:val="center"/>
              <w:rPr>
                <w:rFonts w:ascii="宋体"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ascii="宋体" w:hAnsi="宋体" w:cs="宋体"/>
                <w:kern w:val="0"/>
              </w:rPr>
            </w:pPr>
            <w:r>
              <w:rPr>
                <w:rFonts w:hint="eastAsia" w:ascii="宋体" w:hAnsi="宋体" w:cs="宋体"/>
                <w:kern w:val="0"/>
              </w:rPr>
              <w:t>4</w:t>
            </w:r>
          </w:p>
        </w:tc>
        <w:tc>
          <w:tcPr>
            <w:tcW w:w="2404" w:type="dxa"/>
            <w:tcBorders>
              <w:top w:val="single" w:color="auto" w:sz="4" w:space="0"/>
            </w:tcBorders>
            <w:vAlign w:val="center"/>
          </w:tcPr>
          <w:p>
            <w:pPr>
              <w:rPr>
                <w:rFonts w:ascii="宋体" w:hAnsi="宋体" w:cs="宋体"/>
                <w:color w:val="000000"/>
              </w:rPr>
            </w:pPr>
            <w:r>
              <w:rPr>
                <w:rFonts w:hint="eastAsia" w:ascii="宋体" w:hAnsi="宋体" w:cs="宋体"/>
                <w:color w:val="000000"/>
              </w:rPr>
              <w:t>安全防护部分</w:t>
            </w:r>
          </w:p>
        </w:tc>
        <w:tc>
          <w:tcPr>
            <w:tcW w:w="709" w:type="dxa"/>
            <w:tcBorders>
              <w:top w:val="single" w:color="auto" w:sz="4" w:space="0"/>
              <w:bottom w:val="single" w:color="auto" w:sz="4" w:space="0"/>
            </w:tcBorders>
            <w:vAlign w:val="center"/>
          </w:tcPr>
          <w:p>
            <w:pPr>
              <w:jc w:val="center"/>
              <w:rPr>
                <w:rFonts w:ascii="宋体" w:hAnsi="宋体" w:cs="宋体"/>
                <w:kern w:val="0"/>
              </w:rPr>
            </w:pPr>
            <w:r>
              <w:rPr>
                <w:rFonts w:hint="eastAsia" w:ascii="宋体" w:hAnsi="宋体" w:cs="宋体"/>
                <w:kern w:val="0"/>
              </w:rPr>
              <w:t>1</w:t>
            </w:r>
          </w:p>
        </w:tc>
        <w:tc>
          <w:tcPr>
            <w:tcW w:w="4559" w:type="dxa"/>
            <w:tcBorders>
              <w:top w:val="single" w:color="auto" w:sz="4" w:space="0"/>
              <w:bottom w:val="single" w:color="auto" w:sz="4" w:space="0"/>
            </w:tcBorders>
            <w:vAlign w:val="center"/>
          </w:tcPr>
          <w:p>
            <w:pPr>
              <w:widowControl/>
              <w:jc w:val="left"/>
              <w:rPr>
                <w:rFonts w:ascii="宋体" w:hAnsi="宋体" w:cs="宋体"/>
                <w:kern w:val="0"/>
              </w:rPr>
            </w:pPr>
            <w:r>
              <w:rPr>
                <w:rFonts w:hint="eastAsia" w:ascii="宋体" w:hAnsi="宋体" w:cs="宋体"/>
                <w:kern w:val="0"/>
              </w:rPr>
              <w:t>线头、线尾、线体侧面、链板与骨架的缝隙处，安装防护钢板，防止挤伤操作人员。</w:t>
            </w:r>
          </w:p>
        </w:tc>
        <w:tc>
          <w:tcPr>
            <w:tcW w:w="678" w:type="dxa"/>
            <w:tcBorders>
              <w:top w:val="single" w:color="auto" w:sz="4" w:space="0"/>
            </w:tcBorders>
            <w:vAlign w:val="center"/>
          </w:tcPr>
          <w:p>
            <w:pPr>
              <w:jc w:val="center"/>
              <w:rPr>
                <w:rFonts w:ascii="宋体" w:hAnsi="宋体" w:cs="宋体"/>
                <w:kern w:val="0"/>
              </w:rPr>
            </w:pPr>
          </w:p>
        </w:tc>
      </w:tr>
      <w:bookmarkEnd w:id="40"/>
    </w:tbl>
    <w:p>
      <w:pPr>
        <w:spacing w:line="360" w:lineRule="auto"/>
        <w:rPr>
          <w:rFonts w:asciiTheme="minorEastAsia" w:hAnsiTheme="minorEastAsia" w:eastAsiaTheme="minorEastAsia"/>
          <w:sz w:val="28"/>
          <w:szCs w:val="28"/>
        </w:rPr>
      </w:pP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2.主要器件品牌表</w:t>
      </w:r>
    </w:p>
    <w:tbl>
      <w:tblPr>
        <w:tblStyle w:val="41"/>
        <w:tblW w:w="9042" w:type="dxa"/>
        <w:tblInd w:w="93" w:type="dxa"/>
        <w:tblLayout w:type="fixed"/>
        <w:tblCellMar>
          <w:top w:w="0" w:type="dxa"/>
          <w:left w:w="108" w:type="dxa"/>
          <w:bottom w:w="0" w:type="dxa"/>
          <w:right w:w="108" w:type="dxa"/>
        </w:tblCellMar>
      </w:tblPr>
      <w:tblGrid>
        <w:gridCol w:w="656"/>
        <w:gridCol w:w="3170"/>
        <w:gridCol w:w="3726"/>
        <w:gridCol w:w="1490"/>
      </w:tblGrid>
      <w:tr>
        <w:tblPrEx>
          <w:tblCellMar>
            <w:top w:w="0" w:type="dxa"/>
            <w:left w:w="108" w:type="dxa"/>
            <w:bottom w:w="0" w:type="dxa"/>
            <w:right w:w="108" w:type="dxa"/>
          </w:tblCellMar>
        </w:tblPrEx>
        <w:trPr>
          <w:trHeight w:val="454" w:hRule="atLeast"/>
        </w:trPr>
        <w:tc>
          <w:tcPr>
            <w:tcW w:w="65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jc w:val="center"/>
              <w:textAlignment w:val="center"/>
              <w:rPr>
                <w:rFonts w:ascii="宋体" w:hAnsi="宋体" w:cs="宋体"/>
                <w:color w:val="000000"/>
              </w:rPr>
            </w:pPr>
            <w:r>
              <w:rPr>
                <w:rStyle w:val="140"/>
                <w:rFonts w:hint="default" w:ascii="宋体" w:hAnsi="宋体" w:eastAsia="宋体" w:cs="宋体"/>
                <w:b w:val="0"/>
                <w:bCs w:val="0"/>
                <w:sz w:val="21"/>
                <w:szCs w:val="21"/>
                <w:lang w:bidi="ar"/>
              </w:rPr>
              <w:t>序号</w:t>
            </w:r>
          </w:p>
        </w:tc>
        <w:tc>
          <w:tcPr>
            <w:tcW w:w="3170"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ascii="宋体" w:hAnsi="宋体" w:cs="宋体"/>
                <w:color w:val="000000"/>
              </w:rPr>
            </w:pPr>
            <w:r>
              <w:rPr>
                <w:rStyle w:val="140"/>
                <w:rFonts w:hint="default" w:ascii="宋体" w:hAnsi="宋体" w:eastAsia="宋体" w:cs="宋体"/>
                <w:b w:val="0"/>
                <w:bCs w:val="0"/>
                <w:sz w:val="21"/>
                <w:szCs w:val="21"/>
                <w:lang w:bidi="ar"/>
              </w:rPr>
              <w:t>名称</w:t>
            </w:r>
          </w:p>
        </w:tc>
        <w:tc>
          <w:tcPr>
            <w:tcW w:w="3726"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ascii="宋体" w:hAnsi="宋体" w:cs="宋体"/>
                <w:color w:val="000000"/>
              </w:rPr>
            </w:pPr>
            <w:r>
              <w:rPr>
                <w:rStyle w:val="140"/>
                <w:rFonts w:hint="default" w:ascii="宋体" w:hAnsi="宋体" w:eastAsia="宋体" w:cs="宋体"/>
                <w:b w:val="0"/>
                <w:bCs w:val="0"/>
                <w:sz w:val="21"/>
                <w:szCs w:val="21"/>
                <w:lang w:bidi="ar"/>
              </w:rPr>
              <w:t>品牌</w:t>
            </w:r>
          </w:p>
        </w:tc>
        <w:tc>
          <w:tcPr>
            <w:tcW w:w="1490"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ascii="宋体" w:hAnsi="宋体" w:cs="宋体"/>
                <w:color w:val="000000"/>
              </w:rPr>
            </w:pPr>
            <w:r>
              <w:rPr>
                <w:rStyle w:val="140"/>
                <w:rFonts w:hint="default" w:ascii="宋体" w:hAnsi="宋体" w:eastAsia="宋体" w:cs="宋体"/>
                <w:b w:val="0"/>
                <w:bCs w:val="0"/>
                <w:sz w:val="21"/>
                <w:szCs w:val="21"/>
                <w:lang w:bidi="ar"/>
              </w:rPr>
              <w:t>型号</w:t>
            </w: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1"/>
                <w:rFonts w:hint="default" w:ascii="宋体" w:hAnsi="宋体" w:eastAsia="宋体" w:cs="宋体"/>
                <w:sz w:val="21"/>
                <w:szCs w:val="21"/>
                <w:lang w:bidi="ar"/>
              </w:rPr>
              <w:t>电气柜</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kern w:val="0"/>
              </w:rPr>
              <w:t>仿威图</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空调</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RITAL或同等品牌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风冷、蒸发式</w:t>
            </w: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PLC</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SIEMENS/OMRON</w:t>
            </w:r>
            <w:r>
              <w:rPr>
                <w:rStyle w:val="141"/>
                <w:rFonts w:hint="default" w:ascii="宋体" w:hAnsi="宋体" w:eastAsia="宋体" w:cs="宋体"/>
                <w:sz w:val="21"/>
                <w:szCs w:val="21"/>
                <w:lang w:bidi="ar"/>
              </w:rPr>
              <w:t>/施耐德或同等品牌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HMI</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SIEMENS/OMRON</w:t>
            </w:r>
            <w:r>
              <w:rPr>
                <w:rStyle w:val="141"/>
                <w:rFonts w:hint="default" w:ascii="宋体" w:hAnsi="宋体" w:eastAsia="宋体" w:cs="宋体"/>
                <w:sz w:val="21"/>
                <w:szCs w:val="21"/>
                <w:lang w:bidi="ar"/>
              </w:rPr>
              <w:t>/施耐德或同等品牌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三色柱灯</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SIEMENS/施耐德/邦纳或同等品牌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交换机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SIEMENS/赫斯曼/MOXA/施耐德</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熔断器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微型断路器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电机断路器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接触器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热继电器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中间继电器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安全继电器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PLIZ/OMRON/施耐德或同等品牌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伺服电机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SIEMENS/SEW</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伺服驱动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SIEMENS/SEW</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变频器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SIEMENS/SEW</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选择开关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SIEMENS/Schneider</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急停开关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SIEMENS/Schneider</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19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按钮</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SIEMENS/Schneider</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指示灯</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val="de-DE" w:bidi="ar"/>
              </w:rPr>
            </w:pPr>
            <w:r>
              <w:rPr>
                <w:rStyle w:val="141"/>
                <w:rFonts w:hint="default" w:ascii="宋体" w:hAnsi="宋体" w:eastAsia="宋体" w:cs="宋体"/>
                <w:sz w:val="21"/>
                <w:szCs w:val="21"/>
                <w:lang w:val="de-DE" w:bidi="ar"/>
              </w:rPr>
              <w:t>SIEMENS/Schneider</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电源插座</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Schneider或同等品牌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端子</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1"/>
                <w:rFonts w:hint="default" w:ascii="宋体" w:hAnsi="宋体" w:eastAsia="宋体" w:cs="宋体"/>
                <w:sz w:val="21"/>
                <w:szCs w:val="21"/>
                <w:lang w:bidi="ar"/>
              </w:rPr>
            </w:pPr>
            <w:r>
              <w:rPr>
                <w:rStyle w:val="141"/>
                <w:rFonts w:hint="default" w:ascii="宋体" w:hAnsi="宋体" w:eastAsia="宋体" w:cs="宋体"/>
                <w:sz w:val="21"/>
                <w:szCs w:val="21"/>
                <w:lang w:bidi="ar"/>
              </w:rPr>
              <w:t>PHOENIX/WEIDMULLER//施耐德或同等品牌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1"/>
                <w:rFonts w:hint="default"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1"/>
                <w:rFonts w:hint="default" w:ascii="宋体" w:hAnsi="宋体" w:eastAsia="宋体" w:cs="宋体"/>
                <w:sz w:val="21"/>
                <w:szCs w:val="21"/>
                <w:lang w:bidi="ar"/>
              </w:rPr>
              <w:t>安全门锁</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lang w:val="de-DE"/>
              </w:rPr>
            </w:pPr>
            <w:r>
              <w:rPr>
                <w:rFonts w:hint="eastAsia" w:ascii="宋体" w:hAnsi="宋体" w:cs="宋体"/>
                <w:color w:val="000000"/>
                <w:kern w:val="0"/>
                <w:lang w:val="de-DE" w:bidi="ar"/>
              </w:rPr>
              <w:t>EUCHNER/OMRON</w:t>
            </w:r>
            <w:r>
              <w:rPr>
                <w:rStyle w:val="141"/>
                <w:rFonts w:hint="default" w:ascii="宋体" w:hAnsi="宋体" w:eastAsia="宋体" w:cs="宋体"/>
                <w:sz w:val="21"/>
                <w:szCs w:val="21"/>
                <w:lang w:bidi="ar"/>
              </w:rPr>
              <w:t>/施耐德</w:t>
            </w:r>
            <w:r>
              <w:rPr>
                <w:rFonts w:hint="eastAsia" w:ascii="宋体" w:hAnsi="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1"/>
                <w:rFonts w:hint="default" w:ascii="宋体" w:hAnsi="宋体" w:eastAsia="宋体" w:cs="宋体"/>
                <w:sz w:val="21"/>
                <w:szCs w:val="21"/>
                <w:lang w:bidi="ar"/>
              </w:rPr>
              <w:t>工位照明</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飞利浦</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1"/>
                <w:rFonts w:hint="default" w:ascii="宋体" w:hAnsi="宋体" w:eastAsia="宋体" w:cs="宋体"/>
                <w:sz w:val="21"/>
                <w:szCs w:val="21"/>
                <w:lang w:bidi="ar"/>
              </w:rPr>
              <w:t>传感器接插线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Style w:val="142"/>
                <w:rFonts w:hint="default" w:ascii="宋体" w:hAnsi="宋体" w:eastAsia="宋体" w:cs="宋体"/>
                <w:sz w:val="21"/>
                <w:szCs w:val="21"/>
                <w:lang w:bidi="ar"/>
              </w:rPr>
              <w:t>Balluff</w:t>
            </w:r>
            <w:r>
              <w:rPr>
                <w:rStyle w:val="141"/>
                <w:rFonts w:hint="default" w:ascii="宋体" w:hAnsi="宋体" w:eastAsia="宋体" w:cs="宋体"/>
                <w:sz w:val="21"/>
                <w:szCs w:val="21"/>
                <w:lang w:bidi="ar"/>
              </w:rPr>
              <w:t>或</w:t>
            </w:r>
            <w:r>
              <w:rPr>
                <w:rStyle w:val="142"/>
                <w:rFonts w:hint="default" w:ascii="宋体" w:hAnsi="宋体" w:eastAsia="宋体" w:cs="宋体"/>
                <w:sz w:val="21"/>
                <w:szCs w:val="21"/>
                <w:lang w:bidi="ar"/>
              </w:rPr>
              <w:t>TRUCK</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1"/>
                <w:rFonts w:hint="default" w:ascii="宋体" w:hAnsi="宋体" w:eastAsia="宋体" w:cs="宋体"/>
                <w:sz w:val="21"/>
                <w:szCs w:val="21"/>
                <w:lang w:bidi="ar"/>
              </w:rPr>
              <w:t>电线电缆</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COLAN</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HMI</w:t>
            </w:r>
            <w:r>
              <w:rPr>
                <w:rStyle w:val="141"/>
                <w:rFonts w:hint="default" w:ascii="宋体" w:hAnsi="宋体" w:eastAsia="宋体" w:cs="宋体"/>
                <w:sz w:val="21"/>
                <w:szCs w:val="21"/>
                <w:lang w:bidi="ar"/>
              </w:rPr>
              <w:t>悬臂</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RITAL</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28</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Fonts w:hint="eastAsia" w:ascii="宋体" w:hAnsi="宋体" w:cs="宋体"/>
                <w:color w:val="000000"/>
                <w:kern w:val="0"/>
                <w:lang w:bidi="ar"/>
              </w:rPr>
              <w:t>HMI</w:t>
            </w:r>
            <w:r>
              <w:rPr>
                <w:rStyle w:val="141"/>
                <w:rFonts w:hint="default" w:ascii="宋体" w:hAnsi="宋体" w:eastAsia="宋体" w:cs="宋体"/>
                <w:sz w:val="21"/>
                <w:szCs w:val="21"/>
                <w:lang w:bidi="ar"/>
              </w:rPr>
              <w:t>柜子</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RITAL</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rPr>
              <w:t>29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1"/>
                <w:rFonts w:hint="default" w:ascii="宋体" w:hAnsi="宋体" w:eastAsia="宋体" w:cs="宋体"/>
                <w:sz w:val="21"/>
                <w:szCs w:val="21"/>
                <w:lang w:bidi="ar"/>
              </w:rPr>
              <w:t>预制线（</w:t>
            </w:r>
            <w:r>
              <w:rPr>
                <w:rFonts w:hint="eastAsia" w:ascii="宋体" w:hAnsi="宋体" w:cs="宋体"/>
                <w:color w:val="000000"/>
                <w:kern w:val="0"/>
                <w:lang w:bidi="ar"/>
              </w:rPr>
              <w:t>profinet</w:t>
            </w:r>
            <w:r>
              <w:rPr>
                <w:rStyle w:val="141"/>
                <w:rFonts w:hint="default" w:ascii="宋体" w:hAnsi="宋体" w:eastAsia="宋体" w:cs="宋体"/>
                <w:sz w:val="21"/>
                <w:szCs w:val="21"/>
                <w:lang w:bidi="ar"/>
              </w:rPr>
              <w:t>接插线）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lang w:val="de-DE"/>
              </w:rPr>
            </w:pPr>
            <w:r>
              <w:rPr>
                <w:rFonts w:hint="eastAsia" w:ascii="宋体" w:hAnsi="宋体" w:cs="宋体"/>
                <w:color w:val="000000"/>
                <w:kern w:val="0"/>
                <w:lang w:val="de-DE" w:bidi="ar"/>
              </w:rPr>
              <w:t>MURR/SIEMENS</w:t>
            </w:r>
            <w:r>
              <w:rPr>
                <w:rFonts w:hint="eastAsia" w:ascii="宋体" w:hAnsi="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30</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Fonts w:hint="eastAsia" w:ascii="宋体" w:hAnsi="宋体" w:cs="宋体"/>
                <w:color w:val="000000"/>
                <w:kern w:val="0"/>
                <w:lang w:bidi="ar"/>
              </w:rPr>
              <w:t xml:space="preserve">profinet </w:t>
            </w:r>
            <w:r>
              <w:rPr>
                <w:rStyle w:val="141"/>
                <w:rFonts w:hint="default" w:ascii="宋体" w:hAnsi="宋体" w:eastAsia="宋体" w:cs="宋体"/>
                <w:sz w:val="21"/>
                <w:szCs w:val="21"/>
                <w:lang w:bidi="ar"/>
              </w:rPr>
              <w:t>电缆</w:t>
            </w:r>
            <w:r>
              <w:rPr>
                <w:rFonts w:hint="eastAsia" w:ascii="宋体" w:hAnsi="宋体" w:cs="宋体"/>
                <w:color w:val="000000"/>
                <w:kern w:val="0"/>
                <w:lang w:bidi="ar"/>
              </w:rPr>
              <w:t>(</w:t>
            </w:r>
            <w:r>
              <w:rPr>
                <w:rStyle w:val="141"/>
                <w:rFonts w:hint="default" w:ascii="宋体" w:hAnsi="宋体" w:eastAsia="宋体" w:cs="宋体"/>
                <w:sz w:val="21"/>
                <w:szCs w:val="21"/>
                <w:lang w:bidi="ar"/>
              </w:rPr>
              <w:t>非预铸线</w:t>
            </w:r>
            <w:r>
              <w:rPr>
                <w:rFonts w:hint="eastAsia" w:ascii="宋体" w:hAnsi="宋体" w:cs="宋体"/>
                <w:color w:val="000000"/>
                <w:kern w:val="0"/>
                <w:lang w:bidi="ar"/>
              </w:rPr>
              <w:t>)</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SIEMENS或同等品牌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31</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Style w:val="141"/>
                <w:rFonts w:hint="default" w:ascii="宋体" w:hAnsi="宋体" w:eastAsia="宋体" w:cs="宋体"/>
                <w:sz w:val="21"/>
                <w:szCs w:val="21"/>
                <w:lang w:bidi="ar"/>
              </w:rPr>
              <w:t>智能电流分配器</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ascii="宋体" w:hAnsi="宋体" w:cs="宋体"/>
                <w:color w:val="000000"/>
              </w:rPr>
            </w:pPr>
            <w:r>
              <w:rPr>
                <w:rFonts w:hint="eastAsia" w:ascii="宋体" w:hAnsi="宋体" w:cs="宋体"/>
                <w:color w:val="000000"/>
                <w:kern w:val="0"/>
                <w:lang w:bidi="ar"/>
              </w:rPr>
              <w:t>MURR/</w:t>
            </w:r>
            <w:r>
              <w:rPr>
                <w:rStyle w:val="141"/>
                <w:rFonts w:hint="default" w:ascii="宋体" w:hAnsi="宋体" w:eastAsia="宋体" w:cs="宋体"/>
                <w:sz w:val="21"/>
                <w:szCs w:val="21"/>
                <w:lang w:bidi="ar"/>
              </w:rPr>
              <w:t>普尔士或同等品牌</w:t>
            </w:r>
          </w:p>
        </w:tc>
        <w:tc>
          <w:tcPr>
            <w:tcW w:w="1490" w:type="dxa"/>
            <w:tcBorders>
              <w:top w:val="nil"/>
              <w:left w:val="nil"/>
              <w:bottom w:val="single" w:color="000000" w:sz="8" w:space="0"/>
              <w:right w:val="single" w:color="000000" w:sz="8" w:space="0"/>
            </w:tcBorders>
            <w:shd w:val="clear" w:color="auto" w:fill="auto"/>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32</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Style w:val="141"/>
                <w:rFonts w:hint="default" w:ascii="宋体" w:hAnsi="宋体" w:eastAsia="宋体" w:cs="宋体"/>
                <w:sz w:val="21"/>
                <w:szCs w:val="21"/>
                <w:lang w:bidi="ar"/>
              </w:rPr>
              <w:t>四孔按钮</w:t>
            </w:r>
            <w:r>
              <w:rPr>
                <w:rFonts w:hint="eastAsia" w:ascii="宋体" w:hAnsi="宋体" w:cs="宋体"/>
                <w:color w:val="000000"/>
                <w:kern w:val="0"/>
                <w:lang w:bidi="ar"/>
              </w:rPr>
              <w:t>+</w:t>
            </w:r>
            <w:r>
              <w:rPr>
                <w:rStyle w:val="141"/>
                <w:rFonts w:hint="default" w:ascii="宋体" w:hAnsi="宋体" w:eastAsia="宋体" w:cs="宋体"/>
                <w:sz w:val="21"/>
                <w:szCs w:val="21"/>
                <w:lang w:bidi="ar"/>
              </w:rPr>
              <w:t>急停</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lang w:val="de-DE"/>
              </w:rPr>
            </w:pPr>
            <w:r>
              <w:rPr>
                <w:rFonts w:hint="eastAsia" w:ascii="宋体" w:hAnsi="宋体" w:cs="宋体"/>
                <w:color w:val="000000"/>
                <w:kern w:val="0"/>
                <w:lang w:val="de-DE" w:bidi="ar"/>
              </w:rPr>
              <w:t>SIEMENS</w:t>
            </w:r>
            <w:r>
              <w:rPr>
                <w:rStyle w:val="142"/>
                <w:rFonts w:hint="default" w:ascii="宋体" w:hAnsi="宋体" w:eastAsia="宋体" w:cs="宋体"/>
                <w:sz w:val="21"/>
                <w:szCs w:val="21"/>
                <w:lang w:val="de-DE" w:bidi="ar"/>
              </w:rPr>
              <w:t>/Schneider</w:t>
            </w:r>
            <w:r>
              <w:rPr>
                <w:rFonts w:hint="eastAsia" w:ascii="宋体" w:hAnsi="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33</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Style w:val="141"/>
                <w:rFonts w:hint="default" w:ascii="宋体" w:hAnsi="宋体" w:eastAsia="宋体" w:cs="宋体"/>
                <w:sz w:val="21"/>
                <w:szCs w:val="21"/>
                <w:lang w:bidi="ar"/>
              </w:rPr>
              <w:t>电缆标签</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MURR或同等品牌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34</w:t>
            </w:r>
          </w:p>
        </w:tc>
        <w:tc>
          <w:tcPr>
            <w:tcW w:w="317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rPr>
            </w:pPr>
            <w:r>
              <w:rPr>
                <w:rStyle w:val="141"/>
                <w:rFonts w:hint="default" w:ascii="宋体" w:hAnsi="宋体" w:eastAsia="宋体" w:cs="宋体"/>
                <w:sz w:val="21"/>
                <w:szCs w:val="21"/>
                <w:lang w:bidi="ar"/>
              </w:rPr>
              <w:t>前置面板接口套件</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ascii="宋体" w:hAnsi="宋体" w:cs="宋体"/>
                <w:color w:val="000000"/>
              </w:rPr>
            </w:pPr>
            <w:r>
              <w:rPr>
                <w:rFonts w:hint="eastAsia" w:ascii="宋体" w:hAnsi="宋体" w:cs="宋体"/>
                <w:color w:val="000000"/>
                <w:kern w:val="0"/>
                <w:lang w:bidi="ar"/>
              </w:rPr>
              <w:t>MURR</w:t>
            </w:r>
            <w:r>
              <w:rPr>
                <w:rStyle w:val="141"/>
                <w:rFonts w:hint="default" w:ascii="宋体" w:hAnsi="宋体" w:eastAsia="宋体" w:cs="宋体"/>
                <w:sz w:val="21"/>
                <w:szCs w:val="21"/>
                <w:lang w:bidi="ar"/>
              </w:rPr>
              <w:t>/施耐德</w:t>
            </w:r>
            <w:r>
              <w:rPr>
                <w:rFonts w:hint="eastAsia" w:ascii="宋体" w:hAnsi="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35</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Style w:val="141"/>
                <w:rFonts w:hint="default" w:ascii="宋体" w:hAnsi="宋体" w:eastAsia="宋体" w:cs="宋体"/>
                <w:sz w:val="21"/>
                <w:szCs w:val="21"/>
                <w:lang w:bidi="ar"/>
              </w:rPr>
              <w:t>接近开关</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ascii="宋体" w:hAnsi="宋体" w:cs="宋体"/>
                <w:color w:val="000000"/>
              </w:rPr>
            </w:pPr>
            <w:r>
              <w:rPr>
                <w:rFonts w:hint="eastAsia" w:ascii="宋体" w:hAnsi="宋体" w:cs="宋体"/>
                <w:color w:val="000000"/>
                <w:kern w:val="0"/>
                <w:lang w:bidi="ar"/>
              </w:rPr>
              <w:t>BALUFF</w:t>
            </w:r>
            <w:r>
              <w:rPr>
                <w:rStyle w:val="141"/>
                <w:rFonts w:hint="default" w:ascii="宋体" w:hAnsi="宋体" w:eastAsia="宋体" w:cs="宋体"/>
                <w:sz w:val="21"/>
                <w:szCs w:val="21"/>
                <w:lang w:bidi="ar"/>
              </w:rPr>
              <w:t>/施耐德</w:t>
            </w:r>
            <w:r>
              <w:rPr>
                <w:rFonts w:hint="eastAsia" w:ascii="宋体" w:hAnsi="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36</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Style w:val="141"/>
                <w:rFonts w:hint="default" w:ascii="宋体" w:hAnsi="宋体" w:eastAsia="宋体" w:cs="宋体"/>
                <w:sz w:val="21"/>
                <w:szCs w:val="21"/>
                <w:lang w:bidi="ar"/>
              </w:rPr>
              <w:t>光电开关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BALUFF</w:t>
            </w:r>
            <w:r>
              <w:rPr>
                <w:rStyle w:val="141"/>
                <w:rFonts w:hint="default" w:ascii="宋体" w:hAnsi="宋体" w:eastAsia="宋体" w:cs="宋体"/>
                <w:sz w:val="21"/>
                <w:szCs w:val="21"/>
                <w:lang w:bidi="ar"/>
              </w:rPr>
              <w:t>/施耐德</w:t>
            </w:r>
            <w:r>
              <w:rPr>
                <w:rFonts w:hint="eastAsia" w:ascii="宋体" w:hAnsi="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气动元件</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ascii="宋体" w:hAnsi="宋体" w:cs="宋体"/>
                <w:color w:val="000000"/>
                <w:lang w:val="de-DE"/>
              </w:rPr>
            </w:pPr>
            <w:r>
              <w:rPr>
                <w:rFonts w:hint="eastAsia" w:ascii="宋体" w:hAnsi="宋体" w:cs="宋体"/>
                <w:color w:val="000000"/>
                <w:kern w:val="0"/>
                <w:lang w:val="de-DE" w:bidi="ar"/>
              </w:rPr>
              <w:t>FESTO/SMC</w:t>
            </w:r>
            <w:r>
              <w:rPr>
                <w:rFonts w:hint="eastAsia" w:ascii="宋体" w:hAnsi="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ascii="宋体" w:hAnsi="宋体" w:cs="宋体"/>
                <w:color w:val="000000"/>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3"/>
                <w:rFonts w:hint="default" w:ascii="宋体" w:hAnsi="宋体" w:eastAsia="宋体" w:cs="宋体"/>
                <w:lang w:bidi="ar"/>
              </w:rPr>
              <w:t>直线轴承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Style w:val="144"/>
                <w:rFonts w:hint="eastAsia" w:ascii="宋体" w:hAnsi="宋体" w:cs="宋体"/>
                <w:lang w:bidi="ar"/>
              </w:rPr>
              <w:t>THK</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39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3"/>
                <w:rFonts w:hint="default" w:ascii="宋体" w:hAnsi="宋体" w:eastAsia="宋体" w:cs="宋体"/>
                <w:lang w:bidi="ar"/>
              </w:rPr>
              <w:t>润滑系统</w:t>
            </w:r>
            <w:r>
              <w:rPr>
                <w:rStyle w:val="144"/>
                <w:rFonts w:hint="eastAsia" w:ascii="宋体" w:hAnsi="宋体" w:cs="宋体"/>
                <w:lang w:bidi="ar"/>
              </w:rPr>
              <w:t>/</w:t>
            </w:r>
            <w:r>
              <w:rPr>
                <w:rStyle w:val="143"/>
                <w:rFonts w:hint="default" w:ascii="宋体" w:hAnsi="宋体" w:eastAsia="宋体" w:cs="宋体"/>
                <w:lang w:bidi="ar"/>
              </w:rPr>
              <w:t>涂油脂装置</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SKF/VOGEL</w:t>
            </w:r>
            <w:r>
              <w:rPr>
                <w:rStyle w:val="145"/>
                <w:rFonts w:hint="default"/>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40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Style w:val="143"/>
                <w:rFonts w:hint="default" w:ascii="宋体" w:hAnsi="宋体" w:eastAsia="宋体" w:cs="宋体"/>
                <w:lang w:bidi="ar"/>
              </w:rPr>
              <w:t>关键部件轴承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Style w:val="144"/>
                <w:rFonts w:hint="eastAsia" w:ascii="宋体" w:hAnsi="宋体" w:cs="宋体"/>
                <w:lang w:bidi="ar"/>
              </w:rPr>
              <w:t>SKF</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41</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Style w:val="141"/>
                <w:rFonts w:hint="default" w:ascii="宋体" w:hAnsi="宋体" w:eastAsia="宋体" w:cs="宋体"/>
                <w:sz w:val="21"/>
                <w:szCs w:val="21"/>
                <w:lang w:bidi="ar"/>
              </w:rPr>
              <w:t>液压元件</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Parker</w:t>
            </w:r>
            <w:r>
              <w:rPr>
                <w:rStyle w:val="141"/>
                <w:rFonts w:hint="default"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ascii="宋体" w:hAnsi="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rPr>
            </w:pPr>
            <w:r>
              <w:rPr>
                <w:rFonts w:hint="eastAsia" w:ascii="宋体" w:hAnsi="宋体" w:cs="宋体"/>
                <w:color w:val="000000"/>
                <w:kern w:val="0"/>
                <w:lang w:bidi="ar"/>
              </w:rPr>
              <w:t>42</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ascii="宋体" w:hAnsi="宋体" w:cs="宋体"/>
                <w:color w:val="000000"/>
              </w:rPr>
            </w:pPr>
            <w:r>
              <w:rPr>
                <w:rStyle w:val="141"/>
                <w:rFonts w:hint="default" w:ascii="宋体" w:hAnsi="宋体" w:eastAsia="宋体" w:cs="宋体"/>
                <w:sz w:val="21"/>
                <w:szCs w:val="21"/>
                <w:lang w:bidi="ar"/>
              </w:rPr>
              <w:t>电机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ascii="宋体" w:hAnsi="宋体" w:cs="宋体"/>
                <w:color w:val="000000"/>
              </w:rPr>
            </w:pPr>
            <w:r>
              <w:rPr>
                <w:rFonts w:hint="eastAsia" w:ascii="宋体" w:hAnsi="宋体" w:cs="宋体"/>
                <w:color w:val="000000"/>
                <w:kern w:val="0"/>
                <w:lang w:bidi="ar"/>
              </w:rPr>
              <w:t>SEW或同等品牌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ascii="宋体" w:hAnsi="宋体" w:cs="宋体"/>
                <w:color w:val="000000"/>
              </w:rPr>
            </w:pPr>
          </w:p>
        </w:tc>
      </w:tr>
    </w:tbl>
    <w:p>
      <w:pPr>
        <w:spacing w:line="360" w:lineRule="auto"/>
        <w:rPr>
          <w:rFonts w:ascii="宋体" w:hAnsi="宋体" w:cs="宋体"/>
        </w:rPr>
      </w:pPr>
    </w:p>
    <w:p>
      <w:pPr>
        <w:spacing w:line="360" w:lineRule="auto"/>
        <w:rPr>
          <w:rFonts w:ascii="宋体" w:hAnsi="宋体" w:cs="宋体"/>
          <w:sz w:val="24"/>
          <w:szCs w:val="24"/>
        </w:rPr>
      </w:pPr>
      <w:r>
        <w:rPr>
          <w:rFonts w:hint="eastAsia" w:ascii="宋体" w:hAnsi="宋体" w:cs="宋体"/>
          <w:sz w:val="24"/>
          <w:szCs w:val="24"/>
        </w:rPr>
        <w:t>3.投标方在图纸会签和技术协议中应说明所用配置具体产品品牌、规格、型号、参数、数量、产地等，满足招标方使用要求。</w:t>
      </w:r>
    </w:p>
    <w:p>
      <w:pPr>
        <w:spacing w:line="360" w:lineRule="auto"/>
        <w:rPr>
          <w:rFonts w:ascii="宋体" w:hAnsi="宋体" w:cs="宋体"/>
          <w:sz w:val="24"/>
          <w:szCs w:val="24"/>
        </w:rPr>
      </w:pPr>
      <w:r>
        <w:rPr>
          <w:rFonts w:hint="eastAsia" w:ascii="宋体" w:hAnsi="宋体" w:cs="宋体"/>
          <w:sz w:val="24"/>
          <w:szCs w:val="24"/>
        </w:rPr>
        <w:t>4.设备表面漆面颜色符合《Q-ZZ 30070 设备设施颜色标识》规定，外观无明显缺陷。</w:t>
      </w:r>
    </w:p>
    <w:p>
      <w:pPr>
        <w:spacing w:line="360" w:lineRule="auto"/>
        <w:rPr>
          <w:rFonts w:ascii="宋体" w:hAnsi="宋体" w:cs="宋体"/>
          <w:sz w:val="24"/>
          <w:szCs w:val="24"/>
        </w:rPr>
      </w:pPr>
      <w:r>
        <w:rPr>
          <w:rFonts w:hint="eastAsia" w:ascii="宋体" w:hAnsi="宋体" w:cs="宋体"/>
          <w:sz w:val="24"/>
          <w:szCs w:val="24"/>
        </w:rPr>
        <w:t>5.工程界面</w:t>
      </w:r>
    </w:p>
    <w:tbl>
      <w:tblPr>
        <w:tblStyle w:val="41"/>
        <w:tblpPr w:leftFromText="180" w:rightFromText="180" w:vertAnchor="text" w:horzAnchor="page" w:tblpX="1340" w:tblpY="241"/>
        <w:tblOverlap w:val="never"/>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5100"/>
        <w:gridCol w:w="1338"/>
        <w:gridCol w:w="152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序号</w:t>
            </w:r>
          </w:p>
        </w:tc>
        <w:tc>
          <w:tcPr>
            <w:tcW w:w="5100" w:type="dxa"/>
            <w:vAlign w:val="center"/>
          </w:tcPr>
          <w:p>
            <w:pPr>
              <w:jc w:val="center"/>
              <w:rPr>
                <w:rFonts w:ascii="宋体" w:hAnsi="宋体" w:cs="宋体"/>
              </w:rPr>
            </w:pPr>
            <w:r>
              <w:rPr>
                <w:rFonts w:hint="eastAsia" w:ascii="宋体" w:hAnsi="宋体" w:cs="宋体"/>
              </w:rPr>
              <w:t>内容</w:t>
            </w:r>
          </w:p>
        </w:tc>
        <w:tc>
          <w:tcPr>
            <w:tcW w:w="1338" w:type="dxa"/>
            <w:vAlign w:val="center"/>
          </w:tcPr>
          <w:p>
            <w:pPr>
              <w:jc w:val="center"/>
              <w:rPr>
                <w:rFonts w:ascii="宋体" w:hAnsi="宋体" w:cs="宋体"/>
              </w:rPr>
            </w:pPr>
            <w:r>
              <w:rPr>
                <w:rFonts w:hint="eastAsia" w:ascii="宋体" w:hAnsi="宋体" w:cs="宋体"/>
              </w:rPr>
              <w:t>招标方</w:t>
            </w:r>
          </w:p>
        </w:tc>
        <w:tc>
          <w:tcPr>
            <w:tcW w:w="1525" w:type="dxa"/>
            <w:vAlign w:val="center"/>
          </w:tcPr>
          <w:p>
            <w:pPr>
              <w:jc w:val="center"/>
              <w:rPr>
                <w:rFonts w:ascii="宋体" w:hAnsi="宋体" w:cs="宋体"/>
              </w:rPr>
            </w:pPr>
            <w:r>
              <w:rPr>
                <w:rFonts w:hint="eastAsia" w:ascii="宋体" w:hAnsi="宋体" w:cs="宋体"/>
              </w:rPr>
              <w:t>投标方</w:t>
            </w:r>
          </w:p>
        </w:tc>
        <w:tc>
          <w:tcPr>
            <w:tcW w:w="859" w:type="dxa"/>
            <w:vAlign w:val="center"/>
          </w:tcPr>
          <w:p>
            <w:pPr>
              <w:jc w:val="center"/>
              <w:rPr>
                <w:rFonts w:ascii="宋体" w:hAns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1</w:t>
            </w:r>
          </w:p>
        </w:tc>
        <w:tc>
          <w:tcPr>
            <w:tcW w:w="5100" w:type="dxa"/>
            <w:vAlign w:val="center"/>
          </w:tcPr>
          <w:p>
            <w:pPr>
              <w:rPr>
                <w:rFonts w:ascii="宋体" w:hAnsi="宋体" w:cs="宋体"/>
              </w:rPr>
            </w:pPr>
            <w:r>
              <w:rPr>
                <w:rFonts w:hint="eastAsia" w:ascii="宋体" w:hAnsi="宋体" w:cs="宋体"/>
              </w:rPr>
              <w:t>整体工艺方案设计、布局设计</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2</w:t>
            </w:r>
          </w:p>
        </w:tc>
        <w:tc>
          <w:tcPr>
            <w:tcW w:w="5100" w:type="dxa"/>
            <w:vAlign w:val="center"/>
          </w:tcPr>
          <w:p>
            <w:pPr>
              <w:rPr>
                <w:rFonts w:ascii="宋体" w:hAnsi="宋体" w:cs="宋体"/>
              </w:rPr>
            </w:pPr>
            <w:r>
              <w:rPr>
                <w:rFonts w:hint="eastAsia" w:ascii="宋体" w:hAnsi="宋体" w:cs="宋体"/>
              </w:rPr>
              <w:t xml:space="preserve">设备的设计、采购、制造、安装、调试 </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3</w:t>
            </w:r>
          </w:p>
        </w:tc>
        <w:tc>
          <w:tcPr>
            <w:tcW w:w="5100" w:type="dxa"/>
            <w:vAlign w:val="center"/>
          </w:tcPr>
          <w:p>
            <w:pPr>
              <w:rPr>
                <w:rFonts w:ascii="宋体" w:hAnsi="宋体" w:cs="宋体"/>
              </w:rPr>
            </w:pPr>
            <w:r>
              <w:rPr>
                <w:rFonts w:hint="eastAsia" w:ascii="宋体" w:hAnsi="宋体" w:cs="宋体"/>
              </w:rPr>
              <w:t>货物的运输、装卸及施工</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4</w:t>
            </w:r>
          </w:p>
        </w:tc>
        <w:tc>
          <w:tcPr>
            <w:tcW w:w="5100" w:type="dxa"/>
            <w:vAlign w:val="center"/>
          </w:tcPr>
          <w:p>
            <w:pPr>
              <w:rPr>
                <w:rFonts w:ascii="宋体" w:hAnsi="宋体" w:cs="宋体"/>
              </w:rPr>
            </w:pPr>
            <w:r>
              <w:rPr>
                <w:rFonts w:hint="eastAsia" w:ascii="宋体" w:hAnsi="宋体" w:cs="宋体"/>
              </w:rPr>
              <w:t>输送改造及工艺钢构施工设计安装调试</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5</w:t>
            </w:r>
          </w:p>
        </w:tc>
        <w:tc>
          <w:tcPr>
            <w:tcW w:w="5100" w:type="dxa"/>
            <w:vAlign w:val="center"/>
          </w:tcPr>
          <w:p>
            <w:pPr>
              <w:rPr>
                <w:rFonts w:ascii="宋体" w:hAnsi="宋体" w:cs="宋体"/>
              </w:rPr>
            </w:pPr>
            <w:r>
              <w:rPr>
                <w:rFonts w:hint="eastAsia" w:ascii="宋体" w:hAnsi="宋体" w:cs="宋体"/>
              </w:rPr>
              <w:t>设备安放基础的设计、制作</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6</w:t>
            </w:r>
          </w:p>
        </w:tc>
        <w:tc>
          <w:tcPr>
            <w:tcW w:w="5100" w:type="dxa"/>
            <w:vAlign w:val="center"/>
          </w:tcPr>
          <w:p>
            <w:pPr>
              <w:rPr>
                <w:rFonts w:ascii="宋体" w:hAnsi="宋体" w:cs="宋体"/>
              </w:rPr>
            </w:pPr>
            <w:r>
              <w:rPr>
                <w:rFonts w:hint="eastAsia" w:ascii="宋体" w:hAnsi="宋体" w:cs="宋体"/>
              </w:rPr>
              <w:t>安调期间施工用能</w:t>
            </w:r>
          </w:p>
        </w:tc>
        <w:tc>
          <w:tcPr>
            <w:tcW w:w="1338" w:type="dxa"/>
            <w:vAlign w:val="center"/>
          </w:tcPr>
          <w:p>
            <w:pPr>
              <w:jc w:val="center"/>
              <w:rPr>
                <w:rFonts w:ascii="宋体" w:hAnsi="宋体" w:cs="宋体"/>
                <w:b/>
                <w:bCs/>
              </w:rPr>
            </w:pPr>
            <w:r>
              <w:rPr>
                <w:rFonts w:hint="eastAsia" w:ascii="宋体" w:hAnsi="宋体" w:cs="宋体"/>
                <w:b/>
                <w:bCs/>
              </w:rPr>
              <w:t>√</w:t>
            </w:r>
          </w:p>
        </w:tc>
        <w:tc>
          <w:tcPr>
            <w:tcW w:w="1525" w:type="dxa"/>
            <w:vAlign w:val="center"/>
          </w:tcPr>
          <w:p>
            <w:pPr>
              <w:jc w:val="center"/>
              <w:rPr>
                <w:rFonts w:ascii="宋体" w:hAnsi="宋体" w:cs="宋体"/>
              </w:rPr>
            </w:pPr>
            <w:r>
              <w:rPr>
                <w:rFonts w:hint="eastAsia" w:ascii="宋体" w:hAnsi="宋体" w:cs="宋体"/>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7</w:t>
            </w:r>
          </w:p>
        </w:tc>
        <w:tc>
          <w:tcPr>
            <w:tcW w:w="5100" w:type="dxa"/>
            <w:vAlign w:val="center"/>
          </w:tcPr>
          <w:p>
            <w:pPr>
              <w:rPr>
                <w:rFonts w:ascii="宋体" w:hAnsi="宋体" w:cs="宋体"/>
              </w:rPr>
            </w:pPr>
            <w:r>
              <w:rPr>
                <w:rFonts w:hint="eastAsia" w:ascii="宋体" w:hAnsi="宋体" w:cs="宋体"/>
              </w:rPr>
              <w:t>工件相关资料提供</w:t>
            </w:r>
          </w:p>
        </w:tc>
        <w:tc>
          <w:tcPr>
            <w:tcW w:w="1338" w:type="dxa"/>
            <w:vAlign w:val="center"/>
          </w:tcPr>
          <w:p>
            <w:pPr>
              <w:jc w:val="center"/>
              <w:rPr>
                <w:rFonts w:ascii="宋体" w:hAnsi="宋体" w:cs="宋体"/>
                <w:b/>
                <w:bCs/>
              </w:rPr>
            </w:pPr>
            <w:r>
              <w:rPr>
                <w:rFonts w:hint="eastAsia" w:ascii="宋体" w:hAnsi="宋体" w:cs="宋体"/>
                <w:b/>
                <w:bCs/>
              </w:rPr>
              <w:t>√</w:t>
            </w:r>
          </w:p>
        </w:tc>
        <w:tc>
          <w:tcPr>
            <w:tcW w:w="1525" w:type="dxa"/>
            <w:vAlign w:val="center"/>
          </w:tcPr>
          <w:p>
            <w:pPr>
              <w:jc w:val="center"/>
              <w:rPr>
                <w:rFonts w:ascii="宋体" w:hAnsi="宋体" w:cs="宋体"/>
              </w:rPr>
            </w:pPr>
            <w:r>
              <w:rPr>
                <w:rFonts w:hint="eastAsia" w:ascii="宋体" w:hAnsi="宋体" w:cs="宋体"/>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8</w:t>
            </w:r>
          </w:p>
        </w:tc>
        <w:tc>
          <w:tcPr>
            <w:tcW w:w="5100" w:type="dxa"/>
            <w:vAlign w:val="center"/>
          </w:tcPr>
          <w:p>
            <w:pPr>
              <w:rPr>
                <w:rFonts w:ascii="宋体" w:hAnsi="宋体" w:cs="宋体"/>
              </w:rPr>
            </w:pPr>
            <w:r>
              <w:rPr>
                <w:rFonts w:hint="eastAsia" w:ascii="宋体" w:hAnsi="宋体" w:cs="宋体"/>
              </w:rPr>
              <w:t>压缩空气</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9</w:t>
            </w:r>
          </w:p>
        </w:tc>
        <w:tc>
          <w:tcPr>
            <w:tcW w:w="5100" w:type="dxa"/>
            <w:vAlign w:val="center"/>
          </w:tcPr>
          <w:p>
            <w:pPr>
              <w:rPr>
                <w:rFonts w:ascii="宋体" w:hAnsi="宋体" w:cs="宋体"/>
              </w:rPr>
            </w:pPr>
            <w:r>
              <w:rPr>
                <w:rFonts w:hint="eastAsia" w:ascii="宋体" w:hAnsi="宋体" w:cs="宋体"/>
              </w:rPr>
              <w:t>电源</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10</w:t>
            </w:r>
          </w:p>
        </w:tc>
        <w:tc>
          <w:tcPr>
            <w:tcW w:w="5100" w:type="dxa"/>
            <w:vAlign w:val="center"/>
          </w:tcPr>
          <w:p>
            <w:pPr>
              <w:rPr>
                <w:rFonts w:ascii="宋体" w:hAnsi="宋体" w:cs="宋体"/>
              </w:rPr>
            </w:pPr>
            <w:r>
              <w:rPr>
                <w:rFonts w:hint="eastAsia" w:ascii="宋体" w:hAnsi="宋体" w:cs="宋体"/>
              </w:rPr>
              <w:t>施工区域及设备保洁</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11</w:t>
            </w:r>
          </w:p>
        </w:tc>
        <w:tc>
          <w:tcPr>
            <w:tcW w:w="5100" w:type="dxa"/>
            <w:vAlign w:val="center"/>
          </w:tcPr>
          <w:p>
            <w:pPr>
              <w:rPr>
                <w:rFonts w:ascii="宋体" w:hAnsi="宋体" w:cs="宋体"/>
              </w:rPr>
            </w:pPr>
            <w:r>
              <w:rPr>
                <w:rFonts w:hint="eastAsia" w:ascii="宋体" w:hAnsi="宋体" w:cs="宋体"/>
              </w:rPr>
              <w:t>施工现场消防、安全</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b/>
                <w:bCs/>
              </w:rPr>
            </w:pPr>
            <w:r>
              <w:rPr>
                <w:rFonts w:hint="eastAsia" w:ascii="宋体" w:hAnsi="宋体" w:cs="宋体"/>
                <w:b/>
                <w:bCs/>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12</w:t>
            </w:r>
          </w:p>
        </w:tc>
        <w:tc>
          <w:tcPr>
            <w:tcW w:w="5100" w:type="dxa"/>
            <w:vAlign w:val="center"/>
          </w:tcPr>
          <w:p>
            <w:pPr>
              <w:rPr>
                <w:rFonts w:ascii="宋体" w:hAnsi="宋体" w:cs="宋体"/>
              </w:rPr>
            </w:pPr>
            <w:r>
              <w:rPr>
                <w:rFonts w:hint="eastAsia" w:ascii="宋体" w:hAnsi="宋体" w:cs="宋体"/>
              </w:rPr>
              <w:t>所需的必要设备堆放场地提供</w:t>
            </w:r>
          </w:p>
        </w:tc>
        <w:tc>
          <w:tcPr>
            <w:tcW w:w="1338" w:type="dxa"/>
            <w:vAlign w:val="center"/>
          </w:tcPr>
          <w:p>
            <w:pPr>
              <w:jc w:val="center"/>
              <w:rPr>
                <w:rFonts w:ascii="宋体" w:hAnsi="宋体" w:cs="宋体"/>
              </w:rPr>
            </w:pPr>
            <w:r>
              <w:rPr>
                <w:rFonts w:hint="eastAsia" w:ascii="宋体" w:hAnsi="宋体" w:cs="宋体"/>
                <w:b/>
                <w:bCs/>
              </w:rPr>
              <w:t>√</w:t>
            </w:r>
          </w:p>
        </w:tc>
        <w:tc>
          <w:tcPr>
            <w:tcW w:w="1525" w:type="dxa"/>
            <w:vAlign w:val="center"/>
          </w:tcPr>
          <w:p>
            <w:pPr>
              <w:jc w:val="center"/>
              <w:rPr>
                <w:rFonts w:ascii="宋体" w:hAnsi="宋体" w:cs="宋体"/>
              </w:rPr>
            </w:pPr>
            <w:r>
              <w:rPr>
                <w:rFonts w:hint="eastAsia" w:ascii="宋体" w:hAnsi="宋体" w:cs="宋体"/>
              </w:rPr>
              <w:t>/</w:t>
            </w:r>
          </w:p>
        </w:tc>
        <w:tc>
          <w:tcPr>
            <w:tcW w:w="859" w:type="dxa"/>
            <w:vAlign w:val="center"/>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ascii="宋体" w:hAnsi="宋体" w:cs="宋体"/>
              </w:rPr>
            </w:pPr>
            <w:r>
              <w:rPr>
                <w:rFonts w:hint="eastAsia" w:ascii="宋体" w:hAnsi="宋体" w:cs="宋体"/>
              </w:rPr>
              <w:t>13</w:t>
            </w:r>
          </w:p>
        </w:tc>
        <w:tc>
          <w:tcPr>
            <w:tcW w:w="5100" w:type="dxa"/>
            <w:vAlign w:val="center"/>
          </w:tcPr>
          <w:p>
            <w:pPr>
              <w:rPr>
                <w:rFonts w:ascii="宋体" w:hAnsi="宋体" w:cs="宋体"/>
              </w:rPr>
            </w:pPr>
            <w:r>
              <w:rPr>
                <w:rFonts w:hint="eastAsia" w:ascii="宋体" w:hAnsi="宋体" w:cs="宋体"/>
              </w:rPr>
              <w:t>设备技术资料</w:t>
            </w:r>
          </w:p>
        </w:tc>
        <w:tc>
          <w:tcPr>
            <w:tcW w:w="1338" w:type="dxa"/>
            <w:vAlign w:val="center"/>
          </w:tcPr>
          <w:p>
            <w:pPr>
              <w:jc w:val="center"/>
              <w:rPr>
                <w:rFonts w:ascii="宋体" w:hAnsi="宋体" w:cs="宋体"/>
              </w:rPr>
            </w:pPr>
            <w:r>
              <w:rPr>
                <w:rFonts w:hint="eastAsia" w:ascii="宋体" w:hAnsi="宋体" w:cs="宋体"/>
              </w:rPr>
              <w:t>/</w:t>
            </w:r>
          </w:p>
        </w:tc>
        <w:tc>
          <w:tcPr>
            <w:tcW w:w="1525" w:type="dxa"/>
            <w:vAlign w:val="center"/>
          </w:tcPr>
          <w:p>
            <w:pPr>
              <w:jc w:val="center"/>
              <w:rPr>
                <w:rFonts w:ascii="宋体" w:hAnsi="宋体" w:cs="宋体"/>
              </w:rPr>
            </w:pPr>
            <w:r>
              <w:rPr>
                <w:rFonts w:hint="eastAsia" w:ascii="宋体" w:hAnsi="宋体" w:cs="宋体"/>
                <w:b/>
                <w:bCs/>
              </w:rPr>
              <w:t>√</w:t>
            </w:r>
          </w:p>
        </w:tc>
        <w:tc>
          <w:tcPr>
            <w:tcW w:w="859" w:type="dxa"/>
            <w:vAlign w:val="center"/>
          </w:tcPr>
          <w:p>
            <w:pPr>
              <w:rPr>
                <w:rFonts w:ascii="宋体" w:hAnsi="宋体" w:cs="宋体"/>
              </w:rPr>
            </w:pPr>
          </w:p>
        </w:tc>
      </w:tr>
    </w:tbl>
    <w:p>
      <w:pPr>
        <w:spacing w:line="360" w:lineRule="auto"/>
        <w:rPr>
          <w:rFonts w:ascii="宋体" w:hAnsi="宋体" w:cs="宋体"/>
          <w:sz w:val="28"/>
          <w:szCs w:val="28"/>
        </w:rPr>
      </w:pPr>
    </w:p>
    <w:p>
      <w:pPr>
        <w:pStyle w:val="3"/>
        <w:jc w:val="left"/>
        <w:rPr>
          <w:rFonts w:ascii="宋体" w:hAnsi="宋体" w:eastAsia="宋体" w:cs="宋体"/>
        </w:rPr>
      </w:pPr>
      <w:bookmarkStart w:id="41" w:name="_Toc178067746"/>
      <w:r>
        <w:rPr>
          <w:rFonts w:hint="eastAsia" w:ascii="宋体" w:hAnsi="宋体" w:eastAsia="宋体" w:cs="宋体"/>
        </w:rPr>
        <w:t>五、技术要求</w:t>
      </w:r>
      <w:bookmarkEnd w:id="41"/>
      <w:r>
        <w:rPr>
          <w:rFonts w:hint="eastAsia" w:ascii="宋体" w:hAnsi="宋体" w:eastAsia="宋体" w:cs="宋体"/>
        </w:rPr>
        <w:t>（专用）</w:t>
      </w:r>
    </w:p>
    <w:p>
      <w:pPr>
        <w:keepNext/>
        <w:keepLines/>
        <w:spacing w:line="360" w:lineRule="auto"/>
        <w:outlineLvl w:val="2"/>
        <w:rPr>
          <w:rFonts w:asciiTheme="minorEastAsia" w:hAnsiTheme="minorEastAsia" w:eastAsiaTheme="minorEastAsia" w:cstheme="minorEastAsia"/>
          <w:b/>
          <w:bCs/>
          <w:color w:val="000000"/>
          <w:sz w:val="24"/>
          <w:szCs w:val="24"/>
        </w:rPr>
      </w:pPr>
      <w:bookmarkStart w:id="42" w:name="_Hlk178062560"/>
      <w:r>
        <w:rPr>
          <w:rFonts w:hint="eastAsia" w:asciiTheme="minorEastAsia" w:hAnsiTheme="minorEastAsia" w:eastAsiaTheme="minorEastAsia" w:cstheme="minorEastAsia"/>
          <w:b/>
          <w:bCs/>
          <w:color w:val="000000"/>
          <w:sz w:val="24"/>
          <w:szCs w:val="24"/>
        </w:rPr>
        <w:t>1.项目整体要求</w:t>
      </w:r>
    </w:p>
    <w:p>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1.1分装线装配的工件及工位，见第三部分</w:t>
      </w:r>
      <w:r>
        <w:rPr>
          <w:rFonts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rPr>
        <w:t>涉及产品</w:t>
      </w:r>
      <w:r>
        <w:rPr>
          <w:rFonts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rPr>
        <w:t>。</w:t>
      </w:r>
    </w:p>
    <w:p>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1.2节拍要求：分装线链速</w:t>
      </w:r>
      <w:r>
        <w:rPr>
          <w:rFonts w:asciiTheme="minorEastAsia" w:hAnsiTheme="minorEastAsia" w:eastAsiaTheme="minorEastAsia" w:cstheme="minorEastAsia"/>
          <w:bCs/>
          <w:sz w:val="24"/>
          <w:szCs w:val="24"/>
        </w:rPr>
        <w:t>1</w:t>
      </w:r>
      <w:r>
        <w:rPr>
          <w:rFonts w:hint="eastAsia" w:asciiTheme="minorEastAsia" w:hAnsiTheme="minorEastAsia" w:eastAsiaTheme="minorEastAsia" w:cstheme="minorEastAsia"/>
          <w:bCs/>
          <w:sz w:val="24"/>
          <w:szCs w:val="24"/>
        </w:rPr>
        <w:t>m～3m/min，变频可调。</w:t>
      </w:r>
    </w:p>
    <w:p>
      <w:pPr>
        <w:keepNext/>
        <w:keepLines/>
        <w:numPr>
          <w:ilvl w:val="0"/>
          <w:numId w:val="11"/>
        </w:numPr>
        <w:spacing w:line="360" w:lineRule="auto"/>
        <w:outlineLvl w:val="2"/>
        <w:rPr>
          <w:rFonts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主要结构及技术要求</w:t>
      </w:r>
    </w:p>
    <w:p>
      <w:pPr>
        <w:spacing w:line="360" w:lineRule="auto"/>
        <w:outlineLvl w:val="3"/>
        <w:rPr>
          <w:b/>
          <w:bCs w:val="0"/>
          <w:sz w:val="24"/>
          <w:szCs w:val="24"/>
        </w:rPr>
      </w:pPr>
      <w:r>
        <w:rPr>
          <w:b/>
          <w:bCs w:val="0"/>
          <w:sz w:val="24"/>
          <w:szCs w:val="24"/>
        </w:rPr>
        <w:t>2.</w:t>
      </w:r>
      <w:r>
        <w:rPr>
          <w:rFonts w:hint="eastAsia"/>
          <w:b/>
          <w:bCs w:val="0"/>
          <w:sz w:val="24"/>
          <w:szCs w:val="24"/>
        </w:rPr>
        <w:t>1</w:t>
      </w:r>
      <w:r>
        <w:rPr>
          <w:b/>
          <w:bCs w:val="0"/>
          <w:sz w:val="24"/>
          <w:szCs w:val="24"/>
        </w:rPr>
        <w:t>基础施工</w:t>
      </w:r>
    </w:p>
    <w:p>
      <w:pPr>
        <w:spacing w:line="360" w:lineRule="auto"/>
        <w:rPr>
          <w:sz w:val="24"/>
          <w:szCs w:val="24"/>
        </w:rPr>
      </w:pPr>
      <w:r>
        <w:rPr>
          <w:rFonts w:hint="eastAsia"/>
          <w:sz w:val="24"/>
          <w:szCs w:val="24"/>
        </w:rPr>
        <w:t>2</w:t>
      </w:r>
      <w:r>
        <w:rPr>
          <w:sz w:val="24"/>
          <w:szCs w:val="24"/>
        </w:rPr>
        <w:t xml:space="preserve">.1.1 </w:t>
      </w:r>
      <w:r>
        <w:rPr>
          <w:rFonts w:hint="eastAsia"/>
          <w:sz w:val="24"/>
          <w:szCs w:val="24"/>
        </w:rPr>
        <w:t>设备直接安放在当前的混凝土地面上，不再另外做设备基础。</w:t>
      </w:r>
    </w:p>
    <w:p>
      <w:pPr>
        <w:spacing w:line="360" w:lineRule="auto"/>
        <w:ind w:left="480" w:hanging="480" w:hangingChars="200"/>
        <w:rPr>
          <w:sz w:val="24"/>
          <w:szCs w:val="24"/>
        </w:rPr>
      </w:pPr>
      <w:r>
        <w:rPr>
          <w:sz w:val="24"/>
          <w:szCs w:val="24"/>
        </w:rPr>
        <w:t>2.1.2</w:t>
      </w:r>
      <w:r>
        <w:rPr>
          <w:rFonts w:hint="eastAsia"/>
          <w:sz w:val="24"/>
          <w:szCs w:val="24"/>
        </w:rPr>
        <w:t>电、压缩空气等公用动力，基于招标方车间的设施现状，投标方</w:t>
      </w:r>
      <w:r>
        <w:rPr>
          <w:sz w:val="24"/>
          <w:szCs w:val="24"/>
        </w:rPr>
        <w:t>负责</w:t>
      </w:r>
      <w:r>
        <w:rPr>
          <w:rFonts w:hint="eastAsia"/>
          <w:sz w:val="24"/>
          <w:szCs w:val="24"/>
        </w:rPr>
        <w:t>接入当前的接口位置。</w:t>
      </w:r>
    </w:p>
    <w:p>
      <w:pPr>
        <w:spacing w:line="360" w:lineRule="auto"/>
        <w:outlineLvl w:val="3"/>
        <w:rPr>
          <w:b/>
          <w:bCs w:val="0"/>
          <w:sz w:val="24"/>
          <w:szCs w:val="24"/>
          <w:highlight w:val="none"/>
        </w:rPr>
      </w:pPr>
      <w:r>
        <w:rPr>
          <w:b/>
          <w:bCs w:val="0"/>
          <w:sz w:val="24"/>
          <w:szCs w:val="24"/>
          <w:highlight w:val="none"/>
        </w:rPr>
        <w:t>2.</w:t>
      </w:r>
      <w:r>
        <w:rPr>
          <w:rFonts w:hint="eastAsia"/>
          <w:b/>
          <w:bCs w:val="0"/>
          <w:sz w:val="24"/>
          <w:szCs w:val="24"/>
          <w:highlight w:val="none"/>
        </w:rPr>
        <w:t>2设备主体骨架</w:t>
      </w:r>
    </w:p>
    <w:p>
      <w:pPr>
        <w:spacing w:line="360" w:lineRule="auto"/>
        <w:outlineLvl w:val="3"/>
        <w:rPr>
          <w:b w:val="0"/>
          <w:bCs/>
          <w:sz w:val="24"/>
          <w:szCs w:val="24"/>
          <w:highlight w:val="none"/>
        </w:rPr>
      </w:pPr>
      <w:r>
        <w:rPr>
          <w:rFonts w:hint="eastAsia"/>
          <w:b w:val="0"/>
          <w:bCs/>
          <w:sz w:val="24"/>
          <w:szCs w:val="24"/>
          <w:highlight w:val="none"/>
        </w:rPr>
        <w:t>2</w:t>
      </w:r>
      <w:r>
        <w:rPr>
          <w:b w:val="0"/>
          <w:bCs/>
          <w:sz w:val="24"/>
          <w:szCs w:val="24"/>
          <w:highlight w:val="none"/>
        </w:rPr>
        <w:t xml:space="preserve">.2.1 </w:t>
      </w:r>
      <w:r>
        <w:rPr>
          <w:rFonts w:hint="eastAsia"/>
          <w:b w:val="0"/>
          <w:bCs/>
          <w:sz w:val="24"/>
          <w:szCs w:val="24"/>
          <w:highlight w:val="none"/>
        </w:rPr>
        <w:t>线体主体框架采用</w:t>
      </w:r>
      <w:r>
        <w:rPr>
          <w:b w:val="0"/>
          <w:bCs/>
          <w:sz w:val="24"/>
          <w:szCs w:val="24"/>
          <w:highlight w:val="none"/>
        </w:rPr>
        <w:t>80*60</w:t>
      </w:r>
      <w:r>
        <w:rPr>
          <w:rFonts w:hint="eastAsia"/>
          <w:b w:val="0"/>
          <w:bCs/>
          <w:sz w:val="24"/>
          <w:szCs w:val="24"/>
          <w:highlight w:val="none"/>
          <w:lang w:val="en-US" w:eastAsia="zh-CN"/>
        </w:rPr>
        <w:t>*5</w:t>
      </w:r>
      <w:r>
        <w:rPr>
          <w:rFonts w:hint="eastAsia"/>
          <w:b w:val="0"/>
          <w:bCs/>
          <w:sz w:val="24"/>
          <w:szCs w:val="24"/>
          <w:highlight w:val="none"/>
        </w:rPr>
        <w:t>矩管,6</w:t>
      </w:r>
      <w:r>
        <w:rPr>
          <w:b w:val="0"/>
          <w:bCs/>
          <w:sz w:val="24"/>
          <w:szCs w:val="24"/>
          <w:highlight w:val="none"/>
        </w:rPr>
        <w:t>0*40</w:t>
      </w:r>
      <w:r>
        <w:rPr>
          <w:rFonts w:hint="eastAsia"/>
          <w:b w:val="0"/>
          <w:bCs/>
          <w:sz w:val="24"/>
          <w:szCs w:val="24"/>
          <w:highlight w:val="none"/>
          <w:lang w:val="en-US" w:eastAsia="zh-CN"/>
        </w:rPr>
        <w:t>*4</w:t>
      </w:r>
      <w:r>
        <w:rPr>
          <w:rFonts w:hint="eastAsia"/>
          <w:b w:val="0"/>
          <w:bCs/>
          <w:sz w:val="24"/>
          <w:szCs w:val="24"/>
          <w:highlight w:val="none"/>
        </w:rPr>
        <w:t>矩管，1</w:t>
      </w:r>
      <w:r>
        <w:rPr>
          <w:b w:val="0"/>
          <w:bCs/>
          <w:sz w:val="24"/>
          <w:szCs w:val="24"/>
          <w:highlight w:val="none"/>
        </w:rPr>
        <w:t>0mm</w:t>
      </w:r>
      <w:r>
        <w:rPr>
          <w:rFonts w:hint="eastAsia"/>
          <w:b w:val="0"/>
          <w:bCs/>
          <w:sz w:val="24"/>
          <w:szCs w:val="24"/>
          <w:highlight w:val="none"/>
        </w:rPr>
        <w:t>钢板组合焊接而成。</w:t>
      </w:r>
    </w:p>
    <w:p>
      <w:pPr>
        <w:spacing w:line="360" w:lineRule="auto"/>
        <w:outlineLvl w:val="3"/>
        <w:rPr>
          <w:b w:val="0"/>
          <w:bCs/>
          <w:sz w:val="24"/>
          <w:szCs w:val="24"/>
          <w:highlight w:val="none"/>
        </w:rPr>
      </w:pPr>
      <w:r>
        <w:rPr>
          <w:rFonts w:hint="eastAsia"/>
          <w:b w:val="0"/>
          <w:bCs/>
          <w:sz w:val="24"/>
          <w:szCs w:val="24"/>
          <w:highlight w:val="none"/>
        </w:rPr>
        <w:t>2</w:t>
      </w:r>
      <w:r>
        <w:rPr>
          <w:b w:val="0"/>
          <w:bCs/>
          <w:sz w:val="24"/>
          <w:szCs w:val="24"/>
          <w:highlight w:val="none"/>
        </w:rPr>
        <w:t xml:space="preserve">.2.2 </w:t>
      </w:r>
      <w:r>
        <w:rPr>
          <w:rFonts w:hint="eastAsia"/>
          <w:b w:val="0"/>
          <w:bCs/>
          <w:sz w:val="24"/>
          <w:szCs w:val="24"/>
          <w:highlight w:val="none"/>
        </w:rPr>
        <w:t>框架</w:t>
      </w:r>
      <w:r>
        <w:rPr>
          <w:rFonts w:hint="eastAsia"/>
          <w:b w:val="0"/>
          <w:bCs/>
          <w:sz w:val="24"/>
          <w:szCs w:val="24"/>
          <w:highlight w:val="none"/>
          <w:lang w:val="en-US" w:eastAsia="zh-CN"/>
        </w:rPr>
        <w:t>型材</w:t>
      </w:r>
      <w:r>
        <w:rPr>
          <w:rFonts w:hint="eastAsia"/>
          <w:b w:val="0"/>
          <w:bCs/>
          <w:sz w:val="24"/>
          <w:szCs w:val="24"/>
          <w:highlight w:val="none"/>
        </w:rPr>
        <w:t>间距</w:t>
      </w:r>
      <w:r>
        <w:rPr>
          <w:b w:val="0"/>
          <w:bCs/>
          <w:sz w:val="24"/>
          <w:szCs w:val="24"/>
          <w:highlight w:val="none"/>
        </w:rPr>
        <w:t>1m,</w:t>
      </w:r>
      <w:r>
        <w:rPr>
          <w:rFonts w:hint="eastAsia"/>
          <w:b w:val="0"/>
          <w:bCs/>
          <w:sz w:val="24"/>
          <w:szCs w:val="24"/>
          <w:highlight w:val="none"/>
        </w:rPr>
        <w:t>全线均匀布置，由膨胀螺栓与混凝土地面固定。</w:t>
      </w:r>
    </w:p>
    <w:p>
      <w:pPr>
        <w:spacing w:line="360" w:lineRule="auto"/>
        <w:outlineLvl w:val="3"/>
        <w:rPr>
          <w:rFonts w:hint="eastAsia"/>
          <w:b w:val="0"/>
          <w:bCs/>
          <w:sz w:val="24"/>
          <w:szCs w:val="24"/>
          <w:highlight w:val="none"/>
        </w:rPr>
      </w:pPr>
      <w:r>
        <w:rPr>
          <w:rFonts w:hint="eastAsia"/>
          <w:b w:val="0"/>
          <w:bCs/>
          <w:sz w:val="24"/>
          <w:szCs w:val="24"/>
          <w:highlight w:val="none"/>
        </w:rPr>
        <w:t>2</w:t>
      </w:r>
      <w:r>
        <w:rPr>
          <w:b w:val="0"/>
          <w:bCs/>
          <w:sz w:val="24"/>
          <w:szCs w:val="24"/>
          <w:highlight w:val="none"/>
        </w:rPr>
        <w:t xml:space="preserve">.2.3 </w:t>
      </w:r>
      <w:r>
        <w:rPr>
          <w:rFonts w:hint="eastAsia"/>
          <w:b w:val="0"/>
          <w:bCs/>
          <w:sz w:val="24"/>
          <w:szCs w:val="24"/>
          <w:highlight w:val="none"/>
        </w:rPr>
        <w:t>承重轨道采用1</w:t>
      </w:r>
      <w:r>
        <w:rPr>
          <w:b w:val="0"/>
          <w:bCs/>
          <w:sz w:val="24"/>
          <w:szCs w:val="24"/>
          <w:highlight w:val="none"/>
        </w:rPr>
        <w:t>5</w:t>
      </w:r>
      <w:r>
        <w:rPr>
          <w:rFonts w:hint="eastAsia"/>
          <w:b w:val="0"/>
          <w:bCs/>
          <w:sz w:val="24"/>
          <w:szCs w:val="24"/>
          <w:highlight w:val="none"/>
        </w:rPr>
        <w:t>kg轻轨，轨道压板固定</w:t>
      </w:r>
      <w:r>
        <w:rPr>
          <w:rFonts w:hint="eastAsia"/>
          <w:b w:val="0"/>
          <w:bCs/>
          <w:sz w:val="24"/>
          <w:szCs w:val="24"/>
          <w:highlight w:val="none"/>
          <w:lang w:eastAsia="zh-CN"/>
        </w:rPr>
        <w:t>在</w:t>
      </w:r>
      <w:r>
        <w:rPr>
          <w:rFonts w:hint="eastAsia"/>
          <w:b w:val="0"/>
          <w:bCs/>
          <w:sz w:val="24"/>
          <w:szCs w:val="24"/>
          <w:highlight w:val="none"/>
        </w:rPr>
        <w:t>主体框架上，保证两条轨道的平行度。</w:t>
      </w:r>
    </w:p>
    <w:p>
      <w:pPr>
        <w:spacing w:line="360" w:lineRule="auto"/>
        <w:outlineLvl w:val="3"/>
        <w:rPr>
          <w:rFonts w:hint="eastAsia"/>
          <w:b w:val="0"/>
          <w:bCs/>
          <w:sz w:val="24"/>
          <w:szCs w:val="24"/>
          <w:highlight w:val="none"/>
          <w:lang w:val="en-US" w:eastAsia="zh-CN"/>
        </w:rPr>
      </w:pPr>
      <w:r>
        <w:rPr>
          <w:rFonts w:hint="eastAsia"/>
          <w:b w:val="0"/>
          <w:bCs/>
          <w:sz w:val="24"/>
          <w:szCs w:val="24"/>
          <w:highlight w:val="none"/>
          <w:lang w:val="en-US" w:eastAsia="zh-CN"/>
        </w:rPr>
        <w:t>2.2.4设备主体骨架做成倾斜式，即上线工位高，下线工位低，板链随骨架同坡度。投标单位需到车间现场测量。</w:t>
      </w:r>
    </w:p>
    <w:p>
      <w:pPr>
        <w:spacing w:line="360" w:lineRule="auto"/>
        <w:outlineLvl w:val="3"/>
        <w:rPr>
          <w:rFonts w:hint="default"/>
          <w:b w:val="0"/>
          <w:bCs/>
          <w:sz w:val="24"/>
          <w:szCs w:val="24"/>
          <w:highlight w:val="none"/>
          <w:lang w:val="en-US" w:eastAsia="zh-CN"/>
        </w:rPr>
      </w:pPr>
      <w:r>
        <w:rPr>
          <w:rFonts w:hint="eastAsia"/>
          <w:b w:val="0"/>
          <w:bCs/>
          <w:sz w:val="24"/>
          <w:szCs w:val="24"/>
          <w:highlight w:val="none"/>
          <w:lang w:val="en-US" w:eastAsia="zh-CN"/>
        </w:rPr>
        <w:t>2.2.5 链板上安装聚氨酯材质的底座，满足装配过程中固定驾驶室后悬支架。</w:t>
      </w:r>
    </w:p>
    <w:p>
      <w:pPr>
        <w:pStyle w:val="7"/>
        <w:spacing w:before="0" w:after="0" w:line="360" w:lineRule="auto"/>
        <w:rPr>
          <w:b/>
          <w:bCs w:val="0"/>
          <w:sz w:val="24"/>
          <w:szCs w:val="24"/>
          <w:highlight w:val="none"/>
        </w:rPr>
      </w:pPr>
      <w:r>
        <w:rPr>
          <w:b/>
          <w:bCs w:val="0"/>
          <w:sz w:val="24"/>
          <w:szCs w:val="24"/>
          <w:highlight w:val="none"/>
        </w:rPr>
        <w:t>2.</w:t>
      </w:r>
      <w:r>
        <w:rPr>
          <w:rFonts w:hint="eastAsia"/>
          <w:b/>
          <w:bCs w:val="0"/>
          <w:sz w:val="24"/>
          <w:szCs w:val="24"/>
          <w:highlight w:val="none"/>
        </w:rPr>
        <w:t>3驱动，涨紧部分与链板</w:t>
      </w:r>
    </w:p>
    <w:p>
      <w:pPr>
        <w:spacing w:line="360" w:lineRule="auto"/>
        <w:ind w:left="480" w:hanging="480" w:hangingChars="200"/>
        <w:outlineLvl w:val="3"/>
        <w:rPr>
          <w:b w:val="0"/>
          <w:bCs/>
          <w:sz w:val="24"/>
          <w:szCs w:val="24"/>
          <w:highlight w:val="none"/>
        </w:rPr>
      </w:pPr>
      <w:r>
        <w:rPr>
          <w:b w:val="0"/>
          <w:bCs/>
          <w:sz w:val="24"/>
          <w:szCs w:val="24"/>
          <w:highlight w:val="none"/>
        </w:rPr>
        <w:t xml:space="preserve">2.3.1 </w:t>
      </w:r>
      <w:r>
        <w:rPr>
          <w:rFonts w:hint="eastAsia"/>
          <w:b w:val="0"/>
          <w:bCs/>
          <w:sz w:val="24"/>
          <w:szCs w:val="24"/>
          <w:highlight w:val="none"/>
        </w:rPr>
        <w:t>链条采用P</w:t>
      </w:r>
      <w:r>
        <w:rPr>
          <w:b w:val="0"/>
          <w:bCs/>
          <w:sz w:val="24"/>
          <w:szCs w:val="24"/>
          <w:highlight w:val="none"/>
        </w:rPr>
        <w:t>250</w:t>
      </w:r>
      <w:r>
        <w:rPr>
          <w:rFonts w:hint="eastAsia"/>
          <w:b w:val="0"/>
          <w:bCs/>
          <w:sz w:val="24"/>
          <w:szCs w:val="24"/>
          <w:highlight w:val="none"/>
        </w:rPr>
        <w:t>节距，</w:t>
      </w:r>
      <w:r>
        <w:rPr>
          <w:rFonts w:hint="eastAsia"/>
          <w:b w:val="0"/>
          <w:bCs/>
          <w:sz w:val="24"/>
          <w:szCs w:val="24"/>
          <w:highlight w:val="none"/>
          <w:lang w:val="en-US" w:eastAsia="zh-CN"/>
        </w:rPr>
        <w:t>材质45#钢，</w:t>
      </w:r>
      <w:r>
        <w:rPr>
          <w:rFonts w:hint="eastAsia"/>
          <w:b w:val="0"/>
          <w:bCs/>
          <w:sz w:val="24"/>
          <w:szCs w:val="24"/>
          <w:highlight w:val="none"/>
        </w:rPr>
        <w:t>分为内链板和外链板，通过销轴与链轮组合而成。</w:t>
      </w:r>
    </w:p>
    <w:p>
      <w:pPr>
        <w:spacing w:line="360" w:lineRule="auto"/>
        <w:outlineLvl w:val="3"/>
        <w:rPr>
          <w:b w:val="0"/>
          <w:bCs/>
          <w:sz w:val="24"/>
          <w:szCs w:val="24"/>
          <w:highlight w:val="none"/>
        </w:rPr>
      </w:pPr>
      <w:r>
        <w:rPr>
          <w:rFonts w:hint="eastAsia"/>
          <w:b w:val="0"/>
          <w:bCs/>
          <w:sz w:val="24"/>
          <w:szCs w:val="24"/>
          <w:highlight w:val="none"/>
        </w:rPr>
        <w:t>2</w:t>
      </w:r>
      <w:r>
        <w:rPr>
          <w:b w:val="0"/>
          <w:bCs/>
          <w:sz w:val="24"/>
          <w:szCs w:val="24"/>
          <w:highlight w:val="none"/>
        </w:rPr>
        <w:t xml:space="preserve">.3.2 </w:t>
      </w:r>
      <w:r>
        <w:rPr>
          <w:rFonts w:hint="eastAsia"/>
          <w:b w:val="0"/>
          <w:bCs/>
          <w:sz w:val="24"/>
          <w:szCs w:val="24"/>
          <w:highlight w:val="none"/>
        </w:rPr>
        <w:t>链板采用5</w:t>
      </w:r>
      <w:r>
        <w:rPr>
          <w:b w:val="0"/>
          <w:bCs/>
          <w:sz w:val="24"/>
          <w:szCs w:val="24"/>
          <w:highlight w:val="none"/>
        </w:rPr>
        <w:t>mm</w:t>
      </w:r>
      <w:r>
        <w:rPr>
          <w:rFonts w:hint="eastAsia"/>
          <w:b w:val="0"/>
          <w:bCs/>
          <w:sz w:val="24"/>
          <w:szCs w:val="24"/>
          <w:highlight w:val="none"/>
        </w:rPr>
        <w:t>厚扁豆花纹板一体折弯而成，与链条螺栓连接。</w:t>
      </w:r>
    </w:p>
    <w:p>
      <w:pPr>
        <w:spacing w:line="360" w:lineRule="auto"/>
        <w:ind w:left="480" w:hanging="480" w:hangingChars="200"/>
        <w:outlineLvl w:val="3"/>
        <w:rPr>
          <w:b w:val="0"/>
          <w:bCs/>
          <w:sz w:val="24"/>
          <w:szCs w:val="24"/>
          <w:highlight w:val="none"/>
        </w:rPr>
      </w:pPr>
      <w:r>
        <w:rPr>
          <w:rFonts w:hint="eastAsia"/>
          <w:b w:val="0"/>
          <w:bCs/>
          <w:sz w:val="24"/>
          <w:szCs w:val="24"/>
          <w:highlight w:val="none"/>
        </w:rPr>
        <w:t>2</w:t>
      </w:r>
      <w:r>
        <w:rPr>
          <w:b w:val="0"/>
          <w:bCs/>
          <w:sz w:val="24"/>
          <w:szCs w:val="24"/>
          <w:highlight w:val="none"/>
        </w:rPr>
        <w:t xml:space="preserve">.3.3 </w:t>
      </w:r>
      <w:r>
        <w:rPr>
          <w:rFonts w:hint="eastAsia"/>
          <w:b w:val="0"/>
          <w:bCs/>
          <w:sz w:val="24"/>
          <w:szCs w:val="24"/>
          <w:highlight w:val="none"/>
        </w:rPr>
        <w:t>驱动部分采用8</w:t>
      </w:r>
      <w:r>
        <w:rPr>
          <w:b w:val="0"/>
          <w:bCs/>
          <w:sz w:val="24"/>
          <w:szCs w:val="24"/>
          <w:highlight w:val="none"/>
        </w:rPr>
        <w:t>0*60</w:t>
      </w:r>
      <w:r>
        <w:rPr>
          <w:rFonts w:hint="eastAsia"/>
          <w:b w:val="0"/>
          <w:bCs/>
          <w:sz w:val="24"/>
          <w:szCs w:val="24"/>
          <w:highlight w:val="none"/>
          <w:lang w:val="en-US" w:eastAsia="zh-CN"/>
        </w:rPr>
        <w:t>*5</w:t>
      </w:r>
      <w:r>
        <w:rPr>
          <w:rFonts w:hint="eastAsia"/>
          <w:b w:val="0"/>
          <w:bCs/>
          <w:sz w:val="24"/>
          <w:szCs w:val="24"/>
          <w:highlight w:val="none"/>
        </w:rPr>
        <w:t>矩管等焊接主体框架，配备有主传动轴，传动链轮，带座外球面轴承，3</w:t>
      </w:r>
      <w:r>
        <w:rPr>
          <w:b w:val="0"/>
          <w:bCs/>
          <w:sz w:val="24"/>
          <w:szCs w:val="24"/>
          <w:highlight w:val="none"/>
        </w:rPr>
        <w:t>2A</w:t>
      </w:r>
      <w:r>
        <w:rPr>
          <w:rFonts w:hint="eastAsia"/>
          <w:b w:val="0"/>
          <w:bCs/>
          <w:sz w:val="24"/>
          <w:szCs w:val="24"/>
          <w:highlight w:val="none"/>
        </w:rPr>
        <w:t>传动链轮等主要部件。</w:t>
      </w:r>
    </w:p>
    <w:p>
      <w:pPr>
        <w:spacing w:line="360" w:lineRule="auto"/>
        <w:ind w:left="480" w:hanging="480" w:hangingChars="200"/>
        <w:outlineLvl w:val="3"/>
        <w:rPr>
          <w:b w:val="0"/>
          <w:bCs/>
          <w:sz w:val="24"/>
          <w:szCs w:val="24"/>
          <w:highlight w:val="none"/>
        </w:rPr>
      </w:pPr>
      <w:r>
        <w:rPr>
          <w:rFonts w:hint="eastAsia"/>
          <w:b w:val="0"/>
          <w:bCs/>
          <w:sz w:val="24"/>
          <w:szCs w:val="24"/>
          <w:highlight w:val="none"/>
        </w:rPr>
        <w:t>2</w:t>
      </w:r>
      <w:r>
        <w:rPr>
          <w:b w:val="0"/>
          <w:bCs/>
          <w:sz w:val="24"/>
          <w:szCs w:val="24"/>
          <w:highlight w:val="none"/>
        </w:rPr>
        <w:t xml:space="preserve">.3.4 </w:t>
      </w:r>
      <w:r>
        <w:rPr>
          <w:rFonts w:hint="eastAsia"/>
          <w:b w:val="0"/>
          <w:bCs/>
          <w:sz w:val="24"/>
          <w:szCs w:val="24"/>
          <w:highlight w:val="none"/>
        </w:rPr>
        <w:t>涨紧部分采用8</w:t>
      </w:r>
      <w:r>
        <w:rPr>
          <w:b w:val="0"/>
          <w:bCs/>
          <w:sz w:val="24"/>
          <w:szCs w:val="24"/>
          <w:highlight w:val="none"/>
        </w:rPr>
        <w:t>0*60</w:t>
      </w:r>
      <w:r>
        <w:rPr>
          <w:rFonts w:hint="eastAsia"/>
          <w:b w:val="0"/>
          <w:bCs/>
          <w:sz w:val="24"/>
          <w:szCs w:val="24"/>
          <w:highlight w:val="none"/>
          <w:lang w:val="en-US" w:eastAsia="zh-CN"/>
        </w:rPr>
        <w:t>*5</w:t>
      </w:r>
      <w:r>
        <w:rPr>
          <w:rFonts w:hint="eastAsia"/>
          <w:b w:val="0"/>
          <w:bCs/>
          <w:sz w:val="24"/>
          <w:szCs w:val="24"/>
          <w:highlight w:val="none"/>
        </w:rPr>
        <w:t>矩管等焊接主体框架，配备有从动轴，从动链轮，涨紧轴承座，涨紧调整机构等。</w:t>
      </w:r>
    </w:p>
    <w:p>
      <w:pPr>
        <w:spacing w:line="360" w:lineRule="auto"/>
        <w:outlineLvl w:val="3"/>
        <w:rPr>
          <w:rFonts w:hint="eastAsia"/>
          <w:b w:val="0"/>
          <w:bCs/>
          <w:highlight w:val="none"/>
        </w:rPr>
      </w:pPr>
      <w:r>
        <w:rPr>
          <w:rFonts w:hint="eastAsia"/>
          <w:b w:val="0"/>
          <w:bCs/>
          <w:sz w:val="24"/>
          <w:szCs w:val="24"/>
          <w:highlight w:val="none"/>
        </w:rPr>
        <w:t>2</w:t>
      </w:r>
      <w:r>
        <w:rPr>
          <w:b w:val="0"/>
          <w:bCs/>
          <w:sz w:val="24"/>
          <w:szCs w:val="24"/>
          <w:highlight w:val="none"/>
        </w:rPr>
        <w:t xml:space="preserve">.3.5 </w:t>
      </w:r>
      <w:r>
        <w:rPr>
          <w:rFonts w:hint="eastAsia"/>
          <w:b w:val="0"/>
          <w:bCs/>
          <w:sz w:val="24"/>
          <w:szCs w:val="24"/>
          <w:highlight w:val="none"/>
        </w:rPr>
        <w:t>驱动部分和涨紧部分</w:t>
      </w:r>
      <w:r>
        <w:rPr>
          <w:rFonts w:hint="eastAsia"/>
          <w:b w:val="0"/>
          <w:bCs/>
          <w:sz w:val="24"/>
          <w:szCs w:val="24"/>
          <w:highlight w:val="none"/>
          <w:lang w:eastAsia="zh-CN"/>
        </w:rPr>
        <w:t>，</w:t>
      </w:r>
      <w:r>
        <w:rPr>
          <w:rFonts w:hint="eastAsia"/>
          <w:b w:val="0"/>
          <w:bCs/>
          <w:sz w:val="24"/>
          <w:szCs w:val="24"/>
          <w:highlight w:val="none"/>
        </w:rPr>
        <w:t>分别安装防护罩进行人机防护。</w:t>
      </w:r>
    </w:p>
    <w:p>
      <w:pPr>
        <w:pStyle w:val="7"/>
        <w:spacing w:before="0" w:after="0" w:line="360" w:lineRule="auto"/>
        <w:rPr>
          <w:b/>
          <w:bCs/>
          <w:sz w:val="24"/>
          <w:szCs w:val="24"/>
          <w:highlight w:val="none"/>
        </w:rPr>
      </w:pPr>
      <w:r>
        <w:rPr>
          <w:b/>
          <w:bCs/>
          <w:sz w:val="24"/>
          <w:szCs w:val="24"/>
          <w:highlight w:val="none"/>
        </w:rPr>
        <w:t>2.4</w:t>
      </w:r>
      <w:r>
        <w:rPr>
          <w:rFonts w:hint="eastAsia"/>
          <w:b/>
          <w:bCs/>
          <w:sz w:val="24"/>
          <w:szCs w:val="24"/>
          <w:highlight w:val="none"/>
        </w:rPr>
        <w:t xml:space="preserve"> 电气部分</w:t>
      </w:r>
    </w:p>
    <w:p>
      <w:pPr>
        <w:spacing w:line="360" w:lineRule="auto"/>
        <w:outlineLvl w:val="3"/>
        <w:rPr>
          <w:rFonts w:hint="eastAsia" w:eastAsia="宋体"/>
          <w:b w:val="0"/>
          <w:bCs w:val="0"/>
          <w:sz w:val="24"/>
          <w:szCs w:val="24"/>
          <w:highlight w:val="none"/>
          <w:lang w:val="en-US" w:eastAsia="zh-CN"/>
        </w:rPr>
      </w:pPr>
      <w:r>
        <w:rPr>
          <w:rFonts w:hint="eastAsia"/>
          <w:b w:val="0"/>
          <w:bCs w:val="0"/>
          <w:sz w:val="24"/>
          <w:szCs w:val="24"/>
          <w:highlight w:val="none"/>
        </w:rPr>
        <w:t>2</w:t>
      </w:r>
      <w:r>
        <w:rPr>
          <w:b w:val="0"/>
          <w:bCs w:val="0"/>
          <w:sz w:val="24"/>
          <w:szCs w:val="24"/>
          <w:highlight w:val="none"/>
        </w:rPr>
        <w:t xml:space="preserve">.4.1 </w:t>
      </w:r>
      <w:r>
        <w:rPr>
          <w:rFonts w:hint="eastAsia"/>
          <w:b w:val="0"/>
          <w:bCs w:val="0"/>
          <w:sz w:val="24"/>
          <w:szCs w:val="24"/>
          <w:highlight w:val="none"/>
        </w:rPr>
        <w:t>电气控制柜采用仿威图设计</w:t>
      </w:r>
      <w:r>
        <w:rPr>
          <w:rFonts w:hint="eastAsia"/>
          <w:b w:val="0"/>
          <w:bCs w:val="0"/>
          <w:sz w:val="24"/>
          <w:szCs w:val="24"/>
          <w:highlight w:val="none"/>
          <w:lang w:eastAsia="zh-CN"/>
        </w:rPr>
        <w:t>。</w:t>
      </w:r>
    </w:p>
    <w:p>
      <w:pPr>
        <w:spacing w:line="360" w:lineRule="auto"/>
        <w:outlineLvl w:val="3"/>
        <w:rPr>
          <w:b w:val="0"/>
          <w:bCs w:val="0"/>
          <w:sz w:val="24"/>
          <w:szCs w:val="24"/>
          <w:highlight w:val="none"/>
        </w:rPr>
      </w:pPr>
      <w:r>
        <w:rPr>
          <w:rFonts w:hint="eastAsia"/>
          <w:b w:val="0"/>
          <w:bCs w:val="0"/>
          <w:sz w:val="24"/>
          <w:szCs w:val="24"/>
          <w:highlight w:val="none"/>
        </w:rPr>
        <w:t>2</w:t>
      </w:r>
      <w:r>
        <w:rPr>
          <w:b w:val="0"/>
          <w:bCs w:val="0"/>
          <w:sz w:val="24"/>
          <w:szCs w:val="24"/>
          <w:highlight w:val="none"/>
        </w:rPr>
        <w:t>.4.2</w:t>
      </w:r>
      <w:r>
        <w:rPr>
          <w:rFonts w:hint="eastAsia"/>
          <w:b w:val="0"/>
          <w:bCs w:val="0"/>
          <w:sz w:val="24"/>
          <w:szCs w:val="24"/>
          <w:highlight w:val="none"/>
        </w:rPr>
        <w:t>控制柜内安装有P</w:t>
      </w:r>
      <w:r>
        <w:rPr>
          <w:b w:val="0"/>
          <w:bCs w:val="0"/>
          <w:sz w:val="24"/>
          <w:szCs w:val="24"/>
          <w:highlight w:val="none"/>
        </w:rPr>
        <w:t>LC</w:t>
      </w:r>
      <w:r>
        <w:rPr>
          <w:rFonts w:hint="eastAsia"/>
          <w:b w:val="0"/>
          <w:bCs w:val="0"/>
          <w:sz w:val="24"/>
          <w:szCs w:val="24"/>
          <w:highlight w:val="none"/>
          <w:lang w:val="en-US" w:eastAsia="zh-CN"/>
        </w:rPr>
        <w:t xml:space="preserve"> S7-200</w:t>
      </w:r>
      <w:r>
        <w:rPr>
          <w:rFonts w:hint="eastAsia"/>
          <w:b w:val="0"/>
          <w:bCs w:val="0"/>
          <w:sz w:val="24"/>
          <w:szCs w:val="24"/>
          <w:highlight w:val="none"/>
        </w:rPr>
        <w:t>、变频器、接触器、继电器等控制元器件</w:t>
      </w:r>
      <w:r>
        <w:rPr>
          <w:rFonts w:hint="eastAsia"/>
          <w:b w:val="0"/>
          <w:bCs w:val="0"/>
          <w:sz w:val="24"/>
          <w:szCs w:val="24"/>
          <w:highlight w:val="none"/>
          <w:lang w:eastAsia="zh-CN"/>
        </w:rPr>
        <w:t>。</w:t>
      </w:r>
      <w:r>
        <w:rPr>
          <w:rFonts w:hint="eastAsia"/>
          <w:b w:val="0"/>
          <w:bCs w:val="0"/>
          <w:sz w:val="24"/>
          <w:szCs w:val="24"/>
          <w:highlight w:val="none"/>
        </w:rPr>
        <w:t>全线控制由P</w:t>
      </w:r>
      <w:r>
        <w:rPr>
          <w:b w:val="0"/>
          <w:bCs w:val="0"/>
          <w:sz w:val="24"/>
          <w:szCs w:val="24"/>
          <w:highlight w:val="none"/>
        </w:rPr>
        <w:t>LC</w:t>
      </w:r>
      <w:r>
        <w:rPr>
          <w:rFonts w:hint="eastAsia"/>
          <w:b w:val="0"/>
          <w:bCs w:val="0"/>
          <w:sz w:val="24"/>
          <w:szCs w:val="24"/>
          <w:highlight w:val="none"/>
        </w:rPr>
        <w:t>控制，电机调速方式为变频调速。</w:t>
      </w:r>
    </w:p>
    <w:p>
      <w:pPr>
        <w:spacing w:line="360" w:lineRule="auto"/>
        <w:outlineLvl w:val="3"/>
        <w:rPr>
          <w:b w:val="0"/>
          <w:bCs w:val="0"/>
          <w:sz w:val="24"/>
          <w:szCs w:val="24"/>
          <w:highlight w:val="none"/>
        </w:rPr>
      </w:pPr>
      <w:r>
        <w:rPr>
          <w:rFonts w:hint="eastAsia"/>
          <w:b w:val="0"/>
          <w:bCs w:val="0"/>
          <w:sz w:val="24"/>
          <w:szCs w:val="24"/>
          <w:highlight w:val="none"/>
        </w:rPr>
        <w:t>2</w:t>
      </w:r>
      <w:r>
        <w:rPr>
          <w:b w:val="0"/>
          <w:bCs w:val="0"/>
          <w:sz w:val="24"/>
          <w:szCs w:val="24"/>
          <w:highlight w:val="none"/>
        </w:rPr>
        <w:t xml:space="preserve">.4.3 </w:t>
      </w:r>
      <w:r>
        <w:rPr>
          <w:rFonts w:hint="eastAsia"/>
          <w:b w:val="0"/>
          <w:bCs w:val="0"/>
          <w:sz w:val="24"/>
          <w:szCs w:val="24"/>
          <w:highlight w:val="none"/>
          <w:lang w:val="en-US" w:eastAsia="zh-CN"/>
        </w:rPr>
        <w:t>电机选用一级能耗减速电机，功率≥1Kw。</w:t>
      </w:r>
    </w:p>
    <w:p>
      <w:pPr>
        <w:spacing w:line="360" w:lineRule="auto"/>
        <w:outlineLvl w:val="3"/>
        <w:rPr>
          <w:b w:val="0"/>
          <w:bCs w:val="0"/>
          <w:sz w:val="24"/>
          <w:szCs w:val="24"/>
          <w:highlight w:val="none"/>
        </w:rPr>
      </w:pPr>
      <w:r>
        <w:rPr>
          <w:rFonts w:hint="eastAsia"/>
          <w:b w:val="0"/>
          <w:bCs w:val="0"/>
          <w:sz w:val="24"/>
          <w:szCs w:val="24"/>
          <w:highlight w:val="none"/>
        </w:rPr>
        <w:t>2</w:t>
      </w:r>
      <w:r>
        <w:rPr>
          <w:b w:val="0"/>
          <w:bCs w:val="0"/>
          <w:sz w:val="24"/>
          <w:szCs w:val="24"/>
          <w:highlight w:val="none"/>
        </w:rPr>
        <w:t xml:space="preserve">.4.4 </w:t>
      </w:r>
      <w:r>
        <w:rPr>
          <w:rFonts w:hint="eastAsia"/>
          <w:b w:val="0"/>
          <w:bCs w:val="0"/>
          <w:sz w:val="24"/>
          <w:szCs w:val="24"/>
          <w:highlight w:val="none"/>
        </w:rPr>
        <w:t>设备</w:t>
      </w:r>
      <w:r>
        <w:rPr>
          <w:rFonts w:hint="eastAsia"/>
          <w:b w:val="0"/>
          <w:bCs w:val="0"/>
          <w:sz w:val="24"/>
          <w:szCs w:val="24"/>
          <w:highlight w:val="none"/>
          <w:lang w:val="en-US" w:eastAsia="zh-CN"/>
        </w:rPr>
        <w:t>运行方式</w:t>
      </w:r>
      <w:r>
        <w:rPr>
          <w:rFonts w:hint="eastAsia"/>
          <w:b w:val="0"/>
          <w:bCs w:val="0"/>
          <w:sz w:val="24"/>
          <w:szCs w:val="24"/>
          <w:highlight w:val="none"/>
        </w:rPr>
        <w:t>有启停、手动/自动模式</w:t>
      </w:r>
      <w:r>
        <w:rPr>
          <w:rFonts w:hint="eastAsia"/>
          <w:b w:val="0"/>
          <w:bCs w:val="0"/>
          <w:sz w:val="24"/>
          <w:szCs w:val="24"/>
          <w:highlight w:val="none"/>
          <w:lang w:eastAsia="zh-CN"/>
        </w:rPr>
        <w:t>，</w:t>
      </w:r>
      <w:r>
        <w:rPr>
          <w:rFonts w:hint="eastAsia"/>
          <w:b w:val="0"/>
          <w:bCs w:val="0"/>
          <w:sz w:val="24"/>
          <w:szCs w:val="24"/>
          <w:highlight w:val="none"/>
          <w:lang w:val="en-US" w:eastAsia="zh-CN"/>
        </w:rPr>
        <w:t>可</w:t>
      </w:r>
      <w:r>
        <w:rPr>
          <w:rFonts w:hint="eastAsia"/>
          <w:b w:val="0"/>
          <w:bCs w:val="0"/>
          <w:sz w:val="24"/>
          <w:szCs w:val="24"/>
          <w:highlight w:val="none"/>
        </w:rPr>
        <w:t>切换。</w:t>
      </w:r>
    </w:p>
    <w:p>
      <w:pPr>
        <w:spacing w:line="360" w:lineRule="auto"/>
        <w:outlineLvl w:val="3"/>
        <w:rPr>
          <w:rFonts w:hint="eastAsia"/>
          <w:b w:val="0"/>
          <w:bCs w:val="0"/>
          <w:sz w:val="24"/>
          <w:szCs w:val="24"/>
          <w:highlight w:val="none"/>
        </w:rPr>
      </w:pPr>
      <w:r>
        <w:rPr>
          <w:rFonts w:hint="eastAsia"/>
          <w:b w:val="0"/>
          <w:bCs w:val="0"/>
          <w:sz w:val="24"/>
          <w:szCs w:val="24"/>
          <w:highlight w:val="none"/>
        </w:rPr>
        <w:t>2</w:t>
      </w:r>
      <w:r>
        <w:rPr>
          <w:b w:val="0"/>
          <w:bCs w:val="0"/>
          <w:sz w:val="24"/>
          <w:szCs w:val="24"/>
          <w:highlight w:val="none"/>
        </w:rPr>
        <w:t xml:space="preserve">.4.5 </w:t>
      </w:r>
      <w:r>
        <w:rPr>
          <w:rFonts w:hint="eastAsia"/>
          <w:b w:val="0"/>
          <w:bCs w:val="0"/>
          <w:sz w:val="24"/>
          <w:szCs w:val="24"/>
          <w:highlight w:val="none"/>
        </w:rPr>
        <w:t>每个工位配备有急停按钮</w:t>
      </w:r>
      <w:r>
        <w:rPr>
          <w:rFonts w:hint="eastAsia"/>
          <w:b w:val="0"/>
          <w:bCs w:val="0"/>
          <w:sz w:val="24"/>
          <w:szCs w:val="24"/>
          <w:highlight w:val="none"/>
          <w:lang w:eastAsia="zh-CN"/>
        </w:rPr>
        <w:t>，</w:t>
      </w:r>
      <w:r>
        <w:rPr>
          <w:rFonts w:hint="eastAsia"/>
          <w:b w:val="0"/>
          <w:bCs w:val="0"/>
          <w:sz w:val="24"/>
          <w:szCs w:val="24"/>
          <w:highlight w:val="none"/>
        </w:rPr>
        <w:t>并</w:t>
      </w:r>
      <w:r>
        <w:rPr>
          <w:rFonts w:hint="eastAsia"/>
          <w:b w:val="0"/>
          <w:bCs w:val="0"/>
          <w:sz w:val="24"/>
          <w:szCs w:val="24"/>
          <w:highlight w:val="none"/>
          <w:lang w:val="en-US" w:eastAsia="zh-CN"/>
        </w:rPr>
        <w:t>连接</w:t>
      </w:r>
      <w:r>
        <w:rPr>
          <w:rFonts w:hint="eastAsia"/>
          <w:b w:val="0"/>
          <w:bCs w:val="0"/>
          <w:sz w:val="24"/>
          <w:szCs w:val="24"/>
          <w:highlight w:val="none"/>
        </w:rPr>
        <w:t>声光一体报警。</w:t>
      </w:r>
    </w:p>
    <w:p>
      <w:pPr>
        <w:spacing w:line="360" w:lineRule="auto"/>
        <w:outlineLvl w:val="3"/>
        <w:rPr>
          <w:rFonts w:hint="default" w:eastAsia="宋体"/>
          <w:b w:val="0"/>
          <w:bCs w:val="0"/>
          <w:sz w:val="24"/>
          <w:szCs w:val="24"/>
          <w:highlight w:val="none"/>
          <w:lang w:val="en-US" w:eastAsia="zh-CN"/>
        </w:rPr>
      </w:pPr>
      <w:r>
        <w:rPr>
          <w:rFonts w:hint="eastAsia"/>
          <w:b w:val="0"/>
          <w:bCs w:val="0"/>
          <w:sz w:val="24"/>
          <w:szCs w:val="24"/>
          <w:highlight w:val="none"/>
          <w:lang w:val="en-US" w:eastAsia="zh-CN"/>
        </w:rPr>
        <w:t>2.4.6 控制柜内安装电量计量表，具备联网功能（网线），以备将来联网。</w:t>
      </w:r>
    </w:p>
    <w:p>
      <w:pPr>
        <w:spacing w:line="360" w:lineRule="auto"/>
        <w:outlineLvl w:val="3"/>
        <w:rPr>
          <w:b/>
          <w:bCs/>
          <w:sz w:val="24"/>
          <w:szCs w:val="24"/>
          <w:highlight w:val="none"/>
        </w:rPr>
      </w:pPr>
      <w:r>
        <w:rPr>
          <w:b/>
          <w:bCs/>
          <w:sz w:val="24"/>
          <w:szCs w:val="24"/>
          <w:highlight w:val="none"/>
        </w:rPr>
        <w:t>2.</w:t>
      </w:r>
      <w:r>
        <w:rPr>
          <w:rFonts w:hint="eastAsia"/>
          <w:b/>
          <w:bCs/>
          <w:sz w:val="24"/>
          <w:szCs w:val="24"/>
          <w:highlight w:val="none"/>
        </w:rPr>
        <w:t>5安全防护部分</w:t>
      </w:r>
    </w:p>
    <w:p>
      <w:pPr>
        <w:spacing w:line="360" w:lineRule="auto"/>
        <w:outlineLvl w:val="3"/>
        <w:rPr>
          <w:b w:val="0"/>
          <w:bCs w:val="0"/>
          <w:sz w:val="24"/>
          <w:szCs w:val="24"/>
          <w:highlight w:val="none"/>
        </w:rPr>
      </w:pPr>
      <w:r>
        <w:rPr>
          <w:rFonts w:hint="eastAsia"/>
          <w:b w:val="0"/>
          <w:bCs w:val="0"/>
          <w:sz w:val="24"/>
          <w:szCs w:val="24"/>
          <w:highlight w:val="none"/>
        </w:rPr>
        <w:t>2</w:t>
      </w:r>
      <w:r>
        <w:rPr>
          <w:b w:val="0"/>
          <w:bCs w:val="0"/>
          <w:sz w:val="24"/>
          <w:szCs w:val="24"/>
          <w:highlight w:val="none"/>
        </w:rPr>
        <w:t xml:space="preserve">.5.1 </w:t>
      </w:r>
      <w:r>
        <w:rPr>
          <w:rFonts w:hint="eastAsia"/>
          <w:b w:val="0"/>
          <w:bCs w:val="0"/>
          <w:sz w:val="24"/>
          <w:szCs w:val="24"/>
          <w:highlight w:val="none"/>
        </w:rPr>
        <w:t>线体两侧安装防护板，防止人员误伤。</w:t>
      </w:r>
    </w:p>
    <w:p>
      <w:pPr>
        <w:spacing w:line="360" w:lineRule="auto"/>
        <w:outlineLvl w:val="3"/>
        <w:rPr>
          <w:b w:val="0"/>
          <w:bCs w:val="0"/>
          <w:sz w:val="24"/>
          <w:szCs w:val="24"/>
          <w:highlight w:val="none"/>
        </w:rPr>
      </w:pPr>
      <w:r>
        <w:rPr>
          <w:rFonts w:hint="eastAsia"/>
          <w:b w:val="0"/>
          <w:bCs w:val="0"/>
          <w:sz w:val="24"/>
          <w:szCs w:val="24"/>
          <w:highlight w:val="none"/>
        </w:rPr>
        <w:t>2</w:t>
      </w:r>
      <w:r>
        <w:rPr>
          <w:b w:val="0"/>
          <w:bCs w:val="0"/>
          <w:sz w:val="24"/>
          <w:szCs w:val="24"/>
          <w:highlight w:val="none"/>
        </w:rPr>
        <w:t xml:space="preserve">.5.2 </w:t>
      </w:r>
      <w:r>
        <w:rPr>
          <w:rFonts w:hint="eastAsia"/>
          <w:b w:val="0"/>
          <w:bCs w:val="0"/>
          <w:sz w:val="24"/>
          <w:szCs w:val="24"/>
          <w:highlight w:val="none"/>
        </w:rPr>
        <w:t>驱动部分安装有安全销，当线体运行卡滞时，安全销切断，保护电机过载运行。</w:t>
      </w:r>
    </w:p>
    <w:p>
      <w:pPr>
        <w:spacing w:line="360" w:lineRule="auto"/>
        <w:outlineLvl w:val="3"/>
        <w:rPr>
          <w:b w:val="0"/>
          <w:bCs w:val="0"/>
          <w:sz w:val="24"/>
          <w:szCs w:val="24"/>
          <w:highlight w:val="none"/>
        </w:rPr>
      </w:pPr>
      <w:r>
        <w:rPr>
          <w:rFonts w:hint="eastAsia"/>
          <w:b w:val="0"/>
          <w:bCs w:val="0"/>
          <w:sz w:val="24"/>
          <w:szCs w:val="24"/>
          <w:highlight w:val="none"/>
        </w:rPr>
        <w:t>2</w:t>
      </w:r>
      <w:r>
        <w:rPr>
          <w:b w:val="0"/>
          <w:bCs w:val="0"/>
          <w:sz w:val="24"/>
          <w:szCs w:val="24"/>
          <w:highlight w:val="none"/>
        </w:rPr>
        <w:t xml:space="preserve">.5.3 </w:t>
      </w:r>
      <w:r>
        <w:rPr>
          <w:rFonts w:hint="eastAsia"/>
          <w:b w:val="0"/>
          <w:bCs w:val="0"/>
          <w:sz w:val="24"/>
          <w:szCs w:val="24"/>
          <w:highlight w:val="none"/>
        </w:rPr>
        <w:t>部件下线处安装有光电检测系统，防止部件掉落。</w:t>
      </w:r>
    </w:p>
    <w:p>
      <w:pPr>
        <w:spacing w:line="360" w:lineRule="auto"/>
        <w:outlineLvl w:val="3"/>
        <w:rPr>
          <w:rFonts w:hint="eastAsia"/>
          <w:b w:val="0"/>
          <w:bCs w:val="0"/>
          <w:sz w:val="24"/>
          <w:szCs w:val="24"/>
          <w:highlight w:val="none"/>
        </w:rPr>
      </w:pPr>
      <w:r>
        <w:rPr>
          <w:rFonts w:hint="eastAsia"/>
          <w:b w:val="0"/>
          <w:bCs w:val="0"/>
          <w:sz w:val="24"/>
          <w:szCs w:val="24"/>
          <w:highlight w:val="none"/>
        </w:rPr>
        <w:t>2</w:t>
      </w:r>
      <w:r>
        <w:rPr>
          <w:b w:val="0"/>
          <w:bCs w:val="0"/>
          <w:sz w:val="24"/>
          <w:szCs w:val="24"/>
          <w:highlight w:val="none"/>
        </w:rPr>
        <w:t xml:space="preserve">.5.4 </w:t>
      </w:r>
      <w:r>
        <w:rPr>
          <w:rFonts w:hint="eastAsia"/>
          <w:b w:val="0"/>
          <w:bCs w:val="0"/>
          <w:sz w:val="24"/>
          <w:szCs w:val="24"/>
          <w:highlight w:val="none"/>
        </w:rPr>
        <w:t>电气控制系统内部设置电流预警系统，防止线体卡滞时保护电机运行。</w:t>
      </w:r>
    </w:p>
    <w:p>
      <w:pPr>
        <w:spacing w:line="360" w:lineRule="auto"/>
        <w:outlineLvl w:val="3"/>
        <w:rPr>
          <w:rFonts w:hint="eastAsia"/>
          <w:b/>
          <w:bCs/>
          <w:sz w:val="24"/>
          <w:szCs w:val="24"/>
          <w:highlight w:val="none"/>
          <w:lang w:val="en-US" w:eastAsia="zh-CN"/>
        </w:rPr>
      </w:pPr>
      <w:r>
        <w:rPr>
          <w:rFonts w:hint="eastAsia"/>
          <w:b/>
          <w:bCs/>
          <w:sz w:val="24"/>
          <w:szCs w:val="24"/>
          <w:highlight w:val="none"/>
          <w:lang w:val="en-US" w:eastAsia="zh-CN"/>
        </w:rPr>
        <w:t>2.6单臂吊</w:t>
      </w:r>
    </w:p>
    <w:p>
      <w:pPr>
        <w:spacing w:line="360" w:lineRule="auto"/>
        <w:outlineLvl w:val="3"/>
        <w:rPr>
          <w:rFonts w:hint="default"/>
          <w:b w:val="0"/>
          <w:bCs w:val="0"/>
          <w:sz w:val="24"/>
          <w:szCs w:val="24"/>
          <w:highlight w:val="none"/>
          <w:lang w:val="en-US" w:eastAsia="zh-CN"/>
        </w:rPr>
      </w:pPr>
      <w:r>
        <w:rPr>
          <w:rFonts w:hint="eastAsia"/>
          <w:b w:val="0"/>
          <w:bCs w:val="0"/>
          <w:sz w:val="24"/>
          <w:szCs w:val="24"/>
          <w:highlight w:val="none"/>
          <w:lang w:val="en-US" w:eastAsia="zh-CN"/>
        </w:rPr>
        <w:t>2.6.</w:t>
      </w:r>
      <w:r>
        <w:rPr>
          <w:rFonts w:hint="default"/>
          <w:b w:val="0"/>
          <w:bCs w:val="0"/>
          <w:sz w:val="24"/>
          <w:szCs w:val="24"/>
          <w:highlight w:val="none"/>
          <w:lang w:val="en-US" w:eastAsia="zh-CN"/>
        </w:rPr>
        <w:t>1承载能力：起吊重量</w:t>
      </w:r>
      <w:r>
        <w:rPr>
          <w:rFonts w:hint="eastAsia"/>
          <w:b w:val="0"/>
          <w:bCs w:val="0"/>
          <w:sz w:val="24"/>
          <w:szCs w:val="24"/>
          <w:highlight w:val="none"/>
          <w:lang w:val="en-US" w:eastAsia="zh-CN"/>
        </w:rPr>
        <w:t>≥</w:t>
      </w:r>
      <w:r>
        <w:rPr>
          <w:rFonts w:hint="default"/>
          <w:b w:val="0"/>
          <w:bCs w:val="0"/>
          <w:sz w:val="24"/>
          <w:szCs w:val="24"/>
          <w:highlight w:val="none"/>
          <w:lang w:val="en-US" w:eastAsia="zh-CN"/>
        </w:rPr>
        <w:t>100Kg。吊臂的设计和材料需要确保能够承受所要吊装物体的重量，并且具备足够的安全余量。</w:t>
      </w:r>
    </w:p>
    <w:p>
      <w:pPr>
        <w:spacing w:line="360" w:lineRule="auto"/>
        <w:outlineLvl w:val="3"/>
        <w:rPr>
          <w:rFonts w:hint="default"/>
          <w:b w:val="0"/>
          <w:bCs w:val="0"/>
          <w:sz w:val="24"/>
          <w:szCs w:val="24"/>
          <w:highlight w:val="none"/>
          <w:lang w:val="en-US" w:eastAsia="zh-CN"/>
        </w:rPr>
      </w:pPr>
      <w:r>
        <w:rPr>
          <w:rFonts w:hint="eastAsia"/>
          <w:b w:val="0"/>
          <w:bCs w:val="0"/>
          <w:sz w:val="24"/>
          <w:szCs w:val="24"/>
          <w:highlight w:val="none"/>
          <w:lang w:val="en-US" w:eastAsia="zh-CN"/>
        </w:rPr>
        <w:t>2.6.</w:t>
      </w:r>
      <w:r>
        <w:rPr>
          <w:rFonts w:hint="default"/>
          <w:b w:val="0"/>
          <w:bCs w:val="0"/>
          <w:sz w:val="24"/>
          <w:szCs w:val="24"/>
          <w:highlight w:val="none"/>
          <w:lang w:val="en-US" w:eastAsia="zh-CN"/>
        </w:rPr>
        <w:t>2吊升高度及滑轨长度：起升高度2.5米，滑轨长度2米。</w:t>
      </w:r>
      <w:r>
        <w:rPr>
          <w:rFonts w:hint="eastAsia"/>
          <w:b w:val="0"/>
          <w:bCs w:val="0"/>
          <w:sz w:val="24"/>
          <w:szCs w:val="24"/>
          <w:highlight w:val="none"/>
          <w:lang w:val="en-US" w:eastAsia="zh-CN"/>
        </w:rPr>
        <w:t>普通</w:t>
      </w:r>
      <w:r>
        <w:rPr>
          <w:rFonts w:hint="default"/>
          <w:b w:val="0"/>
          <w:bCs w:val="0"/>
          <w:sz w:val="24"/>
          <w:szCs w:val="24"/>
          <w:highlight w:val="none"/>
          <w:lang w:val="en-US" w:eastAsia="zh-CN"/>
        </w:rPr>
        <w:t>轨道。轨道旋转及葫芦行走采用手拉的方式。</w:t>
      </w:r>
    </w:p>
    <w:p>
      <w:pPr>
        <w:spacing w:line="360" w:lineRule="auto"/>
        <w:outlineLvl w:val="3"/>
        <w:rPr>
          <w:rFonts w:hint="default"/>
          <w:b w:val="0"/>
          <w:bCs w:val="0"/>
          <w:sz w:val="24"/>
          <w:szCs w:val="24"/>
          <w:highlight w:val="none"/>
          <w:lang w:val="en-US" w:eastAsia="zh-CN"/>
        </w:rPr>
      </w:pPr>
      <w:r>
        <w:rPr>
          <w:rFonts w:hint="eastAsia"/>
          <w:b w:val="0"/>
          <w:bCs w:val="0"/>
          <w:sz w:val="24"/>
          <w:szCs w:val="24"/>
          <w:highlight w:val="none"/>
          <w:lang w:val="en-US" w:eastAsia="zh-CN"/>
        </w:rPr>
        <w:t>2.6.</w:t>
      </w:r>
      <w:r>
        <w:rPr>
          <w:rFonts w:hint="default"/>
          <w:b w:val="0"/>
          <w:bCs w:val="0"/>
          <w:sz w:val="24"/>
          <w:szCs w:val="24"/>
          <w:highlight w:val="none"/>
          <w:lang w:val="en-US" w:eastAsia="zh-CN"/>
        </w:rPr>
        <w:t>3 环链葫芦：葫芦升降快升、慢升、快降、慢降四种模式</w:t>
      </w:r>
      <w:r>
        <w:rPr>
          <w:rFonts w:hint="eastAsia"/>
          <w:b w:val="0"/>
          <w:bCs w:val="0"/>
          <w:sz w:val="24"/>
          <w:szCs w:val="24"/>
          <w:highlight w:val="none"/>
          <w:lang w:val="en-US" w:eastAsia="zh-CN"/>
        </w:rPr>
        <w:t>，</w:t>
      </w:r>
      <w:r>
        <w:rPr>
          <w:rFonts w:hint="default"/>
          <w:b w:val="0"/>
          <w:bCs w:val="0"/>
          <w:sz w:val="24"/>
          <w:szCs w:val="24"/>
          <w:highlight w:val="none"/>
          <w:lang w:val="en-US" w:eastAsia="zh-CN"/>
        </w:rPr>
        <w:t>高速≥8m/min。工作级别不低于M2。</w:t>
      </w:r>
    </w:p>
    <w:p>
      <w:pPr>
        <w:spacing w:line="360" w:lineRule="auto"/>
        <w:outlineLvl w:val="3"/>
        <w:rPr>
          <w:rFonts w:hint="default"/>
          <w:b w:val="0"/>
          <w:bCs w:val="0"/>
          <w:sz w:val="24"/>
          <w:szCs w:val="24"/>
          <w:highlight w:val="none"/>
          <w:lang w:val="en-US" w:eastAsia="zh-CN"/>
        </w:rPr>
      </w:pPr>
      <w:r>
        <w:rPr>
          <w:rFonts w:hint="eastAsia"/>
          <w:b w:val="0"/>
          <w:bCs w:val="0"/>
          <w:sz w:val="24"/>
          <w:szCs w:val="24"/>
          <w:highlight w:val="none"/>
          <w:lang w:val="en-US" w:eastAsia="zh-CN"/>
        </w:rPr>
        <w:t>2.6.4</w:t>
      </w:r>
      <w:r>
        <w:rPr>
          <w:rFonts w:hint="default"/>
          <w:b w:val="0"/>
          <w:bCs w:val="0"/>
          <w:sz w:val="24"/>
          <w:szCs w:val="24"/>
          <w:highlight w:val="none"/>
          <w:lang w:val="en-US" w:eastAsia="zh-CN"/>
        </w:rPr>
        <w:t>采用5年以上免维护刹车及齿轮机构，油浸式自润滑。</w:t>
      </w:r>
    </w:p>
    <w:p>
      <w:pPr>
        <w:spacing w:line="360" w:lineRule="auto"/>
        <w:outlineLvl w:val="3"/>
        <w:rPr>
          <w:rFonts w:hint="default"/>
          <w:b w:val="0"/>
          <w:bCs w:val="0"/>
          <w:sz w:val="24"/>
          <w:szCs w:val="24"/>
          <w:highlight w:val="none"/>
          <w:lang w:val="en-US" w:eastAsia="zh-CN"/>
        </w:rPr>
      </w:pPr>
      <w:r>
        <w:rPr>
          <w:rFonts w:hint="default"/>
          <w:b w:val="0"/>
          <w:bCs w:val="0"/>
          <w:sz w:val="24"/>
          <w:szCs w:val="24"/>
          <w:highlight w:val="none"/>
          <w:lang w:val="en-US" w:eastAsia="zh-CN"/>
        </w:rPr>
        <w:t>手柄便于单手操作，设有急停开关，并满足现场使用环境要求；</w:t>
      </w:r>
    </w:p>
    <w:p>
      <w:pPr>
        <w:spacing w:line="360" w:lineRule="auto"/>
        <w:outlineLvl w:val="3"/>
        <w:rPr>
          <w:rFonts w:hint="default"/>
          <w:b w:val="0"/>
          <w:bCs w:val="0"/>
          <w:sz w:val="24"/>
          <w:szCs w:val="24"/>
          <w:highlight w:val="none"/>
          <w:lang w:val="en-US" w:eastAsia="zh-CN"/>
        </w:rPr>
      </w:pPr>
      <w:r>
        <w:rPr>
          <w:rFonts w:hint="default"/>
          <w:b w:val="0"/>
          <w:bCs w:val="0"/>
          <w:sz w:val="24"/>
          <w:szCs w:val="24"/>
          <w:highlight w:val="none"/>
          <w:lang w:val="en-US" w:eastAsia="zh-CN"/>
        </w:rPr>
        <w:t xml:space="preserve">在额定起重量下，起升机构制动下滑量不得大于20mm。  </w:t>
      </w:r>
    </w:p>
    <w:p>
      <w:pPr>
        <w:spacing w:line="360" w:lineRule="auto"/>
        <w:outlineLvl w:val="3"/>
        <w:rPr>
          <w:rFonts w:hint="default"/>
          <w:b w:val="0"/>
          <w:bCs w:val="0"/>
          <w:sz w:val="24"/>
          <w:szCs w:val="24"/>
          <w:highlight w:val="none"/>
          <w:lang w:val="en-US" w:eastAsia="zh-CN"/>
        </w:rPr>
      </w:pPr>
      <w:r>
        <w:rPr>
          <w:rFonts w:hint="eastAsia"/>
          <w:b w:val="0"/>
          <w:bCs w:val="0"/>
          <w:sz w:val="24"/>
          <w:szCs w:val="24"/>
          <w:highlight w:val="none"/>
          <w:lang w:val="en-US" w:eastAsia="zh-CN"/>
        </w:rPr>
        <w:t>2.6.5</w:t>
      </w:r>
      <w:r>
        <w:rPr>
          <w:rFonts w:hint="default"/>
          <w:b w:val="0"/>
          <w:bCs w:val="0"/>
          <w:sz w:val="24"/>
          <w:szCs w:val="24"/>
          <w:highlight w:val="none"/>
          <w:lang w:val="en-US" w:eastAsia="zh-CN"/>
        </w:rPr>
        <w:t>安全保护装置：电动单臂吊需要配备各种安全保护装置，葫芦有上、下限位功能。当吊钩上升和下降至极限位置时应自动停止吊钩运动；起升机构应装设安全离合器；</w:t>
      </w:r>
    </w:p>
    <w:p>
      <w:pPr>
        <w:spacing w:line="360" w:lineRule="auto"/>
        <w:outlineLvl w:val="3"/>
        <w:rPr>
          <w:rFonts w:hint="default"/>
          <w:b w:val="0"/>
          <w:bCs w:val="0"/>
          <w:sz w:val="24"/>
          <w:szCs w:val="24"/>
          <w:highlight w:val="none"/>
          <w:lang w:val="en-US" w:eastAsia="zh-CN"/>
        </w:rPr>
      </w:pPr>
      <w:r>
        <w:rPr>
          <w:rFonts w:hint="default"/>
          <w:b w:val="0"/>
          <w:bCs w:val="0"/>
          <w:sz w:val="24"/>
          <w:szCs w:val="24"/>
          <w:highlight w:val="none"/>
          <w:lang w:val="en-US" w:eastAsia="zh-CN"/>
        </w:rPr>
        <w:t>配超载保护器，在吊装过程中能及时报警，保障操作者和设备的安全</w:t>
      </w:r>
      <w:r>
        <w:rPr>
          <w:rFonts w:hint="eastAsia"/>
          <w:b w:val="0"/>
          <w:bCs w:val="0"/>
          <w:sz w:val="24"/>
          <w:szCs w:val="24"/>
          <w:highlight w:val="none"/>
          <w:lang w:val="en-US" w:eastAsia="zh-CN"/>
        </w:rPr>
        <w:t>；</w:t>
      </w:r>
      <w:r>
        <w:rPr>
          <w:rFonts w:hint="default"/>
          <w:b w:val="0"/>
          <w:bCs w:val="0"/>
          <w:sz w:val="24"/>
          <w:szCs w:val="24"/>
          <w:highlight w:val="none"/>
          <w:lang w:val="en-US" w:eastAsia="zh-CN"/>
        </w:rPr>
        <w:t>葫芦控制手柄应具有绝缘防护，不能有强电接入控制手柄，工作电压不超过48V；葫芦电机防护等级等于或高于IP54，电机绝缘等级等于或高于F 级</w:t>
      </w:r>
      <w:r>
        <w:rPr>
          <w:rFonts w:hint="eastAsia"/>
          <w:b w:val="0"/>
          <w:bCs w:val="0"/>
          <w:sz w:val="24"/>
          <w:szCs w:val="24"/>
          <w:highlight w:val="none"/>
          <w:lang w:val="en-US" w:eastAsia="zh-CN"/>
        </w:rPr>
        <w:t>；</w:t>
      </w:r>
      <w:r>
        <w:rPr>
          <w:rFonts w:hint="default"/>
          <w:b w:val="0"/>
          <w:bCs w:val="0"/>
          <w:sz w:val="24"/>
          <w:szCs w:val="24"/>
          <w:highlight w:val="none"/>
          <w:lang w:val="en-US" w:eastAsia="zh-CN"/>
        </w:rPr>
        <w:t>手电门等于或者高于IP54保护等级，带压入-旋出式急停按钮开关。</w:t>
      </w:r>
    </w:p>
    <w:p>
      <w:pPr>
        <w:spacing w:line="360" w:lineRule="auto"/>
        <w:outlineLvl w:val="3"/>
        <w:rPr>
          <w:rFonts w:hint="default"/>
          <w:b w:val="0"/>
          <w:bCs w:val="0"/>
          <w:sz w:val="24"/>
          <w:szCs w:val="24"/>
          <w:highlight w:val="none"/>
          <w:lang w:val="en-US" w:eastAsia="zh-CN"/>
        </w:rPr>
      </w:pPr>
      <w:r>
        <w:rPr>
          <w:rFonts w:hint="eastAsia"/>
          <w:b w:val="0"/>
          <w:bCs w:val="0"/>
          <w:sz w:val="24"/>
          <w:szCs w:val="24"/>
          <w:highlight w:val="none"/>
          <w:lang w:val="en-US" w:eastAsia="zh-CN"/>
        </w:rPr>
        <w:t>2.6.6单臂吊的制造厂家需具备相应生产资质。</w:t>
      </w:r>
    </w:p>
    <w:p>
      <w:pPr>
        <w:spacing w:line="360" w:lineRule="auto"/>
        <w:ind w:left="723" w:hanging="720" w:hangingChars="300"/>
        <w:outlineLvl w:val="3"/>
        <w:rPr>
          <w:rFonts w:hint="eastAsia"/>
          <w:b/>
          <w:sz w:val="24"/>
          <w:szCs w:val="24"/>
          <w:highlight w:val="none"/>
          <w:lang w:val="en-US" w:eastAsia="zh-CN"/>
        </w:rPr>
      </w:pPr>
      <w:r>
        <w:rPr>
          <w:rFonts w:hint="eastAsia"/>
          <w:b/>
          <w:sz w:val="24"/>
          <w:szCs w:val="24"/>
          <w:highlight w:val="none"/>
          <w:lang w:val="en-US" w:eastAsia="zh-CN"/>
        </w:rPr>
        <w:t>2.7数据通讯</w:t>
      </w:r>
    </w:p>
    <w:p>
      <w:pPr>
        <w:spacing w:line="360" w:lineRule="auto"/>
        <w:ind w:left="719" w:leftChars="228" w:hanging="240" w:hangingChars="100"/>
        <w:outlineLvl w:val="3"/>
        <w:rPr>
          <w:rFonts w:hint="eastAsia"/>
          <w:b w:val="0"/>
          <w:bCs/>
          <w:sz w:val="24"/>
          <w:szCs w:val="24"/>
          <w:highlight w:val="none"/>
          <w:lang w:val="en-US" w:eastAsia="zh-CN"/>
        </w:rPr>
      </w:pPr>
      <w:r>
        <w:rPr>
          <w:rFonts w:hint="eastAsia"/>
          <w:b w:val="0"/>
          <w:bCs/>
          <w:sz w:val="24"/>
          <w:szCs w:val="24"/>
          <w:highlight w:val="none"/>
          <w:lang w:val="en-US" w:eastAsia="zh-CN"/>
        </w:rPr>
        <w:t>驾驶室后悬输送线为独立设备，不与外部网络进行数据通讯。</w:t>
      </w:r>
    </w:p>
    <w:p>
      <w:pPr>
        <w:spacing w:line="360" w:lineRule="auto"/>
        <w:ind w:left="723" w:hanging="720" w:hangingChars="300"/>
        <w:outlineLvl w:val="3"/>
        <w:rPr>
          <w:rFonts w:hint="eastAsia"/>
          <w:b/>
          <w:sz w:val="24"/>
          <w:szCs w:val="24"/>
          <w:highlight w:val="none"/>
          <w:lang w:val="en-US" w:eastAsia="zh-CN"/>
        </w:rPr>
      </w:pPr>
      <w:r>
        <w:rPr>
          <w:rFonts w:hint="eastAsia"/>
          <w:b/>
          <w:sz w:val="24"/>
          <w:szCs w:val="24"/>
          <w:highlight w:val="none"/>
          <w:lang w:val="en-US" w:eastAsia="zh-CN"/>
        </w:rPr>
        <w:t>2.8培训、陪产、验收</w:t>
      </w:r>
    </w:p>
    <w:p>
      <w:pPr>
        <w:spacing w:line="360" w:lineRule="auto"/>
        <w:ind w:left="0" w:leftChars="0" w:firstLine="340" w:firstLineChars="142"/>
        <w:outlineLvl w:val="3"/>
        <w:rPr>
          <w:rFonts w:hint="eastAsia"/>
          <w:b w:val="0"/>
          <w:bCs/>
          <w:sz w:val="24"/>
          <w:szCs w:val="24"/>
          <w:highlight w:val="none"/>
          <w:lang w:val="en-US" w:eastAsia="zh-CN"/>
        </w:rPr>
      </w:pPr>
      <w:r>
        <w:rPr>
          <w:rFonts w:hint="eastAsia"/>
          <w:b w:val="0"/>
          <w:bCs/>
          <w:sz w:val="24"/>
          <w:szCs w:val="24"/>
          <w:highlight w:val="none"/>
          <w:lang w:val="en-US" w:eastAsia="zh-CN"/>
        </w:rPr>
        <w:t>本项目设备结构比较简单，不进行预验收。投产后培训半天，陪产1周。试运行结束后，进行终验收。</w:t>
      </w:r>
    </w:p>
    <w:p>
      <w:pPr>
        <w:spacing w:line="360" w:lineRule="auto"/>
        <w:ind w:left="723" w:hanging="720" w:hangingChars="300"/>
        <w:outlineLvl w:val="3"/>
        <w:rPr>
          <w:rFonts w:hint="eastAsia"/>
          <w:b/>
          <w:sz w:val="24"/>
          <w:szCs w:val="24"/>
          <w:highlight w:val="none"/>
          <w:lang w:val="en-US" w:eastAsia="zh-CN"/>
        </w:rPr>
      </w:pPr>
      <w:r>
        <w:rPr>
          <w:rFonts w:hint="eastAsia"/>
          <w:b/>
          <w:sz w:val="24"/>
          <w:szCs w:val="24"/>
          <w:highlight w:val="none"/>
          <w:lang w:val="en-US" w:eastAsia="zh-CN"/>
        </w:rPr>
        <w:t>2.9备品备件</w:t>
      </w:r>
    </w:p>
    <w:p>
      <w:pPr>
        <w:spacing w:line="360" w:lineRule="auto"/>
        <w:ind w:left="723" w:hanging="720" w:hangingChars="300"/>
        <w:outlineLvl w:val="3"/>
        <w:rPr>
          <w:rFonts w:hint="default"/>
          <w:b/>
          <w:sz w:val="24"/>
          <w:szCs w:val="24"/>
          <w:highlight w:val="none"/>
          <w:lang w:val="en-US" w:eastAsia="zh-CN"/>
        </w:rPr>
      </w:pPr>
      <w:r>
        <w:rPr>
          <w:rFonts w:hint="eastAsia"/>
          <w:b/>
          <w:sz w:val="24"/>
          <w:szCs w:val="24"/>
          <w:highlight w:val="none"/>
          <w:lang w:val="en-US" w:eastAsia="zh-CN"/>
        </w:rPr>
        <w:t xml:space="preserve">  </w:t>
      </w:r>
      <w:r>
        <w:rPr>
          <w:rFonts w:hint="eastAsia"/>
          <w:b w:val="0"/>
          <w:bCs/>
          <w:sz w:val="24"/>
          <w:szCs w:val="24"/>
          <w:highlight w:val="none"/>
          <w:lang w:val="en-US" w:eastAsia="zh-CN"/>
        </w:rPr>
        <w:t xml:space="preserve"> 本项目投标报价不含备品备件。</w:t>
      </w:r>
    </w:p>
    <w:p>
      <w:pPr>
        <w:keepNext/>
        <w:keepLines/>
        <w:spacing w:line="420" w:lineRule="exact"/>
        <w:jc w:val="center"/>
        <w:outlineLvl w:val="2"/>
        <w:rPr>
          <w:b/>
          <w:bCs/>
          <w:color w:val="000000"/>
          <w:sz w:val="24"/>
          <w:szCs w:val="24"/>
        </w:rPr>
      </w:pPr>
    </w:p>
    <w:p>
      <w:pPr>
        <w:keepNext/>
        <w:keepLines/>
        <w:numPr>
          <w:ilvl w:val="0"/>
          <w:numId w:val="12"/>
        </w:numPr>
        <w:spacing w:line="420" w:lineRule="exact"/>
        <w:jc w:val="left"/>
        <w:outlineLvl w:val="2"/>
        <w:rPr>
          <w:rFonts w:hint="eastAsia" w:ascii="宋体" w:hAnsi="宋体" w:eastAsia="宋体" w:cs="宋体"/>
          <w:b/>
          <w:bCs/>
          <w:color w:val="000000"/>
          <w:sz w:val="36"/>
          <w:szCs w:val="36"/>
        </w:rPr>
      </w:pPr>
      <w:r>
        <w:rPr>
          <w:rFonts w:hint="eastAsia" w:ascii="宋体" w:hAnsi="宋体" w:eastAsia="宋体" w:cs="宋体"/>
          <w:b/>
          <w:bCs/>
          <w:color w:val="000000"/>
          <w:sz w:val="36"/>
          <w:szCs w:val="36"/>
        </w:rPr>
        <w:t>技术要求（通用）</w:t>
      </w:r>
    </w:p>
    <w:p>
      <w:pPr>
        <w:keepNext/>
        <w:keepLines/>
        <w:numPr>
          <w:ilvl w:val="0"/>
          <w:numId w:val="0"/>
        </w:numPr>
        <w:spacing w:line="420" w:lineRule="exact"/>
        <w:ind w:firstLine="480" w:firstLineChars="200"/>
        <w:jc w:val="both"/>
        <w:outlineLvl w:val="2"/>
        <w:rPr>
          <w:rFonts w:hint="eastAsia"/>
          <w:b/>
          <w:bCs/>
          <w:color w:val="000000"/>
          <w:sz w:val="24"/>
          <w:szCs w:val="24"/>
        </w:rPr>
      </w:pPr>
      <w:r>
        <w:rPr>
          <w:rFonts w:hint="eastAsia"/>
          <w:b/>
          <w:bCs/>
          <w:color w:val="000000"/>
          <w:sz w:val="24"/>
          <w:szCs w:val="24"/>
        </w:rPr>
        <w:t>本部分内容为不针对特定项目的通用性要求，如果与专用技术要求有冲突，以专用部分的要求为准。</w:t>
      </w:r>
    </w:p>
    <w:p>
      <w:pPr>
        <w:spacing w:before="240" w:beforeLines="100" w:line="360" w:lineRule="auto"/>
        <w:outlineLvl w:val="3"/>
        <w:rPr>
          <w:b/>
          <w:sz w:val="24"/>
          <w:szCs w:val="24"/>
        </w:rPr>
      </w:pPr>
      <w:r>
        <w:rPr>
          <w:b/>
          <w:sz w:val="24"/>
          <w:szCs w:val="24"/>
        </w:rPr>
        <w:t>1</w:t>
      </w:r>
      <w:r>
        <w:rPr>
          <w:rFonts w:hint="eastAsia"/>
          <w:b/>
          <w:sz w:val="24"/>
          <w:szCs w:val="24"/>
        </w:rPr>
        <w:t>.</w:t>
      </w:r>
      <w:r>
        <w:rPr>
          <w:b/>
          <w:sz w:val="24"/>
          <w:szCs w:val="24"/>
        </w:rPr>
        <w:t>动力基本要求</w:t>
      </w:r>
    </w:p>
    <w:p>
      <w:pPr>
        <w:spacing w:line="360" w:lineRule="auto"/>
        <w:ind w:firstLine="480" w:firstLineChars="200"/>
        <w:rPr>
          <w:sz w:val="24"/>
          <w:szCs w:val="24"/>
        </w:rPr>
      </w:pPr>
      <w:r>
        <w:rPr>
          <w:sz w:val="24"/>
          <w:szCs w:val="24"/>
        </w:rPr>
        <w:t>动力电路从动力箱或屋架上插接母线接入，从车间配电柜到设备的电源的配线施工包含在报价范围内。设备控制柜内图纸要包含液体、气体管路图和加注时序图。张贴在柜的回路图，必须耐水耐腐蚀。</w:t>
      </w:r>
    </w:p>
    <w:p>
      <w:pPr>
        <w:numPr>
          <w:ilvl w:val="0"/>
          <w:numId w:val="13"/>
        </w:numPr>
        <w:spacing w:line="360" w:lineRule="auto"/>
        <w:ind w:firstLine="480" w:firstLineChars="200"/>
        <w:rPr>
          <w:sz w:val="24"/>
          <w:szCs w:val="24"/>
        </w:rPr>
      </w:pPr>
      <w:r>
        <w:rPr>
          <w:sz w:val="24"/>
          <w:szCs w:val="24"/>
        </w:rPr>
        <w:t>系统设计上须要确保电压在±15%范围内波动能正常使用。若需要提高电能质量，相关的电能处理设备需</w:t>
      </w:r>
      <w:r>
        <w:rPr>
          <w:rFonts w:hint="eastAsia"/>
          <w:sz w:val="24"/>
          <w:szCs w:val="24"/>
        </w:rPr>
        <w:t>投标方</w:t>
      </w:r>
      <w:r>
        <w:rPr>
          <w:sz w:val="24"/>
          <w:szCs w:val="24"/>
        </w:rPr>
        <w:t>负责提供。在考虑电流值的基础上，选用电线的种类和尺寸，不得出现电线选型错误导致发热及受到损伤。电缆的选型要考虑腐蚀性、频繁弯折、高温、强电磁干扰等恶劣使用工况，拖链和运动部位的电缆必须采用耐腐蚀或耐高温或耐弯折的高柔性屏蔽电缆等特殊电缆。</w:t>
      </w:r>
    </w:p>
    <w:p>
      <w:pPr>
        <w:numPr>
          <w:ilvl w:val="0"/>
          <w:numId w:val="13"/>
        </w:numPr>
        <w:spacing w:line="360" w:lineRule="auto"/>
        <w:ind w:firstLine="480" w:firstLineChars="200"/>
        <w:rPr>
          <w:sz w:val="24"/>
          <w:szCs w:val="24"/>
        </w:rPr>
      </w:pPr>
      <w:r>
        <w:rPr>
          <w:sz w:val="24"/>
          <w:szCs w:val="24"/>
        </w:rPr>
        <w:t>安装控制柜时要明确标示电缆去向的设备名称，设备侧的电缆上要明确标明回路的分电盘编号，标识清晰不易脱落。控制柜内应有回路图。</w:t>
      </w:r>
    </w:p>
    <w:p>
      <w:pPr>
        <w:numPr>
          <w:ilvl w:val="0"/>
          <w:numId w:val="13"/>
        </w:numPr>
        <w:spacing w:line="360" w:lineRule="auto"/>
        <w:ind w:firstLine="480" w:firstLineChars="200"/>
        <w:rPr>
          <w:sz w:val="24"/>
          <w:szCs w:val="24"/>
        </w:rPr>
      </w:pPr>
      <w:r>
        <w:rPr>
          <w:sz w:val="24"/>
          <w:szCs w:val="24"/>
        </w:rPr>
        <w:t>为避免电机用电源线对信号线产生干扰，需进行屏蔽处理，并留有必要间距，强弱电需分开布置。</w:t>
      </w:r>
    </w:p>
    <w:p>
      <w:pPr>
        <w:numPr>
          <w:ilvl w:val="0"/>
          <w:numId w:val="13"/>
        </w:numPr>
        <w:spacing w:line="360" w:lineRule="auto"/>
        <w:ind w:firstLine="480" w:firstLineChars="200"/>
        <w:rPr>
          <w:sz w:val="24"/>
          <w:szCs w:val="24"/>
        </w:rPr>
      </w:pPr>
      <w:r>
        <w:rPr>
          <w:sz w:val="24"/>
          <w:szCs w:val="24"/>
        </w:rPr>
        <w:t>设备须用地线可靠接地，禁止跨越布线。开关固定可靠，不能固定在安全网上。</w:t>
      </w:r>
    </w:p>
    <w:p>
      <w:pPr>
        <w:numPr>
          <w:ilvl w:val="0"/>
          <w:numId w:val="13"/>
        </w:numPr>
        <w:spacing w:line="360" w:lineRule="auto"/>
        <w:ind w:firstLine="480" w:firstLineChars="200"/>
        <w:rPr>
          <w:sz w:val="24"/>
          <w:szCs w:val="24"/>
        </w:rPr>
      </w:pPr>
      <w:r>
        <w:rPr>
          <w:sz w:val="24"/>
          <w:szCs w:val="24"/>
        </w:rPr>
        <w:t>禁止跨越布线：每一个接地点都必须通过单独的接地线接到总接地铜排的一个接地端子上。</w:t>
      </w:r>
    </w:p>
    <w:p>
      <w:pPr>
        <w:numPr>
          <w:ilvl w:val="0"/>
          <w:numId w:val="13"/>
        </w:numPr>
        <w:spacing w:line="360" w:lineRule="auto"/>
        <w:ind w:firstLine="480" w:firstLineChars="200"/>
        <w:rPr>
          <w:sz w:val="24"/>
          <w:szCs w:val="24"/>
        </w:rPr>
      </w:pPr>
      <w:bookmarkStart w:id="43" w:name="_Toc29499"/>
      <w:r>
        <w:rPr>
          <w:sz w:val="24"/>
          <w:szCs w:val="24"/>
        </w:rPr>
        <w:t>接地导体截面积选择：</w:t>
      </w:r>
      <w:bookmarkEnd w:id="43"/>
    </w:p>
    <w:p>
      <w:pPr>
        <w:spacing w:line="360" w:lineRule="auto"/>
        <w:ind w:firstLine="960" w:firstLineChars="400"/>
        <w:rPr>
          <w:sz w:val="24"/>
          <w:szCs w:val="24"/>
        </w:rPr>
      </w:pPr>
      <w:bookmarkStart w:id="44" w:name="_Toc21730"/>
      <w:r>
        <w:rPr>
          <w:sz w:val="24"/>
          <w:szCs w:val="24"/>
        </w:rPr>
        <w:t>—导体截面在16mm²以下时，接地导体截面等于最大的导体截面。</w:t>
      </w:r>
      <w:bookmarkEnd w:id="44"/>
    </w:p>
    <w:p>
      <w:pPr>
        <w:spacing w:line="360" w:lineRule="auto"/>
        <w:ind w:firstLine="960" w:firstLineChars="400"/>
        <w:rPr>
          <w:sz w:val="24"/>
          <w:szCs w:val="24"/>
        </w:rPr>
      </w:pPr>
      <w:bookmarkStart w:id="45" w:name="_Toc25669"/>
      <w:r>
        <w:rPr>
          <w:sz w:val="24"/>
          <w:szCs w:val="24"/>
        </w:rPr>
        <w:t>—导体截面在16～32mm²时，接地导体截面为16mm²。</w:t>
      </w:r>
      <w:bookmarkEnd w:id="45"/>
    </w:p>
    <w:p>
      <w:pPr>
        <w:spacing w:line="360" w:lineRule="auto"/>
        <w:ind w:firstLine="960" w:firstLineChars="400"/>
        <w:rPr>
          <w:sz w:val="24"/>
          <w:szCs w:val="24"/>
        </w:rPr>
      </w:pPr>
      <w:bookmarkStart w:id="46" w:name="_Toc17608"/>
      <w:r>
        <w:rPr>
          <w:sz w:val="24"/>
          <w:szCs w:val="24"/>
        </w:rPr>
        <w:t>—导体截面在32～120mm²时，接地导体截面等于相线截面的一半。</w:t>
      </w:r>
      <w:bookmarkEnd w:id="46"/>
    </w:p>
    <w:p>
      <w:pPr>
        <w:numPr>
          <w:ilvl w:val="0"/>
          <w:numId w:val="13"/>
        </w:numPr>
        <w:spacing w:line="360" w:lineRule="auto"/>
        <w:ind w:firstLine="480" w:firstLineChars="200"/>
        <w:rPr>
          <w:sz w:val="24"/>
          <w:szCs w:val="24"/>
        </w:rPr>
      </w:pPr>
      <w:r>
        <w:rPr>
          <w:sz w:val="24"/>
          <w:szCs w:val="24"/>
        </w:rPr>
        <w:t>长度1米以上的布线使用线槽或金属管走线，但不允许采用多段线拼接，不允许有端子、铜鼻子等接头。电缆桥架固定可靠，桥架转角、进出口等须用橡胶皮做防护处理，铺设必要的备用线。电缆线槽盖应能方便开启，禁止焊死；电缆线槽内预留至少20%的空间；电缆穿直钢管（最大穿满50%），未保护的弯曲部分或接入设备部分长度不应超过30cm，线槽接头处要用合适截面积的跨接地线，确保屏蔽效果。</w:t>
      </w:r>
    </w:p>
    <w:p>
      <w:pPr>
        <w:numPr>
          <w:ilvl w:val="0"/>
          <w:numId w:val="13"/>
        </w:numPr>
        <w:spacing w:line="360" w:lineRule="auto"/>
        <w:ind w:firstLine="480" w:firstLineChars="200"/>
        <w:rPr>
          <w:sz w:val="24"/>
          <w:szCs w:val="24"/>
        </w:rPr>
      </w:pPr>
      <w:r>
        <w:rPr>
          <w:sz w:val="24"/>
          <w:szCs w:val="24"/>
        </w:rPr>
        <w:t>电缆进出控制盒、控制柜、接线盒必须安装合适的防护套，过长的线路需处理。</w:t>
      </w:r>
    </w:p>
    <w:p>
      <w:pPr>
        <w:numPr>
          <w:ilvl w:val="0"/>
          <w:numId w:val="13"/>
        </w:numPr>
        <w:spacing w:line="360" w:lineRule="auto"/>
        <w:ind w:firstLine="480" w:firstLineChars="200"/>
        <w:rPr>
          <w:sz w:val="24"/>
          <w:szCs w:val="24"/>
        </w:rPr>
      </w:pPr>
      <w:r>
        <w:rPr>
          <w:sz w:val="24"/>
          <w:szCs w:val="24"/>
        </w:rPr>
        <w:t>系统需具备完善的互锁保护，需具备双向且不允许同时发生的移动、运转装置等的电气互锁控制，要求必须有硬件触点互锁，不能只有软件互锁。</w:t>
      </w:r>
    </w:p>
    <w:p>
      <w:pPr>
        <w:numPr>
          <w:ilvl w:val="0"/>
          <w:numId w:val="13"/>
        </w:numPr>
        <w:spacing w:line="360" w:lineRule="auto"/>
        <w:ind w:firstLine="480" w:firstLineChars="200"/>
        <w:rPr>
          <w:sz w:val="24"/>
          <w:szCs w:val="24"/>
        </w:rPr>
      </w:pPr>
      <w:r>
        <w:rPr>
          <w:sz w:val="24"/>
          <w:szCs w:val="24"/>
        </w:rPr>
        <w:t>作业员作业和设备动作时各传感器不能与工件和设备产生干涉。</w:t>
      </w:r>
    </w:p>
    <w:p>
      <w:pPr>
        <w:numPr>
          <w:ilvl w:val="0"/>
          <w:numId w:val="13"/>
        </w:numPr>
        <w:spacing w:line="360" w:lineRule="auto"/>
        <w:ind w:firstLine="480" w:firstLineChars="200"/>
        <w:rPr>
          <w:sz w:val="24"/>
          <w:szCs w:val="24"/>
        </w:rPr>
      </w:pPr>
      <w:r>
        <w:rPr>
          <w:sz w:val="24"/>
          <w:szCs w:val="24"/>
        </w:rPr>
        <w:t>各传感器的信号需采用独立的输入信号通道。</w:t>
      </w:r>
    </w:p>
    <w:p>
      <w:pPr>
        <w:numPr>
          <w:ilvl w:val="0"/>
          <w:numId w:val="13"/>
        </w:numPr>
        <w:spacing w:line="360" w:lineRule="auto"/>
        <w:ind w:firstLine="480" w:firstLineChars="200"/>
        <w:rPr>
          <w:sz w:val="24"/>
          <w:szCs w:val="24"/>
        </w:rPr>
      </w:pPr>
      <w:r>
        <w:rPr>
          <w:sz w:val="24"/>
          <w:szCs w:val="24"/>
        </w:rPr>
        <w:t>热继电器、按钮要单独走线，不可串联；禁止将两个感应开关或两个行程开关串联使用。</w:t>
      </w:r>
    </w:p>
    <w:p>
      <w:pPr>
        <w:numPr>
          <w:ilvl w:val="0"/>
          <w:numId w:val="13"/>
        </w:numPr>
        <w:spacing w:line="360" w:lineRule="auto"/>
        <w:ind w:firstLine="480" w:firstLineChars="200"/>
        <w:rPr>
          <w:sz w:val="24"/>
          <w:szCs w:val="24"/>
        </w:rPr>
      </w:pPr>
      <w:r>
        <w:rPr>
          <w:sz w:val="24"/>
          <w:szCs w:val="24"/>
        </w:rPr>
        <w:t>机器人上各类管线（含电缆、气管、液管、信号线等）采用专用管线包布置，用以保护管线不受损伤，提高使用寿命。</w:t>
      </w:r>
    </w:p>
    <w:p>
      <w:pPr>
        <w:spacing w:line="360" w:lineRule="auto"/>
        <w:outlineLvl w:val="3"/>
        <w:rPr>
          <w:b/>
          <w:sz w:val="24"/>
          <w:szCs w:val="24"/>
        </w:rPr>
      </w:pPr>
      <w:r>
        <w:rPr>
          <w:b/>
          <w:sz w:val="24"/>
          <w:szCs w:val="24"/>
        </w:rPr>
        <w:t>2</w:t>
      </w:r>
      <w:r>
        <w:rPr>
          <w:rFonts w:hint="eastAsia"/>
          <w:b/>
          <w:sz w:val="24"/>
          <w:szCs w:val="24"/>
        </w:rPr>
        <w:t>.</w:t>
      </w:r>
      <w:r>
        <w:rPr>
          <w:b/>
          <w:sz w:val="24"/>
          <w:szCs w:val="24"/>
        </w:rPr>
        <w:t>控制柜和接线技术要求</w:t>
      </w:r>
    </w:p>
    <w:p>
      <w:pPr>
        <w:numPr>
          <w:ilvl w:val="0"/>
          <w:numId w:val="14"/>
        </w:numPr>
        <w:spacing w:line="360" w:lineRule="auto"/>
        <w:ind w:firstLine="480" w:firstLineChars="200"/>
        <w:rPr>
          <w:sz w:val="24"/>
          <w:szCs w:val="24"/>
        </w:rPr>
      </w:pPr>
      <w:r>
        <w:rPr>
          <w:sz w:val="24"/>
          <w:szCs w:val="24"/>
        </w:rPr>
        <w:t>控制柜要具备良好强度，钢板厚度1.5mm以上；电源进线须从侧面进线，并敷设线槽。柜体下部有隔离层，进出电缆在下部与上部用隔离板分开；电气控制柜采用闭式电柜，防护等级IP54（电柜底部应封闭，防止潮气进入电柜内部）。在电柜上，除了操作和检测元件外，禁止安装其它元件。</w:t>
      </w:r>
    </w:p>
    <w:p>
      <w:pPr>
        <w:numPr>
          <w:ilvl w:val="0"/>
          <w:numId w:val="14"/>
        </w:numPr>
        <w:spacing w:line="360" w:lineRule="auto"/>
        <w:ind w:firstLine="480" w:firstLineChars="200"/>
        <w:rPr>
          <w:sz w:val="24"/>
          <w:szCs w:val="24"/>
        </w:rPr>
      </w:pPr>
      <w:r>
        <w:rPr>
          <w:sz w:val="24"/>
          <w:szCs w:val="24"/>
        </w:rPr>
        <w:t>控制柜内设置照明灯具，灯具电压为220V AC，控制柜内备有插座（标准型），规格：AC220V，10A，单相，照明开闭与门连锁，各接触器必须安装浪涌吸收器。</w:t>
      </w:r>
    </w:p>
    <w:p>
      <w:pPr>
        <w:numPr>
          <w:ilvl w:val="0"/>
          <w:numId w:val="14"/>
        </w:numPr>
        <w:spacing w:line="360" w:lineRule="auto"/>
        <w:ind w:firstLine="480" w:firstLineChars="200"/>
        <w:rPr>
          <w:sz w:val="24"/>
          <w:szCs w:val="24"/>
        </w:rPr>
      </w:pPr>
      <w:r>
        <w:rPr>
          <w:sz w:val="24"/>
          <w:szCs w:val="24"/>
        </w:rPr>
        <w:t>所有需要维修编程或监控的控制器，须预留固定的编程接口，编程接口不得被占用。</w:t>
      </w:r>
    </w:p>
    <w:p>
      <w:pPr>
        <w:numPr>
          <w:ilvl w:val="0"/>
          <w:numId w:val="14"/>
        </w:numPr>
        <w:spacing w:line="360" w:lineRule="auto"/>
        <w:ind w:firstLine="480" w:firstLineChars="200"/>
        <w:rPr>
          <w:sz w:val="24"/>
          <w:szCs w:val="24"/>
        </w:rPr>
      </w:pPr>
      <w:r>
        <w:rPr>
          <w:sz w:val="24"/>
          <w:szCs w:val="24"/>
        </w:rPr>
        <w:t>电柜配有图纸盒及编程用电脑放置台面，配有电脑用电插孔。</w:t>
      </w:r>
    </w:p>
    <w:p>
      <w:pPr>
        <w:numPr>
          <w:ilvl w:val="0"/>
          <w:numId w:val="14"/>
        </w:numPr>
        <w:spacing w:line="360" w:lineRule="auto"/>
        <w:ind w:firstLine="480" w:firstLineChars="200"/>
        <w:rPr>
          <w:sz w:val="24"/>
          <w:szCs w:val="24"/>
        </w:rPr>
      </w:pPr>
      <w:r>
        <w:rPr>
          <w:sz w:val="24"/>
          <w:szCs w:val="24"/>
        </w:rPr>
        <w:t>控制柜靠近物流通道侧，需加装防撞栏杆</w:t>
      </w:r>
      <w:r>
        <w:rPr>
          <w:rFonts w:hint="eastAsia"/>
          <w:sz w:val="24"/>
          <w:szCs w:val="24"/>
        </w:rPr>
        <w:t>，栏杆的管径、结构、颜色与车间现有护栏相同</w:t>
      </w:r>
      <w:r>
        <w:rPr>
          <w:sz w:val="24"/>
          <w:szCs w:val="24"/>
        </w:rPr>
        <w:t>。</w:t>
      </w:r>
    </w:p>
    <w:p>
      <w:pPr>
        <w:numPr>
          <w:ilvl w:val="0"/>
          <w:numId w:val="14"/>
        </w:numPr>
        <w:spacing w:line="360" w:lineRule="auto"/>
        <w:ind w:firstLine="480" w:firstLineChars="200"/>
        <w:rPr>
          <w:sz w:val="24"/>
          <w:szCs w:val="24"/>
        </w:rPr>
      </w:pPr>
      <w:r>
        <w:rPr>
          <w:sz w:val="24"/>
          <w:szCs w:val="24"/>
        </w:rPr>
        <w:t>控制柜进行整个系统的自动控制、检测、显示、保护、报警等功能，且能进行系统故障自诊断，警告会鸣响蜂鸣器，不同声音表示不同报警，相应各灯亮；</w:t>
      </w:r>
    </w:p>
    <w:p>
      <w:pPr>
        <w:numPr>
          <w:ilvl w:val="0"/>
          <w:numId w:val="14"/>
        </w:numPr>
        <w:spacing w:line="360" w:lineRule="auto"/>
        <w:ind w:firstLine="480" w:firstLineChars="200"/>
        <w:rPr>
          <w:sz w:val="24"/>
          <w:szCs w:val="24"/>
        </w:rPr>
      </w:pPr>
      <w:r>
        <w:rPr>
          <w:sz w:val="24"/>
          <w:szCs w:val="24"/>
        </w:rPr>
        <w:t>盘内端子排留有20％的余量，各管线按类别采用不同颜色，并用线码在两端头编号。电箱内部的电线应用下列方式作标记：a)电线两端都作标记；b)同一根线两端标记相同；c)并联线标记相同；d)外部电缆及电箱里每根导线应根据接线图在其两端作标记。</w:t>
      </w:r>
    </w:p>
    <w:p>
      <w:pPr>
        <w:numPr>
          <w:ilvl w:val="0"/>
          <w:numId w:val="14"/>
        </w:numPr>
        <w:spacing w:line="360" w:lineRule="auto"/>
        <w:ind w:firstLine="480" w:firstLineChars="200"/>
        <w:rPr>
          <w:sz w:val="24"/>
          <w:szCs w:val="24"/>
        </w:rPr>
      </w:pPr>
      <w:r>
        <w:rPr>
          <w:sz w:val="24"/>
          <w:szCs w:val="24"/>
        </w:rPr>
        <w:t>控制柜具有防倾倒措施。控制柜配备空调降温；控制柜内设置照明装置。系统各部件要求接地良好，电缆桥架、电柜、钢管之间必须做接地跨接。</w:t>
      </w:r>
    </w:p>
    <w:p>
      <w:pPr>
        <w:numPr>
          <w:ilvl w:val="0"/>
          <w:numId w:val="14"/>
        </w:numPr>
        <w:spacing w:line="360" w:lineRule="auto"/>
        <w:ind w:firstLine="480" w:firstLineChars="200"/>
        <w:rPr>
          <w:sz w:val="24"/>
          <w:szCs w:val="24"/>
        </w:rPr>
      </w:pPr>
      <w:r>
        <w:rPr>
          <w:sz w:val="24"/>
          <w:szCs w:val="24"/>
        </w:rPr>
        <w:t>所有输送线体按钮站、控制柜、线束桥架全部做防鼠、防尘、防水处理，防尘、防水标准符合国标要求，各设备和控制系统之间不允许有控制方式、接口不相容因素。为防止上述因素发生，主要产品使用同一厂家生产的系列化产品。所有电器、气动元件需要标识清晰，方便维修人员处理故障。地线联接和地极符合国际（ISO/IEC）标准规范，满足</w:t>
      </w:r>
      <w:r>
        <w:rPr>
          <w:rFonts w:hint="eastAsia"/>
          <w:sz w:val="24"/>
          <w:szCs w:val="24"/>
        </w:rPr>
        <w:t>招标方</w:t>
      </w:r>
      <w:r>
        <w:rPr>
          <w:sz w:val="24"/>
          <w:szCs w:val="24"/>
        </w:rPr>
        <w:t>使用要求。</w:t>
      </w:r>
    </w:p>
    <w:p>
      <w:pPr>
        <w:numPr>
          <w:ilvl w:val="0"/>
          <w:numId w:val="14"/>
        </w:numPr>
        <w:spacing w:line="360" w:lineRule="auto"/>
        <w:ind w:firstLine="480" w:firstLineChars="200"/>
        <w:rPr>
          <w:sz w:val="24"/>
          <w:szCs w:val="24"/>
        </w:rPr>
      </w:pPr>
      <w:r>
        <w:rPr>
          <w:sz w:val="24"/>
          <w:szCs w:val="24"/>
        </w:rPr>
        <w:t>控制柜和接线，控制柜门应有导电门封垫条，以提高抗射频干扰（RFI）能力。控制柜的设计应满足电缆由柜底引入的要求，</w:t>
      </w:r>
      <w:r>
        <w:rPr>
          <w:rFonts w:hint="eastAsia"/>
          <w:sz w:val="24"/>
          <w:szCs w:val="24"/>
        </w:rPr>
        <w:t>投标方</w:t>
      </w:r>
      <w:r>
        <w:rPr>
          <w:sz w:val="24"/>
          <w:szCs w:val="24"/>
        </w:rPr>
        <w:t>提供的电缆接线应采用接线端子排方式，而非将电缆直接连接在元件端子上，内部接线应预置。对需散热的控制柜，</w:t>
      </w:r>
      <w:r>
        <w:rPr>
          <w:rFonts w:hint="eastAsia"/>
          <w:sz w:val="24"/>
          <w:szCs w:val="24"/>
        </w:rPr>
        <w:t>投标方</w:t>
      </w:r>
      <w:r>
        <w:rPr>
          <w:sz w:val="24"/>
          <w:szCs w:val="24"/>
        </w:rPr>
        <w:t>提供排气风扇和内部循环风扇。排气风扇和内部循环风扇应易于更换。风扇故障应有报警，在图纸会签和技术协议中注明。</w:t>
      </w:r>
    </w:p>
    <w:p>
      <w:pPr>
        <w:numPr>
          <w:ilvl w:val="0"/>
          <w:numId w:val="14"/>
        </w:numPr>
        <w:spacing w:line="360" w:lineRule="auto"/>
        <w:ind w:firstLine="480" w:firstLineChars="200"/>
        <w:rPr>
          <w:sz w:val="24"/>
          <w:szCs w:val="24"/>
        </w:rPr>
      </w:pPr>
      <w:r>
        <w:rPr>
          <w:sz w:val="24"/>
          <w:szCs w:val="24"/>
        </w:rPr>
        <w:t>所提供的控制柜内应安装设温度检测开关，当温度过高时应进行报警。</w:t>
      </w:r>
    </w:p>
    <w:p>
      <w:pPr>
        <w:numPr>
          <w:ilvl w:val="0"/>
          <w:numId w:val="14"/>
        </w:numPr>
        <w:spacing w:line="360" w:lineRule="auto"/>
        <w:ind w:firstLine="480" w:firstLineChars="200"/>
        <w:rPr>
          <w:sz w:val="24"/>
          <w:szCs w:val="24"/>
        </w:rPr>
      </w:pPr>
      <w:r>
        <w:rPr>
          <w:sz w:val="24"/>
          <w:szCs w:val="24"/>
        </w:rPr>
        <w:t>控制柜内的端子排应布置在易于安装接线的地方，即为离柜底300mm以上和距柜顶150mm以下，控制柜（控制台）尺寸、颜色、外形结构相同，其控制柜、控制台颜色由</w:t>
      </w:r>
      <w:r>
        <w:rPr>
          <w:rFonts w:hint="eastAsia"/>
          <w:sz w:val="24"/>
          <w:szCs w:val="24"/>
        </w:rPr>
        <w:t>招标方</w:t>
      </w:r>
      <w:r>
        <w:rPr>
          <w:sz w:val="24"/>
          <w:szCs w:val="24"/>
        </w:rPr>
        <w:t>确定。控制柜外壳刚度能满足现场要求（最小厚度≥2mm）。控制柜内附有关本控制柜情况的资料袋。</w:t>
      </w:r>
    </w:p>
    <w:p>
      <w:pPr>
        <w:numPr>
          <w:ilvl w:val="0"/>
          <w:numId w:val="14"/>
        </w:numPr>
        <w:spacing w:line="360" w:lineRule="auto"/>
        <w:ind w:firstLine="480" w:firstLineChars="200"/>
        <w:rPr>
          <w:sz w:val="24"/>
          <w:szCs w:val="24"/>
        </w:rPr>
      </w:pPr>
      <w:r>
        <w:rPr>
          <w:sz w:val="24"/>
          <w:szCs w:val="24"/>
        </w:rPr>
        <w:t>所有外部接线至少满足1.5mm2线芯截面的接线要求。</w:t>
      </w:r>
    </w:p>
    <w:p>
      <w:pPr>
        <w:numPr>
          <w:ilvl w:val="0"/>
          <w:numId w:val="14"/>
        </w:numPr>
        <w:spacing w:line="360" w:lineRule="auto"/>
        <w:ind w:firstLine="480" w:firstLineChars="200"/>
        <w:rPr>
          <w:sz w:val="24"/>
          <w:szCs w:val="24"/>
        </w:rPr>
      </w:pPr>
      <w:r>
        <w:rPr>
          <w:sz w:val="24"/>
          <w:szCs w:val="24"/>
        </w:rPr>
        <w:t>控制柜内的每个电气元件、端子排和端子都有清晰的标志，并与图纸和接线表相符。</w:t>
      </w:r>
    </w:p>
    <w:p>
      <w:pPr>
        <w:numPr>
          <w:ilvl w:val="0"/>
          <w:numId w:val="14"/>
        </w:numPr>
        <w:spacing w:line="360" w:lineRule="auto"/>
        <w:ind w:firstLine="480" w:firstLineChars="200"/>
        <w:rPr>
          <w:sz w:val="24"/>
          <w:szCs w:val="24"/>
        </w:rPr>
      </w:pPr>
      <w:r>
        <w:rPr>
          <w:sz w:val="24"/>
          <w:szCs w:val="24"/>
        </w:rPr>
        <w:t>端子排、电缆夹头、电缆走线槽及接线槽均由“阻燃”型材料制造。</w:t>
      </w:r>
    </w:p>
    <w:p>
      <w:pPr>
        <w:numPr>
          <w:ilvl w:val="0"/>
          <w:numId w:val="14"/>
        </w:numPr>
        <w:spacing w:line="360" w:lineRule="auto"/>
        <w:ind w:firstLine="480" w:firstLineChars="200"/>
        <w:rPr>
          <w:sz w:val="24"/>
          <w:szCs w:val="24"/>
        </w:rPr>
      </w:pPr>
      <w:r>
        <w:rPr>
          <w:sz w:val="24"/>
          <w:szCs w:val="24"/>
        </w:rPr>
        <w:t>控制系统使用的通讯、控制、电力电缆（包括两端的接触件），这些电缆符合国标防火标准。</w:t>
      </w:r>
    </w:p>
    <w:p>
      <w:pPr>
        <w:numPr>
          <w:ilvl w:val="0"/>
          <w:numId w:val="14"/>
        </w:numPr>
        <w:spacing w:line="360" w:lineRule="auto"/>
        <w:ind w:firstLine="480" w:firstLineChars="200"/>
        <w:rPr>
          <w:sz w:val="24"/>
          <w:szCs w:val="24"/>
        </w:rPr>
      </w:pPr>
      <w:r>
        <w:rPr>
          <w:sz w:val="24"/>
          <w:szCs w:val="24"/>
        </w:rPr>
        <w:t>所有I/O模块和现场信号的接线接口应为接线端子排，卡件和端子排之间的连线在制造厂内接好，并在端子排上注有明显标记。</w:t>
      </w:r>
    </w:p>
    <w:p>
      <w:pPr>
        <w:numPr>
          <w:ilvl w:val="0"/>
          <w:numId w:val="14"/>
        </w:numPr>
        <w:spacing w:line="360" w:lineRule="auto"/>
        <w:ind w:firstLine="480" w:firstLineChars="200"/>
        <w:rPr>
          <w:sz w:val="24"/>
          <w:szCs w:val="24"/>
        </w:rPr>
      </w:pPr>
      <w:r>
        <w:rPr>
          <w:sz w:val="24"/>
          <w:szCs w:val="24"/>
        </w:rPr>
        <w:t>控制柜内应预留充足的空间，元器件安装裕量大于20%，使</w:t>
      </w:r>
      <w:r>
        <w:rPr>
          <w:rFonts w:hint="eastAsia"/>
          <w:sz w:val="24"/>
          <w:szCs w:val="24"/>
        </w:rPr>
        <w:t>招标方</w:t>
      </w:r>
      <w:r>
        <w:rPr>
          <w:sz w:val="24"/>
          <w:szCs w:val="24"/>
        </w:rPr>
        <w:t>能增加部分元器件，方便地接线、汇线、布线和查线。所有信号屏蔽层接地应在控制柜侧完成。</w:t>
      </w:r>
    </w:p>
    <w:p>
      <w:pPr>
        <w:spacing w:line="360" w:lineRule="auto"/>
        <w:outlineLvl w:val="3"/>
        <w:rPr>
          <w:b/>
          <w:sz w:val="24"/>
          <w:szCs w:val="24"/>
        </w:rPr>
      </w:pPr>
      <w:r>
        <w:rPr>
          <w:b/>
          <w:sz w:val="24"/>
          <w:szCs w:val="24"/>
        </w:rPr>
        <w:t>3</w:t>
      </w:r>
      <w:r>
        <w:rPr>
          <w:rFonts w:hint="eastAsia"/>
          <w:b/>
          <w:sz w:val="24"/>
          <w:szCs w:val="24"/>
        </w:rPr>
        <w:t>.</w:t>
      </w:r>
      <w:r>
        <w:rPr>
          <w:b/>
          <w:sz w:val="24"/>
          <w:szCs w:val="24"/>
        </w:rPr>
        <w:t>自动化控制系统技术要求</w:t>
      </w:r>
    </w:p>
    <w:p>
      <w:pPr>
        <w:numPr>
          <w:ilvl w:val="0"/>
          <w:numId w:val="15"/>
        </w:numPr>
        <w:spacing w:line="360" w:lineRule="auto"/>
        <w:ind w:firstLine="480"/>
        <w:rPr>
          <w:sz w:val="24"/>
          <w:szCs w:val="24"/>
        </w:rPr>
      </w:pPr>
      <w:r>
        <w:rPr>
          <w:sz w:val="24"/>
          <w:szCs w:val="24"/>
        </w:rPr>
        <w:t>设备自动化控制系统建议选用西门子S7-1500、</w:t>
      </w:r>
      <w:bookmarkStart w:id="47" w:name="_Hlk33008250"/>
      <w:r>
        <w:rPr>
          <w:sz w:val="24"/>
          <w:szCs w:val="24"/>
        </w:rPr>
        <w:t>S7-1200</w:t>
      </w:r>
      <w:bookmarkEnd w:id="47"/>
      <w:r>
        <w:rPr>
          <w:sz w:val="24"/>
          <w:szCs w:val="24"/>
        </w:rPr>
        <w:t>系列PLC产品，S7-1500PLC</w:t>
      </w:r>
      <w:bookmarkStart w:id="48" w:name="_Hlk33008272"/>
      <w:r>
        <w:rPr>
          <w:sz w:val="24"/>
          <w:szCs w:val="24"/>
        </w:rPr>
        <w:t>适用于大、中规模的自动化控制系统</w:t>
      </w:r>
      <w:bookmarkEnd w:id="48"/>
      <w:r>
        <w:rPr>
          <w:sz w:val="24"/>
          <w:szCs w:val="24"/>
        </w:rPr>
        <w:t>、车间设备信息采集主控系统，S7-1200PLC适用于中、小规模的自动化控制系统。可选产品西门子</w:t>
      </w:r>
      <w:bookmarkStart w:id="49" w:name="_Hlk33008353"/>
      <w:r>
        <w:rPr>
          <w:sz w:val="24"/>
          <w:szCs w:val="24"/>
        </w:rPr>
        <w:t>S7-400</w:t>
      </w:r>
      <w:bookmarkEnd w:id="49"/>
      <w:r>
        <w:rPr>
          <w:sz w:val="24"/>
          <w:szCs w:val="24"/>
        </w:rPr>
        <w:t>、S7-300、S7-200smart系列PLC，分别适用于大、中、小型自动化系统。</w:t>
      </w:r>
    </w:p>
    <w:p>
      <w:pPr>
        <w:numPr>
          <w:ilvl w:val="0"/>
          <w:numId w:val="15"/>
        </w:numPr>
        <w:spacing w:line="360" w:lineRule="auto"/>
        <w:ind w:firstLine="480"/>
        <w:rPr>
          <w:sz w:val="24"/>
          <w:szCs w:val="24"/>
        </w:rPr>
      </w:pPr>
      <w:r>
        <w:rPr>
          <w:sz w:val="24"/>
          <w:szCs w:val="24"/>
        </w:rPr>
        <w:t>数据采集与监视控制系统（SCADA）选用</w:t>
      </w:r>
      <w:r>
        <w:rPr>
          <w:sz w:val="24"/>
          <w:szCs w:val="24"/>
        </w:rPr>
        <w:fldChar w:fldCharType="begin"/>
      </w:r>
      <w:r>
        <w:rPr>
          <w:sz w:val="24"/>
          <w:szCs w:val="24"/>
        </w:rPr>
        <w:instrText xml:space="preserve"> HYPERLINK "file:///D:\\陈东旭(D8BBC12EDF96)(10.21.232.254)\\2022-03-12%2013_03_15\\20220312机器人涂胶\\名词释义3.13.xlsx" </w:instrText>
      </w:r>
      <w:r>
        <w:rPr>
          <w:sz w:val="24"/>
          <w:szCs w:val="24"/>
        </w:rPr>
        <w:fldChar w:fldCharType="separate"/>
      </w:r>
      <w:r>
        <w:rPr>
          <w:sz w:val="24"/>
          <w:szCs w:val="24"/>
        </w:rPr>
        <w:t>西门子WINCC组态</w:t>
      </w:r>
      <w:r>
        <w:rPr>
          <w:sz w:val="24"/>
          <w:szCs w:val="24"/>
        </w:rPr>
        <w:fldChar w:fldCharType="end"/>
      </w:r>
      <w:r>
        <w:rPr>
          <w:sz w:val="24"/>
          <w:szCs w:val="24"/>
        </w:rPr>
        <w:t>，建议PLC和界面组态软件统一使用博图。</w:t>
      </w:r>
    </w:p>
    <w:p>
      <w:pPr>
        <w:numPr>
          <w:ilvl w:val="0"/>
          <w:numId w:val="15"/>
        </w:numPr>
        <w:spacing w:line="360" w:lineRule="auto"/>
        <w:ind w:firstLine="480"/>
        <w:rPr>
          <w:sz w:val="24"/>
          <w:szCs w:val="24"/>
        </w:rPr>
      </w:pPr>
      <w:r>
        <w:rPr>
          <w:sz w:val="24"/>
          <w:szCs w:val="24"/>
        </w:rPr>
        <w:t>编程组态工具：选用西门子TIA博图软件进行开发。PLC编程语言，符合</w:t>
      </w:r>
      <w:r>
        <w:rPr>
          <w:sz w:val="24"/>
          <w:szCs w:val="24"/>
        </w:rPr>
        <w:fldChar w:fldCharType="begin"/>
      </w:r>
      <w:r>
        <w:rPr>
          <w:sz w:val="24"/>
          <w:szCs w:val="24"/>
        </w:rPr>
        <w:instrText xml:space="preserve"> HYPERLINK "file:///D:\\陈东旭(D8BBC12EDF96)(10.21.232.254)\\2022-03-12%2013_03_15\\20220312机器人涂胶\\名词释义3.13.xlsx" </w:instrText>
      </w:r>
      <w:r>
        <w:rPr>
          <w:sz w:val="24"/>
          <w:szCs w:val="24"/>
        </w:rPr>
        <w:fldChar w:fldCharType="separate"/>
      </w:r>
      <w:r>
        <w:rPr>
          <w:sz w:val="24"/>
          <w:szCs w:val="24"/>
        </w:rPr>
        <w:t>GB/T 15969.3-2017 《可编程序控制器第3部分：编程语言》</w:t>
      </w:r>
      <w:r>
        <w:rPr>
          <w:sz w:val="24"/>
          <w:szCs w:val="24"/>
        </w:rPr>
        <w:fldChar w:fldCharType="end"/>
      </w:r>
      <w:r>
        <w:rPr>
          <w:sz w:val="24"/>
          <w:szCs w:val="24"/>
        </w:rPr>
        <w:t>（等同采用IEC61131-3标准）的梯形图（优选）及其它PLC常用语言。</w:t>
      </w:r>
    </w:p>
    <w:p>
      <w:pPr>
        <w:numPr>
          <w:ilvl w:val="0"/>
          <w:numId w:val="15"/>
        </w:numPr>
        <w:spacing w:line="360" w:lineRule="auto"/>
        <w:ind w:firstLine="480"/>
        <w:rPr>
          <w:sz w:val="24"/>
          <w:szCs w:val="24"/>
        </w:rPr>
      </w:pPr>
      <w:r>
        <w:rPr>
          <w:sz w:val="24"/>
          <w:szCs w:val="24"/>
        </w:rPr>
        <w:t>控制系统应采取有效措施，以防止各类计算机病毒的侵害和PLC系统内各存储器的数据丢失。系统设计应满足工业信息安全标准、规范。</w:t>
      </w:r>
    </w:p>
    <w:p>
      <w:pPr>
        <w:numPr>
          <w:ilvl w:val="0"/>
          <w:numId w:val="15"/>
        </w:numPr>
        <w:spacing w:line="360" w:lineRule="auto"/>
        <w:ind w:firstLine="480"/>
        <w:rPr>
          <w:sz w:val="24"/>
          <w:szCs w:val="24"/>
        </w:rPr>
      </w:pPr>
      <w:r>
        <w:rPr>
          <w:sz w:val="24"/>
          <w:szCs w:val="24"/>
        </w:rPr>
        <w:t>控制系统应当留有以下的裕量：最忙时，CPU的负荷率不大于50%；内部存储器占用容量不大于50%，外部存储器占有容量不大于40%；通讯总线负荷率不大于40%；每种I/O点裕量大于20%（具体根据项目确定，下同）；I/O模块槽裕量大于20%（备用插槽应配置必要的硬件，保证今后插入模块即能投入运行）；电源负荷裕量大于40％〔备用模块插入后的裕量〕。以上这些参数都应是按系统正式投运时的最终容量计算的百分比值。</w:t>
      </w:r>
    </w:p>
    <w:p>
      <w:pPr>
        <w:numPr>
          <w:ilvl w:val="0"/>
          <w:numId w:val="15"/>
        </w:numPr>
        <w:spacing w:line="360" w:lineRule="auto"/>
        <w:ind w:firstLine="480"/>
        <w:rPr>
          <w:sz w:val="24"/>
          <w:szCs w:val="24"/>
        </w:rPr>
      </w:pPr>
      <w:r>
        <w:rPr>
          <w:sz w:val="24"/>
          <w:szCs w:val="24"/>
        </w:rPr>
        <w:t>控制系统包含在设备内，控制系统设计使用寿命应满足设备整体设计使用寿命的要求；独立采购的控制系统设计使用寿命应不低于15年,PLC所有模块（板）的</w:t>
      </w:r>
      <w:r>
        <w:rPr>
          <w:sz w:val="24"/>
          <w:szCs w:val="24"/>
        </w:rPr>
        <w:fldChar w:fldCharType="begin"/>
      </w:r>
      <w:r>
        <w:rPr>
          <w:sz w:val="24"/>
          <w:szCs w:val="24"/>
        </w:rPr>
        <w:instrText xml:space="preserve"> HYPERLINK "file:///D:\\陈东旭(D8BBC12EDF96)(10.21.232.254)\\2022-03-12%2013_03_15\\20220312机器人涂胶\\名词释义3.13.xlsx" </w:instrText>
      </w:r>
      <w:r>
        <w:rPr>
          <w:sz w:val="24"/>
          <w:szCs w:val="24"/>
        </w:rPr>
        <w:fldChar w:fldCharType="separate"/>
      </w:r>
      <w:r>
        <w:rPr>
          <w:sz w:val="24"/>
          <w:szCs w:val="24"/>
        </w:rPr>
        <w:t>平均无故障时间(MTBF)</w:t>
      </w:r>
      <w:r>
        <w:rPr>
          <w:sz w:val="24"/>
          <w:szCs w:val="24"/>
        </w:rPr>
        <w:fldChar w:fldCharType="end"/>
      </w:r>
      <w:r>
        <w:rPr>
          <w:sz w:val="24"/>
          <w:szCs w:val="24"/>
        </w:rPr>
        <w:t>不小于20万小时。</w:t>
      </w:r>
    </w:p>
    <w:p>
      <w:pPr>
        <w:numPr>
          <w:ilvl w:val="0"/>
          <w:numId w:val="15"/>
        </w:numPr>
        <w:spacing w:line="360" w:lineRule="auto"/>
        <w:ind w:firstLine="480"/>
        <w:rPr>
          <w:sz w:val="24"/>
          <w:szCs w:val="24"/>
        </w:rPr>
      </w:pPr>
      <w:r>
        <w:rPr>
          <w:sz w:val="24"/>
          <w:szCs w:val="24"/>
        </w:rPr>
        <w:t>在执行合同的过程中，随着项目设计进程和技术资料逐渐完善，在不超出I/O信号总量的前提下，硬件、软件冻结前后，</w:t>
      </w:r>
      <w:r>
        <w:rPr>
          <w:rFonts w:hint="eastAsia"/>
          <w:sz w:val="24"/>
          <w:szCs w:val="24"/>
        </w:rPr>
        <w:t>招标方</w:t>
      </w:r>
      <w:r>
        <w:rPr>
          <w:sz w:val="24"/>
          <w:szCs w:val="24"/>
        </w:rPr>
        <w:t>对I/O信号及控制要求的变更，</w:t>
      </w:r>
      <w:r>
        <w:rPr>
          <w:rFonts w:hint="eastAsia"/>
          <w:sz w:val="24"/>
          <w:szCs w:val="24"/>
        </w:rPr>
        <w:t>投标方</w:t>
      </w:r>
      <w:r>
        <w:rPr>
          <w:sz w:val="24"/>
          <w:szCs w:val="24"/>
        </w:rPr>
        <w:t>应及时更新设计。在保证大于20%备用量的前提下不增加费用。</w:t>
      </w:r>
    </w:p>
    <w:p>
      <w:pPr>
        <w:numPr>
          <w:ilvl w:val="0"/>
          <w:numId w:val="15"/>
        </w:numPr>
        <w:spacing w:line="360" w:lineRule="auto"/>
        <w:ind w:firstLine="480"/>
        <w:rPr>
          <w:sz w:val="24"/>
          <w:szCs w:val="24"/>
        </w:rPr>
      </w:pPr>
      <w:r>
        <w:rPr>
          <w:sz w:val="24"/>
          <w:szCs w:val="24"/>
        </w:rPr>
        <w:t>环境及抗干扰，系统能在电子噪声、射频干扰及振动都很大的现场环境中连续运行，且不降低系统的性能。</w:t>
      </w:r>
    </w:p>
    <w:p>
      <w:pPr>
        <w:numPr>
          <w:ilvl w:val="0"/>
          <w:numId w:val="15"/>
        </w:numPr>
        <w:spacing w:line="360" w:lineRule="auto"/>
        <w:ind w:firstLine="480"/>
        <w:rPr>
          <w:sz w:val="24"/>
          <w:szCs w:val="24"/>
        </w:rPr>
      </w:pPr>
      <w:r>
        <w:rPr>
          <w:sz w:val="24"/>
          <w:szCs w:val="24"/>
        </w:rPr>
        <w:t>系统设计应采用各种抗噪声技术，包括</w:t>
      </w:r>
      <w:r>
        <w:rPr>
          <w:sz w:val="24"/>
          <w:szCs w:val="24"/>
        </w:rPr>
        <w:fldChar w:fldCharType="begin"/>
      </w:r>
      <w:r>
        <w:rPr>
          <w:sz w:val="24"/>
          <w:szCs w:val="24"/>
        </w:rPr>
        <w:instrText xml:space="preserve"> HYPERLINK "file:///D:\\陈东旭(D8BBC12EDF96)(10.21.232.254)\\2022-03-12%2013_03_15\\20220312机器人涂胶\\名词释义3.13.xlsx" </w:instrText>
      </w:r>
      <w:r>
        <w:rPr>
          <w:sz w:val="24"/>
          <w:szCs w:val="24"/>
        </w:rPr>
        <w:fldChar w:fldCharType="separate"/>
      </w:r>
      <w:r>
        <w:rPr>
          <w:sz w:val="24"/>
          <w:szCs w:val="24"/>
        </w:rPr>
        <w:t>光电隔离</w:t>
      </w:r>
      <w:r>
        <w:rPr>
          <w:sz w:val="24"/>
          <w:szCs w:val="24"/>
        </w:rPr>
        <w:fldChar w:fldCharType="end"/>
      </w:r>
      <w:r>
        <w:rPr>
          <w:sz w:val="24"/>
          <w:szCs w:val="24"/>
        </w:rPr>
        <w:t>、高共模抑制比、合理的接地和屏蔽。</w:t>
      </w:r>
    </w:p>
    <w:p>
      <w:pPr>
        <w:numPr>
          <w:ilvl w:val="0"/>
          <w:numId w:val="15"/>
        </w:numPr>
        <w:spacing w:line="360" w:lineRule="auto"/>
        <w:ind w:firstLine="480"/>
        <w:rPr>
          <w:sz w:val="24"/>
          <w:szCs w:val="24"/>
        </w:rPr>
      </w:pPr>
      <w:r>
        <w:rPr>
          <w:sz w:val="24"/>
          <w:szCs w:val="24"/>
        </w:rPr>
        <w:t>在距电子设备1.2m以外发出的工作频率达470MHz、功率输出达5W的电磁干扰和射频干扰，不会影响系统正常工作。系统应能在环境温度-20℃～45℃（控制站-20℃～50℃），相对湿度10～95%（不结露）的环境中连续运行。</w:t>
      </w:r>
    </w:p>
    <w:p>
      <w:pPr>
        <w:numPr>
          <w:ilvl w:val="0"/>
          <w:numId w:val="15"/>
        </w:numPr>
        <w:spacing w:line="360" w:lineRule="auto"/>
        <w:ind w:firstLine="480"/>
        <w:rPr>
          <w:sz w:val="24"/>
          <w:szCs w:val="24"/>
        </w:rPr>
      </w:pPr>
      <w:r>
        <w:rPr>
          <w:sz w:val="24"/>
          <w:szCs w:val="24"/>
        </w:rPr>
        <w:t>系统抗干扰能力：</w:t>
      </w:r>
      <w:r>
        <w:fldChar w:fldCharType="begin"/>
      </w:r>
      <w:r>
        <w:instrText xml:space="preserve"> HYPERLINK "file:///D:\\陈东旭(D8BBC12EDF96)(10.21.232.254)\\2022-03-12%2013_03_15\\20220312机器人涂胶\\名词释义3.13.xlsx" </w:instrText>
      </w:r>
      <w:r>
        <w:fldChar w:fldCharType="separate"/>
      </w:r>
      <w:r>
        <w:rPr>
          <w:sz w:val="24"/>
          <w:szCs w:val="24"/>
        </w:rPr>
        <w:t>共模电压</w:t>
      </w:r>
      <w:r>
        <w:rPr>
          <w:sz w:val="24"/>
          <w:szCs w:val="24"/>
        </w:rPr>
        <w:fldChar w:fldCharType="end"/>
      </w:r>
      <w:r>
        <w:rPr>
          <w:sz w:val="24"/>
          <w:szCs w:val="24"/>
        </w:rPr>
        <w:t>不小于500V，继电器输出350V；</w:t>
      </w:r>
      <w:r>
        <w:rPr>
          <w:sz w:val="24"/>
          <w:szCs w:val="24"/>
        </w:rPr>
        <w:fldChar w:fldCharType="begin"/>
      </w:r>
      <w:r>
        <w:rPr>
          <w:sz w:val="24"/>
          <w:szCs w:val="24"/>
        </w:rPr>
        <w:instrText xml:space="preserve"> HYPERLINK "file:///D:\\陈东旭(D8BBC12EDF96)(10.21.232.254)\\2022-03-12%2013_03_15\\20220312机器人涂胶\\名词释义3.13.xlsx" </w:instrText>
      </w:r>
      <w:r>
        <w:rPr>
          <w:sz w:val="24"/>
          <w:szCs w:val="24"/>
        </w:rPr>
        <w:fldChar w:fldCharType="separate"/>
      </w:r>
      <w:r>
        <w:rPr>
          <w:sz w:val="24"/>
          <w:szCs w:val="24"/>
        </w:rPr>
        <w:t>共模抑制比</w:t>
      </w:r>
      <w:r>
        <w:rPr>
          <w:sz w:val="24"/>
          <w:szCs w:val="24"/>
        </w:rPr>
        <w:fldChar w:fldCharType="end"/>
      </w:r>
      <w:r>
        <w:rPr>
          <w:sz w:val="24"/>
          <w:szCs w:val="24"/>
        </w:rPr>
        <w:t>不小于120dB，50Hz；差模电压不小于60V；差模抑制比不小于60dB；50Hz。</w:t>
      </w:r>
    </w:p>
    <w:p>
      <w:pPr>
        <w:numPr>
          <w:ilvl w:val="0"/>
          <w:numId w:val="15"/>
        </w:numPr>
        <w:spacing w:line="360" w:lineRule="auto"/>
        <w:ind w:firstLine="480"/>
        <w:rPr>
          <w:sz w:val="24"/>
          <w:szCs w:val="24"/>
        </w:rPr>
      </w:pPr>
      <w:r>
        <w:rPr>
          <w:sz w:val="24"/>
          <w:szCs w:val="24"/>
        </w:rPr>
        <w:t>控制系统应留有与SAP、MES系统的通讯接口。如需要则应提供冗余光纤、通讯电缆和全部通讯附件。</w:t>
      </w:r>
      <w:r>
        <w:rPr>
          <w:rFonts w:hint="eastAsia"/>
          <w:sz w:val="24"/>
          <w:szCs w:val="24"/>
        </w:rPr>
        <w:t>投标方</w:t>
      </w:r>
      <w:r>
        <w:rPr>
          <w:sz w:val="24"/>
          <w:szCs w:val="24"/>
        </w:rPr>
        <w:t>应根据</w:t>
      </w:r>
      <w:r>
        <w:rPr>
          <w:rFonts w:hint="eastAsia"/>
          <w:sz w:val="24"/>
          <w:szCs w:val="24"/>
        </w:rPr>
        <w:t>招标方</w:t>
      </w:r>
      <w:r>
        <w:rPr>
          <w:sz w:val="24"/>
          <w:szCs w:val="24"/>
        </w:rPr>
        <w:t>提供的SAP、MES、ERP或工厂自动化数据集成商给出的数据采集规范，将设备的过程数据、状态数据整理，写入PLC的存储区。</w:t>
      </w:r>
      <w:r>
        <w:rPr>
          <w:rFonts w:hint="eastAsia"/>
          <w:sz w:val="24"/>
          <w:szCs w:val="24"/>
        </w:rPr>
        <w:t>投标方</w:t>
      </w:r>
      <w:r>
        <w:rPr>
          <w:sz w:val="24"/>
          <w:szCs w:val="24"/>
        </w:rPr>
        <w:t>应保证无条件的与</w:t>
      </w:r>
      <w:r>
        <w:rPr>
          <w:rFonts w:hint="eastAsia"/>
          <w:sz w:val="24"/>
          <w:szCs w:val="24"/>
        </w:rPr>
        <w:t>招标方</w:t>
      </w:r>
      <w:r>
        <w:rPr>
          <w:sz w:val="24"/>
          <w:szCs w:val="24"/>
        </w:rPr>
        <w:t>选定的数据采集系统集成商、SAP、MES、ERP等软件供应商配合。数据交换规范以SAP、MES系统供应商提出的标准为准（或集团公司制造执行系统现场设备数据交换（采集）标准）。</w:t>
      </w:r>
    </w:p>
    <w:p>
      <w:pPr>
        <w:numPr>
          <w:ilvl w:val="0"/>
          <w:numId w:val="15"/>
        </w:numPr>
        <w:spacing w:line="360" w:lineRule="auto"/>
        <w:ind w:firstLine="480"/>
        <w:rPr>
          <w:sz w:val="24"/>
          <w:szCs w:val="24"/>
        </w:rPr>
      </w:pPr>
      <w:r>
        <w:rPr>
          <w:sz w:val="24"/>
          <w:szCs w:val="24"/>
        </w:rPr>
        <w:t>设备控制系统向MES主控PLC（或</w:t>
      </w:r>
      <w:r>
        <w:rPr>
          <w:sz w:val="24"/>
          <w:szCs w:val="24"/>
        </w:rPr>
        <w:fldChar w:fldCharType="begin"/>
      </w:r>
      <w:r>
        <w:rPr>
          <w:sz w:val="24"/>
          <w:szCs w:val="24"/>
        </w:rPr>
        <w:instrText xml:space="preserve"> HYPERLINK "file:///D:\\陈东旭(D8BBC12EDF96)(10.21.232.254)\\2022-03-12%2013_03_15\\20220312机器人涂胶\\名词释义3.13.xlsx" </w:instrText>
      </w:r>
      <w:r>
        <w:rPr>
          <w:sz w:val="24"/>
          <w:szCs w:val="24"/>
        </w:rPr>
        <w:fldChar w:fldCharType="separate"/>
      </w:r>
      <w:r>
        <w:rPr>
          <w:sz w:val="24"/>
          <w:szCs w:val="24"/>
        </w:rPr>
        <w:t>上位机</w:t>
      </w:r>
      <w:r>
        <w:rPr>
          <w:sz w:val="24"/>
          <w:szCs w:val="24"/>
        </w:rPr>
        <w:fldChar w:fldCharType="end"/>
      </w:r>
      <w:r>
        <w:rPr>
          <w:sz w:val="24"/>
          <w:szCs w:val="24"/>
        </w:rPr>
        <w:t>）提供的状态信息包含但不限于：设备启动、停机信息；上位机心跳：如0.5Hz,占空比50%的方波；</w:t>
      </w:r>
      <w:r>
        <w:rPr>
          <w:sz w:val="24"/>
          <w:szCs w:val="24"/>
        </w:rPr>
        <w:fldChar w:fldCharType="begin"/>
      </w:r>
      <w:r>
        <w:rPr>
          <w:sz w:val="24"/>
          <w:szCs w:val="24"/>
        </w:rPr>
        <w:instrText xml:space="preserve"> HYPERLINK "file:///D:\\陈东旭(D8BBC12EDF96)(10.21.232.254)\\2022-03-12%2013_03_15\\20220312机器人涂胶\\名词释义3.13.xlsx" </w:instrText>
      </w:r>
      <w:r>
        <w:rPr>
          <w:sz w:val="24"/>
          <w:szCs w:val="24"/>
        </w:rPr>
        <w:fldChar w:fldCharType="separate"/>
      </w:r>
      <w:r>
        <w:rPr>
          <w:sz w:val="24"/>
          <w:szCs w:val="24"/>
        </w:rPr>
        <w:t>控制器（PLC）心跳</w:t>
      </w:r>
      <w:r>
        <w:rPr>
          <w:sz w:val="24"/>
          <w:szCs w:val="24"/>
        </w:rPr>
        <w:fldChar w:fldCharType="end"/>
      </w:r>
      <w:r>
        <w:rPr>
          <w:sz w:val="24"/>
          <w:szCs w:val="24"/>
        </w:rPr>
        <w:t>：如0.5Hz,占空比50%的方波；控制器与设备（如：机器人）、HMI等设备间的心跳信号由系统集成商确定；故障状态信息；故障代码；故障时间；加工时间；累计运行时间；生产计数（或加工循环计数）。</w:t>
      </w:r>
    </w:p>
    <w:p>
      <w:pPr>
        <w:numPr>
          <w:ilvl w:val="0"/>
          <w:numId w:val="15"/>
        </w:numPr>
        <w:spacing w:line="360" w:lineRule="auto"/>
        <w:ind w:firstLine="480"/>
        <w:rPr>
          <w:sz w:val="24"/>
          <w:szCs w:val="24"/>
        </w:rPr>
      </w:pPr>
      <w:r>
        <w:rPr>
          <w:sz w:val="24"/>
          <w:szCs w:val="24"/>
        </w:rPr>
        <w:t>设备控制系统应支持常用</w:t>
      </w:r>
      <w:r>
        <w:fldChar w:fldCharType="begin"/>
      </w:r>
      <w:r>
        <w:instrText xml:space="preserve"> HYPERLINK "file:///D:\\陈东旭(D8BBC12EDF96)(10.21.232.254)\\2022-03-12%2013_03_15\\20220312机器人涂胶\\名词释义3.13.xlsx" </w:instrText>
      </w:r>
      <w:r>
        <w:fldChar w:fldCharType="separate"/>
      </w:r>
      <w:r>
        <w:rPr>
          <w:sz w:val="24"/>
          <w:szCs w:val="24"/>
        </w:rPr>
        <w:t>OPC服务器</w:t>
      </w:r>
      <w:r>
        <w:rPr>
          <w:sz w:val="24"/>
          <w:szCs w:val="24"/>
        </w:rPr>
        <w:fldChar w:fldCharType="end"/>
      </w:r>
      <w:r>
        <w:rPr>
          <w:sz w:val="24"/>
          <w:szCs w:val="24"/>
        </w:rPr>
        <w:t>（如：SIMATIC NET）将PLC的内存数据映射到上位机的OPC服务器中；或与MES主控PLC通讯，实现MES对设备过程、状态信息数据采集和控制信息的交互。</w:t>
      </w:r>
    </w:p>
    <w:p>
      <w:pPr>
        <w:numPr>
          <w:ilvl w:val="0"/>
          <w:numId w:val="15"/>
        </w:numPr>
        <w:spacing w:line="360" w:lineRule="auto"/>
        <w:ind w:firstLine="480"/>
        <w:rPr>
          <w:sz w:val="24"/>
          <w:szCs w:val="24"/>
        </w:rPr>
      </w:pPr>
      <w:r>
        <w:rPr>
          <w:sz w:val="24"/>
          <w:szCs w:val="24"/>
        </w:rPr>
        <w:t>PLC控制系统应结合系统特点</w:t>
      </w:r>
      <w:r>
        <w:rPr>
          <w:rFonts w:hint="eastAsia"/>
          <w:sz w:val="24"/>
          <w:szCs w:val="24"/>
        </w:rPr>
        <w:t>，</w:t>
      </w:r>
      <w:r>
        <w:rPr>
          <w:sz w:val="24"/>
          <w:szCs w:val="24"/>
        </w:rPr>
        <w:t>并按功能分散和物理分散的原则进行设计。</w:t>
      </w:r>
    </w:p>
    <w:p>
      <w:pPr>
        <w:numPr>
          <w:ilvl w:val="0"/>
          <w:numId w:val="15"/>
        </w:numPr>
        <w:spacing w:line="360" w:lineRule="auto"/>
        <w:ind w:firstLine="480"/>
        <w:rPr>
          <w:sz w:val="24"/>
          <w:szCs w:val="24"/>
        </w:rPr>
      </w:pPr>
      <w:r>
        <w:rPr>
          <w:sz w:val="24"/>
          <w:szCs w:val="24"/>
        </w:rPr>
        <w:t>内饰装配线控制系统与顶盖自动涂胶系统进行控制信息的互联，包括硬件的连接、信号的读取、控制程序的编制等内容。</w:t>
      </w:r>
      <w:r>
        <w:rPr>
          <w:rFonts w:hint="eastAsia"/>
          <w:sz w:val="24"/>
          <w:szCs w:val="24"/>
        </w:rPr>
        <w:t>投标方</w:t>
      </w:r>
      <w:r>
        <w:rPr>
          <w:sz w:val="24"/>
          <w:szCs w:val="24"/>
        </w:rPr>
        <w:t>应充分预留控制柜相关控制模块、信号模块等余量。同时满足PLC与PLC之间信息交互的要求，PLC与PLC之间交互必须采用PN/PN耦合器的方式，系统与系统有连锁需求的设备必须配备PN/PN耦合器、交换机等设备，满足PLC与PLC之间的交互需求，硬件由设备</w:t>
      </w:r>
      <w:r>
        <w:rPr>
          <w:rFonts w:hint="eastAsia"/>
          <w:sz w:val="24"/>
          <w:szCs w:val="24"/>
        </w:rPr>
        <w:t>投标方</w:t>
      </w:r>
      <w:r>
        <w:rPr>
          <w:sz w:val="24"/>
          <w:szCs w:val="24"/>
        </w:rPr>
        <w:t>提供。</w:t>
      </w:r>
    </w:p>
    <w:p>
      <w:pPr>
        <w:numPr>
          <w:ilvl w:val="0"/>
          <w:numId w:val="15"/>
        </w:numPr>
        <w:spacing w:line="360" w:lineRule="auto"/>
        <w:ind w:firstLine="480"/>
        <w:rPr>
          <w:sz w:val="24"/>
          <w:szCs w:val="24"/>
        </w:rPr>
      </w:pPr>
      <w:r>
        <w:rPr>
          <w:sz w:val="24"/>
          <w:szCs w:val="24"/>
        </w:rPr>
        <w:t>设备预留与安灯系统连接的接口。</w:t>
      </w:r>
    </w:p>
    <w:p>
      <w:pPr>
        <w:numPr>
          <w:ilvl w:val="0"/>
          <w:numId w:val="15"/>
        </w:numPr>
        <w:spacing w:line="360" w:lineRule="auto"/>
        <w:ind w:firstLine="480"/>
        <w:rPr>
          <w:sz w:val="24"/>
          <w:szCs w:val="24"/>
        </w:rPr>
      </w:pPr>
      <w:r>
        <w:rPr>
          <w:sz w:val="24"/>
          <w:szCs w:val="24"/>
        </w:rPr>
        <w:t>PLC程序要在本体中写入中文注释。</w:t>
      </w:r>
    </w:p>
    <w:p>
      <w:pPr>
        <w:numPr>
          <w:ilvl w:val="0"/>
          <w:numId w:val="15"/>
        </w:numPr>
        <w:spacing w:line="360" w:lineRule="auto"/>
        <w:ind w:firstLine="480"/>
        <w:rPr>
          <w:sz w:val="24"/>
          <w:szCs w:val="24"/>
        </w:rPr>
      </w:pPr>
      <w:r>
        <w:rPr>
          <w:sz w:val="24"/>
          <w:szCs w:val="24"/>
        </w:rPr>
        <w:t>系统各控制程序（如机器人、视觉、机器人等）需对</w:t>
      </w:r>
      <w:r>
        <w:rPr>
          <w:rFonts w:hint="eastAsia"/>
          <w:sz w:val="24"/>
          <w:szCs w:val="24"/>
        </w:rPr>
        <w:t>招标方</w:t>
      </w:r>
      <w:r>
        <w:rPr>
          <w:sz w:val="24"/>
          <w:szCs w:val="24"/>
        </w:rPr>
        <w:t>开放，方便</w:t>
      </w:r>
      <w:r>
        <w:rPr>
          <w:rFonts w:hint="eastAsia"/>
          <w:sz w:val="24"/>
          <w:szCs w:val="24"/>
        </w:rPr>
        <w:t>招标方</w:t>
      </w:r>
      <w:r>
        <w:rPr>
          <w:sz w:val="24"/>
          <w:szCs w:val="24"/>
        </w:rPr>
        <w:t>自行修改相关参数流程。</w:t>
      </w:r>
    </w:p>
    <w:p>
      <w:pPr>
        <w:spacing w:line="360" w:lineRule="auto"/>
        <w:outlineLvl w:val="3"/>
        <w:rPr>
          <w:b/>
          <w:sz w:val="24"/>
          <w:szCs w:val="24"/>
        </w:rPr>
      </w:pPr>
      <w:r>
        <w:rPr>
          <w:b/>
          <w:sz w:val="24"/>
          <w:szCs w:val="24"/>
        </w:rPr>
        <w:t>4</w:t>
      </w:r>
      <w:r>
        <w:rPr>
          <w:rFonts w:hint="eastAsia"/>
          <w:b/>
          <w:sz w:val="24"/>
          <w:szCs w:val="24"/>
        </w:rPr>
        <w:t>.</w:t>
      </w:r>
      <w:r>
        <w:rPr>
          <w:b/>
          <w:sz w:val="24"/>
          <w:szCs w:val="24"/>
        </w:rPr>
        <w:t>工业通讯技术要求</w:t>
      </w:r>
    </w:p>
    <w:p>
      <w:pPr>
        <w:numPr>
          <w:ilvl w:val="0"/>
          <w:numId w:val="16"/>
        </w:numPr>
        <w:spacing w:line="360" w:lineRule="auto"/>
        <w:ind w:firstLine="480"/>
        <w:rPr>
          <w:sz w:val="24"/>
          <w:szCs w:val="24"/>
        </w:rPr>
      </w:pPr>
      <w:r>
        <w:rPr>
          <w:sz w:val="24"/>
          <w:szCs w:val="24"/>
        </w:rPr>
        <w:t>设备、控制系统宜选用工业以太网，小型设备可选用</w:t>
      </w:r>
      <w:r>
        <w:fldChar w:fldCharType="begin"/>
      </w:r>
      <w:r>
        <w:instrText xml:space="preserve"> HYPERLINK "file:///D:\\陈东旭(D8BBC12EDF96)(10.21.232.254)\\2022-03-12%2013_03_15\\20220312机器人涂胶\\名词释义3.13.xlsx" </w:instrText>
      </w:r>
      <w:r>
        <w:fldChar w:fldCharType="separate"/>
      </w:r>
      <w:r>
        <w:rPr>
          <w:sz w:val="24"/>
          <w:szCs w:val="24"/>
        </w:rPr>
        <w:t>RS485串行总线通讯方式</w:t>
      </w:r>
      <w:r>
        <w:rPr>
          <w:sz w:val="24"/>
          <w:szCs w:val="24"/>
        </w:rPr>
        <w:fldChar w:fldCharType="end"/>
      </w:r>
      <w:r>
        <w:rPr>
          <w:sz w:val="24"/>
          <w:szCs w:val="24"/>
        </w:rPr>
        <w:t>。</w:t>
      </w:r>
    </w:p>
    <w:p>
      <w:pPr>
        <w:numPr>
          <w:ilvl w:val="0"/>
          <w:numId w:val="16"/>
        </w:numPr>
        <w:spacing w:line="360" w:lineRule="auto"/>
        <w:ind w:firstLine="480"/>
        <w:rPr>
          <w:sz w:val="24"/>
          <w:szCs w:val="24"/>
        </w:rPr>
      </w:pPr>
      <w:r>
        <w:rPr>
          <w:sz w:val="24"/>
          <w:szCs w:val="24"/>
        </w:rPr>
        <w:t>通讯协议：宜采用ProfiNet；设备因实现特定应用，必须采用其它通讯协议的，项目实施部门应当充分论证。但设备与上位机（系统）通讯协议宜采用工业以太网，</w:t>
      </w:r>
      <w:r>
        <w:fldChar w:fldCharType="begin"/>
      </w:r>
      <w:r>
        <w:instrText xml:space="preserve"> HYPERLINK "file:///D:\\陈东旭(D8BBC12EDF96)(10.21.232.254)\\2022-03-12%2013_03_15\\20220312机器人涂胶\\名词释义3.13.xlsx" </w:instrText>
      </w:r>
      <w:r>
        <w:fldChar w:fldCharType="separate"/>
      </w:r>
      <w:r>
        <w:rPr>
          <w:sz w:val="24"/>
          <w:szCs w:val="24"/>
        </w:rPr>
        <w:t>ProfiNet</w:t>
      </w:r>
      <w:r>
        <w:rPr>
          <w:sz w:val="24"/>
          <w:szCs w:val="24"/>
        </w:rPr>
        <w:fldChar w:fldCharType="end"/>
      </w:r>
      <w:r>
        <w:rPr>
          <w:sz w:val="24"/>
          <w:szCs w:val="24"/>
        </w:rPr>
        <w:t>通讯协议。</w:t>
      </w:r>
    </w:p>
    <w:p>
      <w:pPr>
        <w:numPr>
          <w:ilvl w:val="0"/>
          <w:numId w:val="16"/>
        </w:numPr>
        <w:spacing w:line="360" w:lineRule="auto"/>
        <w:ind w:firstLine="480"/>
        <w:rPr>
          <w:sz w:val="24"/>
          <w:szCs w:val="24"/>
        </w:rPr>
      </w:pPr>
      <w:r>
        <w:rPr>
          <w:sz w:val="24"/>
          <w:szCs w:val="24"/>
        </w:rPr>
        <w:t>能源采集通讯协议：宜采用Modbus-RTU、Modbus-TCP。</w:t>
      </w:r>
    </w:p>
    <w:p>
      <w:pPr>
        <w:numPr>
          <w:ilvl w:val="0"/>
          <w:numId w:val="16"/>
        </w:numPr>
        <w:spacing w:line="360" w:lineRule="auto"/>
        <w:ind w:firstLine="480"/>
        <w:rPr>
          <w:sz w:val="24"/>
          <w:szCs w:val="24"/>
        </w:rPr>
      </w:pPr>
      <w:r>
        <w:rPr>
          <w:sz w:val="24"/>
          <w:szCs w:val="24"/>
        </w:rPr>
        <w:t>电力计量采集通讯协议：可采用</w:t>
      </w:r>
      <w:r>
        <w:fldChar w:fldCharType="begin"/>
      </w:r>
      <w:r>
        <w:instrText xml:space="preserve"> HYPERLINK "file:///D:\\陈东旭(D8BBC12EDF96)(10.21.232.254)\\2022-03-12%2013_03_15\\20220312机器人涂胶\\名词释义3.13.xlsx" </w:instrText>
      </w:r>
      <w:r>
        <w:fldChar w:fldCharType="separate"/>
      </w:r>
      <w:r>
        <w:rPr>
          <w:sz w:val="24"/>
          <w:szCs w:val="24"/>
        </w:rPr>
        <w:t>DL/T645-97、DL/T645-07</w:t>
      </w:r>
      <w:r>
        <w:rPr>
          <w:sz w:val="24"/>
          <w:szCs w:val="24"/>
        </w:rPr>
        <w:fldChar w:fldCharType="end"/>
      </w:r>
      <w:r>
        <w:rPr>
          <w:sz w:val="24"/>
          <w:szCs w:val="24"/>
        </w:rPr>
        <w:t>规约。</w:t>
      </w:r>
    </w:p>
    <w:p>
      <w:pPr>
        <w:numPr>
          <w:ilvl w:val="0"/>
          <w:numId w:val="16"/>
        </w:numPr>
        <w:spacing w:line="360" w:lineRule="auto"/>
        <w:ind w:firstLine="480"/>
        <w:rPr>
          <w:sz w:val="24"/>
          <w:szCs w:val="24"/>
        </w:rPr>
      </w:pPr>
      <w:r>
        <w:rPr>
          <w:sz w:val="24"/>
          <w:szCs w:val="24"/>
        </w:rPr>
        <w:t>设备过程数据、状态数据的采集，宜采用OPC方式。</w:t>
      </w:r>
    </w:p>
    <w:p>
      <w:pPr>
        <w:numPr>
          <w:ilvl w:val="0"/>
          <w:numId w:val="16"/>
        </w:numPr>
        <w:spacing w:line="360" w:lineRule="auto"/>
        <w:ind w:firstLine="480"/>
        <w:rPr>
          <w:sz w:val="24"/>
          <w:szCs w:val="24"/>
        </w:rPr>
      </w:pPr>
      <w:r>
        <w:rPr>
          <w:sz w:val="24"/>
          <w:szCs w:val="24"/>
        </w:rPr>
        <w:t>每台（套）设备控制系统应预留一个工业以太网接口，用于与上位系统（如：MES）通讯。</w:t>
      </w:r>
    </w:p>
    <w:p>
      <w:pPr>
        <w:spacing w:line="360" w:lineRule="auto"/>
        <w:outlineLvl w:val="3"/>
        <w:rPr>
          <w:b/>
          <w:sz w:val="24"/>
          <w:szCs w:val="24"/>
        </w:rPr>
      </w:pPr>
      <w:r>
        <w:rPr>
          <w:b/>
          <w:sz w:val="24"/>
          <w:szCs w:val="24"/>
        </w:rPr>
        <w:t>5</w:t>
      </w:r>
      <w:r>
        <w:rPr>
          <w:rFonts w:hint="eastAsia"/>
          <w:b/>
          <w:sz w:val="24"/>
          <w:szCs w:val="24"/>
        </w:rPr>
        <w:t>.</w:t>
      </w:r>
      <w:r>
        <w:rPr>
          <w:b/>
          <w:sz w:val="24"/>
          <w:szCs w:val="24"/>
        </w:rPr>
        <w:t>工业信息安全技术要求</w:t>
      </w:r>
    </w:p>
    <w:p>
      <w:pPr>
        <w:numPr>
          <w:ilvl w:val="0"/>
          <w:numId w:val="17"/>
        </w:numPr>
        <w:spacing w:line="360" w:lineRule="auto"/>
        <w:ind w:firstLine="480"/>
        <w:rPr>
          <w:sz w:val="24"/>
          <w:szCs w:val="24"/>
        </w:rPr>
      </w:pPr>
      <w:r>
        <w:rPr>
          <w:sz w:val="24"/>
          <w:szCs w:val="24"/>
        </w:rPr>
        <w:t>工业控制网络边界防护设备</w:t>
      </w:r>
      <w:r>
        <w:rPr>
          <w:rFonts w:hint="eastAsia"/>
          <w:sz w:val="24"/>
          <w:szCs w:val="24"/>
        </w:rPr>
        <w:t>，</w:t>
      </w:r>
      <w:r>
        <w:rPr>
          <w:sz w:val="24"/>
          <w:szCs w:val="24"/>
        </w:rPr>
        <w:t>对工业控制网络与企业网或互联网之间的边界进行安全防护，禁止没有防护的工业控制网络与互联网连接。</w:t>
      </w:r>
    </w:p>
    <w:p>
      <w:pPr>
        <w:numPr>
          <w:ilvl w:val="0"/>
          <w:numId w:val="17"/>
        </w:numPr>
        <w:spacing w:line="360" w:lineRule="auto"/>
        <w:ind w:firstLine="480"/>
        <w:rPr>
          <w:sz w:val="24"/>
          <w:szCs w:val="24"/>
        </w:rPr>
      </w:pPr>
      <w:r>
        <w:rPr>
          <w:sz w:val="24"/>
          <w:szCs w:val="24"/>
        </w:rPr>
        <w:t>通过设置工业防火墙、网闸等设备</w:t>
      </w:r>
      <w:r>
        <w:rPr>
          <w:rFonts w:hint="eastAsia"/>
          <w:sz w:val="24"/>
          <w:szCs w:val="24"/>
        </w:rPr>
        <w:t>，</w:t>
      </w:r>
      <w:r>
        <w:rPr>
          <w:sz w:val="24"/>
          <w:szCs w:val="24"/>
        </w:rPr>
        <w:t>对工业控制网络与企业网之间进行逻辑隔离安全防护。</w:t>
      </w:r>
    </w:p>
    <w:p>
      <w:pPr>
        <w:numPr>
          <w:ilvl w:val="0"/>
          <w:numId w:val="17"/>
        </w:numPr>
        <w:spacing w:line="360" w:lineRule="auto"/>
        <w:ind w:firstLine="480"/>
        <w:rPr>
          <w:sz w:val="24"/>
          <w:szCs w:val="24"/>
        </w:rPr>
      </w:pPr>
      <w:r>
        <w:rPr>
          <w:sz w:val="24"/>
          <w:szCs w:val="24"/>
        </w:rPr>
        <w:t>对工程师站、工业数据库、服务器等核心工业控制软硬件所在区域</w:t>
      </w:r>
      <w:r>
        <w:rPr>
          <w:rFonts w:hint="eastAsia"/>
          <w:sz w:val="24"/>
          <w:szCs w:val="24"/>
        </w:rPr>
        <w:t>，</w:t>
      </w:r>
      <w:r>
        <w:rPr>
          <w:sz w:val="24"/>
          <w:szCs w:val="24"/>
        </w:rPr>
        <w:t>采取访问控制、视频监控、专人值守等物理安全防护措施。</w:t>
      </w:r>
    </w:p>
    <w:p>
      <w:pPr>
        <w:numPr>
          <w:ilvl w:val="0"/>
          <w:numId w:val="17"/>
        </w:numPr>
        <w:spacing w:line="360" w:lineRule="auto"/>
        <w:ind w:firstLine="480"/>
        <w:rPr>
          <w:sz w:val="24"/>
          <w:szCs w:val="24"/>
        </w:rPr>
      </w:pPr>
      <w:r>
        <w:rPr>
          <w:sz w:val="24"/>
          <w:szCs w:val="24"/>
        </w:rPr>
        <w:t>较大规模的生产线，在工业主机登录、应用服务资源访问、SCADA软件登陆、控制系统维护等过程中应设计身份认证管理。对于关键设备、系统和平台的访问宜采用多因素认证。</w:t>
      </w:r>
    </w:p>
    <w:p>
      <w:pPr>
        <w:numPr>
          <w:ilvl w:val="0"/>
          <w:numId w:val="17"/>
        </w:numPr>
        <w:spacing w:line="360" w:lineRule="auto"/>
        <w:ind w:firstLine="480"/>
        <w:rPr>
          <w:sz w:val="24"/>
          <w:szCs w:val="24"/>
        </w:rPr>
      </w:pPr>
      <w:r>
        <w:rPr>
          <w:sz w:val="24"/>
          <w:szCs w:val="24"/>
        </w:rPr>
        <w:t>根据应用的重要性，对关键系统、网络设备、控制系统组件选择冗余配置。</w:t>
      </w:r>
    </w:p>
    <w:p>
      <w:pPr>
        <w:numPr>
          <w:ilvl w:val="0"/>
          <w:numId w:val="17"/>
        </w:numPr>
        <w:spacing w:line="360" w:lineRule="auto"/>
        <w:ind w:firstLine="480"/>
        <w:rPr>
          <w:sz w:val="24"/>
          <w:szCs w:val="24"/>
        </w:rPr>
      </w:pPr>
      <w:r>
        <w:rPr>
          <w:rFonts w:hint="eastAsia"/>
          <w:sz w:val="24"/>
          <w:szCs w:val="24"/>
        </w:rPr>
        <w:t>投标方</w:t>
      </w:r>
      <w:r>
        <w:rPr>
          <w:sz w:val="24"/>
          <w:szCs w:val="24"/>
        </w:rPr>
        <w:t>在设计规划时，应考虑重要工业数据进行保护，定期备份关键业务数据。</w:t>
      </w:r>
    </w:p>
    <w:p>
      <w:pPr>
        <w:spacing w:line="360" w:lineRule="auto"/>
        <w:outlineLvl w:val="3"/>
        <w:rPr>
          <w:b/>
          <w:sz w:val="24"/>
          <w:szCs w:val="24"/>
        </w:rPr>
      </w:pPr>
      <w:bookmarkStart w:id="50" w:name="_Toc6510"/>
      <w:r>
        <w:rPr>
          <w:b/>
          <w:sz w:val="24"/>
          <w:szCs w:val="24"/>
        </w:rPr>
        <w:t>6</w:t>
      </w:r>
      <w:r>
        <w:rPr>
          <w:rFonts w:hint="eastAsia"/>
          <w:b/>
          <w:sz w:val="24"/>
          <w:szCs w:val="24"/>
        </w:rPr>
        <w:t>.</w:t>
      </w:r>
      <w:r>
        <w:rPr>
          <w:b/>
          <w:sz w:val="24"/>
          <w:szCs w:val="24"/>
        </w:rPr>
        <w:t>安全防护要求</w:t>
      </w:r>
      <w:bookmarkEnd w:id="50"/>
    </w:p>
    <w:p>
      <w:pPr>
        <w:numPr>
          <w:ilvl w:val="0"/>
          <w:numId w:val="18"/>
        </w:numPr>
        <w:spacing w:line="360" w:lineRule="auto"/>
        <w:ind w:firstLine="480" w:firstLineChars="200"/>
        <w:rPr>
          <w:sz w:val="24"/>
          <w:szCs w:val="24"/>
        </w:rPr>
      </w:pPr>
      <w:r>
        <w:rPr>
          <w:sz w:val="24"/>
          <w:szCs w:val="24"/>
        </w:rPr>
        <w:t>在可动部位，应采取措施保证人体、配线和空气软管不被夹入或损伤。</w:t>
      </w:r>
    </w:p>
    <w:p>
      <w:pPr>
        <w:numPr>
          <w:ilvl w:val="0"/>
          <w:numId w:val="18"/>
        </w:numPr>
        <w:spacing w:line="360" w:lineRule="auto"/>
        <w:ind w:firstLine="480" w:firstLineChars="200"/>
        <w:rPr>
          <w:sz w:val="24"/>
          <w:szCs w:val="24"/>
        </w:rPr>
      </w:pPr>
      <w:r>
        <w:rPr>
          <w:sz w:val="24"/>
          <w:szCs w:val="24"/>
        </w:rPr>
        <w:t>具有断电</w:t>
      </w:r>
      <w:r>
        <w:rPr>
          <w:rFonts w:hint="eastAsia"/>
          <w:sz w:val="24"/>
          <w:szCs w:val="24"/>
        </w:rPr>
        <w:t>、</w:t>
      </w:r>
      <w:r>
        <w:rPr>
          <w:sz w:val="24"/>
          <w:szCs w:val="24"/>
        </w:rPr>
        <w:t>断气即时保护；切断动力源时，设备应保持停止时的现状。</w:t>
      </w:r>
    </w:p>
    <w:p>
      <w:pPr>
        <w:numPr>
          <w:ilvl w:val="0"/>
          <w:numId w:val="18"/>
        </w:numPr>
        <w:spacing w:line="360" w:lineRule="auto"/>
        <w:ind w:firstLine="480" w:firstLineChars="200"/>
        <w:rPr>
          <w:sz w:val="24"/>
          <w:szCs w:val="24"/>
        </w:rPr>
      </w:pPr>
      <w:r>
        <w:rPr>
          <w:sz w:val="24"/>
          <w:szCs w:val="24"/>
        </w:rPr>
        <w:t>开关信号点、气缸电磁阀标贴注释，说明书中提供常见故障处理方法、各零件型号、零部件保养周期、油品型号及更换周期。</w:t>
      </w:r>
    </w:p>
    <w:p>
      <w:pPr>
        <w:numPr>
          <w:ilvl w:val="0"/>
          <w:numId w:val="18"/>
        </w:numPr>
        <w:spacing w:line="360" w:lineRule="auto"/>
        <w:ind w:firstLine="480" w:firstLineChars="200"/>
        <w:rPr>
          <w:sz w:val="24"/>
          <w:szCs w:val="24"/>
        </w:rPr>
      </w:pPr>
      <w:r>
        <w:rPr>
          <w:rFonts w:hint="eastAsia"/>
          <w:sz w:val="24"/>
          <w:szCs w:val="24"/>
        </w:rPr>
        <w:t>投标方</w:t>
      </w:r>
      <w:r>
        <w:rPr>
          <w:sz w:val="24"/>
          <w:szCs w:val="24"/>
        </w:rPr>
        <w:t>需要对设备进行安全风险评估，并提供风险评估报告后方可进行生产和验收。</w:t>
      </w:r>
    </w:p>
    <w:p>
      <w:pPr>
        <w:numPr>
          <w:ilvl w:val="0"/>
          <w:numId w:val="18"/>
        </w:numPr>
        <w:spacing w:line="360" w:lineRule="auto"/>
        <w:ind w:firstLine="480" w:firstLineChars="200"/>
        <w:rPr>
          <w:sz w:val="24"/>
          <w:szCs w:val="24"/>
        </w:rPr>
      </w:pPr>
      <w:r>
        <w:rPr>
          <w:sz w:val="24"/>
          <w:szCs w:val="24"/>
        </w:rPr>
        <w:t>设备的设计、制造、安装必须遵从防火防爆、人身安全以及质量方面的相关国家法规和行业标准。</w:t>
      </w:r>
    </w:p>
    <w:p>
      <w:pPr>
        <w:numPr>
          <w:ilvl w:val="0"/>
          <w:numId w:val="18"/>
        </w:numPr>
        <w:spacing w:line="360" w:lineRule="auto"/>
        <w:ind w:firstLine="480" w:firstLineChars="200"/>
        <w:rPr>
          <w:sz w:val="24"/>
          <w:szCs w:val="24"/>
        </w:rPr>
      </w:pPr>
      <w:r>
        <w:rPr>
          <w:sz w:val="24"/>
          <w:szCs w:val="24"/>
        </w:rPr>
        <w:t>设备必须满足生产主线的工艺要求，性能可靠，使用维修方便，易于作业。</w:t>
      </w:r>
    </w:p>
    <w:p>
      <w:pPr>
        <w:numPr>
          <w:ilvl w:val="0"/>
          <w:numId w:val="18"/>
        </w:numPr>
        <w:spacing w:line="360" w:lineRule="auto"/>
        <w:ind w:firstLine="480" w:firstLineChars="200"/>
        <w:rPr>
          <w:sz w:val="24"/>
          <w:szCs w:val="24"/>
        </w:rPr>
      </w:pPr>
      <w:r>
        <w:rPr>
          <w:sz w:val="24"/>
          <w:szCs w:val="24"/>
        </w:rPr>
        <w:t>当机器人在运行时，安全门锁闭合，处于安全围栏外的操作人员不能进入机器人运行区域，若要进行检测或检修，必须通过区域操作面板上“请求进入”按钮，待机器人停到安全等待位置后方可按下“开门请求”按钮进入。通过光栅、红外线等检测人体在自动化区域内装置与启动联锁，使设备不能启动。</w:t>
      </w:r>
    </w:p>
    <w:p>
      <w:pPr>
        <w:numPr>
          <w:ilvl w:val="0"/>
          <w:numId w:val="18"/>
        </w:numPr>
        <w:spacing w:line="360" w:lineRule="auto"/>
        <w:ind w:firstLine="480" w:firstLineChars="200"/>
        <w:rPr>
          <w:sz w:val="24"/>
          <w:szCs w:val="24"/>
        </w:rPr>
      </w:pPr>
      <w:r>
        <w:rPr>
          <w:sz w:val="24"/>
          <w:szCs w:val="24"/>
        </w:rPr>
        <w:t xml:space="preserve">安全栏和光栅 </w:t>
      </w:r>
    </w:p>
    <w:p>
      <w:pPr>
        <w:spacing w:line="360" w:lineRule="auto"/>
        <w:ind w:firstLine="480" w:firstLineChars="200"/>
        <w:rPr>
          <w:sz w:val="24"/>
          <w:szCs w:val="24"/>
        </w:rPr>
      </w:pPr>
      <w:r>
        <w:rPr>
          <w:sz w:val="24"/>
          <w:szCs w:val="24"/>
        </w:rPr>
        <w:t xml:space="preserve">安全性是机器人工作站的一项重要指标，需充分考虑了安全因素，具体安全防护措施如下： </w:t>
      </w:r>
    </w:p>
    <w:p>
      <w:pPr>
        <w:spacing w:line="360" w:lineRule="auto"/>
        <w:ind w:firstLine="480" w:firstLineChars="200"/>
        <w:rPr>
          <w:sz w:val="24"/>
          <w:szCs w:val="24"/>
        </w:rPr>
      </w:pPr>
      <w:r>
        <w:rPr>
          <w:rFonts w:hint="eastAsia"/>
          <w:sz w:val="24"/>
          <w:szCs w:val="24"/>
        </w:rPr>
        <w:t>①</w:t>
      </w:r>
      <w:r>
        <w:rPr>
          <w:sz w:val="24"/>
          <w:szCs w:val="24"/>
        </w:rPr>
        <w:t xml:space="preserve">机器人工作范围内由安全栏及相关设备形成一个封闭区域，当系统进入运行状态下，操作者误穿过安全光栅，发出的光线时，系统会自动停止工作和报警； </w:t>
      </w:r>
    </w:p>
    <w:p>
      <w:pPr>
        <w:spacing w:line="360" w:lineRule="auto"/>
        <w:ind w:firstLine="480" w:firstLineChars="200"/>
        <w:rPr>
          <w:sz w:val="24"/>
          <w:szCs w:val="24"/>
        </w:rPr>
      </w:pPr>
      <w:r>
        <w:rPr>
          <w:rFonts w:hint="eastAsia"/>
          <w:sz w:val="24"/>
          <w:szCs w:val="24"/>
        </w:rPr>
        <w:t>②</w:t>
      </w:r>
      <w:r>
        <w:rPr>
          <w:sz w:val="24"/>
          <w:szCs w:val="24"/>
        </w:rPr>
        <w:t xml:space="preserve">安全门用于技术人员对机器人系统进行维护保养时的进出口，安全门通过安全锁与系统联锁，当安全门被非正常打开时，系统停止运行并报警。 </w:t>
      </w:r>
    </w:p>
    <w:p>
      <w:pPr>
        <w:spacing w:line="360" w:lineRule="auto"/>
        <w:ind w:firstLine="480" w:firstLineChars="200"/>
        <w:rPr>
          <w:color w:val="000000"/>
          <w:sz w:val="24"/>
          <w:szCs w:val="24"/>
        </w:rPr>
      </w:pPr>
      <w:r>
        <w:rPr>
          <w:rFonts w:hint="eastAsia"/>
          <w:sz w:val="24"/>
          <w:szCs w:val="24"/>
        </w:rPr>
        <w:t>③</w:t>
      </w:r>
      <w:r>
        <w:rPr>
          <w:sz w:val="24"/>
          <w:szCs w:val="24"/>
        </w:rPr>
        <w:t>在工作站出口和入口设置安全光栅，设置安全门，进入维修时需挂安全锁</w:t>
      </w:r>
      <w:r>
        <w:rPr>
          <w:color w:val="000000"/>
          <w:sz w:val="24"/>
          <w:szCs w:val="24"/>
        </w:rPr>
        <w:t>。</w:t>
      </w:r>
    </w:p>
    <w:p>
      <w:pPr>
        <w:spacing w:line="360" w:lineRule="auto"/>
        <w:outlineLvl w:val="3"/>
        <w:rPr>
          <w:b/>
          <w:sz w:val="24"/>
          <w:szCs w:val="24"/>
        </w:rPr>
      </w:pPr>
      <w:r>
        <w:rPr>
          <w:b/>
          <w:sz w:val="24"/>
          <w:szCs w:val="24"/>
        </w:rPr>
        <w:t>7</w:t>
      </w:r>
      <w:r>
        <w:rPr>
          <w:rFonts w:hint="eastAsia"/>
          <w:b/>
          <w:sz w:val="24"/>
          <w:szCs w:val="24"/>
        </w:rPr>
        <w:t>.</w:t>
      </w:r>
      <w:r>
        <w:rPr>
          <w:b/>
          <w:sz w:val="24"/>
          <w:szCs w:val="24"/>
        </w:rPr>
        <w:t xml:space="preserve">电气通用标准 </w:t>
      </w:r>
    </w:p>
    <w:p>
      <w:pPr>
        <w:numPr>
          <w:ilvl w:val="0"/>
          <w:numId w:val="19"/>
        </w:numPr>
        <w:spacing w:line="360" w:lineRule="auto"/>
        <w:ind w:firstLine="480" w:firstLineChars="200"/>
        <w:rPr>
          <w:sz w:val="24"/>
          <w:szCs w:val="24"/>
        </w:rPr>
      </w:pPr>
      <w:r>
        <w:rPr>
          <w:sz w:val="24"/>
          <w:szCs w:val="24"/>
        </w:rPr>
        <w:t>所有线路采用多芯电缆（电缆不能有接头），各接点采用预铸式多线插头，减少运行故障。</w:t>
      </w:r>
    </w:p>
    <w:p>
      <w:pPr>
        <w:numPr>
          <w:ilvl w:val="0"/>
          <w:numId w:val="19"/>
        </w:numPr>
        <w:spacing w:line="360" w:lineRule="auto"/>
        <w:ind w:firstLine="480" w:firstLineChars="200"/>
        <w:rPr>
          <w:sz w:val="24"/>
          <w:szCs w:val="24"/>
        </w:rPr>
      </w:pPr>
      <w:r>
        <w:rPr>
          <w:sz w:val="24"/>
          <w:szCs w:val="24"/>
        </w:rPr>
        <w:t>系统电源、控制电源、操作电源应设单独保护开关。</w:t>
      </w:r>
    </w:p>
    <w:p>
      <w:pPr>
        <w:numPr>
          <w:ilvl w:val="0"/>
          <w:numId w:val="19"/>
        </w:numPr>
        <w:spacing w:line="360" w:lineRule="auto"/>
        <w:ind w:firstLine="480" w:firstLineChars="200"/>
        <w:rPr>
          <w:sz w:val="24"/>
          <w:szCs w:val="24"/>
        </w:rPr>
      </w:pPr>
      <w:r>
        <w:rPr>
          <w:sz w:val="24"/>
          <w:szCs w:val="24"/>
        </w:rPr>
        <w:t>设备电气控制系统中使用的所有导线应有不易脱落的线号及标签，设备各机械部件及各种电气元件（例如电磁阀、气缸等）应有与图纸相一致的标识。</w:t>
      </w:r>
    </w:p>
    <w:p>
      <w:pPr>
        <w:numPr>
          <w:ilvl w:val="0"/>
          <w:numId w:val="19"/>
        </w:numPr>
        <w:spacing w:line="360" w:lineRule="auto"/>
        <w:ind w:firstLine="480" w:firstLineChars="200"/>
        <w:rPr>
          <w:sz w:val="24"/>
          <w:szCs w:val="24"/>
        </w:rPr>
      </w:pPr>
      <w:r>
        <w:rPr>
          <w:sz w:val="24"/>
          <w:szCs w:val="24"/>
        </w:rPr>
        <w:t>控制柜内或电子接线盒中所有进\出导线必须通过端子排，进行中间过渡。</w:t>
      </w:r>
    </w:p>
    <w:p>
      <w:pPr>
        <w:numPr>
          <w:ilvl w:val="0"/>
          <w:numId w:val="19"/>
        </w:numPr>
        <w:spacing w:line="360" w:lineRule="auto"/>
        <w:ind w:firstLine="480" w:firstLineChars="200"/>
        <w:rPr>
          <w:sz w:val="24"/>
          <w:szCs w:val="24"/>
        </w:rPr>
      </w:pPr>
      <w:r>
        <w:rPr>
          <w:sz w:val="24"/>
          <w:szCs w:val="24"/>
        </w:rPr>
        <w:t>设备上使用的电缆可根据需要在空中或地面通过线槽进行铺设。线槽走向要合理，按直角坐标系铺设，转弯做成直角走向。在地面铺设的线槽盖板厚度≥</w:t>
      </w:r>
      <w:r>
        <w:rPr>
          <w:rFonts w:hint="eastAsia"/>
          <w:sz w:val="24"/>
          <w:szCs w:val="24"/>
        </w:rPr>
        <w:t>2</w:t>
      </w:r>
      <w:r>
        <w:rPr>
          <w:sz w:val="24"/>
          <w:szCs w:val="24"/>
        </w:rPr>
        <w:t>mm，强度应保证不发生人践踏使其变形现象。</w:t>
      </w:r>
    </w:p>
    <w:p>
      <w:pPr>
        <w:numPr>
          <w:ilvl w:val="0"/>
          <w:numId w:val="19"/>
        </w:numPr>
        <w:spacing w:line="360" w:lineRule="auto"/>
        <w:ind w:firstLine="480" w:firstLineChars="200"/>
        <w:rPr>
          <w:sz w:val="24"/>
          <w:szCs w:val="24"/>
        </w:rPr>
      </w:pPr>
      <w:r>
        <w:rPr>
          <w:sz w:val="24"/>
          <w:szCs w:val="24"/>
        </w:rPr>
        <w:t>在空中进入设备的各水管、气管开关要避免在电箱上方安装。</w:t>
      </w:r>
    </w:p>
    <w:p>
      <w:pPr>
        <w:numPr>
          <w:ilvl w:val="0"/>
          <w:numId w:val="19"/>
        </w:numPr>
        <w:spacing w:line="360" w:lineRule="auto"/>
        <w:ind w:firstLine="480" w:firstLineChars="200"/>
        <w:rPr>
          <w:sz w:val="24"/>
          <w:szCs w:val="24"/>
        </w:rPr>
      </w:pPr>
      <w:r>
        <w:rPr>
          <w:sz w:val="24"/>
          <w:szCs w:val="24"/>
        </w:rPr>
        <w:t>外部开关、电磁阀等元件要求采用预铸式电缆结构。</w:t>
      </w:r>
    </w:p>
    <w:p>
      <w:pPr>
        <w:numPr>
          <w:ilvl w:val="0"/>
          <w:numId w:val="19"/>
        </w:numPr>
        <w:spacing w:line="360" w:lineRule="auto"/>
        <w:ind w:firstLine="480" w:firstLineChars="200"/>
        <w:rPr>
          <w:sz w:val="24"/>
          <w:szCs w:val="24"/>
        </w:rPr>
      </w:pPr>
      <w:r>
        <w:rPr>
          <w:sz w:val="24"/>
          <w:szCs w:val="24"/>
        </w:rPr>
        <w:t>输入/输出使用独立的电源，输入/输出使用DC24V 开关电源，各个电源要求加独立的断路器保护。PLC输入/输出采用不同颜色的配线，并与动力线颜色不同。</w:t>
      </w:r>
    </w:p>
    <w:p>
      <w:pPr>
        <w:numPr>
          <w:ilvl w:val="0"/>
          <w:numId w:val="19"/>
        </w:numPr>
        <w:spacing w:line="360" w:lineRule="auto"/>
        <w:ind w:firstLine="480" w:firstLineChars="200"/>
        <w:rPr>
          <w:sz w:val="24"/>
          <w:szCs w:val="24"/>
        </w:rPr>
      </w:pPr>
      <w:r>
        <w:rPr>
          <w:sz w:val="24"/>
          <w:szCs w:val="24"/>
        </w:rPr>
        <w:t>凡是有人操作的位置都要求就近设急停及急停指示。急停应对全部的设备同时有效。</w:t>
      </w:r>
    </w:p>
    <w:p>
      <w:pPr>
        <w:numPr>
          <w:ilvl w:val="0"/>
          <w:numId w:val="19"/>
        </w:numPr>
        <w:spacing w:line="360" w:lineRule="auto"/>
        <w:ind w:firstLine="480" w:firstLineChars="200"/>
        <w:rPr>
          <w:sz w:val="24"/>
          <w:szCs w:val="24"/>
        </w:rPr>
      </w:pPr>
      <w:r>
        <w:rPr>
          <w:sz w:val="24"/>
          <w:szCs w:val="24"/>
        </w:rPr>
        <w:t>所有PLC应有20%的I/O点数余量。</w:t>
      </w:r>
    </w:p>
    <w:p>
      <w:pPr>
        <w:numPr>
          <w:ilvl w:val="0"/>
          <w:numId w:val="19"/>
        </w:numPr>
        <w:spacing w:line="360" w:lineRule="auto"/>
        <w:ind w:firstLine="480" w:firstLineChars="200"/>
        <w:rPr>
          <w:sz w:val="24"/>
          <w:szCs w:val="24"/>
        </w:rPr>
      </w:pPr>
      <w:r>
        <w:rPr>
          <w:sz w:val="24"/>
          <w:szCs w:val="24"/>
        </w:rPr>
        <w:t>控制气源设有气压低下报警功能。</w:t>
      </w:r>
    </w:p>
    <w:p>
      <w:pPr>
        <w:spacing w:line="360" w:lineRule="auto"/>
        <w:outlineLvl w:val="3"/>
        <w:rPr>
          <w:b/>
          <w:sz w:val="24"/>
          <w:szCs w:val="24"/>
        </w:rPr>
      </w:pPr>
      <w:bookmarkStart w:id="51" w:name="_Toc17706"/>
      <w:r>
        <w:rPr>
          <w:b/>
          <w:sz w:val="24"/>
          <w:szCs w:val="24"/>
        </w:rPr>
        <w:t>8</w:t>
      </w:r>
      <w:r>
        <w:rPr>
          <w:rFonts w:hint="eastAsia"/>
          <w:b/>
          <w:sz w:val="24"/>
          <w:szCs w:val="24"/>
        </w:rPr>
        <w:t>.</w:t>
      </w:r>
      <w:r>
        <w:rPr>
          <w:b/>
          <w:sz w:val="24"/>
          <w:szCs w:val="24"/>
        </w:rPr>
        <w:t>其他要求</w:t>
      </w:r>
      <w:bookmarkEnd w:id="51"/>
    </w:p>
    <w:p>
      <w:pPr>
        <w:numPr>
          <w:ilvl w:val="0"/>
          <w:numId w:val="20"/>
        </w:numPr>
        <w:spacing w:line="360" w:lineRule="auto"/>
        <w:ind w:firstLine="480" w:firstLineChars="200"/>
        <w:rPr>
          <w:sz w:val="24"/>
          <w:szCs w:val="24"/>
        </w:rPr>
      </w:pPr>
      <w:r>
        <w:rPr>
          <w:sz w:val="24"/>
          <w:szCs w:val="24"/>
        </w:rPr>
        <w:t>设备、作业用压缩空气，从车间主管道支阀门引出，阀门以下包含在报价范围内。设置U型管，球阀、三联件安装在U型管低端。</w:t>
      </w:r>
    </w:p>
    <w:p>
      <w:pPr>
        <w:numPr>
          <w:ilvl w:val="0"/>
          <w:numId w:val="20"/>
        </w:numPr>
        <w:spacing w:line="360" w:lineRule="auto"/>
        <w:ind w:firstLine="480" w:firstLineChars="200"/>
        <w:rPr>
          <w:sz w:val="24"/>
          <w:szCs w:val="24"/>
        </w:rPr>
      </w:pPr>
      <w:r>
        <w:rPr>
          <w:sz w:val="24"/>
          <w:szCs w:val="24"/>
        </w:rPr>
        <w:t>所有气缸加开口锁紧铁片，防止轴转动。按功能设置不同颜色气管。气缸磁感开关、电磁阀用插接件连接，以备方便更换。各类传感器、外装的执行器件尽可能采用方便快换的接线方式，推荐采用预制电缆、HARTING插头、快换接插件等方式。</w:t>
      </w:r>
    </w:p>
    <w:p>
      <w:pPr>
        <w:numPr>
          <w:ilvl w:val="0"/>
          <w:numId w:val="20"/>
        </w:numPr>
        <w:spacing w:line="360" w:lineRule="auto"/>
        <w:ind w:firstLine="480" w:firstLineChars="200"/>
        <w:rPr>
          <w:sz w:val="24"/>
          <w:szCs w:val="24"/>
        </w:rPr>
      </w:pPr>
      <w:r>
        <w:rPr>
          <w:sz w:val="24"/>
          <w:szCs w:val="24"/>
        </w:rPr>
        <w:t>在各气动执行单元前设置阀门、气动三联件，在执行单元上配置调速阀、消音器。另需设置急速排气阀，以便可以迅速地切断气源。</w:t>
      </w:r>
    </w:p>
    <w:p>
      <w:pPr>
        <w:numPr>
          <w:ilvl w:val="0"/>
          <w:numId w:val="20"/>
        </w:numPr>
        <w:spacing w:line="360" w:lineRule="auto"/>
        <w:ind w:firstLine="480" w:firstLineChars="200"/>
        <w:rPr>
          <w:sz w:val="24"/>
          <w:szCs w:val="24"/>
        </w:rPr>
      </w:pPr>
      <w:r>
        <w:rPr>
          <w:sz w:val="24"/>
          <w:szCs w:val="24"/>
        </w:rPr>
        <w:t>在比主配管低的作业区域的配管接续的地方安装手阀、压缩空气供给要能单独切断。空气配管尺寸，需根据各气动执行单元的必要流量来决定。</w:t>
      </w:r>
    </w:p>
    <w:p>
      <w:pPr>
        <w:numPr>
          <w:ilvl w:val="0"/>
          <w:numId w:val="20"/>
        </w:numPr>
        <w:spacing w:line="360" w:lineRule="auto"/>
        <w:ind w:firstLine="480" w:firstLineChars="200"/>
        <w:rPr>
          <w:sz w:val="24"/>
          <w:szCs w:val="24"/>
        </w:rPr>
      </w:pPr>
      <w:r>
        <w:rPr>
          <w:sz w:val="24"/>
          <w:szCs w:val="24"/>
        </w:rPr>
        <w:t>对转动部分，不允许使用铜套，如有要用轴套的区域，优先选用带石墨润滑的轴套。在所有输送设备的行程终端都需安装相应的机械死挡，以阻挡因控制异常时被输送物品超行程运动造成事故。</w:t>
      </w:r>
    </w:p>
    <w:p>
      <w:pPr>
        <w:numPr>
          <w:ilvl w:val="0"/>
          <w:numId w:val="20"/>
        </w:numPr>
        <w:spacing w:line="360" w:lineRule="auto"/>
        <w:ind w:firstLine="480" w:firstLineChars="200"/>
        <w:rPr>
          <w:sz w:val="24"/>
          <w:szCs w:val="24"/>
        </w:rPr>
      </w:pPr>
      <w:r>
        <w:rPr>
          <w:sz w:val="24"/>
          <w:szCs w:val="24"/>
        </w:rPr>
        <w:t>关于联接：</w:t>
      </w:r>
    </w:p>
    <w:p>
      <w:pPr>
        <w:pStyle w:val="131"/>
        <w:spacing w:line="360" w:lineRule="auto"/>
        <w:ind w:firstLine="480"/>
        <w:rPr>
          <w:sz w:val="24"/>
        </w:rPr>
      </w:pPr>
      <w:r>
        <w:rPr>
          <w:rFonts w:hint="eastAsia"/>
          <w:sz w:val="24"/>
        </w:rPr>
        <w:t>①</w:t>
      </w:r>
      <w:r>
        <w:rPr>
          <w:sz w:val="24"/>
        </w:rPr>
        <w:t>所有设备间的联接需采用螺栓联接；螺栓或螺母强度等级：8.8级或8.8级以上，尽可能将螺栓向下安装，螺母在下。</w:t>
      </w:r>
    </w:p>
    <w:p>
      <w:pPr>
        <w:pStyle w:val="131"/>
        <w:spacing w:line="360" w:lineRule="auto"/>
        <w:ind w:firstLine="480"/>
        <w:rPr>
          <w:sz w:val="24"/>
        </w:rPr>
      </w:pPr>
      <w:r>
        <w:rPr>
          <w:rFonts w:hint="eastAsia"/>
          <w:sz w:val="24"/>
        </w:rPr>
        <w:t>②</w:t>
      </w:r>
      <w:r>
        <w:rPr>
          <w:sz w:val="24"/>
        </w:rPr>
        <w:t>所有螺栓联接都需使用合适的止退措施：包括使用止退螺母，弹簧垫圈，双螺母等措施。螺栓紧固后需要露出不少于3牙。</w:t>
      </w:r>
    </w:p>
    <w:p>
      <w:pPr>
        <w:pStyle w:val="131"/>
        <w:spacing w:line="360" w:lineRule="auto"/>
        <w:ind w:firstLine="480"/>
        <w:rPr>
          <w:sz w:val="24"/>
        </w:rPr>
      </w:pPr>
      <w:r>
        <w:rPr>
          <w:rFonts w:hint="eastAsia"/>
          <w:sz w:val="24"/>
        </w:rPr>
        <w:t>③</w:t>
      </w:r>
      <w:r>
        <w:rPr>
          <w:sz w:val="24"/>
        </w:rPr>
        <w:t xml:space="preserve">运动部件和易松动部件间的联接螺母必须采用锁紧螺母型，所有螺栓/螺母类拧紧需要进行扭矩检查确认，扭矩确认后进行 "I" 标记（扭矩不重要时小于M6 的除外）。 </w:t>
      </w:r>
    </w:p>
    <w:p>
      <w:pPr>
        <w:pStyle w:val="131"/>
        <w:spacing w:line="360" w:lineRule="auto"/>
        <w:ind w:firstLine="480"/>
        <w:rPr>
          <w:sz w:val="24"/>
        </w:rPr>
      </w:pPr>
      <w:r>
        <w:rPr>
          <w:rFonts w:hint="eastAsia"/>
          <w:sz w:val="24"/>
        </w:rPr>
        <w:t>④</w:t>
      </w:r>
      <w:r>
        <w:rPr>
          <w:sz w:val="24"/>
        </w:rPr>
        <w:t>钢结构部分，设备与工艺钢结构或厂房钢结构的所有连接部件必须使用止退措施，并进行双人确认并分别做油漆标记。</w:t>
      </w:r>
    </w:p>
    <w:p>
      <w:pPr>
        <w:pStyle w:val="131"/>
        <w:spacing w:line="360" w:lineRule="auto"/>
        <w:ind w:firstLine="480"/>
        <w:rPr>
          <w:sz w:val="24"/>
        </w:rPr>
      </w:pPr>
      <w:r>
        <w:rPr>
          <w:rFonts w:hint="eastAsia"/>
          <w:sz w:val="24"/>
        </w:rPr>
        <w:t>⑤</w:t>
      </w:r>
      <w:r>
        <w:rPr>
          <w:sz w:val="24"/>
        </w:rPr>
        <w:t>在和其他钢结构相连时，要做到尽量螺栓连接，对于不便于螺栓连接的情况，可采用抱箍方式相连，未经</w:t>
      </w:r>
      <w:r>
        <w:rPr>
          <w:rFonts w:hint="eastAsia"/>
          <w:sz w:val="24"/>
        </w:rPr>
        <w:t>招标方</w:t>
      </w:r>
      <w:r>
        <w:rPr>
          <w:sz w:val="24"/>
        </w:rPr>
        <w:t>同意，严禁采用电焊方式连接。</w:t>
      </w:r>
    </w:p>
    <w:p>
      <w:pPr>
        <w:numPr>
          <w:ilvl w:val="0"/>
          <w:numId w:val="20"/>
        </w:numPr>
        <w:spacing w:line="360" w:lineRule="auto"/>
        <w:ind w:firstLine="480" w:firstLineChars="200"/>
        <w:rPr>
          <w:sz w:val="24"/>
          <w:szCs w:val="24"/>
        </w:rPr>
      </w:pPr>
      <w:r>
        <w:rPr>
          <w:sz w:val="24"/>
          <w:szCs w:val="24"/>
        </w:rPr>
        <w:t>如有设备的安装或拆解需要特殊的非标工具，</w:t>
      </w:r>
      <w:r>
        <w:rPr>
          <w:rFonts w:hint="eastAsia"/>
          <w:sz w:val="24"/>
          <w:szCs w:val="24"/>
        </w:rPr>
        <w:t>投标方</w:t>
      </w:r>
      <w:r>
        <w:rPr>
          <w:sz w:val="24"/>
          <w:szCs w:val="24"/>
        </w:rPr>
        <w:t>必须告知并提供相应的专用工具及使用相关工具的必要培训。</w:t>
      </w:r>
    </w:p>
    <w:p>
      <w:pPr>
        <w:numPr>
          <w:ilvl w:val="0"/>
          <w:numId w:val="20"/>
        </w:numPr>
        <w:spacing w:line="360" w:lineRule="auto"/>
        <w:ind w:firstLine="480" w:firstLineChars="200"/>
        <w:rPr>
          <w:sz w:val="24"/>
          <w:szCs w:val="24"/>
        </w:rPr>
      </w:pPr>
      <w:r>
        <w:rPr>
          <w:sz w:val="24"/>
          <w:szCs w:val="24"/>
        </w:rPr>
        <w:t>关于设备喷塑和烤漆：</w:t>
      </w:r>
    </w:p>
    <w:p>
      <w:pPr>
        <w:pStyle w:val="131"/>
        <w:spacing w:line="360" w:lineRule="auto"/>
        <w:ind w:firstLine="480"/>
        <w:rPr>
          <w:sz w:val="24"/>
        </w:rPr>
      </w:pPr>
      <w:r>
        <w:rPr>
          <w:rFonts w:hint="eastAsia"/>
          <w:sz w:val="24"/>
        </w:rPr>
        <w:t>①</w:t>
      </w:r>
      <w:r>
        <w:rPr>
          <w:sz w:val="24"/>
        </w:rPr>
        <w:t>设备外观按</w:t>
      </w:r>
      <w:r>
        <w:rPr>
          <w:rFonts w:hint="eastAsia"/>
          <w:sz w:val="24"/>
        </w:rPr>
        <w:t>招标方</w:t>
      </w:r>
      <w:r>
        <w:rPr>
          <w:sz w:val="24"/>
        </w:rPr>
        <w:t>统一颜色要求喷塑和烤漆处理，参见《QZZ 30070—2020设备设施颜色标识要求》，颜色应具有耐久性。涂料厚度不小于4</w:t>
      </w:r>
      <w:r>
        <w:rPr>
          <w:rFonts w:hint="eastAsia"/>
          <w:sz w:val="24"/>
        </w:rPr>
        <w:t>um</w:t>
      </w:r>
      <w:r>
        <w:rPr>
          <w:sz w:val="24"/>
        </w:rPr>
        <w:t xml:space="preserve">。 </w:t>
      </w:r>
    </w:p>
    <w:p>
      <w:pPr>
        <w:pStyle w:val="131"/>
        <w:spacing w:line="360" w:lineRule="auto"/>
        <w:ind w:firstLine="480"/>
        <w:rPr>
          <w:sz w:val="24"/>
        </w:rPr>
      </w:pPr>
      <w:r>
        <w:rPr>
          <w:rFonts w:hint="eastAsia"/>
          <w:sz w:val="24"/>
        </w:rPr>
        <w:t>②</w:t>
      </w:r>
      <w:r>
        <w:rPr>
          <w:sz w:val="24"/>
        </w:rPr>
        <w:t>钢结构、设备表面喷塑和烤漆前</w:t>
      </w:r>
      <w:r>
        <w:rPr>
          <w:rFonts w:hint="eastAsia"/>
          <w:sz w:val="24"/>
        </w:rPr>
        <w:t>需采用设备对金属</w:t>
      </w:r>
      <w:r>
        <w:rPr>
          <w:sz w:val="24"/>
        </w:rPr>
        <w:t>表面</w:t>
      </w:r>
      <w:r>
        <w:rPr>
          <w:rFonts w:hint="eastAsia"/>
          <w:sz w:val="24"/>
        </w:rPr>
        <w:t>进行</w:t>
      </w:r>
      <w:r>
        <w:rPr>
          <w:sz w:val="24"/>
        </w:rPr>
        <w:t>除锈。</w:t>
      </w:r>
    </w:p>
    <w:p>
      <w:pPr>
        <w:pStyle w:val="131"/>
        <w:spacing w:line="360" w:lineRule="auto"/>
        <w:ind w:firstLine="480"/>
        <w:rPr>
          <w:sz w:val="24"/>
        </w:rPr>
      </w:pPr>
      <w:r>
        <w:rPr>
          <w:rFonts w:hint="eastAsia"/>
          <w:sz w:val="24"/>
        </w:rPr>
        <w:t>③</w:t>
      </w:r>
      <w:r>
        <w:rPr>
          <w:sz w:val="24"/>
        </w:rPr>
        <w:t>喷塑和烤漆后外观要求均匀，颜色一致，无明显色差，涂覆的涂料要均匀，不允许有针孔，气泡，裂纹，脱落，流挂及漏涂等缺陷，并作到涂料不干不装配，不包装，产品在吊运中应妥善保护表面。</w:t>
      </w:r>
    </w:p>
    <w:p>
      <w:pPr>
        <w:pStyle w:val="131"/>
        <w:spacing w:line="360" w:lineRule="auto"/>
        <w:ind w:firstLine="480"/>
        <w:rPr>
          <w:sz w:val="24"/>
        </w:rPr>
      </w:pPr>
      <w:r>
        <w:rPr>
          <w:rFonts w:hint="eastAsia"/>
          <w:sz w:val="24"/>
        </w:rPr>
        <w:t>④</w:t>
      </w:r>
      <w:r>
        <w:rPr>
          <w:sz w:val="24"/>
        </w:rPr>
        <w:t>外露加工、装配表面严禁喷塑和涂漆，一律涂SZ－1防锈油。</w:t>
      </w:r>
    </w:p>
    <w:p>
      <w:pPr>
        <w:pStyle w:val="131"/>
        <w:spacing w:line="360" w:lineRule="auto"/>
        <w:ind w:firstLine="480"/>
        <w:rPr>
          <w:sz w:val="24"/>
        </w:rPr>
      </w:pPr>
      <w:r>
        <w:rPr>
          <w:rFonts w:hint="eastAsia"/>
          <w:sz w:val="24"/>
        </w:rPr>
        <w:t>⑤</w:t>
      </w:r>
      <w:r>
        <w:rPr>
          <w:sz w:val="24"/>
        </w:rPr>
        <w:t>安装现场不允许焊接和喷漆作业。</w:t>
      </w:r>
    </w:p>
    <w:p>
      <w:pPr>
        <w:numPr>
          <w:ilvl w:val="0"/>
          <w:numId w:val="20"/>
        </w:numPr>
        <w:spacing w:line="360" w:lineRule="auto"/>
        <w:ind w:firstLine="480" w:firstLineChars="200"/>
        <w:rPr>
          <w:sz w:val="24"/>
          <w:szCs w:val="24"/>
        </w:rPr>
      </w:pPr>
      <w:r>
        <w:rPr>
          <w:sz w:val="24"/>
          <w:szCs w:val="24"/>
        </w:rPr>
        <w:t>若系统中涉及到特种设备，则需要有资质的</w:t>
      </w:r>
      <w:r>
        <w:rPr>
          <w:rFonts w:hint="eastAsia"/>
          <w:sz w:val="24"/>
          <w:szCs w:val="24"/>
        </w:rPr>
        <w:t>投标方</w:t>
      </w:r>
      <w:r>
        <w:rPr>
          <w:sz w:val="24"/>
          <w:szCs w:val="24"/>
        </w:rPr>
        <w:t>进行制作及安装，并负责办理特种设备的安装许可证书。</w:t>
      </w:r>
    </w:p>
    <w:p>
      <w:pPr>
        <w:numPr>
          <w:ilvl w:val="0"/>
          <w:numId w:val="20"/>
        </w:numPr>
        <w:spacing w:line="360" w:lineRule="auto"/>
        <w:ind w:firstLine="480" w:firstLineChars="200"/>
        <w:rPr>
          <w:sz w:val="24"/>
          <w:szCs w:val="24"/>
        </w:rPr>
      </w:pPr>
      <w:r>
        <w:rPr>
          <w:sz w:val="24"/>
          <w:szCs w:val="24"/>
        </w:rPr>
        <w:t>关于安全防护设备和设施，</w:t>
      </w:r>
      <w:r>
        <w:rPr>
          <w:rFonts w:hint="eastAsia"/>
          <w:sz w:val="24"/>
          <w:szCs w:val="24"/>
        </w:rPr>
        <w:t>投标方</w:t>
      </w:r>
      <w:r>
        <w:rPr>
          <w:sz w:val="24"/>
          <w:szCs w:val="24"/>
        </w:rPr>
        <w:t>实际提供配置和数量需得到</w:t>
      </w:r>
      <w:r>
        <w:rPr>
          <w:rFonts w:hint="eastAsia"/>
          <w:sz w:val="24"/>
          <w:szCs w:val="24"/>
        </w:rPr>
        <w:t>招标方</w:t>
      </w:r>
      <w:r>
        <w:rPr>
          <w:sz w:val="24"/>
          <w:szCs w:val="24"/>
        </w:rPr>
        <w:t>确认。</w:t>
      </w:r>
    </w:p>
    <w:p>
      <w:pPr>
        <w:numPr>
          <w:ilvl w:val="0"/>
          <w:numId w:val="20"/>
        </w:numPr>
        <w:spacing w:line="360" w:lineRule="auto"/>
        <w:ind w:firstLine="480" w:firstLineChars="200"/>
        <w:rPr>
          <w:sz w:val="24"/>
          <w:szCs w:val="24"/>
        </w:rPr>
      </w:pPr>
      <w:r>
        <w:rPr>
          <w:sz w:val="24"/>
          <w:szCs w:val="24"/>
        </w:rPr>
        <w:t>所有设备要考虑断压缩空气或断电后保证安全。</w:t>
      </w:r>
    </w:p>
    <w:p>
      <w:pPr>
        <w:numPr>
          <w:ilvl w:val="0"/>
          <w:numId w:val="20"/>
        </w:numPr>
        <w:spacing w:line="360" w:lineRule="auto"/>
        <w:ind w:firstLine="480" w:firstLineChars="200"/>
        <w:rPr>
          <w:sz w:val="24"/>
          <w:szCs w:val="24"/>
        </w:rPr>
      </w:pPr>
      <w:r>
        <w:rPr>
          <w:rFonts w:hint="eastAsia"/>
          <w:sz w:val="24"/>
          <w:szCs w:val="24"/>
        </w:rPr>
        <w:t>投标方</w:t>
      </w:r>
      <w:r>
        <w:rPr>
          <w:sz w:val="24"/>
          <w:szCs w:val="24"/>
        </w:rPr>
        <w:t>需负责本项目供货范围内所有设备设施的防撞装置。</w:t>
      </w:r>
    </w:p>
    <w:p>
      <w:pPr>
        <w:numPr>
          <w:ilvl w:val="0"/>
          <w:numId w:val="20"/>
        </w:numPr>
        <w:spacing w:line="360" w:lineRule="auto"/>
        <w:ind w:firstLine="480" w:firstLineChars="200"/>
        <w:rPr>
          <w:sz w:val="24"/>
          <w:szCs w:val="24"/>
        </w:rPr>
      </w:pPr>
      <w:r>
        <w:rPr>
          <w:sz w:val="24"/>
          <w:szCs w:val="24"/>
        </w:rPr>
        <w:t>所有轨道和吊挂点设置二次保护钢丝绳。</w:t>
      </w:r>
    </w:p>
    <w:p>
      <w:pPr>
        <w:spacing w:line="360" w:lineRule="auto"/>
        <w:outlineLvl w:val="3"/>
        <w:rPr>
          <w:b/>
          <w:sz w:val="24"/>
          <w:szCs w:val="24"/>
        </w:rPr>
      </w:pPr>
      <w:r>
        <w:rPr>
          <w:rFonts w:hint="eastAsia"/>
          <w:b/>
          <w:sz w:val="24"/>
          <w:szCs w:val="24"/>
        </w:rPr>
        <w:t>9.</w:t>
      </w:r>
      <w:r>
        <w:rPr>
          <w:b/>
          <w:sz w:val="24"/>
          <w:szCs w:val="24"/>
        </w:rPr>
        <w:t>环保、安全及防护技术要求</w:t>
      </w:r>
    </w:p>
    <w:p>
      <w:pPr>
        <w:numPr>
          <w:ilvl w:val="0"/>
          <w:numId w:val="21"/>
        </w:numPr>
        <w:spacing w:line="360" w:lineRule="auto"/>
        <w:ind w:firstLine="480" w:firstLineChars="200"/>
        <w:rPr>
          <w:sz w:val="24"/>
          <w:szCs w:val="24"/>
        </w:rPr>
      </w:pPr>
      <w:r>
        <w:rPr>
          <w:rFonts w:hint="eastAsia"/>
          <w:sz w:val="24"/>
          <w:szCs w:val="24"/>
        </w:rPr>
        <w:t>投标方</w:t>
      </w:r>
      <w:r>
        <w:rPr>
          <w:sz w:val="24"/>
          <w:szCs w:val="24"/>
        </w:rPr>
        <w:t>施工前须提供安全施工技术方案（含危险源辨识与风险控制措施内容）及详细的安全施工措施并经</w:t>
      </w:r>
      <w:r>
        <w:rPr>
          <w:rFonts w:hint="eastAsia"/>
          <w:sz w:val="24"/>
          <w:szCs w:val="24"/>
        </w:rPr>
        <w:t>招标方</w:t>
      </w:r>
      <w:r>
        <w:rPr>
          <w:sz w:val="24"/>
          <w:szCs w:val="24"/>
        </w:rPr>
        <w:t>认可，并签订《安全协议》；</w:t>
      </w:r>
    </w:p>
    <w:p>
      <w:pPr>
        <w:numPr>
          <w:ilvl w:val="0"/>
          <w:numId w:val="21"/>
        </w:numPr>
        <w:spacing w:line="360" w:lineRule="auto"/>
        <w:ind w:firstLine="480" w:firstLineChars="200"/>
        <w:rPr>
          <w:sz w:val="24"/>
          <w:szCs w:val="24"/>
        </w:rPr>
      </w:pPr>
      <w:r>
        <w:rPr>
          <w:sz w:val="24"/>
          <w:szCs w:val="24"/>
        </w:rPr>
        <w:t>在工程施工时，</w:t>
      </w:r>
      <w:r>
        <w:rPr>
          <w:rFonts w:hint="eastAsia"/>
          <w:sz w:val="24"/>
          <w:szCs w:val="24"/>
        </w:rPr>
        <w:t>投标方</w:t>
      </w:r>
      <w:r>
        <w:rPr>
          <w:sz w:val="24"/>
          <w:szCs w:val="24"/>
        </w:rPr>
        <w:t>对所有的施工、制作和储存区域必须提供足够的消防、防护等安全设施，以确保安全，并对自己员工的安全负责，安装调试期间，出现安全事故由</w:t>
      </w:r>
      <w:r>
        <w:rPr>
          <w:rFonts w:hint="eastAsia"/>
          <w:sz w:val="24"/>
          <w:szCs w:val="24"/>
        </w:rPr>
        <w:t>投标方</w:t>
      </w:r>
      <w:r>
        <w:rPr>
          <w:sz w:val="24"/>
          <w:szCs w:val="24"/>
        </w:rPr>
        <w:t>负责；</w:t>
      </w:r>
    </w:p>
    <w:p>
      <w:pPr>
        <w:numPr>
          <w:ilvl w:val="0"/>
          <w:numId w:val="21"/>
        </w:numPr>
        <w:spacing w:line="360" w:lineRule="auto"/>
        <w:ind w:firstLine="480" w:firstLineChars="200"/>
        <w:rPr>
          <w:sz w:val="24"/>
          <w:szCs w:val="24"/>
        </w:rPr>
      </w:pPr>
      <w:r>
        <w:rPr>
          <w:rFonts w:hint="eastAsia"/>
          <w:sz w:val="24"/>
          <w:szCs w:val="24"/>
        </w:rPr>
        <w:t>投标方</w:t>
      </w:r>
      <w:r>
        <w:rPr>
          <w:sz w:val="24"/>
          <w:szCs w:val="24"/>
        </w:rPr>
        <w:t>在整个项目过程中必须严格执行</w:t>
      </w:r>
      <w:r>
        <w:rPr>
          <w:rFonts w:hint="eastAsia"/>
          <w:sz w:val="24"/>
          <w:szCs w:val="24"/>
        </w:rPr>
        <w:t>招标方</w:t>
      </w:r>
      <w:r>
        <w:rPr>
          <w:sz w:val="24"/>
          <w:szCs w:val="24"/>
        </w:rPr>
        <w:t>要求及国家相关安全、消防、环保等法律、法规；</w:t>
      </w:r>
    </w:p>
    <w:p>
      <w:pPr>
        <w:numPr>
          <w:ilvl w:val="0"/>
          <w:numId w:val="21"/>
        </w:numPr>
        <w:spacing w:line="360" w:lineRule="auto"/>
        <w:ind w:firstLine="480" w:firstLineChars="200"/>
        <w:rPr>
          <w:sz w:val="24"/>
          <w:szCs w:val="24"/>
        </w:rPr>
      </w:pPr>
      <w:r>
        <w:rPr>
          <w:sz w:val="24"/>
          <w:szCs w:val="24"/>
        </w:rPr>
        <w:t>进入现场所有的特殊工种的操作人员必须持有相应的操作资格证（如电工、焊工、高空、叉车证等）；进入现场所有设备必须符合国家标准。</w:t>
      </w:r>
    </w:p>
    <w:p>
      <w:pPr>
        <w:numPr>
          <w:ilvl w:val="0"/>
          <w:numId w:val="21"/>
        </w:numPr>
        <w:spacing w:line="360" w:lineRule="auto"/>
        <w:ind w:firstLine="480" w:firstLineChars="200"/>
        <w:rPr>
          <w:sz w:val="24"/>
          <w:szCs w:val="24"/>
        </w:rPr>
      </w:pPr>
      <w:r>
        <w:rPr>
          <w:rFonts w:hint="eastAsia"/>
          <w:sz w:val="24"/>
          <w:szCs w:val="24"/>
        </w:rPr>
        <w:t>投标方</w:t>
      </w:r>
      <w:r>
        <w:rPr>
          <w:sz w:val="24"/>
          <w:szCs w:val="24"/>
        </w:rPr>
        <w:t>需采用隔栏或围栏的形式将施工区域与生产区域隔开，不能影响生产；</w:t>
      </w:r>
    </w:p>
    <w:p>
      <w:pPr>
        <w:numPr>
          <w:ilvl w:val="0"/>
          <w:numId w:val="21"/>
        </w:numPr>
        <w:spacing w:line="360" w:lineRule="auto"/>
        <w:ind w:firstLine="480" w:firstLineChars="200"/>
        <w:rPr>
          <w:sz w:val="24"/>
          <w:szCs w:val="24"/>
        </w:rPr>
      </w:pPr>
      <w:r>
        <w:rPr>
          <w:sz w:val="24"/>
          <w:szCs w:val="24"/>
        </w:rPr>
        <w:t>在没有正式的书面批准和现场的化学制品核准情况下，所有的化学制品不允许进入施工现场，现场不允许储藏化学制品、油漆、燃料等，严禁</w:t>
      </w:r>
      <w:r>
        <w:rPr>
          <w:rFonts w:hint="eastAsia"/>
          <w:sz w:val="24"/>
          <w:szCs w:val="24"/>
        </w:rPr>
        <w:t>投标方</w:t>
      </w:r>
      <w:r>
        <w:rPr>
          <w:sz w:val="24"/>
          <w:szCs w:val="24"/>
        </w:rPr>
        <w:t>带过量、超期的气瓶（氧气/乙炔）到现场(保证安全附件完好)，替换钢瓶前，</w:t>
      </w:r>
      <w:r>
        <w:rPr>
          <w:rFonts w:hint="eastAsia"/>
          <w:sz w:val="24"/>
          <w:szCs w:val="24"/>
        </w:rPr>
        <w:t>投标方</w:t>
      </w:r>
      <w:r>
        <w:rPr>
          <w:sz w:val="24"/>
          <w:szCs w:val="24"/>
        </w:rPr>
        <w:t>必须搬出空瓶；</w:t>
      </w:r>
    </w:p>
    <w:p>
      <w:pPr>
        <w:numPr>
          <w:ilvl w:val="0"/>
          <w:numId w:val="21"/>
        </w:numPr>
        <w:spacing w:line="360" w:lineRule="auto"/>
        <w:ind w:firstLine="480" w:firstLineChars="200"/>
        <w:rPr>
          <w:sz w:val="24"/>
          <w:szCs w:val="24"/>
        </w:rPr>
      </w:pPr>
      <w:r>
        <w:rPr>
          <w:sz w:val="24"/>
          <w:szCs w:val="24"/>
        </w:rPr>
        <w:t>设备的主机、附件及附属设施应具有安全防护措施，以避免操作者身体与设备的危险区域接触；</w:t>
      </w:r>
    </w:p>
    <w:p>
      <w:pPr>
        <w:numPr>
          <w:ilvl w:val="0"/>
          <w:numId w:val="21"/>
        </w:numPr>
        <w:spacing w:line="360" w:lineRule="auto"/>
        <w:ind w:firstLine="480" w:firstLineChars="200"/>
        <w:rPr>
          <w:sz w:val="24"/>
          <w:szCs w:val="24"/>
        </w:rPr>
      </w:pPr>
      <w:r>
        <w:rPr>
          <w:sz w:val="24"/>
          <w:szCs w:val="24"/>
        </w:rPr>
        <w:t>所有进入现场的人员必须穿戴合适的劳保用品，例如劳保鞋、安全帽、带侧面保护的眼镜等，并对现场施工做安全标识、警示标识；</w:t>
      </w:r>
    </w:p>
    <w:p>
      <w:pPr>
        <w:numPr>
          <w:ilvl w:val="0"/>
          <w:numId w:val="21"/>
        </w:numPr>
        <w:spacing w:line="360" w:lineRule="auto"/>
        <w:ind w:firstLine="480" w:firstLineChars="200"/>
        <w:rPr>
          <w:sz w:val="24"/>
          <w:szCs w:val="24"/>
        </w:rPr>
      </w:pPr>
      <w:r>
        <w:rPr>
          <w:sz w:val="24"/>
          <w:szCs w:val="24"/>
        </w:rPr>
        <w:t>所有的安全说明书及安全标志须符合国家标准，或用中文标识，在设备装运时，所有安全标志须由</w:t>
      </w:r>
      <w:r>
        <w:rPr>
          <w:rFonts w:hint="eastAsia"/>
          <w:sz w:val="24"/>
          <w:szCs w:val="24"/>
        </w:rPr>
        <w:t>投标方</w:t>
      </w:r>
      <w:r>
        <w:rPr>
          <w:sz w:val="24"/>
          <w:szCs w:val="24"/>
        </w:rPr>
        <w:t>贴好；</w:t>
      </w:r>
    </w:p>
    <w:p>
      <w:pPr>
        <w:numPr>
          <w:ilvl w:val="0"/>
          <w:numId w:val="21"/>
        </w:numPr>
        <w:spacing w:line="360" w:lineRule="auto"/>
        <w:ind w:firstLine="480" w:firstLineChars="200"/>
        <w:rPr>
          <w:sz w:val="24"/>
          <w:szCs w:val="24"/>
        </w:rPr>
      </w:pPr>
      <w:r>
        <w:rPr>
          <w:sz w:val="24"/>
          <w:szCs w:val="24"/>
        </w:rPr>
        <w:t>高处作业施工人员，严禁投掷物料，并做安全标识，做好防高处坠落、物体打击、防触电、防机械伤害的各项安全防护工作；</w:t>
      </w:r>
    </w:p>
    <w:p>
      <w:pPr>
        <w:numPr>
          <w:ilvl w:val="0"/>
          <w:numId w:val="21"/>
        </w:numPr>
        <w:spacing w:line="360" w:lineRule="auto"/>
        <w:ind w:firstLine="480" w:firstLineChars="200"/>
        <w:rPr>
          <w:sz w:val="24"/>
          <w:szCs w:val="24"/>
        </w:rPr>
      </w:pPr>
      <w:r>
        <w:rPr>
          <w:sz w:val="24"/>
          <w:szCs w:val="24"/>
        </w:rPr>
        <w:t>现场的各种安全防护设施，未经</w:t>
      </w:r>
      <w:r>
        <w:rPr>
          <w:rFonts w:hint="eastAsia"/>
          <w:sz w:val="24"/>
          <w:szCs w:val="24"/>
        </w:rPr>
        <w:t>招标方</w:t>
      </w:r>
      <w:r>
        <w:rPr>
          <w:sz w:val="24"/>
          <w:szCs w:val="24"/>
        </w:rPr>
        <w:t>批准，任何人不准随意拆改；</w:t>
      </w:r>
    </w:p>
    <w:p>
      <w:pPr>
        <w:numPr>
          <w:ilvl w:val="0"/>
          <w:numId w:val="21"/>
        </w:numPr>
        <w:spacing w:line="360" w:lineRule="auto"/>
        <w:ind w:firstLine="480" w:firstLineChars="200"/>
        <w:rPr>
          <w:sz w:val="24"/>
          <w:szCs w:val="24"/>
        </w:rPr>
      </w:pPr>
      <w:r>
        <w:rPr>
          <w:sz w:val="24"/>
          <w:szCs w:val="24"/>
        </w:rPr>
        <w:t>施工现场临时用电执行</w:t>
      </w:r>
      <w:r>
        <w:rPr>
          <w:rFonts w:hint="eastAsia"/>
          <w:sz w:val="24"/>
          <w:szCs w:val="24"/>
        </w:rPr>
        <w:t>招标方</w:t>
      </w:r>
      <w:r>
        <w:rPr>
          <w:sz w:val="24"/>
          <w:szCs w:val="24"/>
        </w:rPr>
        <w:t>要求及国家相关规定；</w:t>
      </w:r>
    </w:p>
    <w:p>
      <w:pPr>
        <w:numPr>
          <w:ilvl w:val="0"/>
          <w:numId w:val="21"/>
        </w:numPr>
        <w:spacing w:line="360" w:lineRule="auto"/>
        <w:ind w:firstLine="480" w:firstLineChars="200"/>
        <w:rPr>
          <w:sz w:val="24"/>
          <w:szCs w:val="24"/>
        </w:rPr>
      </w:pPr>
      <w:r>
        <w:rPr>
          <w:sz w:val="24"/>
          <w:szCs w:val="24"/>
        </w:rPr>
        <w:t>进入现场，需按要求办理出入证件，</w:t>
      </w:r>
      <w:r>
        <w:rPr>
          <w:rFonts w:hint="eastAsia"/>
          <w:sz w:val="24"/>
          <w:szCs w:val="24"/>
        </w:rPr>
        <w:t>招标方</w:t>
      </w:r>
      <w:r>
        <w:rPr>
          <w:sz w:val="24"/>
          <w:szCs w:val="24"/>
        </w:rPr>
        <w:t>协助相关证件的办理；</w:t>
      </w:r>
    </w:p>
    <w:p>
      <w:pPr>
        <w:numPr>
          <w:ilvl w:val="0"/>
          <w:numId w:val="21"/>
        </w:numPr>
        <w:spacing w:line="360" w:lineRule="auto"/>
        <w:ind w:firstLine="480" w:firstLineChars="200"/>
        <w:rPr>
          <w:sz w:val="24"/>
          <w:szCs w:val="24"/>
        </w:rPr>
      </w:pPr>
      <w:r>
        <w:rPr>
          <w:sz w:val="24"/>
          <w:szCs w:val="24"/>
        </w:rPr>
        <w:t>设备的安全与环保要求必须符合国家标准，在运转过程中应保证安全、可靠，无漏电、漏气现象；</w:t>
      </w:r>
    </w:p>
    <w:p>
      <w:pPr>
        <w:numPr>
          <w:ilvl w:val="0"/>
          <w:numId w:val="21"/>
        </w:numPr>
        <w:spacing w:line="360" w:lineRule="auto"/>
        <w:ind w:firstLine="480" w:firstLineChars="200"/>
        <w:rPr>
          <w:sz w:val="24"/>
          <w:szCs w:val="24"/>
        </w:rPr>
      </w:pPr>
      <w:r>
        <w:rPr>
          <w:rFonts w:hint="eastAsia"/>
          <w:sz w:val="24"/>
          <w:szCs w:val="24"/>
        </w:rPr>
        <w:t>投标方</w:t>
      </w:r>
      <w:r>
        <w:rPr>
          <w:sz w:val="24"/>
          <w:szCs w:val="24"/>
        </w:rPr>
        <w:t>在安装现场施工时，必须严格遵守</w:t>
      </w:r>
      <w:r>
        <w:rPr>
          <w:rFonts w:hint="eastAsia"/>
          <w:sz w:val="24"/>
          <w:szCs w:val="24"/>
        </w:rPr>
        <w:t>招标方</w:t>
      </w:r>
      <w:r>
        <w:rPr>
          <w:sz w:val="24"/>
          <w:szCs w:val="24"/>
        </w:rPr>
        <w:t>制定的安全、防火规定和其它规章制度，遵守国家各项安全制度，并制订安全预案，文明施工，如因</w:t>
      </w:r>
      <w:r>
        <w:rPr>
          <w:rFonts w:hint="eastAsia"/>
          <w:sz w:val="24"/>
          <w:szCs w:val="24"/>
        </w:rPr>
        <w:t>投标方</w:t>
      </w:r>
      <w:r>
        <w:rPr>
          <w:sz w:val="24"/>
          <w:szCs w:val="24"/>
        </w:rPr>
        <w:t>施工不遵守规章制度而造成的各种损失由</w:t>
      </w:r>
      <w:r>
        <w:rPr>
          <w:rFonts w:hint="eastAsia"/>
          <w:sz w:val="24"/>
          <w:szCs w:val="24"/>
        </w:rPr>
        <w:t>投标方</w:t>
      </w:r>
      <w:r>
        <w:rPr>
          <w:sz w:val="24"/>
          <w:szCs w:val="24"/>
        </w:rPr>
        <w:t>负全责；</w:t>
      </w:r>
    </w:p>
    <w:p>
      <w:pPr>
        <w:pStyle w:val="131"/>
        <w:spacing w:line="360" w:lineRule="auto"/>
        <w:ind w:firstLine="480"/>
        <w:rPr>
          <w:sz w:val="24"/>
        </w:rPr>
      </w:pPr>
      <w:r>
        <w:rPr>
          <w:rFonts w:hint="eastAsia"/>
          <w:sz w:val="24"/>
        </w:rPr>
        <w:t>①投标方</w:t>
      </w:r>
      <w:r>
        <w:rPr>
          <w:sz w:val="24"/>
        </w:rPr>
        <w:t>应保证设备安装现场的环境卫生，在设备及材料运进工厂时应确保不损坏车间地表面和厂房内设施并按</w:t>
      </w:r>
      <w:r>
        <w:rPr>
          <w:rFonts w:hint="eastAsia"/>
          <w:sz w:val="24"/>
        </w:rPr>
        <w:t>招标方</w:t>
      </w:r>
      <w:r>
        <w:rPr>
          <w:sz w:val="24"/>
        </w:rPr>
        <w:t>规定位置存放，不得在施工现场进行打磨、除锈。现场材料和设备要堆放整齐，生产、生活垃圾必须及时清理干净，为保证整个安装及调试过程中现场和设备内部的清洁，</w:t>
      </w:r>
      <w:r>
        <w:rPr>
          <w:rFonts w:hint="eastAsia"/>
          <w:sz w:val="24"/>
        </w:rPr>
        <w:t>投标方</w:t>
      </w:r>
      <w:r>
        <w:rPr>
          <w:sz w:val="24"/>
        </w:rPr>
        <w:t>应采取切实可行的措施，最终的深度清洁由</w:t>
      </w:r>
      <w:r>
        <w:rPr>
          <w:rFonts w:hint="eastAsia"/>
          <w:sz w:val="24"/>
        </w:rPr>
        <w:t>投标方</w:t>
      </w:r>
      <w:r>
        <w:rPr>
          <w:sz w:val="24"/>
        </w:rPr>
        <w:t>负责；</w:t>
      </w:r>
      <w:r>
        <w:rPr>
          <w:rFonts w:hint="eastAsia"/>
          <w:sz w:val="24"/>
        </w:rPr>
        <w:t xml:space="preserve">       </w:t>
      </w:r>
    </w:p>
    <w:p>
      <w:pPr>
        <w:pStyle w:val="131"/>
        <w:spacing w:line="360" w:lineRule="auto"/>
        <w:ind w:firstLine="480"/>
        <w:rPr>
          <w:sz w:val="24"/>
        </w:rPr>
      </w:pPr>
      <w:r>
        <w:rPr>
          <w:rFonts w:hint="eastAsia"/>
          <w:sz w:val="24"/>
        </w:rPr>
        <w:t>②投标方</w:t>
      </w:r>
      <w:r>
        <w:rPr>
          <w:sz w:val="24"/>
        </w:rPr>
        <w:t>在整个项目施工期间，所有设备、零部件、制成品、工具、材料等均由</w:t>
      </w:r>
      <w:r>
        <w:rPr>
          <w:rFonts w:hint="eastAsia"/>
          <w:sz w:val="24"/>
        </w:rPr>
        <w:t>投标方</w:t>
      </w:r>
      <w:r>
        <w:rPr>
          <w:sz w:val="24"/>
        </w:rPr>
        <w:t>看管、保护，损坏及丢失</w:t>
      </w:r>
      <w:r>
        <w:rPr>
          <w:rFonts w:hint="eastAsia"/>
          <w:sz w:val="24"/>
        </w:rPr>
        <w:t>招标方</w:t>
      </w:r>
      <w:r>
        <w:rPr>
          <w:sz w:val="24"/>
        </w:rPr>
        <w:t>一概不负责任，</w:t>
      </w:r>
      <w:r>
        <w:rPr>
          <w:rFonts w:hint="eastAsia"/>
          <w:sz w:val="24"/>
        </w:rPr>
        <w:t>招标方</w:t>
      </w:r>
      <w:r>
        <w:rPr>
          <w:sz w:val="24"/>
        </w:rPr>
        <w:t>只负责提供场所；</w:t>
      </w:r>
    </w:p>
    <w:p>
      <w:pPr>
        <w:pStyle w:val="131"/>
        <w:spacing w:line="360" w:lineRule="auto"/>
        <w:ind w:firstLine="480"/>
        <w:rPr>
          <w:sz w:val="24"/>
        </w:rPr>
      </w:pPr>
      <w:r>
        <w:rPr>
          <w:rFonts w:hint="eastAsia"/>
          <w:sz w:val="24"/>
        </w:rPr>
        <w:t>③</w:t>
      </w:r>
      <w:r>
        <w:rPr>
          <w:sz w:val="24"/>
        </w:rPr>
        <w:t>所有主要的有可能做的材料（支吊架、连杆等）的表面清洁、切割、打磨、焊接和总体制作、底漆涂刷等工作必须在安装场地以外进行；任何需在现场制作、管子切割、焊接、攻丝等工作必须在指定的区域进行；</w:t>
      </w:r>
    </w:p>
    <w:p>
      <w:pPr>
        <w:pStyle w:val="131"/>
        <w:spacing w:line="360" w:lineRule="auto"/>
        <w:ind w:firstLine="480"/>
        <w:rPr>
          <w:sz w:val="24"/>
        </w:rPr>
      </w:pPr>
      <w:r>
        <w:rPr>
          <w:rFonts w:hint="eastAsia"/>
          <w:sz w:val="24"/>
        </w:rPr>
        <w:t>④投标方</w:t>
      </w:r>
      <w:r>
        <w:rPr>
          <w:sz w:val="24"/>
        </w:rPr>
        <w:t>在开工前须提供系统设计安全方案，设备安装调试阶段的高风险项目安全预案，预案中要体现安全措施费用及人员配置；</w:t>
      </w:r>
    </w:p>
    <w:p>
      <w:pPr>
        <w:pStyle w:val="131"/>
        <w:spacing w:line="360" w:lineRule="auto"/>
        <w:ind w:firstLine="480"/>
        <w:rPr>
          <w:sz w:val="24"/>
        </w:rPr>
      </w:pPr>
      <w:r>
        <w:rPr>
          <w:rFonts w:hint="eastAsia"/>
          <w:sz w:val="24"/>
        </w:rPr>
        <w:t>⑤</w:t>
      </w:r>
      <w:r>
        <w:rPr>
          <w:sz w:val="24"/>
        </w:rPr>
        <w:t>设备安装调试过程中，</w:t>
      </w:r>
      <w:r>
        <w:rPr>
          <w:rFonts w:hint="eastAsia"/>
          <w:sz w:val="24"/>
        </w:rPr>
        <w:t>投标方</w:t>
      </w:r>
      <w:r>
        <w:rPr>
          <w:sz w:val="24"/>
        </w:rPr>
        <w:t>须听从</w:t>
      </w:r>
      <w:r>
        <w:rPr>
          <w:rFonts w:hint="eastAsia"/>
          <w:sz w:val="24"/>
        </w:rPr>
        <w:t>招标方</w:t>
      </w:r>
      <w:r>
        <w:rPr>
          <w:sz w:val="24"/>
        </w:rPr>
        <w:t xml:space="preserve">指挥。   </w:t>
      </w:r>
    </w:p>
    <w:p>
      <w:pPr>
        <w:spacing w:line="360" w:lineRule="auto"/>
        <w:outlineLvl w:val="3"/>
        <w:rPr>
          <w:b/>
          <w:sz w:val="24"/>
          <w:szCs w:val="24"/>
        </w:rPr>
      </w:pPr>
      <w:r>
        <w:rPr>
          <w:rFonts w:hint="eastAsia"/>
          <w:b/>
          <w:sz w:val="24"/>
          <w:szCs w:val="24"/>
        </w:rPr>
        <w:t>10.</w:t>
      </w:r>
      <w:r>
        <w:rPr>
          <w:b/>
          <w:sz w:val="24"/>
          <w:szCs w:val="24"/>
        </w:rPr>
        <w:t>节能</w:t>
      </w:r>
    </w:p>
    <w:p>
      <w:pPr>
        <w:numPr>
          <w:ilvl w:val="0"/>
          <w:numId w:val="22"/>
        </w:numPr>
        <w:spacing w:line="360" w:lineRule="auto"/>
        <w:ind w:firstLine="480" w:firstLineChars="200"/>
        <w:rPr>
          <w:sz w:val="24"/>
          <w:szCs w:val="24"/>
        </w:rPr>
      </w:pPr>
      <w:r>
        <w:rPr>
          <w:sz w:val="24"/>
          <w:szCs w:val="24"/>
        </w:rPr>
        <w:t>优先采购节能产品和环境标志产品。可参照节能机电设备（产品）推荐目录（工信部）、“能效之星”产品目录（工信部）。</w:t>
      </w:r>
    </w:p>
    <w:p>
      <w:pPr>
        <w:numPr>
          <w:ilvl w:val="0"/>
          <w:numId w:val="22"/>
        </w:numPr>
        <w:spacing w:line="360" w:lineRule="auto"/>
        <w:ind w:firstLine="480" w:firstLineChars="200"/>
        <w:rPr>
          <w:sz w:val="24"/>
          <w:szCs w:val="24"/>
        </w:rPr>
      </w:pPr>
      <w:r>
        <w:rPr>
          <w:sz w:val="24"/>
          <w:szCs w:val="24"/>
        </w:rPr>
        <w:t>电动机等部件的能效等级不低于国家</w:t>
      </w:r>
      <w:bookmarkStart w:id="52" w:name="_Hlk33093381"/>
      <w:r>
        <w:rPr>
          <w:sz w:val="24"/>
          <w:szCs w:val="24"/>
        </w:rPr>
        <w:t>现行标准二级能效</w:t>
      </w:r>
      <w:bookmarkEnd w:id="52"/>
      <w:r>
        <w:rPr>
          <w:sz w:val="24"/>
          <w:szCs w:val="24"/>
        </w:rPr>
        <w:t>。进口产品的能效不应低于原产国现行能效标准二级能效。如：对应欧洲标准电动机的能效等级不低于IE3。</w:t>
      </w:r>
    </w:p>
    <w:p>
      <w:pPr>
        <w:numPr>
          <w:ilvl w:val="0"/>
          <w:numId w:val="22"/>
        </w:numPr>
        <w:spacing w:line="360" w:lineRule="auto"/>
        <w:ind w:firstLine="480" w:firstLineChars="200"/>
        <w:rPr>
          <w:sz w:val="24"/>
          <w:szCs w:val="24"/>
        </w:rPr>
      </w:pPr>
      <w:r>
        <w:rPr>
          <w:sz w:val="24"/>
          <w:szCs w:val="24"/>
        </w:rPr>
        <w:t>不应采购列入国家高耗能落后机电设备（产品）淘汰目录的产品（工信部）</w:t>
      </w:r>
    </w:p>
    <w:p>
      <w:pPr>
        <w:numPr>
          <w:ilvl w:val="0"/>
          <w:numId w:val="22"/>
        </w:numPr>
        <w:spacing w:line="360" w:lineRule="auto"/>
        <w:ind w:firstLine="480" w:firstLineChars="200"/>
        <w:rPr>
          <w:sz w:val="24"/>
          <w:szCs w:val="24"/>
        </w:rPr>
      </w:pPr>
      <w:r>
        <w:rPr>
          <w:sz w:val="24"/>
          <w:szCs w:val="24"/>
        </w:rPr>
        <w:t>电机功率≥7.5kw，必须选用一级能效;电机功率&lt;7.5kw，优先选用一级能效;其中对能源供应类设备及年运行时间≥2000h工艺设备的电机必须选用一级能效:杜绝选用三级能效。</w:t>
      </w:r>
    </w:p>
    <w:p>
      <w:pPr>
        <w:spacing w:line="360" w:lineRule="auto"/>
        <w:outlineLvl w:val="3"/>
        <w:rPr>
          <w:b/>
          <w:sz w:val="24"/>
          <w:szCs w:val="24"/>
        </w:rPr>
      </w:pPr>
      <w:r>
        <w:rPr>
          <w:rFonts w:hint="eastAsia"/>
          <w:b/>
          <w:sz w:val="24"/>
          <w:szCs w:val="24"/>
        </w:rPr>
        <w:t>11.</w:t>
      </w:r>
      <w:r>
        <w:rPr>
          <w:b/>
          <w:sz w:val="24"/>
          <w:szCs w:val="24"/>
        </w:rPr>
        <w:t>能源计量</w:t>
      </w:r>
    </w:p>
    <w:p>
      <w:pPr>
        <w:numPr>
          <w:ilvl w:val="0"/>
          <w:numId w:val="23"/>
        </w:numPr>
        <w:spacing w:line="360" w:lineRule="auto"/>
        <w:ind w:firstLine="480" w:firstLineChars="200"/>
        <w:rPr>
          <w:sz w:val="24"/>
          <w:szCs w:val="24"/>
        </w:rPr>
      </w:pPr>
      <w:r>
        <w:rPr>
          <w:sz w:val="24"/>
          <w:szCs w:val="24"/>
        </w:rPr>
        <w:t>主要用能设备应当按照GB17167《用能单位能源计量器具配备和管理通则》的要求配备能源计量器具。</w:t>
      </w:r>
    </w:p>
    <w:p>
      <w:pPr>
        <w:numPr>
          <w:ilvl w:val="0"/>
          <w:numId w:val="23"/>
        </w:numPr>
        <w:spacing w:line="360" w:lineRule="auto"/>
        <w:ind w:firstLine="480" w:firstLineChars="200"/>
        <w:rPr>
          <w:sz w:val="24"/>
          <w:szCs w:val="24"/>
        </w:rPr>
      </w:pPr>
      <w:r>
        <w:rPr>
          <w:sz w:val="24"/>
          <w:szCs w:val="24"/>
        </w:rPr>
        <w:t>当主要用能设备能源消耗量（或功率）达到下列限定值时，应当配备能源计量器具：</w:t>
      </w:r>
    </w:p>
    <w:p>
      <w:pPr>
        <w:spacing w:line="360" w:lineRule="auto"/>
        <w:ind w:firstLine="720" w:firstLineChars="300"/>
        <w:rPr>
          <w:sz w:val="24"/>
          <w:szCs w:val="24"/>
        </w:rPr>
      </w:pPr>
      <w:r>
        <w:rPr>
          <w:sz w:val="24"/>
          <w:szCs w:val="24"/>
        </w:rPr>
        <w:t>--电力：100KW; 多功能电能表的准确度等级应不低于2.0级。</w:t>
      </w:r>
    </w:p>
    <w:p>
      <w:pPr>
        <w:spacing w:line="360" w:lineRule="auto"/>
        <w:ind w:firstLine="720" w:firstLineChars="300"/>
        <w:rPr>
          <w:sz w:val="24"/>
          <w:szCs w:val="24"/>
        </w:rPr>
      </w:pPr>
      <w:r>
        <w:rPr>
          <w:sz w:val="24"/>
          <w:szCs w:val="24"/>
        </w:rPr>
        <w:t>--天然气：100Nm3/h; 天然气计量表</w:t>
      </w:r>
      <w:bookmarkStart w:id="53" w:name="_Hlk33434747"/>
      <w:r>
        <w:rPr>
          <w:sz w:val="24"/>
          <w:szCs w:val="24"/>
        </w:rPr>
        <w:t>的</w:t>
      </w:r>
      <w:bookmarkStart w:id="54" w:name="_Hlk33434911"/>
      <w:r>
        <w:rPr>
          <w:sz w:val="24"/>
          <w:szCs w:val="24"/>
        </w:rPr>
        <w:t>准确度等级应不低于2.0</w:t>
      </w:r>
      <w:bookmarkEnd w:id="53"/>
      <w:r>
        <w:rPr>
          <w:sz w:val="24"/>
          <w:szCs w:val="24"/>
        </w:rPr>
        <w:t>级</w:t>
      </w:r>
      <w:bookmarkEnd w:id="54"/>
      <w:r>
        <w:rPr>
          <w:sz w:val="24"/>
          <w:szCs w:val="24"/>
        </w:rPr>
        <w:t>。</w:t>
      </w:r>
    </w:p>
    <w:p>
      <w:pPr>
        <w:spacing w:line="360" w:lineRule="auto"/>
        <w:ind w:firstLine="720" w:firstLineChars="300"/>
        <w:rPr>
          <w:sz w:val="24"/>
          <w:szCs w:val="24"/>
        </w:rPr>
      </w:pPr>
      <w:r>
        <w:rPr>
          <w:sz w:val="24"/>
          <w:szCs w:val="24"/>
        </w:rPr>
        <w:t>--热水：7MW；热量计量表的准确度等级应不低于2.0级。</w:t>
      </w:r>
    </w:p>
    <w:p>
      <w:pPr>
        <w:spacing w:line="360" w:lineRule="auto"/>
        <w:ind w:firstLine="720" w:firstLineChars="300"/>
        <w:rPr>
          <w:sz w:val="24"/>
          <w:szCs w:val="24"/>
        </w:rPr>
      </w:pPr>
      <w:r>
        <w:rPr>
          <w:sz w:val="24"/>
          <w:szCs w:val="24"/>
        </w:rPr>
        <w:t>--水：1t/h; 水计量表的准确度等级，管径不大于250mm应不低于2.5级。管径大于250mm应不低于1.5级。</w:t>
      </w:r>
    </w:p>
    <w:p>
      <w:pPr>
        <w:spacing w:line="360" w:lineRule="auto"/>
        <w:ind w:firstLine="720" w:firstLineChars="300"/>
        <w:rPr>
          <w:sz w:val="24"/>
          <w:szCs w:val="24"/>
        </w:rPr>
      </w:pPr>
      <w:r>
        <w:rPr>
          <w:sz w:val="24"/>
          <w:szCs w:val="24"/>
        </w:rPr>
        <w:t>--其他：29.26GJ/h；计量表的准确度等级应不低于2.0级。</w:t>
      </w:r>
    </w:p>
    <w:p>
      <w:pPr>
        <w:numPr>
          <w:ilvl w:val="0"/>
          <w:numId w:val="23"/>
        </w:numPr>
        <w:spacing w:line="360" w:lineRule="auto"/>
        <w:ind w:firstLine="480" w:firstLineChars="200"/>
        <w:rPr>
          <w:sz w:val="24"/>
          <w:szCs w:val="24"/>
        </w:rPr>
      </w:pPr>
      <w:r>
        <w:rPr>
          <w:sz w:val="24"/>
          <w:szCs w:val="24"/>
        </w:rPr>
        <w:t>设备能源消耗（或功率）虽达不到8.4.2的要求，但对需要测量能源消耗或能效的关键设备应当加装能源计量仪表。</w:t>
      </w:r>
    </w:p>
    <w:p>
      <w:pPr>
        <w:numPr>
          <w:ilvl w:val="0"/>
          <w:numId w:val="23"/>
        </w:numPr>
        <w:spacing w:line="360" w:lineRule="auto"/>
        <w:ind w:firstLine="480" w:firstLineChars="200"/>
        <w:rPr>
          <w:sz w:val="24"/>
          <w:szCs w:val="24"/>
        </w:rPr>
      </w:pPr>
      <w:r>
        <w:rPr>
          <w:sz w:val="24"/>
          <w:szCs w:val="24"/>
        </w:rPr>
        <w:t>能源计量仪表应带远传功能，通讯应满足第3条工业通讯的要求。</w:t>
      </w:r>
    </w:p>
    <w:p>
      <w:pPr>
        <w:numPr>
          <w:ilvl w:val="0"/>
          <w:numId w:val="24"/>
        </w:numPr>
        <w:spacing w:line="360" w:lineRule="auto"/>
        <w:outlineLvl w:val="3"/>
        <w:rPr>
          <w:b/>
          <w:sz w:val="24"/>
          <w:szCs w:val="24"/>
        </w:rPr>
      </w:pPr>
      <w:bookmarkStart w:id="55" w:name="_Hlk33102596"/>
      <w:r>
        <w:rPr>
          <w:b/>
          <w:sz w:val="24"/>
          <w:szCs w:val="24"/>
        </w:rPr>
        <w:t>设备设计使用寿命（年限）</w:t>
      </w:r>
      <w:bookmarkEnd w:id="55"/>
    </w:p>
    <w:p>
      <w:pPr>
        <w:spacing w:line="360" w:lineRule="auto"/>
        <w:ind w:firstLine="480" w:firstLineChars="200"/>
        <w:outlineLvl w:val="3"/>
        <w:rPr>
          <w:color w:val="000000"/>
          <w:kern w:val="0"/>
          <w:sz w:val="24"/>
          <w:szCs w:val="24"/>
          <w:lang w:bidi="ar"/>
        </w:rPr>
      </w:pPr>
      <w:r>
        <w:rPr>
          <w:color w:val="000000"/>
          <w:kern w:val="0"/>
          <w:sz w:val="24"/>
          <w:szCs w:val="24"/>
          <w:lang w:bidi="ar"/>
        </w:rPr>
        <w:t>设备</w:t>
      </w:r>
      <w:bookmarkStart w:id="56" w:name="_Hlk33094137"/>
      <w:r>
        <w:rPr>
          <w:color w:val="000000"/>
          <w:kern w:val="0"/>
          <w:sz w:val="24"/>
          <w:szCs w:val="24"/>
          <w:lang w:bidi="ar"/>
        </w:rPr>
        <w:t>设计使用寿命不应低于</w:t>
      </w:r>
      <w:bookmarkEnd w:id="56"/>
      <w:r>
        <w:rPr>
          <w:color w:val="000000"/>
          <w:kern w:val="0"/>
          <w:sz w:val="24"/>
          <w:szCs w:val="24"/>
          <w:lang w:bidi="ar"/>
        </w:rPr>
        <w:t>10年。</w:t>
      </w:r>
    </w:p>
    <w:p>
      <w:pPr>
        <w:spacing w:line="360" w:lineRule="auto"/>
        <w:outlineLvl w:val="3"/>
        <w:rPr>
          <w:b/>
          <w:sz w:val="24"/>
          <w:szCs w:val="24"/>
        </w:rPr>
      </w:pPr>
      <w:bookmarkStart w:id="57" w:name="_Hlk33102606"/>
      <w:r>
        <w:rPr>
          <w:rFonts w:hint="eastAsia"/>
          <w:b/>
          <w:sz w:val="24"/>
          <w:szCs w:val="24"/>
        </w:rPr>
        <w:t>13.</w:t>
      </w:r>
      <w:r>
        <w:rPr>
          <w:b/>
          <w:sz w:val="24"/>
          <w:szCs w:val="24"/>
        </w:rPr>
        <w:t>易维修性</w:t>
      </w:r>
      <w:bookmarkEnd w:id="57"/>
    </w:p>
    <w:p>
      <w:pPr>
        <w:numPr>
          <w:ilvl w:val="0"/>
          <w:numId w:val="25"/>
        </w:numPr>
        <w:spacing w:line="360" w:lineRule="auto"/>
        <w:ind w:firstLine="480" w:firstLineChars="200"/>
        <w:rPr>
          <w:sz w:val="24"/>
          <w:szCs w:val="24"/>
        </w:rPr>
      </w:pPr>
      <w:r>
        <w:rPr>
          <w:rFonts w:hint="eastAsia"/>
          <w:sz w:val="24"/>
          <w:szCs w:val="24"/>
        </w:rPr>
        <w:t>投标方</w:t>
      </w:r>
      <w:r>
        <w:rPr>
          <w:sz w:val="24"/>
          <w:szCs w:val="24"/>
        </w:rPr>
        <w:t>对设备可维修性进行描述，设备在设计、制造、布局、安装时应充分考虑了后续维修的易维修性、可修复性和维修作业的安全、可操作性。</w:t>
      </w:r>
    </w:p>
    <w:p>
      <w:pPr>
        <w:numPr>
          <w:ilvl w:val="0"/>
          <w:numId w:val="25"/>
        </w:numPr>
        <w:spacing w:line="360" w:lineRule="auto"/>
        <w:ind w:firstLine="480" w:firstLineChars="200"/>
        <w:rPr>
          <w:sz w:val="24"/>
          <w:szCs w:val="24"/>
        </w:rPr>
      </w:pPr>
      <w:r>
        <w:rPr>
          <w:sz w:val="24"/>
          <w:szCs w:val="24"/>
        </w:rPr>
        <w:t>在正式提交的设备资料中应当包含设备的维修BOM。</w:t>
      </w:r>
    </w:p>
    <w:p>
      <w:pPr>
        <w:numPr>
          <w:ilvl w:val="0"/>
          <w:numId w:val="25"/>
        </w:numPr>
        <w:spacing w:line="360" w:lineRule="auto"/>
        <w:ind w:firstLine="480" w:firstLineChars="200"/>
        <w:rPr>
          <w:sz w:val="24"/>
          <w:szCs w:val="24"/>
        </w:rPr>
      </w:pPr>
      <w:r>
        <w:rPr>
          <w:rFonts w:hint="eastAsia"/>
          <w:sz w:val="24"/>
          <w:szCs w:val="24"/>
        </w:rPr>
        <w:t>投标方</w:t>
      </w:r>
      <w:r>
        <w:rPr>
          <w:sz w:val="24"/>
          <w:szCs w:val="24"/>
        </w:rPr>
        <w:t>应说明设备在维保方面的信息，包含但不限于：易损件清单、耗材清单、定期维保项目清单等。</w:t>
      </w:r>
    </w:p>
    <w:p>
      <w:pPr>
        <w:pStyle w:val="3"/>
        <w:jc w:val="center"/>
        <w:rPr>
          <w:highlight w:val="none"/>
        </w:rPr>
      </w:pPr>
      <w:bookmarkStart w:id="58" w:name="_Toc178067748"/>
      <w:r>
        <w:rPr>
          <w:rFonts w:hint="eastAsia"/>
          <w:highlight w:val="none"/>
        </w:rPr>
        <w:t>七</w:t>
      </w:r>
      <w:r>
        <w:rPr>
          <w:highlight w:val="none"/>
        </w:rPr>
        <w:t>、技术资料</w:t>
      </w:r>
      <w:bookmarkEnd w:id="58"/>
    </w:p>
    <w:p>
      <w:pPr>
        <w:spacing w:line="360" w:lineRule="auto"/>
        <w:outlineLvl w:val="3"/>
        <w:rPr>
          <w:b/>
          <w:sz w:val="24"/>
          <w:szCs w:val="24"/>
        </w:rPr>
      </w:pPr>
      <w:r>
        <w:rPr>
          <w:b/>
          <w:sz w:val="24"/>
          <w:szCs w:val="24"/>
        </w:rPr>
        <w:t>1</w:t>
      </w:r>
      <w:r>
        <w:rPr>
          <w:rFonts w:hint="eastAsia"/>
          <w:b/>
          <w:sz w:val="24"/>
          <w:szCs w:val="24"/>
        </w:rPr>
        <w:t>.</w:t>
      </w:r>
      <w:r>
        <w:rPr>
          <w:b/>
          <w:sz w:val="24"/>
          <w:szCs w:val="24"/>
        </w:rPr>
        <w:t>硬件资料</w:t>
      </w:r>
    </w:p>
    <w:p>
      <w:pPr>
        <w:numPr>
          <w:ilvl w:val="0"/>
          <w:numId w:val="26"/>
        </w:numPr>
        <w:spacing w:line="360" w:lineRule="auto"/>
        <w:ind w:firstLine="480" w:firstLineChars="200"/>
        <w:rPr>
          <w:sz w:val="24"/>
          <w:szCs w:val="24"/>
        </w:rPr>
      </w:pPr>
      <w:r>
        <w:rPr>
          <w:rFonts w:hint="eastAsia"/>
          <w:sz w:val="24"/>
          <w:szCs w:val="24"/>
        </w:rPr>
        <w:t>投标方</w:t>
      </w:r>
      <w:r>
        <w:rPr>
          <w:sz w:val="24"/>
          <w:szCs w:val="24"/>
        </w:rPr>
        <w:t>提供的资料应包括涉及所有系统部件的安装、运行、注意事项和维护方法的详细说明，此外还应包括所购设备的完整设备清单和详细指南。与设备清单相对应的设备项目代号应在所有相关图纸上表示出来，</w:t>
      </w:r>
      <w:r>
        <w:rPr>
          <w:rFonts w:hint="eastAsia"/>
          <w:sz w:val="24"/>
          <w:szCs w:val="24"/>
        </w:rPr>
        <w:t>投标方</w:t>
      </w:r>
      <w:r>
        <w:rPr>
          <w:sz w:val="24"/>
          <w:szCs w:val="24"/>
        </w:rPr>
        <w:t>还应根据要求提供其设备代号与市场上可买到的该设备型号间的参照表。</w:t>
      </w:r>
    </w:p>
    <w:p>
      <w:pPr>
        <w:numPr>
          <w:ilvl w:val="0"/>
          <w:numId w:val="26"/>
        </w:numPr>
        <w:spacing w:line="360" w:lineRule="auto"/>
        <w:ind w:firstLine="480" w:firstLineChars="200"/>
        <w:rPr>
          <w:sz w:val="24"/>
          <w:szCs w:val="24"/>
        </w:rPr>
      </w:pPr>
      <w:r>
        <w:rPr>
          <w:rFonts w:hint="eastAsia"/>
          <w:sz w:val="24"/>
          <w:szCs w:val="24"/>
        </w:rPr>
        <w:t>投标方</w:t>
      </w:r>
      <w:r>
        <w:rPr>
          <w:sz w:val="24"/>
          <w:szCs w:val="24"/>
        </w:rPr>
        <w:t>至少应提供下列手册和图纸：</w:t>
      </w:r>
    </w:p>
    <w:p>
      <w:pPr>
        <w:spacing w:line="360" w:lineRule="auto"/>
        <w:ind w:firstLine="480" w:firstLineChars="200"/>
        <w:rPr>
          <w:sz w:val="24"/>
          <w:szCs w:val="24"/>
        </w:rPr>
      </w:pPr>
      <w:r>
        <w:rPr>
          <w:sz w:val="24"/>
          <w:szCs w:val="24"/>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color w:val="000000"/>
          <w:kern w:val="0"/>
          <w:sz w:val="24"/>
          <w:szCs w:val="24"/>
          <w:lang w:bidi="ar"/>
        </w:rPr>
      </w:pPr>
      <w:r>
        <w:rPr>
          <w:color w:val="000000"/>
          <w:kern w:val="0"/>
          <w:sz w:val="24"/>
          <w:szCs w:val="24"/>
          <w:lang w:bidi="ar"/>
        </w:rPr>
        <w:t>--设备硬件手册。</w:t>
      </w:r>
    </w:p>
    <w:p>
      <w:pPr>
        <w:spacing w:line="460" w:lineRule="exact"/>
        <w:ind w:firstLine="480" w:firstLineChars="200"/>
        <w:rPr>
          <w:color w:val="000000"/>
          <w:kern w:val="0"/>
          <w:sz w:val="24"/>
          <w:szCs w:val="24"/>
          <w:lang w:bidi="ar"/>
        </w:rPr>
      </w:pPr>
      <w:r>
        <w:rPr>
          <w:sz w:val="24"/>
          <w:szCs w:val="24"/>
        </w:rPr>
        <w:t>--</w:t>
      </w:r>
      <w:r>
        <w:rPr>
          <w:color w:val="000000"/>
          <w:kern w:val="0"/>
          <w:sz w:val="24"/>
          <w:szCs w:val="24"/>
          <w:lang w:bidi="ar"/>
        </w:rPr>
        <w:t>设备操作手册（含安全操作规程、操作和安全事项的使用说明书）。</w:t>
      </w:r>
    </w:p>
    <w:p>
      <w:pPr>
        <w:spacing w:line="460" w:lineRule="exact"/>
        <w:ind w:firstLine="480" w:firstLineChars="200"/>
        <w:rPr>
          <w:color w:val="000000"/>
          <w:kern w:val="0"/>
          <w:sz w:val="24"/>
          <w:szCs w:val="24"/>
          <w:lang w:bidi="ar"/>
        </w:rPr>
      </w:pPr>
      <w:r>
        <w:rPr>
          <w:color w:val="000000"/>
          <w:kern w:val="0"/>
          <w:sz w:val="24"/>
          <w:szCs w:val="24"/>
          <w:lang w:bidi="ar"/>
        </w:rPr>
        <w:t>--设备维护手册（含润滑图表、含有易损件的检查更换指南、易损件使用时间）。</w:t>
      </w:r>
    </w:p>
    <w:p>
      <w:pPr>
        <w:spacing w:line="460" w:lineRule="exact"/>
        <w:ind w:firstLine="480" w:firstLineChars="200"/>
        <w:rPr>
          <w:color w:val="000000"/>
          <w:kern w:val="0"/>
          <w:sz w:val="24"/>
          <w:szCs w:val="24"/>
          <w:lang w:bidi="ar"/>
        </w:rPr>
      </w:pPr>
      <w:r>
        <w:rPr>
          <w:color w:val="000000"/>
          <w:kern w:val="0"/>
          <w:sz w:val="24"/>
          <w:szCs w:val="24"/>
          <w:lang w:bidi="ar"/>
        </w:rPr>
        <w:t>--设备组态手册。</w:t>
      </w:r>
    </w:p>
    <w:p>
      <w:pPr>
        <w:spacing w:line="460" w:lineRule="exact"/>
        <w:ind w:firstLine="480" w:firstLineChars="200"/>
        <w:rPr>
          <w:color w:val="000000"/>
          <w:kern w:val="0"/>
          <w:sz w:val="24"/>
          <w:szCs w:val="24"/>
          <w:lang w:bidi="ar"/>
        </w:rPr>
      </w:pPr>
      <w:r>
        <w:rPr>
          <w:color w:val="000000"/>
          <w:kern w:val="0"/>
          <w:sz w:val="24"/>
          <w:szCs w:val="24"/>
          <w:lang w:bidi="ar"/>
        </w:rPr>
        <w:t>--仪器仪表检定证书和使用维修说明书。</w:t>
      </w:r>
    </w:p>
    <w:p>
      <w:pPr>
        <w:spacing w:line="460" w:lineRule="exact"/>
        <w:ind w:firstLine="480" w:firstLineChars="200"/>
        <w:rPr>
          <w:color w:val="000000"/>
          <w:kern w:val="0"/>
          <w:sz w:val="24"/>
          <w:szCs w:val="24"/>
          <w:lang w:bidi="ar"/>
        </w:rPr>
      </w:pPr>
      <w:r>
        <w:rPr>
          <w:color w:val="000000"/>
          <w:kern w:val="0"/>
          <w:sz w:val="24"/>
          <w:szCs w:val="24"/>
          <w:lang w:bidi="ar"/>
        </w:rPr>
        <w:t>--构成设备所有部件的原理图。</w:t>
      </w:r>
    </w:p>
    <w:p>
      <w:pPr>
        <w:spacing w:line="460" w:lineRule="exact"/>
        <w:ind w:firstLine="480" w:firstLineChars="200"/>
        <w:rPr>
          <w:color w:val="000000"/>
          <w:kern w:val="0"/>
          <w:sz w:val="24"/>
          <w:szCs w:val="24"/>
          <w:lang w:bidi="ar"/>
        </w:rPr>
      </w:pPr>
      <w:r>
        <w:rPr>
          <w:color w:val="000000"/>
          <w:kern w:val="0"/>
          <w:sz w:val="24"/>
          <w:szCs w:val="24"/>
          <w:lang w:bidi="ar"/>
        </w:rPr>
        <w:t>--内部布置图。</w:t>
      </w:r>
    </w:p>
    <w:p>
      <w:pPr>
        <w:spacing w:line="460" w:lineRule="exact"/>
        <w:ind w:firstLine="480" w:firstLineChars="200"/>
        <w:rPr>
          <w:color w:val="000000"/>
          <w:kern w:val="0"/>
          <w:sz w:val="24"/>
          <w:szCs w:val="24"/>
          <w:lang w:bidi="ar"/>
        </w:rPr>
      </w:pPr>
      <w:r>
        <w:rPr>
          <w:color w:val="000000"/>
          <w:kern w:val="0"/>
          <w:sz w:val="24"/>
          <w:szCs w:val="24"/>
          <w:lang w:bidi="ar"/>
        </w:rPr>
        <w:t>--符合</w:t>
      </w:r>
      <w:r>
        <w:rPr>
          <w:rFonts w:hint="eastAsia"/>
          <w:color w:val="000000"/>
          <w:kern w:val="0"/>
          <w:sz w:val="24"/>
          <w:szCs w:val="24"/>
          <w:lang w:bidi="ar"/>
        </w:rPr>
        <w:t>招标方</w:t>
      </w:r>
      <w:r>
        <w:rPr>
          <w:color w:val="000000"/>
          <w:kern w:val="0"/>
          <w:sz w:val="24"/>
          <w:szCs w:val="24"/>
          <w:lang w:bidi="ar"/>
        </w:rPr>
        <w:t>要求格式的外部连接图，图上应有电缆编号和端子编号。</w:t>
      </w:r>
    </w:p>
    <w:p>
      <w:pPr>
        <w:spacing w:line="460" w:lineRule="exact"/>
        <w:ind w:firstLine="480" w:firstLineChars="200"/>
        <w:rPr>
          <w:color w:val="000000"/>
          <w:kern w:val="0"/>
          <w:sz w:val="24"/>
          <w:szCs w:val="24"/>
          <w:lang w:bidi="ar"/>
        </w:rPr>
      </w:pPr>
      <w:r>
        <w:rPr>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color w:val="000000"/>
          <w:kern w:val="0"/>
          <w:sz w:val="24"/>
          <w:szCs w:val="24"/>
          <w:lang w:bidi="ar"/>
        </w:rPr>
      </w:pPr>
      <w:r>
        <w:rPr>
          <w:color w:val="000000"/>
          <w:kern w:val="0"/>
          <w:sz w:val="24"/>
          <w:szCs w:val="24"/>
          <w:lang w:bidi="ar"/>
        </w:rPr>
        <w:t>--所有控制和调整装置在维护时所需的校验曲线。</w:t>
      </w:r>
    </w:p>
    <w:p>
      <w:pPr>
        <w:spacing w:line="460" w:lineRule="exact"/>
        <w:ind w:firstLine="480" w:firstLineChars="200"/>
        <w:rPr>
          <w:color w:val="000000"/>
          <w:kern w:val="0"/>
          <w:sz w:val="24"/>
          <w:szCs w:val="24"/>
          <w:lang w:bidi="ar"/>
        </w:rPr>
      </w:pPr>
      <w:r>
        <w:rPr>
          <w:color w:val="000000"/>
          <w:kern w:val="0"/>
          <w:sz w:val="24"/>
          <w:szCs w:val="24"/>
          <w:lang w:bidi="ar"/>
        </w:rPr>
        <w:t>--所有</w:t>
      </w:r>
      <w:r>
        <w:rPr>
          <w:rFonts w:hint="eastAsia"/>
          <w:color w:val="000000"/>
          <w:kern w:val="0"/>
          <w:sz w:val="24"/>
          <w:szCs w:val="24"/>
          <w:lang w:bidi="ar"/>
        </w:rPr>
        <w:t>投标方</w:t>
      </w:r>
      <w:r>
        <w:rPr>
          <w:color w:val="000000"/>
          <w:kern w:val="0"/>
          <w:sz w:val="24"/>
          <w:szCs w:val="24"/>
          <w:lang w:bidi="ar"/>
        </w:rPr>
        <w:t>外购设备手册。</w:t>
      </w:r>
    </w:p>
    <w:p>
      <w:pPr>
        <w:spacing w:line="460" w:lineRule="exact"/>
        <w:ind w:firstLine="480" w:firstLineChars="200"/>
        <w:rPr>
          <w:color w:val="000000"/>
          <w:kern w:val="0"/>
          <w:sz w:val="24"/>
          <w:szCs w:val="24"/>
          <w:lang w:bidi="ar"/>
        </w:rPr>
      </w:pPr>
      <w:r>
        <w:rPr>
          <w:color w:val="000000"/>
          <w:kern w:val="0"/>
          <w:sz w:val="24"/>
          <w:szCs w:val="24"/>
          <w:lang w:bidi="ar"/>
        </w:rPr>
        <w:t>-- PLC使用的部件详图。</w:t>
      </w:r>
    </w:p>
    <w:p>
      <w:pPr>
        <w:spacing w:line="460" w:lineRule="exact"/>
        <w:ind w:firstLine="480" w:firstLineChars="200"/>
        <w:rPr>
          <w:color w:val="000000"/>
          <w:kern w:val="0"/>
          <w:sz w:val="24"/>
          <w:szCs w:val="24"/>
          <w:lang w:bidi="ar"/>
        </w:rPr>
      </w:pPr>
      <w:r>
        <w:rPr>
          <w:color w:val="000000"/>
          <w:kern w:val="0"/>
          <w:sz w:val="24"/>
          <w:szCs w:val="24"/>
          <w:lang w:bidi="ar"/>
        </w:rPr>
        <w:t>--安装步骤、包括装配细节、设备散热和设备重量等。</w:t>
      </w:r>
    </w:p>
    <w:p>
      <w:pPr>
        <w:spacing w:line="460" w:lineRule="exact"/>
        <w:ind w:firstLine="480" w:firstLineChars="200"/>
        <w:rPr>
          <w:color w:val="000000"/>
          <w:kern w:val="0"/>
          <w:sz w:val="24"/>
          <w:szCs w:val="24"/>
          <w:lang w:bidi="ar"/>
        </w:rPr>
      </w:pPr>
      <w:r>
        <w:rPr>
          <w:color w:val="000000"/>
          <w:kern w:val="0"/>
          <w:sz w:val="24"/>
          <w:szCs w:val="24"/>
          <w:lang w:bidi="ar"/>
        </w:rPr>
        <w:t>--材料清册，包括备件、易损件和耗材清单。</w:t>
      </w:r>
    </w:p>
    <w:p>
      <w:pPr>
        <w:spacing w:line="460" w:lineRule="exact"/>
        <w:ind w:firstLine="480" w:firstLineChars="200"/>
        <w:rPr>
          <w:color w:val="000000"/>
          <w:kern w:val="0"/>
          <w:sz w:val="24"/>
          <w:szCs w:val="24"/>
          <w:lang w:bidi="ar"/>
        </w:rPr>
      </w:pPr>
      <w:r>
        <w:rPr>
          <w:color w:val="000000"/>
          <w:kern w:val="0"/>
          <w:sz w:val="24"/>
          <w:szCs w:val="24"/>
          <w:lang w:bidi="ar"/>
        </w:rPr>
        <w:t>--所有外围设备的样本（包括主机、显示器、键盘、打印机等）。</w:t>
      </w:r>
    </w:p>
    <w:p>
      <w:pPr>
        <w:spacing w:line="460" w:lineRule="exact"/>
        <w:ind w:firstLine="480" w:firstLineChars="200"/>
        <w:rPr>
          <w:color w:val="000000"/>
          <w:kern w:val="0"/>
          <w:sz w:val="24"/>
          <w:szCs w:val="24"/>
          <w:lang w:bidi="ar"/>
        </w:rPr>
      </w:pPr>
      <w:r>
        <w:rPr>
          <w:color w:val="000000"/>
          <w:kern w:val="0"/>
          <w:sz w:val="24"/>
          <w:szCs w:val="24"/>
          <w:lang w:bidi="ar"/>
        </w:rPr>
        <w:t>--产品合格证。</w:t>
      </w:r>
    </w:p>
    <w:p>
      <w:pPr>
        <w:spacing w:line="460" w:lineRule="exact"/>
        <w:ind w:firstLine="480" w:firstLineChars="200"/>
        <w:rPr>
          <w:color w:val="000000"/>
          <w:kern w:val="0"/>
          <w:sz w:val="24"/>
          <w:szCs w:val="24"/>
          <w:lang w:bidi="ar"/>
        </w:rPr>
      </w:pPr>
      <w:r>
        <w:rPr>
          <w:color w:val="000000"/>
          <w:kern w:val="0"/>
          <w:sz w:val="24"/>
          <w:szCs w:val="24"/>
          <w:lang w:bidi="ar"/>
        </w:rPr>
        <w:t>--开箱记录等随机文件材料。</w:t>
      </w:r>
    </w:p>
    <w:p>
      <w:pPr>
        <w:spacing w:line="460" w:lineRule="exact"/>
        <w:ind w:firstLine="480" w:firstLineChars="200"/>
        <w:rPr>
          <w:color w:val="000000"/>
          <w:kern w:val="0"/>
          <w:sz w:val="24"/>
          <w:szCs w:val="24"/>
          <w:lang w:bidi="ar"/>
        </w:rPr>
      </w:pPr>
      <w:r>
        <w:rPr>
          <w:color w:val="000000"/>
          <w:kern w:val="0"/>
          <w:sz w:val="24"/>
          <w:szCs w:val="24"/>
          <w:lang w:bidi="ar"/>
        </w:rPr>
        <w:t>--施工文件。</w:t>
      </w:r>
    </w:p>
    <w:p>
      <w:pPr>
        <w:spacing w:line="460" w:lineRule="exact"/>
        <w:ind w:firstLine="480" w:firstLineChars="200"/>
        <w:rPr>
          <w:color w:val="000000"/>
          <w:kern w:val="0"/>
          <w:sz w:val="24"/>
          <w:szCs w:val="24"/>
          <w:lang w:bidi="ar"/>
        </w:rPr>
      </w:pPr>
      <w:r>
        <w:rPr>
          <w:color w:val="000000"/>
          <w:kern w:val="0"/>
          <w:sz w:val="24"/>
          <w:szCs w:val="24"/>
          <w:lang w:bidi="ar"/>
        </w:rPr>
        <w:t>--用于说明采购件名称、型号、规格、厂家等的采购件明细表。</w:t>
      </w:r>
    </w:p>
    <w:p>
      <w:pPr>
        <w:spacing w:line="460" w:lineRule="exact"/>
        <w:ind w:firstLine="480" w:firstLineChars="200"/>
        <w:rPr>
          <w:color w:val="000000"/>
          <w:kern w:val="0"/>
          <w:sz w:val="24"/>
          <w:szCs w:val="24"/>
          <w:lang w:bidi="ar"/>
        </w:rPr>
      </w:pPr>
      <w:r>
        <w:rPr>
          <w:color w:val="000000"/>
          <w:kern w:val="0"/>
          <w:sz w:val="24"/>
          <w:szCs w:val="24"/>
          <w:lang w:bidi="ar"/>
        </w:rPr>
        <w:t>--设备出厂所必须的精度检验证书、性能测试记录和报告。</w:t>
      </w:r>
    </w:p>
    <w:p>
      <w:pPr>
        <w:spacing w:line="460" w:lineRule="exact"/>
        <w:ind w:firstLine="480" w:firstLineChars="200"/>
        <w:rPr>
          <w:color w:val="000000"/>
          <w:kern w:val="0"/>
          <w:sz w:val="24"/>
          <w:szCs w:val="24"/>
          <w:lang w:bidi="ar"/>
        </w:rPr>
      </w:pPr>
      <w:r>
        <w:rPr>
          <w:color w:val="000000"/>
          <w:kern w:val="0"/>
          <w:sz w:val="24"/>
          <w:szCs w:val="24"/>
          <w:lang w:bidi="ar"/>
        </w:rPr>
        <w:t>--设备分支动力管线的设计竣工图。</w:t>
      </w:r>
    </w:p>
    <w:p>
      <w:pPr>
        <w:spacing w:line="360" w:lineRule="auto"/>
        <w:outlineLvl w:val="3"/>
        <w:rPr>
          <w:b/>
          <w:sz w:val="24"/>
          <w:szCs w:val="24"/>
        </w:rPr>
      </w:pPr>
      <w:r>
        <w:rPr>
          <w:b/>
          <w:sz w:val="24"/>
          <w:szCs w:val="24"/>
        </w:rPr>
        <w:t>2</w:t>
      </w:r>
      <w:r>
        <w:rPr>
          <w:rFonts w:hint="eastAsia"/>
          <w:b/>
          <w:sz w:val="24"/>
          <w:szCs w:val="24"/>
        </w:rPr>
        <w:t>.</w:t>
      </w:r>
      <w:r>
        <w:rPr>
          <w:b/>
          <w:sz w:val="24"/>
          <w:szCs w:val="24"/>
        </w:rPr>
        <w:t>软件资料</w:t>
      </w:r>
    </w:p>
    <w:p>
      <w:pPr>
        <w:numPr>
          <w:ilvl w:val="0"/>
          <w:numId w:val="27"/>
        </w:numPr>
        <w:spacing w:line="360" w:lineRule="auto"/>
        <w:ind w:firstLine="480"/>
        <w:rPr>
          <w:sz w:val="24"/>
          <w:szCs w:val="24"/>
        </w:rPr>
      </w:pPr>
      <w:r>
        <w:rPr>
          <w:rFonts w:hint="eastAsia"/>
          <w:sz w:val="24"/>
          <w:szCs w:val="24"/>
        </w:rPr>
        <w:t>投标方</w:t>
      </w:r>
      <w:r>
        <w:rPr>
          <w:sz w:val="24"/>
          <w:szCs w:val="24"/>
        </w:rPr>
        <w:t>应提供足以使</w:t>
      </w:r>
      <w:r>
        <w:rPr>
          <w:rFonts w:hint="eastAsia"/>
          <w:sz w:val="24"/>
          <w:szCs w:val="24"/>
        </w:rPr>
        <w:t>招标方</w:t>
      </w:r>
      <w:r>
        <w:rPr>
          <w:sz w:val="24"/>
          <w:szCs w:val="24"/>
        </w:rPr>
        <w:t>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numPr>
          <w:ilvl w:val="0"/>
          <w:numId w:val="27"/>
        </w:numPr>
        <w:spacing w:line="360" w:lineRule="auto"/>
        <w:ind w:firstLine="480"/>
        <w:rPr>
          <w:sz w:val="24"/>
          <w:szCs w:val="24"/>
        </w:rPr>
      </w:pPr>
      <w:r>
        <w:rPr>
          <w:sz w:val="24"/>
          <w:szCs w:val="24"/>
        </w:rPr>
        <w:t>设备可编程器件（PLC、触摸屏、伺服器等）的原控制程序、组态程序电子文档。</w:t>
      </w:r>
    </w:p>
    <w:p>
      <w:pPr>
        <w:numPr>
          <w:ilvl w:val="0"/>
          <w:numId w:val="27"/>
        </w:numPr>
        <w:spacing w:line="360" w:lineRule="auto"/>
        <w:ind w:firstLine="480"/>
        <w:rPr>
          <w:sz w:val="24"/>
          <w:szCs w:val="24"/>
        </w:rPr>
      </w:pPr>
      <w:r>
        <w:rPr>
          <w:sz w:val="24"/>
          <w:szCs w:val="24"/>
        </w:rPr>
        <w:t>编程指导材料，</w:t>
      </w:r>
      <w:r>
        <w:rPr>
          <w:rFonts w:hint="eastAsia"/>
          <w:sz w:val="24"/>
          <w:szCs w:val="24"/>
        </w:rPr>
        <w:t>投标方</w:t>
      </w:r>
      <w:r>
        <w:rPr>
          <w:sz w:val="24"/>
          <w:szCs w:val="24"/>
        </w:rPr>
        <w:t>应提供用于各系统程序的源码说明，包括交互在程序中的注释，以便整个程序的理解，这一资料应存放在工程师站和U盘内提供给</w:t>
      </w:r>
      <w:r>
        <w:rPr>
          <w:rFonts w:hint="eastAsia"/>
          <w:sz w:val="24"/>
          <w:szCs w:val="24"/>
        </w:rPr>
        <w:t>招标方</w:t>
      </w:r>
      <w:r>
        <w:rPr>
          <w:sz w:val="24"/>
          <w:szCs w:val="24"/>
        </w:rPr>
        <w:t>。</w:t>
      </w:r>
    </w:p>
    <w:p>
      <w:pPr>
        <w:numPr>
          <w:ilvl w:val="0"/>
          <w:numId w:val="27"/>
        </w:numPr>
        <w:spacing w:line="360" w:lineRule="auto"/>
        <w:ind w:firstLine="480"/>
        <w:rPr>
          <w:sz w:val="24"/>
          <w:szCs w:val="24"/>
        </w:rPr>
      </w:pPr>
      <w:r>
        <w:rPr>
          <w:rFonts w:hint="eastAsia"/>
          <w:sz w:val="24"/>
          <w:szCs w:val="24"/>
        </w:rPr>
        <w:t>投标方</w:t>
      </w:r>
      <w:r>
        <w:rPr>
          <w:sz w:val="24"/>
          <w:szCs w:val="24"/>
        </w:rPr>
        <w:t>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pStyle w:val="3"/>
        <w:jc w:val="center"/>
        <w:rPr>
          <w:highlight w:val="none"/>
        </w:rPr>
      </w:pPr>
      <w:bookmarkStart w:id="59" w:name="_Toc178067749"/>
      <w:r>
        <w:rPr>
          <w:rFonts w:hint="eastAsia"/>
          <w:highlight w:val="none"/>
        </w:rPr>
        <w:t>八</w:t>
      </w:r>
      <w:r>
        <w:rPr>
          <w:highlight w:val="none"/>
        </w:rPr>
        <w:t>、</w:t>
      </w:r>
      <w:bookmarkEnd w:id="59"/>
      <w:r>
        <w:rPr>
          <w:rFonts w:hint="eastAsia"/>
          <w:highlight w:val="none"/>
        </w:rPr>
        <w:t>安装及其他服务</w:t>
      </w:r>
    </w:p>
    <w:p>
      <w:pPr>
        <w:spacing w:line="360" w:lineRule="auto"/>
        <w:ind w:firstLine="480" w:firstLineChars="200"/>
        <w:outlineLvl w:val="3"/>
        <w:rPr>
          <w:b/>
          <w:sz w:val="24"/>
          <w:szCs w:val="24"/>
        </w:rPr>
      </w:pPr>
      <w:r>
        <w:rPr>
          <w:b/>
          <w:sz w:val="24"/>
          <w:szCs w:val="24"/>
        </w:rPr>
        <w:t>1</w:t>
      </w:r>
      <w:r>
        <w:rPr>
          <w:rFonts w:hint="eastAsia"/>
          <w:b/>
          <w:sz w:val="24"/>
          <w:szCs w:val="24"/>
        </w:rPr>
        <w:t>.</w:t>
      </w:r>
      <w:r>
        <w:rPr>
          <w:b/>
          <w:sz w:val="24"/>
          <w:szCs w:val="24"/>
        </w:rPr>
        <w:t>技术指导和培训服务</w:t>
      </w:r>
    </w:p>
    <w:p>
      <w:pPr>
        <w:numPr>
          <w:ilvl w:val="0"/>
          <w:numId w:val="28"/>
        </w:numPr>
        <w:spacing w:line="360" w:lineRule="auto"/>
        <w:ind w:firstLine="480"/>
        <w:rPr>
          <w:sz w:val="24"/>
          <w:szCs w:val="24"/>
        </w:rPr>
      </w:pPr>
      <w:r>
        <w:rPr>
          <w:rFonts w:hint="eastAsia"/>
          <w:sz w:val="24"/>
          <w:szCs w:val="24"/>
        </w:rPr>
        <w:t>投标方</w:t>
      </w:r>
      <w:r>
        <w:rPr>
          <w:sz w:val="24"/>
          <w:szCs w:val="24"/>
        </w:rPr>
        <w:t>应按要求，免费积极协助和提供</w:t>
      </w:r>
      <w:r>
        <w:rPr>
          <w:rFonts w:hint="eastAsia"/>
          <w:sz w:val="24"/>
          <w:szCs w:val="24"/>
        </w:rPr>
        <w:t>招标方</w:t>
      </w:r>
      <w:r>
        <w:rPr>
          <w:sz w:val="24"/>
          <w:szCs w:val="24"/>
        </w:rPr>
        <w:t>和</w:t>
      </w:r>
      <w:r>
        <w:rPr>
          <w:rFonts w:hint="eastAsia"/>
          <w:sz w:val="24"/>
          <w:szCs w:val="24"/>
        </w:rPr>
        <w:t>招标方</w:t>
      </w:r>
      <w:r>
        <w:rPr>
          <w:sz w:val="24"/>
          <w:szCs w:val="24"/>
        </w:rPr>
        <w:t>所委托的工程设计单位有关人员所需要的、和设备（或材料）有关的工程设计资料、技术咨询等；</w:t>
      </w:r>
    </w:p>
    <w:p>
      <w:pPr>
        <w:numPr>
          <w:ilvl w:val="0"/>
          <w:numId w:val="28"/>
        </w:numPr>
        <w:spacing w:line="360" w:lineRule="auto"/>
        <w:ind w:firstLine="480"/>
        <w:rPr>
          <w:sz w:val="24"/>
          <w:szCs w:val="24"/>
        </w:rPr>
      </w:pPr>
      <w:r>
        <w:rPr>
          <w:sz w:val="24"/>
          <w:szCs w:val="24"/>
        </w:rPr>
        <w:t>若</w:t>
      </w:r>
      <w:r>
        <w:rPr>
          <w:rFonts w:hint="eastAsia"/>
          <w:sz w:val="24"/>
          <w:szCs w:val="24"/>
        </w:rPr>
        <w:t>投标方</w:t>
      </w:r>
      <w:r>
        <w:rPr>
          <w:sz w:val="24"/>
          <w:szCs w:val="24"/>
        </w:rPr>
        <w:t>提供设备（或材料）的技术质量等，与</w:t>
      </w:r>
      <w:r>
        <w:rPr>
          <w:rFonts w:hint="eastAsia"/>
          <w:sz w:val="24"/>
          <w:szCs w:val="24"/>
        </w:rPr>
        <w:t>投标方</w:t>
      </w:r>
      <w:r>
        <w:rPr>
          <w:sz w:val="24"/>
          <w:szCs w:val="24"/>
        </w:rPr>
        <w:t>外购的设备（或材料）技术质量等有较大或直接关联时，</w:t>
      </w:r>
      <w:r>
        <w:rPr>
          <w:rFonts w:hint="eastAsia"/>
          <w:sz w:val="24"/>
          <w:szCs w:val="24"/>
        </w:rPr>
        <w:t>投标方</w:t>
      </w:r>
      <w:r>
        <w:rPr>
          <w:sz w:val="24"/>
          <w:szCs w:val="24"/>
        </w:rPr>
        <w:t>应能得到其外购设备（或材料）制造厂商（或供应商）的技术支持，并免费为</w:t>
      </w:r>
      <w:r>
        <w:rPr>
          <w:rFonts w:hint="eastAsia"/>
          <w:sz w:val="24"/>
          <w:szCs w:val="24"/>
        </w:rPr>
        <w:t>招标方</w:t>
      </w:r>
      <w:r>
        <w:rPr>
          <w:sz w:val="24"/>
          <w:szCs w:val="24"/>
        </w:rPr>
        <w:t>提供技术服务（包括设计文件的审查和审定）；</w:t>
      </w:r>
    </w:p>
    <w:p>
      <w:pPr>
        <w:numPr>
          <w:ilvl w:val="0"/>
          <w:numId w:val="28"/>
        </w:numPr>
        <w:spacing w:line="360" w:lineRule="auto"/>
        <w:ind w:firstLine="480"/>
        <w:rPr>
          <w:sz w:val="24"/>
          <w:szCs w:val="24"/>
        </w:rPr>
      </w:pPr>
      <w:r>
        <w:rPr>
          <w:rFonts w:hint="eastAsia"/>
          <w:sz w:val="24"/>
          <w:szCs w:val="24"/>
        </w:rPr>
        <w:t>投标方</w:t>
      </w:r>
      <w:r>
        <w:rPr>
          <w:sz w:val="24"/>
          <w:szCs w:val="24"/>
        </w:rPr>
        <w:t>负责制定对</w:t>
      </w:r>
      <w:r>
        <w:rPr>
          <w:rFonts w:hint="eastAsia"/>
          <w:sz w:val="24"/>
          <w:szCs w:val="24"/>
        </w:rPr>
        <w:t>招标方</w:t>
      </w:r>
      <w:r>
        <w:rPr>
          <w:sz w:val="24"/>
          <w:szCs w:val="24"/>
        </w:rPr>
        <w:t>人员在运行、维修和试验等方面的培训计划，并有专人负责实施培训计划，负责指导</w:t>
      </w:r>
      <w:r>
        <w:rPr>
          <w:rFonts w:hint="eastAsia"/>
          <w:sz w:val="24"/>
          <w:szCs w:val="24"/>
        </w:rPr>
        <w:t>招标方</w:t>
      </w:r>
      <w:r>
        <w:rPr>
          <w:sz w:val="24"/>
          <w:szCs w:val="24"/>
        </w:rPr>
        <w:t>受培训人员正确理解设计和制造意图，认识设备的特点和特性，掌握在运行、维修和使用管理中应遵守的规则等方面的综合知识。</w:t>
      </w:r>
    </w:p>
    <w:p>
      <w:pPr>
        <w:spacing w:line="360" w:lineRule="auto"/>
        <w:ind w:firstLine="480" w:firstLineChars="200"/>
        <w:outlineLvl w:val="3"/>
        <w:rPr>
          <w:b/>
          <w:sz w:val="24"/>
          <w:szCs w:val="24"/>
        </w:rPr>
      </w:pPr>
      <w:r>
        <w:rPr>
          <w:b/>
          <w:sz w:val="24"/>
          <w:szCs w:val="24"/>
        </w:rPr>
        <w:t>2</w:t>
      </w:r>
      <w:r>
        <w:rPr>
          <w:rFonts w:hint="eastAsia"/>
          <w:b/>
          <w:sz w:val="24"/>
          <w:szCs w:val="24"/>
        </w:rPr>
        <w:t>.</w:t>
      </w:r>
      <w:r>
        <w:rPr>
          <w:b/>
          <w:sz w:val="24"/>
          <w:szCs w:val="24"/>
        </w:rPr>
        <w:t>现场服务</w:t>
      </w:r>
    </w:p>
    <w:p>
      <w:pPr>
        <w:numPr>
          <w:ilvl w:val="0"/>
          <w:numId w:val="29"/>
        </w:numPr>
        <w:spacing w:line="360" w:lineRule="auto"/>
        <w:ind w:firstLine="480"/>
        <w:rPr>
          <w:sz w:val="24"/>
          <w:szCs w:val="24"/>
        </w:rPr>
      </w:pPr>
      <w:r>
        <w:rPr>
          <w:sz w:val="24"/>
          <w:szCs w:val="24"/>
        </w:rPr>
        <w:t>现场施工全过程应按</w:t>
      </w:r>
      <w:r>
        <w:rPr>
          <w:rFonts w:hint="eastAsia"/>
          <w:sz w:val="24"/>
          <w:szCs w:val="24"/>
        </w:rPr>
        <w:t>招标方</w:t>
      </w:r>
      <w:r>
        <w:rPr>
          <w:sz w:val="24"/>
          <w:szCs w:val="24"/>
        </w:rPr>
        <w:t>已经批准的工程进度计划进行安装。调试、试生产期间有关技术人员应长期进行服务。</w:t>
      </w:r>
    </w:p>
    <w:p>
      <w:pPr>
        <w:numPr>
          <w:ilvl w:val="0"/>
          <w:numId w:val="29"/>
        </w:numPr>
        <w:spacing w:line="360" w:lineRule="auto"/>
        <w:ind w:firstLine="480"/>
        <w:rPr>
          <w:sz w:val="24"/>
          <w:szCs w:val="24"/>
        </w:rPr>
      </w:pPr>
      <w:r>
        <w:rPr>
          <w:sz w:val="24"/>
          <w:szCs w:val="24"/>
        </w:rPr>
        <w:t>设备在制造过程中，接受</w:t>
      </w:r>
      <w:r>
        <w:rPr>
          <w:rFonts w:hint="eastAsia"/>
          <w:sz w:val="24"/>
          <w:szCs w:val="24"/>
        </w:rPr>
        <w:t>招标方</w:t>
      </w:r>
      <w:r>
        <w:rPr>
          <w:sz w:val="24"/>
          <w:szCs w:val="24"/>
        </w:rPr>
        <w:t>到制造厂内进行检查，并提供方便。</w:t>
      </w:r>
    </w:p>
    <w:p>
      <w:pPr>
        <w:numPr>
          <w:ilvl w:val="0"/>
          <w:numId w:val="29"/>
        </w:numPr>
        <w:spacing w:line="360" w:lineRule="auto"/>
        <w:ind w:firstLine="480"/>
        <w:rPr>
          <w:rFonts w:asciiTheme="minorEastAsia" w:hAnsiTheme="minorEastAsia" w:eastAsiaTheme="minorEastAsia" w:cstheme="minorEastAsia"/>
          <w:sz w:val="24"/>
          <w:szCs w:val="24"/>
        </w:rPr>
      </w:pPr>
      <w:r>
        <w:rPr>
          <w:sz w:val="24"/>
          <w:szCs w:val="24"/>
        </w:rPr>
        <w:t>设备在运行过程中出现故障，根据</w:t>
      </w:r>
      <w:r>
        <w:rPr>
          <w:rFonts w:hint="eastAsia"/>
          <w:sz w:val="24"/>
          <w:szCs w:val="24"/>
        </w:rPr>
        <w:t>招标方</w:t>
      </w:r>
      <w:r>
        <w:rPr>
          <w:sz w:val="24"/>
          <w:szCs w:val="24"/>
        </w:rPr>
        <w:t>要求</w:t>
      </w:r>
      <w:r>
        <w:rPr>
          <w:rFonts w:hint="eastAsia"/>
          <w:sz w:val="24"/>
          <w:szCs w:val="24"/>
        </w:rPr>
        <w:t>投标方</w:t>
      </w:r>
      <w:r>
        <w:rPr>
          <w:sz w:val="24"/>
          <w:szCs w:val="24"/>
        </w:rPr>
        <w:t>的技术及相关人员应常驻</w:t>
      </w:r>
      <w:r>
        <w:rPr>
          <w:rFonts w:hint="eastAsia" w:asciiTheme="minorEastAsia" w:hAnsiTheme="minorEastAsia" w:eastAsiaTheme="minorEastAsia" w:cstheme="minorEastAsia"/>
          <w:sz w:val="24"/>
          <w:szCs w:val="24"/>
        </w:rPr>
        <w:t>现场服务。</w:t>
      </w:r>
    </w:p>
    <w:p>
      <w:pPr>
        <w:numPr>
          <w:ilvl w:val="0"/>
          <w:numId w:val="29"/>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投标方须满足招标方的相关技术咨询。</w:t>
      </w:r>
    </w:p>
    <w:p>
      <w:pPr>
        <w:numPr>
          <w:ilvl w:val="0"/>
          <w:numId w:val="29"/>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在这些现场服务中，投标方所作的任何修改都要以文件的形式更新并提交给招标方。</w:t>
      </w:r>
    </w:p>
    <w:p>
      <w:pPr>
        <w:numPr>
          <w:ilvl w:val="0"/>
          <w:numId w:val="29"/>
        </w:numPr>
        <w:spacing w:line="360" w:lineRule="auto"/>
        <w:ind w:firstLine="480"/>
        <w:rPr>
          <w:rFonts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sz w:val="24"/>
          <w:szCs w:val="24"/>
        </w:rPr>
        <w:t>投标方应为招标方相关设备技术人员提供系统的现场培训。现场培训时间不少于</w:t>
      </w:r>
      <w:r>
        <w:rPr>
          <w:rFonts w:hint="eastAsia" w:asciiTheme="minorEastAsia" w:hAnsiTheme="minorEastAsia" w:eastAsiaTheme="minorEastAsia" w:cstheme="minorEastAsia"/>
          <w:sz w:val="24"/>
          <w:szCs w:val="24"/>
          <w:lang w:val="en-US" w:eastAsia="zh-CN"/>
        </w:rPr>
        <w:t>半天</w:t>
      </w:r>
      <w:r>
        <w:rPr>
          <w:rFonts w:hint="eastAsia" w:asciiTheme="minorEastAsia" w:hAnsiTheme="minorEastAsia" w:eastAsiaTheme="minorEastAsia" w:cstheme="minorEastAsia"/>
          <w:sz w:val="24"/>
          <w:szCs w:val="24"/>
        </w:rPr>
        <w:t>。投标方应根据项目需求在量产阶段提供不低于</w:t>
      </w:r>
      <w:r>
        <w:rPr>
          <w:rFonts w:hint="eastAsia" w:asciiTheme="minorEastAsia" w:hAnsiTheme="minorEastAsia" w:eastAsiaTheme="minorEastAsia" w:cstheme="minorEastAsia"/>
          <w:sz w:val="24"/>
          <w:szCs w:val="24"/>
          <w:lang w:val="en-US" w:eastAsia="zh-CN"/>
        </w:rPr>
        <w:t>一周</w:t>
      </w:r>
      <w:r>
        <w:rPr>
          <w:rFonts w:hint="eastAsia" w:asciiTheme="minorEastAsia" w:hAnsiTheme="minorEastAsia" w:eastAsiaTheme="minorEastAsia" w:cstheme="minorEastAsia"/>
          <w:sz w:val="24"/>
          <w:szCs w:val="24"/>
        </w:rPr>
        <w:t>时间的陪产。</w:t>
      </w:r>
    </w:p>
    <w:p>
      <w:pPr>
        <w:spacing w:line="360" w:lineRule="auto"/>
        <w:ind w:firstLine="480" w:firstLineChars="200"/>
        <w:outlineLvl w:val="3"/>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3.运输服务</w:t>
      </w:r>
    </w:p>
    <w:p>
      <w:pPr>
        <w:tabs>
          <w:tab w:val="left" w:pos="472"/>
        </w:tabs>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lang w:bidi="ar"/>
        </w:rPr>
        <w:tab/>
      </w:r>
      <w:r>
        <w:rPr>
          <w:rFonts w:hint="eastAsia" w:asciiTheme="minorEastAsia" w:hAnsiTheme="minorEastAsia" w:eastAsiaTheme="minorEastAsia" w:cstheme="minorEastAsia"/>
          <w:color w:val="000000"/>
          <w:kern w:val="0"/>
          <w:sz w:val="24"/>
          <w:szCs w:val="24"/>
          <w:lang w:bidi="ar"/>
        </w:rPr>
        <w:t xml:space="preserve"> 投标方负责将设备按要求运至招标方需求地点</w:t>
      </w:r>
      <w:r>
        <w:rPr>
          <w:rFonts w:hint="eastAsia" w:asciiTheme="minorEastAsia" w:hAnsiTheme="minorEastAsia" w:eastAsiaTheme="minorEastAsia" w:cstheme="minorEastAsia"/>
          <w:sz w:val="24"/>
          <w:szCs w:val="24"/>
        </w:rPr>
        <w:t>。</w:t>
      </w:r>
    </w:p>
    <w:p>
      <w:pPr>
        <w:numPr>
          <w:ilvl w:val="0"/>
          <w:numId w:val="30"/>
        </w:numPr>
        <w:spacing w:line="360" w:lineRule="auto"/>
        <w:ind w:firstLine="480" w:firstLineChars="200"/>
        <w:outlineLvl w:val="3"/>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安装调试服务</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投标方负责设备、设施现场安装、调试的全部工作，包括旧设备的拆除。</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的施工时间要配合招标方的生产时间，不能影响车间的正常生产。招标方可以为投标方提供一定的场地用于存放安装前的零部件，但不承诺满足全部货物的存放需求。车间生产时间内，不得占用改造工位范围之外的空间。非生产时间，可以占用南北两侧通道。</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现场作业的全部人员，需全部经过安全培训，并持有相应的特种作业证书，方可上岗。</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当日施工结束后，需对施工现场进行清理，符合现场5S检查的要求。</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根据设备的要求，调试可分空载和负载两个阶段进行；招标方将予以积极配合，协助投标方达到设备的各项技术要求和性能。</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装调试与验收期间，若投标方提供设备的技术质量等性能，与投标方外购的设备有较大或直接关联时，投标方应能得到其外购设备制造厂商（或供应商）的技术支持，并免费为招标方提供安装使用现场的指导与协调。</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投标方免费负责设备的安装、调试，并接受用户的技术咨询。</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投标方在招标方现场进行的货物的安装、调试和试运行，招标方有权参与，投标方应无条件向招标方提供现场记录和试运行数据及报告。</w:t>
      </w:r>
    </w:p>
    <w:p>
      <w:pPr>
        <w:numPr>
          <w:ilvl w:val="0"/>
          <w:numId w:val="31"/>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投标方应当向招标方提供货物试验、验收的有关标准、规范和方法，同时提供货物涉及并使用的软件合法性证明。</w:t>
      </w:r>
    </w:p>
    <w:bookmarkEnd w:id="42"/>
    <w:p>
      <w:pPr>
        <w:pStyle w:val="3"/>
        <w:jc w:val="center"/>
        <w:rPr>
          <w:sz w:val="24"/>
          <w:szCs w:val="24"/>
          <w:highlight w:val="none"/>
        </w:rPr>
      </w:pPr>
      <w:bookmarkStart w:id="60" w:name="_Toc178067750"/>
      <w:r>
        <w:rPr>
          <w:rFonts w:hint="eastAsia"/>
          <w:highlight w:val="none"/>
        </w:rPr>
        <w:t>九、质保期及售后服务</w:t>
      </w:r>
      <w:bookmarkEnd w:id="60"/>
      <w:bookmarkStart w:id="61" w:name="_Hlk171324270"/>
    </w:p>
    <w:p>
      <w:pPr>
        <w:spacing w:line="360" w:lineRule="auto"/>
        <w:outlineLvl w:val="3"/>
        <w:rPr>
          <w:b/>
          <w:bCs/>
          <w:sz w:val="24"/>
          <w:szCs w:val="24"/>
        </w:rPr>
      </w:pPr>
      <w:r>
        <w:rPr>
          <w:rFonts w:hint="eastAsia"/>
          <w:b/>
          <w:bCs/>
          <w:sz w:val="24"/>
          <w:szCs w:val="24"/>
        </w:rPr>
        <w:t>1.</w:t>
      </w:r>
      <w:r>
        <w:rPr>
          <w:b/>
          <w:bCs/>
          <w:sz w:val="24"/>
          <w:szCs w:val="24"/>
        </w:rPr>
        <w:t>质保期及质保要求</w:t>
      </w:r>
    </w:p>
    <w:p>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（1）全部供货范围内的设备、材料、零配件和工器具等，除合同特别约定外，其质保期均自终验收签字生效之日起</w:t>
      </w:r>
      <w:r>
        <w:rPr>
          <w:rFonts w:hint="eastAsia" w:asciiTheme="minorEastAsia" w:hAnsiTheme="minorEastAsia" w:eastAsiaTheme="minorEastAsia" w:cstheme="minorEastAsia"/>
          <w:sz w:val="24"/>
          <w:szCs w:val="24"/>
          <w:u w:val="single"/>
        </w:rPr>
        <w:t>12</w:t>
      </w:r>
      <w:r>
        <w:rPr>
          <w:rFonts w:hint="eastAsia" w:asciiTheme="minorEastAsia" w:hAnsiTheme="minorEastAsia" w:eastAsiaTheme="minorEastAsia" w:cstheme="minorEastAsia"/>
          <w:sz w:val="24"/>
          <w:szCs w:val="24"/>
        </w:rPr>
        <w:t>个月。</w:t>
      </w:r>
    </w:p>
    <w:p>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交付货物或涉及的关键总成和零件，如果有更长时间质保期，允许更改并说明，此将有利于投标方。</w:t>
      </w:r>
    </w:p>
    <w:p>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设计使用寿命短于质保期的易损件除外，但属于易损件的，应当有明确说明。</w:t>
      </w:r>
    </w:p>
    <w:p>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（3）质保期内免费提供零部件和及时有效的服务。质保期内因货物本身缺陷造成的各种故障，投标方应负责免费维修和服务。给招标方造成的直接经济损失由投标方承担。</w:t>
      </w:r>
    </w:p>
    <w:p>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（4）质保期终止之日起</w:t>
      </w:r>
      <w:r>
        <w:rPr>
          <w:rFonts w:hint="eastAsia" w:asciiTheme="minorEastAsia" w:hAnsiTheme="minorEastAsia" w:eastAsiaTheme="minorEastAsia" w:cstheme="minorEastAsia"/>
          <w:sz w:val="24"/>
          <w:szCs w:val="24"/>
          <w:u w:val="single"/>
        </w:rPr>
        <w:t>一年内</w:t>
      </w:r>
      <w:r>
        <w:rPr>
          <w:rFonts w:hint="eastAsia" w:asciiTheme="minorEastAsia" w:hAnsiTheme="minorEastAsia" w:eastAsiaTheme="minorEastAsia" w:cstheme="minorEastAsia"/>
          <w:sz w:val="24"/>
          <w:szCs w:val="24"/>
        </w:rPr>
        <w:t>重复出现的质保期之内出现的故障，仍属质保范围而且应当免费。</w:t>
      </w:r>
    </w:p>
    <w:p>
      <w:pPr>
        <w:spacing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2.售后服务</w:t>
      </w:r>
    </w:p>
    <w:p>
      <w:pPr>
        <w:numPr>
          <w:ilvl w:val="0"/>
          <w:numId w:val="32"/>
        </w:numPr>
        <w:spacing w:line="360" w:lineRule="auto"/>
        <w:ind w:firstLine="480"/>
        <w:rPr>
          <w:rFonts w:asciiTheme="minorEastAsia" w:hAnsiTheme="minorEastAsia" w:eastAsiaTheme="minorEastAsia" w:cstheme="minorEastAsia"/>
          <w:sz w:val="24"/>
          <w:szCs w:val="24"/>
        </w:rPr>
      </w:pPr>
      <w:bookmarkStart w:id="62" w:name="_Hlk171355562"/>
      <w:r>
        <w:rPr>
          <w:rFonts w:hint="eastAsia" w:asciiTheme="minorEastAsia" w:hAnsiTheme="minorEastAsia" w:eastAsiaTheme="minorEastAsia" w:cstheme="minorEastAsia"/>
          <w:sz w:val="24"/>
          <w:szCs w:val="24"/>
        </w:rPr>
        <w:t>在质保期之内，如发现投标方所提供的设备（或材料）存在问题，投标方须在接到通知后12小时内派有关人员到达现场，解决问题；</w:t>
      </w:r>
    </w:p>
    <w:p>
      <w:pPr>
        <w:numPr>
          <w:ilvl w:val="0"/>
          <w:numId w:val="32"/>
        </w:numPr>
        <w:spacing w:line="360" w:lineRule="auto"/>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在质保期之后，如发现投标方所提供的设备（或材料）存在问题，需要投标方配合解决时，投标方须在接到通知后24小时内派有关人员到达现场，协助招标方解决问题；</w:t>
      </w:r>
    </w:p>
    <w:p>
      <w:pPr>
        <w:numPr>
          <w:ilvl w:val="0"/>
          <w:numId w:val="32"/>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所有的售后服务均由投标方受理。如果发生问题并且收到报告，应当在2小时内予以答复；</w:t>
      </w:r>
    </w:p>
    <w:p>
      <w:pPr>
        <w:numPr>
          <w:ilvl w:val="0"/>
          <w:numId w:val="32"/>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招标方将设备接入信息化，实现智能制造，投标方需要无条件的提供帮助与服务，包括但不限于提供设备最新程序，以及为实现某种自动化功能而需对设备程序进行的调整等。</w:t>
      </w:r>
      <w:bookmarkEnd w:id="62"/>
    </w:p>
    <w:bookmarkEnd w:id="61"/>
    <w:p>
      <w:pPr>
        <w:pStyle w:val="3"/>
        <w:jc w:val="center"/>
        <w:rPr>
          <w:highlight w:val="none"/>
        </w:rPr>
      </w:pPr>
      <w:bookmarkStart w:id="63" w:name="_Toc178067751"/>
      <w:bookmarkStart w:id="64" w:name="_Toc465187646"/>
      <w:r>
        <w:rPr>
          <w:rFonts w:hint="eastAsia"/>
          <w:highlight w:val="none"/>
        </w:rPr>
        <w:t>十、</w:t>
      </w:r>
      <w:r>
        <w:rPr>
          <w:highlight w:val="none"/>
        </w:rPr>
        <w:t>验收</w:t>
      </w:r>
      <w:bookmarkEnd w:id="63"/>
      <w:bookmarkEnd w:id="64"/>
    </w:p>
    <w:p>
      <w:pPr>
        <w:spacing w:line="360" w:lineRule="auto"/>
        <w:outlineLvl w:val="3"/>
        <w:rPr>
          <w:b/>
          <w:bCs/>
          <w:sz w:val="24"/>
          <w:szCs w:val="24"/>
        </w:rPr>
      </w:pPr>
      <w:r>
        <w:rPr>
          <w:rFonts w:hint="eastAsia"/>
          <w:b/>
          <w:bCs/>
          <w:sz w:val="24"/>
          <w:szCs w:val="24"/>
        </w:rPr>
        <w:t>1.</w:t>
      </w:r>
      <w:r>
        <w:rPr>
          <w:b/>
          <w:bCs/>
          <w:sz w:val="24"/>
          <w:szCs w:val="24"/>
        </w:rPr>
        <w:t>验收依据和验收标准</w:t>
      </w:r>
    </w:p>
    <w:p>
      <w:pPr>
        <w:spacing w:line="360" w:lineRule="auto"/>
        <w:outlineLvl w:val="3"/>
        <w:rPr>
          <w:b/>
          <w:bCs/>
          <w:sz w:val="24"/>
          <w:szCs w:val="24"/>
        </w:rPr>
      </w:pPr>
      <w:r>
        <w:rPr>
          <w:rFonts w:hint="eastAsia"/>
          <w:b/>
          <w:bCs/>
          <w:sz w:val="24"/>
          <w:szCs w:val="24"/>
        </w:rPr>
        <w:t xml:space="preserve">  </w:t>
      </w:r>
      <w:r>
        <w:rPr>
          <w:rFonts w:hint="eastAsia"/>
          <w:sz w:val="24"/>
          <w:szCs w:val="24"/>
        </w:rPr>
        <w:t xml:space="preserve">  （1）国家及地方政府或行业有关的法律、法规、标准。</w:t>
      </w:r>
    </w:p>
    <w:p>
      <w:pPr>
        <w:spacing w:line="360" w:lineRule="auto"/>
        <w:ind w:firstLine="480" w:firstLineChars="200"/>
        <w:rPr>
          <w:color w:val="000000"/>
          <w:sz w:val="24"/>
          <w:szCs w:val="24"/>
        </w:rPr>
      </w:pPr>
      <w:r>
        <w:rPr>
          <w:rFonts w:hint="eastAsia"/>
          <w:color w:val="000000"/>
          <w:sz w:val="24"/>
          <w:szCs w:val="24"/>
        </w:rPr>
        <w:t>（2）</w:t>
      </w:r>
      <w:r>
        <w:rPr>
          <w:color w:val="000000"/>
          <w:sz w:val="24"/>
          <w:szCs w:val="24"/>
        </w:rPr>
        <w:t>验收标准以技术标书和合同规定验收。无论技术标书和合同，是否全部并准确列明验收所涉及的相关标准，均作为验收标准之一。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如果验收过程中，发现招标文件、投标文件、答疑文件、技术</w:t>
      </w:r>
      <w:r>
        <w:rPr>
          <w:rFonts w:hint="eastAsia"/>
          <w:color w:val="000000"/>
          <w:sz w:val="24"/>
          <w:szCs w:val="24"/>
        </w:rPr>
        <w:t>协议等存在差异时，效力顺序为：法律法规标准优先，其次是技术协议及会签文件，最后是招、投标文件和答疑文件</w:t>
      </w:r>
      <w:r>
        <w:rPr>
          <w:color w:val="000000"/>
          <w:sz w:val="24"/>
          <w:szCs w:val="24"/>
        </w:rPr>
        <w:t>。</w:t>
      </w:r>
    </w:p>
    <w:p>
      <w:pPr>
        <w:spacing w:line="360" w:lineRule="auto"/>
        <w:outlineLvl w:val="3"/>
        <w:rPr>
          <w:b/>
          <w:bCs/>
          <w:sz w:val="24"/>
          <w:szCs w:val="24"/>
        </w:rPr>
      </w:pPr>
      <w:r>
        <w:rPr>
          <w:rFonts w:hint="eastAsia"/>
          <w:b/>
          <w:bCs/>
          <w:sz w:val="24"/>
          <w:szCs w:val="24"/>
        </w:rPr>
        <w:t>2.</w:t>
      </w:r>
      <w:r>
        <w:rPr>
          <w:b/>
          <w:bCs/>
          <w:sz w:val="24"/>
          <w:szCs w:val="24"/>
        </w:rPr>
        <w:t>检验</w:t>
      </w:r>
    </w:p>
    <w:p>
      <w:pPr>
        <w:adjustRightInd w:val="0"/>
        <w:snapToGrid w:val="0"/>
        <w:spacing w:line="360" w:lineRule="auto"/>
        <w:ind w:firstLine="480" w:firstLineChars="200"/>
        <w:rPr>
          <w:color w:val="000000"/>
          <w:sz w:val="24"/>
          <w:szCs w:val="24"/>
        </w:rPr>
      </w:pPr>
      <w:r>
        <w:rPr>
          <w:color w:val="000000"/>
          <w:sz w:val="24"/>
          <w:szCs w:val="24"/>
        </w:rPr>
        <w:t>如果采购货物涉及必要的或必需的检验，</w:t>
      </w:r>
      <w:r>
        <w:rPr>
          <w:rFonts w:hint="eastAsia"/>
          <w:color w:val="000000"/>
          <w:sz w:val="24"/>
          <w:szCs w:val="24"/>
        </w:rPr>
        <w:t>投标方负责</w:t>
      </w:r>
      <w:r>
        <w:rPr>
          <w:color w:val="000000"/>
          <w:sz w:val="24"/>
          <w:szCs w:val="24"/>
        </w:rPr>
        <w:t>检验费用</w:t>
      </w:r>
      <w:r>
        <w:rPr>
          <w:rFonts w:hint="eastAsia"/>
          <w:color w:val="000000"/>
          <w:sz w:val="24"/>
          <w:szCs w:val="24"/>
        </w:rPr>
        <w:t>，</w:t>
      </w:r>
      <w:r>
        <w:rPr>
          <w:color w:val="000000"/>
          <w:sz w:val="24"/>
          <w:szCs w:val="24"/>
        </w:rPr>
        <w:t>基本约定如下：</w:t>
      </w:r>
    </w:p>
    <w:p>
      <w:pPr>
        <w:adjustRightInd w:val="0"/>
        <w:snapToGrid w:val="0"/>
        <w:spacing w:line="360" w:lineRule="auto"/>
        <w:ind w:firstLine="480" w:firstLineChars="200"/>
        <w:rPr>
          <w:color w:val="000000"/>
          <w:sz w:val="24"/>
          <w:szCs w:val="24"/>
        </w:rPr>
      </w:pPr>
      <w:r>
        <w:rPr>
          <w:color w:val="000000"/>
          <w:sz w:val="24"/>
          <w:szCs w:val="24"/>
        </w:rPr>
        <w:t>1.国产货物的检验一般由买卖双方共同进行或按照合同要求进行。</w:t>
      </w:r>
    </w:p>
    <w:p>
      <w:pPr>
        <w:adjustRightInd w:val="0"/>
        <w:snapToGrid w:val="0"/>
        <w:spacing w:line="360" w:lineRule="auto"/>
        <w:ind w:firstLine="480" w:firstLineChars="200"/>
        <w:rPr>
          <w:color w:val="000000"/>
          <w:sz w:val="24"/>
          <w:szCs w:val="24"/>
        </w:rPr>
      </w:pPr>
      <w:r>
        <w:rPr>
          <w:color w:val="000000"/>
          <w:sz w:val="24"/>
          <w:szCs w:val="24"/>
        </w:rPr>
        <w:t>2.进口货物的检验，</w:t>
      </w:r>
      <w:r>
        <w:rPr>
          <w:rFonts w:hint="eastAsia"/>
          <w:color w:val="000000"/>
          <w:sz w:val="24"/>
          <w:szCs w:val="24"/>
        </w:rPr>
        <w:t>投标方</w:t>
      </w:r>
      <w:r>
        <w:rPr>
          <w:color w:val="000000"/>
          <w:sz w:val="24"/>
          <w:szCs w:val="24"/>
        </w:rPr>
        <w:t>需要按照下述要求进行：</w:t>
      </w:r>
    </w:p>
    <w:p>
      <w:pPr>
        <w:adjustRightInd w:val="0"/>
        <w:snapToGrid w:val="0"/>
        <w:spacing w:line="360" w:lineRule="auto"/>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color w:val="000000"/>
          <w:sz w:val="24"/>
          <w:szCs w:val="24"/>
        </w:rPr>
      </w:pPr>
      <w:r>
        <w:rPr>
          <w:color w:val="000000"/>
          <w:sz w:val="24"/>
          <w:szCs w:val="24"/>
        </w:rPr>
        <w:t>2.2 应依据合同规定的要求，提供买卖双方达成一致的货物的验收标准和装箱单，作为</w:t>
      </w:r>
      <w:r>
        <w:rPr>
          <w:rFonts w:hint="eastAsia"/>
          <w:color w:val="000000"/>
          <w:sz w:val="24"/>
          <w:szCs w:val="24"/>
        </w:rPr>
        <w:t>招标方</w:t>
      </w:r>
      <w:r>
        <w:rPr>
          <w:color w:val="000000"/>
          <w:sz w:val="24"/>
          <w:szCs w:val="24"/>
        </w:rPr>
        <w:t>检验的依据。</w:t>
      </w:r>
    </w:p>
    <w:p>
      <w:pPr>
        <w:adjustRightInd w:val="0"/>
        <w:snapToGrid w:val="0"/>
        <w:spacing w:line="360" w:lineRule="auto"/>
        <w:ind w:firstLine="480" w:firstLineChars="200"/>
        <w:rPr>
          <w:color w:val="000000"/>
          <w:sz w:val="24"/>
          <w:szCs w:val="24"/>
        </w:rPr>
      </w:pPr>
      <w:r>
        <w:rPr>
          <w:color w:val="000000"/>
          <w:sz w:val="24"/>
          <w:szCs w:val="24"/>
        </w:rPr>
        <w:t>2.3 进口货物到达目的地后，</w:t>
      </w:r>
      <w:r>
        <w:rPr>
          <w:rFonts w:hint="eastAsia"/>
          <w:color w:val="000000"/>
          <w:sz w:val="24"/>
          <w:szCs w:val="24"/>
        </w:rPr>
        <w:t>招标方</w:t>
      </w:r>
      <w:r>
        <w:rPr>
          <w:color w:val="000000"/>
          <w:sz w:val="24"/>
          <w:szCs w:val="24"/>
        </w:rPr>
        <w:t>有权申请中国商品检验检疫局进行检验，如发现货物的品质及规格与合同或发票不符，除</w:t>
      </w:r>
      <w:r>
        <w:rPr>
          <w:rFonts w:hint="eastAsia"/>
          <w:color w:val="000000"/>
          <w:sz w:val="24"/>
          <w:szCs w:val="24"/>
        </w:rPr>
        <w:t>招标方</w:t>
      </w:r>
      <w:r>
        <w:rPr>
          <w:color w:val="000000"/>
          <w:sz w:val="24"/>
          <w:szCs w:val="24"/>
        </w:rPr>
        <w:t>的责任外，</w:t>
      </w:r>
      <w:r>
        <w:rPr>
          <w:rFonts w:hint="eastAsia"/>
          <w:color w:val="000000"/>
          <w:sz w:val="24"/>
          <w:szCs w:val="24"/>
        </w:rPr>
        <w:t>招标方</w:t>
      </w:r>
      <w:r>
        <w:rPr>
          <w:color w:val="000000"/>
          <w:sz w:val="24"/>
          <w:szCs w:val="24"/>
        </w:rPr>
        <w:t>有权在货物到达卸货目的地后180个日历日内，根据中国商品检验检疫局出具的证明书向</w:t>
      </w:r>
      <w:r>
        <w:rPr>
          <w:rFonts w:hint="eastAsia"/>
          <w:color w:val="000000"/>
          <w:sz w:val="24"/>
          <w:szCs w:val="24"/>
        </w:rPr>
        <w:t>投标方</w:t>
      </w:r>
      <w:r>
        <w:rPr>
          <w:color w:val="000000"/>
          <w:sz w:val="24"/>
          <w:szCs w:val="24"/>
        </w:rPr>
        <w:t>提出索赔，因索赔所发生的一切费用(包括检验检疫费等)均由</w:t>
      </w:r>
      <w:r>
        <w:rPr>
          <w:rFonts w:hint="eastAsia"/>
          <w:color w:val="000000"/>
          <w:sz w:val="24"/>
          <w:szCs w:val="24"/>
        </w:rPr>
        <w:t>投标方</w:t>
      </w:r>
      <w:r>
        <w:rPr>
          <w:color w:val="000000"/>
          <w:sz w:val="24"/>
          <w:szCs w:val="24"/>
        </w:rPr>
        <w:t>承担。</w:t>
      </w:r>
    </w:p>
    <w:p>
      <w:pPr>
        <w:spacing w:line="360" w:lineRule="auto"/>
        <w:outlineLvl w:val="3"/>
        <w:rPr>
          <w:b/>
          <w:bCs/>
          <w:sz w:val="24"/>
          <w:szCs w:val="24"/>
        </w:rPr>
      </w:pPr>
      <w:r>
        <w:rPr>
          <w:rFonts w:hint="eastAsia"/>
          <w:b/>
          <w:bCs/>
          <w:sz w:val="24"/>
          <w:szCs w:val="24"/>
        </w:rPr>
        <w:t>3.</w:t>
      </w:r>
      <w:r>
        <w:rPr>
          <w:b/>
          <w:bCs/>
          <w:sz w:val="24"/>
          <w:szCs w:val="24"/>
        </w:rPr>
        <w:t>验收</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3.1验收分预验收和终验收两部分。预验收在投标方进行，终验收在安装调试完成后进行。但是所有的项目，包括不能预验收的项目和预验收通过的项目，都在终验收时重新检验，以终验收为准。</w:t>
      </w:r>
    </w:p>
    <w:p>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3.2买卖双方按照合同约定执行了合同，同时货物完成了试运行并经检验合格，则具备了终验收条件。</w:t>
      </w:r>
    </w:p>
    <w:p>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（1）外观检查及供货清单确认：投标方提供的设备内容及数量应满足合同和技术协议的要求，文档资料应满足技术协议的要求；设备应是全新的、完好的、无破损、无裂纹等。</w:t>
      </w:r>
    </w:p>
    <w:p>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（2）设备运行时，货物应连续运行30天，每天连续10小时或单次连续运24小时。</w:t>
      </w:r>
    </w:p>
    <w:p>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（3）累计负载运行实际性能（或生产率）达到合同规定。</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3.3</w:t>
      </w:r>
      <w:r>
        <w:rPr>
          <w:rFonts w:hint="eastAsia" w:asciiTheme="minorEastAsia" w:hAnsiTheme="minorEastAsia" w:eastAsiaTheme="minorEastAsia" w:cstheme="minorEastAsia"/>
          <w:sz w:val="24"/>
          <w:szCs w:val="24"/>
        </w:rPr>
        <w:t>验收标准</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（2）设备应运行灵活、稳定、可靠、安全，无异常声音和非正常振动。设备不允许出现漏液、漏气（汽）；</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（3）设备外观应无损伤，应该涂满同种明亮清晰的油漆（特殊标志除外）。设备应该完整且所有的零部件应该安装牢固，所有的焊缝饱满、无残渣等缺陷；</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所有的管道和电缆线等，应排列有序（正确、牢固、整齐）无皱褶、收缩和裂缝，电缆线在整个长度范围内，所有的接头应完全正确地连接、所有线体控制柜内接线使用接线端子并带有线号，线号与图纸对应一致。</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（5）设备应有完整的标牌，且清晰易见；</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（6）设备的润滑系统工作可靠，润滑点易于到达，运行可靠、稳定，操作方便；</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（7）设备的安全要求符合中国最新的相关法律、法规、标准和规范以及合同要求；</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（8）地线连接和地极符合国际（ISO/IEC）标准规范；</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（9）计量仪器、仪表配套合理，采用中国的法定计量单位，计量准确、灵敏可靠。计量仪器、仪表出具计量检验报告、产品合格证等。</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（10）设备质量、技术性能等，按照签定的技术协议书和合同规定的终验收标准验收；</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（11）备品备件的数量、规格等，按照技术协议和合同规定的标准。</w:t>
      </w:r>
    </w:p>
    <w:p>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（12）在投标方所提供设备需要得到招标方建设项目所在地政府或行业主管部门的查验、试验、验收时，投标方应当免费协助招标方完成所需要的工作、材料和服务等。</w:t>
      </w:r>
    </w:p>
    <w:p>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3.4出现下列问题之一，视作验收失败：</w:t>
      </w:r>
    </w:p>
    <w:p>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（1）在整个验收过程中发生关键零部件损坏或重大故障；</w:t>
      </w:r>
    </w:p>
    <w:p>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（2）一般性故障超过2次；</w:t>
      </w:r>
    </w:p>
    <w:p>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（3）所有出现的维修调整，每次时间均超过10分钟；所有维修调整时间的总和超过总运行时间的5%；</w:t>
      </w:r>
    </w:p>
    <w:p>
      <w:pPr>
        <w:adjustRightInd w:val="0"/>
        <w:snapToGrid w:val="0"/>
        <w:spacing w:line="360" w:lineRule="auto"/>
        <w:ind w:firstLine="480" w:firstLineChars="200"/>
        <w:rPr>
          <w:sz w:val="24"/>
          <w:szCs w:val="24"/>
        </w:rPr>
      </w:pPr>
      <w:r>
        <w:rPr>
          <w:rFonts w:hint="eastAsia" w:asciiTheme="minorEastAsia" w:hAnsiTheme="minorEastAsia" w:eastAsiaTheme="minorEastAsia" w:cstheme="minorEastAsia"/>
          <w:color w:val="000000"/>
          <w:sz w:val="24"/>
          <w:szCs w:val="24"/>
        </w:rPr>
        <w:t>（4）更换的零部件货值超过总货值的1%。</w:t>
      </w:r>
    </w:p>
    <w:p>
      <w:pPr>
        <w:pStyle w:val="146"/>
        <w:ind w:firstLine="0" w:firstLineChars="0"/>
        <w:jc w:val="both"/>
        <w:rPr>
          <w:rFonts w:asciiTheme="minorEastAsia" w:hAnsiTheme="minorEastAsia" w:eastAsiaTheme="minorEastAsia"/>
          <w:sz w:val="28"/>
          <w:szCs w:val="28"/>
        </w:rPr>
      </w:pPr>
    </w:p>
    <w:p/>
    <w:p>
      <w:pPr>
        <w:spacing w:line="276" w:lineRule="auto"/>
        <w:jc w:val="cente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spacing w:line="360" w:lineRule="auto"/>
        <w:jc w:val="center"/>
        <w:outlineLvl w:val="0"/>
        <w:rPr>
          <w:rFonts w:ascii="宋体" w:hAnsi="Calibri" w:eastAsia="宋体" w:cs="Times New Roman"/>
          <w:b/>
          <w:sz w:val="36"/>
          <w:szCs w:val="36"/>
        </w:rPr>
      </w:pPr>
      <w:bookmarkStart w:id="65"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both"/>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66"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11823"/>
      <w:bookmarkStart w:id="68" w:name="_Toc17619"/>
      <w:bookmarkStart w:id="69" w:name="_Toc16330018"/>
      <w:bookmarkStart w:id="70" w:name="_Toc11930"/>
      <w:r>
        <w:rPr>
          <w:rFonts w:hint="eastAsia" w:ascii="黑体" w:hAnsi="黑体" w:eastAsia="黑体" w:cstheme="minorEastAsia"/>
          <w:b w:val="0"/>
          <w:sz w:val="28"/>
          <w:szCs w:val="28"/>
        </w:rPr>
        <w:t>1 合同设备</w:t>
      </w:r>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1" w:name="_Toc29026"/>
      <w:bookmarkStart w:id="72" w:name="_Toc32510"/>
      <w:bookmarkStart w:id="73"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4" w:name="_Toc16330019"/>
      <w:r>
        <w:rPr>
          <w:rFonts w:hint="eastAsia" w:ascii="黑体" w:hAnsi="黑体" w:eastAsia="黑体" w:cstheme="minorEastAsia"/>
          <w:b w:val="0"/>
          <w:sz w:val="28"/>
          <w:szCs w:val="28"/>
        </w:rPr>
        <w:t>2 包装</w:t>
      </w:r>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6330020"/>
      <w:bookmarkStart w:id="76" w:name="_Toc27144"/>
      <w:bookmarkStart w:id="77" w:name="_Toc2833"/>
      <w:bookmarkStart w:id="78" w:name="_Toc27453"/>
      <w:r>
        <w:rPr>
          <w:rFonts w:hint="eastAsia" w:ascii="黑体" w:hAnsi="黑体" w:eastAsia="黑体" w:cstheme="minorEastAsia"/>
          <w:b w:val="0"/>
          <w:sz w:val="28"/>
          <w:szCs w:val="28"/>
        </w:rPr>
        <w:t>3 运输标记</w:t>
      </w:r>
      <w:bookmarkEnd w:id="75"/>
      <w:bookmarkEnd w:id="76"/>
      <w:bookmarkEnd w:id="77"/>
      <w:bookmarkEnd w:id="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7431"/>
      <w:bookmarkStart w:id="80" w:name="_Toc10630"/>
      <w:bookmarkStart w:id="81" w:name="_Toc16133"/>
      <w:bookmarkStart w:id="82" w:name="_Toc16330021"/>
      <w:r>
        <w:rPr>
          <w:rFonts w:hint="eastAsia" w:ascii="黑体" w:hAnsi="黑体" w:eastAsia="黑体" w:cstheme="minorEastAsia"/>
          <w:b w:val="0"/>
          <w:sz w:val="28"/>
          <w:szCs w:val="28"/>
        </w:rPr>
        <w:t>4 检验</w:t>
      </w:r>
      <w:bookmarkEnd w:id="79"/>
      <w:bookmarkEnd w:id="80"/>
      <w:bookmarkEnd w:id="81"/>
      <w:bookmarkEnd w:id="8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24467"/>
      <w:bookmarkStart w:id="84" w:name="_Toc16330022"/>
      <w:bookmarkStart w:id="85" w:name="_Toc19850"/>
      <w:bookmarkStart w:id="86" w:name="_Toc11217"/>
      <w:r>
        <w:rPr>
          <w:rFonts w:hint="eastAsia" w:ascii="黑体" w:hAnsi="黑体" w:eastAsia="黑体" w:cstheme="minorEastAsia"/>
          <w:b w:val="0"/>
          <w:sz w:val="28"/>
          <w:szCs w:val="28"/>
        </w:rPr>
        <w:t>5 权利担保</w:t>
      </w:r>
      <w:bookmarkEnd w:id="83"/>
      <w:bookmarkEnd w:id="84"/>
      <w:bookmarkEnd w:id="85"/>
      <w:bookmarkEnd w:id="8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16330023"/>
      <w:bookmarkStart w:id="88" w:name="_Toc14809"/>
      <w:bookmarkStart w:id="89" w:name="_Toc11759"/>
      <w:bookmarkStart w:id="90" w:name="_Toc27500"/>
      <w:r>
        <w:rPr>
          <w:rFonts w:hint="eastAsia" w:ascii="黑体" w:hAnsi="黑体" w:eastAsia="黑体" w:cstheme="minorEastAsia"/>
          <w:b w:val="0"/>
          <w:sz w:val="28"/>
          <w:szCs w:val="28"/>
        </w:rPr>
        <w:t>6 交货</w:t>
      </w:r>
      <w:bookmarkEnd w:id="87"/>
      <w:bookmarkEnd w:id="88"/>
      <w:bookmarkEnd w:id="89"/>
      <w:bookmarkEnd w:id="9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25510"/>
      <w:bookmarkStart w:id="92" w:name="_Toc8024"/>
      <w:bookmarkStart w:id="93" w:name="_Toc2984"/>
      <w:bookmarkStart w:id="94" w:name="_Toc16330024"/>
      <w:r>
        <w:rPr>
          <w:rFonts w:hint="eastAsia" w:ascii="黑体" w:hAnsi="黑体" w:eastAsia="黑体" w:cstheme="minorEastAsia"/>
          <w:b w:val="0"/>
          <w:sz w:val="28"/>
          <w:szCs w:val="28"/>
        </w:rPr>
        <w:t>7 安装、调试</w:t>
      </w:r>
      <w:bookmarkEnd w:id="91"/>
      <w:bookmarkEnd w:id="92"/>
      <w:bookmarkEnd w:id="93"/>
      <w:bookmarkEnd w:id="94"/>
    </w:p>
    <w:p>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6350"/>
      <w:bookmarkStart w:id="96" w:name="_Toc14260"/>
      <w:bookmarkStart w:id="97" w:name="_Toc14098"/>
      <w:bookmarkStart w:id="98" w:name="_Toc16330025"/>
      <w:r>
        <w:rPr>
          <w:rFonts w:hint="eastAsia" w:ascii="黑体" w:hAnsi="黑体" w:eastAsia="黑体" w:cstheme="minorEastAsia"/>
          <w:b w:val="0"/>
          <w:sz w:val="28"/>
          <w:szCs w:val="28"/>
        </w:rPr>
        <w:t>8 价款与支付</w:t>
      </w:r>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99" w:name="_Toc14531628"/>
      <w:bookmarkStart w:id="100"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99"/>
      <w:bookmarkEnd w:id="100"/>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25708"/>
      <w:bookmarkStart w:id="102" w:name="_Toc6726"/>
      <w:bookmarkStart w:id="103" w:name="_Toc16330026"/>
      <w:bookmarkStart w:id="104" w:name="_Toc24085"/>
      <w:r>
        <w:rPr>
          <w:rFonts w:hint="eastAsia" w:ascii="黑体" w:hAnsi="黑体" w:eastAsia="黑体" w:cstheme="minorEastAsia"/>
          <w:b w:val="0"/>
          <w:sz w:val="28"/>
          <w:szCs w:val="28"/>
        </w:rPr>
        <w:t>9 质量保证及售后服务</w:t>
      </w:r>
      <w:bookmarkEnd w:id="101"/>
      <w:bookmarkEnd w:id="102"/>
      <w:bookmarkEnd w:id="103"/>
      <w:bookmarkEnd w:id="10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10359"/>
      <w:bookmarkStart w:id="106" w:name="_Toc12927"/>
      <w:bookmarkStart w:id="107" w:name="_Toc15570"/>
      <w:bookmarkStart w:id="108" w:name="_Toc16330027"/>
      <w:r>
        <w:rPr>
          <w:rFonts w:hint="eastAsia" w:ascii="黑体" w:hAnsi="黑体" w:eastAsia="黑体" w:cstheme="minorEastAsia"/>
          <w:b w:val="0"/>
          <w:sz w:val="28"/>
          <w:szCs w:val="28"/>
        </w:rPr>
        <w:t>10法定责任</w:t>
      </w:r>
      <w:bookmarkEnd w:id="105"/>
      <w:bookmarkEnd w:id="106"/>
      <w:bookmarkEnd w:id="107"/>
      <w:bookmarkEnd w:id="10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9708"/>
      <w:bookmarkStart w:id="110" w:name="_Toc16330028"/>
      <w:bookmarkStart w:id="111" w:name="_Toc27314"/>
      <w:bookmarkStart w:id="112" w:name="_Toc30381"/>
      <w:r>
        <w:rPr>
          <w:rFonts w:hint="eastAsia" w:ascii="黑体" w:hAnsi="黑体" w:eastAsia="黑体" w:cstheme="minorEastAsia"/>
          <w:b w:val="0"/>
          <w:sz w:val="28"/>
          <w:szCs w:val="28"/>
        </w:rPr>
        <w:t>11 违约责任</w:t>
      </w:r>
      <w:bookmarkEnd w:id="109"/>
      <w:bookmarkEnd w:id="110"/>
      <w:bookmarkEnd w:id="111"/>
      <w:bookmarkEnd w:id="11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3" w:name="_Toc16330029"/>
      <w:bookmarkStart w:id="114" w:name="_Toc31554"/>
      <w:bookmarkStart w:id="115" w:name="_Toc1827"/>
      <w:bookmarkStart w:id="116" w:name="_Toc9172"/>
      <w:r>
        <w:rPr>
          <w:rFonts w:hint="eastAsia" w:ascii="黑体" w:hAnsi="黑体" w:eastAsia="黑体" w:cstheme="minorEastAsia"/>
          <w:b w:val="0"/>
          <w:sz w:val="28"/>
          <w:szCs w:val="28"/>
        </w:rPr>
        <w:t>12 合同的终止与解除</w:t>
      </w:r>
      <w:bookmarkEnd w:id="113"/>
      <w:bookmarkEnd w:id="114"/>
      <w:bookmarkEnd w:id="115"/>
      <w:bookmarkEnd w:id="11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7" w:name="_Toc31945"/>
      <w:bookmarkStart w:id="118" w:name="_Toc16330030"/>
      <w:bookmarkStart w:id="119" w:name="_Toc13671"/>
      <w:bookmarkStart w:id="120" w:name="_Toc8620"/>
      <w:r>
        <w:rPr>
          <w:rFonts w:hint="eastAsia" w:ascii="黑体" w:hAnsi="黑体" w:eastAsia="黑体" w:cstheme="minorEastAsia"/>
          <w:b w:val="0"/>
          <w:sz w:val="28"/>
          <w:szCs w:val="28"/>
        </w:rPr>
        <w:t>13 不可抗力</w:t>
      </w:r>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1" w:name="_Toc16330031"/>
      <w:bookmarkStart w:id="122" w:name="_Toc31243"/>
      <w:bookmarkStart w:id="123" w:name="_Toc637"/>
      <w:bookmarkStart w:id="124" w:name="_Toc30389"/>
      <w:r>
        <w:rPr>
          <w:rFonts w:hint="eastAsia" w:ascii="黑体" w:hAnsi="黑体" w:eastAsia="黑体" w:cstheme="minorEastAsia"/>
          <w:b w:val="0"/>
          <w:sz w:val="28"/>
          <w:szCs w:val="28"/>
        </w:rPr>
        <w:t>14 通讯</w:t>
      </w:r>
      <w:bookmarkEnd w:id="121"/>
      <w:bookmarkEnd w:id="122"/>
      <w:bookmarkEnd w:id="123"/>
      <w:bookmarkEnd w:id="12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25" w:name="_Toc9915"/>
      <w:bookmarkStart w:id="126" w:name="_Toc16330032"/>
      <w:bookmarkStart w:id="127" w:name="_Toc12984"/>
      <w:bookmarkStart w:id="128" w:name="_Toc11290"/>
      <w:r>
        <w:rPr>
          <w:rFonts w:hint="eastAsia" w:ascii="黑体" w:hAnsi="黑体" w:eastAsia="黑体" w:cstheme="minorEastAsia"/>
          <w:b w:val="0"/>
          <w:sz w:val="28"/>
          <w:szCs w:val="28"/>
        </w:rPr>
        <w:t>15 适用法律及争议解决</w:t>
      </w:r>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9" w:name="_Toc23906"/>
      <w:bookmarkStart w:id="130" w:name="_Toc16330033"/>
      <w:bookmarkStart w:id="131" w:name="_Toc23765"/>
      <w:bookmarkStart w:id="132" w:name="_Toc18207"/>
      <w:r>
        <w:rPr>
          <w:rFonts w:hint="eastAsia" w:ascii="黑体" w:hAnsi="黑体" w:eastAsia="黑体" w:cstheme="minorEastAsia"/>
          <w:b w:val="0"/>
          <w:sz w:val="28"/>
          <w:szCs w:val="28"/>
        </w:rPr>
        <w:t>16 附件</w:t>
      </w:r>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3" w:name="_Toc27202"/>
      <w:bookmarkStart w:id="134" w:name="_Toc17656"/>
      <w:bookmarkStart w:id="135" w:name="_Toc31331"/>
      <w:bookmarkStart w:id="136" w:name="_Toc16330034"/>
      <w:r>
        <w:rPr>
          <w:rFonts w:hint="eastAsia" w:ascii="黑体" w:hAnsi="黑体" w:eastAsia="黑体" w:cstheme="minorEastAsia"/>
          <w:b w:val="0"/>
          <w:sz w:val="28"/>
          <w:szCs w:val="28"/>
        </w:rPr>
        <w:t>17 其他规定</w:t>
      </w:r>
      <w:bookmarkEnd w:id="133"/>
      <w:bookmarkEnd w:id="134"/>
      <w:bookmarkEnd w:id="135"/>
      <w:bookmarkEnd w:id="1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7" w:name="_Toc17952"/>
      <w:bookmarkStart w:id="138" w:name="_Toc29136"/>
      <w:bookmarkStart w:id="139" w:name="_Toc19077"/>
      <w:bookmarkStart w:id="140"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37"/>
      <w:bookmarkEnd w:id="138"/>
      <w:bookmarkEnd w:id="139"/>
      <w:bookmarkEnd w:id="14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 w:val="0"/>
          <w:bCs/>
          <w:i/>
          <w:iCs w:val="0"/>
          <w:sz w:val="28"/>
          <w:szCs w:val="28"/>
        </w:rPr>
      </w:pPr>
      <w:bookmarkStart w:id="141" w:name="_Toc24623"/>
      <w:bookmarkStart w:id="142" w:name="_Toc3778"/>
      <w:bookmarkStart w:id="143" w:name="_Toc25120"/>
      <w:bookmarkStart w:id="144" w:name="_Toc16330037"/>
      <w:bookmarkStart w:id="145" w:name="_Toc5379"/>
      <w:r>
        <w:rPr>
          <w:rFonts w:hint="eastAsia" w:ascii="黑体" w:hAnsi="黑体" w:eastAsia="黑体" w:cstheme="minorEastAsia"/>
          <w:b w:val="0"/>
          <w:sz w:val="28"/>
          <w:szCs w:val="28"/>
        </w:rPr>
        <w:t xml:space="preserve">附件二 </w:t>
      </w:r>
      <w:bookmarkEnd w:id="141"/>
      <w:bookmarkEnd w:id="142"/>
      <w:bookmarkEnd w:id="143"/>
      <w:bookmarkEnd w:id="144"/>
      <w:bookmarkEnd w:id="145"/>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46" w:name="_Toc14341849"/>
    </w:p>
    <w:p>
      <w:pPr>
        <w:ind w:right="480"/>
        <w:jc w:val="center"/>
        <w:rPr>
          <w:sz w:val="24"/>
          <w:szCs w:val="24"/>
        </w:rPr>
      </w:pPr>
      <w:r>
        <w:rPr>
          <w:rFonts w:hint="eastAsia" w:ascii="楷体_GB2312" w:hAnsi="宋体" w:eastAsia="楷体_GB2312"/>
          <w:sz w:val="24"/>
        </w:rPr>
        <w:t xml:space="preserve">                                    </w:t>
      </w:r>
    </w:p>
    <w:bookmarkEnd w:id="146"/>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ind w:left="0" w:firstLine="0"/>
        <w:rPr>
          <w:rFonts w:ascii="楷体" w:hAnsi="楷体" w:eastAsia="楷体" w:cs="楷体"/>
          <w:b/>
          <w:sz w:val="24"/>
          <w:szCs w:val="28"/>
        </w:rPr>
      </w:pPr>
    </w:p>
    <w:p>
      <w:pPr>
        <w:pStyle w:val="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ind w:left="0" w:firstLine="0"/>
        <w:rPr>
          <w:rFonts w:ascii="楷体" w:hAnsi="楷体" w:eastAsia="楷体" w:cs="楷体"/>
          <w:b/>
          <w:sz w:val="24"/>
          <w:szCs w:val="28"/>
        </w:rPr>
      </w:pPr>
    </w:p>
    <w:p>
      <w:pPr>
        <w:pStyle w:val="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6"/>
    </w:p>
    <w:p>
      <w:pPr>
        <w:keepNext/>
        <w:keepLines/>
        <w:outlineLvl w:val="9"/>
        <w:rPr>
          <w:rFonts w:hint="eastAsia" w:ascii="Times New Roman" w:hAnsi="Times New Roman" w:eastAsia="宋体" w:cs="Times New Roman"/>
          <w:b/>
          <w:bCs/>
          <w:color w:val="000000"/>
          <w:sz w:val="24"/>
          <w:szCs w:val="24"/>
        </w:rPr>
      </w:pPr>
    </w:p>
    <w:p>
      <w:pPr>
        <w:pStyle w:val="20"/>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0"/>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7" w:name="_Toc353881012"/>
      <w:bookmarkStart w:id="148" w:name="_Toc212369550"/>
      <w:bookmarkStart w:id="149" w:name="_Toc25811"/>
      <w:bookmarkStart w:id="150"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7"/>
      <w:bookmarkEnd w:id="148"/>
      <w:bookmarkEnd w:id="149"/>
      <w:bookmarkEnd w:id="150"/>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济南商用车公司驾驶室后悬分装线建设项目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济南商用车公司驾驶室后悬分装线建设项目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lang w:eastAsia="zh-CN"/>
        </w:rPr>
        <w:t>CGZX2025010112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956" w:type="dxa"/>
          </w:tcPr>
          <w:p>
            <w:pPr>
              <w:pStyle w:val="135"/>
              <w:spacing w:before="111" w:line="360" w:lineRule="auto"/>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360" w:lineRule="auto"/>
              <w:rPr>
                <w:rFonts w:ascii="宋体" w:hAnsi="宋体" w:cs="宋体"/>
                <w:color w:val="000000" w:themeColor="text1"/>
                <w14:textFill>
                  <w14:solidFill>
                    <w14:schemeClr w14:val="tx1"/>
                  </w14:solidFill>
                </w14:textFill>
              </w:rPr>
            </w:pPr>
          </w:p>
        </w:tc>
        <w:tc>
          <w:tcPr>
            <w:tcW w:w="1310" w:type="dxa"/>
          </w:tcPr>
          <w:p>
            <w:pPr>
              <w:pStyle w:val="135"/>
              <w:spacing w:before="103" w:line="360" w:lineRule="auto"/>
              <w:ind w:right="26"/>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实缴资金</w:t>
            </w:r>
          </w:p>
        </w:tc>
        <w:tc>
          <w:tcPr>
            <w:tcW w:w="1510" w:type="dxa"/>
            <w:vAlign w:val="center"/>
          </w:tcPr>
          <w:p>
            <w:pPr>
              <w:widowControl/>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济南商用车公司驾驶室后悬分装线建设项目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济南商用车公司驾驶室后悬分装线建设项目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185"/>
        <w:gridCol w:w="1292"/>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185"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292"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18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29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1</w:t>
            </w:r>
          </w:p>
        </w:tc>
        <w:tc>
          <w:tcPr>
            <w:tcW w:w="3185" w:type="dxa"/>
            <w:vAlign w:val="center"/>
          </w:tcPr>
          <w:p>
            <w:pPr>
              <w:overflowPunct w:val="0"/>
              <w:snapToGrid w:val="0"/>
              <w:spacing w:line="400" w:lineRule="exact"/>
              <w:jc w:val="center"/>
              <w:rPr>
                <w:rFonts w:hint="eastAsia" w:ascii="宋体" w:hAnsi="宋体" w:cs="宋体" w:eastAsiaTheme="minorEastAsia"/>
                <w:sz w:val="24"/>
                <w:szCs w:val="24"/>
                <w:highlight w:val="none"/>
                <w:lang w:val="en-US" w:eastAsia="zh-CN"/>
              </w:rPr>
            </w:pPr>
            <w:r>
              <w:rPr>
                <w:rFonts w:hint="eastAsia" w:asciiTheme="minorEastAsia" w:hAnsiTheme="minorEastAsia"/>
                <w:sz w:val="24"/>
                <w:szCs w:val="24"/>
                <w:lang w:eastAsia="zh-CN"/>
              </w:rPr>
              <w:t>按供货范围</w:t>
            </w:r>
            <w:r>
              <w:rPr>
                <w:rFonts w:hint="eastAsia" w:asciiTheme="minorEastAsia" w:hAnsiTheme="minorEastAsia" w:eastAsiaTheme="minorEastAsia"/>
                <w:sz w:val="24"/>
                <w:szCs w:val="24"/>
              </w:rPr>
              <w:t>主要设备、设施</w:t>
            </w:r>
            <w:r>
              <w:rPr>
                <w:rFonts w:hint="eastAsia" w:asciiTheme="minorEastAsia" w:hAnsiTheme="minorEastAsia"/>
                <w:sz w:val="24"/>
                <w:szCs w:val="24"/>
                <w:lang w:eastAsia="zh-CN"/>
              </w:rPr>
              <w:t>填写，可补充填写</w:t>
            </w:r>
          </w:p>
        </w:tc>
        <w:tc>
          <w:tcPr>
            <w:tcW w:w="1292"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jc w:val="center"/>
              <w:rPr>
                <w:rFonts w:hint="default" w:ascii="Arial" w:eastAsiaTheme="minorEastAsia"/>
                <w:sz w:val="24"/>
                <w:szCs w:val="24"/>
                <w:highlight w:val="none"/>
                <w:lang w:val="en-US" w:eastAsia="zh-CN"/>
              </w:rPr>
            </w:pPr>
            <w:r>
              <w:rPr>
                <w:rFonts w:hint="eastAsia" w:ascii="Times New Roman" w:hAnsi="Times New Roman" w:eastAsia="宋体" w:cs="Times New Roman"/>
                <w:sz w:val="24"/>
                <w:szCs w:val="24"/>
                <w:highlight w:val="none"/>
                <w:lang w:val="en-US" w:eastAsia="zh-CN"/>
              </w:rPr>
              <w:t>组</w:t>
            </w:r>
          </w:p>
        </w:tc>
        <w:tc>
          <w:tcPr>
            <w:tcW w:w="1824" w:type="dxa"/>
            <w:vAlign w:val="center"/>
          </w:tcPr>
          <w:p>
            <w:pPr>
              <w:spacing w:line="300" w:lineRule="auto"/>
              <w:jc w:val="center"/>
              <w:rPr>
                <w:rFonts w:ascii="Arial"/>
                <w:sz w:val="24"/>
                <w:szCs w:val="24"/>
                <w:highlight w:val="none"/>
              </w:rPr>
            </w:pPr>
            <w:r>
              <w:rPr>
                <w:rFonts w:hint="eastAsia" w:ascii="宋体" w:hAnsi="宋体" w:eastAsia="宋体" w:cs="Arial"/>
                <w:sz w:val="21"/>
                <w:szCs w:val="21"/>
                <w:highlight w:val="none"/>
              </w:rPr>
              <w:t>1</w:t>
            </w:r>
          </w:p>
        </w:tc>
        <w:tc>
          <w:tcPr>
            <w:tcW w:w="2362" w:type="dxa"/>
            <w:tcBorders>
              <w:left w:val="single" w:color="000000" w:sz="4" w:space="0"/>
            </w:tcBorders>
            <w:vAlign w:val="center"/>
          </w:tcPr>
          <w:p>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2</w:t>
            </w:r>
          </w:p>
        </w:tc>
        <w:tc>
          <w:tcPr>
            <w:tcW w:w="3185" w:type="dxa"/>
            <w:vAlign w:val="center"/>
          </w:tcPr>
          <w:p>
            <w:pPr>
              <w:overflowPunct w:val="0"/>
              <w:snapToGrid w:val="0"/>
              <w:spacing w:line="400" w:lineRule="exact"/>
              <w:jc w:val="center"/>
              <w:rPr>
                <w:rFonts w:hint="eastAsia" w:ascii="宋体" w:hAnsi="宋体" w:eastAsia="宋体" w:cs="宋体"/>
                <w:sz w:val="24"/>
                <w:szCs w:val="24"/>
                <w:highlight w:val="none"/>
                <w:lang w:val="en-US" w:eastAsia="zh-CN"/>
              </w:rPr>
            </w:pPr>
          </w:p>
        </w:tc>
        <w:tc>
          <w:tcPr>
            <w:tcW w:w="1292"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Arial" w:eastAsiaTheme="minorEastAsia"/>
                <w:sz w:val="24"/>
                <w:szCs w:val="24"/>
                <w:highlight w:val="none"/>
                <w:lang w:eastAsia="zh-CN"/>
              </w:rPr>
            </w:pPr>
          </w:p>
        </w:tc>
        <w:tc>
          <w:tcPr>
            <w:tcW w:w="1824" w:type="dxa"/>
            <w:vAlign w:val="center"/>
          </w:tcPr>
          <w:p>
            <w:pPr>
              <w:spacing w:line="300" w:lineRule="auto"/>
              <w:jc w:val="center"/>
              <w:rPr>
                <w:rFonts w:ascii="Arial"/>
                <w:sz w:val="24"/>
                <w:szCs w:val="24"/>
                <w:highlight w:val="none"/>
              </w:rPr>
            </w:pPr>
          </w:p>
        </w:tc>
        <w:tc>
          <w:tcPr>
            <w:tcW w:w="2362" w:type="dxa"/>
            <w:tcBorders>
              <w:left w:val="single" w:color="000000" w:sz="4" w:space="0"/>
            </w:tcBorders>
            <w:vAlign w:val="center"/>
          </w:tcPr>
          <w:p>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3</w:t>
            </w:r>
          </w:p>
        </w:tc>
        <w:tc>
          <w:tcPr>
            <w:tcW w:w="3185" w:type="dxa"/>
            <w:vAlign w:val="center"/>
          </w:tcPr>
          <w:p>
            <w:pPr>
              <w:overflowPunct w:val="0"/>
              <w:snapToGrid w:val="0"/>
              <w:spacing w:line="400" w:lineRule="exact"/>
              <w:jc w:val="center"/>
              <w:rPr>
                <w:rFonts w:hint="eastAsia" w:ascii="宋体" w:hAnsi="宋体" w:eastAsia="宋体"/>
                <w:sz w:val="24"/>
                <w:szCs w:val="24"/>
                <w:lang w:bidi="ar"/>
              </w:rPr>
            </w:pPr>
          </w:p>
        </w:tc>
        <w:tc>
          <w:tcPr>
            <w:tcW w:w="1292"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宋体" w:hAnsi="宋体" w:eastAsia="宋体" w:cs="宋体"/>
                <w:sz w:val="24"/>
                <w:szCs w:val="24"/>
                <w:highlight w:val="none"/>
                <w:lang w:val="en-US" w:eastAsia="zh-CN"/>
              </w:rPr>
            </w:pPr>
          </w:p>
        </w:tc>
        <w:tc>
          <w:tcPr>
            <w:tcW w:w="1824" w:type="dxa"/>
            <w:vAlign w:val="center"/>
          </w:tcPr>
          <w:p>
            <w:pPr>
              <w:spacing w:line="30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4</w:t>
            </w:r>
          </w:p>
        </w:tc>
        <w:tc>
          <w:tcPr>
            <w:tcW w:w="3185" w:type="dxa"/>
            <w:vAlign w:val="center"/>
          </w:tcPr>
          <w:p>
            <w:pPr>
              <w:overflowPunct w:val="0"/>
              <w:snapToGrid w:val="0"/>
              <w:spacing w:line="400" w:lineRule="exact"/>
              <w:jc w:val="center"/>
              <w:rPr>
                <w:rFonts w:hint="eastAsia" w:ascii="宋体" w:hAnsi="宋体" w:eastAsia="宋体"/>
                <w:sz w:val="24"/>
                <w:szCs w:val="24"/>
                <w:lang w:bidi="ar"/>
              </w:rPr>
            </w:pPr>
          </w:p>
        </w:tc>
        <w:tc>
          <w:tcPr>
            <w:tcW w:w="1292" w:type="dxa"/>
            <w:vAlign w:val="center"/>
          </w:tcPr>
          <w:p>
            <w:pPr>
              <w:jc w:val="center"/>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宋体" w:hAnsi="宋体" w:eastAsia="宋体" w:cs="宋体"/>
                <w:sz w:val="24"/>
                <w:szCs w:val="24"/>
                <w:highlight w:val="none"/>
                <w:lang w:val="en-US" w:eastAsia="zh-CN"/>
              </w:rPr>
            </w:pPr>
          </w:p>
        </w:tc>
        <w:tc>
          <w:tcPr>
            <w:tcW w:w="1824" w:type="dxa"/>
            <w:vAlign w:val="center"/>
          </w:tcPr>
          <w:p>
            <w:pPr>
              <w:spacing w:line="30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185" w:type="dxa"/>
            <w:vAlign w:val="center"/>
          </w:tcPr>
          <w:p>
            <w:pPr>
              <w:overflowPunct w:val="0"/>
              <w:snapToGrid w:val="0"/>
              <w:spacing w:line="400" w:lineRule="exact"/>
              <w:jc w:val="center"/>
              <w:rPr>
                <w:rFonts w:hint="eastAsia" w:ascii="宋体" w:hAnsi="宋体" w:eastAsia="宋体"/>
                <w:sz w:val="24"/>
                <w:szCs w:val="24"/>
                <w:lang w:bidi="ar"/>
              </w:rPr>
            </w:pPr>
          </w:p>
        </w:tc>
        <w:tc>
          <w:tcPr>
            <w:tcW w:w="1292" w:type="dxa"/>
            <w:vAlign w:val="center"/>
          </w:tcPr>
          <w:p>
            <w:pPr>
              <w:jc w:val="center"/>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宋体" w:hAnsi="宋体" w:eastAsia="宋体" w:cs="宋体"/>
                <w:sz w:val="24"/>
                <w:szCs w:val="24"/>
                <w:highlight w:val="none"/>
                <w:lang w:val="en-US" w:eastAsia="zh-CN"/>
              </w:rPr>
            </w:pPr>
          </w:p>
        </w:tc>
        <w:tc>
          <w:tcPr>
            <w:tcW w:w="1824" w:type="dxa"/>
            <w:vAlign w:val="center"/>
          </w:tcPr>
          <w:p>
            <w:pPr>
              <w:spacing w:line="300" w:lineRule="auto"/>
              <w:jc w:val="both"/>
              <w:rPr>
                <w:rFonts w:hint="eastAsia" w:ascii="宋体" w:hAnsi="宋体" w:eastAsia="宋体" w:cs="宋体"/>
                <w:sz w:val="24"/>
                <w:szCs w:val="24"/>
                <w:highlight w:val="none"/>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185" w:type="dxa"/>
            <w:vAlign w:val="center"/>
          </w:tcPr>
          <w:p>
            <w:pPr>
              <w:overflowPunct w:val="0"/>
              <w:snapToGrid w:val="0"/>
              <w:spacing w:line="400" w:lineRule="exact"/>
              <w:jc w:val="center"/>
              <w:rPr>
                <w:rFonts w:hint="eastAsia" w:ascii="宋体" w:hAnsi="宋体" w:eastAsia="宋体"/>
                <w:sz w:val="24"/>
                <w:szCs w:val="24"/>
                <w:lang w:bidi="ar"/>
              </w:rPr>
            </w:pPr>
          </w:p>
        </w:tc>
        <w:tc>
          <w:tcPr>
            <w:tcW w:w="1292" w:type="dxa"/>
            <w:vAlign w:val="center"/>
          </w:tcPr>
          <w:p>
            <w:pPr>
              <w:jc w:val="left"/>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宋体" w:hAnsi="宋体" w:eastAsia="宋体" w:cs="宋体"/>
                <w:sz w:val="24"/>
                <w:szCs w:val="24"/>
                <w:highlight w:val="none"/>
                <w:lang w:val="en-US" w:eastAsia="zh-CN"/>
              </w:rPr>
            </w:pPr>
          </w:p>
        </w:tc>
        <w:tc>
          <w:tcPr>
            <w:tcW w:w="1824" w:type="dxa"/>
            <w:vAlign w:val="center"/>
          </w:tcPr>
          <w:p>
            <w:pPr>
              <w:spacing w:line="30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3185"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以上投标设备不足之处请往下添加序号自行补充</w:t>
            </w:r>
          </w:p>
        </w:tc>
        <w:tc>
          <w:tcPr>
            <w:tcW w:w="1292" w:type="dxa"/>
          </w:tcPr>
          <w:p>
            <w:pPr>
              <w:spacing w:line="240" w:lineRule="auto"/>
              <w:jc w:val="center"/>
              <w:rPr>
                <w:rFonts w:hint="eastAsia" w:ascii="宋体" w:hAnsi="宋体" w:eastAsia="宋体" w:cs="宋体"/>
                <w:sz w:val="24"/>
                <w:szCs w:val="24"/>
                <w:highlight w:val="none"/>
                <w:lang w:val="en-US" w:eastAsia="zh-CN"/>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7"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济南商用车公司驾驶室后悬分装线建设项目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济南商用车公司驾驶室后悬分装线建设项目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济南商用车公司驾驶室后悬分装线建设项目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济南商用车公司驾驶室后悬分装线建设项目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93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3155"/>
        <w:gridCol w:w="1349"/>
        <w:gridCol w:w="973"/>
        <w:gridCol w:w="938"/>
        <w:gridCol w:w="1881"/>
        <w:gridCol w:w="1595"/>
        <w:gridCol w:w="1856"/>
        <w:gridCol w:w="16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31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349"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3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595"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56"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31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349"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3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595"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56"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1</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eastAsia" w:eastAsia="仿宋" w:asciiTheme="minorHAnsi" w:hAnsiTheme="minorHAnsi" w:cstheme="minorBidi"/>
                <w:kern w:val="2"/>
                <w:sz w:val="22"/>
                <w:szCs w:val="22"/>
                <w:highlight w:val="none"/>
                <w:lang w:val="en-US" w:eastAsia="zh-CN" w:bidi="ar-SA"/>
              </w:rPr>
            </w:pPr>
            <w:r>
              <w:rPr>
                <w:rFonts w:hint="eastAsia" w:asciiTheme="minorEastAsia" w:hAnsiTheme="minorEastAsia"/>
                <w:sz w:val="24"/>
                <w:szCs w:val="24"/>
                <w:lang w:eastAsia="zh-CN"/>
              </w:rPr>
              <w:t>按供货范围</w:t>
            </w:r>
            <w:r>
              <w:rPr>
                <w:rFonts w:hint="eastAsia" w:asciiTheme="minorEastAsia" w:hAnsiTheme="minorEastAsia" w:eastAsiaTheme="minorEastAsia"/>
                <w:sz w:val="24"/>
                <w:szCs w:val="24"/>
              </w:rPr>
              <w:t>主要设备、设施</w:t>
            </w:r>
            <w:r>
              <w:rPr>
                <w:rFonts w:hint="eastAsia" w:asciiTheme="minorEastAsia" w:hAnsiTheme="minorEastAsia"/>
                <w:sz w:val="24"/>
                <w:szCs w:val="24"/>
                <w:lang w:eastAsia="zh-CN"/>
              </w:rPr>
              <w:t>填写，可补充填写</w:t>
            </w: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Times New Roman" w:hAnsi="Times New Roman" w:eastAsia="宋体" w:cs="Times New Roman"/>
                <w:sz w:val="24"/>
                <w:szCs w:val="24"/>
                <w:highlight w:val="none"/>
                <w:lang w:val="en-US" w:eastAsia="zh-CN"/>
              </w:rPr>
              <w:t>组</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r>
              <w:rPr>
                <w:rFonts w:hint="eastAsia" w:ascii="宋体" w:hAnsi="宋体" w:eastAsia="宋体" w:cs="Arial"/>
                <w:sz w:val="21"/>
                <w:szCs w:val="21"/>
                <w:highlight w:val="none"/>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2</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eastAsia" w:eastAsia="仿宋" w:asciiTheme="minorHAnsi" w:hAnsiTheme="minorHAnsi" w:cstheme="minorBidi"/>
                <w:kern w:val="2"/>
                <w:sz w:val="22"/>
                <w:szCs w:val="22"/>
                <w:highlight w:val="none"/>
                <w:lang w:val="en-US" w:eastAsia="zh-CN" w:bidi="ar-SA"/>
              </w:rPr>
            </w:pP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3</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r>
              <w:rPr>
                <w:rFonts w:hint="eastAsia" w:ascii="宋体" w:hAnsi="宋体" w:eastAsia="宋体" w:cs="宋体"/>
                <w:color w:val="000000"/>
                <w:kern w:val="0"/>
                <w:sz w:val="22"/>
                <w:lang w:bidi="ar"/>
              </w:rPr>
              <w:t>4</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5</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6</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left"/>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55"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9891"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1"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济南商用车公司驾驶室后悬分装线建设项目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济南商用车公司驾驶室后悬分装线建设项目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济南商用车公司驾驶室后悬分装线建设项目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济南商用车公司驾驶室后悬分装线建设项目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0"/>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20"/>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pPr>
        <w:pStyle w:val="20"/>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20"/>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pPr>
        <w:pStyle w:val="20"/>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50"/>
      </w:pPr>
    </w:lvl>
  </w:abstractNum>
  <w:abstractNum w:abstractNumId="1">
    <w:nsid w:val="8F500B79"/>
    <w:multiLevelType w:val="singleLevel"/>
    <w:tmpl w:val="8F500B79"/>
    <w:lvl w:ilvl="0" w:tentative="0">
      <w:start w:val="1"/>
      <w:numFmt w:val="decimal"/>
      <w:suff w:val="nothing"/>
      <w:lvlText w:val="（%1）"/>
      <w:lvlJc w:val="left"/>
      <w:pPr>
        <w:ind w:left="50"/>
      </w:pPr>
    </w:lvl>
  </w:abstractNum>
  <w:abstractNum w:abstractNumId="2">
    <w:nsid w:val="9687E199"/>
    <w:multiLevelType w:val="singleLevel"/>
    <w:tmpl w:val="9687E199"/>
    <w:lvl w:ilvl="0" w:tentative="0">
      <w:start w:val="1"/>
      <w:numFmt w:val="decimal"/>
      <w:suff w:val="nothing"/>
      <w:lvlText w:val="（%1）"/>
      <w:lvlJc w:val="left"/>
    </w:lvl>
  </w:abstractNum>
  <w:abstractNum w:abstractNumId="3">
    <w:nsid w:val="973B5C8D"/>
    <w:multiLevelType w:val="singleLevel"/>
    <w:tmpl w:val="973B5C8D"/>
    <w:lvl w:ilvl="0" w:tentative="0">
      <w:start w:val="1"/>
      <w:numFmt w:val="decimal"/>
      <w:suff w:val="nothing"/>
      <w:lvlText w:val="（%1）"/>
      <w:lvlJc w:val="left"/>
      <w:pPr>
        <w:ind w:left="470"/>
      </w:pPr>
    </w:lvl>
  </w:abstractNum>
  <w:abstractNum w:abstractNumId="4">
    <w:nsid w:val="A6849FB6"/>
    <w:multiLevelType w:val="singleLevel"/>
    <w:tmpl w:val="A6849FB6"/>
    <w:lvl w:ilvl="0" w:tentative="0">
      <w:start w:val="2"/>
      <w:numFmt w:val="chineseCounting"/>
      <w:suff w:val="nothing"/>
      <w:lvlText w:val="%1、"/>
      <w:lvlJc w:val="left"/>
      <w:rPr>
        <w:rFonts w:hint="eastAsia"/>
      </w:rPr>
    </w:lvl>
  </w:abstractNum>
  <w:abstractNum w:abstractNumId="5">
    <w:nsid w:val="A79A06A8"/>
    <w:multiLevelType w:val="singleLevel"/>
    <w:tmpl w:val="A79A06A8"/>
    <w:lvl w:ilvl="0" w:tentative="0">
      <w:start w:val="1"/>
      <w:numFmt w:val="decimal"/>
      <w:suff w:val="nothing"/>
      <w:lvlText w:val="（%1）"/>
      <w:lvlJc w:val="left"/>
    </w:lvl>
  </w:abstractNum>
  <w:abstractNum w:abstractNumId="6">
    <w:nsid w:val="ADC8AB79"/>
    <w:multiLevelType w:val="singleLevel"/>
    <w:tmpl w:val="ADC8AB79"/>
    <w:lvl w:ilvl="0" w:tentative="0">
      <w:start w:val="1"/>
      <w:numFmt w:val="decimal"/>
      <w:suff w:val="nothing"/>
      <w:lvlText w:val="（%1）"/>
      <w:lvlJc w:val="left"/>
    </w:lvl>
  </w:abstractNum>
  <w:abstractNum w:abstractNumId="7">
    <w:nsid w:val="B316E3AB"/>
    <w:multiLevelType w:val="singleLevel"/>
    <w:tmpl w:val="B316E3AB"/>
    <w:lvl w:ilvl="0" w:tentative="0">
      <w:start w:val="1"/>
      <w:numFmt w:val="decimal"/>
      <w:suff w:val="nothing"/>
      <w:lvlText w:val="（%1）"/>
      <w:lvlJc w:val="left"/>
    </w:lvl>
  </w:abstractNum>
  <w:abstractNum w:abstractNumId="8">
    <w:nsid w:val="B6A5F174"/>
    <w:multiLevelType w:val="singleLevel"/>
    <w:tmpl w:val="B6A5F174"/>
    <w:lvl w:ilvl="0" w:tentative="0">
      <w:start w:val="1"/>
      <w:numFmt w:val="decimal"/>
      <w:suff w:val="nothing"/>
      <w:lvlText w:val="（%1）"/>
      <w:lvlJc w:val="left"/>
      <w:pPr>
        <w:ind w:left="280"/>
      </w:pPr>
    </w:lvl>
  </w:abstractNum>
  <w:abstractNum w:abstractNumId="9">
    <w:nsid w:val="C898C2AD"/>
    <w:multiLevelType w:val="singleLevel"/>
    <w:tmpl w:val="C898C2AD"/>
    <w:lvl w:ilvl="0" w:tentative="0">
      <w:start w:val="1"/>
      <w:numFmt w:val="decimal"/>
      <w:suff w:val="nothing"/>
      <w:lvlText w:val="（%1）"/>
      <w:lvlJc w:val="left"/>
    </w:lvl>
  </w:abstractNum>
  <w:abstractNum w:abstractNumId="10">
    <w:nsid w:val="C92A89AA"/>
    <w:multiLevelType w:val="singleLevel"/>
    <w:tmpl w:val="C92A89AA"/>
    <w:lvl w:ilvl="0" w:tentative="0">
      <w:start w:val="1"/>
      <w:numFmt w:val="decimal"/>
      <w:suff w:val="nothing"/>
      <w:lvlText w:val="（%1）"/>
      <w:lvlJc w:val="left"/>
    </w:lvl>
  </w:abstractNum>
  <w:abstractNum w:abstractNumId="1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2">
    <w:nsid w:val="EFE71C0B"/>
    <w:multiLevelType w:val="singleLevel"/>
    <w:tmpl w:val="EFE71C0B"/>
    <w:lvl w:ilvl="0" w:tentative="0">
      <w:start w:val="1"/>
      <w:numFmt w:val="decimal"/>
      <w:suff w:val="nothing"/>
      <w:lvlText w:val="（%1）"/>
      <w:lvlJc w:val="left"/>
      <w:pPr>
        <w:ind w:left="470"/>
      </w:pPr>
    </w:lvl>
  </w:abstractNum>
  <w:abstractNum w:abstractNumId="13">
    <w:nsid w:val="F5990D3C"/>
    <w:multiLevelType w:val="singleLevel"/>
    <w:tmpl w:val="F5990D3C"/>
    <w:lvl w:ilvl="0" w:tentative="0">
      <w:start w:val="4"/>
      <w:numFmt w:val="decimal"/>
      <w:lvlText w:val="%1."/>
      <w:lvlJc w:val="left"/>
      <w:pPr>
        <w:tabs>
          <w:tab w:val="left" w:pos="312"/>
        </w:tabs>
      </w:pPr>
    </w:lvl>
  </w:abstractNum>
  <w:abstractNum w:abstractNumId="14">
    <w:nsid w:val="FC52A02D"/>
    <w:multiLevelType w:val="singleLevel"/>
    <w:tmpl w:val="FC52A02D"/>
    <w:lvl w:ilvl="0" w:tentative="0">
      <w:start w:val="1"/>
      <w:numFmt w:val="decimal"/>
      <w:suff w:val="nothing"/>
      <w:lvlText w:val="（%1）"/>
      <w:lvlJc w:val="left"/>
    </w:lvl>
  </w:abstractNum>
  <w:abstractNum w:abstractNumId="15">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7">
    <w:nsid w:val="0A040430"/>
    <w:multiLevelType w:val="singleLevel"/>
    <w:tmpl w:val="0A040430"/>
    <w:lvl w:ilvl="0" w:tentative="0">
      <w:start w:val="1"/>
      <w:numFmt w:val="decimal"/>
      <w:suff w:val="nothing"/>
      <w:lvlText w:val="（%1）"/>
      <w:lvlJc w:val="left"/>
    </w:lvl>
  </w:abstractNum>
  <w:abstractNum w:abstractNumId="18">
    <w:nsid w:val="1B3C64B6"/>
    <w:multiLevelType w:val="singleLevel"/>
    <w:tmpl w:val="1B3C64B6"/>
    <w:lvl w:ilvl="0" w:tentative="0">
      <w:start w:val="1"/>
      <w:numFmt w:val="decimal"/>
      <w:suff w:val="nothing"/>
      <w:lvlText w:val="（%1）"/>
      <w:lvlJc w:val="left"/>
    </w:lvl>
  </w:abstractNum>
  <w:abstractNum w:abstractNumId="19">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20">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1">
    <w:nsid w:val="2182658F"/>
    <w:multiLevelType w:val="singleLevel"/>
    <w:tmpl w:val="2182658F"/>
    <w:lvl w:ilvl="0" w:tentative="0">
      <w:start w:val="6"/>
      <w:numFmt w:val="chineseCounting"/>
      <w:suff w:val="nothing"/>
      <w:lvlText w:val="%1．"/>
      <w:lvlJc w:val="left"/>
      <w:rPr>
        <w:rFonts w:hint="eastAsia"/>
      </w:rPr>
    </w:lvl>
  </w:abstractNum>
  <w:abstractNum w:abstractNumId="22">
    <w:nsid w:val="2860A2DD"/>
    <w:multiLevelType w:val="singleLevel"/>
    <w:tmpl w:val="2860A2DD"/>
    <w:lvl w:ilvl="0" w:tentative="0">
      <w:start w:val="1"/>
      <w:numFmt w:val="decimal"/>
      <w:suff w:val="nothing"/>
      <w:lvlText w:val="（%1）"/>
      <w:lvlJc w:val="left"/>
    </w:lvl>
  </w:abstractNum>
  <w:abstractNum w:abstractNumId="2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4">
    <w:nsid w:val="32AB3F56"/>
    <w:multiLevelType w:val="singleLevel"/>
    <w:tmpl w:val="32AB3F56"/>
    <w:lvl w:ilvl="0" w:tentative="0">
      <w:start w:val="1"/>
      <w:numFmt w:val="decimal"/>
      <w:suff w:val="nothing"/>
      <w:lvlText w:val="（%1）"/>
      <w:lvlJc w:val="left"/>
      <w:pPr>
        <w:ind w:left="90"/>
      </w:pPr>
    </w:lvl>
  </w:abstractNum>
  <w:abstractNum w:abstractNumId="25">
    <w:nsid w:val="353D83C5"/>
    <w:multiLevelType w:val="singleLevel"/>
    <w:tmpl w:val="353D83C5"/>
    <w:lvl w:ilvl="0" w:tentative="0">
      <w:start w:val="1"/>
      <w:numFmt w:val="decimal"/>
      <w:suff w:val="nothing"/>
      <w:lvlText w:val="（%1）"/>
      <w:lvlJc w:val="left"/>
      <w:pPr>
        <w:ind w:left="-100"/>
      </w:pPr>
    </w:lvl>
  </w:abstractNum>
  <w:abstractNum w:abstractNumId="26">
    <w:nsid w:val="3BBE84A5"/>
    <w:multiLevelType w:val="singleLevel"/>
    <w:tmpl w:val="3BBE84A5"/>
    <w:lvl w:ilvl="0" w:tentative="0">
      <w:start w:val="1"/>
      <w:numFmt w:val="decimal"/>
      <w:suff w:val="nothing"/>
      <w:lvlText w:val="（%1）"/>
      <w:lvlJc w:val="left"/>
      <w:pPr>
        <w:ind w:left="-100"/>
      </w:pPr>
    </w:lvl>
  </w:abstractNum>
  <w:abstractNum w:abstractNumId="2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8">
    <w:nsid w:val="4CB422FD"/>
    <w:multiLevelType w:val="singleLevel"/>
    <w:tmpl w:val="4CB422FD"/>
    <w:lvl w:ilvl="0" w:tentative="0">
      <w:start w:val="12"/>
      <w:numFmt w:val="decimal"/>
      <w:lvlText w:val="%1."/>
      <w:lvlJc w:val="left"/>
      <w:pPr>
        <w:tabs>
          <w:tab w:val="left" w:pos="312"/>
        </w:tabs>
      </w:pPr>
    </w:lvl>
  </w:abstractNum>
  <w:abstractNum w:abstractNumId="29">
    <w:nsid w:val="505BCEDA"/>
    <w:multiLevelType w:val="singleLevel"/>
    <w:tmpl w:val="505BCEDA"/>
    <w:lvl w:ilvl="0" w:tentative="0">
      <w:start w:val="2"/>
      <w:numFmt w:val="decimal"/>
      <w:lvlText w:val="%1."/>
      <w:lvlJc w:val="left"/>
      <w:pPr>
        <w:tabs>
          <w:tab w:val="left" w:pos="312"/>
        </w:tabs>
      </w:pPr>
    </w:lvl>
  </w:abstractNum>
  <w:abstractNum w:abstractNumId="30">
    <w:nsid w:val="6E8C6948"/>
    <w:multiLevelType w:val="singleLevel"/>
    <w:tmpl w:val="6E8C6948"/>
    <w:lvl w:ilvl="0" w:tentative="0">
      <w:start w:val="1"/>
      <w:numFmt w:val="chineseCounting"/>
      <w:suff w:val="space"/>
      <w:lvlText w:val="第%1部分"/>
      <w:lvlJc w:val="left"/>
      <w:rPr>
        <w:rFonts w:hint="eastAsia"/>
      </w:rPr>
    </w:lvl>
  </w:abstractNum>
  <w:abstractNum w:abstractNumId="31">
    <w:nsid w:val="7A612DE2"/>
    <w:multiLevelType w:val="singleLevel"/>
    <w:tmpl w:val="7A612DE2"/>
    <w:lvl w:ilvl="0" w:tentative="0">
      <w:start w:val="2"/>
      <w:numFmt w:val="decimal"/>
      <w:lvlText w:val="%1."/>
      <w:lvlJc w:val="left"/>
      <w:pPr>
        <w:tabs>
          <w:tab w:val="left" w:pos="312"/>
        </w:tabs>
      </w:pPr>
    </w:lvl>
  </w:abstractNum>
  <w:num w:numId="1">
    <w:abstractNumId w:val="15"/>
  </w:num>
  <w:num w:numId="2">
    <w:abstractNumId w:val="30"/>
  </w:num>
  <w:num w:numId="3">
    <w:abstractNumId w:val="4"/>
  </w:num>
  <w:num w:numId="4">
    <w:abstractNumId w:val="31"/>
  </w:num>
  <w:num w:numId="5">
    <w:abstractNumId w:val="20"/>
  </w:num>
  <w:num w:numId="6">
    <w:abstractNumId w:val="16"/>
  </w:num>
  <w:num w:numId="7">
    <w:abstractNumId w:val="27"/>
  </w:num>
  <w:num w:numId="8">
    <w:abstractNumId w:val="11"/>
  </w:num>
  <w:num w:numId="9">
    <w:abstractNumId w:val="23"/>
  </w:num>
  <w:num w:numId="10">
    <w:abstractNumId w:val="19"/>
  </w:num>
  <w:num w:numId="11">
    <w:abstractNumId w:val="29"/>
  </w:num>
  <w:num w:numId="12">
    <w:abstractNumId w:val="21"/>
  </w:num>
  <w:num w:numId="13">
    <w:abstractNumId w:val="22"/>
  </w:num>
  <w:num w:numId="14">
    <w:abstractNumId w:val="7"/>
  </w:num>
  <w:num w:numId="15">
    <w:abstractNumId w:val="25"/>
  </w:num>
  <w:num w:numId="16">
    <w:abstractNumId w:val="26"/>
  </w:num>
  <w:num w:numId="17">
    <w:abstractNumId w:val="24"/>
  </w:num>
  <w:num w:numId="18">
    <w:abstractNumId w:val="6"/>
  </w:num>
  <w:num w:numId="19">
    <w:abstractNumId w:val="17"/>
  </w:num>
  <w:num w:numId="20">
    <w:abstractNumId w:val="18"/>
  </w:num>
  <w:num w:numId="21">
    <w:abstractNumId w:val="10"/>
  </w:num>
  <w:num w:numId="22">
    <w:abstractNumId w:val="2"/>
  </w:num>
  <w:num w:numId="23">
    <w:abstractNumId w:val="5"/>
  </w:num>
  <w:num w:numId="24">
    <w:abstractNumId w:val="28"/>
  </w:num>
  <w:num w:numId="25">
    <w:abstractNumId w:val="9"/>
  </w:num>
  <w:num w:numId="26">
    <w:abstractNumId w:val="14"/>
  </w:num>
  <w:num w:numId="27">
    <w:abstractNumId w:val="8"/>
  </w:num>
  <w:num w:numId="28">
    <w:abstractNumId w:val="12"/>
  </w:num>
  <w:num w:numId="29">
    <w:abstractNumId w:val="3"/>
  </w:num>
  <w:num w:numId="30">
    <w:abstractNumId w:val="13"/>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1A1F11"/>
    <w:rsid w:val="014832F2"/>
    <w:rsid w:val="014D51C1"/>
    <w:rsid w:val="01714809"/>
    <w:rsid w:val="01C52478"/>
    <w:rsid w:val="023B1222"/>
    <w:rsid w:val="025C7FF6"/>
    <w:rsid w:val="027408EE"/>
    <w:rsid w:val="02963F39"/>
    <w:rsid w:val="02A62A31"/>
    <w:rsid w:val="02B3095A"/>
    <w:rsid w:val="02BA7274"/>
    <w:rsid w:val="02C32E43"/>
    <w:rsid w:val="02E61E15"/>
    <w:rsid w:val="03251978"/>
    <w:rsid w:val="0325718A"/>
    <w:rsid w:val="03A67493"/>
    <w:rsid w:val="042921B6"/>
    <w:rsid w:val="043B2EAD"/>
    <w:rsid w:val="043B72BB"/>
    <w:rsid w:val="04461EC1"/>
    <w:rsid w:val="04504B3F"/>
    <w:rsid w:val="04915503"/>
    <w:rsid w:val="0492376F"/>
    <w:rsid w:val="04AD02B8"/>
    <w:rsid w:val="04DE51C8"/>
    <w:rsid w:val="04DF17D4"/>
    <w:rsid w:val="052C6D8B"/>
    <w:rsid w:val="05412745"/>
    <w:rsid w:val="05491761"/>
    <w:rsid w:val="055C1AD8"/>
    <w:rsid w:val="05A351AD"/>
    <w:rsid w:val="05B85D44"/>
    <w:rsid w:val="05F9748A"/>
    <w:rsid w:val="06266F78"/>
    <w:rsid w:val="063E7B7A"/>
    <w:rsid w:val="06582413"/>
    <w:rsid w:val="067E33B8"/>
    <w:rsid w:val="06E82FCB"/>
    <w:rsid w:val="06F34B95"/>
    <w:rsid w:val="07571DAC"/>
    <w:rsid w:val="084859A3"/>
    <w:rsid w:val="08DD171B"/>
    <w:rsid w:val="08E23758"/>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C78293D"/>
    <w:rsid w:val="0D0C2B7B"/>
    <w:rsid w:val="0D5F6D00"/>
    <w:rsid w:val="0D9308F8"/>
    <w:rsid w:val="0DE76C3D"/>
    <w:rsid w:val="0E1A1D85"/>
    <w:rsid w:val="0E750568"/>
    <w:rsid w:val="0E9C3C97"/>
    <w:rsid w:val="0EE46134"/>
    <w:rsid w:val="0F2D7A80"/>
    <w:rsid w:val="0F4277E5"/>
    <w:rsid w:val="0F4C5227"/>
    <w:rsid w:val="0F684B57"/>
    <w:rsid w:val="0FA75561"/>
    <w:rsid w:val="0FB83603"/>
    <w:rsid w:val="0FCA77F1"/>
    <w:rsid w:val="0FCD5DCC"/>
    <w:rsid w:val="0FDB0E3A"/>
    <w:rsid w:val="10043197"/>
    <w:rsid w:val="10270545"/>
    <w:rsid w:val="103409DF"/>
    <w:rsid w:val="106D52D4"/>
    <w:rsid w:val="1087069D"/>
    <w:rsid w:val="108A1D4B"/>
    <w:rsid w:val="10921F4C"/>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2FE6E3A"/>
    <w:rsid w:val="13016943"/>
    <w:rsid w:val="134A6EFE"/>
    <w:rsid w:val="13695B36"/>
    <w:rsid w:val="1372609F"/>
    <w:rsid w:val="13D73572"/>
    <w:rsid w:val="1445350E"/>
    <w:rsid w:val="14504752"/>
    <w:rsid w:val="145A6A37"/>
    <w:rsid w:val="1467440F"/>
    <w:rsid w:val="15191D05"/>
    <w:rsid w:val="153955DC"/>
    <w:rsid w:val="15400323"/>
    <w:rsid w:val="15411ACF"/>
    <w:rsid w:val="15433A9B"/>
    <w:rsid w:val="15481005"/>
    <w:rsid w:val="15584512"/>
    <w:rsid w:val="15A93017"/>
    <w:rsid w:val="15FC2F04"/>
    <w:rsid w:val="16181FAC"/>
    <w:rsid w:val="163C579E"/>
    <w:rsid w:val="164B1DA1"/>
    <w:rsid w:val="16501B6B"/>
    <w:rsid w:val="168756A0"/>
    <w:rsid w:val="16F94849"/>
    <w:rsid w:val="17045E51"/>
    <w:rsid w:val="172011D4"/>
    <w:rsid w:val="17252C3B"/>
    <w:rsid w:val="173F0A2E"/>
    <w:rsid w:val="17770BC2"/>
    <w:rsid w:val="17860E2F"/>
    <w:rsid w:val="17A119AA"/>
    <w:rsid w:val="184515CB"/>
    <w:rsid w:val="18586F2B"/>
    <w:rsid w:val="19442DF9"/>
    <w:rsid w:val="19546FDC"/>
    <w:rsid w:val="19873C1D"/>
    <w:rsid w:val="19A766B9"/>
    <w:rsid w:val="19AF3EFD"/>
    <w:rsid w:val="19CE76BA"/>
    <w:rsid w:val="19F26070"/>
    <w:rsid w:val="19F97C8B"/>
    <w:rsid w:val="1A1523CE"/>
    <w:rsid w:val="1A6A6939"/>
    <w:rsid w:val="1AA730BD"/>
    <w:rsid w:val="1B333D5D"/>
    <w:rsid w:val="1B587618"/>
    <w:rsid w:val="1B5F19C7"/>
    <w:rsid w:val="1B823DEE"/>
    <w:rsid w:val="1C1C709B"/>
    <w:rsid w:val="1C4F6795"/>
    <w:rsid w:val="1C9F6814"/>
    <w:rsid w:val="1CCB626F"/>
    <w:rsid w:val="1D1F0356"/>
    <w:rsid w:val="1D5C514E"/>
    <w:rsid w:val="1D865D14"/>
    <w:rsid w:val="1D8705EC"/>
    <w:rsid w:val="1DD872E4"/>
    <w:rsid w:val="1DE839B1"/>
    <w:rsid w:val="1DEC0E7D"/>
    <w:rsid w:val="1E43150B"/>
    <w:rsid w:val="1EA93E80"/>
    <w:rsid w:val="1ED04B7D"/>
    <w:rsid w:val="1ED33FB6"/>
    <w:rsid w:val="1EE81332"/>
    <w:rsid w:val="1F197111"/>
    <w:rsid w:val="1F32415A"/>
    <w:rsid w:val="1F424861"/>
    <w:rsid w:val="1F542F9A"/>
    <w:rsid w:val="1F702632"/>
    <w:rsid w:val="1F7E2174"/>
    <w:rsid w:val="1FDC6454"/>
    <w:rsid w:val="1FE63629"/>
    <w:rsid w:val="20107567"/>
    <w:rsid w:val="2035487C"/>
    <w:rsid w:val="204149A4"/>
    <w:rsid w:val="20916A7C"/>
    <w:rsid w:val="20AB56C6"/>
    <w:rsid w:val="2101751A"/>
    <w:rsid w:val="214A3F2E"/>
    <w:rsid w:val="21547789"/>
    <w:rsid w:val="2176507C"/>
    <w:rsid w:val="217C1026"/>
    <w:rsid w:val="21BE35AF"/>
    <w:rsid w:val="21C11174"/>
    <w:rsid w:val="22244B28"/>
    <w:rsid w:val="22467FD4"/>
    <w:rsid w:val="229451FD"/>
    <w:rsid w:val="22A12DB6"/>
    <w:rsid w:val="22D11FA9"/>
    <w:rsid w:val="22F876EB"/>
    <w:rsid w:val="236356D1"/>
    <w:rsid w:val="236B5802"/>
    <w:rsid w:val="23751CDA"/>
    <w:rsid w:val="23A853E5"/>
    <w:rsid w:val="23A91C83"/>
    <w:rsid w:val="23C962E8"/>
    <w:rsid w:val="247E4FED"/>
    <w:rsid w:val="24AD78E0"/>
    <w:rsid w:val="24B30BE8"/>
    <w:rsid w:val="24E34060"/>
    <w:rsid w:val="253A0491"/>
    <w:rsid w:val="254E0478"/>
    <w:rsid w:val="25E036B2"/>
    <w:rsid w:val="25E9082A"/>
    <w:rsid w:val="25F42473"/>
    <w:rsid w:val="26372DC2"/>
    <w:rsid w:val="269C17B8"/>
    <w:rsid w:val="26AF2D79"/>
    <w:rsid w:val="26B34B91"/>
    <w:rsid w:val="27014C27"/>
    <w:rsid w:val="270D66E8"/>
    <w:rsid w:val="27514612"/>
    <w:rsid w:val="278B0DAB"/>
    <w:rsid w:val="279C6B0E"/>
    <w:rsid w:val="27A64735"/>
    <w:rsid w:val="27CC4DF2"/>
    <w:rsid w:val="281864F2"/>
    <w:rsid w:val="286903EF"/>
    <w:rsid w:val="287F5DD3"/>
    <w:rsid w:val="288047CB"/>
    <w:rsid w:val="289E62FA"/>
    <w:rsid w:val="28FD6E90"/>
    <w:rsid w:val="29025453"/>
    <w:rsid w:val="291E2CA6"/>
    <w:rsid w:val="29331862"/>
    <w:rsid w:val="29861C3F"/>
    <w:rsid w:val="299741EC"/>
    <w:rsid w:val="299E147F"/>
    <w:rsid w:val="29C32A87"/>
    <w:rsid w:val="29CF26DC"/>
    <w:rsid w:val="2A1C5DA0"/>
    <w:rsid w:val="2A200D39"/>
    <w:rsid w:val="2A280AB9"/>
    <w:rsid w:val="2A456741"/>
    <w:rsid w:val="2A507EFF"/>
    <w:rsid w:val="2ADC05A4"/>
    <w:rsid w:val="2AEF2177"/>
    <w:rsid w:val="2B0C3E36"/>
    <w:rsid w:val="2B5D60D4"/>
    <w:rsid w:val="2B6F0D7F"/>
    <w:rsid w:val="2B8716BD"/>
    <w:rsid w:val="2B8B76FF"/>
    <w:rsid w:val="2BC6064F"/>
    <w:rsid w:val="2BD5034F"/>
    <w:rsid w:val="2BE05C4E"/>
    <w:rsid w:val="2C924AE7"/>
    <w:rsid w:val="2CB77649"/>
    <w:rsid w:val="2D025012"/>
    <w:rsid w:val="2D3B693B"/>
    <w:rsid w:val="2D4178F0"/>
    <w:rsid w:val="2D7711AA"/>
    <w:rsid w:val="2D7D58EB"/>
    <w:rsid w:val="2DA45D22"/>
    <w:rsid w:val="2DAE631A"/>
    <w:rsid w:val="2DD65954"/>
    <w:rsid w:val="2DD877E0"/>
    <w:rsid w:val="2DE616C9"/>
    <w:rsid w:val="2DE801DF"/>
    <w:rsid w:val="2DFC2451"/>
    <w:rsid w:val="2E3422F8"/>
    <w:rsid w:val="2E3D68D2"/>
    <w:rsid w:val="2E40089D"/>
    <w:rsid w:val="2E453743"/>
    <w:rsid w:val="2E6E566D"/>
    <w:rsid w:val="2E7F188E"/>
    <w:rsid w:val="2E866DE4"/>
    <w:rsid w:val="2EA91D49"/>
    <w:rsid w:val="2EBC0905"/>
    <w:rsid w:val="2EC73739"/>
    <w:rsid w:val="2EFB1B0E"/>
    <w:rsid w:val="2F5C684F"/>
    <w:rsid w:val="2F63756E"/>
    <w:rsid w:val="2F6812EF"/>
    <w:rsid w:val="2F922AC9"/>
    <w:rsid w:val="2FE6553A"/>
    <w:rsid w:val="303D4E30"/>
    <w:rsid w:val="30767505"/>
    <w:rsid w:val="307776D1"/>
    <w:rsid w:val="30862574"/>
    <w:rsid w:val="309D1AAC"/>
    <w:rsid w:val="30A36336"/>
    <w:rsid w:val="30AD52F3"/>
    <w:rsid w:val="30B631E1"/>
    <w:rsid w:val="30ED01B3"/>
    <w:rsid w:val="30F658E4"/>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5E036E"/>
    <w:rsid w:val="34A7571D"/>
    <w:rsid w:val="34C47852"/>
    <w:rsid w:val="34DE1E4F"/>
    <w:rsid w:val="34EE6F73"/>
    <w:rsid w:val="34F07DB1"/>
    <w:rsid w:val="357E6FD1"/>
    <w:rsid w:val="359009FB"/>
    <w:rsid w:val="35D354B8"/>
    <w:rsid w:val="35D4025C"/>
    <w:rsid w:val="35FD6C0E"/>
    <w:rsid w:val="36047920"/>
    <w:rsid w:val="362666BC"/>
    <w:rsid w:val="363646D4"/>
    <w:rsid w:val="368A6B11"/>
    <w:rsid w:val="36ED2AA8"/>
    <w:rsid w:val="36F44712"/>
    <w:rsid w:val="37085B1F"/>
    <w:rsid w:val="372E04CB"/>
    <w:rsid w:val="37DE3EDF"/>
    <w:rsid w:val="38783D6C"/>
    <w:rsid w:val="387A46CB"/>
    <w:rsid w:val="38E070F2"/>
    <w:rsid w:val="390D33AB"/>
    <w:rsid w:val="391E6D06"/>
    <w:rsid w:val="39573D9E"/>
    <w:rsid w:val="39D63AE8"/>
    <w:rsid w:val="3A074847"/>
    <w:rsid w:val="3A830B2E"/>
    <w:rsid w:val="3AA90FE6"/>
    <w:rsid w:val="3AA9318F"/>
    <w:rsid w:val="3AB62DA0"/>
    <w:rsid w:val="3B057828"/>
    <w:rsid w:val="3B69577B"/>
    <w:rsid w:val="3B702D85"/>
    <w:rsid w:val="3B7D3FD5"/>
    <w:rsid w:val="3B7F4E52"/>
    <w:rsid w:val="3B823DDF"/>
    <w:rsid w:val="3BC4191A"/>
    <w:rsid w:val="3BD827B4"/>
    <w:rsid w:val="3C1D3AA1"/>
    <w:rsid w:val="3C237ED3"/>
    <w:rsid w:val="3C4D2D59"/>
    <w:rsid w:val="3C872CDC"/>
    <w:rsid w:val="3CAA596A"/>
    <w:rsid w:val="3CAF1D22"/>
    <w:rsid w:val="3CB1587B"/>
    <w:rsid w:val="3CB735F2"/>
    <w:rsid w:val="3D186684"/>
    <w:rsid w:val="3D260E6E"/>
    <w:rsid w:val="3D363C36"/>
    <w:rsid w:val="3D686B10"/>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05F7AAA"/>
    <w:rsid w:val="411411E7"/>
    <w:rsid w:val="4117385A"/>
    <w:rsid w:val="412732B7"/>
    <w:rsid w:val="4127791F"/>
    <w:rsid w:val="41281794"/>
    <w:rsid w:val="413C1FDF"/>
    <w:rsid w:val="41806A69"/>
    <w:rsid w:val="41B0259C"/>
    <w:rsid w:val="41B77686"/>
    <w:rsid w:val="41BC6F1C"/>
    <w:rsid w:val="41EF2363"/>
    <w:rsid w:val="41F77860"/>
    <w:rsid w:val="424A4B98"/>
    <w:rsid w:val="42581D3A"/>
    <w:rsid w:val="428E23A1"/>
    <w:rsid w:val="42CC5625"/>
    <w:rsid w:val="42CC79A8"/>
    <w:rsid w:val="42ED2EA4"/>
    <w:rsid w:val="42F6649D"/>
    <w:rsid w:val="42FE0080"/>
    <w:rsid w:val="43315D2E"/>
    <w:rsid w:val="43670C99"/>
    <w:rsid w:val="43824A1C"/>
    <w:rsid w:val="43D110E1"/>
    <w:rsid w:val="43E873C9"/>
    <w:rsid w:val="441575BD"/>
    <w:rsid w:val="44905B1F"/>
    <w:rsid w:val="45056C1E"/>
    <w:rsid w:val="450C3955"/>
    <w:rsid w:val="45316885"/>
    <w:rsid w:val="45A95EE9"/>
    <w:rsid w:val="45FB0F21"/>
    <w:rsid w:val="46167166"/>
    <w:rsid w:val="46174EF7"/>
    <w:rsid w:val="4636719A"/>
    <w:rsid w:val="465859F2"/>
    <w:rsid w:val="47200EE3"/>
    <w:rsid w:val="47435AC2"/>
    <w:rsid w:val="47544B78"/>
    <w:rsid w:val="47587AF7"/>
    <w:rsid w:val="47745A86"/>
    <w:rsid w:val="47886D63"/>
    <w:rsid w:val="47E239AC"/>
    <w:rsid w:val="480F4B73"/>
    <w:rsid w:val="487974BD"/>
    <w:rsid w:val="48AE506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AF21305"/>
    <w:rsid w:val="4B260F2D"/>
    <w:rsid w:val="4B9049B6"/>
    <w:rsid w:val="4B9A1456"/>
    <w:rsid w:val="4BA32C82"/>
    <w:rsid w:val="4BD134C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3717A4"/>
    <w:rsid w:val="4D4C4DB0"/>
    <w:rsid w:val="4D7322D5"/>
    <w:rsid w:val="4DC51539"/>
    <w:rsid w:val="4DD7034C"/>
    <w:rsid w:val="4DE312CB"/>
    <w:rsid w:val="4DF5318E"/>
    <w:rsid w:val="4E1F4862"/>
    <w:rsid w:val="4E2E4393"/>
    <w:rsid w:val="4E535EF2"/>
    <w:rsid w:val="4E9E55D0"/>
    <w:rsid w:val="4F08773C"/>
    <w:rsid w:val="4F102B4E"/>
    <w:rsid w:val="4F31409F"/>
    <w:rsid w:val="4F5955B2"/>
    <w:rsid w:val="4F5E670E"/>
    <w:rsid w:val="4F846A83"/>
    <w:rsid w:val="50070E2C"/>
    <w:rsid w:val="501112F3"/>
    <w:rsid w:val="504B57F2"/>
    <w:rsid w:val="50C5433A"/>
    <w:rsid w:val="50C62BC7"/>
    <w:rsid w:val="50F72A66"/>
    <w:rsid w:val="5123368C"/>
    <w:rsid w:val="5130747C"/>
    <w:rsid w:val="515C765A"/>
    <w:rsid w:val="51905BB3"/>
    <w:rsid w:val="51946FCB"/>
    <w:rsid w:val="51D87A1D"/>
    <w:rsid w:val="51DD796B"/>
    <w:rsid w:val="51DF373B"/>
    <w:rsid w:val="51F37860"/>
    <w:rsid w:val="51F83C2D"/>
    <w:rsid w:val="52CA1AD4"/>
    <w:rsid w:val="52CF3E41"/>
    <w:rsid w:val="52EF4CB5"/>
    <w:rsid w:val="52F959F0"/>
    <w:rsid w:val="5302488E"/>
    <w:rsid w:val="53136173"/>
    <w:rsid w:val="533757EA"/>
    <w:rsid w:val="534B12B7"/>
    <w:rsid w:val="539A4AC7"/>
    <w:rsid w:val="5420228D"/>
    <w:rsid w:val="542631B6"/>
    <w:rsid w:val="544536F0"/>
    <w:rsid w:val="5447483C"/>
    <w:rsid w:val="5474625A"/>
    <w:rsid w:val="54942CAE"/>
    <w:rsid w:val="54A61722"/>
    <w:rsid w:val="54B31FAF"/>
    <w:rsid w:val="54C211D8"/>
    <w:rsid w:val="54CE2999"/>
    <w:rsid w:val="54E97446"/>
    <w:rsid w:val="551F3E29"/>
    <w:rsid w:val="55326D63"/>
    <w:rsid w:val="554618F6"/>
    <w:rsid w:val="555C4076"/>
    <w:rsid w:val="555D1A10"/>
    <w:rsid w:val="56394926"/>
    <w:rsid w:val="56AC4A78"/>
    <w:rsid w:val="56DB16B9"/>
    <w:rsid w:val="56F71510"/>
    <w:rsid w:val="577A3463"/>
    <w:rsid w:val="57B05359"/>
    <w:rsid w:val="57F967AD"/>
    <w:rsid w:val="58052975"/>
    <w:rsid w:val="584D1A65"/>
    <w:rsid w:val="584F5C44"/>
    <w:rsid w:val="58504D6C"/>
    <w:rsid w:val="58B24664"/>
    <w:rsid w:val="58E525CA"/>
    <w:rsid w:val="58E55347"/>
    <w:rsid w:val="58EE7372"/>
    <w:rsid w:val="593873A0"/>
    <w:rsid w:val="593C0774"/>
    <w:rsid w:val="593D045A"/>
    <w:rsid w:val="5960739E"/>
    <w:rsid w:val="59896D0A"/>
    <w:rsid w:val="59972C8B"/>
    <w:rsid w:val="59B72684"/>
    <w:rsid w:val="5A295A8C"/>
    <w:rsid w:val="5A9579AE"/>
    <w:rsid w:val="5AA314BD"/>
    <w:rsid w:val="5AC468CD"/>
    <w:rsid w:val="5AEF1058"/>
    <w:rsid w:val="5B342B9A"/>
    <w:rsid w:val="5B5953B0"/>
    <w:rsid w:val="5B630802"/>
    <w:rsid w:val="5B807F68"/>
    <w:rsid w:val="5B822BA5"/>
    <w:rsid w:val="5BA72CE5"/>
    <w:rsid w:val="5C034D53"/>
    <w:rsid w:val="5CC81D66"/>
    <w:rsid w:val="5D722852"/>
    <w:rsid w:val="5E1D6F56"/>
    <w:rsid w:val="5E473CC7"/>
    <w:rsid w:val="5E52187F"/>
    <w:rsid w:val="5E6A13CD"/>
    <w:rsid w:val="5E705D15"/>
    <w:rsid w:val="5E93326C"/>
    <w:rsid w:val="5E9F1A7A"/>
    <w:rsid w:val="5EAF3818"/>
    <w:rsid w:val="5EFB4BA4"/>
    <w:rsid w:val="5EFE2597"/>
    <w:rsid w:val="5F025452"/>
    <w:rsid w:val="5F5F4412"/>
    <w:rsid w:val="5F5F46B5"/>
    <w:rsid w:val="5F6762C1"/>
    <w:rsid w:val="5F985C58"/>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A50F2B"/>
    <w:rsid w:val="62B362C8"/>
    <w:rsid w:val="62C1330E"/>
    <w:rsid w:val="6342085E"/>
    <w:rsid w:val="636F415C"/>
    <w:rsid w:val="63D22876"/>
    <w:rsid w:val="64917820"/>
    <w:rsid w:val="64AA1CC5"/>
    <w:rsid w:val="64B458FD"/>
    <w:rsid w:val="6528341F"/>
    <w:rsid w:val="656B2909"/>
    <w:rsid w:val="659B459C"/>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AF7607"/>
    <w:rsid w:val="68EE72DF"/>
    <w:rsid w:val="690B4C92"/>
    <w:rsid w:val="690B7907"/>
    <w:rsid w:val="69175F5C"/>
    <w:rsid w:val="69485FEA"/>
    <w:rsid w:val="69677DC0"/>
    <w:rsid w:val="69937EC7"/>
    <w:rsid w:val="69D64558"/>
    <w:rsid w:val="69E3623E"/>
    <w:rsid w:val="6A042548"/>
    <w:rsid w:val="6A471EFD"/>
    <w:rsid w:val="6A480B98"/>
    <w:rsid w:val="6A4B0A88"/>
    <w:rsid w:val="6AB57116"/>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42052D"/>
    <w:rsid w:val="6E5A5288"/>
    <w:rsid w:val="6E8E65DD"/>
    <w:rsid w:val="6EBD310B"/>
    <w:rsid w:val="6EE013EE"/>
    <w:rsid w:val="6EE079F1"/>
    <w:rsid w:val="6EE42C42"/>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772A9"/>
    <w:rsid w:val="71691ABB"/>
    <w:rsid w:val="71AD6B5C"/>
    <w:rsid w:val="71AE1AEA"/>
    <w:rsid w:val="71C00FD3"/>
    <w:rsid w:val="71CF3B6C"/>
    <w:rsid w:val="71F80F33"/>
    <w:rsid w:val="722922C6"/>
    <w:rsid w:val="727176A7"/>
    <w:rsid w:val="72A61BB4"/>
    <w:rsid w:val="72CB03A1"/>
    <w:rsid w:val="732D4B5D"/>
    <w:rsid w:val="73393C88"/>
    <w:rsid w:val="7362513F"/>
    <w:rsid w:val="73771D49"/>
    <w:rsid w:val="73A1354E"/>
    <w:rsid w:val="73D20C3F"/>
    <w:rsid w:val="73E035D5"/>
    <w:rsid w:val="743D0241"/>
    <w:rsid w:val="747B7149"/>
    <w:rsid w:val="74855143"/>
    <w:rsid w:val="74A11E7D"/>
    <w:rsid w:val="7550071B"/>
    <w:rsid w:val="75590B0A"/>
    <w:rsid w:val="7582279F"/>
    <w:rsid w:val="75843EB5"/>
    <w:rsid w:val="75912FA2"/>
    <w:rsid w:val="75BB71AF"/>
    <w:rsid w:val="75E62752"/>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78182B"/>
    <w:rsid w:val="78CD6DCC"/>
    <w:rsid w:val="78D07CAF"/>
    <w:rsid w:val="78DE12D7"/>
    <w:rsid w:val="79210683"/>
    <w:rsid w:val="799C3465"/>
    <w:rsid w:val="79B14EC4"/>
    <w:rsid w:val="7A025270"/>
    <w:rsid w:val="7A2A6B4A"/>
    <w:rsid w:val="7A681070"/>
    <w:rsid w:val="7A860C7C"/>
    <w:rsid w:val="7AB879FE"/>
    <w:rsid w:val="7B3264DD"/>
    <w:rsid w:val="7B81188A"/>
    <w:rsid w:val="7B827630"/>
    <w:rsid w:val="7B9E2902"/>
    <w:rsid w:val="7BC854E2"/>
    <w:rsid w:val="7C0562EC"/>
    <w:rsid w:val="7C067A45"/>
    <w:rsid w:val="7C0D2ED7"/>
    <w:rsid w:val="7C1C072C"/>
    <w:rsid w:val="7C27683F"/>
    <w:rsid w:val="7C8A5545"/>
    <w:rsid w:val="7CB14B4D"/>
    <w:rsid w:val="7CB21F89"/>
    <w:rsid w:val="7CF26969"/>
    <w:rsid w:val="7D25523C"/>
    <w:rsid w:val="7D492B3F"/>
    <w:rsid w:val="7DB23041"/>
    <w:rsid w:val="7E5F7809"/>
    <w:rsid w:val="7ED56C53"/>
    <w:rsid w:val="7EEA1BAF"/>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139"/>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next w:val="1"/>
    <w:qFormat/>
    <w:uiPriority w:val="99"/>
    <w:pPr>
      <w:ind w:firstLine="420" w:firstLineChars="200"/>
    </w:pPr>
    <w:rPr>
      <w:kern w:val="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4"/>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5"/>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4"/>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2"/>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9">
    <w:name w:val="标题 2 Char"/>
    <w:basedOn w:val="43"/>
    <w:link w:val="4"/>
    <w:qFormat/>
    <w:uiPriority w:val="0"/>
    <w:rPr>
      <w:rFonts w:ascii="Arial" w:hAnsi="Arial" w:eastAsia="宋体" w:cs="宋体"/>
      <w:b/>
      <w:kern w:val="2"/>
      <w:sz w:val="30"/>
      <w:lang w:val="en-US" w:eastAsia="zh-CN"/>
    </w:rPr>
  </w:style>
  <w:style w:type="character" w:customStyle="1" w:styleId="140">
    <w:name w:val="font12"/>
    <w:basedOn w:val="43"/>
    <w:qFormat/>
    <w:uiPriority w:val="0"/>
    <w:rPr>
      <w:rFonts w:hint="eastAsia" w:ascii="微软雅黑" w:hAnsi="微软雅黑" w:eastAsia="微软雅黑" w:cs="微软雅黑"/>
      <w:b/>
      <w:bCs/>
      <w:color w:val="000000"/>
      <w:sz w:val="22"/>
      <w:szCs w:val="22"/>
      <w:u w:val="none"/>
    </w:rPr>
  </w:style>
  <w:style w:type="character" w:customStyle="1" w:styleId="141">
    <w:name w:val="font31"/>
    <w:basedOn w:val="43"/>
    <w:qFormat/>
    <w:uiPriority w:val="0"/>
    <w:rPr>
      <w:rFonts w:hint="eastAsia" w:ascii="微软雅黑" w:hAnsi="微软雅黑" w:eastAsia="微软雅黑" w:cs="微软雅黑"/>
      <w:color w:val="000000"/>
      <w:sz w:val="22"/>
      <w:szCs w:val="22"/>
      <w:u w:val="none"/>
    </w:rPr>
  </w:style>
  <w:style w:type="character" w:customStyle="1" w:styleId="142">
    <w:name w:val="font21"/>
    <w:basedOn w:val="43"/>
    <w:qFormat/>
    <w:uiPriority w:val="0"/>
    <w:rPr>
      <w:rFonts w:hint="eastAsia" w:ascii="仿宋" w:hAnsi="仿宋" w:eastAsia="仿宋" w:cs="仿宋"/>
      <w:color w:val="000000"/>
      <w:sz w:val="24"/>
      <w:szCs w:val="24"/>
      <w:u w:val="none"/>
    </w:rPr>
  </w:style>
  <w:style w:type="character" w:customStyle="1" w:styleId="143">
    <w:name w:val="font91"/>
    <w:basedOn w:val="43"/>
    <w:qFormat/>
    <w:uiPriority w:val="0"/>
    <w:rPr>
      <w:rFonts w:hint="eastAsia" w:ascii="微软雅黑" w:hAnsi="微软雅黑" w:eastAsia="微软雅黑" w:cs="微软雅黑"/>
      <w:color w:val="000000"/>
      <w:sz w:val="21"/>
      <w:szCs w:val="21"/>
      <w:u w:val="none"/>
    </w:rPr>
  </w:style>
  <w:style w:type="character" w:customStyle="1" w:styleId="144">
    <w:name w:val="font101"/>
    <w:basedOn w:val="43"/>
    <w:qFormat/>
    <w:uiPriority w:val="0"/>
    <w:rPr>
      <w:rFonts w:hint="default" w:ascii="Arial" w:hAnsi="Arial" w:cs="Arial"/>
      <w:color w:val="000000"/>
      <w:sz w:val="21"/>
      <w:szCs w:val="21"/>
      <w:u w:val="none"/>
    </w:rPr>
  </w:style>
  <w:style w:type="character" w:customStyle="1" w:styleId="145">
    <w:name w:val="font111"/>
    <w:basedOn w:val="43"/>
    <w:qFormat/>
    <w:uiPriority w:val="0"/>
    <w:rPr>
      <w:rFonts w:hint="eastAsia" w:ascii="宋体" w:hAnsi="宋体" w:eastAsia="宋体" w:cs="宋体"/>
      <w:color w:val="000000"/>
      <w:sz w:val="21"/>
      <w:szCs w:val="21"/>
      <w:u w:val="none"/>
    </w:rPr>
  </w:style>
  <w:style w:type="paragraph" w:customStyle="1" w:styleId="146">
    <w:name w:val="1正文段落"/>
    <w:basedOn w:val="1"/>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header" Target="header9.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31566</Words>
  <Characters>33036</Characters>
  <Lines>305</Lines>
  <Paragraphs>86</Paragraphs>
  <TotalTime>35</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赵翊旭</cp:lastModifiedBy>
  <cp:lastPrinted>2022-07-01T03:19:00Z</cp:lastPrinted>
  <dcterms:modified xsi:type="dcterms:W3CDTF">2025-03-06T07:21:37Z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5B77E7CEEC58BC6AFAE8886BEB80DBEB">
    <vt:lpwstr>otCYQxs9Dbw2bUEn/Soxv9pYAoWsCRIsU8+gIbxzzmNcJN13+qHIPyWmbF9hFzPHyi2m8DLwi54E5OVVM5pJ0yGmgAiYTaR6oYUdYZxdjep6I9xviFUFZ9aTScfBW9OGHxU9g/x/GsUKmlB3XRENHHne3SB2rqnsweIJ9fHSNJbmzeBar1c52blWMcNxwB1dLCOR+SRw9v9LxTPLxhGQE7JaQTsO8+p7Y/Q0uHlZEJoPijDaymm61/rqTEihwpNRN4aK7DqRaMt5QYVhiZw7L/0S+maCbsmiJ6KQTJrdFFNLwTfJAF8/U94803122gwT9rZN5fot75t5crokVWM5IImsLxk1STtdmi2uvRi9gh8jc1ZI1PIkVchzMU/kka8bXgB04jy4yzi5kOODPZnnkDVANq57fiK1Z7s5gnEMA3S2YtFzUWfMyEQR/a+Be75ByhffFJKF4k3Jb1waiVGClmpig54rAFK4A/iwz665Dyn2bBNvOqQFLd8fmOzqcN374Y/j3E7i49aTWoeg4nZiyifrBCogNMuREtsmEb12Lh605N76G+32aPgompgDsFjdTH5zyubjfa/JiXwVFz3z8FsLi0Ka8+E04PYrno8ulUQ=</vt:lpwstr>
  </property>
</Properties>
</file>