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ascii="宋体" w:hAnsi="宋体"/>
          <w:sz w:val="36"/>
          <w:szCs w:val="36"/>
        </w:rPr>
      </w:pPr>
      <w:r>
        <w:rPr>
          <w:rFonts w:hint="eastAsia" w:ascii="宋体" w:hAnsi="宋体"/>
          <w:sz w:val="36"/>
          <w:szCs w:val="36"/>
        </w:rPr>
        <w:t>中国重型汽车集团有限公司</w:t>
      </w:r>
    </w:p>
    <w:p>
      <w:pPr>
        <w:jc w:val="center"/>
        <w:rPr>
          <w:sz w:val="36"/>
          <w:szCs w:val="36"/>
        </w:rPr>
      </w:pPr>
      <w:r>
        <w:rPr>
          <w:rFonts w:hint="eastAsia"/>
          <w:sz w:val="36"/>
          <w:szCs w:val="36"/>
        </w:rPr>
        <w:t>20</w:t>
      </w:r>
      <w:r>
        <w:rPr>
          <w:sz w:val="36"/>
          <w:szCs w:val="36"/>
        </w:rPr>
        <w:t>2</w:t>
      </w:r>
      <w:r>
        <w:rPr>
          <w:rFonts w:hint="eastAsia"/>
          <w:sz w:val="36"/>
          <w:szCs w:val="36"/>
          <w:lang w:val="en-US" w:eastAsia="zh-CN"/>
        </w:rPr>
        <w:t>5</w:t>
      </w:r>
      <w:r>
        <w:rPr>
          <w:rFonts w:hint="eastAsia"/>
          <w:sz w:val="36"/>
          <w:szCs w:val="36"/>
        </w:rPr>
        <w:t>年-202</w:t>
      </w:r>
      <w:r>
        <w:rPr>
          <w:rFonts w:hint="eastAsia"/>
          <w:sz w:val="36"/>
          <w:szCs w:val="36"/>
          <w:lang w:val="en-US" w:eastAsia="zh-CN"/>
        </w:rPr>
        <w:t>7</w:t>
      </w:r>
      <w:r>
        <w:rPr>
          <w:rFonts w:hint="eastAsia"/>
          <w:sz w:val="36"/>
          <w:szCs w:val="36"/>
        </w:rPr>
        <w:t>年能源管理体系认证</w:t>
      </w:r>
      <w:r>
        <w:rPr>
          <w:rFonts w:hint="eastAsia"/>
          <w:sz w:val="36"/>
          <w:szCs w:val="36"/>
          <w:lang w:val="en-US" w:eastAsia="zh-CN"/>
        </w:rPr>
        <w:t>审核</w:t>
      </w:r>
      <w:r>
        <w:rPr>
          <w:rFonts w:hint="eastAsia"/>
          <w:sz w:val="36"/>
          <w:szCs w:val="36"/>
        </w:rPr>
        <w:t>项目</w:t>
      </w:r>
    </w:p>
    <w:p>
      <w:pPr>
        <w:jc w:val="center"/>
        <w:rPr>
          <w:sz w:val="28"/>
          <w:szCs w:val="28"/>
        </w:rPr>
      </w:pPr>
      <w:r>
        <w:rPr>
          <w:rFonts w:hint="eastAsia"/>
          <w:sz w:val="28"/>
          <w:szCs w:val="28"/>
        </w:rPr>
        <w:t>招标编号：CGZX2025030126</w:t>
      </w:r>
    </w:p>
    <w:p>
      <w:pPr>
        <w:jc w:val="center"/>
        <w:rPr>
          <w:sz w:val="28"/>
          <w:szCs w:val="28"/>
        </w:rPr>
      </w:pPr>
    </w:p>
    <w:p>
      <w:pPr>
        <w:jc w:val="center"/>
        <w:rPr>
          <w:rFonts w:hint="eastAsia"/>
          <w:sz w:val="28"/>
          <w:szCs w:val="28"/>
        </w:rPr>
      </w:pPr>
    </w:p>
    <w:p>
      <w:pPr>
        <w:jc w:val="center"/>
        <w:rPr>
          <w:rFonts w:hint="eastAsia" w:ascii="黑体" w:hAnsi="宋体" w:eastAsia="黑体"/>
          <w:sz w:val="84"/>
          <w:szCs w:val="84"/>
        </w:rPr>
      </w:pPr>
      <w:r>
        <w:rPr>
          <w:rFonts w:hint="eastAsia" w:ascii="黑体" w:hAnsi="宋体" w:eastAsia="黑体"/>
          <w:sz w:val="84"/>
          <w:szCs w:val="84"/>
        </w:rPr>
        <w:t>招</w:t>
      </w:r>
    </w:p>
    <w:p>
      <w:pPr>
        <w:jc w:val="center"/>
        <w:rPr>
          <w:rFonts w:hint="eastAsia" w:ascii="黑体" w:hAnsi="宋体" w:eastAsia="黑体"/>
          <w:sz w:val="84"/>
          <w:szCs w:val="84"/>
        </w:rPr>
      </w:pPr>
    </w:p>
    <w:p>
      <w:pPr>
        <w:jc w:val="center"/>
        <w:rPr>
          <w:rFonts w:hint="eastAsia" w:ascii="黑体" w:hAnsi="宋体" w:eastAsia="黑体"/>
          <w:sz w:val="84"/>
          <w:szCs w:val="84"/>
        </w:rPr>
      </w:pPr>
      <w:r>
        <w:rPr>
          <w:rFonts w:hint="eastAsia" w:ascii="黑体" w:hAnsi="宋体" w:eastAsia="黑体"/>
          <w:sz w:val="84"/>
          <w:szCs w:val="84"/>
        </w:rPr>
        <w:t>标</w:t>
      </w:r>
    </w:p>
    <w:p>
      <w:pPr>
        <w:jc w:val="center"/>
        <w:rPr>
          <w:rFonts w:hint="eastAsia" w:ascii="黑体" w:hAnsi="宋体" w:eastAsia="黑体"/>
          <w:sz w:val="84"/>
          <w:szCs w:val="84"/>
        </w:rPr>
      </w:pPr>
    </w:p>
    <w:p>
      <w:pPr>
        <w:jc w:val="center"/>
        <w:rPr>
          <w:rFonts w:hint="eastAsia" w:ascii="宋体" w:hAnsi="宋体"/>
          <w:sz w:val="72"/>
          <w:szCs w:val="72"/>
        </w:rPr>
      </w:pPr>
      <w:r>
        <w:rPr>
          <w:rFonts w:hint="eastAsia" w:ascii="黑体" w:hAnsi="宋体" w:eastAsia="黑体"/>
          <w:sz w:val="84"/>
          <w:szCs w:val="84"/>
        </w:rPr>
        <w:t>书</w:t>
      </w:r>
    </w:p>
    <w:p>
      <w:pPr>
        <w:jc w:val="center"/>
        <w:rPr>
          <w:rFonts w:ascii="宋体" w:hAnsi="宋体"/>
          <w:sz w:val="48"/>
          <w:szCs w:val="48"/>
        </w:rPr>
      </w:pPr>
    </w:p>
    <w:p>
      <w:pPr>
        <w:jc w:val="center"/>
        <w:rPr>
          <w:rFonts w:ascii="宋体" w:hAnsi="宋体"/>
          <w:sz w:val="48"/>
          <w:szCs w:val="48"/>
        </w:rPr>
      </w:pPr>
    </w:p>
    <w:p>
      <w:pPr>
        <w:rPr>
          <w:rFonts w:hint="eastAsia" w:ascii="宋体" w:hAnsi="宋体"/>
          <w:sz w:val="28"/>
          <w:szCs w:val="28"/>
        </w:rPr>
      </w:pPr>
    </w:p>
    <w:p>
      <w:pPr>
        <w:jc w:val="center"/>
        <w:rPr>
          <w:rFonts w:ascii="宋体" w:hAnsi="宋体"/>
          <w:sz w:val="28"/>
          <w:szCs w:val="28"/>
        </w:rPr>
      </w:pPr>
      <w:r>
        <w:rPr>
          <w:rFonts w:hint="eastAsia" w:ascii="宋体" w:hAnsi="宋体"/>
          <w:sz w:val="28"/>
          <w:szCs w:val="28"/>
        </w:rPr>
        <w:t>招 标 人：中国重型汽车集团有限公司</w:t>
      </w:r>
    </w:p>
    <w:p>
      <w:pPr>
        <w:jc w:val="center"/>
        <w:rPr>
          <w:rFonts w:hint="eastAsia" w:ascii="宋体" w:hAnsi="宋体"/>
          <w:sz w:val="28"/>
          <w:szCs w:val="28"/>
          <w:highlight w:val="none"/>
        </w:rPr>
      </w:pPr>
      <w:r>
        <w:rPr>
          <w:rFonts w:hint="eastAsia" w:ascii="宋体" w:hAnsi="宋体"/>
          <w:sz w:val="28"/>
          <w:szCs w:val="28"/>
        </w:rPr>
        <w:t>时间：20</w:t>
      </w:r>
      <w:r>
        <w:rPr>
          <w:rFonts w:ascii="宋体" w:hAnsi="宋体"/>
          <w:sz w:val="28"/>
          <w:szCs w:val="28"/>
        </w:rPr>
        <w:t>2</w:t>
      </w:r>
      <w:r>
        <w:rPr>
          <w:rFonts w:hint="eastAsia" w:ascii="宋体" w:hAnsi="宋体"/>
          <w:sz w:val="28"/>
          <w:szCs w:val="28"/>
          <w:lang w:val="en-US" w:eastAsia="zh-CN"/>
        </w:rPr>
        <w:t>5</w:t>
      </w:r>
      <w:r>
        <w:rPr>
          <w:rFonts w:hint="eastAsia" w:ascii="宋体" w:hAnsi="宋体"/>
          <w:sz w:val="28"/>
          <w:szCs w:val="28"/>
        </w:rPr>
        <w:t>年</w:t>
      </w:r>
      <w:r>
        <w:rPr>
          <w:rFonts w:hint="eastAsia" w:ascii="宋体" w:hAnsi="宋体"/>
          <w:sz w:val="28"/>
          <w:szCs w:val="28"/>
          <w:highlight w:val="none"/>
          <w:lang w:val="en-US" w:eastAsia="zh-CN"/>
        </w:rPr>
        <w:t>3</w:t>
      </w:r>
      <w:r>
        <w:rPr>
          <w:rFonts w:hint="eastAsia" w:ascii="宋体" w:hAnsi="宋体"/>
          <w:sz w:val="28"/>
          <w:szCs w:val="28"/>
          <w:highlight w:val="none"/>
        </w:rPr>
        <w:t>月</w:t>
      </w:r>
    </w:p>
    <w:p>
      <w:pPr>
        <w:jc w:val="center"/>
        <w:rPr>
          <w:rFonts w:ascii="宋体" w:hAnsi="宋体"/>
          <w:sz w:val="28"/>
          <w:szCs w:val="28"/>
          <w:highlight w:val="none"/>
        </w:rPr>
        <w:sectPr>
          <w:headerReference r:id="rId3" w:type="default"/>
          <w:footerReference r:id="rId4" w:type="even"/>
          <w:pgSz w:w="11906" w:h="16838"/>
          <w:pgMar w:top="1418" w:right="1418" w:bottom="1134" w:left="1418" w:header="851" w:footer="992" w:gutter="0"/>
          <w:pgNumType w:start="1"/>
          <w:cols w:space="720" w:num="1"/>
          <w:docGrid w:type="lines" w:linePitch="312" w:charSpace="0"/>
        </w:sectPr>
      </w:pPr>
    </w:p>
    <w:p>
      <w:pPr>
        <w:rPr>
          <w:rFonts w:hint="eastAsia" w:ascii="宋体" w:hAnsi="宋体"/>
          <w:b/>
          <w:bCs/>
          <w:sz w:val="48"/>
          <w:szCs w:val="48"/>
        </w:rPr>
      </w:pPr>
    </w:p>
    <w:p>
      <w:pPr>
        <w:pStyle w:val="4"/>
        <w:spacing w:line="360" w:lineRule="auto"/>
        <w:jc w:val="center"/>
        <w:outlineLvl w:val="0"/>
        <w:rPr>
          <w:rFonts w:hint="eastAsia" w:hAnsi="宋体"/>
          <w:sz w:val="28"/>
          <w:szCs w:val="28"/>
        </w:rPr>
      </w:pPr>
      <w:bookmarkStart w:id="0" w:name="_Toc110931802"/>
      <w:r>
        <w:rPr>
          <w:rFonts w:hint="eastAsia" w:ascii="黑体" w:eastAsia="黑体"/>
          <w:b/>
          <w:bCs/>
          <w:sz w:val="36"/>
          <w:szCs w:val="28"/>
        </w:rPr>
        <w:t>第一章 招标</w:t>
      </w:r>
      <w:bookmarkEnd w:id="0"/>
      <w:r>
        <w:rPr>
          <w:rFonts w:hint="eastAsia" w:ascii="黑体" w:eastAsia="黑体"/>
          <w:b/>
          <w:bCs/>
          <w:sz w:val="36"/>
          <w:szCs w:val="28"/>
        </w:rPr>
        <w:t>公告</w:t>
      </w:r>
    </w:p>
    <w:p>
      <w:pPr>
        <w:pStyle w:val="3"/>
        <w:spacing w:before="156" w:beforeLines="50" w:after="156" w:afterLines="50" w:line="240" w:lineRule="auto"/>
        <w:rPr>
          <w:rFonts w:hint="eastAsia" w:ascii="黑体" w:hAnsi="黑体" w:eastAsia="黑体"/>
          <w:bCs w:val="0"/>
          <w:sz w:val="28"/>
        </w:rPr>
      </w:pPr>
      <w:bookmarkStart w:id="1" w:name="_Toc110931803"/>
      <w:r>
        <w:rPr>
          <w:rFonts w:hint="eastAsia" w:ascii="黑体" w:hAnsi="黑体" w:eastAsia="黑体"/>
          <w:bCs w:val="0"/>
          <w:sz w:val="28"/>
        </w:rPr>
        <w:t>一、项目名称</w:t>
      </w:r>
      <w:bookmarkEnd w:id="1"/>
    </w:p>
    <w:p>
      <w:pPr>
        <w:pStyle w:val="4"/>
        <w:spacing w:line="360" w:lineRule="auto"/>
        <w:ind w:firstLine="420" w:firstLineChars="200"/>
        <w:rPr>
          <w:rFonts w:hint="eastAsia" w:hAnsi="宋体"/>
          <w:szCs w:val="21"/>
        </w:rPr>
      </w:pPr>
      <w:r>
        <w:rPr>
          <w:rFonts w:hint="eastAsia" w:hAnsi="宋体"/>
          <w:szCs w:val="21"/>
        </w:rPr>
        <w:t>项目名称：中国重型汽车集团有限公司20</w:t>
      </w:r>
      <w:r>
        <w:rPr>
          <w:rFonts w:hAnsi="宋体"/>
          <w:szCs w:val="21"/>
        </w:rPr>
        <w:t>2</w:t>
      </w:r>
      <w:r>
        <w:rPr>
          <w:rFonts w:hint="eastAsia" w:hAnsi="宋体"/>
          <w:szCs w:val="21"/>
          <w:lang w:val="en-US" w:eastAsia="zh-CN"/>
        </w:rPr>
        <w:t>5</w:t>
      </w:r>
      <w:r>
        <w:rPr>
          <w:rFonts w:hint="eastAsia" w:hAnsi="宋体"/>
          <w:szCs w:val="21"/>
        </w:rPr>
        <w:t>年-202</w:t>
      </w:r>
      <w:r>
        <w:rPr>
          <w:rFonts w:hint="eastAsia" w:hAnsi="宋体"/>
          <w:szCs w:val="21"/>
          <w:lang w:val="en-US" w:eastAsia="zh-CN"/>
        </w:rPr>
        <w:t>7</w:t>
      </w:r>
      <w:r>
        <w:rPr>
          <w:rFonts w:hint="eastAsia" w:hAnsi="宋体"/>
          <w:szCs w:val="21"/>
        </w:rPr>
        <w:t>年能源管理体系认证</w:t>
      </w:r>
      <w:r>
        <w:rPr>
          <w:rFonts w:hint="eastAsia" w:hAnsi="宋体"/>
          <w:szCs w:val="21"/>
          <w:lang w:val="en-US" w:eastAsia="zh-CN"/>
        </w:rPr>
        <w:t>审核</w:t>
      </w:r>
      <w:r>
        <w:rPr>
          <w:rFonts w:hint="eastAsia" w:hAnsi="宋体"/>
          <w:szCs w:val="21"/>
        </w:rPr>
        <w:t>项目</w:t>
      </w:r>
    </w:p>
    <w:p>
      <w:pPr>
        <w:pStyle w:val="3"/>
        <w:spacing w:before="156" w:beforeLines="50" w:after="156" w:afterLines="50" w:line="240" w:lineRule="auto"/>
        <w:rPr>
          <w:rFonts w:hint="eastAsia" w:ascii="黑体" w:hAnsi="黑体" w:eastAsia="黑体"/>
          <w:bCs w:val="0"/>
          <w:sz w:val="28"/>
        </w:rPr>
      </w:pPr>
      <w:bookmarkStart w:id="2" w:name="_Toc110931804"/>
      <w:r>
        <w:rPr>
          <w:rFonts w:hint="eastAsia" w:ascii="黑体" w:hAnsi="黑体" w:eastAsia="黑体"/>
          <w:bCs w:val="0"/>
          <w:sz w:val="28"/>
        </w:rPr>
        <w:t>二、招标内容及形式</w:t>
      </w:r>
      <w:bookmarkEnd w:id="2"/>
    </w:p>
    <w:p>
      <w:pPr>
        <w:pStyle w:val="4"/>
        <w:spacing w:line="360" w:lineRule="auto"/>
        <w:ind w:firstLine="420" w:firstLineChars="200"/>
        <w:rPr>
          <w:rFonts w:hint="eastAsia" w:hAnsi="宋体"/>
          <w:szCs w:val="21"/>
        </w:rPr>
      </w:pPr>
      <w:r>
        <w:rPr>
          <w:rFonts w:hint="eastAsia" w:hAnsi="宋体"/>
          <w:szCs w:val="21"/>
        </w:rPr>
        <w:t>本次招标包括中国重汽集团及所属的</w:t>
      </w:r>
      <w:r>
        <w:rPr>
          <w:rFonts w:hAnsi="宋体"/>
          <w:szCs w:val="21"/>
          <w:highlight w:val="none"/>
        </w:rPr>
        <w:t>16</w:t>
      </w:r>
      <w:r>
        <w:rPr>
          <w:rFonts w:hint="eastAsia" w:hAnsi="宋体"/>
          <w:szCs w:val="21"/>
          <w:highlight w:val="none"/>
        </w:rPr>
        <w:t>家</w:t>
      </w:r>
      <w:r>
        <w:rPr>
          <w:rFonts w:hint="eastAsia" w:hAnsi="宋体"/>
          <w:szCs w:val="21"/>
        </w:rPr>
        <w:t>公司的能源管理体系认证</w:t>
      </w:r>
      <w:r>
        <w:rPr>
          <w:rFonts w:hint="eastAsia" w:hAnsi="宋体"/>
          <w:szCs w:val="21"/>
          <w:lang w:val="en-US" w:eastAsia="zh-CN"/>
        </w:rPr>
        <w:t>审核</w:t>
      </w:r>
      <w:r>
        <w:rPr>
          <w:rFonts w:hint="eastAsia" w:hAnsi="宋体"/>
          <w:szCs w:val="21"/>
        </w:rPr>
        <w:t>项目。</w:t>
      </w:r>
    </w:p>
    <w:p>
      <w:pPr>
        <w:pStyle w:val="4"/>
        <w:spacing w:line="360" w:lineRule="auto"/>
        <w:ind w:firstLine="420" w:firstLineChars="200"/>
        <w:rPr>
          <w:rFonts w:hAnsi="宋体"/>
          <w:szCs w:val="21"/>
        </w:rPr>
      </w:pPr>
      <w:r>
        <w:rPr>
          <w:rFonts w:hint="eastAsia" w:hAnsi="宋体"/>
          <w:szCs w:val="21"/>
        </w:rPr>
        <w:t>本次招标采用公开招标形式。</w:t>
      </w:r>
    </w:p>
    <w:p>
      <w:pPr>
        <w:pStyle w:val="3"/>
        <w:spacing w:before="156" w:beforeLines="50" w:after="156" w:afterLines="50" w:line="240" w:lineRule="auto"/>
        <w:rPr>
          <w:rFonts w:hint="eastAsia" w:ascii="黑体" w:hAnsi="黑体" w:eastAsia="黑体"/>
          <w:bCs w:val="0"/>
          <w:sz w:val="28"/>
        </w:rPr>
      </w:pPr>
      <w:bookmarkStart w:id="3" w:name="_Toc110931805"/>
      <w:r>
        <w:rPr>
          <w:rFonts w:hint="eastAsia" w:ascii="黑体" w:hAnsi="黑体" w:eastAsia="黑体"/>
          <w:bCs w:val="0"/>
          <w:sz w:val="28"/>
        </w:rPr>
        <w:t>三、</w:t>
      </w:r>
      <w:bookmarkStart w:id="4" w:name="_Toc110931808"/>
      <w:r>
        <w:rPr>
          <w:rFonts w:hint="eastAsia" w:ascii="黑体" w:hAnsi="黑体" w:eastAsia="黑体"/>
          <w:bCs w:val="0"/>
          <w:sz w:val="28"/>
        </w:rPr>
        <w:t>议程安排</w:t>
      </w:r>
      <w:bookmarkEnd w:id="4"/>
    </w:p>
    <w:p>
      <w:pPr>
        <w:pStyle w:val="4"/>
        <w:spacing w:line="360" w:lineRule="auto"/>
        <w:ind w:firstLine="420" w:firstLineChars="200"/>
        <w:rPr>
          <w:rFonts w:hAnsi="宋体"/>
          <w:szCs w:val="21"/>
        </w:rPr>
      </w:pPr>
      <w:r>
        <w:rPr>
          <w:rFonts w:hint="eastAsia" w:hAnsi="宋体"/>
          <w:szCs w:val="21"/>
        </w:rPr>
        <w:t>1、公告时间：</w:t>
      </w:r>
      <w:r>
        <w:rPr>
          <w:rFonts w:hint="eastAsia" w:hAnsi="宋体"/>
          <w:szCs w:val="21"/>
          <w:highlight w:val="yellow"/>
        </w:rPr>
        <w:t>20</w:t>
      </w:r>
      <w:r>
        <w:rPr>
          <w:rFonts w:hAnsi="宋体"/>
          <w:szCs w:val="21"/>
          <w:highlight w:val="yellow"/>
        </w:rPr>
        <w:t>2</w:t>
      </w:r>
      <w:r>
        <w:rPr>
          <w:rFonts w:hint="eastAsia" w:hAnsi="宋体"/>
          <w:szCs w:val="21"/>
          <w:highlight w:val="yellow"/>
          <w:lang w:val="en-US" w:eastAsia="zh-CN"/>
        </w:rPr>
        <w:t>5</w:t>
      </w:r>
      <w:r>
        <w:rPr>
          <w:rFonts w:hint="eastAsia" w:hAnsi="宋体"/>
          <w:szCs w:val="21"/>
          <w:highlight w:val="yellow"/>
        </w:rPr>
        <w:t>年</w:t>
      </w:r>
      <w:r>
        <w:rPr>
          <w:rFonts w:hint="eastAsia" w:hAnsi="宋体"/>
          <w:szCs w:val="21"/>
          <w:highlight w:val="yellow"/>
          <w:lang w:val="en-US" w:eastAsia="zh-CN"/>
        </w:rPr>
        <w:t>3</w:t>
      </w:r>
      <w:r>
        <w:rPr>
          <w:rFonts w:hint="eastAsia" w:hAnsi="宋体"/>
          <w:szCs w:val="21"/>
          <w:highlight w:val="yellow"/>
        </w:rPr>
        <w:t>月</w:t>
      </w:r>
      <w:r>
        <w:rPr>
          <w:rFonts w:hint="eastAsia" w:hAnsi="宋体"/>
          <w:szCs w:val="21"/>
          <w:highlight w:val="yellow"/>
          <w:lang w:val="en-US" w:eastAsia="zh-CN"/>
        </w:rPr>
        <w:t>26</w:t>
      </w:r>
      <w:r>
        <w:rPr>
          <w:rFonts w:hint="eastAsia" w:hAnsi="宋体"/>
          <w:szCs w:val="21"/>
          <w:highlight w:val="yellow"/>
        </w:rPr>
        <w:t>日</w:t>
      </w:r>
    </w:p>
    <w:p>
      <w:pPr>
        <w:pStyle w:val="4"/>
        <w:spacing w:line="360" w:lineRule="auto"/>
        <w:ind w:firstLine="420" w:firstLineChars="200"/>
        <w:rPr>
          <w:rFonts w:hAnsi="宋体"/>
          <w:szCs w:val="21"/>
        </w:rPr>
      </w:pPr>
      <w:r>
        <w:rPr>
          <w:rFonts w:hint="eastAsia" w:hAnsi="宋体"/>
          <w:szCs w:val="21"/>
        </w:rPr>
        <w:t>2、投标报名截止时间：</w:t>
      </w:r>
      <w:r>
        <w:rPr>
          <w:rFonts w:hint="eastAsia" w:hAnsi="宋体"/>
          <w:szCs w:val="21"/>
          <w:highlight w:val="yellow"/>
        </w:rPr>
        <w:t>20</w:t>
      </w:r>
      <w:r>
        <w:rPr>
          <w:rFonts w:hAnsi="宋体"/>
          <w:szCs w:val="21"/>
          <w:highlight w:val="yellow"/>
        </w:rPr>
        <w:t>2</w:t>
      </w:r>
      <w:r>
        <w:rPr>
          <w:rFonts w:hint="eastAsia" w:hAnsi="宋体"/>
          <w:szCs w:val="21"/>
          <w:highlight w:val="yellow"/>
          <w:lang w:val="en-US" w:eastAsia="zh-CN"/>
        </w:rPr>
        <w:t>5</w:t>
      </w:r>
      <w:r>
        <w:rPr>
          <w:rFonts w:hint="eastAsia" w:hAnsi="宋体"/>
          <w:szCs w:val="21"/>
          <w:highlight w:val="yellow"/>
        </w:rPr>
        <w:t>年</w:t>
      </w:r>
      <w:r>
        <w:rPr>
          <w:rFonts w:hint="eastAsia" w:hAnsi="宋体"/>
          <w:szCs w:val="21"/>
          <w:highlight w:val="yellow"/>
          <w:lang w:val="en-US" w:eastAsia="zh-CN"/>
        </w:rPr>
        <w:t>4</w:t>
      </w:r>
      <w:r>
        <w:rPr>
          <w:rFonts w:hint="eastAsia" w:hAnsi="宋体"/>
          <w:szCs w:val="21"/>
          <w:highlight w:val="yellow"/>
        </w:rPr>
        <w:t>月</w:t>
      </w:r>
      <w:r>
        <w:rPr>
          <w:rFonts w:hAnsi="宋体"/>
          <w:szCs w:val="21"/>
          <w:highlight w:val="yellow"/>
        </w:rPr>
        <w:t>1</w:t>
      </w:r>
      <w:r>
        <w:rPr>
          <w:rFonts w:hint="eastAsia" w:hAnsi="宋体"/>
          <w:szCs w:val="21"/>
          <w:highlight w:val="yellow"/>
          <w:lang w:val="en-US" w:eastAsia="zh-CN"/>
        </w:rPr>
        <w:t>4</w:t>
      </w:r>
      <w:r>
        <w:rPr>
          <w:rFonts w:hint="eastAsia" w:hAnsi="宋体"/>
          <w:szCs w:val="21"/>
          <w:highlight w:val="yellow"/>
        </w:rPr>
        <w:t>日下午</w:t>
      </w:r>
      <w:r>
        <w:rPr>
          <w:rFonts w:hAnsi="宋体"/>
          <w:szCs w:val="21"/>
          <w:highlight w:val="yellow"/>
        </w:rPr>
        <w:t>17</w:t>
      </w:r>
      <w:r>
        <w:rPr>
          <w:rFonts w:hint="eastAsia" w:hAnsi="宋体"/>
          <w:szCs w:val="21"/>
          <w:highlight w:val="yellow"/>
        </w:rPr>
        <w:t>点前</w:t>
      </w:r>
      <w:r>
        <w:rPr>
          <w:rFonts w:hint="eastAsia" w:hAnsi="宋体"/>
          <w:szCs w:val="21"/>
        </w:rPr>
        <w:t>，逾期不受理</w:t>
      </w:r>
    </w:p>
    <w:p>
      <w:pPr>
        <w:pStyle w:val="4"/>
        <w:spacing w:line="360" w:lineRule="auto"/>
        <w:ind w:firstLine="420" w:firstLineChars="200"/>
        <w:rPr>
          <w:rFonts w:hAnsi="宋体"/>
          <w:szCs w:val="21"/>
        </w:rPr>
      </w:pPr>
      <w:r>
        <w:rPr>
          <w:rFonts w:hint="eastAsia" w:hAnsi="宋体"/>
          <w:szCs w:val="21"/>
        </w:rPr>
        <w:t>3、答疑时间：截止至</w:t>
      </w:r>
      <w:r>
        <w:rPr>
          <w:rFonts w:hint="eastAsia" w:hAnsi="宋体"/>
          <w:szCs w:val="21"/>
          <w:highlight w:val="yellow"/>
        </w:rPr>
        <w:t>20</w:t>
      </w:r>
      <w:r>
        <w:rPr>
          <w:rFonts w:hAnsi="宋体"/>
          <w:szCs w:val="21"/>
          <w:highlight w:val="yellow"/>
        </w:rPr>
        <w:t>2</w:t>
      </w:r>
      <w:r>
        <w:rPr>
          <w:rFonts w:hint="eastAsia" w:hAnsi="宋体"/>
          <w:szCs w:val="21"/>
          <w:highlight w:val="yellow"/>
          <w:lang w:val="en-US" w:eastAsia="zh-CN"/>
        </w:rPr>
        <w:t>5</w:t>
      </w:r>
      <w:r>
        <w:rPr>
          <w:rFonts w:hint="eastAsia" w:hAnsi="宋体"/>
          <w:szCs w:val="21"/>
          <w:highlight w:val="yellow"/>
        </w:rPr>
        <w:t>年</w:t>
      </w:r>
      <w:r>
        <w:rPr>
          <w:rFonts w:hint="eastAsia" w:hAnsi="宋体"/>
          <w:szCs w:val="21"/>
          <w:highlight w:val="yellow"/>
          <w:lang w:val="en-US" w:eastAsia="zh-CN"/>
        </w:rPr>
        <w:t>4</w:t>
      </w:r>
      <w:r>
        <w:rPr>
          <w:rFonts w:hint="eastAsia" w:hAnsi="宋体"/>
          <w:szCs w:val="21"/>
          <w:highlight w:val="yellow"/>
        </w:rPr>
        <w:t>月</w:t>
      </w:r>
      <w:r>
        <w:rPr>
          <w:rFonts w:hAnsi="宋体"/>
          <w:szCs w:val="21"/>
          <w:highlight w:val="yellow"/>
        </w:rPr>
        <w:t>1</w:t>
      </w:r>
      <w:r>
        <w:rPr>
          <w:rFonts w:hint="eastAsia" w:hAnsi="宋体"/>
          <w:szCs w:val="21"/>
          <w:highlight w:val="yellow"/>
          <w:lang w:val="en-US" w:eastAsia="zh-CN"/>
        </w:rPr>
        <w:t>4</w:t>
      </w:r>
      <w:r>
        <w:rPr>
          <w:rFonts w:hint="eastAsia" w:hAnsi="宋体"/>
          <w:szCs w:val="21"/>
          <w:highlight w:val="yellow"/>
        </w:rPr>
        <w:t>日下午</w:t>
      </w:r>
      <w:r>
        <w:rPr>
          <w:rFonts w:hAnsi="宋体"/>
          <w:szCs w:val="21"/>
          <w:highlight w:val="yellow"/>
        </w:rPr>
        <w:t>16</w:t>
      </w:r>
      <w:r>
        <w:rPr>
          <w:rFonts w:hint="eastAsia" w:hAnsi="宋体"/>
          <w:szCs w:val="21"/>
          <w:highlight w:val="yellow"/>
        </w:rPr>
        <w:t>点前</w:t>
      </w:r>
      <w:r>
        <w:rPr>
          <w:rFonts w:hint="eastAsia" w:hAnsi="宋体"/>
          <w:szCs w:val="21"/>
        </w:rPr>
        <w:t>，逾期不受理</w:t>
      </w:r>
    </w:p>
    <w:p>
      <w:pPr>
        <w:pStyle w:val="4"/>
        <w:spacing w:line="360" w:lineRule="auto"/>
        <w:ind w:firstLine="420" w:firstLineChars="200"/>
        <w:rPr>
          <w:rFonts w:hint="eastAsia" w:hAnsi="宋体"/>
          <w:szCs w:val="21"/>
        </w:rPr>
      </w:pPr>
      <w:r>
        <w:rPr>
          <w:rFonts w:hint="eastAsia" w:hAnsi="宋体"/>
          <w:szCs w:val="21"/>
        </w:rPr>
        <w:t>答疑方式：书面或电话</w:t>
      </w:r>
    </w:p>
    <w:p>
      <w:pPr>
        <w:pStyle w:val="4"/>
        <w:spacing w:line="360" w:lineRule="auto"/>
        <w:ind w:firstLine="420" w:firstLineChars="200"/>
        <w:jc w:val="left"/>
        <w:rPr>
          <w:rFonts w:hint="eastAsia" w:hAnsi="宋体"/>
          <w:szCs w:val="21"/>
        </w:rPr>
      </w:pPr>
      <w:r>
        <w:rPr>
          <w:rFonts w:hint="eastAsia" w:hAnsi="宋体"/>
          <w:szCs w:val="21"/>
        </w:rPr>
        <w:t>联 系 人：叶然然 电话：</w:t>
      </w:r>
      <w:r>
        <w:rPr>
          <w:rFonts w:hAnsi="宋体"/>
          <w:szCs w:val="21"/>
        </w:rPr>
        <w:t xml:space="preserve">19861850622 </w:t>
      </w:r>
      <w:r>
        <w:rPr>
          <w:rFonts w:hint="eastAsia" w:hAnsi="宋体"/>
          <w:szCs w:val="21"/>
        </w:rPr>
        <w:t xml:space="preserve"> </w:t>
      </w:r>
      <w:r>
        <w:rPr>
          <w:rFonts w:hAnsi="宋体"/>
          <w:szCs w:val="21"/>
        </w:rPr>
        <w:t xml:space="preserve">  </w:t>
      </w:r>
      <w:r>
        <w:rPr>
          <w:rFonts w:hint="eastAsia" w:hAnsi="宋体"/>
          <w:szCs w:val="21"/>
          <w:lang w:val="en-US" w:eastAsia="zh-CN"/>
        </w:rPr>
        <w:t>邮箱：zqny@sinotruk.com</w:t>
      </w:r>
    </w:p>
    <w:p>
      <w:pPr>
        <w:pStyle w:val="4"/>
        <w:spacing w:line="360" w:lineRule="auto"/>
        <w:ind w:firstLine="422" w:firstLineChars="200"/>
        <w:rPr>
          <w:rFonts w:hAnsi="宋体"/>
          <w:b/>
          <w:bCs/>
          <w:szCs w:val="21"/>
        </w:rPr>
      </w:pPr>
      <w:r>
        <w:rPr>
          <w:rFonts w:hint="eastAsia" w:hAnsi="宋体"/>
          <w:b/>
          <w:bCs/>
          <w:szCs w:val="21"/>
        </w:rPr>
        <w:t>4、开标时间：20</w:t>
      </w:r>
      <w:r>
        <w:rPr>
          <w:rFonts w:hAnsi="宋体"/>
          <w:b/>
          <w:bCs/>
          <w:szCs w:val="21"/>
        </w:rPr>
        <w:t>2</w:t>
      </w:r>
      <w:r>
        <w:rPr>
          <w:rFonts w:hint="eastAsia" w:hAnsi="宋体"/>
          <w:b/>
          <w:bCs/>
          <w:szCs w:val="21"/>
          <w:lang w:val="en-US" w:eastAsia="zh-CN"/>
        </w:rPr>
        <w:t>5</w:t>
      </w:r>
      <w:r>
        <w:rPr>
          <w:rFonts w:hint="eastAsia" w:hAnsi="宋体"/>
          <w:b/>
          <w:bCs/>
          <w:szCs w:val="21"/>
        </w:rPr>
        <w:t>年</w:t>
      </w:r>
      <w:r>
        <w:rPr>
          <w:rFonts w:hint="eastAsia" w:hAnsi="宋体"/>
          <w:b/>
          <w:bCs/>
          <w:szCs w:val="21"/>
          <w:highlight w:val="yellow"/>
          <w:lang w:val="en-US" w:eastAsia="zh-CN"/>
        </w:rPr>
        <w:t>4</w:t>
      </w:r>
      <w:r>
        <w:rPr>
          <w:rFonts w:hint="eastAsia" w:hAnsi="宋体"/>
          <w:b/>
          <w:bCs/>
          <w:szCs w:val="21"/>
          <w:highlight w:val="yellow"/>
        </w:rPr>
        <w:t>月</w:t>
      </w:r>
      <w:r>
        <w:rPr>
          <w:rFonts w:hint="eastAsia" w:hAnsi="宋体"/>
          <w:b/>
          <w:bCs/>
          <w:szCs w:val="21"/>
          <w:highlight w:val="yellow"/>
          <w:lang w:val="en-US" w:eastAsia="zh-CN"/>
        </w:rPr>
        <w:t>15</w:t>
      </w:r>
      <w:r>
        <w:rPr>
          <w:rFonts w:hint="eastAsia" w:hAnsi="宋体"/>
          <w:b/>
          <w:bCs/>
          <w:szCs w:val="21"/>
          <w:highlight w:val="yellow"/>
        </w:rPr>
        <w:t>日上午 9</w:t>
      </w:r>
      <w:r>
        <w:rPr>
          <w:rFonts w:hAnsi="宋体"/>
          <w:b/>
          <w:bCs/>
          <w:szCs w:val="21"/>
          <w:highlight w:val="yellow"/>
        </w:rPr>
        <w:t xml:space="preserve"> </w:t>
      </w:r>
      <w:r>
        <w:rPr>
          <w:rFonts w:hint="eastAsia" w:hAnsi="宋体"/>
          <w:b/>
          <w:bCs/>
          <w:szCs w:val="21"/>
          <w:highlight w:val="yellow"/>
        </w:rPr>
        <w:t>时</w:t>
      </w:r>
      <w:r>
        <w:rPr>
          <w:rFonts w:hAnsi="宋体"/>
          <w:b/>
          <w:bCs/>
          <w:szCs w:val="21"/>
          <w:highlight w:val="yellow"/>
        </w:rPr>
        <w:t xml:space="preserve"> 0</w:t>
      </w:r>
      <w:r>
        <w:rPr>
          <w:rFonts w:hint="eastAsia" w:hAnsi="宋体"/>
          <w:b/>
          <w:bCs/>
          <w:szCs w:val="21"/>
          <w:highlight w:val="yellow"/>
        </w:rPr>
        <w:t>0</w:t>
      </w:r>
      <w:r>
        <w:rPr>
          <w:rFonts w:hAnsi="宋体"/>
          <w:b/>
          <w:bCs/>
          <w:szCs w:val="21"/>
          <w:highlight w:val="yellow"/>
        </w:rPr>
        <w:t xml:space="preserve"> </w:t>
      </w:r>
      <w:r>
        <w:rPr>
          <w:rFonts w:hint="eastAsia" w:hAnsi="宋体"/>
          <w:b/>
          <w:bCs/>
          <w:szCs w:val="21"/>
          <w:highlight w:val="yellow"/>
        </w:rPr>
        <w:t>分</w:t>
      </w:r>
      <w:r>
        <w:rPr>
          <w:rFonts w:hint="eastAsia" w:hAnsi="宋体"/>
          <w:b/>
          <w:bCs/>
          <w:szCs w:val="21"/>
        </w:rPr>
        <w:t>（若有变动另行通知）。</w:t>
      </w:r>
    </w:p>
    <w:p>
      <w:pPr>
        <w:pStyle w:val="4"/>
        <w:spacing w:line="360" w:lineRule="auto"/>
        <w:ind w:firstLine="420" w:firstLineChars="200"/>
        <w:rPr>
          <w:rFonts w:hint="default" w:hAnsi="宋体" w:eastAsia="宋体"/>
          <w:szCs w:val="21"/>
          <w:highlight w:val="yellow"/>
          <w:lang w:val="en-US" w:eastAsia="zh-CN"/>
        </w:rPr>
      </w:pPr>
      <w:r>
        <w:rPr>
          <w:rFonts w:hint="eastAsia" w:hAnsi="宋体"/>
          <w:szCs w:val="21"/>
        </w:rPr>
        <w:t>5、开标地点：</w:t>
      </w:r>
      <w:r>
        <w:rPr>
          <w:rFonts w:hint="eastAsia" w:hAnsi="宋体"/>
          <w:szCs w:val="21"/>
          <w:highlight w:val="yellow"/>
          <w:lang w:val="en-US" w:eastAsia="zh-CN"/>
        </w:rPr>
        <w:t>济南变速箱厂231会议室</w:t>
      </w:r>
    </w:p>
    <w:p>
      <w:pPr>
        <w:pStyle w:val="4"/>
        <w:spacing w:line="360" w:lineRule="auto"/>
        <w:ind w:firstLine="420" w:firstLineChars="200"/>
        <w:rPr>
          <w:rFonts w:hint="eastAsia" w:hAnsi="宋体"/>
          <w:szCs w:val="21"/>
          <w:lang w:val="en-US" w:eastAsia="zh-CN"/>
        </w:rPr>
      </w:pPr>
      <w:r>
        <w:rPr>
          <w:rFonts w:hint="eastAsia" w:hAnsi="宋体"/>
          <w:szCs w:val="21"/>
        </w:rPr>
        <w:t>6、投标地点：</w:t>
      </w:r>
      <w:r>
        <w:rPr>
          <w:rFonts w:hint="eastAsia" w:hAnsi="宋体"/>
          <w:szCs w:val="21"/>
          <w:highlight w:val="yellow"/>
        </w:rPr>
        <w:t>中国重汽</w:t>
      </w:r>
      <w:r>
        <w:rPr>
          <w:rFonts w:hint="eastAsia" w:hAnsi="宋体"/>
          <w:szCs w:val="21"/>
          <w:highlight w:val="yellow"/>
          <w:lang w:val="en-US" w:eastAsia="zh-CN"/>
        </w:rPr>
        <w:t>章丘工业园变速箱厂</w:t>
      </w:r>
    </w:p>
    <w:p>
      <w:pPr>
        <w:pStyle w:val="4"/>
        <w:spacing w:line="360" w:lineRule="auto"/>
        <w:ind w:firstLine="420" w:firstLineChars="200"/>
        <w:rPr>
          <w:rFonts w:hint="default" w:hAnsi="宋体"/>
          <w:szCs w:val="21"/>
          <w:lang w:val="en-US" w:eastAsia="zh-CN"/>
        </w:rPr>
      </w:pPr>
      <w:r>
        <w:rPr>
          <w:rFonts w:hint="eastAsia"/>
        </w:rPr>
        <w:t>如采用视频的方式进行，需要投标单位将投标文件</w:t>
      </w:r>
      <w:r>
        <w:rPr>
          <w:rFonts w:hint="eastAsia"/>
          <w:lang w:val="en-US" w:eastAsia="zh-CN"/>
        </w:rPr>
        <w:t>以</w:t>
      </w:r>
      <w:r>
        <w:rPr>
          <w:rFonts w:hint="eastAsia"/>
        </w:rPr>
        <w:t>邮寄的方式</w:t>
      </w:r>
      <w:r>
        <w:rPr>
          <w:rFonts w:hint="eastAsia"/>
          <w:highlight w:val="yellow"/>
          <w:lang w:val="en-US" w:eastAsia="zh-CN"/>
        </w:rPr>
        <w:t>4</w:t>
      </w:r>
      <w:r>
        <w:rPr>
          <w:rFonts w:hint="eastAsia"/>
          <w:highlight w:val="yellow"/>
        </w:rPr>
        <w:t>月</w:t>
      </w:r>
      <w:r>
        <w:rPr>
          <w:rFonts w:hint="eastAsia"/>
          <w:highlight w:val="yellow"/>
          <w:lang w:val="en-US" w:eastAsia="zh-CN"/>
        </w:rPr>
        <w:t>15</w:t>
      </w:r>
      <w:r>
        <w:rPr>
          <w:rFonts w:hint="eastAsia"/>
          <w:highlight w:val="yellow"/>
        </w:rPr>
        <w:t>日前</w:t>
      </w:r>
      <w:r>
        <w:rPr>
          <w:rFonts w:hint="eastAsia"/>
        </w:rPr>
        <w:t>邮寄到招标单位</w:t>
      </w:r>
      <w:r>
        <w:rPr>
          <w:rFonts w:hint="eastAsia"/>
          <w:b/>
          <w:bCs/>
        </w:rPr>
        <w:t>（顺丰）</w:t>
      </w:r>
      <w:r>
        <w:rPr>
          <w:rFonts w:hint="eastAsia"/>
        </w:rPr>
        <w:t>，不能按时收到文件视为放弃本次招标。</w:t>
      </w:r>
    </w:p>
    <w:p>
      <w:pPr>
        <w:pStyle w:val="4"/>
        <w:spacing w:line="360" w:lineRule="auto"/>
        <w:ind w:firstLine="420" w:firstLineChars="200"/>
        <w:rPr>
          <w:rFonts w:hint="default" w:hAnsi="宋体" w:eastAsia="宋体"/>
          <w:szCs w:val="21"/>
          <w:lang w:val="en-US" w:eastAsia="zh-CN"/>
        </w:rPr>
      </w:pPr>
      <w:r>
        <w:rPr>
          <w:rFonts w:hint="eastAsia" w:hAnsi="宋体"/>
          <w:szCs w:val="21"/>
        </w:rPr>
        <w:t>地    址：山东省济南市</w:t>
      </w:r>
      <w:r>
        <w:rPr>
          <w:rFonts w:hint="eastAsia" w:hAnsi="宋体"/>
          <w:szCs w:val="21"/>
          <w:lang w:val="en-US" w:eastAsia="zh-CN"/>
        </w:rPr>
        <w:t>章丘</w:t>
      </w:r>
      <w:r>
        <w:rPr>
          <w:rFonts w:hint="eastAsia" w:hAnsi="宋体"/>
          <w:szCs w:val="21"/>
        </w:rPr>
        <w:t>区</w:t>
      </w:r>
      <w:r>
        <w:rPr>
          <w:rFonts w:hint="eastAsia" w:hAnsi="宋体"/>
          <w:szCs w:val="21"/>
          <w:lang w:val="en-US" w:eastAsia="zh-CN"/>
        </w:rPr>
        <w:t>圣井街道潘王路西重汽工业园变速箱厂</w:t>
      </w:r>
    </w:p>
    <w:bookmarkEnd w:id="3"/>
    <w:p>
      <w:pPr>
        <w:pStyle w:val="3"/>
        <w:spacing w:before="156" w:beforeLines="50" w:after="156" w:afterLines="50" w:line="240" w:lineRule="auto"/>
        <w:jc w:val="left"/>
        <w:rPr>
          <w:rFonts w:hAnsi="宋体"/>
          <w:b w:val="0"/>
        </w:rPr>
      </w:pPr>
      <w:bookmarkStart w:id="5" w:name="_Toc110931806"/>
      <w:r>
        <w:rPr>
          <w:rFonts w:hint="eastAsia" w:ascii="黑体" w:hAnsi="黑体" w:eastAsia="黑体"/>
          <w:bCs w:val="0"/>
          <w:sz w:val="28"/>
        </w:rPr>
        <w:t>四、</w:t>
      </w:r>
      <w:bookmarkEnd w:id="5"/>
      <w:r>
        <w:rPr>
          <w:rFonts w:hint="eastAsia" w:ascii="黑体" w:hAnsi="黑体" w:eastAsia="黑体"/>
          <w:bCs w:val="0"/>
          <w:sz w:val="28"/>
          <w:lang w:val="en-US" w:eastAsia="zh-CN"/>
        </w:rPr>
        <w:t>报名方式</w:t>
      </w:r>
    </w:p>
    <w:p>
      <w:pPr>
        <w:pStyle w:val="4"/>
        <w:spacing w:line="360" w:lineRule="auto"/>
        <w:ind w:firstLine="420" w:firstLineChars="200"/>
        <w:rPr>
          <w:rFonts w:hAnsi="宋体"/>
          <w:szCs w:val="21"/>
        </w:rPr>
      </w:pPr>
      <w:r>
        <w:rPr>
          <w:rFonts w:hint="eastAsia" w:hAnsi="宋体"/>
          <w:szCs w:val="21"/>
        </w:rPr>
        <w:t>（1）时间：</w:t>
      </w:r>
      <w:r>
        <w:rPr>
          <w:rFonts w:hint="eastAsia" w:hAnsi="宋体"/>
          <w:szCs w:val="21"/>
          <w:highlight w:val="yellow"/>
        </w:rPr>
        <w:t>202</w:t>
      </w:r>
      <w:r>
        <w:rPr>
          <w:rFonts w:hint="eastAsia" w:hAnsi="宋体"/>
          <w:szCs w:val="21"/>
          <w:highlight w:val="yellow"/>
          <w:lang w:val="en-US" w:eastAsia="zh-CN"/>
        </w:rPr>
        <w:t>5</w:t>
      </w:r>
      <w:r>
        <w:rPr>
          <w:rFonts w:hint="eastAsia" w:hAnsi="宋体"/>
          <w:szCs w:val="21"/>
          <w:highlight w:val="yellow"/>
        </w:rPr>
        <w:t>年</w:t>
      </w:r>
      <w:r>
        <w:rPr>
          <w:rFonts w:hint="eastAsia" w:hAnsi="宋体"/>
          <w:szCs w:val="21"/>
          <w:highlight w:val="yellow"/>
          <w:lang w:val="en-US" w:eastAsia="zh-CN"/>
        </w:rPr>
        <w:t>4</w:t>
      </w:r>
      <w:r>
        <w:rPr>
          <w:rFonts w:hint="eastAsia" w:hAnsi="宋体"/>
          <w:szCs w:val="21"/>
          <w:highlight w:val="yellow"/>
        </w:rPr>
        <w:t>月</w:t>
      </w:r>
      <w:r>
        <w:rPr>
          <w:rFonts w:hAnsi="宋体"/>
          <w:szCs w:val="21"/>
          <w:highlight w:val="yellow"/>
        </w:rPr>
        <w:t>1</w:t>
      </w:r>
      <w:r>
        <w:rPr>
          <w:rFonts w:hint="eastAsia" w:hAnsi="宋体"/>
          <w:szCs w:val="21"/>
          <w:highlight w:val="yellow"/>
          <w:lang w:val="en-US" w:eastAsia="zh-CN"/>
        </w:rPr>
        <w:t>4</w:t>
      </w:r>
      <w:r>
        <w:rPr>
          <w:rFonts w:hint="eastAsia" w:hAnsi="宋体"/>
          <w:szCs w:val="21"/>
          <w:highlight w:val="yellow"/>
        </w:rPr>
        <w:t>日下午17点前</w:t>
      </w:r>
      <w:r>
        <w:rPr>
          <w:rFonts w:hint="eastAsia" w:hAnsi="宋体"/>
          <w:szCs w:val="21"/>
        </w:rPr>
        <w:t>。</w:t>
      </w:r>
    </w:p>
    <w:p>
      <w:pPr>
        <w:pStyle w:val="4"/>
        <w:spacing w:line="360" w:lineRule="auto"/>
        <w:ind w:firstLine="405"/>
        <w:rPr>
          <w:rFonts w:hint="eastAsia" w:hAnsi="宋体"/>
          <w:szCs w:val="21"/>
          <w:highlight w:val="none"/>
        </w:rPr>
      </w:pPr>
      <w:r>
        <w:rPr>
          <w:rFonts w:hint="eastAsia" w:hAnsi="宋体"/>
          <w:szCs w:val="21"/>
          <w:highlight w:val="none"/>
        </w:rPr>
        <w:t>（2）方式：本项目招标工作的所有过程均须在中国重汽e采通</w:t>
      </w:r>
      <w:r>
        <w:rPr>
          <w:rFonts w:hint="eastAsia" w:hAnsi="宋体"/>
          <w:szCs w:val="21"/>
          <w:highlight w:val="none"/>
          <w:lang w:val="en-US" w:eastAsia="zh-CN"/>
        </w:rPr>
        <w:t>系统</w:t>
      </w:r>
      <w:r>
        <w:rPr>
          <w:rFonts w:hint="eastAsia" w:hAnsi="宋体"/>
          <w:szCs w:val="21"/>
          <w:highlight w:val="none"/>
        </w:rPr>
        <w:t>上完成，包括报名、资质审核、招标、应标、评标、审批等环节。中国重汽</w:t>
      </w:r>
      <w:r>
        <w:rPr>
          <w:rFonts w:hint="eastAsia" w:hAnsi="宋体"/>
          <w:szCs w:val="21"/>
          <w:highlight w:val="none"/>
          <w:lang w:val="en-US" w:eastAsia="zh-CN"/>
        </w:rPr>
        <w:t>e</w:t>
      </w:r>
      <w:r>
        <w:rPr>
          <w:rFonts w:hint="eastAsia" w:hAnsi="宋体"/>
          <w:szCs w:val="21"/>
          <w:highlight w:val="none"/>
        </w:rPr>
        <w:t>采通</w:t>
      </w:r>
      <w:r>
        <w:rPr>
          <w:rFonts w:hint="eastAsia" w:hAnsi="宋体"/>
          <w:szCs w:val="21"/>
          <w:highlight w:val="none"/>
          <w:lang w:val="en-US" w:eastAsia="zh-CN"/>
        </w:rPr>
        <w:t>的</w:t>
      </w:r>
      <w:r>
        <w:rPr>
          <w:rFonts w:hint="eastAsia" w:hAnsi="宋体"/>
          <w:szCs w:val="21"/>
          <w:highlight w:val="none"/>
        </w:rPr>
        <w:t>链接为（https://ecaitong.sinotruk.com:8012/#/login）。相关操作手册请详见注册界面</w:t>
      </w:r>
      <w:r>
        <w:rPr>
          <w:rFonts w:hint="eastAsia" w:hAnsi="宋体"/>
          <w:b/>
          <w:bCs/>
          <w:szCs w:val="21"/>
          <w:highlight w:val="none"/>
        </w:rPr>
        <w:t>供应商用户手册</w:t>
      </w:r>
      <w:r>
        <w:rPr>
          <w:rFonts w:hint="eastAsia" w:hAnsi="宋体"/>
          <w:szCs w:val="21"/>
          <w:highlight w:val="none"/>
        </w:rPr>
        <w:t>。未在中国重汽E采通进行注册的供方，注册时，业务主管部门选择“制造工程部”，类别选择“能源</w:t>
      </w:r>
      <w:r>
        <w:rPr>
          <w:rFonts w:hint="eastAsia" w:hAnsi="宋体"/>
          <w:szCs w:val="21"/>
          <w:highlight w:val="none"/>
          <w:lang w:val="en-US" w:eastAsia="zh-CN"/>
        </w:rPr>
        <w:t>服务</w:t>
      </w:r>
      <w:r>
        <w:rPr>
          <w:rFonts w:hint="eastAsia" w:hAnsi="宋体"/>
          <w:szCs w:val="21"/>
          <w:highlight w:val="none"/>
        </w:rPr>
        <w:t>”。请于截止时间前完成注册审批、应标、投标等，未完成的不允许参加相关投标报名。</w:t>
      </w:r>
    </w:p>
    <w:p>
      <w:pPr>
        <w:pStyle w:val="4"/>
        <w:spacing w:line="360" w:lineRule="auto"/>
        <w:ind w:firstLine="405"/>
        <w:rPr>
          <w:rFonts w:hAnsi="宋体"/>
          <w:szCs w:val="21"/>
          <w:highlight w:val="none"/>
        </w:rPr>
      </w:pPr>
      <w:r>
        <w:rPr>
          <w:rFonts w:hint="eastAsia" w:hAnsi="宋体"/>
          <w:szCs w:val="21"/>
          <w:highlight w:val="none"/>
        </w:rPr>
        <w:t>投标人应提前登录中国重汽e采通进行注册备案，备案成功后在e采通查看标书文件，投标人应自备电脑（笔记本）进行流程操作，注意应标、投标、开标、再次报价时间开始、截止节点，如错过时间节点将无法进行招投标流程节点的操作，进入商务标后按招标方要求在重汽e采通进行价格报价和逐轮报价。</w:t>
      </w:r>
    </w:p>
    <w:p>
      <w:pPr>
        <w:pStyle w:val="3"/>
        <w:spacing w:before="156" w:beforeLines="50" w:after="156" w:afterLines="50" w:line="240" w:lineRule="auto"/>
        <w:jc w:val="left"/>
        <w:rPr>
          <w:rFonts w:hint="eastAsia" w:hAnsi="宋体"/>
          <w:b w:val="0"/>
        </w:rPr>
      </w:pPr>
      <w:r>
        <w:rPr>
          <w:rFonts w:hint="eastAsia" w:ascii="黑体" w:hAnsi="黑体" w:eastAsia="黑体"/>
          <w:bCs w:val="0"/>
          <w:sz w:val="28"/>
          <w:lang w:val="en-US" w:eastAsia="zh-CN"/>
        </w:rPr>
        <w:t>五</w:t>
      </w:r>
      <w:r>
        <w:rPr>
          <w:rFonts w:hint="eastAsia" w:ascii="黑体" w:hAnsi="黑体" w:eastAsia="黑体"/>
          <w:bCs w:val="0"/>
          <w:sz w:val="28"/>
        </w:rPr>
        <w:t>、</w:t>
      </w:r>
      <w:r>
        <w:rPr>
          <w:rFonts w:hint="eastAsia" w:ascii="黑体" w:hAnsi="黑体" w:eastAsia="黑体"/>
          <w:bCs w:val="0"/>
          <w:sz w:val="28"/>
          <w:lang w:val="en-US" w:eastAsia="zh-CN"/>
        </w:rPr>
        <w:t>投标须知</w:t>
      </w:r>
    </w:p>
    <w:p>
      <w:pPr>
        <w:pStyle w:val="4"/>
        <w:spacing w:line="360" w:lineRule="auto"/>
        <w:ind w:left="631" w:leftChars="200" w:hanging="211" w:hangingChars="100"/>
        <w:rPr>
          <w:rFonts w:hint="default" w:hAnsi="宋体" w:eastAsia="宋体"/>
          <w:b/>
          <w:lang w:val="en-US" w:eastAsia="zh-CN"/>
        </w:rPr>
      </w:pPr>
      <w:r>
        <w:rPr>
          <w:rFonts w:hint="eastAsia" w:hAnsi="宋体"/>
          <w:b/>
          <w:lang w:val="en-US" w:eastAsia="zh-CN"/>
        </w:rPr>
        <w:t>1</w:t>
      </w:r>
      <w:r>
        <w:rPr>
          <w:rFonts w:hint="eastAsia" w:hAnsi="宋体"/>
          <w:b/>
        </w:rPr>
        <w:t>、</w:t>
      </w:r>
      <w:r>
        <w:rPr>
          <w:rFonts w:hint="eastAsia" w:hAnsi="宋体"/>
          <w:b/>
          <w:lang w:val="en-US" w:eastAsia="zh-CN"/>
        </w:rPr>
        <w:t>合格投标人：</w:t>
      </w:r>
    </w:p>
    <w:p>
      <w:pPr>
        <w:pStyle w:val="4"/>
        <w:spacing w:line="360" w:lineRule="auto"/>
        <w:ind w:firstLine="420" w:firstLineChars="200"/>
        <w:rPr>
          <w:rFonts w:hAnsi="宋体"/>
          <w:szCs w:val="21"/>
        </w:rPr>
      </w:pPr>
      <w:r>
        <w:rPr>
          <w:rFonts w:hint="eastAsia" w:hAnsi="宋体"/>
          <w:szCs w:val="21"/>
        </w:rPr>
        <w:t>所有投标人需满足以下条件，并经招标人审核通过后方可获得该项目的投标资格：</w:t>
      </w:r>
    </w:p>
    <w:p>
      <w:pPr>
        <w:pStyle w:val="4"/>
        <w:spacing w:line="360" w:lineRule="auto"/>
        <w:ind w:firstLine="415" w:firstLineChars="198"/>
        <w:rPr>
          <w:rFonts w:hAnsi="宋体"/>
          <w:szCs w:val="21"/>
        </w:rPr>
      </w:pPr>
      <w:r>
        <w:rPr>
          <w:rFonts w:hint="eastAsia" w:hAnsi="宋体"/>
          <w:szCs w:val="21"/>
        </w:rPr>
        <w:t>（1）投标人须遵守《中华人民共和国招标投标法》、《中华人民共和国民法典》及其它有关的法律和法规；为中华人民共和国境内注册的独立法人机构，具有独立承担民事责任能力；</w:t>
      </w:r>
    </w:p>
    <w:p>
      <w:pPr>
        <w:pStyle w:val="4"/>
        <w:spacing w:line="360" w:lineRule="auto"/>
        <w:ind w:firstLine="417" w:firstLineChars="198"/>
        <w:rPr>
          <w:rFonts w:hAnsi="宋体"/>
          <w:b/>
          <w:szCs w:val="21"/>
        </w:rPr>
      </w:pPr>
      <w:r>
        <w:rPr>
          <w:rFonts w:hint="eastAsia" w:hAnsi="宋体"/>
          <w:b/>
          <w:szCs w:val="21"/>
        </w:rPr>
        <w:t>*（2）</w:t>
      </w:r>
      <w:r>
        <w:rPr>
          <w:rFonts w:hint="eastAsia" w:hAnsi="宋体"/>
          <w:b/>
          <w:highlight w:val="yellow"/>
        </w:rPr>
        <w:t>公司注册资金不少于</w:t>
      </w:r>
      <w:r>
        <w:rPr>
          <w:rFonts w:hint="eastAsia" w:hAnsi="宋体"/>
          <w:b/>
          <w:highlight w:val="yellow"/>
          <w:lang w:val="en-US" w:eastAsia="zh-CN"/>
        </w:rPr>
        <w:t>3</w:t>
      </w:r>
      <w:r>
        <w:rPr>
          <w:rFonts w:hAnsi="宋体"/>
          <w:b/>
          <w:highlight w:val="yellow"/>
        </w:rPr>
        <w:t>00</w:t>
      </w:r>
      <w:r>
        <w:rPr>
          <w:rFonts w:hint="eastAsia" w:hAnsi="宋体"/>
          <w:b/>
          <w:highlight w:val="yellow"/>
        </w:rPr>
        <w:t>万人民币；公司成立三年以上</w:t>
      </w:r>
      <w:r>
        <w:rPr>
          <w:rFonts w:hint="eastAsia" w:hAnsi="宋体"/>
          <w:b/>
        </w:rPr>
        <w:t>（以营业执照成立日期到开标当日满三年为准）且实际能源管理体系审核案例</w:t>
      </w:r>
      <w:r>
        <w:rPr>
          <w:rFonts w:hint="eastAsia" w:hAnsi="宋体"/>
          <w:b/>
          <w:color w:val="auto"/>
          <w:highlight w:val="yellow"/>
        </w:rPr>
        <w:t>20家企业以上</w:t>
      </w:r>
      <w:r>
        <w:rPr>
          <w:rFonts w:hint="eastAsia" w:hAnsi="宋体"/>
          <w:b/>
          <w:color w:val="auto"/>
        </w:rPr>
        <w:t>（其中</w:t>
      </w:r>
      <w:r>
        <w:rPr>
          <w:rFonts w:hint="eastAsia" w:hAnsi="宋体"/>
          <w:b/>
          <w:color w:val="auto"/>
          <w:highlight w:val="yellow"/>
        </w:rPr>
        <w:t>制造业企业1</w:t>
      </w:r>
      <w:r>
        <w:rPr>
          <w:rFonts w:hint="eastAsia" w:hAnsi="宋体"/>
          <w:b/>
          <w:color w:val="auto"/>
          <w:highlight w:val="yellow"/>
          <w:lang w:val="en-US" w:eastAsia="zh-CN"/>
        </w:rPr>
        <w:t>0</w:t>
      </w:r>
      <w:r>
        <w:rPr>
          <w:rFonts w:hint="eastAsia" w:hAnsi="宋体"/>
          <w:b/>
          <w:color w:val="auto"/>
          <w:highlight w:val="yellow"/>
        </w:rPr>
        <w:t>家以上</w:t>
      </w:r>
      <w:r>
        <w:rPr>
          <w:rFonts w:hint="eastAsia" w:hAnsi="宋体"/>
          <w:b/>
        </w:rPr>
        <w:t>，另注：包括多个证书的集团客户计为一家）；且经营范围满足招标</w:t>
      </w:r>
      <w:r>
        <w:rPr>
          <w:rFonts w:hint="eastAsia" w:hAnsi="宋体"/>
          <w:b/>
          <w:szCs w:val="21"/>
        </w:rPr>
        <w:t>人需求；投标人是事业单位和社会团体及其分支机构，且经营范围满足招标方需求，并</w:t>
      </w:r>
      <w:r>
        <w:rPr>
          <w:rFonts w:hAnsi="宋体"/>
          <w:b/>
          <w:szCs w:val="21"/>
        </w:rPr>
        <w:t>在人员、设备、资金等方面具有承担本</w:t>
      </w:r>
      <w:r>
        <w:rPr>
          <w:rFonts w:hint="eastAsia" w:hAnsi="宋体"/>
          <w:b/>
          <w:szCs w:val="21"/>
        </w:rPr>
        <w:t>项目</w:t>
      </w:r>
      <w:r>
        <w:rPr>
          <w:rFonts w:hAnsi="宋体"/>
          <w:b/>
          <w:szCs w:val="21"/>
        </w:rPr>
        <w:t>能力</w:t>
      </w:r>
      <w:r>
        <w:rPr>
          <w:rFonts w:hint="eastAsia" w:hAnsi="宋体"/>
          <w:b/>
          <w:szCs w:val="21"/>
        </w:rPr>
        <w:t>的，可不受注册资金和成立时间限制；</w:t>
      </w:r>
    </w:p>
    <w:p>
      <w:pPr>
        <w:pStyle w:val="4"/>
        <w:spacing w:line="360" w:lineRule="auto"/>
        <w:ind w:firstLine="422" w:firstLineChars="200"/>
        <w:rPr>
          <w:rFonts w:hAnsi="宋体"/>
          <w:b/>
          <w:szCs w:val="21"/>
        </w:rPr>
      </w:pPr>
      <w:r>
        <w:rPr>
          <w:rFonts w:hint="eastAsia" w:hAnsi="宋体"/>
          <w:b/>
          <w:szCs w:val="21"/>
        </w:rPr>
        <w:t>*（</w:t>
      </w:r>
      <w:r>
        <w:rPr>
          <w:rFonts w:hAnsi="宋体"/>
          <w:b/>
          <w:szCs w:val="21"/>
        </w:rPr>
        <w:t>3</w:t>
      </w:r>
      <w:r>
        <w:rPr>
          <w:rFonts w:hint="eastAsia" w:hAnsi="宋体"/>
          <w:b/>
          <w:szCs w:val="21"/>
        </w:rPr>
        <w:t>）投标人须提供具有统一社会信用代码的新版营业执照副本原件及（或）复印件（加盖公章）；</w:t>
      </w:r>
    </w:p>
    <w:p>
      <w:pPr>
        <w:spacing w:line="360" w:lineRule="auto"/>
        <w:ind w:firstLine="422" w:firstLineChars="200"/>
        <w:rPr>
          <w:rFonts w:ascii="宋体" w:hAnsi="宋体"/>
          <w:b/>
          <w:bCs/>
        </w:rPr>
      </w:pPr>
      <w:r>
        <w:rPr>
          <w:rFonts w:hint="eastAsia" w:ascii="宋体" w:hAnsi="宋体"/>
          <w:b/>
          <w:szCs w:val="21"/>
        </w:rPr>
        <w:t>*（</w:t>
      </w:r>
      <w:r>
        <w:rPr>
          <w:rFonts w:ascii="宋体" w:hAnsi="宋体"/>
          <w:b/>
          <w:szCs w:val="21"/>
        </w:rPr>
        <w:t>4</w:t>
      </w:r>
      <w:r>
        <w:rPr>
          <w:rFonts w:hint="eastAsia" w:ascii="宋体" w:hAnsi="宋体"/>
          <w:b/>
          <w:szCs w:val="21"/>
        </w:rPr>
        <w:t>）投标人须提供法人授权委托书原件（在投标文件副本中可用复印件）及投标单位的法定代表人或授权代表的身份证原件及复印件（加盖公章）；投标事业单位或社会团体提供登记证书或授权投标文件原件；</w:t>
      </w:r>
    </w:p>
    <w:p>
      <w:pPr>
        <w:pStyle w:val="4"/>
        <w:spacing w:line="360" w:lineRule="auto"/>
        <w:ind w:firstLine="417" w:firstLineChars="198"/>
        <w:rPr>
          <w:rFonts w:hint="eastAsia" w:hAnsi="宋体"/>
          <w:b/>
        </w:rPr>
      </w:pPr>
      <w:r>
        <w:rPr>
          <w:rFonts w:hint="eastAsia" w:hAnsi="宋体"/>
          <w:b/>
        </w:rPr>
        <w:t>*（</w:t>
      </w:r>
      <w:r>
        <w:rPr>
          <w:rFonts w:hAnsi="宋体"/>
          <w:b/>
        </w:rPr>
        <w:t>5</w:t>
      </w:r>
      <w:r>
        <w:rPr>
          <w:rFonts w:hint="eastAsia" w:hAnsi="宋体"/>
          <w:b/>
        </w:rPr>
        <w:t>）具备国家认证认可监督管理委员会核发的能源管理体系认证资质，技术领域涵盖机械制造（提供相关证明），</w:t>
      </w:r>
      <w:r>
        <w:rPr>
          <w:rFonts w:hint="eastAsia" w:hAnsi="宋体"/>
          <w:b/>
          <w:lang w:val="en-US" w:eastAsia="zh-CN"/>
        </w:rPr>
        <w:t>证书具有CNAS标志，</w:t>
      </w:r>
      <w:r>
        <w:rPr>
          <w:rFonts w:hint="eastAsia" w:hAnsi="宋体"/>
          <w:b/>
        </w:rPr>
        <w:t>具有履行合同所必需的设备、专业技术能力、人员、资金等</w:t>
      </w:r>
      <w:r>
        <w:rPr>
          <w:rFonts w:hAnsi="宋体"/>
          <w:b/>
        </w:rPr>
        <w:t>；</w:t>
      </w:r>
    </w:p>
    <w:p>
      <w:pPr>
        <w:pStyle w:val="4"/>
        <w:spacing w:line="360" w:lineRule="auto"/>
        <w:ind w:firstLine="417" w:firstLineChars="198"/>
        <w:rPr>
          <w:rFonts w:hint="eastAsia" w:hAnsi="宋体"/>
          <w:b/>
          <w:bCs/>
        </w:rPr>
      </w:pPr>
      <w:r>
        <w:rPr>
          <w:rFonts w:hint="eastAsia" w:hAnsi="宋体"/>
          <w:b/>
          <w:bCs/>
          <w:lang w:val="en-US" w:eastAsia="zh-CN"/>
        </w:rPr>
        <w:t>*</w:t>
      </w:r>
      <w:r>
        <w:rPr>
          <w:rFonts w:hint="eastAsia" w:hAnsi="宋体"/>
          <w:b/>
          <w:bCs/>
        </w:rPr>
        <w:t>（</w:t>
      </w:r>
      <w:r>
        <w:rPr>
          <w:rFonts w:hAnsi="宋体"/>
          <w:b/>
          <w:bCs/>
        </w:rPr>
        <w:t>6</w:t>
      </w:r>
      <w:r>
        <w:rPr>
          <w:rFonts w:hint="eastAsia" w:hAnsi="宋体"/>
          <w:b/>
          <w:bCs/>
        </w:rPr>
        <w:t>）投标人在《国家企业信用信息公示系统》</w:t>
      </w:r>
      <w:r>
        <w:rPr>
          <w:rFonts w:hint="eastAsia" w:hAnsi="宋体"/>
          <w:b/>
          <w:bCs/>
          <w:lang w:eastAsia="zh-CN"/>
        </w:rPr>
        <w:t>、《</w:t>
      </w:r>
      <w:r>
        <w:rPr>
          <w:rFonts w:hint="eastAsia" w:hAnsi="宋体"/>
          <w:b/>
          <w:bCs/>
          <w:lang w:val="en-US" w:eastAsia="zh-CN"/>
        </w:rPr>
        <w:t>中国执行信息公开网</w:t>
      </w:r>
      <w:r>
        <w:rPr>
          <w:rFonts w:hint="eastAsia" w:hAnsi="宋体"/>
          <w:b/>
          <w:bCs/>
          <w:lang w:eastAsia="zh-CN"/>
        </w:rPr>
        <w:t>》、《</w:t>
      </w:r>
      <w:r>
        <w:rPr>
          <w:rFonts w:hint="eastAsia" w:hAnsi="宋体"/>
          <w:b/>
          <w:bCs/>
          <w:lang w:val="en-US" w:eastAsia="zh-CN"/>
        </w:rPr>
        <w:t>信用中国</w:t>
      </w:r>
      <w:r>
        <w:rPr>
          <w:rFonts w:hint="eastAsia" w:hAnsi="宋体"/>
          <w:b/>
          <w:bCs/>
          <w:lang w:eastAsia="zh-CN"/>
        </w:rPr>
        <w:t>》、《</w:t>
      </w:r>
      <w:r>
        <w:rPr>
          <w:rFonts w:hint="eastAsia" w:hAnsi="宋体"/>
          <w:b/>
          <w:bCs/>
          <w:lang w:val="en-US" w:eastAsia="zh-CN"/>
        </w:rPr>
        <w:t>天眼查</w:t>
      </w:r>
      <w:r>
        <w:rPr>
          <w:rFonts w:hint="eastAsia" w:hAnsi="宋体"/>
          <w:b/>
          <w:bCs/>
          <w:lang w:eastAsia="zh-CN"/>
        </w:rPr>
        <w:t>》、《</w:t>
      </w:r>
      <w:r>
        <w:rPr>
          <w:rFonts w:hint="eastAsia" w:hAnsi="宋体"/>
          <w:b/>
          <w:bCs/>
          <w:lang w:val="en-US" w:eastAsia="zh-CN"/>
        </w:rPr>
        <w:t>裁判文书网</w:t>
      </w:r>
      <w:r>
        <w:rPr>
          <w:rFonts w:hint="eastAsia" w:hAnsi="宋体"/>
          <w:b/>
          <w:bCs/>
          <w:lang w:eastAsia="zh-CN"/>
        </w:rPr>
        <w:t>》</w:t>
      </w:r>
      <w:r>
        <w:rPr>
          <w:rFonts w:hint="eastAsia" w:hAnsi="宋体"/>
          <w:b/>
          <w:bCs/>
          <w:lang w:val="en-US" w:eastAsia="zh-CN"/>
        </w:rPr>
        <w:t>等信息平台</w:t>
      </w:r>
      <w:r>
        <w:rPr>
          <w:rFonts w:hint="eastAsia" w:hAnsi="宋体"/>
          <w:b/>
          <w:bCs/>
        </w:rPr>
        <w:t>中查询不存在不良记录，没有处于被有权机关吊销营业执照、吊销资质、停业整顿、取消投标资格以及财产被接管、冻结或进入破产程序等，</w:t>
      </w:r>
      <w:r>
        <w:rPr>
          <w:rFonts w:hint="eastAsia" w:hAnsi="宋体"/>
          <w:b/>
        </w:rPr>
        <w:t>近三年内在经营活动中没有重大违法违规行为, 也没有因服务质量或服务原因而败诉或被认证机构主管部门处罚等不良记录</w:t>
      </w:r>
      <w:r>
        <w:rPr>
          <w:rFonts w:hint="eastAsia" w:hAnsi="宋体"/>
          <w:b/>
          <w:lang w:eastAsia="zh-CN"/>
        </w:rPr>
        <w:t>，</w:t>
      </w:r>
      <w:r>
        <w:rPr>
          <w:rFonts w:hint="eastAsia" w:hAnsi="宋体"/>
          <w:b/>
          <w:bCs/>
        </w:rPr>
        <w:t>提供截图；</w:t>
      </w:r>
    </w:p>
    <w:p>
      <w:pPr>
        <w:pStyle w:val="4"/>
        <w:spacing w:line="360" w:lineRule="auto"/>
        <w:ind w:firstLine="422" w:firstLineChars="200"/>
        <w:rPr>
          <w:rFonts w:hint="eastAsia" w:hAnsi="宋体"/>
          <w:b/>
          <w:bCs/>
        </w:rPr>
      </w:pPr>
      <w:r>
        <w:rPr>
          <w:rFonts w:hint="eastAsia" w:hAnsi="宋体"/>
          <w:b/>
          <w:bCs/>
          <w:lang w:val="en-US" w:eastAsia="zh-CN"/>
        </w:rPr>
        <w:t>*</w:t>
      </w:r>
      <w:r>
        <w:rPr>
          <w:rFonts w:hint="eastAsia" w:hAnsi="宋体"/>
          <w:b/>
          <w:bCs/>
        </w:rPr>
        <w:t>（</w:t>
      </w:r>
      <w:r>
        <w:rPr>
          <w:rFonts w:hAnsi="宋体"/>
          <w:b/>
          <w:bCs/>
        </w:rPr>
        <w:t>7</w:t>
      </w:r>
      <w:r>
        <w:rPr>
          <w:rFonts w:hint="eastAsia" w:hAnsi="宋体"/>
          <w:b/>
          <w:bCs/>
        </w:rPr>
        <w:t>）投标人没有被列入招标人处《黑名单》（《黑名单》指投标人与招标人在以往或正在进行的合作中，存在招标人认为的违反合同约定或违反法律法规等的失信行为）的；</w:t>
      </w:r>
    </w:p>
    <w:p>
      <w:pPr>
        <w:pStyle w:val="4"/>
        <w:spacing w:line="360" w:lineRule="auto"/>
        <w:ind w:firstLine="415" w:firstLineChars="198"/>
        <w:rPr>
          <w:rFonts w:hint="eastAsia" w:hAnsi="宋体"/>
          <w:b w:val="0"/>
          <w:bCs/>
        </w:rPr>
      </w:pPr>
      <w:r>
        <w:rPr>
          <w:rFonts w:hint="eastAsia" w:hAnsi="宋体"/>
          <w:b w:val="0"/>
          <w:bCs/>
        </w:rPr>
        <w:t>（</w:t>
      </w:r>
      <w:r>
        <w:rPr>
          <w:rFonts w:hAnsi="宋体"/>
          <w:b w:val="0"/>
          <w:bCs/>
        </w:rPr>
        <w:t>8</w:t>
      </w:r>
      <w:r>
        <w:rPr>
          <w:rFonts w:hint="eastAsia" w:hAnsi="宋体"/>
          <w:b w:val="0"/>
          <w:bCs/>
        </w:rPr>
        <w:t>）无招标违规、谎报年度报告信息、提供虚假资质资料等行为或其他行政处罚记录；</w:t>
      </w:r>
    </w:p>
    <w:p>
      <w:pPr>
        <w:pStyle w:val="4"/>
        <w:spacing w:line="360" w:lineRule="auto"/>
        <w:ind w:firstLine="417" w:firstLineChars="198"/>
        <w:rPr>
          <w:rFonts w:hAnsi="宋体"/>
          <w:b/>
        </w:rPr>
      </w:pPr>
      <w:r>
        <w:rPr>
          <w:rFonts w:hint="eastAsia" w:hAnsi="宋体"/>
          <w:b/>
        </w:rPr>
        <w:t>*（</w:t>
      </w:r>
      <w:r>
        <w:rPr>
          <w:rFonts w:hAnsi="宋体"/>
          <w:b/>
        </w:rPr>
        <w:t>9</w:t>
      </w:r>
      <w:r>
        <w:rPr>
          <w:rFonts w:hint="eastAsia" w:hAnsi="宋体"/>
          <w:b/>
        </w:rPr>
        <w:t>）①经会计师事务所审计且出具无保留意见的近三年(2021年至今)的财务审计报告原件，并加盖公章，包括但不限于报告页、经审计的资产负债表、利润表、现金流量表及报表附注。如投标人公司没有经审计的财务报告，可提供加盖公章的近三年财务报表，包括但不限于资产负债表、利润表、现金流量表。 应提供中文版本的审计报告或财务报表;②企业最近半年完税证明、信用证明材料(中国人民银行信用代码证+征信报告);③年度纳税信用评价信息(可从电子税务局查询截图,需加盖公章);④企业对外担保说明(写明贵单位对外有无对外担保和质押业务，需加盖公章)；</w:t>
      </w:r>
    </w:p>
    <w:p>
      <w:pPr>
        <w:pStyle w:val="4"/>
        <w:spacing w:line="360" w:lineRule="auto"/>
        <w:ind w:firstLine="420" w:firstLineChars="200"/>
        <w:rPr>
          <w:rFonts w:hint="eastAsia" w:hAnsi="宋体"/>
        </w:rPr>
      </w:pPr>
      <w:r>
        <w:rPr>
          <w:rFonts w:hint="eastAsia" w:hAnsi="宋体"/>
        </w:rPr>
        <w:t>（1</w:t>
      </w:r>
      <w:r>
        <w:rPr>
          <w:rFonts w:hAnsi="宋体"/>
        </w:rPr>
        <w:t>0</w:t>
      </w:r>
      <w:r>
        <w:rPr>
          <w:rFonts w:hint="eastAsia" w:hAnsi="宋体"/>
        </w:rPr>
        <w:t>）投标人须认可招标人的工作指令，包括节、假日能正常开展工作的要求；</w:t>
      </w:r>
    </w:p>
    <w:p>
      <w:pPr>
        <w:pStyle w:val="4"/>
        <w:spacing w:line="360" w:lineRule="auto"/>
        <w:ind w:firstLine="420" w:firstLineChars="200"/>
        <w:rPr>
          <w:rFonts w:hint="eastAsia" w:hAnsi="宋体"/>
        </w:rPr>
      </w:pPr>
      <w:r>
        <w:rPr>
          <w:rFonts w:hint="eastAsia" w:hAnsi="宋体"/>
        </w:rPr>
        <w:t>（</w:t>
      </w:r>
      <w:r>
        <w:rPr>
          <w:rFonts w:hAnsi="宋体"/>
        </w:rPr>
        <w:t>11</w:t>
      </w:r>
      <w:r>
        <w:rPr>
          <w:rFonts w:hint="eastAsia" w:hAnsi="宋体"/>
        </w:rPr>
        <w:t>）投标人必须是最终投标、签订合同的单位，不得以任何理由将已中标项目以任何形式转包给其他单位；</w:t>
      </w:r>
    </w:p>
    <w:p>
      <w:pPr>
        <w:pStyle w:val="4"/>
        <w:spacing w:line="360" w:lineRule="auto"/>
        <w:ind w:firstLine="420" w:firstLineChars="200"/>
        <w:rPr>
          <w:rFonts w:hint="eastAsia" w:hAnsi="宋体"/>
          <w:lang w:eastAsia="zh-CN"/>
        </w:rPr>
      </w:pPr>
      <w:r>
        <w:rPr>
          <w:rFonts w:hint="eastAsia" w:hAnsi="宋体"/>
        </w:rPr>
        <w:t>（1</w:t>
      </w:r>
      <w:r>
        <w:rPr>
          <w:rFonts w:hAnsi="宋体"/>
        </w:rPr>
        <w:t>2</w:t>
      </w:r>
      <w:r>
        <w:rPr>
          <w:rFonts w:hint="eastAsia" w:hAnsi="宋体"/>
        </w:rPr>
        <w:t>）本次招标项目不接受联合体投标</w:t>
      </w:r>
      <w:r>
        <w:rPr>
          <w:rFonts w:hint="eastAsia" w:hAnsi="宋体"/>
          <w:lang w:eastAsia="zh-CN"/>
        </w:rPr>
        <w:t>；</w:t>
      </w:r>
    </w:p>
    <w:p>
      <w:pPr>
        <w:pStyle w:val="4"/>
        <w:spacing w:line="360" w:lineRule="auto"/>
        <w:ind w:firstLine="420" w:firstLineChars="200"/>
        <w:rPr>
          <w:rFonts w:hint="eastAsia" w:hAnsi="宋体"/>
          <w:lang w:eastAsia="zh-CN"/>
        </w:rPr>
      </w:pPr>
      <w:r>
        <w:rPr>
          <w:rFonts w:hint="eastAsia" w:hAnsi="宋体"/>
          <w:lang w:eastAsia="zh-CN"/>
        </w:rPr>
        <w:t>（</w:t>
      </w:r>
      <w:r>
        <w:rPr>
          <w:rFonts w:hint="eastAsia" w:hAnsi="宋体"/>
          <w:lang w:val="en-US" w:eastAsia="zh-CN"/>
        </w:rPr>
        <w:t>13</w:t>
      </w:r>
      <w:r>
        <w:rPr>
          <w:rFonts w:hint="eastAsia" w:hAnsi="宋体"/>
          <w:lang w:eastAsia="zh-CN"/>
        </w:rPr>
        <w:t>）</w:t>
      </w:r>
      <w:r>
        <w:rPr>
          <w:rFonts w:hint="eastAsia" w:hAnsi="宋体"/>
        </w:rPr>
        <w:t>投标人必须是最终投标、签订合同的单位，不得以任何理由将已中标项目以任何形式转包给其他单位</w:t>
      </w:r>
      <w:r>
        <w:rPr>
          <w:rFonts w:hint="eastAsia" w:hAnsi="宋体"/>
          <w:lang w:eastAsia="zh-CN"/>
        </w:rPr>
        <w:t>；</w:t>
      </w:r>
    </w:p>
    <w:p>
      <w:pPr>
        <w:pStyle w:val="4"/>
        <w:spacing w:line="360" w:lineRule="auto"/>
        <w:ind w:firstLine="420" w:firstLineChars="200"/>
        <w:rPr>
          <w:rFonts w:hint="eastAsia" w:hAnsi="宋体"/>
          <w:lang w:eastAsia="zh-CN"/>
        </w:rPr>
      </w:pPr>
      <w:r>
        <w:rPr>
          <w:rFonts w:hint="eastAsia" w:hAnsi="宋体"/>
          <w:lang w:eastAsia="zh-CN"/>
        </w:rPr>
        <w:t>（</w:t>
      </w:r>
      <w:r>
        <w:rPr>
          <w:rFonts w:hint="eastAsia" w:hAnsi="宋体"/>
          <w:lang w:val="en-US" w:eastAsia="zh-CN"/>
        </w:rPr>
        <w:t>14</w:t>
      </w:r>
      <w:r>
        <w:rPr>
          <w:rFonts w:hint="eastAsia" w:hAnsi="宋体"/>
          <w:lang w:eastAsia="zh-CN"/>
        </w:rPr>
        <w:t>）</w:t>
      </w:r>
      <w:r>
        <w:rPr>
          <w:rFonts w:hint="eastAsia" w:hAnsi="宋体"/>
          <w:b w:val="0"/>
          <w:bCs w:val="0"/>
        </w:rPr>
        <w:t>投标人须</w:t>
      </w:r>
      <w:r>
        <w:rPr>
          <w:rFonts w:hint="eastAsia" w:hAnsi="宋体"/>
          <w:b w:val="0"/>
          <w:bCs w:val="0"/>
          <w:lang w:val="en-US" w:eastAsia="zh-CN"/>
        </w:rPr>
        <w:t>100%向招标方提供所有技术需要提供的证明后</w:t>
      </w:r>
      <w:r>
        <w:rPr>
          <w:rFonts w:hint="eastAsia"/>
          <w:b w:val="0"/>
          <w:bCs w:val="0"/>
        </w:rPr>
        <w:t>可进行投标</w:t>
      </w:r>
      <w:r>
        <w:rPr>
          <w:rFonts w:hint="eastAsia" w:hAnsi="宋体"/>
          <w:b w:val="0"/>
          <w:bCs w:val="0"/>
          <w:color w:val="auto"/>
          <w:highlight w:val="none"/>
        </w:rPr>
        <w:t>；</w:t>
      </w:r>
    </w:p>
    <w:p>
      <w:pPr>
        <w:spacing w:line="360" w:lineRule="auto"/>
        <w:ind w:firstLine="422" w:firstLineChars="200"/>
        <w:rPr>
          <w:rFonts w:hint="eastAsia" w:ascii="宋体" w:hAnsi="宋体"/>
          <w:b/>
          <w:bCs/>
        </w:rPr>
      </w:pPr>
      <w:r>
        <w:rPr>
          <w:rFonts w:hint="eastAsia" w:ascii="宋体" w:hAnsi="宋体"/>
          <w:b/>
          <w:bCs/>
        </w:rPr>
        <w:t>*（1</w:t>
      </w:r>
      <w:r>
        <w:rPr>
          <w:rFonts w:hint="eastAsia" w:ascii="宋体" w:hAnsi="宋体"/>
          <w:b/>
          <w:bCs/>
          <w:lang w:val="en-US" w:eastAsia="zh-CN"/>
        </w:rPr>
        <w:t>5</w:t>
      </w:r>
      <w:r>
        <w:rPr>
          <w:rFonts w:hint="eastAsia" w:ascii="宋体" w:hAnsi="宋体"/>
          <w:b/>
          <w:bCs/>
        </w:rPr>
        <w:t>）投标人在向招标人出示《投标保证金缴纳凭证》后方可进行投标；</w:t>
      </w:r>
    </w:p>
    <w:p>
      <w:pPr>
        <w:pStyle w:val="4"/>
        <w:spacing w:line="360" w:lineRule="auto"/>
        <w:ind w:firstLine="422" w:firstLineChars="200"/>
        <w:rPr>
          <w:rFonts w:hint="eastAsia" w:hAnsi="Courier New" w:eastAsia="宋体" w:cs="Times New Roman"/>
          <w:b/>
          <w:bCs/>
          <w:color w:val="auto"/>
          <w:lang w:val="en-US" w:eastAsia="zh-CN"/>
        </w:rPr>
      </w:pPr>
      <w:r>
        <w:rPr>
          <w:rFonts w:hint="eastAsia"/>
          <w:b/>
          <w:bCs/>
          <w:color w:val="auto"/>
          <w:lang w:val="en-US" w:eastAsia="zh-CN"/>
        </w:rPr>
        <w:t>*（16）</w:t>
      </w:r>
      <w:r>
        <w:rPr>
          <w:rFonts w:hint="eastAsia" w:hAnsi="Courier New" w:eastAsia="宋体" w:cs="Times New Roman"/>
          <w:b/>
          <w:bCs/>
          <w:color w:val="auto"/>
        </w:rPr>
        <w:t>近三年(202</w:t>
      </w:r>
      <w:r>
        <w:rPr>
          <w:rFonts w:hint="eastAsia" w:hAnsi="Courier New" w:eastAsia="宋体" w:cs="Times New Roman"/>
          <w:b/>
          <w:bCs/>
          <w:color w:val="auto"/>
          <w:lang w:val="en-US" w:eastAsia="zh-CN"/>
        </w:rPr>
        <w:t>1</w:t>
      </w:r>
      <w:r>
        <w:rPr>
          <w:rFonts w:hint="eastAsia" w:hAnsi="Courier New" w:eastAsia="宋体" w:cs="Times New Roman"/>
          <w:b/>
          <w:bCs/>
          <w:color w:val="auto"/>
        </w:rPr>
        <w:t>年1月1日至今)有类似项目业绩及合同复印件（加盖公章，须向客户联系方式及联系人以供招标人核实确认）</w:t>
      </w:r>
      <w:r>
        <w:rPr>
          <w:rFonts w:hint="eastAsia" w:hAnsi="Courier New" w:eastAsia="宋体" w:cs="Times New Roman"/>
          <w:b/>
          <w:bCs/>
          <w:color w:val="auto"/>
          <w:lang w:val="en-US" w:eastAsia="zh-CN"/>
        </w:rPr>
        <w:t>；</w:t>
      </w:r>
    </w:p>
    <w:p>
      <w:pPr>
        <w:pStyle w:val="4"/>
        <w:spacing w:line="360" w:lineRule="auto"/>
        <w:ind w:firstLine="420" w:firstLineChars="200"/>
        <w:rPr>
          <w:rFonts w:hint="default" w:hAnsi="Courier New" w:eastAsia="宋体" w:cs="Times New Roman"/>
          <w:b w:val="0"/>
          <w:bCs w:val="0"/>
          <w:color w:val="auto"/>
          <w:lang w:val="en-US" w:eastAsia="zh-CN"/>
        </w:rPr>
      </w:pPr>
      <w:r>
        <w:rPr>
          <w:rFonts w:hint="eastAsia" w:hAnsi="Courier New" w:eastAsia="宋体" w:cs="Times New Roman"/>
          <w:b w:val="0"/>
          <w:bCs w:val="0"/>
          <w:color w:val="auto"/>
          <w:lang w:val="en-US" w:eastAsia="zh-CN"/>
        </w:rPr>
        <w:t>（17）供方的直接或间接股东、法定代表人、董事、监事、高管非重汽员工及其亲属。</w:t>
      </w:r>
    </w:p>
    <w:p>
      <w:pPr>
        <w:pStyle w:val="4"/>
        <w:spacing w:line="360" w:lineRule="auto"/>
        <w:ind w:firstLine="422" w:firstLineChars="200"/>
        <w:rPr>
          <w:rFonts w:hAnsi="宋体"/>
          <w:b/>
        </w:rPr>
      </w:pPr>
      <w:r>
        <w:rPr>
          <w:rFonts w:hint="eastAsia" w:hAnsi="宋体"/>
          <w:b/>
          <w:bCs/>
        </w:rPr>
        <w:t>注：上述带“*”项为必备的资格文件，第2、3、</w:t>
      </w:r>
      <w:r>
        <w:rPr>
          <w:rFonts w:hint="eastAsia" w:hAnsi="宋体"/>
          <w:b/>
          <w:bCs/>
          <w:lang w:val="en-US" w:eastAsia="zh-CN"/>
        </w:rPr>
        <w:t>4、5</w:t>
      </w:r>
      <w:r>
        <w:rPr>
          <w:rFonts w:hint="eastAsia" w:hAnsi="宋体"/>
          <w:b/>
          <w:bCs/>
        </w:rPr>
        <w:t>、</w:t>
      </w:r>
      <w:r>
        <w:rPr>
          <w:rFonts w:hint="eastAsia" w:hAnsi="宋体"/>
          <w:b/>
          <w:bCs/>
          <w:lang w:val="en-US" w:eastAsia="zh-CN"/>
        </w:rPr>
        <w:t>6、7</w:t>
      </w:r>
      <w:r>
        <w:rPr>
          <w:rFonts w:hint="eastAsia" w:hAnsi="宋体"/>
          <w:b/>
          <w:bCs/>
        </w:rPr>
        <w:t>、9、1</w:t>
      </w:r>
      <w:r>
        <w:rPr>
          <w:rFonts w:hint="eastAsia" w:hAnsi="宋体"/>
          <w:b/>
          <w:bCs/>
          <w:lang w:val="en-US" w:eastAsia="zh-CN"/>
        </w:rPr>
        <w:t>5</w:t>
      </w:r>
      <w:r>
        <w:rPr>
          <w:rFonts w:hint="eastAsia" w:hAnsi="宋体"/>
          <w:b/>
          <w:bCs/>
        </w:rPr>
        <w:t>、1</w:t>
      </w:r>
      <w:r>
        <w:rPr>
          <w:rFonts w:hint="eastAsia" w:hAnsi="宋体"/>
          <w:b/>
          <w:bCs/>
          <w:lang w:val="en-US" w:eastAsia="zh-CN"/>
        </w:rPr>
        <w:t>6</w:t>
      </w:r>
      <w:r>
        <w:rPr>
          <w:rFonts w:hint="eastAsia" w:hAnsi="宋体"/>
          <w:b/>
          <w:bCs/>
        </w:rPr>
        <w:t>项在开标前核验（由投标人单独提供，以文档形式编写，不接受压缩包），由招标方审核通过后方可缴纳保证金报名，缺项按照不响应招标文件按废标处理；其余文件开标后核验。逾期的投标文件招标人不予受理。</w:t>
      </w:r>
    </w:p>
    <w:p>
      <w:pPr>
        <w:pStyle w:val="4"/>
        <w:spacing w:line="360" w:lineRule="auto"/>
        <w:ind w:left="631" w:leftChars="200" w:hanging="211" w:hangingChars="100"/>
        <w:rPr>
          <w:rFonts w:hAnsi="宋体"/>
          <w:b/>
        </w:rPr>
      </w:pPr>
      <w:r>
        <w:rPr>
          <w:rFonts w:hAnsi="宋体"/>
          <w:b/>
        </w:rPr>
        <w:t>3</w:t>
      </w:r>
      <w:r>
        <w:rPr>
          <w:rFonts w:hint="eastAsia" w:hAnsi="宋体"/>
          <w:b/>
        </w:rPr>
        <w:t>、投标文件格式组成：</w:t>
      </w:r>
    </w:p>
    <w:p>
      <w:pPr>
        <w:pStyle w:val="4"/>
        <w:spacing w:line="360" w:lineRule="auto"/>
        <w:ind w:firstLine="422" w:firstLineChars="200"/>
        <w:rPr>
          <w:b/>
          <w:highlight w:val="none"/>
        </w:rPr>
      </w:pPr>
      <w:r>
        <w:rPr>
          <w:b/>
          <w:highlight w:val="none"/>
        </w:rPr>
        <w:t>3</w:t>
      </w:r>
      <w:r>
        <w:rPr>
          <w:rFonts w:hint="eastAsia"/>
          <w:b/>
          <w:highlight w:val="none"/>
        </w:rPr>
        <w:t>.1资质文件（独立封装在一个档案袋，一式两份，一正一副）：</w:t>
      </w:r>
    </w:p>
    <w:p>
      <w:pPr>
        <w:pStyle w:val="4"/>
        <w:spacing w:line="360" w:lineRule="auto"/>
        <w:ind w:firstLine="420" w:firstLineChars="200"/>
        <w:rPr>
          <w:b w:val="0"/>
          <w:bCs/>
        </w:rPr>
      </w:pPr>
      <w:r>
        <w:rPr>
          <w:b w:val="0"/>
          <w:bCs/>
        </w:rPr>
        <w:t>3</w:t>
      </w:r>
      <w:r>
        <w:rPr>
          <w:rFonts w:hint="eastAsia"/>
          <w:b w:val="0"/>
          <w:bCs/>
        </w:rPr>
        <w:t>.1.1</w:t>
      </w:r>
      <w:r>
        <w:rPr>
          <w:rFonts w:hint="eastAsia"/>
          <w:b w:val="0"/>
          <w:bCs/>
        </w:rPr>
        <w:tab/>
      </w:r>
      <w:r>
        <w:rPr>
          <w:rFonts w:hint="eastAsia"/>
          <w:b w:val="0"/>
          <w:bCs/>
        </w:rPr>
        <w:t>法定代表人身份证明；</w:t>
      </w:r>
    </w:p>
    <w:p>
      <w:pPr>
        <w:pStyle w:val="4"/>
        <w:spacing w:line="360" w:lineRule="auto"/>
        <w:ind w:firstLine="420" w:firstLineChars="200"/>
        <w:rPr>
          <w:b w:val="0"/>
          <w:bCs/>
        </w:rPr>
      </w:pPr>
      <w:r>
        <w:rPr>
          <w:b w:val="0"/>
          <w:bCs/>
        </w:rPr>
        <w:t>3</w:t>
      </w:r>
      <w:r>
        <w:rPr>
          <w:rFonts w:hint="eastAsia"/>
          <w:b w:val="0"/>
          <w:bCs/>
        </w:rPr>
        <w:t>.1.2</w:t>
      </w:r>
      <w:r>
        <w:rPr>
          <w:rFonts w:hint="eastAsia"/>
          <w:b w:val="0"/>
          <w:bCs/>
        </w:rPr>
        <w:tab/>
      </w:r>
      <w:r>
        <w:rPr>
          <w:rFonts w:hint="eastAsia"/>
          <w:b w:val="0"/>
          <w:bCs/>
        </w:rPr>
        <w:t>法人授权委托书及身份证复印件；</w:t>
      </w:r>
    </w:p>
    <w:p>
      <w:pPr>
        <w:pStyle w:val="4"/>
        <w:spacing w:line="360" w:lineRule="auto"/>
        <w:ind w:firstLine="420" w:firstLineChars="200"/>
        <w:rPr>
          <w:b w:val="0"/>
          <w:bCs/>
        </w:rPr>
      </w:pPr>
      <w:r>
        <w:rPr>
          <w:b w:val="0"/>
          <w:bCs/>
        </w:rPr>
        <w:t>3</w:t>
      </w:r>
      <w:r>
        <w:rPr>
          <w:rFonts w:hint="eastAsia"/>
          <w:b w:val="0"/>
          <w:bCs/>
        </w:rPr>
        <w:t>.1.3</w:t>
      </w:r>
      <w:r>
        <w:rPr>
          <w:rFonts w:hint="eastAsia"/>
          <w:b w:val="0"/>
          <w:bCs/>
        </w:rPr>
        <w:tab/>
      </w:r>
      <w:r>
        <w:rPr>
          <w:rFonts w:hint="eastAsia"/>
          <w:b w:val="0"/>
          <w:bCs/>
        </w:rPr>
        <w:t>营业执照副本复印件；</w:t>
      </w:r>
    </w:p>
    <w:p>
      <w:pPr>
        <w:pStyle w:val="4"/>
        <w:spacing w:line="360" w:lineRule="auto"/>
        <w:ind w:firstLine="420" w:firstLineChars="200"/>
        <w:rPr>
          <w:b w:val="0"/>
          <w:bCs/>
        </w:rPr>
      </w:pPr>
      <w:r>
        <w:rPr>
          <w:b w:val="0"/>
          <w:bCs/>
        </w:rPr>
        <w:t>3</w:t>
      </w:r>
      <w:r>
        <w:rPr>
          <w:rFonts w:hint="eastAsia"/>
          <w:b w:val="0"/>
          <w:bCs/>
        </w:rPr>
        <w:t>.1.4</w:t>
      </w:r>
      <w:r>
        <w:rPr>
          <w:rFonts w:hint="eastAsia"/>
          <w:b w:val="0"/>
          <w:bCs/>
        </w:rPr>
        <w:tab/>
      </w:r>
      <w:r>
        <w:rPr>
          <w:rFonts w:hint="eastAsia"/>
          <w:b w:val="0"/>
          <w:bCs/>
        </w:rPr>
        <w:t>证明投标人满足投标资料表中列出的业绩要求的文件：近</w:t>
      </w:r>
      <w:r>
        <w:rPr>
          <w:rFonts w:hint="eastAsia"/>
          <w:b w:val="0"/>
          <w:bCs/>
          <w:lang w:val="en-US" w:eastAsia="zh-CN"/>
        </w:rPr>
        <w:t>三</w:t>
      </w:r>
      <w:r>
        <w:rPr>
          <w:rFonts w:hint="eastAsia"/>
          <w:b w:val="0"/>
          <w:bCs/>
        </w:rPr>
        <w:t>年业绩及合同复印件（加盖公章，须有客户联系方式及联系人以供招标人核实确认）；</w:t>
      </w:r>
    </w:p>
    <w:p>
      <w:pPr>
        <w:pStyle w:val="4"/>
        <w:spacing w:line="360" w:lineRule="auto"/>
        <w:ind w:firstLine="420" w:firstLineChars="200"/>
        <w:rPr>
          <w:b w:val="0"/>
          <w:bCs/>
        </w:rPr>
      </w:pPr>
      <w:r>
        <w:rPr>
          <w:b w:val="0"/>
          <w:bCs/>
        </w:rPr>
        <w:t>3</w:t>
      </w:r>
      <w:r>
        <w:rPr>
          <w:rFonts w:hint="eastAsia"/>
          <w:b w:val="0"/>
          <w:bCs/>
        </w:rPr>
        <w:t>.1.5</w:t>
      </w:r>
      <w:r>
        <w:rPr>
          <w:rFonts w:hint="eastAsia"/>
          <w:b w:val="0"/>
          <w:bCs/>
        </w:rPr>
        <w:tab/>
      </w:r>
      <w:r>
        <w:rPr>
          <w:rFonts w:hint="eastAsia"/>
          <w:b w:val="0"/>
          <w:bCs/>
        </w:rPr>
        <w:t>近三年的公司财务报告（报表）；</w:t>
      </w:r>
    </w:p>
    <w:p>
      <w:pPr>
        <w:pStyle w:val="4"/>
        <w:spacing w:line="360" w:lineRule="auto"/>
        <w:ind w:firstLine="420" w:firstLineChars="200"/>
        <w:rPr>
          <w:b w:val="0"/>
          <w:bCs/>
        </w:rPr>
      </w:pPr>
      <w:r>
        <w:rPr>
          <w:b w:val="0"/>
          <w:bCs/>
        </w:rPr>
        <w:t>3</w:t>
      </w:r>
      <w:r>
        <w:rPr>
          <w:rFonts w:hint="eastAsia"/>
          <w:b w:val="0"/>
          <w:bCs/>
        </w:rPr>
        <w:t>.1.6</w:t>
      </w:r>
      <w:r>
        <w:rPr>
          <w:rFonts w:hint="eastAsia"/>
          <w:b w:val="0"/>
          <w:bCs/>
        </w:rPr>
        <w:tab/>
      </w:r>
      <w:r>
        <w:rPr>
          <w:rFonts w:hint="eastAsia"/>
          <w:b w:val="0"/>
          <w:bCs/>
        </w:rPr>
        <w:t>《投标保证金缴纳凭证》；</w:t>
      </w:r>
    </w:p>
    <w:p>
      <w:pPr>
        <w:pStyle w:val="4"/>
        <w:spacing w:line="360" w:lineRule="auto"/>
        <w:ind w:firstLine="420" w:firstLineChars="200"/>
        <w:rPr>
          <w:b w:val="0"/>
          <w:bCs/>
        </w:rPr>
      </w:pPr>
      <w:r>
        <w:rPr>
          <w:b w:val="0"/>
          <w:bCs/>
        </w:rPr>
        <w:t xml:space="preserve">3.1.7   </w:t>
      </w:r>
      <w:r>
        <w:rPr>
          <w:rFonts w:hint="eastAsia"/>
          <w:b w:val="0"/>
          <w:bCs/>
        </w:rPr>
        <w:t>招标文件中要求的其它资格证明文件。</w:t>
      </w:r>
    </w:p>
    <w:p>
      <w:pPr>
        <w:pStyle w:val="4"/>
        <w:spacing w:line="360" w:lineRule="auto"/>
        <w:ind w:firstLine="422" w:firstLineChars="200"/>
        <w:rPr>
          <w:rFonts w:hint="eastAsia"/>
          <w:b/>
        </w:rPr>
      </w:pPr>
      <w:r>
        <w:rPr>
          <w:rFonts w:hint="eastAsia"/>
          <w:b/>
        </w:rPr>
        <w:t>注：如开标时未提供以上任一文件，将被视为不合格的投标人，可取消本次投标资格。</w:t>
      </w:r>
    </w:p>
    <w:p>
      <w:pPr>
        <w:spacing w:line="360" w:lineRule="auto"/>
        <w:ind w:firstLine="422" w:firstLineChars="200"/>
        <w:rPr>
          <w:rFonts w:hint="eastAsia" w:hAnsi="宋体"/>
          <w:b/>
        </w:rPr>
      </w:pPr>
      <w:r>
        <w:rPr>
          <w:rFonts w:hint="eastAsia" w:ascii="宋体" w:hAnsi="宋体" w:eastAsia="宋体" w:cs="Times New Roman"/>
          <w:b/>
          <w:kern w:val="2"/>
          <w:sz w:val="21"/>
          <w:lang w:val="en-US" w:eastAsia="zh-CN" w:bidi="ar-SA"/>
        </w:rPr>
        <w:t xml:space="preserve">3.2 </w:t>
      </w:r>
      <w:r>
        <w:rPr>
          <w:rFonts w:hint="eastAsia" w:ascii="宋体" w:hAnsi="Courier New"/>
          <w:b/>
          <w:bCs w:val="0"/>
        </w:rPr>
        <w:t>开标一览表</w:t>
      </w:r>
      <w:r>
        <w:rPr>
          <w:rFonts w:hint="eastAsia" w:ascii="宋体" w:hAnsi="Courier New"/>
          <w:bCs/>
        </w:rPr>
        <w:t>（独立封装在一个档案袋，一式</w:t>
      </w:r>
      <w:r>
        <w:rPr>
          <w:rFonts w:hint="eastAsia" w:ascii="宋体" w:hAnsi="Courier New"/>
          <w:bCs/>
          <w:lang w:val="en-US" w:eastAsia="zh-CN"/>
        </w:rPr>
        <w:t>2</w:t>
      </w:r>
      <w:r>
        <w:rPr>
          <w:rFonts w:hint="eastAsia" w:ascii="宋体" w:hAnsi="Courier New"/>
          <w:bCs/>
        </w:rPr>
        <w:t>份</w:t>
      </w:r>
      <w:r>
        <w:rPr>
          <w:rFonts w:hint="eastAsia" w:ascii="宋体" w:hAnsi="Courier New"/>
          <w:bCs/>
          <w:lang w:eastAsia="zh-CN"/>
        </w:rPr>
        <w:t>）</w:t>
      </w:r>
    </w:p>
    <w:p>
      <w:pPr>
        <w:pStyle w:val="4"/>
        <w:spacing w:line="360" w:lineRule="auto"/>
        <w:ind w:left="631" w:leftChars="200" w:hanging="211" w:hangingChars="100"/>
        <w:rPr>
          <w:rFonts w:hAnsi="宋体"/>
          <w:b/>
        </w:rPr>
      </w:pPr>
      <w:r>
        <w:rPr>
          <w:rFonts w:hint="eastAsia" w:hAnsi="宋体"/>
          <w:b/>
          <w:lang w:val="en-US" w:eastAsia="zh-CN"/>
        </w:rPr>
        <w:t>3.3</w:t>
      </w:r>
      <w:r>
        <w:rPr>
          <w:rFonts w:hint="eastAsia" w:hAnsi="宋体"/>
          <w:b/>
        </w:rPr>
        <w:t>技术标（独立封装在一个档案袋，</w:t>
      </w:r>
      <w:r>
        <w:rPr>
          <w:rFonts w:hint="eastAsia" w:ascii="宋体" w:hAnsi="Courier New"/>
          <w:bCs/>
        </w:rPr>
        <w:t>一式</w:t>
      </w:r>
      <w:r>
        <w:rPr>
          <w:rFonts w:hint="eastAsia" w:ascii="宋体" w:hAnsi="Courier New"/>
          <w:bCs/>
          <w:lang w:val="en-US" w:eastAsia="zh-CN"/>
        </w:rPr>
        <w:t>两</w:t>
      </w:r>
      <w:r>
        <w:rPr>
          <w:rFonts w:hint="eastAsia" w:ascii="宋体" w:hAnsi="Courier New"/>
          <w:bCs/>
        </w:rPr>
        <w:t>份，其中正本一份，副本</w:t>
      </w:r>
      <w:r>
        <w:rPr>
          <w:rFonts w:hint="eastAsia" w:ascii="宋体" w:hAnsi="Courier New"/>
          <w:bCs/>
          <w:lang w:val="en-US" w:eastAsia="zh-CN"/>
        </w:rPr>
        <w:t>一</w:t>
      </w:r>
      <w:r>
        <w:rPr>
          <w:rFonts w:hint="eastAsia" w:ascii="宋体" w:hAnsi="Courier New"/>
          <w:bCs/>
          <w:highlight w:val="none"/>
        </w:rPr>
        <w:t>份</w:t>
      </w:r>
      <w:r>
        <w:rPr>
          <w:rFonts w:hint="eastAsia" w:hAnsi="宋体"/>
          <w:b/>
          <w:highlight w:val="none"/>
        </w:rPr>
        <w:t>）：</w:t>
      </w:r>
    </w:p>
    <w:p>
      <w:pPr>
        <w:pStyle w:val="4"/>
        <w:spacing w:line="360" w:lineRule="auto"/>
        <w:ind w:firstLine="420" w:firstLineChars="200"/>
        <w:rPr>
          <w:rFonts w:hint="eastAsia"/>
          <w:b w:val="0"/>
          <w:bCs/>
        </w:rPr>
      </w:pPr>
      <w:r>
        <w:rPr>
          <w:rFonts w:hint="eastAsia"/>
          <w:b w:val="0"/>
          <w:bCs/>
        </w:rPr>
        <w:t>3</w:t>
      </w:r>
      <w:r>
        <w:rPr>
          <w:b w:val="0"/>
          <w:bCs/>
        </w:rPr>
        <w:t>.</w:t>
      </w:r>
      <w:r>
        <w:rPr>
          <w:rFonts w:hint="eastAsia"/>
          <w:b w:val="0"/>
          <w:bCs/>
          <w:lang w:val="en-US" w:eastAsia="zh-CN"/>
        </w:rPr>
        <w:t>3</w:t>
      </w:r>
      <w:r>
        <w:rPr>
          <w:b w:val="0"/>
          <w:bCs/>
        </w:rPr>
        <w:t xml:space="preserve">.1   </w:t>
      </w:r>
      <w:r>
        <w:rPr>
          <w:rFonts w:hint="eastAsia"/>
          <w:b w:val="0"/>
          <w:bCs/>
        </w:rPr>
        <w:t>技术规格偏离表；</w:t>
      </w:r>
    </w:p>
    <w:p>
      <w:pPr>
        <w:pStyle w:val="4"/>
        <w:spacing w:line="360" w:lineRule="auto"/>
        <w:ind w:firstLine="420" w:firstLineChars="200"/>
        <w:rPr>
          <w:b w:val="0"/>
          <w:bCs/>
        </w:rPr>
      </w:pPr>
      <w:r>
        <w:rPr>
          <w:b w:val="0"/>
          <w:bCs/>
        </w:rPr>
        <w:t>3.</w:t>
      </w:r>
      <w:r>
        <w:rPr>
          <w:rFonts w:hint="eastAsia"/>
          <w:b w:val="0"/>
          <w:bCs/>
          <w:lang w:val="en-US" w:eastAsia="zh-CN"/>
        </w:rPr>
        <w:t>3</w:t>
      </w:r>
      <w:r>
        <w:rPr>
          <w:b w:val="0"/>
          <w:bCs/>
        </w:rPr>
        <w:t xml:space="preserve">.2   </w:t>
      </w:r>
      <w:r>
        <w:rPr>
          <w:rFonts w:hint="eastAsia"/>
          <w:b w:val="0"/>
          <w:bCs/>
        </w:rPr>
        <w:t>能源管理体系认证、监督内容及计划；</w:t>
      </w:r>
    </w:p>
    <w:p>
      <w:pPr>
        <w:pStyle w:val="4"/>
        <w:spacing w:line="360" w:lineRule="auto"/>
        <w:ind w:firstLine="420" w:firstLineChars="200"/>
        <w:rPr>
          <w:rFonts w:hint="eastAsia"/>
          <w:b w:val="0"/>
          <w:bCs/>
        </w:rPr>
      </w:pPr>
      <w:r>
        <w:rPr>
          <w:b w:val="0"/>
          <w:bCs/>
        </w:rPr>
        <w:t>3.</w:t>
      </w:r>
      <w:r>
        <w:rPr>
          <w:rFonts w:hint="eastAsia"/>
          <w:b w:val="0"/>
          <w:bCs/>
          <w:lang w:val="en-US" w:eastAsia="zh-CN"/>
        </w:rPr>
        <w:t>3</w:t>
      </w:r>
      <w:r>
        <w:rPr>
          <w:b w:val="0"/>
          <w:bCs/>
        </w:rPr>
        <w:t xml:space="preserve">.3 </w:t>
      </w:r>
      <w:r>
        <w:rPr>
          <w:b w:val="0"/>
          <w:bCs/>
          <w:highlight w:val="none"/>
        </w:rPr>
        <w:t xml:space="preserve">  </w:t>
      </w:r>
      <w:r>
        <w:rPr>
          <w:rFonts w:hint="eastAsia"/>
          <w:b w:val="0"/>
          <w:bCs/>
          <w:highlight w:val="none"/>
        </w:rPr>
        <w:t>能源管理体系认证、监督评委及培训老师介绍；</w:t>
      </w:r>
    </w:p>
    <w:p>
      <w:pPr>
        <w:pStyle w:val="4"/>
        <w:spacing w:line="360" w:lineRule="auto"/>
        <w:ind w:firstLine="420" w:firstLineChars="200"/>
        <w:rPr>
          <w:rFonts w:hint="eastAsia"/>
          <w:b w:val="0"/>
          <w:bCs/>
        </w:rPr>
      </w:pPr>
      <w:r>
        <w:rPr>
          <w:b w:val="0"/>
          <w:bCs/>
        </w:rPr>
        <w:t>3.</w:t>
      </w:r>
      <w:r>
        <w:rPr>
          <w:rFonts w:hint="eastAsia"/>
          <w:b w:val="0"/>
          <w:bCs/>
          <w:lang w:val="en-US" w:eastAsia="zh-CN"/>
        </w:rPr>
        <w:t>3</w:t>
      </w:r>
      <w:r>
        <w:rPr>
          <w:b w:val="0"/>
          <w:bCs/>
        </w:rPr>
        <w:t>.4</w:t>
      </w:r>
      <w:r>
        <w:rPr>
          <w:rFonts w:hint="eastAsia"/>
          <w:b w:val="0"/>
          <w:bCs/>
        </w:rPr>
        <w:tab/>
      </w:r>
      <w:r>
        <w:rPr>
          <w:rFonts w:hint="eastAsia"/>
          <w:b w:val="0"/>
          <w:bCs/>
        </w:rPr>
        <w:t>培训课程详细内容；</w:t>
      </w:r>
    </w:p>
    <w:p>
      <w:pPr>
        <w:pStyle w:val="4"/>
        <w:spacing w:line="360" w:lineRule="auto"/>
        <w:ind w:firstLine="420" w:firstLineChars="200"/>
        <w:rPr>
          <w:rFonts w:hint="eastAsia"/>
          <w:b w:val="0"/>
          <w:bCs/>
        </w:rPr>
      </w:pPr>
      <w:r>
        <w:rPr>
          <w:b w:val="0"/>
          <w:bCs/>
        </w:rPr>
        <w:t>3.</w:t>
      </w:r>
      <w:r>
        <w:rPr>
          <w:rFonts w:hint="eastAsia"/>
          <w:b w:val="0"/>
          <w:bCs/>
          <w:lang w:val="en-US" w:eastAsia="zh-CN"/>
        </w:rPr>
        <w:t>3</w:t>
      </w:r>
      <w:r>
        <w:rPr>
          <w:b w:val="0"/>
          <w:bCs/>
        </w:rPr>
        <w:t>.5</w:t>
      </w:r>
      <w:r>
        <w:rPr>
          <w:rFonts w:hint="eastAsia"/>
          <w:b w:val="0"/>
          <w:bCs/>
        </w:rPr>
        <w:t xml:space="preserve">   培训教室要求；</w:t>
      </w:r>
    </w:p>
    <w:p>
      <w:pPr>
        <w:pStyle w:val="4"/>
        <w:spacing w:line="360" w:lineRule="auto"/>
        <w:ind w:firstLine="420" w:firstLineChars="200"/>
        <w:rPr>
          <w:rFonts w:hint="eastAsia"/>
          <w:b w:val="0"/>
          <w:bCs/>
        </w:rPr>
      </w:pPr>
      <w:r>
        <w:rPr>
          <w:b w:val="0"/>
          <w:bCs/>
        </w:rPr>
        <w:t>3.</w:t>
      </w:r>
      <w:r>
        <w:rPr>
          <w:rFonts w:hint="eastAsia"/>
          <w:b w:val="0"/>
          <w:bCs/>
          <w:lang w:val="en-US" w:eastAsia="zh-CN"/>
        </w:rPr>
        <w:t>3</w:t>
      </w:r>
      <w:r>
        <w:rPr>
          <w:b w:val="0"/>
          <w:bCs/>
        </w:rPr>
        <w:t>.6</w:t>
      </w:r>
      <w:r>
        <w:rPr>
          <w:rFonts w:hint="eastAsia"/>
          <w:b w:val="0"/>
          <w:bCs/>
        </w:rPr>
        <w:t xml:space="preserve">   课程赠送的其它增值服务（如无可以不填），若多提供内审员证书及培训材料可在此说明；</w:t>
      </w:r>
    </w:p>
    <w:p>
      <w:pPr>
        <w:pStyle w:val="4"/>
        <w:spacing w:line="360" w:lineRule="auto"/>
        <w:ind w:firstLine="422" w:firstLineChars="200"/>
        <w:rPr>
          <w:rFonts w:hint="eastAsia" w:eastAsia="宋体"/>
          <w:b/>
          <w:lang w:eastAsia="zh-CN"/>
        </w:rPr>
      </w:pPr>
      <w:r>
        <w:rPr>
          <w:b/>
        </w:rPr>
        <w:t>3.</w:t>
      </w:r>
      <w:r>
        <w:rPr>
          <w:rFonts w:hint="eastAsia"/>
          <w:b/>
          <w:lang w:val="en-US" w:eastAsia="zh-CN"/>
        </w:rPr>
        <w:t>3</w:t>
      </w:r>
      <w:r>
        <w:rPr>
          <w:b/>
        </w:rPr>
        <w:t>.7</w:t>
      </w:r>
      <w:r>
        <w:rPr>
          <w:rFonts w:hint="eastAsia"/>
          <w:b/>
        </w:rPr>
        <w:t xml:space="preserve">  技术标文件内严禁出现与投标报价有关的内容</w:t>
      </w:r>
      <w:r>
        <w:rPr>
          <w:rFonts w:hint="eastAsia"/>
          <w:b/>
          <w:lang w:eastAsia="zh-CN"/>
        </w:rPr>
        <w:t>，</w:t>
      </w:r>
      <w:r>
        <w:rPr>
          <w:rFonts w:hint="eastAsia" w:ascii="宋体" w:hAnsi="Courier New"/>
          <w:b/>
          <w:highlight w:val="none"/>
          <w:lang w:val="en-US" w:eastAsia="zh-CN"/>
        </w:rPr>
        <w:t>出现与报价相关内容取消投标资格</w:t>
      </w:r>
      <w:r>
        <w:rPr>
          <w:rFonts w:hint="eastAsia"/>
          <w:b/>
          <w:lang w:eastAsia="zh-CN"/>
        </w:rPr>
        <w:t>。</w:t>
      </w:r>
    </w:p>
    <w:p>
      <w:pPr>
        <w:pStyle w:val="4"/>
        <w:spacing w:line="360" w:lineRule="auto"/>
        <w:ind w:firstLine="422" w:firstLineChars="200"/>
        <w:rPr>
          <w:rFonts w:hint="eastAsia"/>
          <w:b/>
        </w:rPr>
      </w:pPr>
      <w:r>
        <w:rPr>
          <w:rFonts w:hint="eastAsia"/>
          <w:b/>
        </w:rPr>
        <w:t>3</w:t>
      </w:r>
      <w:r>
        <w:rPr>
          <w:b/>
        </w:rPr>
        <w:t>.</w:t>
      </w:r>
      <w:r>
        <w:rPr>
          <w:rFonts w:hint="eastAsia"/>
          <w:b/>
          <w:lang w:val="en-US" w:eastAsia="zh-CN"/>
        </w:rPr>
        <w:t>4</w:t>
      </w:r>
      <w:r>
        <w:rPr>
          <w:rFonts w:hint="eastAsia"/>
          <w:b/>
        </w:rPr>
        <w:t>商务标</w:t>
      </w:r>
      <w:r>
        <w:rPr>
          <w:rFonts w:hint="eastAsia" w:hAnsi="宋体"/>
          <w:b/>
        </w:rPr>
        <w:t>（独立封装在一个档案袋，</w:t>
      </w:r>
      <w:r>
        <w:rPr>
          <w:rFonts w:hint="eastAsia" w:ascii="宋体" w:hAnsi="Courier New"/>
          <w:b/>
          <w:bCs w:val="0"/>
          <w:highlight w:val="none"/>
        </w:rPr>
        <w:t>一式</w:t>
      </w:r>
      <w:r>
        <w:rPr>
          <w:rFonts w:hint="eastAsia" w:ascii="宋体" w:hAnsi="Courier New"/>
          <w:b/>
          <w:bCs w:val="0"/>
          <w:highlight w:val="none"/>
          <w:lang w:val="en-US" w:eastAsia="zh-CN"/>
        </w:rPr>
        <w:t>两</w:t>
      </w:r>
      <w:r>
        <w:rPr>
          <w:rFonts w:hint="eastAsia" w:ascii="宋体" w:hAnsi="Courier New"/>
          <w:b/>
          <w:bCs w:val="0"/>
          <w:highlight w:val="none"/>
        </w:rPr>
        <w:t>份，一正</w:t>
      </w:r>
      <w:r>
        <w:rPr>
          <w:rFonts w:hint="eastAsia" w:ascii="宋体" w:hAnsi="Courier New"/>
          <w:b/>
          <w:bCs w:val="0"/>
          <w:highlight w:val="none"/>
          <w:lang w:val="en-US" w:eastAsia="zh-CN"/>
        </w:rPr>
        <w:t>一副</w:t>
      </w:r>
      <w:r>
        <w:rPr>
          <w:rFonts w:hint="eastAsia" w:hAnsi="宋体"/>
          <w:b/>
          <w:highlight w:val="none"/>
        </w:rPr>
        <w:t>）：</w:t>
      </w:r>
    </w:p>
    <w:p>
      <w:pPr>
        <w:pStyle w:val="4"/>
        <w:spacing w:line="360" w:lineRule="auto"/>
        <w:rPr>
          <w:rFonts w:hint="eastAsia"/>
          <w:b w:val="0"/>
          <w:bCs/>
          <w:lang w:val="en-US" w:eastAsia="zh-CN"/>
        </w:rPr>
      </w:pPr>
      <w:r>
        <w:rPr>
          <w:rFonts w:hint="eastAsia"/>
          <w:b/>
        </w:rPr>
        <w:tab/>
      </w:r>
      <w:r>
        <w:rPr>
          <w:b w:val="0"/>
          <w:bCs/>
        </w:rPr>
        <w:t>3.</w:t>
      </w:r>
      <w:r>
        <w:rPr>
          <w:rFonts w:hint="eastAsia"/>
          <w:b w:val="0"/>
          <w:bCs/>
          <w:lang w:val="en-US" w:eastAsia="zh-CN"/>
        </w:rPr>
        <w:t>4</w:t>
      </w:r>
      <w:r>
        <w:rPr>
          <w:b w:val="0"/>
          <w:bCs/>
        </w:rPr>
        <w:t xml:space="preserve">.1 </w:t>
      </w:r>
      <w:r>
        <w:rPr>
          <w:rFonts w:hint="eastAsia"/>
          <w:b w:val="0"/>
          <w:bCs/>
        </w:rPr>
        <w:t>投标函；</w:t>
      </w:r>
    </w:p>
    <w:p>
      <w:pPr>
        <w:pStyle w:val="4"/>
        <w:spacing w:line="360" w:lineRule="auto"/>
        <w:ind w:firstLine="420" w:firstLineChars="200"/>
        <w:rPr>
          <w:b w:val="0"/>
          <w:bCs/>
        </w:rPr>
      </w:pPr>
      <w:r>
        <w:rPr>
          <w:rFonts w:hint="eastAsia"/>
          <w:b w:val="0"/>
          <w:bCs/>
          <w:lang w:val="en-US" w:eastAsia="zh-CN"/>
        </w:rPr>
        <w:t>3.4.2</w:t>
      </w:r>
      <w:r>
        <w:rPr>
          <w:rFonts w:hint="eastAsia"/>
          <w:b w:val="0"/>
          <w:bCs/>
        </w:rPr>
        <w:t>商务条款偏离表；详见本招标文件“第二章 投标文件编制”，请投标人按格式要求进行填写。</w:t>
      </w:r>
    </w:p>
    <w:p>
      <w:pPr>
        <w:pStyle w:val="4"/>
        <w:spacing w:line="360" w:lineRule="auto"/>
        <w:ind w:firstLine="422" w:firstLineChars="200"/>
        <w:rPr>
          <w:rFonts w:hint="eastAsia"/>
          <w:b/>
        </w:rPr>
      </w:pPr>
      <w:r>
        <w:rPr>
          <w:b/>
        </w:rPr>
        <w:t>3.</w:t>
      </w:r>
      <w:r>
        <w:rPr>
          <w:rFonts w:hint="eastAsia"/>
          <w:b/>
          <w:lang w:val="en-US" w:eastAsia="zh-CN"/>
        </w:rPr>
        <w:t>5</w:t>
      </w:r>
      <w:r>
        <w:rPr>
          <w:rFonts w:hint="eastAsia"/>
          <w:b/>
        </w:rPr>
        <w:t>所有投标文件需进行正规封装、胶装，不接受活页、散装等方式的投标文资料。</w:t>
      </w:r>
    </w:p>
    <w:p>
      <w:pPr>
        <w:pStyle w:val="4"/>
        <w:spacing w:line="360" w:lineRule="auto"/>
        <w:ind w:left="631" w:leftChars="200" w:hanging="211" w:hangingChars="100"/>
        <w:rPr>
          <w:rFonts w:hAnsi="宋体"/>
          <w:b/>
        </w:rPr>
      </w:pPr>
      <w:r>
        <w:rPr>
          <w:rFonts w:hint="eastAsia" w:hAnsi="宋体"/>
          <w:b/>
        </w:rPr>
        <w:t>4、报价</w:t>
      </w:r>
    </w:p>
    <w:p>
      <w:pPr>
        <w:pStyle w:val="4"/>
        <w:spacing w:line="360" w:lineRule="auto"/>
        <w:ind w:firstLine="415" w:firstLineChars="198"/>
        <w:rPr>
          <w:rFonts w:hAnsi="宋体"/>
        </w:rPr>
      </w:pPr>
      <w:r>
        <w:rPr>
          <w:rFonts w:hint="eastAsia" w:hAnsi="宋体"/>
        </w:rPr>
        <w:t>（1）本项目报价是指完成招标人的所有工作内容的全部费用总价，包括但不限于前期资料的收集整理、</w:t>
      </w:r>
      <w:r>
        <w:rPr>
          <w:rFonts w:hint="eastAsia" w:hAnsi="宋体"/>
          <w:highlight w:val="none"/>
        </w:rPr>
        <w:t>课程培训、现场勘查、检验检测、报告书编制、送审、评估、评审、审查会议的费用、报批审批、备案、获得批复及成果资料提交过程中所需的人工费、差旅费</w:t>
      </w:r>
      <w:r>
        <w:rPr>
          <w:rFonts w:hAnsi="宋体"/>
          <w:highlight w:val="none"/>
        </w:rPr>
        <w:t>、食宿费、</w:t>
      </w:r>
      <w:r>
        <w:rPr>
          <w:rFonts w:hint="eastAsia" w:hAnsi="宋体"/>
          <w:highlight w:val="none"/>
        </w:rPr>
        <w:t>材</w:t>
      </w:r>
      <w:r>
        <w:rPr>
          <w:rFonts w:hint="eastAsia" w:hAnsi="宋体"/>
        </w:rPr>
        <w:t>料费、仪器设备使用费、检验检测费、评估费、评审费、利润、税金等完成本项目所需的全部费用，考虑体系换版，考虑有关风险费用及招标人的特殊要求等而增加的费用，以及合同明示或暗示的所有责任、义务和不可抗力以外的一切风险费用。报价不随政策调整、市场变化而变化，并作为最终结算的依据</w:t>
      </w:r>
      <w:r>
        <w:rPr>
          <w:rFonts w:hint="eastAsia" w:hAnsi="宋体"/>
          <w:b w:val="0"/>
          <w:bCs/>
        </w:rPr>
        <w:t>。</w:t>
      </w:r>
    </w:p>
    <w:p>
      <w:pPr>
        <w:pStyle w:val="4"/>
        <w:spacing w:line="360" w:lineRule="auto"/>
        <w:ind w:firstLine="415" w:firstLineChars="198"/>
        <w:rPr>
          <w:rFonts w:hint="eastAsia" w:hAnsi="宋体" w:eastAsia="宋体"/>
          <w:lang w:eastAsia="zh-CN"/>
        </w:rPr>
      </w:pPr>
      <w:r>
        <w:rPr>
          <w:rFonts w:hint="eastAsia" w:hAnsi="宋体"/>
        </w:rPr>
        <w:t>（2）报价货币单位为：元（人民币，含税）</w:t>
      </w:r>
      <w:r>
        <w:rPr>
          <w:rFonts w:hint="eastAsia" w:hAnsi="宋体"/>
          <w:lang w:eastAsia="zh-CN"/>
        </w:rPr>
        <w:t>，</w:t>
      </w:r>
      <w:r>
        <w:rPr>
          <w:rFonts w:hint="eastAsia" w:ascii="宋体" w:hAnsi="Courier New"/>
          <w:b/>
          <w:bCs/>
        </w:rPr>
        <w:t>注明税率</w:t>
      </w:r>
      <w:r>
        <w:rPr>
          <w:rFonts w:hint="eastAsia" w:ascii="宋体" w:hAnsi="Courier New"/>
          <w:b/>
          <w:bCs/>
          <w:lang w:eastAsia="zh-CN"/>
        </w:rPr>
        <w:t>。</w:t>
      </w:r>
    </w:p>
    <w:p>
      <w:pPr>
        <w:pStyle w:val="4"/>
        <w:spacing w:line="360" w:lineRule="auto"/>
        <w:ind w:firstLine="420" w:firstLineChars="200"/>
        <w:rPr>
          <w:rFonts w:hint="eastAsia" w:hAnsi="宋体"/>
          <w:b/>
          <w:highlight w:val="yellow"/>
        </w:rPr>
      </w:pPr>
      <w:r>
        <w:rPr>
          <w:rFonts w:hint="eastAsia" w:hAnsi="宋体"/>
          <w:highlight w:val="yellow"/>
        </w:rPr>
        <w:t>（3）</w:t>
      </w:r>
      <w:r>
        <w:rPr>
          <w:rFonts w:hint="eastAsia" w:hAnsi="宋体"/>
          <w:b/>
          <w:highlight w:val="yellow"/>
        </w:rPr>
        <w:t>付款方式：</w:t>
      </w:r>
    </w:p>
    <w:p>
      <w:pPr>
        <w:pStyle w:val="4"/>
        <w:spacing w:line="360" w:lineRule="auto"/>
        <w:ind w:firstLine="422" w:firstLineChars="200"/>
        <w:rPr>
          <w:rFonts w:hint="eastAsia" w:hAnsi="宋体"/>
          <w:b/>
          <w:highlight w:val="yellow"/>
        </w:rPr>
      </w:pPr>
      <w:r>
        <w:rPr>
          <w:rFonts w:hint="eastAsia" w:hAnsi="宋体"/>
          <w:b/>
          <w:highlight w:val="yellow"/>
        </w:rPr>
        <w:t>半年期商业汇票（包括银行承兑汇票和商业承兑汇票）；</w:t>
      </w:r>
    </w:p>
    <w:p>
      <w:pPr>
        <w:pStyle w:val="4"/>
        <w:spacing w:line="360" w:lineRule="auto"/>
        <w:ind w:firstLine="422" w:firstLineChars="200"/>
        <w:rPr>
          <w:rFonts w:hint="eastAsia" w:hAnsi="宋体"/>
          <w:highlight w:val="yellow"/>
        </w:rPr>
      </w:pPr>
      <w:r>
        <w:rPr>
          <w:rFonts w:hint="eastAsia" w:hAnsi="宋体"/>
          <w:b/>
          <w:highlight w:val="yellow"/>
        </w:rPr>
        <w:t>一年付一次款项，每年招标人对能源管理体系服务完成情况确认后，中标人给各受审单位提交金额为当年合同服务项目价款的评审费增值税专用发票和盖财务章的收据，提供接收电子承兑确认函</w:t>
      </w:r>
      <w:r>
        <w:rPr>
          <w:rFonts w:hint="eastAsia" w:hAnsi="宋体"/>
          <w:b/>
          <w:highlight w:val="yellow"/>
          <w:lang w:eastAsia="zh-CN"/>
        </w:rPr>
        <w:t>，</w:t>
      </w:r>
      <w:r>
        <w:rPr>
          <w:rFonts w:hint="eastAsia" w:hAnsi="宋体"/>
          <w:b/>
          <w:highlight w:val="yellow"/>
        </w:rPr>
        <w:t>具体以双方最终签署的合同为准。</w:t>
      </w:r>
      <w:r>
        <w:rPr>
          <w:rFonts w:hint="eastAsia" w:hAnsi="宋体"/>
          <w:highlight w:val="yellow"/>
        </w:rPr>
        <w:t xml:space="preserve"> </w:t>
      </w:r>
    </w:p>
    <w:p>
      <w:pPr>
        <w:pStyle w:val="4"/>
        <w:spacing w:line="360" w:lineRule="auto"/>
        <w:ind w:firstLine="420" w:firstLineChars="200"/>
        <w:rPr>
          <w:rFonts w:hint="eastAsia" w:hAnsi="宋体" w:eastAsia="宋体"/>
          <w:highlight w:val="none"/>
          <w:lang w:eastAsia="zh-CN"/>
        </w:rPr>
      </w:pPr>
      <w:r>
        <w:rPr>
          <w:rFonts w:hint="eastAsia" w:hAnsi="宋体"/>
          <w:highlight w:val="none"/>
          <w:lang w:eastAsia="zh-CN"/>
        </w:rPr>
        <w:t>（</w:t>
      </w:r>
      <w:r>
        <w:rPr>
          <w:rFonts w:hint="eastAsia" w:hAnsi="宋体"/>
          <w:highlight w:val="none"/>
          <w:lang w:val="en-US" w:eastAsia="zh-CN"/>
        </w:rPr>
        <w:t>4</w:t>
      </w:r>
      <w:r>
        <w:rPr>
          <w:rFonts w:hint="eastAsia" w:hAnsi="宋体"/>
          <w:highlight w:val="none"/>
          <w:lang w:eastAsia="zh-CN"/>
        </w:rPr>
        <w:t>）</w:t>
      </w:r>
      <w:r>
        <w:rPr>
          <w:rFonts w:hint="eastAsia"/>
          <w:b/>
          <w:bCs/>
          <w:highlight w:val="none"/>
          <w:lang w:val="en-US" w:eastAsia="zh-CN"/>
        </w:rPr>
        <w:t>供应商投标最高限价，600000元（人民币），含税，税率6%。</w:t>
      </w:r>
    </w:p>
    <w:p>
      <w:pPr>
        <w:pStyle w:val="4"/>
        <w:spacing w:line="360" w:lineRule="auto"/>
        <w:ind w:left="631" w:leftChars="200" w:hanging="211" w:hangingChars="100"/>
        <w:rPr>
          <w:rFonts w:hAnsi="宋体"/>
          <w:b/>
        </w:rPr>
      </w:pPr>
      <w:r>
        <w:rPr>
          <w:rFonts w:hAnsi="宋体"/>
          <w:b/>
        </w:rPr>
        <w:t>5</w:t>
      </w:r>
      <w:r>
        <w:rPr>
          <w:rFonts w:hint="eastAsia" w:hAnsi="宋体"/>
          <w:b/>
        </w:rPr>
        <w:t>、技术规范及服务</w:t>
      </w:r>
    </w:p>
    <w:p>
      <w:pPr>
        <w:pStyle w:val="4"/>
        <w:spacing w:line="360" w:lineRule="auto"/>
        <w:ind w:firstLine="625" w:firstLineChars="298"/>
        <w:rPr>
          <w:rFonts w:hAnsi="宋体"/>
        </w:rPr>
      </w:pPr>
      <w:r>
        <w:rPr>
          <w:rFonts w:hint="eastAsia" w:hAnsi="宋体"/>
        </w:rPr>
        <w:t>（1）投标人应与招标人指派的答疑人员充分沟通，理解认可并接受相关技术规范及服务要求。</w:t>
      </w:r>
    </w:p>
    <w:p>
      <w:pPr>
        <w:pStyle w:val="4"/>
        <w:spacing w:line="360" w:lineRule="auto"/>
        <w:ind w:firstLine="625" w:firstLineChars="298"/>
        <w:rPr>
          <w:rFonts w:hAnsi="宋体"/>
        </w:rPr>
      </w:pPr>
      <w:r>
        <w:rPr>
          <w:rFonts w:hint="eastAsia" w:hAnsi="宋体"/>
        </w:rPr>
        <w:t>（2）服务及评价总体要求按《技术协议书》执行；</w:t>
      </w:r>
    </w:p>
    <w:p>
      <w:pPr>
        <w:pStyle w:val="4"/>
        <w:spacing w:line="360" w:lineRule="auto"/>
        <w:ind w:firstLine="625" w:firstLineChars="298"/>
        <w:rPr>
          <w:rFonts w:hAnsi="宋体"/>
        </w:rPr>
      </w:pPr>
      <w:r>
        <w:rPr>
          <w:rFonts w:hint="eastAsia" w:hAnsi="宋体"/>
        </w:rPr>
        <w:t>（</w:t>
      </w:r>
      <w:r>
        <w:rPr>
          <w:rFonts w:hAnsi="宋体"/>
        </w:rPr>
        <w:t>3</w:t>
      </w:r>
      <w:r>
        <w:rPr>
          <w:rFonts w:hint="eastAsia" w:hAnsi="宋体"/>
        </w:rPr>
        <w:t>）投标人可免费提供的、包含但不限于招标人所要求的其他相关服务内容，按本招标书“第二章 投标文件编制”要求，在其“开标一览表”中一并说明。</w:t>
      </w:r>
    </w:p>
    <w:p>
      <w:pPr>
        <w:pStyle w:val="4"/>
        <w:spacing w:line="360" w:lineRule="auto"/>
        <w:ind w:left="631" w:leftChars="200" w:hanging="211" w:hangingChars="100"/>
        <w:rPr>
          <w:rFonts w:hAnsi="宋体"/>
          <w:b/>
        </w:rPr>
      </w:pPr>
      <w:r>
        <w:rPr>
          <w:rFonts w:hAnsi="宋体"/>
          <w:b/>
        </w:rPr>
        <w:t>6</w:t>
      </w:r>
      <w:r>
        <w:rPr>
          <w:rFonts w:hint="eastAsia" w:hAnsi="宋体"/>
          <w:b/>
        </w:rPr>
        <w:t>、其他</w:t>
      </w:r>
    </w:p>
    <w:p>
      <w:pPr>
        <w:pStyle w:val="4"/>
        <w:spacing w:line="360" w:lineRule="auto"/>
        <w:ind w:firstLine="415" w:firstLineChars="198"/>
        <w:rPr>
          <w:rFonts w:hint="eastAsia" w:hAnsi="宋体"/>
        </w:rPr>
      </w:pPr>
      <w:r>
        <w:rPr>
          <w:rFonts w:hint="eastAsia" w:hAnsi="宋体"/>
        </w:rPr>
        <w:t>（1）投标人须认可招标人由于招标人上级集团公司政策变化引起的随时终止合同的要求。如投标人不认可、不接受，则投标人在本招标书“第二章 投标文件编制”之“相关条款偏离表（含商务偏离及技术偏离）”中注明“不接受”字，招标人将视之为主动弃标。</w:t>
      </w:r>
    </w:p>
    <w:p>
      <w:pPr>
        <w:pStyle w:val="4"/>
        <w:spacing w:line="360" w:lineRule="auto"/>
        <w:ind w:firstLine="420" w:firstLineChars="200"/>
        <w:rPr>
          <w:rFonts w:hAnsi="宋体"/>
        </w:rPr>
      </w:pPr>
      <w:r>
        <w:rPr>
          <w:rFonts w:hint="eastAsia" w:hAnsi="宋体"/>
        </w:rPr>
        <w:t>（</w:t>
      </w:r>
      <w:r>
        <w:rPr>
          <w:rFonts w:hAnsi="宋体"/>
        </w:rPr>
        <w:t>2</w:t>
      </w:r>
      <w:r>
        <w:rPr>
          <w:rFonts w:hint="eastAsia" w:hAnsi="宋体"/>
        </w:rPr>
        <w:t>）本次评审服务严禁转包、分包行为，如发现转包行为，招标人可终止合同，投标人将承担一切损失及相关法律责任。</w:t>
      </w:r>
    </w:p>
    <w:p>
      <w:pPr>
        <w:pStyle w:val="4"/>
        <w:spacing w:line="360" w:lineRule="auto"/>
        <w:ind w:left="630" w:leftChars="200" w:hanging="210" w:hangingChars="100"/>
        <w:rPr>
          <w:rFonts w:hint="eastAsia" w:hAnsi="宋体"/>
        </w:rPr>
      </w:pPr>
      <w:r>
        <w:rPr>
          <w:rFonts w:hint="eastAsia" w:hAnsi="宋体"/>
        </w:rPr>
        <w:t>其余未尽事宜，均按合同约定。</w:t>
      </w:r>
    </w:p>
    <w:p>
      <w:pPr>
        <w:pStyle w:val="4"/>
        <w:spacing w:line="360" w:lineRule="auto"/>
        <w:ind w:left="631" w:leftChars="200" w:hanging="211" w:hangingChars="100"/>
        <w:rPr>
          <w:rFonts w:hAnsi="宋体"/>
          <w:b/>
        </w:rPr>
      </w:pPr>
      <w:r>
        <w:rPr>
          <w:rFonts w:hint="eastAsia" w:hAnsi="宋体"/>
          <w:b/>
          <w:lang w:val="en-US" w:eastAsia="zh-CN"/>
        </w:rPr>
        <w:t>7</w:t>
      </w:r>
      <w:r>
        <w:rPr>
          <w:rFonts w:hint="eastAsia" w:hAnsi="宋体"/>
          <w:b/>
        </w:rPr>
        <w:t>、要求招标人或相关合同签订单位提供的配合，在标书文件中说明。</w:t>
      </w:r>
    </w:p>
    <w:p>
      <w:pPr>
        <w:pStyle w:val="3"/>
        <w:spacing w:before="156" w:beforeLines="50" w:after="156" w:afterLines="50" w:line="240" w:lineRule="auto"/>
        <w:rPr>
          <w:rFonts w:ascii="黑体" w:hAnsi="黑体" w:eastAsia="黑体"/>
          <w:bCs w:val="0"/>
          <w:sz w:val="28"/>
        </w:rPr>
      </w:pPr>
      <w:bookmarkStart w:id="6" w:name="_Toc110931807"/>
      <w:r>
        <w:rPr>
          <w:rFonts w:hint="eastAsia" w:ascii="黑体" w:hAnsi="黑体" w:eastAsia="黑体"/>
          <w:bCs w:val="0"/>
          <w:sz w:val="28"/>
          <w:lang w:val="en-US" w:eastAsia="zh-CN"/>
        </w:rPr>
        <w:t>六</w:t>
      </w:r>
      <w:r>
        <w:rPr>
          <w:rFonts w:hint="eastAsia" w:ascii="黑体" w:hAnsi="黑体" w:eastAsia="黑体"/>
          <w:bCs w:val="0"/>
          <w:sz w:val="28"/>
        </w:rPr>
        <w:t>、投标</w:t>
      </w:r>
      <w:bookmarkEnd w:id="6"/>
      <w:r>
        <w:rPr>
          <w:rFonts w:hint="eastAsia" w:ascii="黑体" w:hAnsi="黑体" w:eastAsia="黑体"/>
          <w:bCs w:val="0"/>
          <w:sz w:val="28"/>
          <w:lang w:eastAsia="zh-CN"/>
        </w:rPr>
        <w:t>、开标、评标</w:t>
      </w:r>
    </w:p>
    <w:p>
      <w:pPr>
        <w:pStyle w:val="4"/>
        <w:spacing w:line="360" w:lineRule="auto"/>
        <w:ind w:firstLine="422" w:firstLineChars="200"/>
        <w:rPr>
          <w:b/>
        </w:rPr>
      </w:pPr>
      <w:r>
        <w:rPr>
          <w:rFonts w:hint="eastAsia"/>
          <w:b/>
        </w:rPr>
        <w:t>1、投标保证金：</w:t>
      </w:r>
    </w:p>
    <w:p>
      <w:pPr>
        <w:pStyle w:val="4"/>
        <w:spacing w:line="360" w:lineRule="auto"/>
        <w:ind w:firstLine="420" w:firstLineChars="200"/>
      </w:pPr>
      <w:r>
        <w:rPr>
          <w:rFonts w:hint="eastAsia" w:hAnsi="宋体"/>
        </w:rPr>
        <w:t>（1）投标人需从投标人单位账户向招标人财务部门缴纳</w:t>
      </w:r>
      <w:r>
        <w:rPr>
          <w:rFonts w:hAnsi="宋体"/>
          <w:highlight w:val="yellow"/>
        </w:rPr>
        <w:t>1</w:t>
      </w:r>
      <w:r>
        <w:rPr>
          <w:rFonts w:hint="eastAsia" w:hAnsi="宋体"/>
          <w:highlight w:val="yellow"/>
          <w:u w:val="single"/>
        </w:rPr>
        <w:t>0000元</w:t>
      </w:r>
      <w:r>
        <w:rPr>
          <w:rFonts w:hint="eastAsia" w:hAnsi="宋体"/>
        </w:rPr>
        <w:t>（人民币），作为投标人本次</w:t>
      </w:r>
      <w:r>
        <w:rPr>
          <w:rFonts w:hint="eastAsia"/>
        </w:rPr>
        <w:t>投标的保证金。</w:t>
      </w:r>
    </w:p>
    <w:p>
      <w:pPr>
        <w:pStyle w:val="4"/>
        <w:spacing w:line="360" w:lineRule="auto"/>
        <w:ind w:firstLine="420" w:firstLineChars="200"/>
        <w:rPr>
          <w:szCs w:val="22"/>
        </w:rPr>
      </w:pPr>
      <w:r>
        <w:rPr>
          <w:rFonts w:hint="eastAsia" w:hAnsi="宋体"/>
        </w:rPr>
        <w:t>（2）</w:t>
      </w:r>
      <w:r>
        <w:rPr>
          <w:rFonts w:hint="eastAsia"/>
        </w:rPr>
        <w:t>缴纳方式：电汇或网银，投标保证金应从基本账户转入</w:t>
      </w:r>
      <w:r>
        <w:rPr>
          <w:rFonts w:hint="eastAsia"/>
          <w:szCs w:val="22"/>
        </w:rPr>
        <w:t>需备注“中国重型汽车集团有限公司202</w:t>
      </w:r>
      <w:r>
        <w:rPr>
          <w:rFonts w:hint="eastAsia"/>
          <w:szCs w:val="22"/>
          <w:lang w:val="en-US" w:eastAsia="zh-CN"/>
        </w:rPr>
        <w:t>5</w:t>
      </w:r>
      <w:r>
        <w:rPr>
          <w:rFonts w:hint="eastAsia"/>
          <w:szCs w:val="22"/>
        </w:rPr>
        <w:t>年—202</w:t>
      </w:r>
      <w:r>
        <w:rPr>
          <w:rFonts w:hint="eastAsia"/>
          <w:szCs w:val="22"/>
          <w:lang w:val="en-US" w:eastAsia="zh-CN"/>
        </w:rPr>
        <w:t>7</w:t>
      </w:r>
      <w:r>
        <w:rPr>
          <w:rFonts w:hint="eastAsia"/>
          <w:szCs w:val="22"/>
        </w:rPr>
        <w:t>年能源管理体系认证</w:t>
      </w:r>
      <w:r>
        <w:rPr>
          <w:rFonts w:hint="eastAsia"/>
          <w:szCs w:val="22"/>
          <w:lang w:val="en-US" w:eastAsia="zh-CN"/>
        </w:rPr>
        <w:t>审核</w:t>
      </w:r>
      <w:r>
        <w:rPr>
          <w:rFonts w:hint="eastAsia"/>
          <w:szCs w:val="22"/>
        </w:rPr>
        <w:t>项目”</w:t>
      </w:r>
      <w:r>
        <w:rPr>
          <w:rFonts w:hint="eastAsia"/>
        </w:rPr>
        <w:t>；</w:t>
      </w:r>
    </w:p>
    <w:p>
      <w:pPr>
        <w:pStyle w:val="4"/>
        <w:spacing w:line="360" w:lineRule="auto"/>
        <w:ind w:firstLine="420" w:firstLineChars="200"/>
      </w:pPr>
      <w:r>
        <w:rPr>
          <w:rFonts w:hint="eastAsia" w:hAnsi="宋体"/>
        </w:rPr>
        <w:t>（3）</w:t>
      </w:r>
      <w:r>
        <w:rPr>
          <w:rFonts w:hint="eastAsia"/>
        </w:rPr>
        <w:t>接收单位：中国重型汽车集团有限公司</w:t>
      </w:r>
    </w:p>
    <w:p>
      <w:pPr>
        <w:spacing w:line="360" w:lineRule="auto"/>
        <w:ind w:firstLine="420" w:firstLineChars="200"/>
        <w:rPr>
          <w:rFonts w:ascii="宋体" w:hAnsi="Courier New"/>
        </w:rPr>
      </w:pPr>
      <w:r>
        <w:rPr>
          <w:rFonts w:hint="eastAsia" w:ascii="宋体" w:hAnsi="宋体" w:eastAsia="宋体" w:cs="Times New Roman"/>
          <w:kern w:val="2"/>
          <w:sz w:val="21"/>
          <w:lang w:val="en-US" w:eastAsia="zh-CN" w:bidi="ar-SA"/>
        </w:rPr>
        <w:t>（4）转</w:t>
      </w:r>
      <w:r>
        <w:rPr>
          <w:rFonts w:hint="eastAsia" w:ascii="宋体" w:hAnsi="Courier New"/>
        </w:rPr>
        <w:t>账信息：</w:t>
      </w:r>
    </w:p>
    <w:tbl>
      <w:tblPr>
        <w:tblStyle w:val="8"/>
        <w:tblW w:w="0" w:type="auto"/>
        <w:tblInd w:w="4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8287" w:type="dxa"/>
            <w:noWrap w:val="0"/>
            <w:vAlign w:val="center"/>
          </w:tcPr>
          <w:p>
            <w:pPr>
              <w:ind w:firstLine="420" w:firstLineChars="200"/>
              <w:rPr>
                <w:rFonts w:hint="eastAsia" w:ascii="宋体" w:hAnsi="Courier New"/>
                <w:highlight w:val="none"/>
              </w:rPr>
            </w:pPr>
            <w:r>
              <w:rPr>
                <w:rFonts w:hint="eastAsia" w:ascii="宋体" w:hAnsi="Courier New"/>
                <w:highlight w:val="none"/>
              </w:rPr>
              <w:t>开户银行：</w:t>
            </w:r>
            <w:r>
              <w:rPr>
                <w:rFonts w:hint="eastAsia" w:ascii="宋体" w:hAnsi="Courier New" w:eastAsia="宋体" w:cs="Times New Roman"/>
                <w:highlight w:val="none"/>
              </w:rPr>
              <w:t>中国工商银行济南天桥支行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287" w:type="dxa"/>
            <w:noWrap w:val="0"/>
            <w:vAlign w:val="center"/>
          </w:tcPr>
          <w:p>
            <w:pPr>
              <w:ind w:firstLine="420" w:firstLineChars="200"/>
              <w:rPr>
                <w:rFonts w:hint="eastAsia" w:ascii="宋体" w:hAnsi="Courier New"/>
                <w:highlight w:val="none"/>
              </w:rPr>
            </w:pPr>
            <w:r>
              <w:rPr>
                <w:rFonts w:hint="eastAsia" w:ascii="宋体" w:hAnsi="Courier New"/>
                <w:highlight w:val="none"/>
              </w:rPr>
              <w:t>户名：中国重型汽车集团有限公司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pPr>
              <w:ind w:firstLine="420" w:firstLineChars="200"/>
              <w:rPr>
                <w:rFonts w:ascii="宋体" w:hAnsi="Courier New"/>
                <w:highlight w:val="none"/>
              </w:rPr>
            </w:pPr>
            <w:r>
              <w:rPr>
                <w:rFonts w:hint="eastAsia" w:ascii="宋体" w:hAnsi="Courier New"/>
                <w:highlight w:val="none"/>
              </w:rPr>
              <w:t>账号：</w:t>
            </w:r>
            <w:r>
              <w:rPr>
                <w:rFonts w:hint="eastAsia" w:ascii="宋体" w:hAnsi="Courier New" w:eastAsia="宋体" w:cs="Times New Roman"/>
                <w:highlight w:val="none"/>
              </w:rPr>
              <w:t>1602005019200063284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8287" w:type="dxa"/>
            <w:noWrap w:val="0"/>
            <w:vAlign w:val="center"/>
          </w:tcPr>
          <w:p>
            <w:pPr>
              <w:ind w:firstLine="420" w:firstLineChars="200"/>
              <w:rPr>
                <w:rFonts w:hint="eastAsia" w:ascii="宋体" w:hAnsi="Courier New"/>
                <w:highlight w:val="none"/>
              </w:rPr>
            </w:pPr>
            <w:r>
              <w:rPr>
                <w:rFonts w:hint="eastAsia" w:ascii="宋体" w:hAnsi="Courier New" w:eastAsia="宋体" w:cs="Times New Roman"/>
                <w:highlight w:val="none"/>
              </w:rPr>
              <w:t>纳税人识别号</w:t>
            </w:r>
            <w:r>
              <w:rPr>
                <w:rFonts w:hint="eastAsia" w:ascii="宋体" w:hAnsi="Courier New"/>
                <w:highlight w:val="none"/>
              </w:rPr>
              <w:t>：</w:t>
            </w:r>
            <w:r>
              <w:rPr>
                <w:rFonts w:hint="eastAsia" w:ascii="宋体" w:hAnsi="Courier New" w:eastAsia="宋体" w:cs="Times New Roman"/>
                <w:highlight w:val="none"/>
              </w:rPr>
              <w:t>91370000614140905P</w:t>
            </w:r>
          </w:p>
        </w:tc>
      </w:tr>
    </w:tbl>
    <w:p>
      <w:pPr>
        <w:pStyle w:val="4"/>
        <w:spacing w:line="360" w:lineRule="auto"/>
        <w:ind w:firstLine="420" w:firstLineChars="200"/>
        <w:rPr>
          <w:b/>
          <w:highlight w:val="yellow"/>
        </w:rPr>
      </w:pPr>
      <w:r>
        <w:rPr>
          <w:rFonts w:hint="eastAsia"/>
        </w:rPr>
        <w:t>（5）</w:t>
      </w:r>
      <w:r>
        <w:rPr>
          <w:rFonts w:hint="eastAsia"/>
          <w:b/>
          <w:highlight w:val="yellow"/>
        </w:rPr>
        <w:t>保证金截止时间：202</w:t>
      </w:r>
      <w:r>
        <w:rPr>
          <w:rFonts w:hint="eastAsia"/>
          <w:b/>
          <w:highlight w:val="yellow"/>
          <w:lang w:val="en-US" w:eastAsia="zh-CN"/>
        </w:rPr>
        <w:t>5</w:t>
      </w:r>
      <w:r>
        <w:rPr>
          <w:rFonts w:hint="eastAsia"/>
          <w:b/>
          <w:highlight w:val="yellow"/>
        </w:rPr>
        <w:t>年</w:t>
      </w:r>
      <w:r>
        <w:rPr>
          <w:rFonts w:hint="eastAsia"/>
          <w:b/>
          <w:highlight w:val="yellow"/>
          <w:lang w:val="en-US" w:eastAsia="zh-CN"/>
        </w:rPr>
        <w:t>4</w:t>
      </w:r>
      <w:r>
        <w:rPr>
          <w:rFonts w:hint="eastAsia"/>
          <w:b/>
          <w:highlight w:val="yellow"/>
        </w:rPr>
        <w:t>月</w:t>
      </w:r>
      <w:r>
        <w:rPr>
          <w:b/>
          <w:highlight w:val="yellow"/>
        </w:rPr>
        <w:t>1</w:t>
      </w:r>
      <w:r>
        <w:rPr>
          <w:rFonts w:hint="eastAsia"/>
          <w:b/>
          <w:highlight w:val="yellow"/>
          <w:lang w:val="en-US" w:eastAsia="zh-CN"/>
        </w:rPr>
        <w:t>4</w:t>
      </w:r>
      <w:r>
        <w:rPr>
          <w:rFonts w:hint="eastAsia"/>
          <w:b/>
          <w:highlight w:val="yellow"/>
        </w:rPr>
        <w:t>日1</w:t>
      </w:r>
      <w:r>
        <w:rPr>
          <w:b/>
          <w:highlight w:val="yellow"/>
        </w:rPr>
        <w:t>7</w:t>
      </w:r>
      <w:r>
        <w:rPr>
          <w:rFonts w:hint="eastAsia"/>
          <w:b/>
          <w:highlight w:val="yellow"/>
        </w:rPr>
        <w:t>时</w:t>
      </w:r>
      <w:r>
        <w:rPr>
          <w:b/>
          <w:highlight w:val="yellow"/>
        </w:rPr>
        <w:t>00</w:t>
      </w:r>
      <w:r>
        <w:rPr>
          <w:rFonts w:hint="eastAsia"/>
          <w:b/>
          <w:highlight w:val="yellow"/>
        </w:rPr>
        <w:t>分前</w:t>
      </w:r>
    </w:p>
    <w:p>
      <w:pPr>
        <w:pStyle w:val="4"/>
        <w:spacing w:line="360" w:lineRule="auto"/>
        <w:ind w:firstLine="420" w:firstLineChars="200"/>
      </w:pPr>
      <w:r>
        <w:rPr>
          <w:rFonts w:hint="eastAsia"/>
        </w:rPr>
        <w:t>（6）说明：</w:t>
      </w:r>
    </w:p>
    <w:p>
      <w:pPr>
        <w:pStyle w:val="4"/>
        <w:spacing w:line="360" w:lineRule="auto"/>
        <w:ind w:firstLine="420" w:firstLineChars="200"/>
      </w:pPr>
      <w:r>
        <w:rPr>
          <w:rFonts w:hint="eastAsia"/>
        </w:rPr>
        <w:t>(a)无正当理由随意放弃投标、</w:t>
      </w:r>
      <w:r>
        <w:t>撤销投标文件</w:t>
      </w:r>
      <w:r>
        <w:rPr>
          <w:rFonts w:hint="eastAsia"/>
        </w:rPr>
        <w:t>、</w:t>
      </w:r>
      <w:r>
        <w:t>中标后</w:t>
      </w:r>
      <w:r>
        <w:rPr>
          <w:rFonts w:hint="eastAsia"/>
        </w:rPr>
        <w:t>无</w:t>
      </w:r>
      <w:r>
        <w:t>正当理由</w:t>
      </w:r>
      <w:r>
        <w:rPr>
          <w:rFonts w:hint="eastAsia"/>
        </w:rPr>
        <w:t>拒签</w:t>
      </w:r>
      <w:r>
        <w:t>合同</w:t>
      </w:r>
      <w:r>
        <w:rPr>
          <w:rFonts w:hint="eastAsia"/>
        </w:rPr>
        <w:t>、</w:t>
      </w:r>
      <w:r>
        <w:t>在签订合同时向招标人</w:t>
      </w:r>
      <w:r>
        <w:rPr>
          <w:rFonts w:hint="eastAsia"/>
        </w:rPr>
        <w:t>或合同签订单位</w:t>
      </w:r>
      <w:r>
        <w:t>提出</w:t>
      </w:r>
      <w:r>
        <w:rPr>
          <w:rFonts w:hint="eastAsia"/>
        </w:rPr>
        <w:t>无理</w:t>
      </w:r>
      <w:r>
        <w:t>附加条件</w:t>
      </w:r>
      <w:r>
        <w:rPr>
          <w:rFonts w:hint="eastAsia"/>
        </w:rPr>
        <w:t>的，</w:t>
      </w:r>
      <w:r>
        <w:t>投标保证金不予返还</w:t>
      </w:r>
      <w:r>
        <w:rPr>
          <w:rFonts w:hint="eastAsia"/>
        </w:rPr>
        <w:t>，该投标人2</w:t>
      </w:r>
      <w:r>
        <w:t>年</w:t>
      </w:r>
      <w:r>
        <w:rPr>
          <w:rFonts w:hint="eastAsia"/>
        </w:rPr>
        <w:t>不得参与招标人组织的招投标项目。不存在以上违规情况的投标人，</w:t>
      </w:r>
      <w:r>
        <w:t>招标人</w:t>
      </w:r>
      <w:r>
        <w:rPr>
          <w:rFonts w:hint="eastAsia"/>
        </w:rPr>
        <w:t>按照退款程序，按投标人（除中标人外）所提供的</w:t>
      </w:r>
      <w:r>
        <w:rPr>
          <w:rFonts w:hint="eastAsia" w:hAnsi="宋体"/>
        </w:rPr>
        <w:t>投标保证金退付表</w:t>
      </w:r>
      <w:r>
        <w:rPr>
          <w:rFonts w:hint="eastAsia"/>
        </w:rPr>
        <w:t>退还</w:t>
      </w:r>
      <w:r>
        <w:t>投标保证金</w:t>
      </w:r>
      <w:r>
        <w:rPr>
          <w:rFonts w:hint="eastAsia"/>
        </w:rPr>
        <w:t>（本金，不计息）。</w:t>
      </w:r>
      <w:r>
        <w:rPr>
          <w:rFonts w:hint="eastAsia" w:hAnsi="宋体"/>
        </w:rPr>
        <w:t>（详见 “三、投标文件格式要求”之格式</w:t>
      </w:r>
      <w:r>
        <w:rPr>
          <w:rFonts w:hAnsi="宋体"/>
        </w:rPr>
        <w:t>7</w:t>
      </w:r>
      <w:r>
        <w:rPr>
          <w:rFonts w:hint="eastAsia" w:hAnsi="宋体"/>
        </w:rPr>
        <w:t>相关要求）</w:t>
      </w:r>
    </w:p>
    <w:p>
      <w:pPr>
        <w:pStyle w:val="4"/>
        <w:spacing w:line="360" w:lineRule="auto"/>
        <w:ind w:firstLine="420" w:firstLineChars="200"/>
      </w:pPr>
      <w:r>
        <w:rPr>
          <w:rFonts w:hint="eastAsia"/>
        </w:rPr>
        <w:t>(b)投标人在向招标人出示《投标保证金缴纳凭证》后方可进行投标。</w:t>
      </w:r>
    </w:p>
    <w:p>
      <w:pPr>
        <w:pStyle w:val="4"/>
        <w:spacing w:line="360" w:lineRule="auto"/>
        <w:ind w:firstLine="420" w:firstLineChars="200"/>
      </w:pPr>
      <w:r>
        <w:rPr>
          <w:rFonts w:hint="eastAsia"/>
        </w:rPr>
        <w:t>(c)发生以下情况时，项目实施单位有权没收保证金：</w:t>
      </w:r>
    </w:p>
    <w:p>
      <w:pPr>
        <w:pStyle w:val="4"/>
        <w:spacing w:line="360" w:lineRule="auto"/>
        <w:ind w:left="1260" w:leftChars="400" w:hanging="420" w:hangingChars="200"/>
      </w:pPr>
      <w:r>
        <w:rPr>
          <w:rFonts w:hint="eastAsia"/>
        </w:rPr>
        <w:t>a）</w:t>
      </w:r>
      <w:r>
        <w:rPr>
          <w:rFonts w:hint="eastAsia"/>
          <w:b/>
          <w:bCs/>
        </w:rPr>
        <w:t>截至开标前3天，投标人无正当理由且未以书面形式递交说明而在投标截止日不来投标的；</w:t>
      </w:r>
    </w:p>
    <w:p>
      <w:pPr>
        <w:pStyle w:val="4"/>
        <w:spacing w:line="360" w:lineRule="auto"/>
        <w:ind w:left="420" w:leftChars="200" w:firstLine="420" w:firstLineChars="200"/>
      </w:pPr>
      <w:r>
        <w:rPr>
          <w:rFonts w:hint="eastAsia"/>
        </w:rPr>
        <w:t>b）投标人递送投标文件后，无正当理由放弃投标的；</w:t>
      </w:r>
    </w:p>
    <w:p>
      <w:pPr>
        <w:pStyle w:val="4"/>
        <w:spacing w:line="360" w:lineRule="auto"/>
        <w:ind w:left="420" w:leftChars="200" w:firstLine="420" w:firstLineChars="200"/>
      </w:pPr>
      <w:r>
        <w:rPr>
          <w:rFonts w:hint="eastAsia"/>
        </w:rPr>
        <w:t>c）自中标通知书发出之日起30日内，中标人无正当理由不签订合同的；</w:t>
      </w:r>
    </w:p>
    <w:p>
      <w:pPr>
        <w:pStyle w:val="4"/>
        <w:spacing w:line="360" w:lineRule="auto"/>
        <w:ind w:left="420" w:leftChars="200" w:firstLine="420" w:firstLineChars="200"/>
      </w:pPr>
      <w:r>
        <w:rPr>
          <w:rFonts w:hint="eastAsia"/>
        </w:rPr>
        <w:t>d）投标人在投标过程中被查实有串标、围标、陪标等违规违纪行为的；</w:t>
      </w:r>
    </w:p>
    <w:p>
      <w:pPr>
        <w:pStyle w:val="4"/>
        <w:spacing w:line="360" w:lineRule="auto"/>
        <w:ind w:left="1050" w:leftChars="400" w:hanging="210" w:hangingChars="100"/>
      </w:pPr>
      <w:r>
        <w:rPr>
          <w:rFonts w:hint="eastAsia"/>
        </w:rPr>
        <w:t>e）投标人有违约违规行为或被投诉、举报的，在调查处理期间，保证金暂不退还，待调查处理结束后按有关规定处理。</w:t>
      </w:r>
    </w:p>
    <w:p>
      <w:pPr>
        <w:pStyle w:val="4"/>
        <w:spacing w:line="360" w:lineRule="auto"/>
        <w:rPr>
          <w:b/>
        </w:rPr>
      </w:pPr>
      <w:r>
        <w:rPr>
          <w:rFonts w:hint="eastAsia"/>
          <w:b/>
        </w:rPr>
        <w:t>2、开标</w:t>
      </w:r>
    </w:p>
    <w:p>
      <w:pPr>
        <w:pStyle w:val="4"/>
        <w:spacing w:line="360" w:lineRule="auto"/>
        <w:ind w:firstLine="420" w:firstLineChars="200"/>
      </w:pPr>
      <w:r>
        <w:rPr>
          <w:rFonts w:hint="eastAsia"/>
        </w:rPr>
        <w:t>（1）本次招标的开标、评标由招标人依法组织实施，本次招标采用技术标和商务标分级开标的模式。</w:t>
      </w:r>
    </w:p>
    <w:p>
      <w:pPr>
        <w:pStyle w:val="4"/>
        <w:spacing w:line="360" w:lineRule="auto"/>
        <w:ind w:firstLine="420" w:firstLineChars="200"/>
      </w:pPr>
      <w:r>
        <w:rPr>
          <w:rFonts w:hint="eastAsia"/>
        </w:rPr>
        <w:t>（2）本项目开标时间和地点见招标书的议程安排。开标会议由招标人组织并主持。招标人邀请各投标人派员参加开标会议。投标人未参加开标的，视同认可开标结果。</w:t>
      </w:r>
    </w:p>
    <w:p>
      <w:pPr>
        <w:pStyle w:val="4"/>
        <w:spacing w:line="360" w:lineRule="auto"/>
        <w:ind w:firstLine="420" w:firstLineChars="200"/>
      </w:pPr>
      <w:r>
        <w:rPr>
          <w:rFonts w:hint="eastAsia"/>
        </w:rPr>
        <w:t>（3）开标程序</w:t>
      </w:r>
    </w:p>
    <w:p>
      <w:pPr>
        <w:pStyle w:val="4"/>
        <w:spacing w:line="360" w:lineRule="auto"/>
        <w:ind w:firstLine="420" w:firstLineChars="200"/>
      </w:pPr>
      <w:r>
        <w:rPr>
          <w:rFonts w:hint="eastAsia"/>
        </w:rPr>
        <w:t>（a）宣布开标会议开始。</w:t>
      </w:r>
    </w:p>
    <w:p>
      <w:pPr>
        <w:pStyle w:val="4"/>
        <w:spacing w:line="360" w:lineRule="auto"/>
        <w:ind w:firstLine="420" w:firstLineChars="200"/>
      </w:pPr>
      <w:r>
        <w:rPr>
          <w:rFonts w:hint="eastAsia"/>
        </w:rPr>
        <w:t>（b）介绍与会人员。</w:t>
      </w:r>
    </w:p>
    <w:p>
      <w:pPr>
        <w:pStyle w:val="4"/>
        <w:spacing w:line="360" w:lineRule="auto"/>
        <w:ind w:firstLine="420" w:firstLineChars="200"/>
      </w:pPr>
      <w:r>
        <w:rPr>
          <w:rFonts w:hint="eastAsia"/>
        </w:rPr>
        <w:t>（c）核验投标人资格证件。</w:t>
      </w:r>
    </w:p>
    <w:p>
      <w:pPr>
        <w:pStyle w:val="4"/>
        <w:spacing w:line="360" w:lineRule="auto"/>
        <w:ind w:firstLine="420" w:firstLineChars="200"/>
      </w:pPr>
      <w:r>
        <w:rPr>
          <w:rFonts w:hint="eastAsia"/>
        </w:rPr>
        <w:t>（d）投标人或投标人推选的代表对投标文件密封情况进行检查（投标人未参加开标会议的，视同认可投标文件密封完好）。</w:t>
      </w:r>
    </w:p>
    <w:p>
      <w:pPr>
        <w:pStyle w:val="4"/>
        <w:spacing w:line="360" w:lineRule="auto"/>
        <w:ind w:firstLine="420" w:firstLineChars="200"/>
      </w:pPr>
      <w:r>
        <w:rPr>
          <w:rFonts w:hint="eastAsia"/>
        </w:rPr>
        <w:t>（e）经确认无误后，由工作人员当众拆封开标一览表，宣读投标人名称、投标价格，然后拆封技术标书，商务标书暂时不拆启，由招标人指定专人保管。由评标专家组对所有投标方的技术方案进行综合评定和打分，确定进入商务标评阶段的投标方，未进入下一评标环节的投标方标书不予返还。</w:t>
      </w:r>
    </w:p>
    <w:p>
      <w:pPr>
        <w:pStyle w:val="4"/>
        <w:spacing w:line="360" w:lineRule="auto"/>
        <w:ind w:firstLine="420" w:firstLineChars="200"/>
      </w:pPr>
      <w:r>
        <w:rPr>
          <w:rFonts w:hint="eastAsia"/>
        </w:rPr>
        <w:t>（f）根据技术标评审结果，通知未进入商务标评标资格的投标方离场，投标人授权代表现场确认无误后进行商务标的评标，同技术入围投标方进行多轮商务谈判，筛选商务评分优的进入下一轮；</w:t>
      </w:r>
    </w:p>
    <w:p>
      <w:pPr>
        <w:pStyle w:val="4"/>
        <w:spacing w:line="360" w:lineRule="auto"/>
        <w:ind w:firstLine="420" w:firstLineChars="200"/>
        <w:rPr>
          <w:b w:val="0"/>
          <w:bCs w:val="0"/>
          <w:highlight w:val="yellow"/>
        </w:rPr>
      </w:pPr>
      <w:r>
        <w:rPr>
          <w:rFonts w:hint="eastAsia"/>
          <w:b w:val="0"/>
          <w:bCs w:val="0"/>
          <w:highlight w:val="yellow"/>
        </w:rPr>
        <w:t>（g）</w:t>
      </w:r>
      <w:r>
        <w:rPr>
          <w:rFonts w:hint="eastAsia" w:ascii="宋体" w:hAnsi="Courier New"/>
          <w:b w:val="0"/>
          <w:bCs w:val="0"/>
          <w:highlight w:val="yellow"/>
          <w:lang w:val="en-US" w:eastAsia="zh-CN"/>
        </w:rPr>
        <w:t>技</w:t>
      </w:r>
      <w:r>
        <w:rPr>
          <w:rFonts w:hint="default" w:ascii="宋体" w:hAnsi="Courier New"/>
          <w:b w:val="0"/>
          <w:bCs w:val="0"/>
          <w:highlight w:val="yellow"/>
          <w:lang w:val="en-US" w:eastAsia="zh-CN"/>
        </w:rPr>
        <w:t>术标评分不带入商务标，原则上按照评标合理最低价选择中标厂家</w:t>
      </w:r>
      <w:r>
        <w:rPr>
          <w:rFonts w:hint="eastAsia"/>
          <w:b w:val="0"/>
          <w:bCs w:val="0"/>
          <w:highlight w:val="yellow"/>
        </w:rPr>
        <w:t>。</w:t>
      </w:r>
    </w:p>
    <w:p>
      <w:pPr>
        <w:pStyle w:val="4"/>
        <w:spacing w:line="360" w:lineRule="auto"/>
        <w:ind w:firstLine="420" w:firstLineChars="200"/>
      </w:pPr>
      <w:r>
        <w:rPr>
          <w:rFonts w:hint="eastAsia"/>
        </w:rPr>
        <w:t>（h）招标人有权根据项目情况，采取多级评标模式，最终确定投标人排序。</w:t>
      </w:r>
    </w:p>
    <w:p>
      <w:pPr>
        <w:pStyle w:val="4"/>
        <w:spacing w:line="360" w:lineRule="auto"/>
        <w:ind w:firstLine="420" w:firstLineChars="200"/>
      </w:pPr>
      <w:r>
        <w:rPr>
          <w:rFonts w:hint="eastAsia"/>
        </w:rPr>
        <w:t>（i）</w:t>
      </w:r>
      <w:r>
        <w:rPr>
          <w:rFonts w:hint="eastAsia"/>
          <w:b/>
        </w:rPr>
        <w:t>投标前请各投标方按照招标文件要求对项目方案进行充分准备，投标单位已默认认可上述开标、评标过程，无异议。招标人无义务对未入围投标方及未中标方做任何解释。</w:t>
      </w:r>
    </w:p>
    <w:p>
      <w:pPr>
        <w:pStyle w:val="4"/>
        <w:spacing w:line="360" w:lineRule="auto"/>
        <w:ind w:firstLine="422" w:firstLineChars="200"/>
        <w:rPr>
          <w:b/>
          <w:bCs/>
        </w:rPr>
      </w:pPr>
      <w:r>
        <w:rPr>
          <w:rFonts w:hint="eastAsia"/>
          <w:b/>
          <w:bCs/>
        </w:rPr>
        <w:t>(4)所有报价货币单位均为：元（人民币，含税）。</w:t>
      </w:r>
    </w:p>
    <w:p>
      <w:pPr>
        <w:spacing w:line="360" w:lineRule="auto"/>
        <w:ind w:right="2" w:firstLine="422" w:firstLineChars="200"/>
        <w:rPr>
          <w:rFonts w:ascii="宋体" w:hAnsi="Courier New"/>
          <w:b/>
          <w:szCs w:val="22"/>
        </w:rPr>
      </w:pPr>
      <w:r>
        <w:rPr>
          <w:rFonts w:hint="eastAsia" w:ascii="宋体" w:hAnsi="Courier New"/>
          <w:b/>
          <w:szCs w:val="22"/>
        </w:rPr>
        <w:t>3、评标</w:t>
      </w:r>
    </w:p>
    <w:p>
      <w:pPr>
        <w:spacing w:line="360" w:lineRule="auto"/>
        <w:ind w:right="2" w:firstLine="420" w:firstLineChars="200"/>
        <w:rPr>
          <w:rFonts w:hint="eastAsia"/>
        </w:rPr>
      </w:pPr>
      <w:r>
        <w:rPr>
          <w:rFonts w:hint="eastAsia" w:ascii="宋体" w:hAnsi="Courier New"/>
          <w:szCs w:val="22"/>
        </w:rPr>
        <w:t>评标由依照有关法律、法规组建的评标委员会负责。评标委员会由招标人或其委托的招标代理机构熟悉相关业务的代表，以及有关技术、经济等方面的专家组成。评标委员会成员人数为三人以上单数。其中，技术、经济等方面的专家不少于成员总数的三分之二。评标专家小组负责参照评分标准，按照国家招投标有关规定，本着公平、公正、公开、有序的原则，在最大限度地满足招标文件实质性要求的前提下，按照招标文件中规定的各项因素进行综合评议，确定中标候选单位或者中标单位，对未中标单位不做任何解释。</w:t>
      </w:r>
    </w:p>
    <w:p>
      <w:pPr>
        <w:spacing w:line="360" w:lineRule="auto"/>
        <w:ind w:right="2" w:firstLine="422" w:firstLineChars="200"/>
        <w:rPr>
          <w:rFonts w:hint="eastAsia" w:hAnsi="宋体"/>
        </w:rPr>
      </w:pPr>
      <w:r>
        <w:rPr>
          <w:rFonts w:hint="eastAsia" w:ascii="宋体" w:hAnsi="Courier New"/>
          <w:b/>
          <w:szCs w:val="22"/>
        </w:rPr>
        <w:t>4、</w:t>
      </w:r>
      <w:bookmarkStart w:id="7" w:name="OLE_LINK4"/>
      <w:r>
        <w:rPr>
          <w:rFonts w:hint="eastAsia" w:ascii="宋体" w:hAnsi="Courier New"/>
          <w:b/>
          <w:szCs w:val="22"/>
        </w:rPr>
        <w:t>评分标准</w:t>
      </w:r>
    </w:p>
    <w:tbl>
      <w:tblPr>
        <w:tblStyle w:val="8"/>
        <w:tblW w:w="4875" w:type="pct"/>
        <w:tblInd w:w="225" w:type="dxa"/>
        <w:tblLayout w:type="fixed"/>
        <w:tblCellMar>
          <w:top w:w="0" w:type="dxa"/>
          <w:left w:w="0" w:type="dxa"/>
          <w:bottom w:w="0" w:type="dxa"/>
          <w:right w:w="0" w:type="dxa"/>
        </w:tblCellMar>
      </w:tblPr>
      <w:tblGrid>
        <w:gridCol w:w="560"/>
        <w:gridCol w:w="453"/>
        <w:gridCol w:w="1386"/>
        <w:gridCol w:w="718"/>
        <w:gridCol w:w="5005"/>
      </w:tblGrid>
      <w:tr>
        <w:tblPrEx>
          <w:tblCellMar>
            <w:top w:w="0" w:type="dxa"/>
            <w:left w:w="0" w:type="dxa"/>
            <w:bottom w:w="0" w:type="dxa"/>
            <w:right w:w="0" w:type="dxa"/>
          </w:tblCellMar>
        </w:tblPrEx>
        <w:trPr>
          <w:cantSplit/>
          <w:trHeight w:val="793" w:hRule="atLeast"/>
        </w:trPr>
        <w:tc>
          <w:tcPr>
            <w:tcW w:w="344"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评标</w:t>
            </w:r>
          </w:p>
          <w:p>
            <w:pPr>
              <w:widowControl/>
              <w:jc w:val="center"/>
              <w:textAlignment w:val="center"/>
              <w:rPr>
                <w:rFonts w:ascii="宋体" w:cs="宋体"/>
                <w:szCs w:val="21"/>
              </w:rPr>
            </w:pPr>
            <w:r>
              <w:rPr>
                <w:rFonts w:hint="eastAsia" w:ascii="宋体" w:cs="宋体"/>
                <w:kern w:val="0"/>
                <w:szCs w:val="21"/>
              </w:rPr>
              <w:t>因素</w:t>
            </w:r>
          </w:p>
        </w:tc>
        <w:tc>
          <w:tcPr>
            <w:tcW w:w="278"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总分</w:t>
            </w:r>
          </w:p>
        </w:tc>
        <w:tc>
          <w:tcPr>
            <w:tcW w:w="853"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评价内容</w:t>
            </w:r>
          </w:p>
        </w:tc>
        <w:tc>
          <w:tcPr>
            <w:tcW w:w="442"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最高</w:t>
            </w:r>
          </w:p>
          <w:p>
            <w:pPr>
              <w:widowControl/>
              <w:jc w:val="center"/>
              <w:textAlignment w:val="center"/>
              <w:rPr>
                <w:rFonts w:ascii="宋体" w:cs="宋体"/>
                <w:szCs w:val="21"/>
              </w:rPr>
            </w:pPr>
            <w:r>
              <w:rPr>
                <w:rFonts w:hint="eastAsia" w:ascii="宋体" w:cs="宋体"/>
                <w:kern w:val="0"/>
                <w:szCs w:val="21"/>
              </w:rPr>
              <w:t>得分</w:t>
            </w:r>
          </w:p>
        </w:tc>
        <w:tc>
          <w:tcPr>
            <w:tcW w:w="3081" w:type="pct"/>
            <w:tcBorders>
              <w:top w:val="single" w:color="000000" w:sz="4" w:space="0"/>
              <w:left w:val="single" w:color="000000" w:sz="4" w:space="0"/>
              <w:bottom w:val="single" w:color="auto" w:sz="4" w:space="0"/>
              <w:right w:val="single" w:color="000000"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评分标准</w:t>
            </w:r>
          </w:p>
        </w:tc>
      </w:tr>
      <w:tr>
        <w:tblPrEx>
          <w:tblCellMar>
            <w:top w:w="0" w:type="dxa"/>
            <w:left w:w="0" w:type="dxa"/>
            <w:bottom w:w="0" w:type="dxa"/>
            <w:right w:w="0" w:type="dxa"/>
          </w:tblCellMar>
        </w:tblPrEx>
        <w:trPr>
          <w:cantSplit/>
          <w:trHeight w:val="1381" w:hRule="atLeast"/>
        </w:trPr>
        <w:tc>
          <w:tcPr>
            <w:tcW w:w="344" w:type="pct"/>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ascii="宋体" w:cs="宋体"/>
                <w:kern w:val="0"/>
                <w:szCs w:val="21"/>
              </w:rPr>
            </w:pPr>
            <w:r>
              <w:rPr>
                <w:rFonts w:hint="eastAsia" w:ascii="宋体" w:cs="宋体"/>
                <w:kern w:val="0"/>
                <w:szCs w:val="21"/>
              </w:rPr>
              <w:t>技术标</w:t>
            </w:r>
          </w:p>
        </w:tc>
        <w:tc>
          <w:tcPr>
            <w:tcW w:w="278" w:type="pct"/>
            <w:vMerge w:val="restar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cs="宋体"/>
                <w:szCs w:val="21"/>
              </w:rPr>
            </w:pPr>
            <w:r>
              <w:rPr>
                <w:rFonts w:hint="eastAsia" w:ascii="宋体" w:cs="宋体"/>
                <w:szCs w:val="21"/>
                <w:lang w:val="en-US" w:eastAsia="zh-CN"/>
              </w:rPr>
              <w:t>10</w:t>
            </w:r>
            <w:r>
              <w:rPr>
                <w:rFonts w:hint="eastAsia" w:ascii="宋体" w:cs="宋体"/>
                <w:szCs w:val="21"/>
              </w:rPr>
              <w:t>0</w:t>
            </w:r>
          </w:p>
        </w:tc>
        <w:tc>
          <w:tcPr>
            <w:tcW w:w="853"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hAnsi="宋体" w:cs="宋体"/>
                <w:kern w:val="0"/>
                <w:szCs w:val="21"/>
              </w:rPr>
            </w:pPr>
            <w:r>
              <w:rPr>
                <w:rFonts w:hint="eastAsia" w:ascii="宋体" w:hAnsi="宋体"/>
              </w:rPr>
              <w:t>合同履约能力</w:t>
            </w:r>
          </w:p>
        </w:tc>
        <w:tc>
          <w:tcPr>
            <w:tcW w:w="4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default" w:ascii="宋体" w:hAnsi="宋体" w:eastAsia="宋体" w:cs="宋体"/>
                <w:szCs w:val="21"/>
                <w:lang w:val="en-US" w:eastAsia="zh-CN"/>
              </w:rPr>
            </w:pPr>
            <w:r>
              <w:rPr>
                <w:rFonts w:hint="eastAsia" w:ascii="宋体" w:hAnsi="宋体" w:cs="宋体"/>
                <w:szCs w:val="21"/>
                <w:lang w:val="en-US" w:eastAsia="zh-CN"/>
              </w:rPr>
              <w:t>30</w:t>
            </w:r>
          </w:p>
        </w:tc>
        <w:tc>
          <w:tcPr>
            <w:tcW w:w="3081"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pStyle w:val="4"/>
              <w:spacing w:line="360" w:lineRule="auto"/>
              <w:ind w:firstLine="420" w:firstLineChars="200"/>
              <w:rPr>
                <w:rFonts w:hAnsi="宋体"/>
              </w:rPr>
            </w:pPr>
            <w:r>
              <w:rPr>
                <w:rFonts w:hint="eastAsia" w:hAnsi="宋体"/>
              </w:rPr>
              <w:t>依据投标人的运营状况、经营业绩、以往合同履约情况（如有）、采购合同、财务状况、专业水平和服务体系评分。</w:t>
            </w:r>
          </w:p>
        </w:tc>
      </w:tr>
      <w:tr>
        <w:tblPrEx>
          <w:tblCellMar>
            <w:top w:w="0" w:type="dxa"/>
            <w:left w:w="0" w:type="dxa"/>
            <w:bottom w:w="0" w:type="dxa"/>
            <w:right w:w="0" w:type="dxa"/>
          </w:tblCellMar>
        </w:tblPrEx>
        <w:trPr>
          <w:cantSplit/>
          <w:trHeight w:val="1381" w:hRule="atLeast"/>
        </w:trPr>
        <w:tc>
          <w:tcPr>
            <w:tcW w:w="344" w:type="pct"/>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cs="宋体"/>
                <w:kern w:val="0"/>
                <w:szCs w:val="21"/>
              </w:rPr>
            </w:pPr>
          </w:p>
        </w:tc>
        <w:tc>
          <w:tcPr>
            <w:tcW w:w="278" w:type="pct"/>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宋体" w:cs="宋体"/>
                <w:szCs w:val="21"/>
              </w:rPr>
            </w:pPr>
          </w:p>
        </w:tc>
        <w:tc>
          <w:tcPr>
            <w:tcW w:w="853"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认证、监督内容和计划</w:t>
            </w:r>
          </w:p>
        </w:tc>
        <w:tc>
          <w:tcPr>
            <w:tcW w:w="4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40</w:t>
            </w:r>
          </w:p>
        </w:tc>
        <w:tc>
          <w:tcPr>
            <w:tcW w:w="3081"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hd w:val="clear" w:color="auto" w:fill="FFFFFF"/>
              <w:spacing w:line="300" w:lineRule="exact"/>
              <w:jc w:val="left"/>
              <w:rPr>
                <w:rFonts w:ascii="宋体" w:hAnsi="宋体" w:cs="宋体"/>
              </w:rPr>
            </w:pPr>
            <w:r>
              <w:rPr>
                <w:rFonts w:hint="eastAsia" w:ascii="宋体" w:hAnsi="宋体"/>
              </w:rPr>
              <w:t>满足招标文件（见“</w:t>
            </w:r>
            <w:r>
              <w:rPr>
                <w:rFonts w:hint="eastAsia" w:ascii="宋体" w:hAnsi="宋体"/>
                <w:b/>
              </w:rPr>
              <w:t>《技术协议书》</w:t>
            </w:r>
            <w:r>
              <w:rPr>
                <w:rFonts w:hint="eastAsia" w:ascii="宋体" w:hAnsi="宋体"/>
              </w:rPr>
              <w:t>”）中要求。</w:t>
            </w:r>
          </w:p>
        </w:tc>
      </w:tr>
      <w:tr>
        <w:tblPrEx>
          <w:tblCellMar>
            <w:top w:w="0" w:type="dxa"/>
            <w:left w:w="0" w:type="dxa"/>
            <w:bottom w:w="0" w:type="dxa"/>
            <w:right w:w="0" w:type="dxa"/>
          </w:tblCellMar>
        </w:tblPrEx>
        <w:trPr>
          <w:cantSplit/>
          <w:trHeight w:val="1381" w:hRule="atLeast"/>
        </w:trPr>
        <w:tc>
          <w:tcPr>
            <w:tcW w:w="344" w:type="pct"/>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textAlignment w:val="center"/>
              <w:rPr>
                <w:rFonts w:hint="eastAsia" w:ascii="宋体" w:cs="宋体"/>
                <w:kern w:val="0"/>
                <w:szCs w:val="21"/>
              </w:rPr>
            </w:pPr>
          </w:p>
        </w:tc>
        <w:tc>
          <w:tcPr>
            <w:tcW w:w="278" w:type="pct"/>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eastAsia" w:ascii="宋体" w:cs="宋体"/>
                <w:szCs w:val="21"/>
              </w:rPr>
            </w:pPr>
          </w:p>
        </w:tc>
        <w:tc>
          <w:tcPr>
            <w:tcW w:w="853"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cs="宋体"/>
                <w:kern w:val="0"/>
                <w:szCs w:val="21"/>
              </w:rPr>
            </w:pPr>
            <w:r>
              <w:rPr>
                <w:rFonts w:hint="eastAsia" w:ascii="宋体" w:cs="宋体"/>
                <w:kern w:val="0"/>
                <w:szCs w:val="21"/>
              </w:rPr>
              <w:t>认证、监督和培训课程老师</w:t>
            </w:r>
          </w:p>
        </w:tc>
        <w:tc>
          <w:tcPr>
            <w:tcW w:w="4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cs="宋体"/>
                <w:szCs w:val="21"/>
              </w:rPr>
            </w:pPr>
            <w:r>
              <w:rPr>
                <w:rFonts w:hint="eastAsia" w:ascii="宋体" w:cs="宋体"/>
                <w:szCs w:val="21"/>
                <w:lang w:val="en-US" w:eastAsia="zh-CN"/>
              </w:rPr>
              <w:t>2</w:t>
            </w:r>
            <w:r>
              <w:rPr>
                <w:rFonts w:ascii="宋体" w:cs="宋体"/>
                <w:szCs w:val="21"/>
              </w:rPr>
              <w:t>0</w:t>
            </w:r>
          </w:p>
        </w:tc>
        <w:tc>
          <w:tcPr>
            <w:tcW w:w="3081"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hd w:val="clear" w:color="auto" w:fill="FFFFFF"/>
              <w:spacing w:line="300" w:lineRule="exact"/>
              <w:jc w:val="left"/>
              <w:rPr>
                <w:rFonts w:ascii="宋体" w:hAnsi="宋体" w:cs="宋体"/>
              </w:rPr>
            </w:pPr>
            <w:r>
              <w:rPr>
                <w:rFonts w:hint="eastAsia" w:ascii="宋体" w:hAnsi="宋体" w:cs="宋体"/>
              </w:rPr>
              <w:t>根据认证、监督评委老师和培训老师资质及经验情况酌情赋分，原则上认证、监督评委和培训老师要有汽车行业培训及体系审核经验；</w:t>
            </w:r>
          </w:p>
        </w:tc>
      </w:tr>
      <w:tr>
        <w:tblPrEx>
          <w:tblCellMar>
            <w:top w:w="0" w:type="dxa"/>
            <w:left w:w="0" w:type="dxa"/>
            <w:bottom w:w="0" w:type="dxa"/>
            <w:right w:w="0" w:type="dxa"/>
          </w:tblCellMar>
        </w:tblPrEx>
        <w:trPr>
          <w:cantSplit/>
          <w:trHeight w:val="1113" w:hRule="atLeast"/>
        </w:trPr>
        <w:tc>
          <w:tcPr>
            <w:tcW w:w="344" w:type="pct"/>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cs="宋体"/>
                <w:kern w:val="0"/>
                <w:szCs w:val="21"/>
              </w:rPr>
            </w:pPr>
          </w:p>
        </w:tc>
        <w:tc>
          <w:tcPr>
            <w:tcW w:w="278" w:type="pct"/>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ascii="宋体" w:cs="宋体"/>
                <w:szCs w:val="21"/>
              </w:rPr>
            </w:pPr>
          </w:p>
        </w:tc>
        <w:tc>
          <w:tcPr>
            <w:tcW w:w="853"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jc w:val="center"/>
              <w:textAlignment w:val="center"/>
              <w:rPr>
                <w:rFonts w:ascii="宋体" w:cs="宋体"/>
                <w:szCs w:val="21"/>
              </w:rPr>
            </w:pPr>
            <w:r>
              <w:rPr>
                <w:rFonts w:hint="eastAsia" w:ascii="宋体" w:cs="宋体"/>
                <w:kern w:val="0"/>
                <w:szCs w:val="21"/>
              </w:rPr>
              <w:t>培训课程内容</w:t>
            </w:r>
          </w:p>
        </w:tc>
        <w:tc>
          <w:tcPr>
            <w:tcW w:w="442"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5</w:t>
            </w:r>
          </w:p>
        </w:tc>
        <w:tc>
          <w:tcPr>
            <w:tcW w:w="3081"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widowControl/>
              <w:shd w:val="clear" w:color="auto" w:fill="FFFFFF"/>
              <w:spacing w:line="300" w:lineRule="exact"/>
              <w:jc w:val="left"/>
              <w:rPr>
                <w:rFonts w:ascii="宋体" w:hAnsi="宋体" w:cs="宋体"/>
              </w:rPr>
            </w:pPr>
            <w:r>
              <w:rPr>
                <w:rFonts w:hint="eastAsia" w:ascii="宋体" w:hAnsi="宋体" w:cs="宋体"/>
              </w:rPr>
              <w:t>培训课程内容、时间安排合理，培训内容覆盖能源管理体系所有内容并可结合企业实际，培训时间原则上为3天，课程每少半天扣</w:t>
            </w:r>
            <w:r>
              <w:rPr>
                <w:rFonts w:ascii="宋体" w:hAnsi="宋体" w:cs="宋体"/>
              </w:rPr>
              <w:t>1</w:t>
            </w:r>
            <w:r>
              <w:rPr>
                <w:rFonts w:hint="eastAsia" w:ascii="宋体" w:hAnsi="宋体" w:cs="宋体"/>
              </w:rPr>
              <w:t>分；</w:t>
            </w:r>
          </w:p>
        </w:tc>
      </w:tr>
      <w:tr>
        <w:tblPrEx>
          <w:tblCellMar>
            <w:top w:w="0" w:type="dxa"/>
            <w:left w:w="0" w:type="dxa"/>
            <w:bottom w:w="0" w:type="dxa"/>
            <w:right w:w="0" w:type="dxa"/>
          </w:tblCellMar>
        </w:tblPrEx>
        <w:trPr>
          <w:cantSplit/>
          <w:trHeight w:val="23" w:hRule="atLeast"/>
        </w:trPr>
        <w:tc>
          <w:tcPr>
            <w:tcW w:w="344" w:type="pct"/>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tc>
        <w:tc>
          <w:tcPr>
            <w:tcW w:w="278" w:type="pct"/>
            <w:vMerge w:val="continue"/>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tc>
        <w:tc>
          <w:tcPr>
            <w:tcW w:w="853" w:type="pct"/>
            <w:tcBorders>
              <w:top w:val="single" w:color="auto" w:sz="4" w:space="0"/>
              <w:left w:val="single" w:color="auto" w:sz="4" w:space="0"/>
              <w:bottom w:val="single" w:color="000000" w:sz="4" w:space="0"/>
              <w:right w:val="single" w:color="000000" w:sz="4" w:space="0"/>
            </w:tcBorders>
            <w:noWrap/>
            <w:tcMar>
              <w:top w:w="12" w:type="dxa"/>
              <w:left w:w="12" w:type="dxa"/>
              <w:right w:w="12" w:type="dxa"/>
            </w:tcMar>
            <w:vAlign w:val="center"/>
          </w:tcPr>
          <w:p>
            <w:pPr>
              <w:jc w:val="center"/>
              <w:rPr>
                <w:rFonts w:ascii="宋体" w:cs="宋体"/>
                <w:szCs w:val="21"/>
              </w:rPr>
            </w:pPr>
            <w:r>
              <w:rPr>
                <w:rFonts w:hint="eastAsia" w:ascii="宋体" w:cs="宋体"/>
                <w:szCs w:val="21"/>
              </w:rPr>
              <w:t>免费增值服务</w:t>
            </w:r>
          </w:p>
        </w:tc>
        <w:tc>
          <w:tcPr>
            <w:tcW w:w="442" w:type="pc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jc w:val="center"/>
              <w:rPr>
                <w:rFonts w:hint="default" w:ascii="宋体" w:eastAsia="宋体" w:cs="宋体"/>
                <w:szCs w:val="21"/>
                <w:lang w:val="en-US" w:eastAsia="zh-CN"/>
              </w:rPr>
            </w:pPr>
            <w:r>
              <w:rPr>
                <w:rFonts w:hint="eastAsia" w:ascii="宋体" w:cs="宋体"/>
                <w:szCs w:val="21"/>
                <w:lang w:val="en-US" w:eastAsia="zh-CN"/>
              </w:rPr>
              <w:t>5</w:t>
            </w:r>
          </w:p>
        </w:tc>
        <w:tc>
          <w:tcPr>
            <w:tcW w:w="3081" w:type="pct"/>
            <w:tcBorders>
              <w:top w:val="single" w:color="auto"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cs="宋体"/>
                <w:szCs w:val="21"/>
              </w:rPr>
            </w:pPr>
            <w:r>
              <w:rPr>
                <w:rFonts w:hint="eastAsia" w:ascii="宋体" w:cs="宋体"/>
                <w:kern w:val="0"/>
                <w:szCs w:val="21"/>
              </w:rPr>
              <w:t>专家组确定增值服务内容是否为有效增值服务，每项有效增值服务可酌情给1-3分；</w:t>
            </w:r>
            <w:r>
              <w:rPr>
                <w:rFonts w:ascii="宋体" w:cs="宋体"/>
                <w:szCs w:val="21"/>
              </w:rPr>
              <w:t xml:space="preserve"> </w:t>
            </w:r>
          </w:p>
        </w:tc>
      </w:tr>
      <w:tr>
        <w:tblPrEx>
          <w:tblCellMar>
            <w:top w:w="0" w:type="dxa"/>
            <w:left w:w="0" w:type="dxa"/>
            <w:bottom w:w="0" w:type="dxa"/>
            <w:right w:w="0" w:type="dxa"/>
          </w:tblCellMar>
        </w:tblPrEx>
        <w:trPr>
          <w:cantSplit/>
          <w:trHeight w:val="2299" w:hRule="atLeast"/>
        </w:trPr>
        <w:tc>
          <w:tcPr>
            <w:tcW w:w="344" w:type="pct"/>
            <w:tcBorders>
              <w:top w:val="single" w:color="auto" w:sz="4" w:space="0"/>
              <w:left w:val="single" w:color="auto" w:sz="4" w:space="0"/>
              <w:bottom w:val="single" w:color="auto" w:sz="4" w:space="0"/>
              <w:right w:val="single" w:color="auto" w:sz="4" w:space="0"/>
            </w:tcBorders>
            <w:noWrap/>
            <w:tcMar>
              <w:top w:w="12" w:type="dxa"/>
              <w:left w:w="12" w:type="dxa"/>
              <w:right w:w="12" w:type="dxa"/>
            </w:tcMar>
            <w:vAlign w:val="center"/>
          </w:tcPr>
          <w:p>
            <w:pPr>
              <w:rPr>
                <w:rFonts w:hint="eastAsia" w:eastAsia="宋体"/>
                <w:lang w:val="en-US" w:eastAsia="zh-CN"/>
              </w:rPr>
            </w:pPr>
            <w:r>
              <w:t>商务</w:t>
            </w:r>
            <w:r>
              <w:rPr>
                <w:rFonts w:hint="eastAsia"/>
                <w:lang w:val="en-US" w:eastAsia="zh-CN"/>
              </w:rPr>
              <w:t>部分</w:t>
            </w:r>
          </w:p>
        </w:tc>
        <w:tc>
          <w:tcPr>
            <w:tcW w:w="1574" w:type="pct"/>
            <w:gridSpan w:val="3"/>
            <w:tcBorders>
              <w:top w:val="single" w:color="auto" w:sz="4" w:space="0"/>
              <w:left w:val="single" w:color="auto" w:sz="4" w:space="0"/>
              <w:bottom w:val="single" w:color="auto" w:sz="4" w:space="0"/>
              <w:right w:val="single" w:color="000000" w:sz="4" w:space="0"/>
            </w:tcBorders>
            <w:noWrap/>
            <w:tcMar>
              <w:top w:w="12" w:type="dxa"/>
              <w:left w:w="12" w:type="dxa"/>
              <w:right w:w="12" w:type="dxa"/>
            </w:tcMar>
            <w:vAlign w:val="center"/>
          </w:tcPr>
          <w:p>
            <w:pPr>
              <w:jc w:val="both"/>
            </w:pPr>
          </w:p>
          <w:p>
            <w:pPr>
              <w:widowControl/>
              <w:jc w:val="center"/>
              <w:textAlignment w:val="center"/>
              <w:rPr>
                <w:rFonts w:ascii="宋体" w:cs="宋体"/>
                <w:szCs w:val="21"/>
              </w:rPr>
            </w:pPr>
            <w:r>
              <w:rPr>
                <w:rFonts w:hint="eastAsia" w:ascii="宋体" w:cs="宋体"/>
                <w:kern w:val="0"/>
                <w:szCs w:val="21"/>
              </w:rPr>
              <w:t>投标报价</w:t>
            </w:r>
          </w:p>
          <w:p>
            <w:pPr>
              <w:jc w:val="center"/>
              <w:rPr>
                <w:rFonts w:ascii="宋体" w:cs="宋体"/>
                <w:szCs w:val="21"/>
              </w:rPr>
            </w:pPr>
          </w:p>
        </w:tc>
        <w:tc>
          <w:tcPr>
            <w:tcW w:w="3081" w:type="pct"/>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1、经初审合格的投标文件其投标报价为有效报价；</w:t>
            </w:r>
          </w:p>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val="en-US" w:eastAsia="zh-CN" w:bidi="ar"/>
              </w:rPr>
              <w:t>2</w:t>
            </w:r>
            <w:r>
              <w:rPr>
                <w:rFonts w:hint="eastAsia" w:ascii="宋体" w:hAnsi="宋体" w:cs="宋体"/>
                <w:color w:val="000000"/>
                <w:kern w:val="0"/>
                <w:szCs w:val="21"/>
                <w:lang w:bidi="ar"/>
              </w:rPr>
              <w:t>、评标价格均以元（RMB）</w:t>
            </w:r>
            <w:r>
              <w:rPr>
                <w:rFonts w:hint="eastAsia" w:ascii="宋体" w:hAnsi="宋体" w:cs="宋体"/>
                <w:color w:val="000000"/>
                <w:kern w:val="0"/>
                <w:szCs w:val="21"/>
                <w:lang w:val="en-US" w:eastAsia="zh-CN" w:bidi="ar"/>
              </w:rPr>
              <w:t>/年</w:t>
            </w:r>
            <w:r>
              <w:rPr>
                <w:rFonts w:hint="eastAsia" w:ascii="宋体" w:hAnsi="宋体" w:cs="宋体"/>
                <w:color w:val="000000"/>
                <w:kern w:val="0"/>
                <w:szCs w:val="21"/>
                <w:lang w:bidi="ar"/>
              </w:rPr>
              <w:t>为单位计算，百分率、得分值小数点后保留二位，第三位四舍五入；</w:t>
            </w:r>
          </w:p>
          <w:p>
            <w:pPr>
              <w:widowControl/>
              <w:jc w:val="left"/>
              <w:textAlignment w:val="center"/>
              <w:rPr>
                <w:rFonts w:ascii="宋体" w:cs="宋体"/>
                <w:kern w:val="0"/>
                <w:szCs w:val="21"/>
              </w:rPr>
            </w:pPr>
            <w:r>
              <w:rPr>
                <w:rFonts w:hint="eastAsia" w:ascii="宋体" w:hAnsi="宋体" w:cs="宋体"/>
                <w:color w:val="000000"/>
                <w:kern w:val="0"/>
                <w:szCs w:val="21"/>
                <w:lang w:val="en-US" w:eastAsia="zh-CN" w:bidi="ar"/>
              </w:rPr>
              <w:t>3</w:t>
            </w:r>
            <w:r>
              <w:rPr>
                <w:rFonts w:hint="eastAsia" w:ascii="宋体" w:hAnsi="宋体" w:cs="宋体"/>
                <w:color w:val="000000"/>
                <w:kern w:val="0"/>
                <w:szCs w:val="21"/>
                <w:lang w:bidi="ar"/>
              </w:rPr>
              <w:t>、评标委员会二分之一以上人员认为某投标总报价有低于成本价嫌疑的，视为无效报价，不进入下一步评审</w:t>
            </w:r>
            <w:r>
              <w:rPr>
                <w:rFonts w:hint="eastAsia" w:ascii="宋体" w:cs="宋体"/>
                <w:kern w:val="0"/>
                <w:szCs w:val="21"/>
              </w:rPr>
              <w:t>。</w:t>
            </w:r>
          </w:p>
        </w:tc>
      </w:tr>
      <w:tr>
        <w:tblPrEx>
          <w:tblCellMar>
            <w:top w:w="0" w:type="dxa"/>
            <w:left w:w="0" w:type="dxa"/>
            <w:bottom w:w="0" w:type="dxa"/>
            <w:right w:w="0" w:type="dxa"/>
          </w:tblCellMar>
        </w:tblPrEx>
        <w:trPr>
          <w:cantSplit/>
          <w:trHeight w:val="23" w:hRule="atLeast"/>
        </w:trPr>
        <w:tc>
          <w:tcPr>
            <w:tcW w:w="5000" w:type="pct"/>
            <w:gridSpan w:val="5"/>
            <w:tcBorders>
              <w:top w:val="single" w:color="000000" w:sz="4" w:space="0"/>
              <w:left w:val="single" w:color="000000" w:sz="4" w:space="0"/>
              <w:bottom w:val="single" w:color="000000" w:sz="4" w:space="0"/>
              <w:right w:val="single" w:color="000000" w:sz="4" w:space="0"/>
            </w:tcBorders>
            <w:noWrap/>
            <w:tcMar>
              <w:top w:w="12" w:type="dxa"/>
              <w:left w:w="12" w:type="dxa"/>
              <w:right w:w="12" w:type="dxa"/>
            </w:tcMar>
            <w:vAlign w:val="center"/>
          </w:tcPr>
          <w:p>
            <w:pPr>
              <w:widowControl/>
              <w:jc w:val="left"/>
              <w:rPr>
                <w:rFonts w:ascii="宋体" w:cs="宋体"/>
                <w:szCs w:val="21"/>
              </w:rPr>
            </w:pPr>
            <w:r>
              <w:rPr>
                <w:rFonts w:hint="eastAsia" w:ascii="宋体" w:cs="宋体"/>
              </w:rPr>
              <w:t>备注：</w:t>
            </w:r>
          </w:p>
          <w:p>
            <w:pPr>
              <w:widowControl/>
              <w:jc w:val="left"/>
              <w:rPr>
                <w:rFonts w:ascii="宋体" w:cs="宋体"/>
              </w:rPr>
            </w:pPr>
            <w:r>
              <w:rPr>
                <w:rFonts w:hint="eastAsia" w:ascii="宋体" w:cs="宋体"/>
              </w:rPr>
              <w:t>1、通过初审者为有效投标。</w:t>
            </w:r>
          </w:p>
          <w:p>
            <w:pPr>
              <w:widowControl/>
              <w:jc w:val="left"/>
              <w:rPr>
                <w:rFonts w:ascii="宋体" w:cs="宋体"/>
              </w:rPr>
            </w:pPr>
            <w:r>
              <w:rPr>
                <w:rFonts w:hint="eastAsia" w:ascii="宋体" w:cs="宋体"/>
              </w:rPr>
              <w:t>2、评委打分不得超过得分界限。</w:t>
            </w:r>
          </w:p>
          <w:p>
            <w:pPr>
              <w:widowControl/>
              <w:jc w:val="left"/>
              <w:rPr>
                <w:rFonts w:ascii="宋体" w:cs="宋体"/>
              </w:rPr>
            </w:pPr>
            <w:r>
              <w:rPr>
                <w:rFonts w:hint="eastAsia" w:ascii="宋体" w:cs="宋体"/>
                <w:lang w:val="en-US" w:eastAsia="zh-CN"/>
              </w:rPr>
              <w:t>3</w:t>
            </w:r>
            <w:r>
              <w:rPr>
                <w:rFonts w:hint="eastAsia" w:ascii="宋体" w:cs="宋体"/>
              </w:rPr>
              <w:t>、投标方提交的投标文件和资料必须真实有效。合同签订前，招标方有权组织联合小组（财务、技术、设备、质量等）到中标候选人实地审核，如发现投标文件和资料有弄虚作假，招标方有权取消其中标候选人资格。</w:t>
            </w:r>
          </w:p>
          <w:p>
            <w:pPr>
              <w:widowControl/>
              <w:jc w:val="left"/>
              <w:rPr>
                <w:rFonts w:ascii="宋体" w:cs="宋体"/>
                <w:kern w:val="0"/>
                <w:szCs w:val="21"/>
              </w:rPr>
            </w:pPr>
            <w:r>
              <w:rPr>
                <w:rFonts w:hint="eastAsia" w:ascii="宋体"/>
                <w:sz w:val="22"/>
                <w:szCs w:val="21"/>
                <w:lang w:val="en-US" w:eastAsia="zh-CN"/>
              </w:rPr>
              <w:t>4</w:t>
            </w:r>
            <w:r>
              <w:rPr>
                <w:rFonts w:hint="eastAsia" w:ascii="宋体"/>
                <w:sz w:val="22"/>
                <w:szCs w:val="21"/>
              </w:rPr>
              <w:t>、</w:t>
            </w:r>
            <w:r>
              <w:rPr>
                <w:rFonts w:hint="eastAsia" w:ascii="宋体" w:cs="宋体"/>
                <w:b/>
                <w:color w:val="FF0000"/>
                <w:sz w:val="22"/>
                <w:szCs w:val="21"/>
              </w:rPr>
              <w:t>本次招标只产生一个中标人</w:t>
            </w:r>
            <w:r>
              <w:rPr>
                <w:rFonts w:hint="eastAsia" w:ascii="宋体" w:cs="宋体"/>
                <w:sz w:val="22"/>
                <w:szCs w:val="21"/>
              </w:rPr>
              <w:t>。</w:t>
            </w:r>
            <w:bookmarkStart w:id="10" w:name="_GoBack"/>
            <w:bookmarkEnd w:id="10"/>
          </w:p>
        </w:tc>
      </w:tr>
      <w:bookmarkEnd w:id="7"/>
    </w:tbl>
    <w:p>
      <w:pPr>
        <w:pStyle w:val="3"/>
        <w:spacing w:before="156" w:beforeLines="50" w:after="156" w:afterLines="50" w:line="240" w:lineRule="auto"/>
        <w:rPr>
          <w:rFonts w:ascii="黑体" w:hAnsi="黑体" w:eastAsia="黑体"/>
          <w:bCs w:val="0"/>
          <w:sz w:val="28"/>
        </w:rPr>
      </w:pPr>
      <w:bookmarkStart w:id="8" w:name="_Toc110931810"/>
      <w:r>
        <w:rPr>
          <w:rFonts w:hint="eastAsia" w:ascii="黑体" w:hAnsi="黑体" w:eastAsia="黑体"/>
          <w:bCs w:val="0"/>
          <w:sz w:val="28"/>
          <w:lang w:val="en-US" w:eastAsia="zh-CN"/>
        </w:rPr>
        <w:t>七</w:t>
      </w:r>
      <w:r>
        <w:rPr>
          <w:rFonts w:hint="eastAsia" w:ascii="黑体" w:hAnsi="黑体" w:eastAsia="黑体"/>
          <w:bCs w:val="0"/>
          <w:sz w:val="28"/>
        </w:rPr>
        <w:t>、合同签订</w:t>
      </w:r>
      <w:bookmarkEnd w:id="8"/>
    </w:p>
    <w:p>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承诺将合同授予报价最低的投标人，也不对未中标人做任何解释。</w:t>
      </w:r>
    </w:p>
    <w:p>
      <w:pPr>
        <w:pStyle w:val="4"/>
        <w:spacing w:line="360" w:lineRule="auto"/>
        <w:ind w:firstLine="420" w:firstLineChars="200"/>
        <w:rPr>
          <w:rFonts w:hAnsi="宋体"/>
          <w:szCs w:val="21"/>
        </w:rPr>
      </w:pPr>
      <w:r>
        <w:rPr>
          <w:rFonts w:hint="eastAsia" w:hAnsi="宋体"/>
          <w:szCs w:val="21"/>
        </w:rPr>
        <w:t>2、招标人发送《中标通知书》给中标人，中标人应及时与招标人联系，在规定的时间内（一般为接到《中标通知书》后</w:t>
      </w:r>
      <w:r>
        <w:rPr>
          <w:rFonts w:hAnsi="宋体"/>
          <w:szCs w:val="21"/>
        </w:rPr>
        <w:t>2</w:t>
      </w:r>
      <w:r>
        <w:rPr>
          <w:rFonts w:hint="eastAsia" w:hAnsi="宋体"/>
          <w:szCs w:val="21"/>
        </w:rPr>
        <w:t>个工作日内）到招标单位对《中标人推荐表》进行签字确认并进行项目对接，如果中标人接到《中标通知书》后，无正当理由拒绝按其规定的期限与相关单位签订合同或在签订合同时向招标人或相关单位提出附加条件或者更改合同实质性内容的，</w:t>
      </w:r>
      <w:r>
        <w:t>投标保证金不予返还</w:t>
      </w:r>
      <w:r>
        <w:rPr>
          <w:rFonts w:hint="eastAsia"/>
        </w:rPr>
        <w:t>，</w:t>
      </w:r>
      <w:r>
        <w:rPr>
          <w:rFonts w:hint="eastAsia" w:hAnsi="宋体"/>
          <w:szCs w:val="21"/>
        </w:rPr>
        <w:t>招标人有权取消其中标资格，招标人将从剩余投标人中依序重新确定中标人，或重新组织招标。</w:t>
      </w:r>
    </w:p>
    <w:p>
      <w:pPr>
        <w:spacing w:line="360" w:lineRule="auto"/>
        <w:ind w:firstLine="420" w:firstLineChars="200"/>
        <w:rPr>
          <w:rFonts w:hAnsi="宋体"/>
          <w:szCs w:val="21"/>
        </w:rPr>
      </w:pPr>
      <w:r>
        <w:rPr>
          <w:rFonts w:hint="eastAsia" w:hAnsi="宋体"/>
          <w:szCs w:val="21"/>
        </w:rPr>
        <w:t>3、中标人应当按照合同约定的履约责任，</w:t>
      </w:r>
      <w:r>
        <w:rPr>
          <w:rFonts w:hint="eastAsia" w:ascii="宋体" w:hAnsi="宋体"/>
          <w:szCs w:val="21"/>
        </w:rPr>
        <w:t>需要时需</w:t>
      </w:r>
      <w:r>
        <w:rPr>
          <w:rFonts w:hint="eastAsia" w:ascii="宋体" w:hAnsi="宋体"/>
        </w:rPr>
        <w:t>向招标人指定的合同签订单位缴纳履约保证金</w:t>
      </w:r>
      <w:r>
        <w:rPr>
          <w:rFonts w:ascii="宋体" w:hAnsi="宋体"/>
        </w:rPr>
        <w:t>/</w:t>
      </w:r>
      <w:r>
        <w:rPr>
          <w:rFonts w:hint="eastAsia" w:ascii="宋体" w:hAnsi="宋体"/>
        </w:rPr>
        <w:t>万元（具体数额以合同约定为准），如中标人未按合同及其附件约定履行应承担的责任，招标人或招标人指定的合同签订单位有权扣除其履约保证金</w:t>
      </w:r>
      <w:r>
        <w:rPr>
          <w:rFonts w:hint="eastAsia" w:hAnsi="宋体"/>
          <w:szCs w:val="21"/>
        </w:rPr>
        <w:t>。</w:t>
      </w:r>
    </w:p>
    <w:p>
      <w:pPr>
        <w:pStyle w:val="4"/>
        <w:spacing w:line="360" w:lineRule="auto"/>
        <w:ind w:firstLine="420" w:firstLineChars="200"/>
        <w:rPr>
          <w:rFonts w:hAnsi="宋体"/>
          <w:szCs w:val="21"/>
        </w:rPr>
      </w:pPr>
      <w:r>
        <w:rPr>
          <w:rFonts w:hint="eastAsia" w:hAnsi="宋体"/>
          <w:szCs w:val="21"/>
        </w:rPr>
        <w:t>4、中标人应在保证质量的前提下完成中标项目，不得将中标项目转包或分包给他人，否则视为违约，招标人或相关单位有权解除合同。</w:t>
      </w:r>
    </w:p>
    <w:p>
      <w:pPr>
        <w:pStyle w:val="4"/>
        <w:spacing w:line="360" w:lineRule="auto"/>
        <w:ind w:firstLine="420" w:firstLineChars="200"/>
        <w:rPr>
          <w:rFonts w:hAnsi="宋体"/>
          <w:szCs w:val="21"/>
        </w:rPr>
      </w:pPr>
      <w:r>
        <w:rPr>
          <w:rFonts w:hint="eastAsia" w:hAnsi="宋体"/>
          <w:szCs w:val="21"/>
        </w:rPr>
        <w:t>5、在</w:t>
      </w:r>
      <w:r>
        <w:rPr>
          <w:rFonts w:hint="eastAsia"/>
          <w:szCs w:val="21"/>
        </w:rPr>
        <w:t>履行</w:t>
      </w:r>
      <w:r>
        <w:rPr>
          <w:rFonts w:hint="eastAsia" w:hAnsi="宋体"/>
          <w:szCs w:val="21"/>
        </w:rPr>
        <w:t>合同过程中，中标人</w:t>
      </w:r>
      <w:r>
        <w:rPr>
          <w:rFonts w:hint="eastAsia"/>
          <w:szCs w:val="21"/>
        </w:rPr>
        <w:t>由于履行义务的能力或信用有严重缺陷，</w:t>
      </w:r>
      <w:r>
        <w:rPr>
          <w:rFonts w:hint="eastAsia" w:hAnsi="宋体"/>
          <w:szCs w:val="21"/>
        </w:rPr>
        <w:t>招标人有权解除合同并取消其中标资格，招标人将从剩余投标人中依序重新确定中标人，或重新组织招标。</w:t>
      </w:r>
    </w:p>
    <w:p>
      <w:pPr>
        <w:pStyle w:val="4"/>
        <w:spacing w:line="360" w:lineRule="auto"/>
        <w:ind w:firstLine="420" w:firstLineChars="200"/>
        <w:rPr>
          <w:rFonts w:hAnsi="宋体"/>
          <w:szCs w:val="21"/>
        </w:rPr>
      </w:pPr>
      <w:r>
        <w:rPr>
          <w:rFonts w:hint="eastAsia" w:hAnsi="宋体"/>
          <w:szCs w:val="21"/>
        </w:rPr>
        <w:t>6、招标人有权指定招标人的关联单位作为合同签订人，与中标人签署相关合同，且具体权利义务以双方最终签署的合同为准。</w:t>
      </w:r>
    </w:p>
    <w:p>
      <w:pPr>
        <w:pStyle w:val="4"/>
        <w:spacing w:line="360" w:lineRule="auto"/>
        <w:ind w:firstLine="420" w:firstLineChars="200"/>
        <w:rPr>
          <w:rFonts w:hAnsi="宋体"/>
          <w:szCs w:val="21"/>
        </w:rPr>
      </w:pPr>
      <w:r>
        <w:rPr>
          <w:rFonts w:hint="eastAsia"/>
        </w:rPr>
        <w:t>7、中标人须认可招标人由于招标人上级集团公司政策变化引起的随时终止项目的要求。</w:t>
      </w:r>
    </w:p>
    <w:p>
      <w:pPr>
        <w:pStyle w:val="3"/>
        <w:spacing w:before="156" w:beforeLines="50" w:after="156" w:afterLines="50" w:line="240" w:lineRule="auto"/>
        <w:rPr>
          <w:rFonts w:ascii="黑体" w:hAnsi="黑体" w:eastAsia="黑体"/>
          <w:bCs w:val="0"/>
          <w:sz w:val="28"/>
        </w:rPr>
      </w:pPr>
      <w:bookmarkStart w:id="9" w:name="_Toc110931811"/>
      <w:r>
        <w:rPr>
          <w:rFonts w:hint="eastAsia" w:ascii="黑体" w:hAnsi="黑体" w:eastAsia="黑体"/>
          <w:bCs w:val="0"/>
          <w:sz w:val="28"/>
          <w:lang w:val="en-US" w:eastAsia="zh-CN"/>
        </w:rPr>
        <w:t>八</w:t>
      </w:r>
      <w:r>
        <w:rPr>
          <w:rFonts w:hint="eastAsia" w:ascii="黑体" w:hAnsi="黑体" w:eastAsia="黑体"/>
          <w:bCs w:val="0"/>
          <w:sz w:val="28"/>
        </w:rPr>
        <w:t>、废标及终止招标</w:t>
      </w:r>
      <w:bookmarkEnd w:id="9"/>
    </w:p>
    <w:p>
      <w:pPr>
        <w:spacing w:line="520" w:lineRule="exact"/>
        <w:ind w:right="2" w:firstLine="420" w:firstLineChars="200"/>
        <w:rPr>
          <w:rFonts w:ascii="宋体" w:hAnsi="Courier New"/>
        </w:rPr>
      </w:pPr>
      <w:r>
        <w:rPr>
          <w:rFonts w:hint="eastAsia" w:ascii="宋体" w:hAnsi="Courier New"/>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hAnsi="Courier New"/>
        </w:rPr>
      </w:pPr>
      <w:r>
        <w:rPr>
          <w:rFonts w:hint="eastAsia" w:ascii="宋体" w:hAnsi="Courier New"/>
        </w:rPr>
        <w:t>（1）投标人提供的有关资格、资质证明文件不合格、不真实或提供虚假投标材料；</w:t>
      </w:r>
    </w:p>
    <w:p>
      <w:pPr>
        <w:spacing w:line="520" w:lineRule="exact"/>
        <w:ind w:right="2" w:firstLine="420" w:firstLineChars="200"/>
        <w:rPr>
          <w:rFonts w:ascii="宋体" w:hAnsi="Courier New"/>
        </w:rPr>
      </w:pPr>
      <w:r>
        <w:rPr>
          <w:rFonts w:hint="eastAsia" w:ascii="宋体" w:hAnsi="Courier New"/>
        </w:rPr>
        <w:t>（2）投标人在报价有效期内撤回投标；</w:t>
      </w:r>
    </w:p>
    <w:p>
      <w:pPr>
        <w:spacing w:line="520" w:lineRule="exact"/>
        <w:ind w:right="2" w:firstLine="420" w:firstLineChars="200"/>
        <w:rPr>
          <w:rFonts w:ascii="宋体" w:hAnsi="Courier New"/>
        </w:rPr>
      </w:pPr>
      <w:r>
        <w:rPr>
          <w:rFonts w:hint="eastAsia" w:ascii="宋体" w:hAnsi="宋体"/>
        </w:rPr>
        <w:t>（3）</w:t>
      </w:r>
      <w:r>
        <w:rPr>
          <w:rFonts w:hint="eastAsia" w:ascii="宋体" w:hAnsi="Courier New"/>
        </w:rPr>
        <w:t>在整个评标过程中，投标人有企图影响评标结果公正性的任何活动；</w:t>
      </w:r>
    </w:p>
    <w:p>
      <w:pPr>
        <w:spacing w:line="520" w:lineRule="exact"/>
        <w:ind w:right="2" w:firstLine="420" w:firstLineChars="200"/>
        <w:rPr>
          <w:rFonts w:ascii="宋体" w:hAnsi="Courier New"/>
        </w:rPr>
      </w:pPr>
      <w:r>
        <w:rPr>
          <w:rFonts w:hint="eastAsia" w:ascii="宋体" w:hAnsi="宋体"/>
        </w:rPr>
        <w:t>（4）</w:t>
      </w:r>
      <w:r>
        <w:rPr>
          <w:rFonts w:hint="eastAsia" w:ascii="宋体" w:hAnsi="Courier New"/>
        </w:rPr>
        <w:t>投标人以任何方式诋毁其他投标人；</w:t>
      </w:r>
    </w:p>
    <w:p>
      <w:pPr>
        <w:spacing w:line="520" w:lineRule="exact"/>
        <w:ind w:right="2" w:firstLine="420" w:firstLineChars="200"/>
        <w:rPr>
          <w:rFonts w:ascii="宋体" w:hAnsi="Courier New"/>
        </w:rPr>
      </w:pPr>
      <w:r>
        <w:rPr>
          <w:rFonts w:hint="eastAsia" w:ascii="宋体" w:hAnsi="宋体"/>
        </w:rPr>
        <w:t>（5）</w:t>
      </w:r>
      <w:r>
        <w:rPr>
          <w:rFonts w:hint="eastAsia" w:ascii="宋体" w:hAnsi="Courier New"/>
        </w:rPr>
        <w:t>投标人串通投标；</w:t>
      </w:r>
    </w:p>
    <w:p>
      <w:pPr>
        <w:spacing w:line="520" w:lineRule="exact"/>
        <w:ind w:right="2" w:firstLine="420" w:firstLineChars="200"/>
        <w:rPr>
          <w:rFonts w:ascii="宋体" w:hAnsi="Courier New"/>
        </w:rPr>
      </w:pPr>
      <w:r>
        <w:rPr>
          <w:rFonts w:hint="eastAsia" w:ascii="宋体" w:hAnsi="宋体"/>
        </w:rPr>
        <w:t>（6）</w:t>
      </w:r>
      <w:r>
        <w:rPr>
          <w:rFonts w:hint="eastAsia" w:ascii="宋体" w:hAnsi="Courier New"/>
        </w:rPr>
        <w:t>以他人名义投标或者以其他方式弄虚作假，骗取中标的；</w:t>
      </w:r>
    </w:p>
    <w:p>
      <w:pPr>
        <w:spacing w:line="520" w:lineRule="exact"/>
        <w:ind w:right="2" w:firstLine="420" w:firstLineChars="200"/>
        <w:rPr>
          <w:rFonts w:ascii="宋体" w:hAnsi="Courier New"/>
        </w:rPr>
      </w:pPr>
      <w:r>
        <w:rPr>
          <w:rFonts w:hint="eastAsia" w:ascii="宋体" w:hAnsi="宋体"/>
        </w:rPr>
        <w:t>（7）</w:t>
      </w:r>
      <w:r>
        <w:rPr>
          <w:rFonts w:hint="eastAsia" w:ascii="宋体" w:hAnsi="Courier New"/>
        </w:rPr>
        <w:t>中标人不按规定签订合同；</w:t>
      </w:r>
    </w:p>
    <w:p>
      <w:pPr>
        <w:spacing w:line="520" w:lineRule="exact"/>
        <w:ind w:right="2" w:firstLine="420" w:firstLineChars="200"/>
        <w:rPr>
          <w:rFonts w:ascii="宋体" w:hAnsi="Courier New"/>
        </w:rPr>
      </w:pPr>
      <w:r>
        <w:rPr>
          <w:rFonts w:hint="eastAsia" w:ascii="宋体" w:hAnsi="Courier New"/>
        </w:rPr>
        <w:t>（8）投标人负责人为同一人或者存在控股、管理关系的不同单位；</w:t>
      </w:r>
    </w:p>
    <w:p>
      <w:pPr>
        <w:spacing w:line="520" w:lineRule="exact"/>
        <w:ind w:right="2" w:firstLine="420" w:firstLineChars="200"/>
        <w:rPr>
          <w:rFonts w:ascii="宋体" w:hAnsi="宋体"/>
        </w:rPr>
      </w:pPr>
      <w:r>
        <w:rPr>
          <w:rFonts w:hint="eastAsia" w:ascii="宋体" w:hAnsi="Courier New"/>
        </w:rPr>
        <w:t>（9）</w:t>
      </w:r>
      <w:r>
        <w:rPr>
          <w:rFonts w:hint="eastAsia" w:ascii="宋体" w:hAnsi="宋体"/>
        </w:rPr>
        <w:t>投标人被举报、检举，并经招标方查实无误的；</w:t>
      </w:r>
    </w:p>
    <w:p>
      <w:pPr>
        <w:spacing w:line="520" w:lineRule="exact"/>
        <w:ind w:right="2" w:firstLine="420" w:firstLineChars="200"/>
        <w:rPr>
          <w:rFonts w:ascii="宋体" w:hAnsi="Courier New"/>
        </w:rPr>
      </w:pPr>
      <w:r>
        <w:rPr>
          <w:rFonts w:hint="eastAsia" w:ascii="宋体" w:hAnsi="宋体"/>
        </w:rPr>
        <w:t>（10）</w:t>
      </w:r>
      <w:r>
        <w:rPr>
          <w:rFonts w:hint="eastAsia" w:ascii="宋体" w:hAnsi="Courier New"/>
        </w:rPr>
        <w:t>法律、法规规定的其他情况。</w:t>
      </w:r>
    </w:p>
    <w:p>
      <w:pPr>
        <w:spacing w:line="520" w:lineRule="exact"/>
        <w:ind w:right="2" w:firstLine="420" w:firstLineChars="200"/>
        <w:rPr>
          <w:rFonts w:ascii="宋体" w:hAnsi="Courier New"/>
        </w:rPr>
      </w:pPr>
      <w:r>
        <w:rPr>
          <w:rFonts w:hint="eastAsia" w:ascii="宋体" w:hAnsi="Courier New"/>
        </w:rPr>
        <w:t>2、出现下列情形之一，招标人有权否决所有投标人的投标，并终止招标。</w:t>
      </w:r>
    </w:p>
    <w:p>
      <w:pPr>
        <w:spacing w:line="520" w:lineRule="exact"/>
        <w:ind w:right="2" w:firstLine="420" w:firstLineChars="200"/>
        <w:rPr>
          <w:rFonts w:ascii="宋体" w:hAnsi="Courier New"/>
        </w:rPr>
      </w:pPr>
      <w:r>
        <w:rPr>
          <w:rFonts w:hint="eastAsia" w:ascii="宋体" w:hAnsi="Courier New"/>
        </w:rPr>
        <w:t>（1）出现影响采购公正的违法、违规行为的。</w:t>
      </w:r>
    </w:p>
    <w:p>
      <w:pPr>
        <w:spacing w:line="520" w:lineRule="exact"/>
        <w:ind w:right="2" w:firstLine="420" w:firstLineChars="200"/>
        <w:rPr>
          <w:rFonts w:ascii="宋体" w:hAnsi="Courier New"/>
        </w:rPr>
      </w:pPr>
      <w:r>
        <w:rPr>
          <w:rFonts w:hint="eastAsia" w:ascii="宋体" w:hAnsi="Courier New"/>
        </w:rPr>
        <w:t>（2）因重大变故，采购任务取消的。</w:t>
      </w:r>
    </w:p>
    <w:p>
      <w:pPr>
        <w:spacing w:line="520" w:lineRule="exact"/>
        <w:ind w:right="2" w:firstLine="420" w:firstLineChars="200"/>
        <w:rPr>
          <w:rFonts w:ascii="宋体" w:hAnsi="宋体"/>
        </w:rPr>
      </w:pPr>
      <w:r>
        <w:rPr>
          <w:rFonts w:hint="eastAsia" w:ascii="宋体" w:hAnsi="宋体"/>
        </w:rPr>
        <w:t>（3）招标人认为其他应终止招标的情形。</w:t>
      </w:r>
    </w:p>
    <w:p>
      <w:pPr>
        <w:spacing w:line="520" w:lineRule="exact"/>
        <w:ind w:right="2" w:firstLine="420" w:firstLineChars="200"/>
        <w:rPr>
          <w:rFonts w:ascii="宋体" w:hAnsi="宋体"/>
        </w:rPr>
      </w:pPr>
      <w:r>
        <w:rPr>
          <w:rFonts w:hint="eastAsia" w:ascii="宋体" w:hAnsi="宋体"/>
        </w:rPr>
        <w:t>（4）符合投标条件的投标人或者对招标文件做实质响应的投标人不足三家的。</w:t>
      </w:r>
    </w:p>
    <w:p>
      <w:pPr>
        <w:pStyle w:val="3"/>
        <w:spacing w:before="156" w:beforeLines="50" w:after="156" w:afterLines="50" w:line="240" w:lineRule="auto"/>
        <w:rPr>
          <w:rFonts w:ascii="黑体" w:hAnsi="黑体" w:eastAsia="黑体"/>
          <w:bCs w:val="0"/>
          <w:sz w:val="28"/>
          <w:lang w:eastAsia="zh-CN"/>
        </w:rPr>
      </w:pPr>
      <w:r>
        <w:rPr>
          <w:rFonts w:hint="eastAsia" w:ascii="黑体" w:hAnsi="黑体" w:eastAsia="黑体"/>
          <w:bCs w:val="0"/>
          <w:sz w:val="28"/>
          <w:lang w:val="en-US" w:eastAsia="zh-CN"/>
        </w:rPr>
        <w:t>九</w:t>
      </w:r>
      <w:r>
        <w:rPr>
          <w:rFonts w:hint="eastAsia" w:ascii="黑体" w:hAnsi="黑体" w:eastAsia="黑体"/>
          <w:bCs w:val="0"/>
          <w:sz w:val="28"/>
          <w:lang w:eastAsia="zh-CN"/>
        </w:rPr>
        <w:t>、中标人瑕疵滞后发现的处理原则</w:t>
      </w:r>
    </w:p>
    <w:p>
      <w:pPr>
        <w:spacing w:line="520" w:lineRule="exact"/>
        <w:ind w:right="2" w:firstLine="420" w:firstLineChars="200"/>
        <w:rPr>
          <w:rFonts w:ascii="宋体" w:hAnsi="Courier New"/>
        </w:rPr>
      </w:pPr>
      <w:r>
        <w:rPr>
          <w:rFonts w:hint="eastAsia" w:ascii="宋体" w:hAnsi="Courier New"/>
        </w:rPr>
        <w:t>无论基于何种原因，各项本应作为拒绝处理的情形即便未被及时发现而使该中标人通过了资格审核、初评、现场复审、终评或其他所有相关程序，包括已签订合同的情形，一旦中标人被拒绝或该中标人此前的评议结果被取消，相关的一切损失均由该中标人承担。</w:t>
      </w:r>
    </w:p>
    <w:p>
      <w:pPr>
        <w:pStyle w:val="3"/>
        <w:spacing w:before="156" w:beforeLines="50" w:after="156" w:afterLines="50" w:line="240" w:lineRule="auto"/>
        <w:rPr>
          <w:rFonts w:ascii="黑体" w:hAnsi="黑体" w:eastAsia="黑体"/>
          <w:bCs w:val="0"/>
          <w:sz w:val="28"/>
          <w:lang w:eastAsia="zh-CN"/>
        </w:rPr>
      </w:pPr>
      <w:r>
        <w:rPr>
          <w:rFonts w:hint="eastAsia" w:ascii="黑体" w:hAnsi="黑体" w:eastAsia="黑体"/>
          <w:bCs w:val="0"/>
          <w:sz w:val="28"/>
          <w:lang w:val="en-US" w:eastAsia="zh-CN"/>
        </w:rPr>
        <w:t>十</w:t>
      </w:r>
      <w:r>
        <w:rPr>
          <w:rFonts w:hint="eastAsia" w:ascii="黑体" w:hAnsi="黑体" w:eastAsia="黑体"/>
          <w:bCs w:val="0"/>
          <w:sz w:val="28"/>
          <w:lang w:eastAsia="zh-CN"/>
        </w:rPr>
        <w:t>、技术要求</w:t>
      </w:r>
    </w:p>
    <w:p>
      <w:pPr>
        <w:pStyle w:val="4"/>
        <w:spacing w:line="360" w:lineRule="auto"/>
        <w:ind w:left="420" w:hanging="420" w:hangingChars="200"/>
      </w:pPr>
      <w:r>
        <w:rPr>
          <w:rFonts w:hint="eastAsia"/>
        </w:rPr>
        <w:t xml:space="preserve">    见本招标文件“第三章 技术协议书”，附后。</w:t>
      </w:r>
    </w:p>
    <w:p>
      <w:pPr>
        <w:pStyle w:val="3"/>
        <w:spacing w:before="156" w:beforeLines="50" w:after="156" w:afterLines="50" w:line="240" w:lineRule="auto"/>
        <w:rPr>
          <w:rFonts w:ascii="黑体" w:hAnsi="黑体" w:eastAsia="黑体"/>
          <w:bCs w:val="0"/>
          <w:sz w:val="28"/>
          <w:lang w:eastAsia="zh-CN"/>
        </w:rPr>
      </w:pPr>
      <w:r>
        <w:rPr>
          <w:rFonts w:ascii="黑体" w:hAnsi="黑体" w:eastAsia="黑体"/>
          <w:bCs w:val="0"/>
          <w:sz w:val="28"/>
          <w:lang w:eastAsia="zh-CN"/>
        </w:rPr>
        <w:t>十</w:t>
      </w:r>
      <w:r>
        <w:rPr>
          <w:rFonts w:hint="eastAsia" w:ascii="黑体" w:hAnsi="黑体" w:eastAsia="黑体"/>
          <w:bCs w:val="0"/>
          <w:sz w:val="28"/>
          <w:lang w:val="en-US" w:eastAsia="zh-CN"/>
        </w:rPr>
        <w:t>一</w:t>
      </w:r>
      <w:r>
        <w:rPr>
          <w:rFonts w:hint="eastAsia" w:ascii="黑体" w:hAnsi="黑体" w:eastAsia="黑体"/>
          <w:bCs w:val="0"/>
          <w:sz w:val="28"/>
          <w:lang w:eastAsia="zh-CN"/>
        </w:rPr>
        <w:t>、</w:t>
      </w:r>
      <w:r>
        <w:rPr>
          <w:rFonts w:ascii="黑体" w:hAnsi="黑体" w:eastAsia="黑体"/>
          <w:bCs w:val="0"/>
          <w:sz w:val="28"/>
          <w:lang w:eastAsia="zh-CN"/>
        </w:rPr>
        <w:t>解释权</w:t>
      </w:r>
    </w:p>
    <w:p>
      <w:pPr>
        <w:pStyle w:val="4"/>
        <w:numPr>
          <w:ilvl w:val="0"/>
          <w:numId w:val="1"/>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pPr>
        <w:pStyle w:val="4"/>
        <w:spacing w:line="360" w:lineRule="auto"/>
        <w:ind w:left="426"/>
        <w:rPr>
          <w:rFonts w:hint="eastAsia" w:eastAsia="黑体"/>
          <w:b/>
          <w:bCs/>
          <w:sz w:val="36"/>
          <w:szCs w:val="36"/>
        </w:rPr>
      </w:pPr>
      <w:r>
        <w:rPr>
          <w:rFonts w:hint="eastAsia" w:hAnsi="Times New Roman"/>
        </w:rPr>
        <w:t>2、 招标文件未做须知明示，而又有相关法律、法规规定的，招标人对此所做解释以相关的法律、法规规定为依据。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eastAsia" w:ascii="楷体_GB2312" w:eastAsia="楷体_GB2312"/>
        <w:sz w:val="28"/>
        <w:szCs w:val="28"/>
      </w:rPr>
    </w:pPr>
    <w:r>
      <w:drawing>
        <wp:anchor distT="0" distB="0" distL="114300" distR="114300" simplePos="0" relativeHeight="251659264" behindDoc="0" locked="0" layoutInCell="1" allowOverlap="1">
          <wp:simplePos x="0" y="0"/>
          <wp:positionH relativeFrom="column">
            <wp:posOffset>-205105</wp:posOffset>
          </wp:positionH>
          <wp:positionV relativeFrom="paragraph">
            <wp:posOffset>-218440</wp:posOffset>
          </wp:positionV>
          <wp:extent cx="1257300" cy="398145"/>
          <wp:effectExtent l="0" t="0" r="0" b="8255"/>
          <wp:wrapSquare wrapText="bothSides"/>
          <wp:docPr id="1" name="图片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026"/>
                  <pic:cNvPicPr>
                    <a:picLocks noChangeAspect="1"/>
                  </pic:cNvPicPr>
                </pic:nvPicPr>
                <pic:blipFill>
                  <a:blip r:embed="rId1"/>
                  <a:stretch>
                    <a:fillRect/>
                  </a:stretch>
                </pic:blipFill>
                <pic:spPr>
                  <a:xfrm>
                    <a:off x="0" y="0"/>
                    <a:ext cx="1257300" cy="398145"/>
                  </a:xfrm>
                  <a:prstGeom prst="rect">
                    <a:avLst/>
                  </a:prstGeom>
                  <a:solidFill>
                    <a:srgbClr val="FFCC99"/>
                  </a:solid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A16679"/>
    <w:rsid w:val="02474A49"/>
    <w:rsid w:val="07780B4E"/>
    <w:rsid w:val="121F3B72"/>
    <w:rsid w:val="13E13A2C"/>
    <w:rsid w:val="18680FCE"/>
    <w:rsid w:val="18F75C82"/>
    <w:rsid w:val="1BD313B3"/>
    <w:rsid w:val="1FD31DC3"/>
    <w:rsid w:val="24FD0ABB"/>
    <w:rsid w:val="2BF92F32"/>
    <w:rsid w:val="2E690493"/>
    <w:rsid w:val="30234286"/>
    <w:rsid w:val="32086A25"/>
    <w:rsid w:val="41FC65D1"/>
    <w:rsid w:val="42B80EC5"/>
    <w:rsid w:val="4F9A5955"/>
    <w:rsid w:val="52077FA0"/>
    <w:rsid w:val="55602630"/>
    <w:rsid w:val="607C76DB"/>
    <w:rsid w:val="60BC0B6F"/>
    <w:rsid w:val="6136629E"/>
    <w:rsid w:val="659F6D43"/>
    <w:rsid w:val="69A166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首行缩进"/>
    <w:basedOn w:val="1"/>
    <w:qFormat/>
    <w:uiPriority w:val="0"/>
    <w:pPr>
      <w:spacing w:line="360" w:lineRule="auto"/>
      <w:ind w:firstLine="480" w:firstLineChars="200"/>
    </w:pPr>
    <w:rPr>
      <w:rFonts w:ascii="宋体" w:hAnsi="宋体" w:cs="宋体"/>
      <w:kern w:val="0"/>
      <w:sz w:val="24"/>
    </w:rPr>
  </w:style>
  <w:style w:type="paragraph" w:styleId="4">
    <w:name w:val="Plain Text"/>
    <w:basedOn w:val="1"/>
    <w:qFormat/>
    <w:uiPriority w:val="0"/>
    <w:rPr>
      <w:rFonts w:ascii="宋体" w:hAnsi="Courier New"/>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spacing w:line="360" w:lineRule="auto"/>
      <w:jc w:val="left"/>
    </w:pPr>
    <w:rPr>
      <w:rFonts w:ascii="宋体" w:hAnsi="宋体"/>
      <w:b/>
      <w:caps/>
      <w:color w:val="FF0000"/>
      <w:szCs w:val="21"/>
    </w:rPr>
  </w:style>
  <w:style w:type="character" w:styleId="10">
    <w:name w:val="page number"/>
    <w:basedOn w:val="9"/>
    <w:qFormat/>
    <w:uiPriority w:val="0"/>
  </w:style>
  <w:style w:type="character" w:styleId="11">
    <w:name w:val="Hyperlink"/>
    <w:qFormat/>
    <w:uiPriority w:val="99"/>
    <w:rPr>
      <w:rFonts w:cs="Times New Roman"/>
      <w:color w:val="1F4F8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2025-03-26T01:53:00Z</dcterms:created>
  <dc:creator>卢阳巧</dc:creator>
  <cp:lastModifiedBy>卢阳巧</cp:lastModifiedBy>
  <dcterms:modified xsi:type="dcterms:W3CDTF">2025-03-26T02:22:51Z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3FF8F691758E4EAB88CE3FE2126698E8</vt:lpwstr>
  </property>
</Properties>
</file>