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济南发动机厂拧紧设备改造技改项目</w:t>
      </w:r>
    </w:p>
    <w:p>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济南发动机厂拧紧设备改造技改项目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CGZX2025020131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lang w:val="en-US" w:eastAsia="zh-CN"/>
              </w:rPr>
              <w:t xml:space="preserve">济南发动机厂减震器轮毂分装拧紧设备改造、机油模块自动拧紧设备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高波</w:t>
            </w:r>
          </w:p>
          <w:p>
            <w:pPr>
              <w:pStyle w:val="17"/>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17860607157</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gaobo1@sinotruk.com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140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400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（如投标人公司没有经审计的财务报告，可提供加盖公章的近</w:t>
            </w:r>
            <w:r>
              <w:rPr>
                <w:rFonts w:hint="eastAsia" w:hAnsi="宋体" w:eastAsia="宋体" w:cs="宋体"/>
                <w:color w:val="000000"/>
                <w:sz w:val="24"/>
                <w:szCs w:val="24"/>
                <w:highlight w:val="none"/>
                <w:lang w:val="en-US" w:eastAsia="zh-CN"/>
              </w:rPr>
              <w:t>三</w:t>
            </w:r>
            <w:r>
              <w:rPr>
                <w:rFonts w:hint="eastAsia" w:hAnsi="宋体" w:eastAsia="宋体" w:cs="宋体"/>
                <w:color w:val="000000"/>
                <w:sz w:val="24"/>
                <w:szCs w:val="24"/>
                <w:highlight w:val="none"/>
              </w:rPr>
              <w:t>年财务报表，包括但不限于资产负债表、利润表、现金流量表）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w:t>
            </w:r>
            <w:r>
              <w:rPr>
                <w:rFonts w:hint="eastAsia" w:hAnsi="宋体" w:eastAsia="宋体" w:cs="宋体"/>
                <w:color w:val="000000"/>
                <w:sz w:val="24"/>
                <w:szCs w:val="24"/>
                <w:lang w:eastAsia="zh-CN"/>
              </w:rPr>
              <w:t>（</w:t>
            </w:r>
            <w:r>
              <w:rPr>
                <w:rFonts w:hint="eastAsia" w:hAnsi="宋体" w:eastAsia="宋体" w:cs="宋体"/>
                <w:color w:val="000000"/>
                <w:sz w:val="24"/>
                <w:szCs w:val="24"/>
                <w:lang w:val="en-US" w:eastAsia="zh-CN"/>
              </w:rPr>
              <w:t>招标方判定</w:t>
            </w:r>
            <w:r>
              <w:rPr>
                <w:rFonts w:hint="eastAsia" w:hAnsi="宋体" w:eastAsia="宋体" w:cs="宋体"/>
                <w:color w:val="000000"/>
                <w:sz w:val="24"/>
                <w:szCs w:val="24"/>
                <w:lang w:eastAsia="zh-CN"/>
              </w:rPr>
              <w:t>）</w:t>
            </w:r>
            <w:r>
              <w:rPr>
                <w:rFonts w:hint="eastAsia" w:hAnsi="宋体" w:eastAsia="宋体" w:cs="宋体"/>
                <w:color w:val="000000"/>
                <w:sz w:val="24"/>
                <w:szCs w:val="24"/>
              </w:rPr>
              <w:t>，</w:t>
            </w:r>
            <w:r>
              <w:rPr>
                <w:rFonts w:hint="eastAsia" w:hAnsi="宋体" w:eastAsia="宋体" w:cs="宋体"/>
                <w:color w:val="000000"/>
                <w:sz w:val="24"/>
                <w:szCs w:val="24"/>
                <w:lang w:val="en-US" w:eastAsia="zh-CN"/>
              </w:rPr>
              <w:t>业绩不少于三个（需出示合同）</w:t>
            </w:r>
            <w:r>
              <w:rPr>
                <w:rFonts w:hint="eastAsia" w:hAnsi="宋体" w:eastAsia="宋体" w:cs="宋体"/>
                <w:color w:val="000000"/>
                <w:sz w:val="24"/>
                <w:szCs w:val="24"/>
                <w:lang w:eastAsia="zh-CN"/>
              </w:rPr>
              <w:t>，</w:t>
            </w:r>
            <w:r>
              <w:rPr>
                <w:rFonts w:hint="eastAsia" w:hAnsi="宋体" w:eastAsia="宋体" w:cs="宋体"/>
                <w:color w:val="000000"/>
                <w:sz w:val="24"/>
                <w:szCs w:val="24"/>
              </w:rPr>
              <w:t>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14.本项目不接受代理投标。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2</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11</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13</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3月13</w:t>
            </w:r>
            <w:r>
              <w:rPr>
                <w:rFonts w:hint="eastAsia" w:eastAsia="宋体" w:cs="宋体"/>
                <w:highlight w:val="yellow"/>
              </w:rPr>
              <w:t>日</w:t>
            </w:r>
            <w:r>
              <w:rPr>
                <w:rFonts w:hint="eastAsia" w:eastAsia="宋体" w:cs="宋体"/>
                <w:highlight w:val="yellow"/>
                <w:lang w:val="en-US" w:eastAsia="zh-CN"/>
              </w:rPr>
              <w:t>17时00分00秒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w:t>
            </w:r>
            <w:bookmarkStart w:id="174" w:name="_GoBack"/>
            <w:bookmarkEnd w:id="174"/>
            <w:r>
              <w:rPr>
                <w:rFonts w:hint="eastAsia" w:eastAsia="宋体" w:cs="宋体"/>
                <w:b w:val="0"/>
                <w:bCs/>
                <w:color w:val="auto"/>
                <w:sz w:val="24"/>
                <w:szCs w:val="24"/>
                <w:highlight w:val="none"/>
              </w:rPr>
              <w:t>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17"/>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高波/17860607157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3"/>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3月18</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20000.00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3月13</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3月18</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w:t>
            </w:r>
            <w:r>
              <w:rPr>
                <w:rFonts w:hint="eastAsia" w:ascii="宋体" w:hAnsi="宋体" w:eastAsia="宋体" w:cs="宋体"/>
                <w:b/>
                <w:bCs/>
                <w:color w:val="auto"/>
                <w:sz w:val="24"/>
                <w:szCs w:val="24"/>
                <w:highlight w:val="magenta"/>
                <w:lang w:val="en-US" w:eastAsia="zh-CN"/>
              </w:rPr>
              <w:t>综合评分最高者</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sz w:val="24"/>
                <w:szCs w:val="24"/>
                <w:highlight w:val="magenta"/>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int="eastAsia" w:hAnsi="宋体" w:eastAsia="宋体" w:cs="宋体"/>
                <w:color w:val="000000"/>
                <w:sz w:val="24"/>
                <w:szCs w:val="24"/>
                <w:highlight w:val="yellow"/>
                <w:lang w:val="en-US" w:eastAsia="zh-CN"/>
              </w:rPr>
              <w:t>100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pPr>
              <w:pStyle w:val="17"/>
              <w:ind w:firstLine="480" w:firstLineChars="200"/>
              <w:rPr>
                <w:rFonts w:hint="eastAsia" w:hAnsi="宋体" w:eastAsia="宋体" w:cs="宋体"/>
                <w:color w:val="000000"/>
                <w:sz w:val="24"/>
                <w:szCs w:val="24"/>
              </w:rPr>
            </w:pPr>
            <w:r>
              <w:rPr>
                <w:rFonts w:hint="eastAsia" w:ascii="宋体" w:hAnsi="宋体" w:eastAsia="宋体" w:cs="宋体"/>
                <w:sz w:val="24"/>
                <w:szCs w:val="24"/>
                <w:highlight w:val="yellow"/>
              </w:rPr>
              <w:t>接续</w:t>
            </w:r>
            <w:r>
              <w:rPr>
                <w:rFonts w:hint="eastAsia" w:hAnsi="宋体" w:eastAsia="宋体" w:cs="宋体"/>
                <w:sz w:val="24"/>
                <w:szCs w:val="24"/>
                <w:highlight w:val="yellow"/>
                <w:u w:val="none"/>
                <w:shd w:val="clear" w:color="auto" w:fill="FFFFFF"/>
                <w:lang w:val="en-US" w:eastAsia="zh-CN"/>
              </w:rPr>
              <w:t>15</w:t>
            </w:r>
            <w:r>
              <w:rPr>
                <w:rFonts w:hint="eastAsia" w:ascii="宋体" w:hAnsi="宋体" w:eastAsia="宋体" w:cs="宋体"/>
                <w:sz w:val="24"/>
                <w:szCs w:val="24"/>
                <w:highlight w:val="yellow"/>
              </w:rPr>
              <w:t>个日历日之内安装调试完毕</w:t>
            </w:r>
            <w:r>
              <w:rPr>
                <w:rFonts w:hint="eastAsia" w:ascii="宋体" w:hAnsi="宋体" w:eastAsia="宋体" w:cs="宋体"/>
                <w:sz w:val="24"/>
                <w:szCs w:val="24"/>
                <w:highlight w:val="yellow"/>
                <w:lang w:val="en-US" w:eastAsia="zh-CN"/>
              </w:rPr>
              <w:t>。</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int="eastAsia" w:hAnsi="宋体" w:eastAsia="宋体" w:cs="宋体"/>
                <w:color w:val="000000"/>
                <w:sz w:val="24"/>
                <w:szCs w:val="24"/>
                <w:highlight w:val="yellow"/>
                <w:lang w:val="en-US" w:eastAsia="zh-CN"/>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w:t>
            </w:r>
            <w:r>
              <w:rPr>
                <w:rFonts w:hint="eastAsia" w:ascii="宋体" w:hAnsi="宋体" w:eastAsia="宋体" w:cs="宋体"/>
                <w:color w:val="000000"/>
                <w:sz w:val="24"/>
                <w:szCs w:val="24"/>
                <w:u w:val="single"/>
                <w:lang w:val="en-US" w:eastAsia="zh-CN"/>
              </w:rPr>
              <w:t>章丘区济南市章丘区圣井镇重汽工业园济南发动机厂</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lang w:val="en-US" w:eastAsia="zh-CN"/>
              </w:rPr>
              <w:t>合同生效</w:t>
            </w:r>
            <w:r>
              <w:rPr>
                <w:rFonts w:hint="eastAsia" w:ascii="宋体" w:hAnsi="宋体" w:cs="宋体"/>
                <w:sz w:val="24"/>
                <w:szCs w:val="24"/>
              </w:rPr>
              <w:t>后，卖方开具金额为该合同设备价格</w:t>
            </w:r>
            <w:r>
              <w:rPr>
                <w:rFonts w:hint="eastAsia" w:ascii="宋体" w:hAnsi="宋体" w:cs="宋体"/>
                <w:sz w:val="24"/>
                <w:szCs w:val="24"/>
                <w:lang w:val="en-US" w:eastAsia="zh-CN"/>
              </w:rPr>
              <w:t>30</w:t>
            </w:r>
            <w:r>
              <w:rPr>
                <w:rFonts w:hint="eastAsia" w:ascii="宋体" w:hAnsi="宋体" w:cs="宋体"/>
                <w:sz w:val="24"/>
                <w:szCs w:val="24"/>
              </w:rPr>
              <w:t>%的增值税专用发票带</w:t>
            </w:r>
            <w:r>
              <w:rPr>
                <w:rFonts w:hint="eastAsia" w:ascii="宋体" w:hAnsi="宋体" w:cs="宋体"/>
                <w:sz w:val="24"/>
                <w:szCs w:val="24"/>
                <w:lang w:val="en-US" w:eastAsia="zh-CN"/>
              </w:rPr>
              <w:t>30</w:t>
            </w:r>
            <w:r>
              <w:rPr>
                <w:rFonts w:hint="eastAsia" w:ascii="宋体" w:hAnsi="宋体" w:cs="宋体"/>
                <w:sz w:val="24"/>
                <w:szCs w:val="24"/>
              </w:rPr>
              <w:t>%的收据（含复印件二份），经买方依照财务制度审核无误后30个工作日支付合同价款的</w:t>
            </w:r>
            <w:r>
              <w:rPr>
                <w:rFonts w:hint="eastAsia" w:ascii="宋体" w:hAnsi="宋体" w:cs="宋体"/>
                <w:sz w:val="24"/>
                <w:szCs w:val="24"/>
                <w:lang w:val="en-US" w:eastAsia="zh-CN"/>
              </w:rPr>
              <w:t>30</w:t>
            </w:r>
            <w:r>
              <w:rPr>
                <w:rFonts w:hint="eastAsia" w:ascii="宋体" w:hAnsi="宋体" w:cs="宋体"/>
                <w:sz w:val="24"/>
                <w:szCs w:val="24"/>
              </w:rPr>
              <w:t>%。</w:t>
            </w:r>
          </w:p>
          <w:p>
            <w:pPr>
              <w:pStyle w:val="35"/>
              <w:numPr>
                <w:ilvl w:val="0"/>
                <w:numId w:val="2"/>
              </w:numPr>
              <w:spacing w:after="0" w:line="240" w:lineRule="auto"/>
              <w:ind w:left="0" w:leftChars="0" w:firstLine="480"/>
              <w:rPr>
                <w:rFonts w:ascii="宋体" w:hAnsi="宋体" w:cs="宋体"/>
                <w:sz w:val="24"/>
                <w:szCs w:val="24"/>
              </w:rPr>
            </w:pPr>
            <w:r>
              <w:rPr>
                <w:rFonts w:hint="eastAsia" w:ascii="宋体" w:hAnsi="宋体" w:cs="宋体"/>
                <w:sz w:val="24"/>
                <w:szCs w:val="24"/>
              </w:rPr>
              <w:t>设备全部到齐，经现场安装、调试、</w:t>
            </w:r>
            <w:r>
              <w:rPr>
                <w:rFonts w:hint="eastAsia" w:ascii="宋体" w:hAnsi="宋体" w:cs="宋体"/>
                <w:sz w:val="24"/>
                <w:szCs w:val="24"/>
                <w:lang w:val="en-US" w:eastAsia="zh-CN"/>
              </w:rPr>
              <w:t>终</w:t>
            </w:r>
            <w:r>
              <w:rPr>
                <w:rFonts w:hint="eastAsia" w:ascii="宋体" w:hAnsi="宋体" w:cs="宋体"/>
                <w:sz w:val="24"/>
                <w:szCs w:val="24"/>
              </w:rPr>
              <w:t>验收合格交付使用后，卖方提交金额为合同价款</w:t>
            </w:r>
            <w:r>
              <w:rPr>
                <w:rFonts w:hint="eastAsia" w:ascii="宋体" w:hAnsi="宋体" w:cs="宋体"/>
                <w:sz w:val="24"/>
                <w:szCs w:val="24"/>
                <w:lang w:val="en-US" w:eastAsia="zh-CN"/>
              </w:rPr>
              <w:t>60</w:t>
            </w:r>
            <w:r>
              <w:rPr>
                <w:rFonts w:hint="eastAsia" w:ascii="宋体" w:hAnsi="宋体" w:cs="宋体"/>
                <w:sz w:val="24"/>
                <w:szCs w:val="24"/>
              </w:rPr>
              <w:t>%的收据并附带下列单据，经买方依照财务制度审核无误后30个工作日支付合同价款的</w:t>
            </w:r>
            <w:r>
              <w:rPr>
                <w:rFonts w:hint="eastAsia" w:ascii="宋体" w:hAnsi="宋体" w:cs="宋体"/>
                <w:sz w:val="24"/>
                <w:szCs w:val="24"/>
                <w:lang w:val="en-US" w:eastAsia="zh-CN"/>
              </w:rPr>
              <w:t>6</w:t>
            </w:r>
            <w:r>
              <w:rPr>
                <w:rFonts w:hint="eastAsia" w:ascii="宋体" w:hAnsi="宋体" w:cs="宋体"/>
                <w:sz w:val="24"/>
                <w:szCs w:val="24"/>
              </w:rPr>
              <w:t>0%。</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a.金额为该合同设备价格</w:t>
            </w:r>
            <w:r>
              <w:rPr>
                <w:rFonts w:hint="eastAsia" w:ascii="宋体" w:hAnsi="宋体" w:cs="宋体"/>
                <w:sz w:val="24"/>
                <w:szCs w:val="24"/>
                <w:lang w:val="en-US" w:eastAsia="zh-CN"/>
              </w:rPr>
              <w:t>70</w:t>
            </w:r>
            <w:r>
              <w:rPr>
                <w:rFonts w:hint="eastAsia" w:ascii="宋体" w:hAnsi="宋体" w:cs="宋体"/>
                <w:sz w:val="24"/>
                <w:szCs w:val="24"/>
              </w:rPr>
              <w:t>%的增值税专用发票（含复印件二份），具体开票信息详见发票信息表，根据表中所列分别开具增值税发票。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rPr>
            </w:pPr>
            <w:r>
              <w:rPr>
                <w:rFonts w:hint="eastAsia" w:ascii="宋体" w:hAnsi="宋体" w:cs="宋体"/>
                <w:sz w:val="24"/>
                <w:szCs w:val="24"/>
              </w:rPr>
              <w:t>b.该套设备最终验收报告的原件及其复印件两份。</w:t>
            </w:r>
          </w:p>
          <w:p>
            <w:pPr>
              <w:pStyle w:val="35"/>
              <w:numPr>
                <w:ilvl w:val="0"/>
                <w:numId w:val="2"/>
              </w:numPr>
              <w:adjustRightInd w:val="0"/>
              <w:spacing w:after="0" w:line="240" w:lineRule="auto"/>
              <w:ind w:left="0" w:leftChars="0" w:firstLine="480"/>
              <w:rPr>
                <w:rFonts w:ascii="宋体" w:hAnsi="宋体" w:cs="宋体"/>
                <w:sz w:val="24"/>
                <w:szCs w:val="24"/>
              </w:rPr>
            </w:pPr>
            <w:r>
              <w:rPr>
                <w:rFonts w:hint="eastAsia" w:ascii="宋体" w:hAnsi="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653"/>
      <w:bookmarkStart w:id="7" w:name="_Toc33267001"/>
      <w:bookmarkStart w:id="8" w:name="_Toc33266914"/>
      <w:bookmarkStart w:id="9" w:name="_Toc33266627"/>
      <w:bookmarkStart w:id="10" w:name="_Toc33266950"/>
      <w:bookmarkStart w:id="11" w:name="_Toc33265752"/>
      <w:bookmarkStart w:id="12" w:name="_Toc3328548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66628"/>
      <w:bookmarkStart w:id="15" w:name="_Toc395116634"/>
      <w:bookmarkStart w:id="16" w:name="_Toc33267002"/>
      <w:bookmarkStart w:id="17" w:name="_Toc33265753"/>
      <w:bookmarkStart w:id="18" w:name="_Toc33285489"/>
      <w:bookmarkStart w:id="19" w:name="_Toc33265654"/>
      <w:bookmarkStart w:id="20" w:name="_Toc33266951"/>
      <w:bookmarkStart w:id="21" w:name="_Toc33266915"/>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w:t>
      </w:r>
      <w:r>
        <w:rPr>
          <w:rFonts w:hint="eastAsia" w:ascii="宋体" w:hAnsi="宋体" w:eastAsia="宋体" w:cs="宋体"/>
          <w:b/>
          <w:bCs/>
          <w:color w:val="auto"/>
          <w:sz w:val="24"/>
          <w:szCs w:val="24"/>
          <w:highlight w:val="magenta"/>
          <w:lang w:val="en-US" w:eastAsia="zh-CN"/>
        </w:rPr>
        <w:t>综合评分最高的投标方</w:t>
      </w:r>
      <w:r>
        <w:rPr>
          <w:rFonts w:hint="eastAsia" w:ascii="宋体" w:hAnsi="宋体" w:eastAsia="宋体" w:cs="宋体"/>
          <w:b/>
          <w:color w:val="auto"/>
          <w:sz w:val="24"/>
          <w:szCs w:val="24"/>
          <w:highlight w:val="magenta"/>
          <w:lang w:val="en-US" w:eastAsia="zh-CN"/>
        </w:rPr>
        <w:t>中标</w:t>
      </w:r>
      <w:r>
        <w:rPr>
          <w:rFonts w:hint="eastAsia" w:ascii="宋体" w:hAnsi="宋体" w:eastAsia="宋体" w:cs="宋体"/>
          <w:b/>
          <w:color w:val="auto"/>
          <w:sz w:val="24"/>
          <w:szCs w:val="24"/>
          <w:highlight w:val="magenta"/>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8"/>
      <w:bookmarkStart w:id="24" w:name="OLE_LINK29"/>
      <w:bookmarkStart w:id="25" w:name="OLE_LINK26"/>
      <w:bookmarkStart w:id="26" w:name="OLE_LINK27"/>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17"/>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9"/>
      <w:bookmarkStart w:id="31" w:name="OLE_LINK18"/>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pPr>
        <w:pStyle w:val="17"/>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济南发动机厂拧紧设备改造技改项目</w:t>
      </w:r>
    </w:p>
    <w:p>
      <w:pPr>
        <w:pStyle w:val="17"/>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2月</w:t>
      </w:r>
    </w:p>
    <w:p>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pPr>
        <w:pStyle w:val="2"/>
        <w:spacing w:before="120" w:after="120" w:line="480" w:lineRule="exact"/>
        <w:jc w:val="center"/>
        <w:rPr>
          <w:rFonts w:hint="eastAsia" w:ascii="黑体" w:eastAsia="黑体"/>
          <w:b w:val="0"/>
          <w:sz w:val="24"/>
          <w:szCs w:val="24"/>
        </w:rPr>
      </w:pPr>
      <w:bookmarkStart w:id="33" w:name="_Toc1271"/>
      <w:bookmarkStart w:id="34" w:name="_Toc137705865"/>
      <w:bookmarkStart w:id="35" w:name="_Toc28854"/>
      <w:bookmarkStart w:id="36" w:name="_Toc2567"/>
      <w:bookmarkStart w:id="37" w:name="_Toc2894"/>
      <w:bookmarkStart w:id="38" w:name="_Toc169605877"/>
      <w:bookmarkStart w:id="39" w:name="_Toc465187648"/>
      <w:r>
        <w:rPr>
          <w:rFonts w:hint="eastAsia" w:ascii="黑体" w:eastAsia="黑体"/>
          <w:b w:val="0"/>
          <w:sz w:val="24"/>
          <w:szCs w:val="24"/>
        </w:rPr>
        <w:t>第一章  采购货物概况</w:t>
      </w:r>
      <w:bookmarkEnd w:id="33"/>
      <w:bookmarkEnd w:id="34"/>
      <w:bookmarkEnd w:id="35"/>
      <w:bookmarkEnd w:id="36"/>
      <w:bookmarkEnd w:id="37"/>
    </w:p>
    <w:p>
      <w:pPr>
        <w:spacing w:line="480" w:lineRule="exact"/>
        <w:rPr>
          <w:rFonts w:hint="eastAsia" w:ascii="黑体" w:hAnsi="宋体" w:eastAsia="黑体"/>
        </w:rPr>
      </w:pPr>
    </w:p>
    <w:p>
      <w:pPr>
        <w:pStyle w:val="4"/>
        <w:spacing w:before="120" w:after="120" w:line="480" w:lineRule="exact"/>
        <w:jc w:val="center"/>
        <w:rPr>
          <w:rFonts w:hint="eastAsia"/>
          <w:b w:val="0"/>
          <w:sz w:val="24"/>
          <w:szCs w:val="24"/>
        </w:rPr>
      </w:pPr>
      <w:bookmarkStart w:id="40" w:name="_Toc13530"/>
      <w:bookmarkStart w:id="41" w:name="_Toc9247"/>
      <w:bookmarkStart w:id="42" w:name="_Toc137705866"/>
      <w:bookmarkStart w:id="43" w:name="_Toc24900"/>
      <w:bookmarkStart w:id="44" w:name="_Toc13953"/>
      <w:r>
        <w:rPr>
          <w:rFonts w:hint="eastAsia"/>
          <w:b w:val="0"/>
          <w:sz w:val="24"/>
          <w:szCs w:val="24"/>
        </w:rPr>
        <w:t>第一节  使用环境</w:t>
      </w:r>
      <w:bookmarkEnd w:id="40"/>
      <w:bookmarkEnd w:id="41"/>
      <w:bookmarkEnd w:id="42"/>
      <w:bookmarkEnd w:id="43"/>
      <w:bookmarkEnd w:id="44"/>
    </w:p>
    <w:p>
      <w:pPr>
        <w:spacing w:line="480" w:lineRule="exact"/>
        <w:ind w:firstLine="420" w:firstLineChars="200"/>
        <w:rPr>
          <w:rFonts w:hint="eastAsia" w:ascii="黑体" w:hAnsi="宋体" w:eastAsia="黑体"/>
          <w:u w:val="single"/>
          <w:shd w:val="pct10" w:color="auto" w:fill="FFFFFF"/>
        </w:rPr>
      </w:pPr>
      <w:r>
        <w:rPr>
          <w:rFonts w:hint="eastAsia" w:ascii="黑体" w:hAnsi="宋体" w:eastAsia="黑体"/>
        </w:rPr>
        <w:t>一、项目名称：</w:t>
      </w:r>
      <w:r>
        <w:rPr>
          <w:rFonts w:hint="eastAsia" w:ascii="黑体" w:hAnsi="宋体" w:eastAsia="黑体"/>
          <w:u w:val="single"/>
          <w:shd w:val="pct10" w:color="auto" w:fill="FFFFFF"/>
        </w:rPr>
        <w:t xml:space="preserve"> </w:t>
      </w:r>
      <w:r>
        <w:rPr>
          <w:rFonts w:hint="eastAsia" w:ascii="宋体" w:hAnsi="宋体" w:eastAsia="宋体" w:cs="Times New Roman"/>
          <w:u w:val="single"/>
          <w:shd w:val="pct10" w:color="auto" w:fill="FFFFFF"/>
          <w:lang w:val="en-US" w:eastAsia="zh-CN"/>
        </w:rPr>
        <w:t>济南发动机厂拧紧设备改造技改项目</w:t>
      </w:r>
      <w:r>
        <w:rPr>
          <w:rFonts w:hint="eastAsia" w:ascii="宋体" w:hAnsi="宋体"/>
          <w:u w:val="single"/>
          <w:shd w:val="pct10" w:color="auto" w:fill="FFFFFF"/>
        </w:rPr>
        <w:t xml:space="preserve">  </w:t>
      </w:r>
      <w:r>
        <w:rPr>
          <w:rFonts w:hint="eastAsia" w:ascii="黑体" w:hAnsi="宋体" w:eastAsia="黑体"/>
          <w:u w:val="single"/>
          <w:shd w:val="pct10" w:color="auto" w:fill="FFFFFF"/>
        </w:rPr>
        <w:t xml:space="preserve">         </w:t>
      </w:r>
    </w:p>
    <w:p>
      <w:pPr>
        <w:spacing w:line="480" w:lineRule="exact"/>
        <w:ind w:firstLine="420" w:firstLineChars="200"/>
        <w:rPr>
          <w:rFonts w:hint="eastAsia" w:ascii="宋体" w:hAnsi="宋体"/>
        </w:rPr>
      </w:pPr>
      <w:r>
        <w:rPr>
          <w:rFonts w:hint="eastAsia" w:ascii="黑体" w:hAnsi="宋体" w:eastAsia="黑体"/>
        </w:rPr>
        <w:t>二、建设地点：</w:t>
      </w:r>
      <w:r>
        <w:rPr>
          <w:rFonts w:hint="eastAsia" w:ascii="宋体" w:hAnsi="宋体"/>
          <w:u w:val="single"/>
          <w:shd w:val="pct10" w:color="auto" w:fill="FFFFFF"/>
        </w:rPr>
        <w:t xml:space="preserve"> </w:t>
      </w:r>
      <w:r>
        <w:rPr>
          <w:rFonts w:hint="eastAsia" w:ascii="宋体" w:hAnsi="宋体"/>
          <w:highlight w:val="none"/>
          <w:u w:val="single"/>
          <w:shd w:val="pct10" w:color="auto" w:fill="FFFFFF"/>
          <w:lang w:val="en-US" w:eastAsia="zh-CN"/>
        </w:rPr>
        <w:t>济南市章丘区</w:t>
      </w:r>
      <w:r>
        <w:rPr>
          <w:rFonts w:hint="eastAsia" w:ascii="宋体" w:hAnsi="宋体"/>
          <w:highlight w:val="none"/>
          <w:u w:val="single"/>
          <w:shd w:val="pct10" w:color="auto" w:fill="FFFFFF"/>
        </w:rPr>
        <w:t xml:space="preserve">圣井镇重汽工业园 </w:t>
      </w:r>
      <w:r>
        <w:rPr>
          <w:rFonts w:hint="eastAsia" w:ascii="宋体" w:hAnsi="宋体"/>
          <w:u w:val="single"/>
          <w:shd w:val="pct10" w:color="auto" w:fill="FFFFFF"/>
        </w:rPr>
        <w:t xml:space="preserve">    </w:t>
      </w:r>
    </w:p>
    <w:p>
      <w:pPr>
        <w:spacing w:line="480" w:lineRule="exact"/>
        <w:ind w:firstLine="420" w:firstLineChars="200"/>
        <w:rPr>
          <w:rFonts w:hint="eastAsia" w:ascii="宋体" w:hAnsi="宋体"/>
          <w:u w:val="single"/>
          <w:shd w:val="pct10" w:color="auto" w:fill="FFFFFF"/>
        </w:rPr>
      </w:pPr>
      <w:r>
        <w:rPr>
          <w:rFonts w:hint="eastAsia" w:ascii="黑体" w:hAnsi="宋体" w:eastAsia="黑体"/>
        </w:rPr>
        <w:t>三、使用地点：</w:t>
      </w:r>
      <w:r>
        <w:rPr>
          <w:rFonts w:hint="eastAsia" w:ascii="宋体" w:hAnsi="宋体"/>
          <w:u w:val="single"/>
          <w:shd w:val="pct10" w:color="auto" w:fill="FFFFFF"/>
        </w:rPr>
        <w:t xml:space="preserve"> </w:t>
      </w:r>
      <w:r>
        <w:rPr>
          <w:rFonts w:hint="eastAsia" w:ascii="宋体" w:hAnsi="宋体" w:eastAsia="宋体" w:cs="Times New Roman"/>
          <w:highlight w:val="none"/>
          <w:u w:val="single"/>
          <w:shd w:val="pct10" w:color="auto" w:fill="FFFFFF"/>
        </w:rPr>
        <w:t>中国重汽济南发动机厂</w:t>
      </w:r>
      <w:r>
        <w:rPr>
          <w:rFonts w:hint="eastAsia" w:ascii="宋体" w:hAnsi="宋体"/>
          <w:highlight w:val="none"/>
          <w:u w:val="single"/>
          <w:shd w:val="pct10" w:color="auto" w:fill="FFFFFF"/>
        </w:rPr>
        <w:t xml:space="preserve">   </w:t>
      </w:r>
    </w:p>
    <w:p>
      <w:pPr>
        <w:spacing w:line="480" w:lineRule="exact"/>
        <w:ind w:firstLine="420" w:firstLineChars="200"/>
        <w:rPr>
          <w:rFonts w:hint="eastAsia" w:ascii="宋体" w:hAnsi="宋体"/>
        </w:rPr>
      </w:pPr>
      <w:r>
        <w:rPr>
          <w:rFonts w:hint="eastAsia" w:ascii="黑体" w:hAnsi="宋体" w:eastAsia="黑体"/>
        </w:rPr>
        <w:t>四、工作制度：</w:t>
      </w:r>
      <w:r>
        <w:rPr>
          <w:rFonts w:hint="eastAsia" w:ascii="宋体" w:hAnsi="宋体"/>
        </w:rPr>
        <w:t>全年工作250天、</w:t>
      </w:r>
      <w:r>
        <w:rPr>
          <w:rFonts w:hint="eastAsia" w:ascii="宋体" w:hAnsi="宋体"/>
          <w:highlight w:val="none"/>
          <w:u w:val="single"/>
          <w:shd w:val="pct10" w:color="auto" w:fill="FFFFFF"/>
        </w:rPr>
        <w:t xml:space="preserve">   3  </w:t>
      </w:r>
      <w:r>
        <w:rPr>
          <w:rFonts w:hint="eastAsia" w:ascii="宋体" w:hAnsi="宋体"/>
        </w:rPr>
        <w:t>班制、设备年时基数</w:t>
      </w:r>
      <w:r>
        <w:rPr>
          <w:rFonts w:hint="eastAsia" w:ascii="宋体" w:hAnsi="宋体"/>
          <w:u w:val="single"/>
          <w:shd w:val="pct10" w:color="auto" w:fill="FFFFFF"/>
        </w:rPr>
        <w:t xml:space="preserve"> 5000 </w:t>
      </w:r>
      <w:r>
        <w:rPr>
          <w:rFonts w:hint="eastAsia" w:ascii="宋体" w:hAnsi="宋体"/>
        </w:rPr>
        <w:t>小时</w:t>
      </w:r>
    </w:p>
    <w:p>
      <w:pPr>
        <w:spacing w:line="480" w:lineRule="exact"/>
        <w:ind w:firstLine="420" w:firstLineChars="200"/>
        <w:rPr>
          <w:rFonts w:hint="eastAsia" w:ascii="黑体" w:hAnsi="宋体" w:eastAsia="黑体"/>
        </w:rPr>
      </w:pPr>
      <w:r>
        <w:rPr>
          <w:rFonts w:hint="eastAsia" w:ascii="黑体" w:hAnsi="宋体" w:eastAsia="黑体"/>
        </w:rPr>
        <w:t>五、使用地点区域自然环境：</w:t>
      </w:r>
    </w:p>
    <w:p>
      <w:pPr>
        <w:spacing w:line="480" w:lineRule="exact"/>
        <w:ind w:firstLine="420" w:firstLineChars="200"/>
        <w:rPr>
          <w:rFonts w:hint="eastAsia" w:ascii="宋体" w:hAnsi="宋体"/>
        </w:rPr>
      </w:pPr>
      <w:r>
        <w:rPr>
          <w:rFonts w:hint="eastAsia" w:ascii="宋体" w:hAnsi="宋体"/>
          <w:bCs/>
        </w:rPr>
        <w:t>1、</w:t>
      </w:r>
      <w:r>
        <w:rPr>
          <w:rFonts w:hint="eastAsia" w:ascii="宋体" w:hAnsi="宋体"/>
          <w:bCs/>
          <w:highlight w:val="none"/>
          <w:lang w:val="en-US" w:eastAsia="zh-CN"/>
        </w:rPr>
        <w:t>海拔</w:t>
      </w:r>
      <w:r>
        <w:rPr>
          <w:rFonts w:hint="eastAsia" w:ascii="宋体" w:hAnsi="宋体"/>
          <w:bCs/>
          <w:highlight w:val="none"/>
        </w:rPr>
        <w:t>高度</w:t>
      </w:r>
      <w:r>
        <w:rPr>
          <w:rFonts w:hint="eastAsia" w:ascii="宋体" w:hAnsi="宋体"/>
          <w:bCs/>
        </w:rPr>
        <w:t>：1000</w:t>
      </w:r>
      <w:r>
        <w:rPr>
          <w:rFonts w:ascii="宋体" w:hAnsi="宋体"/>
          <w:bCs/>
        </w:rPr>
        <w:t>m</w:t>
      </w:r>
      <w:r>
        <w:rPr>
          <w:rFonts w:hint="eastAsia" w:ascii="宋体" w:hAnsi="宋体"/>
          <w:bCs/>
        </w:rPr>
        <w:t>以下</w:t>
      </w:r>
    </w:p>
    <w:p>
      <w:pPr>
        <w:spacing w:line="480" w:lineRule="exact"/>
        <w:ind w:left="2047" w:leftChars="200" w:hanging="1627" w:hangingChars="775"/>
        <w:rPr>
          <w:rFonts w:hint="eastAsia" w:ascii="宋体" w:hAnsi="宋体"/>
        </w:rPr>
      </w:pPr>
      <w:r>
        <w:rPr>
          <w:rFonts w:hint="eastAsia" w:ascii="宋体" w:hAnsi="宋体"/>
        </w:rPr>
        <w:t>2、环境温度：室外极端最低温度-19.7℃、极端最高温度42℃，昼夜最大温</w:t>
      </w:r>
      <w:r>
        <w:rPr>
          <w:rFonts w:hint="eastAsia" w:ascii="宋体" w:hAnsi="宋体"/>
          <w:bCs/>
        </w:rPr>
        <w:t>差25℃；室内温度5～40℃。</w:t>
      </w:r>
    </w:p>
    <w:p>
      <w:pPr>
        <w:spacing w:line="480" w:lineRule="exact"/>
        <w:ind w:firstLine="420" w:firstLineChars="200"/>
        <w:rPr>
          <w:rFonts w:hint="eastAsia" w:ascii="宋体" w:hAnsi="宋体"/>
        </w:rPr>
      </w:pPr>
      <w:r>
        <w:rPr>
          <w:rFonts w:hint="eastAsia" w:ascii="宋体" w:hAnsi="宋体"/>
        </w:rPr>
        <w:t>3、相对湿度：年平均59%，</w:t>
      </w:r>
      <w:r>
        <w:rPr>
          <w:rFonts w:hint="eastAsia" w:ascii="宋体" w:hAnsi="宋体"/>
          <w:bCs/>
        </w:rPr>
        <w:t>最大95%、最小15%。</w:t>
      </w:r>
    </w:p>
    <w:p>
      <w:pPr>
        <w:spacing w:line="480" w:lineRule="exact"/>
        <w:ind w:firstLine="420" w:firstLineChars="200"/>
        <w:rPr>
          <w:rFonts w:hint="eastAsia" w:ascii="宋体" w:hAnsi="宋体"/>
        </w:rPr>
      </w:pPr>
      <w:r>
        <w:rPr>
          <w:rFonts w:hint="eastAsia" w:ascii="宋体" w:hAnsi="宋体"/>
        </w:rPr>
        <w:t>4、降雨量：日最大降雨量300mm、时最大降雨量100mm。</w:t>
      </w:r>
    </w:p>
    <w:p>
      <w:pPr>
        <w:spacing w:line="480" w:lineRule="exact"/>
        <w:ind w:firstLine="420" w:firstLineChars="200"/>
        <w:rPr>
          <w:rFonts w:hint="eastAsia" w:ascii="宋体" w:hAnsi="宋体"/>
        </w:rPr>
      </w:pPr>
      <w:r>
        <w:rPr>
          <w:rFonts w:hint="eastAsia" w:ascii="宋体" w:hAnsi="宋体"/>
        </w:rPr>
        <w:t>5、最大风速：33.3m/s。</w:t>
      </w:r>
    </w:p>
    <w:p>
      <w:pPr>
        <w:spacing w:line="480" w:lineRule="exact"/>
        <w:ind w:firstLine="420" w:firstLineChars="200"/>
        <w:rPr>
          <w:rFonts w:hint="eastAsia" w:ascii="宋体" w:hAnsi="宋体"/>
        </w:rPr>
      </w:pPr>
      <w:r>
        <w:rPr>
          <w:rFonts w:hint="eastAsia" w:ascii="宋体" w:hAnsi="宋体"/>
        </w:rPr>
        <w:t>6、最大积雪厚度：200mm。</w:t>
      </w:r>
    </w:p>
    <w:p>
      <w:pPr>
        <w:spacing w:line="480" w:lineRule="exact"/>
        <w:ind w:firstLine="420" w:firstLineChars="200"/>
        <w:rPr>
          <w:rFonts w:hint="eastAsia" w:ascii="宋体" w:hAnsi="宋体"/>
        </w:rPr>
      </w:pPr>
      <w:r>
        <w:rPr>
          <w:rFonts w:hint="eastAsia" w:ascii="宋体" w:hAnsi="宋体"/>
        </w:rPr>
        <w:t>7、最大冻土深度：450mm。</w:t>
      </w:r>
    </w:p>
    <w:p>
      <w:pPr>
        <w:spacing w:line="480" w:lineRule="exact"/>
        <w:ind w:firstLine="420" w:firstLineChars="200"/>
        <w:rPr>
          <w:rFonts w:hint="eastAsia" w:ascii="宋体" w:hAnsi="宋体"/>
        </w:rPr>
      </w:pPr>
      <w:r>
        <w:rPr>
          <w:rFonts w:hint="eastAsia" w:ascii="宋体" w:hAnsi="宋体"/>
        </w:rPr>
        <w:t>8、地震设防</w:t>
      </w:r>
      <w:r>
        <w:rPr>
          <w:rFonts w:hint="eastAsia" w:ascii="宋体" w:hAnsi="宋体"/>
          <w:highlight w:val="none"/>
        </w:rPr>
        <w:t>裂度</w:t>
      </w:r>
      <w:r>
        <w:rPr>
          <w:rFonts w:hint="eastAsia" w:ascii="宋体" w:hAnsi="宋体"/>
        </w:rPr>
        <w:t>：七度。</w:t>
      </w:r>
    </w:p>
    <w:p>
      <w:pPr>
        <w:spacing w:line="480" w:lineRule="exact"/>
        <w:ind w:firstLine="420" w:firstLineChars="200"/>
        <w:rPr>
          <w:rFonts w:hint="eastAsia" w:ascii="宋体" w:hAnsi="宋体"/>
        </w:rPr>
      </w:pPr>
      <w:r>
        <w:rPr>
          <w:rFonts w:hint="eastAsia" w:ascii="黑体" w:hAnsi="宋体" w:eastAsia="黑体"/>
        </w:rPr>
        <w:t>六、能源环境：</w:t>
      </w:r>
    </w:p>
    <w:p>
      <w:pPr>
        <w:spacing w:line="480" w:lineRule="exact"/>
        <w:ind w:firstLine="420" w:firstLineChars="200"/>
        <w:rPr>
          <w:rFonts w:hint="eastAsia" w:ascii="宋体" w:hAnsi="宋体"/>
        </w:rPr>
      </w:pPr>
      <w:r>
        <w:rPr>
          <w:rFonts w:hint="eastAsia" w:ascii="宋体" w:hAnsi="宋体"/>
        </w:rPr>
        <w:t>1、电力：中国制式，供电电压</w:t>
      </w:r>
      <w:r>
        <w:rPr>
          <w:rFonts w:ascii="宋体" w:hAnsi="宋体"/>
        </w:rPr>
        <w:t>380V</w:t>
      </w:r>
      <w:r>
        <w:rPr>
          <w:rFonts w:hint="eastAsia" w:ascii="宋体" w:hAnsi="宋体"/>
        </w:rPr>
        <w:t>±</w:t>
      </w:r>
      <w:r>
        <w:rPr>
          <w:rFonts w:ascii="宋体" w:hAnsi="宋体"/>
        </w:rPr>
        <w:t>1</w:t>
      </w:r>
      <w:r>
        <w:rPr>
          <w:rFonts w:hint="eastAsia" w:ascii="宋体" w:hAnsi="宋体"/>
        </w:rPr>
        <w:t>5</w:t>
      </w:r>
      <w:r>
        <w:rPr>
          <w:rFonts w:ascii="宋体" w:hAnsi="宋体"/>
        </w:rPr>
        <w:t>%</w:t>
      </w:r>
      <w:r>
        <w:rPr>
          <w:rFonts w:hint="eastAsia" w:ascii="宋体" w:hAnsi="宋体"/>
        </w:rPr>
        <w:t>/220V±</w:t>
      </w:r>
      <w:r>
        <w:rPr>
          <w:rFonts w:ascii="宋体" w:hAnsi="宋体"/>
        </w:rPr>
        <w:t>1</w:t>
      </w:r>
      <w:r>
        <w:rPr>
          <w:rFonts w:hint="eastAsia" w:ascii="宋体" w:hAnsi="宋体"/>
        </w:rPr>
        <w:t>5</w:t>
      </w:r>
      <w:r>
        <w:rPr>
          <w:rFonts w:ascii="宋体" w:hAnsi="宋体"/>
        </w:rPr>
        <w:t>%</w:t>
      </w:r>
      <w:r>
        <w:rPr>
          <w:rFonts w:hint="eastAsia" w:ascii="宋体" w:hAnsi="宋体"/>
        </w:rPr>
        <w:t>，供电频率</w:t>
      </w:r>
      <w:r>
        <w:rPr>
          <w:rFonts w:ascii="宋体" w:hAnsi="宋体"/>
        </w:rPr>
        <w:t>50Hz</w:t>
      </w:r>
      <w:r>
        <w:rPr>
          <w:rFonts w:hint="eastAsia" w:ascii="宋体" w:hAnsi="宋体"/>
        </w:rPr>
        <w:t>±</w:t>
      </w:r>
      <w:r>
        <w:rPr>
          <w:rFonts w:ascii="宋体" w:hAnsi="宋体"/>
        </w:rPr>
        <w:t>2%</w:t>
      </w:r>
      <w:r>
        <w:rPr>
          <w:rFonts w:hint="eastAsia" w:ascii="宋体" w:hAnsi="宋体"/>
        </w:rPr>
        <w:t>。</w:t>
      </w:r>
    </w:p>
    <w:p>
      <w:pPr>
        <w:spacing w:line="480" w:lineRule="exact"/>
        <w:ind w:firstLine="420" w:firstLineChars="200"/>
        <w:rPr>
          <w:rFonts w:hint="eastAsia" w:ascii="宋体" w:hAnsi="宋体"/>
        </w:rPr>
      </w:pPr>
      <w:r>
        <w:rPr>
          <w:rFonts w:hint="eastAsia" w:ascii="宋体" w:hAnsi="宋体"/>
        </w:rPr>
        <w:t>2、压缩空气：自备空压机自产压缩空气，</w:t>
      </w:r>
      <w:r>
        <w:rPr>
          <w:rFonts w:ascii="宋体" w:hAnsi="宋体"/>
        </w:rPr>
        <w:t>0.</w:t>
      </w:r>
      <w:r>
        <w:rPr>
          <w:rFonts w:hint="eastAsia" w:ascii="宋体" w:hAnsi="宋体"/>
        </w:rPr>
        <w:t>4～0.6</w:t>
      </w:r>
      <w:r>
        <w:rPr>
          <w:rFonts w:ascii="宋体" w:hAnsi="宋体"/>
        </w:rPr>
        <w:t>M</w:t>
      </w:r>
      <w:r>
        <w:rPr>
          <w:rFonts w:hint="eastAsia" w:ascii="宋体" w:hAnsi="宋体"/>
        </w:rPr>
        <w:t>P</w:t>
      </w:r>
      <w:r>
        <w:rPr>
          <w:rFonts w:ascii="宋体" w:hAnsi="宋体"/>
        </w:rPr>
        <w:t>a</w:t>
      </w:r>
      <w:r>
        <w:rPr>
          <w:rFonts w:hint="eastAsia" w:ascii="宋体" w:hAnsi="宋体"/>
        </w:rPr>
        <w:t>。</w:t>
      </w:r>
    </w:p>
    <w:p>
      <w:pPr>
        <w:spacing w:line="48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3、给水：市政自来水或软化水，0.2-0.4MPa</w:t>
      </w:r>
    </w:p>
    <w:p>
      <w:pPr>
        <w:spacing w:line="480" w:lineRule="exact"/>
        <w:ind w:firstLine="420" w:firstLineChars="200"/>
        <w:rPr>
          <w:rFonts w:hint="eastAsia" w:ascii="宋体" w:hAnsi="宋体"/>
        </w:rPr>
      </w:pPr>
      <w:r>
        <w:rPr>
          <w:rFonts w:hint="eastAsia" w:ascii="宋体" w:hAnsi="宋体"/>
          <w:lang w:val="en-US" w:eastAsia="zh-CN"/>
        </w:rPr>
        <w:t>4</w:t>
      </w:r>
      <w:r>
        <w:rPr>
          <w:rFonts w:hint="eastAsia" w:ascii="宋体" w:hAnsi="宋体"/>
        </w:rPr>
        <w:t>、工位照度：不低于500Lx。</w:t>
      </w: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spacing w:line="480" w:lineRule="exact"/>
        <w:ind w:firstLine="420" w:firstLineChars="200"/>
        <w:rPr>
          <w:rFonts w:hint="eastAsia" w:ascii="宋体" w:hAnsi="宋体"/>
        </w:rPr>
      </w:pPr>
    </w:p>
    <w:p>
      <w:pPr>
        <w:pStyle w:val="4"/>
        <w:spacing w:before="120" w:after="120" w:line="480" w:lineRule="exact"/>
        <w:jc w:val="center"/>
        <w:rPr>
          <w:rFonts w:hint="eastAsia"/>
          <w:b w:val="0"/>
          <w:sz w:val="24"/>
          <w:szCs w:val="24"/>
        </w:rPr>
      </w:pPr>
      <w:bookmarkStart w:id="45" w:name="_Toc27088"/>
      <w:bookmarkStart w:id="46" w:name="_Toc19068"/>
      <w:bookmarkStart w:id="47" w:name="_Toc137705867"/>
      <w:bookmarkStart w:id="48" w:name="_Toc9838"/>
      <w:bookmarkStart w:id="49" w:name="_Toc13018"/>
      <w:r>
        <w:rPr>
          <w:rFonts w:hint="eastAsia"/>
          <w:b w:val="0"/>
          <w:sz w:val="24"/>
          <w:szCs w:val="24"/>
        </w:rPr>
        <w:t>第二节  采购货物概况</w:t>
      </w:r>
      <w:bookmarkEnd w:id="45"/>
      <w:bookmarkEnd w:id="46"/>
      <w:bookmarkEnd w:id="47"/>
      <w:bookmarkEnd w:id="48"/>
      <w:bookmarkEnd w:id="49"/>
    </w:p>
    <w:p>
      <w:pPr>
        <w:spacing w:line="480" w:lineRule="exact"/>
        <w:ind w:firstLine="420" w:firstLineChars="200"/>
        <w:jc w:val="left"/>
        <w:rPr>
          <w:rFonts w:hint="eastAsia" w:ascii="宋体" w:hAnsi="宋体"/>
        </w:rPr>
      </w:pPr>
      <w:r>
        <w:rPr>
          <w:rFonts w:hint="eastAsia" w:ascii="黑体" w:hAnsi="宋体" w:eastAsia="黑体"/>
        </w:rPr>
        <w:t>一、设备名称：</w:t>
      </w:r>
      <w:r>
        <w:rPr>
          <w:rFonts w:hint="eastAsia" w:ascii="宋体" w:hAnsi="宋体" w:eastAsia="宋体" w:cs="Times New Roman"/>
          <w:u w:val="single"/>
          <w:shd w:val="pct10" w:color="auto" w:fill="FFFFFF"/>
          <w:lang w:val="en-US" w:eastAsia="zh-CN"/>
        </w:rPr>
        <w:t>减震器轮毂分装拧紧设备改造、机油模块自动拧紧设备</w:t>
      </w:r>
      <w:r>
        <w:rPr>
          <w:rFonts w:hint="eastAsia" w:ascii="宋体" w:hAnsi="宋体"/>
          <w:u w:val="single"/>
          <w:shd w:val="pct10" w:color="auto" w:fill="FFFFFF"/>
        </w:rPr>
        <w:t xml:space="preserve"> </w:t>
      </w:r>
      <w:r>
        <w:rPr>
          <w:rFonts w:hint="eastAsia" w:ascii="宋体" w:hAnsi="宋体"/>
        </w:rPr>
        <w:t>（详见下表）</w:t>
      </w:r>
    </w:p>
    <w:p>
      <w:pPr>
        <w:spacing w:line="480" w:lineRule="exact"/>
        <w:ind w:firstLine="420" w:firstLineChars="200"/>
        <w:rPr>
          <w:rFonts w:hint="eastAsia" w:ascii="宋体" w:hAnsi="宋体"/>
        </w:rPr>
      </w:pPr>
      <w:r>
        <w:rPr>
          <w:rFonts w:hint="eastAsia" w:ascii="黑体" w:hAnsi="宋体" w:eastAsia="黑体"/>
        </w:rPr>
        <w:t>二、设备数量：</w:t>
      </w:r>
      <w:r>
        <w:rPr>
          <w:rFonts w:hint="eastAsia" w:ascii="宋体" w:hAnsi="宋体"/>
          <w:u w:val="single"/>
          <w:shd w:val="pct10" w:color="auto" w:fill="FFFFFF"/>
        </w:rPr>
        <w:t xml:space="preserve"> 2套                            </w:t>
      </w:r>
      <w:r>
        <w:rPr>
          <w:rFonts w:hint="eastAsia" w:ascii="宋体" w:hAnsi="宋体"/>
          <w:u w:val="single"/>
          <w:shd w:val="pct10" w:color="auto" w:fill="FFFFFF"/>
          <w:lang w:val="en-US" w:eastAsia="zh-CN"/>
        </w:rPr>
        <w:t xml:space="preserve">    </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 xml:space="preserve">    </w:t>
      </w:r>
      <w:r>
        <w:rPr>
          <w:rFonts w:hint="eastAsia" w:ascii="宋体" w:hAnsi="宋体"/>
        </w:rPr>
        <w:t>（详见下表）</w:t>
      </w:r>
    </w:p>
    <w:p>
      <w:pPr>
        <w:spacing w:line="560" w:lineRule="exact"/>
        <w:ind w:firstLine="420" w:firstLineChars="200"/>
        <w:rPr>
          <w:rFonts w:hint="eastAsia"/>
        </w:rPr>
      </w:pPr>
      <w:r>
        <w:rPr>
          <w:rFonts w:hint="eastAsia" w:ascii="黑体" w:hAnsi="宋体" w:eastAsia="黑体"/>
        </w:rPr>
        <w:t>三、分投分中：</w:t>
      </w:r>
      <w:r>
        <w:rPr>
          <w:rFonts w:hint="eastAsia" w:ascii="宋体" w:hAnsi="宋体" w:eastAsia="宋体" w:cs="Times New Roman"/>
        </w:rPr>
        <w:t>不</w:t>
      </w:r>
      <w:r>
        <w:rPr>
          <w:rFonts w:hint="eastAsia" w:ascii="宋体" w:hAnsi="宋体"/>
        </w:rPr>
        <w:t>允许。</w:t>
      </w:r>
    </w:p>
    <w:p>
      <w:pPr>
        <w:widowControl/>
        <w:jc w:val="center"/>
        <w:rPr>
          <w:rFonts w:ascii="宋体" w:hAnsi="宋体"/>
        </w:rPr>
      </w:pPr>
      <w:r>
        <w:rPr>
          <w:rFonts w:hint="eastAsia" w:ascii="宋体" w:hAnsi="宋体"/>
        </w:rPr>
        <w:t>采购货物主要构成一览表</w:t>
      </w:r>
    </w:p>
    <w:tbl>
      <w:tblPr>
        <w:tblStyle w:val="36"/>
        <w:tblpPr w:leftFromText="180" w:rightFromText="180" w:vertAnchor="text" w:horzAnchor="page" w:tblpX="1863" w:tblpY="43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1285"/>
        <w:gridCol w:w="1285"/>
        <w:gridCol w:w="1286"/>
        <w:gridCol w:w="1286"/>
        <w:gridCol w:w="1286"/>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序号</w:t>
            </w:r>
          </w:p>
        </w:tc>
        <w:tc>
          <w:tcPr>
            <w:tcW w:w="1285"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设备名称</w:t>
            </w:r>
          </w:p>
        </w:tc>
        <w:tc>
          <w:tcPr>
            <w:tcW w:w="1285"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单位</w:t>
            </w:r>
          </w:p>
        </w:tc>
        <w:tc>
          <w:tcPr>
            <w:tcW w:w="1286" w:type="dxa"/>
            <w:noWrap w:val="0"/>
            <w:vAlign w:val="center"/>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数量</w:t>
            </w:r>
          </w:p>
        </w:tc>
        <w:tc>
          <w:tcPr>
            <w:tcW w:w="1286" w:type="dxa"/>
            <w:noWrap w:val="0"/>
            <w:vAlign w:val="top"/>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安装地点/服务对象</w:t>
            </w:r>
          </w:p>
        </w:tc>
        <w:tc>
          <w:tcPr>
            <w:tcW w:w="1286" w:type="dxa"/>
            <w:noWrap w:val="0"/>
            <w:vAlign w:val="top"/>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供货方式</w:t>
            </w:r>
          </w:p>
        </w:tc>
        <w:tc>
          <w:tcPr>
            <w:tcW w:w="1286" w:type="dxa"/>
            <w:noWrap w:val="0"/>
            <w:vAlign w:val="top"/>
          </w:tcPr>
          <w:p>
            <w:pPr>
              <w:widowControl/>
              <w:jc w:val="center"/>
              <w:rPr>
                <w:rFonts w:hint="eastAsia" w:ascii="宋体" w:hAnsi="宋体" w:cs="宋体"/>
                <w:b/>
                <w:bCs/>
                <w:color w:val="000000"/>
                <w:kern w:val="0"/>
                <w:sz w:val="20"/>
                <w:szCs w:val="20"/>
              </w:rPr>
            </w:pPr>
            <w:r>
              <w:rPr>
                <w:rFonts w:hint="eastAsia" w:ascii="宋体" w:hAnsi="宋体" w:cs="宋体"/>
                <w:b/>
                <w:bCs/>
                <w:color w:val="000000"/>
                <w:kern w:val="0"/>
                <w:sz w:val="20"/>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1</w:t>
            </w:r>
          </w:p>
        </w:tc>
        <w:tc>
          <w:tcPr>
            <w:tcW w:w="1285" w:type="dxa"/>
            <w:noWrap w:val="0"/>
            <w:vAlign w:val="center"/>
          </w:tcPr>
          <w:p>
            <w:pPr>
              <w:widowControl/>
              <w:jc w:val="center"/>
              <w:rPr>
                <w:rFonts w:hint="default" w:ascii="宋体" w:hAnsi="宋体" w:eastAsia="宋体"/>
                <w:b/>
                <w:bCs/>
                <w:sz w:val="21"/>
                <w:szCs w:val="21"/>
                <w:lang w:val="en-US" w:eastAsia="zh-CN"/>
              </w:rPr>
            </w:pPr>
            <w:r>
              <w:rPr>
                <w:rFonts w:hint="eastAsia" w:ascii="宋体" w:hAnsi="宋体" w:cs="宋体"/>
                <w:kern w:val="0"/>
                <w:sz w:val="18"/>
                <w:szCs w:val="18"/>
                <w:lang w:val="en-US" w:eastAsia="zh-CN" w:bidi="ar"/>
              </w:rPr>
              <w:t>减震器轮毂分装拧紧设备改造</w:t>
            </w:r>
          </w:p>
        </w:tc>
        <w:tc>
          <w:tcPr>
            <w:tcW w:w="1285" w:type="dxa"/>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套</w:t>
            </w:r>
          </w:p>
        </w:tc>
        <w:tc>
          <w:tcPr>
            <w:tcW w:w="1286" w:type="dxa"/>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1</w:t>
            </w:r>
          </w:p>
        </w:tc>
        <w:tc>
          <w:tcPr>
            <w:tcW w:w="1286" w:type="dxa"/>
            <w:vMerge w:val="restart"/>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济南发动机厂</w:t>
            </w:r>
          </w:p>
        </w:tc>
        <w:tc>
          <w:tcPr>
            <w:tcW w:w="1286" w:type="dxa"/>
            <w:vMerge w:val="restart"/>
            <w:noWrap w:val="0"/>
            <w:vAlign w:val="top"/>
          </w:tcPr>
          <w:p>
            <w:pPr>
              <w:spacing w:line="360" w:lineRule="auto"/>
              <w:rPr>
                <w:rFonts w:hint="eastAsia" w:ascii="宋体" w:hAnsi="宋体" w:cs="宋体"/>
                <w:kern w:val="0"/>
                <w:sz w:val="18"/>
                <w:szCs w:val="18"/>
              </w:rPr>
            </w:pPr>
          </w:p>
          <w:p>
            <w:pPr>
              <w:spacing w:line="360" w:lineRule="auto"/>
              <w:jc w:val="center"/>
              <w:rPr>
                <w:rFonts w:hint="eastAsia" w:ascii="宋体" w:hAnsi="宋体"/>
                <w:b/>
                <w:bCs/>
                <w:sz w:val="21"/>
                <w:szCs w:val="21"/>
              </w:rPr>
            </w:pPr>
            <w:r>
              <w:rPr>
                <w:rFonts w:hint="eastAsia" w:ascii="宋体" w:hAnsi="宋体" w:cs="宋体"/>
                <w:kern w:val="0"/>
                <w:sz w:val="18"/>
                <w:szCs w:val="18"/>
              </w:rPr>
              <w:t>交钥匙</w:t>
            </w:r>
          </w:p>
        </w:tc>
        <w:tc>
          <w:tcPr>
            <w:tcW w:w="1286" w:type="dxa"/>
            <w:noWrap w:val="0"/>
            <w:vAlign w:val="top"/>
          </w:tcPr>
          <w:p>
            <w:pPr>
              <w:spacing w:line="360" w:lineRule="auto"/>
              <w:rPr>
                <w:rFonts w:hint="eastAsia" w:ascii="宋体" w:hAnsi="宋体"/>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85" w:type="dxa"/>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2</w:t>
            </w:r>
          </w:p>
        </w:tc>
        <w:tc>
          <w:tcPr>
            <w:tcW w:w="1285" w:type="dxa"/>
            <w:noWrap w:val="0"/>
            <w:vAlign w:val="center"/>
          </w:tcPr>
          <w:p>
            <w:pPr>
              <w:widowControl/>
              <w:jc w:val="center"/>
              <w:rPr>
                <w:rFonts w:hint="default" w:ascii="宋体" w:hAnsi="宋体" w:eastAsia="宋体"/>
                <w:b/>
                <w:bCs/>
                <w:sz w:val="21"/>
                <w:szCs w:val="21"/>
                <w:lang w:val="en-US" w:eastAsia="zh-CN"/>
              </w:rPr>
            </w:pPr>
            <w:r>
              <w:rPr>
                <w:rFonts w:hint="eastAsia" w:ascii="宋体" w:hAnsi="宋体" w:cs="宋体"/>
                <w:kern w:val="0"/>
                <w:sz w:val="18"/>
                <w:szCs w:val="18"/>
                <w:lang w:val="en-US" w:eastAsia="zh-CN" w:bidi="ar"/>
              </w:rPr>
              <w:t>机油模块自动拧紧设备</w:t>
            </w:r>
          </w:p>
        </w:tc>
        <w:tc>
          <w:tcPr>
            <w:tcW w:w="1285" w:type="dxa"/>
            <w:noWrap w:val="0"/>
            <w:vAlign w:val="center"/>
          </w:tcPr>
          <w:p>
            <w:pPr>
              <w:widowControl/>
              <w:jc w:val="center"/>
              <w:rPr>
                <w:rFonts w:hint="default" w:ascii="宋体" w:hAnsi="宋体" w:eastAsia="宋体"/>
                <w:b/>
                <w:bCs/>
                <w:sz w:val="21"/>
                <w:szCs w:val="21"/>
                <w:lang w:val="en-US" w:eastAsia="zh-CN"/>
              </w:rPr>
            </w:pPr>
            <w:r>
              <w:rPr>
                <w:rFonts w:hint="eastAsia" w:ascii="宋体" w:hAnsi="宋体" w:eastAsia="宋体" w:cs="宋体"/>
                <w:kern w:val="0"/>
                <w:sz w:val="18"/>
                <w:szCs w:val="18"/>
                <w:lang w:val="en-US" w:eastAsia="zh-CN"/>
              </w:rPr>
              <w:t>套</w:t>
            </w:r>
          </w:p>
        </w:tc>
        <w:tc>
          <w:tcPr>
            <w:tcW w:w="1286" w:type="dxa"/>
            <w:noWrap w:val="0"/>
            <w:vAlign w:val="center"/>
          </w:tcPr>
          <w:p>
            <w:pPr>
              <w:widowControl/>
              <w:jc w:val="center"/>
              <w:rPr>
                <w:rFonts w:hint="eastAsia" w:ascii="宋体" w:hAnsi="宋体"/>
                <w:b/>
                <w:bCs/>
                <w:sz w:val="21"/>
                <w:szCs w:val="21"/>
              </w:rPr>
            </w:pPr>
            <w:r>
              <w:rPr>
                <w:rFonts w:hint="eastAsia" w:ascii="宋体" w:hAnsi="宋体" w:cs="宋体"/>
                <w:kern w:val="0"/>
                <w:sz w:val="18"/>
                <w:szCs w:val="18"/>
              </w:rPr>
              <w:t>1</w:t>
            </w:r>
          </w:p>
        </w:tc>
        <w:tc>
          <w:tcPr>
            <w:tcW w:w="1286" w:type="dxa"/>
            <w:vMerge w:val="continue"/>
            <w:noWrap w:val="0"/>
            <w:vAlign w:val="center"/>
          </w:tcPr>
          <w:p>
            <w:pPr>
              <w:widowControl/>
              <w:jc w:val="center"/>
              <w:rPr>
                <w:rFonts w:hint="eastAsia" w:ascii="宋体" w:hAnsi="宋体"/>
                <w:b/>
                <w:bCs/>
                <w:sz w:val="21"/>
                <w:szCs w:val="21"/>
              </w:rPr>
            </w:pPr>
          </w:p>
        </w:tc>
        <w:tc>
          <w:tcPr>
            <w:tcW w:w="1286" w:type="dxa"/>
            <w:vMerge w:val="continue"/>
            <w:noWrap w:val="0"/>
            <w:vAlign w:val="top"/>
          </w:tcPr>
          <w:p>
            <w:pPr>
              <w:spacing w:line="360" w:lineRule="auto"/>
              <w:rPr>
                <w:rFonts w:hint="eastAsia" w:ascii="宋体" w:hAnsi="宋体"/>
                <w:b/>
                <w:bCs/>
                <w:sz w:val="21"/>
                <w:szCs w:val="21"/>
              </w:rPr>
            </w:pPr>
          </w:p>
        </w:tc>
        <w:tc>
          <w:tcPr>
            <w:tcW w:w="1286" w:type="dxa"/>
            <w:noWrap w:val="0"/>
            <w:vAlign w:val="top"/>
          </w:tcPr>
          <w:p>
            <w:pPr>
              <w:spacing w:line="360" w:lineRule="auto"/>
              <w:rPr>
                <w:rFonts w:hint="eastAsia" w:ascii="宋体" w:hAnsi="宋体"/>
                <w:b/>
                <w:bCs/>
                <w:sz w:val="21"/>
                <w:szCs w:val="21"/>
              </w:rPr>
            </w:pPr>
          </w:p>
        </w:tc>
      </w:tr>
    </w:tbl>
    <w:p>
      <w:pPr>
        <w:spacing w:line="480" w:lineRule="exact"/>
        <w:ind w:firstLine="420" w:firstLineChars="200"/>
        <w:rPr>
          <w:sz w:val="21"/>
          <w:szCs w:val="21"/>
        </w:rPr>
      </w:pPr>
      <w:r>
        <w:rPr>
          <w:sz w:val="21"/>
          <w:szCs w:val="21"/>
        </w:rPr>
        <w:t>备注：</w:t>
      </w:r>
      <w:bookmarkStart w:id="50" w:name="_Toc137705868"/>
    </w:p>
    <w:p>
      <w:pPr>
        <w:spacing w:line="480" w:lineRule="exact"/>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1</w:t>
      </w:r>
      <w:r>
        <w:rPr>
          <w:rFonts w:ascii="Times New Roman" w:hAnsi="Times New Roman" w:eastAsia="宋体" w:cs="Times New Roman"/>
          <w:sz w:val="21"/>
          <w:szCs w:val="21"/>
        </w:rPr>
        <w:t>.本表所列采购货物仅为货物（或生产线）的主要构成部分，应包含配套供货以及招标方所</w:t>
      </w:r>
      <w:r>
        <w:rPr>
          <w:rFonts w:ascii="Times New Roman" w:hAnsi="Times New Roman" w:eastAsia="宋体" w:cs="Times New Roman"/>
          <w:sz w:val="21"/>
          <w:szCs w:val="21"/>
          <w:highlight w:val="none"/>
        </w:rPr>
        <w:t>列其</w:t>
      </w:r>
      <w:r>
        <w:rPr>
          <w:rFonts w:hint="eastAsia" w:ascii="Times New Roman" w:hAnsi="Times New Roman" w:eastAsia="宋体" w:cs="Times New Roman"/>
          <w:sz w:val="21"/>
          <w:szCs w:val="21"/>
          <w:highlight w:val="none"/>
          <w:lang w:val="en-US" w:eastAsia="zh-CN"/>
        </w:rPr>
        <w:t>他</w:t>
      </w:r>
      <w:r>
        <w:rPr>
          <w:rFonts w:ascii="Times New Roman" w:hAnsi="Times New Roman" w:eastAsia="宋体" w:cs="Times New Roman"/>
          <w:sz w:val="21"/>
          <w:szCs w:val="21"/>
          <w:highlight w:val="none"/>
        </w:rPr>
        <w:t>货物（</w:t>
      </w:r>
      <w:r>
        <w:rPr>
          <w:rFonts w:ascii="Times New Roman" w:hAnsi="Times New Roman" w:eastAsia="宋体" w:cs="Times New Roman"/>
          <w:sz w:val="21"/>
          <w:szCs w:val="21"/>
        </w:rPr>
        <w:t>或设备）和服务，请投标方认真阅读“供货范围”。若有异议，不管是多么微小，都应在投标文件“商务偏离”章节中予以详细说明。</w:t>
      </w:r>
    </w:p>
    <w:p>
      <w:pPr>
        <w:spacing w:line="480" w:lineRule="exact"/>
        <w:ind w:firstLine="420" w:firstLineChars="200"/>
        <w:rPr>
          <w:rFonts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2</w:t>
      </w:r>
      <w:r>
        <w:rPr>
          <w:rFonts w:ascii="Times New Roman" w:hAnsi="Times New Roman" w:eastAsia="宋体" w:cs="Times New Roman"/>
          <w:sz w:val="21"/>
          <w:szCs w:val="21"/>
        </w:rPr>
        <w:t>.本表“供货方式”指：交钥匙方式——包括设计、制造、运输、安装、调试和验收直到交付使用以及培训等。</w:t>
      </w:r>
    </w:p>
    <w:p>
      <w:pPr>
        <w:spacing w:line="480" w:lineRule="exact"/>
        <w:ind w:firstLine="420" w:firstLineChars="200"/>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以上内容仅对设备的基本功能进行了描述和建议，表中所列内容仅供参考，投标方投标前需对生产现场工艺环境进行充分调研与了解，确保投标方案满足工艺、产品、节拍、功能等要求，投标方对投标方案负责。</w:t>
      </w:r>
    </w:p>
    <w:p>
      <w:pPr>
        <w:keepNext w:val="0"/>
        <w:keepLines w:val="0"/>
        <w:pageBreakBefore w:val="0"/>
        <w:widowControl w:val="0"/>
        <w:kinsoku/>
        <w:wordWrap/>
        <w:overflowPunct w:val="0"/>
        <w:topLinePunct w:val="0"/>
        <w:autoSpaceDE/>
        <w:autoSpaceDN/>
        <w:bidi w:val="0"/>
        <w:adjustRightInd/>
        <w:snapToGrid/>
        <w:spacing w:line="360" w:lineRule="auto"/>
        <w:ind w:firstLine="482" w:firstLineChars="200"/>
        <w:textAlignment w:val="auto"/>
        <w:outlineLvl w:val="9"/>
        <w:rPr>
          <w:rFonts w:ascii="宋体" w:hAnsi="宋体" w:eastAsia="宋体" w:cs="宋体"/>
          <w:b/>
          <w:sz w:val="24"/>
          <w:szCs w:val="24"/>
        </w:rPr>
      </w:pPr>
      <w:r>
        <w:rPr>
          <w:rFonts w:hint="eastAsia" w:ascii="宋体" w:hAnsi="宋体" w:eastAsia="宋体" w:cs="宋体"/>
          <w:b/>
          <w:sz w:val="24"/>
          <w:szCs w:val="24"/>
        </w:rPr>
        <w:t>四、采购货物特别说明</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textAlignment w:val="auto"/>
        <w:outlineLvl w:val="9"/>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pStyle w:val="2"/>
        <w:spacing w:before="120" w:after="120"/>
        <w:jc w:val="center"/>
        <w:rPr>
          <w:rFonts w:hint="eastAsia" w:ascii="黑体" w:eastAsia="黑体"/>
          <w:sz w:val="24"/>
          <w:szCs w:val="24"/>
        </w:rPr>
      </w:pPr>
      <w:bookmarkStart w:id="51" w:name="_Toc32262"/>
      <w:bookmarkStart w:id="52" w:name="_Toc17328"/>
    </w:p>
    <w:p>
      <w:pPr>
        <w:rPr>
          <w:rFonts w:hint="eastAsia" w:ascii="黑体" w:eastAsia="黑体"/>
          <w:sz w:val="24"/>
          <w:szCs w:val="24"/>
        </w:rPr>
      </w:pPr>
    </w:p>
    <w:p>
      <w:pPr>
        <w:rPr>
          <w:rFonts w:hint="eastAsia" w:ascii="黑体" w:eastAsia="黑体"/>
          <w:sz w:val="24"/>
          <w:szCs w:val="24"/>
        </w:rPr>
      </w:pPr>
    </w:p>
    <w:p>
      <w:pPr>
        <w:pStyle w:val="2"/>
        <w:spacing w:before="120" w:after="120"/>
        <w:jc w:val="center"/>
        <w:rPr>
          <w:rFonts w:hint="eastAsia" w:ascii="黑体" w:eastAsia="黑体"/>
          <w:sz w:val="24"/>
          <w:szCs w:val="24"/>
        </w:rPr>
      </w:pPr>
      <w:r>
        <w:rPr>
          <w:rFonts w:hint="eastAsia" w:ascii="黑体" w:eastAsia="黑体"/>
          <w:sz w:val="24"/>
          <w:szCs w:val="24"/>
        </w:rPr>
        <w:t>第二章  技术要求</w:t>
      </w:r>
      <w:bookmarkEnd w:id="50"/>
      <w:bookmarkEnd w:id="51"/>
      <w:bookmarkEnd w:id="52"/>
    </w:p>
    <w:p>
      <w:pPr>
        <w:spacing w:line="480" w:lineRule="exact"/>
        <w:ind w:firstLine="420" w:firstLineChars="200"/>
        <w:rPr>
          <w:rFonts w:hint="eastAsia" w:ascii="黑体" w:hAnsi="宋体" w:eastAsia="黑体"/>
        </w:rPr>
      </w:pPr>
      <w:r>
        <w:rPr>
          <w:rFonts w:hint="eastAsia" w:ascii="黑体" w:hAnsi="宋体" w:eastAsia="黑体"/>
        </w:rPr>
        <w:t>一、基本要求</w:t>
      </w:r>
    </w:p>
    <w:p>
      <w:pPr>
        <w:spacing w:line="480" w:lineRule="exact"/>
        <w:ind w:firstLine="420" w:firstLineChars="200"/>
        <w:rPr>
          <w:rFonts w:hint="eastAsia" w:ascii="宋体" w:hAnsi="宋体"/>
        </w:rPr>
      </w:pPr>
      <w:r>
        <w:rPr>
          <w:rFonts w:hint="eastAsia" w:ascii="宋体" w:hAnsi="宋体"/>
        </w:rPr>
        <w:t>1、投标方所供的设备，必须符合中国最新版的法律、法规和相关标准、规范的要求，符合项目所在地政府有关特殊要求。</w:t>
      </w:r>
    </w:p>
    <w:p>
      <w:pPr>
        <w:spacing w:line="480" w:lineRule="exact"/>
        <w:ind w:firstLine="420" w:firstLineChars="200"/>
        <w:rPr>
          <w:rFonts w:hint="eastAsia" w:ascii="宋体" w:hAnsi="宋体"/>
        </w:rPr>
      </w:pPr>
      <w:r>
        <w:rPr>
          <w:rFonts w:hint="eastAsia" w:ascii="宋体" w:hAnsi="宋体"/>
        </w:rPr>
        <w:t>2、投标方所供设备涉及的专利权技术以及知识产权保护的其它技术等，应保证招标方不因此受到任何侵权指控以及实际损失。</w:t>
      </w:r>
    </w:p>
    <w:p>
      <w:pPr>
        <w:spacing w:line="480" w:lineRule="exact"/>
        <w:ind w:firstLine="420" w:firstLineChars="200"/>
        <w:rPr>
          <w:rFonts w:hint="eastAsia" w:ascii="宋体" w:hAnsi="宋体"/>
        </w:rPr>
      </w:pPr>
      <w:r>
        <w:rPr>
          <w:rFonts w:hint="eastAsia" w:ascii="宋体" w:hAnsi="宋体"/>
        </w:rPr>
        <w:t>3、投标方应保证所供设备的先进性、可靠性、经济性和实用性，并为全新设备。</w:t>
      </w:r>
    </w:p>
    <w:p>
      <w:pPr>
        <w:spacing w:line="480" w:lineRule="exact"/>
        <w:ind w:firstLine="420" w:firstLineChars="200"/>
        <w:rPr>
          <w:rFonts w:hint="eastAsia" w:ascii="宋体" w:hAnsi="宋体"/>
        </w:rPr>
      </w:pPr>
      <w:r>
        <w:rPr>
          <w:rFonts w:hint="eastAsia" w:ascii="宋体" w:hAnsi="宋体"/>
        </w:rPr>
        <w:t>4、投标方应满足招标方提出的各项技术要求，必要时应当免费提供技术承诺或担保。</w:t>
      </w:r>
    </w:p>
    <w:p>
      <w:pPr>
        <w:spacing w:line="480" w:lineRule="exact"/>
        <w:ind w:firstLine="420" w:firstLineChars="200"/>
        <w:rPr>
          <w:rFonts w:hint="eastAsia" w:ascii="宋体" w:hAnsi="宋体"/>
        </w:rPr>
      </w:pPr>
      <w:r>
        <w:rPr>
          <w:rFonts w:hint="eastAsia" w:ascii="宋体" w:hAnsi="宋体"/>
        </w:rPr>
        <w:t>5、投标方应保证所供设备为中国公布的非淘汰设备，并为中国指定或规定的主管部门认可的环保型和节能型设备。</w:t>
      </w:r>
    </w:p>
    <w:p>
      <w:pPr>
        <w:spacing w:line="480" w:lineRule="exact"/>
        <w:ind w:firstLine="420" w:firstLineChars="200"/>
        <w:rPr>
          <w:rFonts w:hint="eastAsia" w:ascii="宋体" w:hAnsi="宋体"/>
        </w:rPr>
      </w:pPr>
      <w:r>
        <w:rPr>
          <w:rFonts w:hint="eastAsia" w:ascii="宋体" w:hAnsi="宋体"/>
        </w:rPr>
        <w:t>6、投标方应保证所供设备的完整性和成套性，能保证设备的正常运行、使用。</w:t>
      </w:r>
    </w:p>
    <w:p>
      <w:pPr>
        <w:spacing w:line="480" w:lineRule="exact"/>
        <w:ind w:firstLine="420" w:firstLineChars="200"/>
        <w:rPr>
          <w:rFonts w:hint="eastAsia" w:ascii="宋体" w:hAnsi="宋体"/>
        </w:rPr>
      </w:pPr>
      <w:r>
        <w:rPr>
          <w:rFonts w:hint="eastAsia" w:ascii="宋体" w:hAnsi="宋体"/>
        </w:rPr>
        <w:t>7、投标方应对招标方采购的设备所涉及的技术、产能等信息负有保密义务，招标方拥有追究投标方泄密责任的权利；招标方如有需要，投标方应无条件签署保密协议。</w:t>
      </w:r>
    </w:p>
    <w:p>
      <w:pPr>
        <w:spacing w:line="480" w:lineRule="exact"/>
        <w:ind w:firstLine="420" w:firstLineChars="200"/>
        <w:rPr>
          <w:rFonts w:hint="eastAsia" w:ascii="宋体" w:hAnsi="宋体"/>
        </w:rPr>
      </w:pPr>
      <w:r>
        <w:rPr>
          <w:rFonts w:hint="eastAsia" w:ascii="宋体" w:hAnsi="宋体"/>
        </w:rPr>
        <w:t>8、投标方需提供近三年内项目业绩证明。</w:t>
      </w:r>
    </w:p>
    <w:p>
      <w:pPr>
        <w:spacing w:line="480" w:lineRule="exact"/>
        <w:ind w:firstLine="420" w:firstLineChars="200"/>
        <w:rPr>
          <w:rFonts w:hint="eastAsia" w:ascii="黑体" w:hAnsi="宋体" w:eastAsia="黑体"/>
        </w:rPr>
      </w:pPr>
      <w:r>
        <w:rPr>
          <w:rFonts w:hint="eastAsia" w:ascii="黑体" w:hAnsi="宋体" w:eastAsia="黑体"/>
        </w:rPr>
        <w:t>二、执行标准</w:t>
      </w:r>
    </w:p>
    <w:p>
      <w:pPr>
        <w:spacing w:line="480" w:lineRule="exact"/>
        <w:ind w:firstLine="420" w:firstLineChars="200"/>
        <w:rPr>
          <w:rFonts w:hint="eastAsia" w:ascii="宋体" w:hAnsi="宋体"/>
        </w:rPr>
      </w:pPr>
      <w:r>
        <w:rPr>
          <w:rFonts w:hint="eastAsia" w:ascii="宋体" w:hAnsi="宋体"/>
        </w:rPr>
        <w:t>1、招标方此处所列标准仅为涉及的主要标准，而且不保证其为最新版执行标准；投标方应当在投标文件中认真予以填写、补充和修改完善。</w:t>
      </w:r>
    </w:p>
    <w:p>
      <w:pPr>
        <w:spacing w:line="480" w:lineRule="exact"/>
        <w:ind w:firstLine="420" w:firstLineChars="200"/>
        <w:rPr>
          <w:rFonts w:hint="eastAsia" w:ascii="宋体" w:hAnsi="宋体"/>
        </w:rPr>
      </w:pPr>
      <w:r>
        <w:rPr>
          <w:rFonts w:hint="eastAsia" w:ascii="宋体" w:hAnsi="宋体"/>
        </w:rPr>
        <w:t>2、投标方需要执行的标准，应当所供设备通过招标方将来组织的最终验收之日开始执行的最新标准。</w:t>
      </w:r>
    </w:p>
    <w:p>
      <w:pPr>
        <w:spacing w:line="480" w:lineRule="exact"/>
        <w:ind w:firstLine="420" w:firstLineChars="200"/>
        <w:rPr>
          <w:rFonts w:hint="eastAsia" w:ascii="宋体" w:hAnsi="宋体"/>
        </w:rPr>
      </w:pPr>
      <w:r>
        <w:rPr>
          <w:rFonts w:hint="eastAsia" w:ascii="宋体" w:hAnsi="宋体"/>
        </w:rPr>
        <w:t>3、采购设备的产品质量、技术标准如在招投标文件中无相应说明，则按中华人民共和国有关部门颁发的最新的国标或专业（部）标准执行及相应的国际标准。没有国家或专业（部）标准的，按企业标准执行。但当标准不统一时，原则上按照最严格标准执行。</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lang w:eastAsia="zh-CN"/>
        </w:rPr>
        <w:t>、</w:t>
      </w:r>
      <w:r>
        <w:rPr>
          <w:rFonts w:hint="eastAsia" w:ascii="宋体" w:hAnsi="宋体" w:eastAsia="宋体" w:cs="宋体"/>
          <w:sz w:val="24"/>
          <w:szCs w:val="24"/>
        </w:rPr>
        <w:t>投标人所供货物涉及的专利权技术以及知识产权保护的其他技术等，应保证招标人不因此受到任何侵权指控以及实际损失。</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lang w:eastAsia="zh-CN"/>
        </w:rPr>
        <w:t>、</w:t>
      </w:r>
      <w:r>
        <w:rPr>
          <w:rFonts w:hint="eastAsia" w:ascii="宋体" w:hAnsi="宋体" w:eastAsia="宋体" w:cs="宋体"/>
          <w:sz w:val="24"/>
          <w:szCs w:val="24"/>
        </w:rPr>
        <w:t>投标人应满足招标人提出的各项技术要求，必要时应当免费提供技术承诺或担保。</w:t>
      </w:r>
    </w:p>
    <w:p>
      <w:pPr>
        <w:keepNext w:val="0"/>
        <w:keepLines w:val="0"/>
        <w:pageBreakBefore w:val="0"/>
        <w:widowControl w:val="0"/>
        <w:kinsoku/>
        <w:wordWrap/>
        <w:overflowPunct w:val="0"/>
        <w:topLinePunct w:val="0"/>
        <w:autoSpaceDE/>
        <w:autoSpaceDN/>
        <w:bidi w:val="0"/>
        <w:adjustRightInd/>
        <w:snapToGrid/>
        <w:spacing w:line="360" w:lineRule="auto"/>
        <w:ind w:firstLine="480" w:firstLineChars="200"/>
        <w:jc w:val="both"/>
        <w:textAlignment w:val="auto"/>
        <w:rPr>
          <w:rFonts w:hint="eastAsia"/>
        </w:rPr>
      </w:pPr>
      <w:r>
        <w:rPr>
          <w:rFonts w:hint="eastAsia" w:ascii="宋体" w:hAnsi="宋体" w:eastAsia="宋体" w:cs="宋体"/>
          <w:sz w:val="24"/>
          <w:szCs w:val="24"/>
          <w:lang w:val="en-US" w:eastAsia="zh-CN"/>
        </w:rPr>
        <w:t>6</w:t>
      </w:r>
      <w:r>
        <w:rPr>
          <w:rFonts w:hint="eastAsia" w:ascii="宋体" w:hAnsi="宋体" w:eastAsia="宋体" w:cs="宋体"/>
          <w:sz w:val="24"/>
          <w:szCs w:val="24"/>
          <w:lang w:eastAsia="zh-CN"/>
        </w:rPr>
        <w:t>、</w:t>
      </w:r>
      <w:r>
        <w:rPr>
          <w:rFonts w:hint="eastAsia" w:ascii="宋体" w:hAnsi="宋体" w:eastAsia="宋体" w:cs="宋体"/>
          <w:b w:val="0"/>
          <w:bCs w:val="0"/>
          <w:sz w:val="24"/>
          <w:szCs w:val="24"/>
          <w:highlight w:val="none"/>
        </w:rPr>
        <w:t>投标人应对招标人采购的货物所涉及的技术、产能等信息负有保密义务，招标人拥有追究投标人泄密责任的权利；招标人如有需要，投标人应无条件签署保密协议。</w:t>
      </w:r>
    </w:p>
    <w:p>
      <w:pPr>
        <w:spacing w:line="360" w:lineRule="exact"/>
        <w:ind w:firstLine="420" w:firstLineChars="200"/>
        <w:rPr>
          <w:rFonts w:hint="eastAsia" w:ascii="宋体" w:hAnsi="宋体"/>
        </w:rPr>
      </w:pPr>
      <w:r>
        <w:rPr>
          <w:rFonts w:hint="eastAsia" w:ascii="宋体" w:hAnsi="宋体"/>
          <w:lang w:val="en-US" w:eastAsia="zh-CN"/>
        </w:rPr>
        <w:t>7</w:t>
      </w:r>
      <w:r>
        <w:rPr>
          <w:rFonts w:hint="eastAsia" w:ascii="宋体" w:hAnsi="宋体"/>
        </w:rPr>
        <w:t>、如果有采用国际标准的货物，其执行标准由投标方提供、招标方确认。</w:t>
      </w:r>
    </w:p>
    <w:p>
      <w:pPr>
        <w:spacing w:line="360" w:lineRule="auto"/>
        <w:ind w:firstLine="420" w:firstLineChars="200"/>
        <w:rPr>
          <w:rFonts w:hint="eastAsia" w:ascii="宋体"/>
          <w:highlight w:val="none"/>
        </w:rPr>
      </w:pPr>
      <w:r>
        <w:rPr>
          <w:rFonts w:hint="eastAsia" w:ascii="宋体"/>
          <w:highlight w:val="none"/>
          <w:lang w:val="en-US" w:eastAsia="zh-CN"/>
        </w:rPr>
        <w:t>8</w:t>
      </w:r>
      <w:r>
        <w:rPr>
          <w:rFonts w:hint="eastAsia" w:ascii="宋体"/>
          <w:highlight w:val="none"/>
        </w:rPr>
        <w:t>、涉及的主要标准：</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640"/>
        <w:gridCol w:w="6352"/>
        <w:gridCol w:w="21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标准名称</w:t>
            </w:r>
          </w:p>
        </w:tc>
        <w:tc>
          <w:tcPr>
            <w:tcW w:w="1185"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《电气装置安装工程电缆线路施工及验收规范》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GB50168-2006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中国重型汽车有限公司企业标准《设备设施颜色标识》</w:t>
            </w:r>
          </w:p>
        </w:tc>
        <w:tc>
          <w:tcPr>
            <w:tcW w:w="118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lang w:eastAsia="zh-CN"/>
              </w:rPr>
            </w:pPr>
            <w:r>
              <w:rPr>
                <w:rFonts w:hint="eastAsia" w:ascii="宋体" w:hAnsi="宋体" w:eastAsia="宋体" w:cs="宋体"/>
                <w:color w:val="auto"/>
                <w:sz w:val="20"/>
                <w:szCs w:val="20"/>
                <w:highlight w:val="none"/>
              </w:rPr>
              <w:t>Q/ZZ30070-</w:t>
            </w:r>
            <w:r>
              <w:rPr>
                <w:rFonts w:hint="eastAsia" w:ascii="宋体" w:hAnsi="宋体" w:eastAsia="宋体" w:cs="宋体"/>
                <w:color w:val="auto"/>
                <w:sz w:val="20"/>
                <w:szCs w:val="20"/>
                <w:highlight w:val="none"/>
                <w:lang w:eastAsia="zh-CN"/>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HYPERLINK "http://product.dangdang.com/1100236607.html" \t "_blank"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机器的安全性防止人体上下肢触及危险区的安全距离</w:t>
            </w:r>
            <w:r>
              <w:rPr>
                <w:rFonts w:hint="eastAsia" w:ascii="宋体" w:hAnsi="宋体" w:eastAsia="宋体" w:cs="宋体"/>
                <w:color w:val="auto"/>
                <w:sz w:val="20"/>
                <w:szCs w:val="20"/>
                <w:highlight w:val="none"/>
              </w:rPr>
              <w:fldChar w:fldCharType="end"/>
            </w:r>
          </w:p>
        </w:tc>
        <w:tc>
          <w:tcPr>
            <w:tcW w:w="118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GB23821-2009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《工业企业噪声控制设计规范》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GBJ87-85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《工业企业噪声测量规范》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GBJ122-88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8"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工作场所物理因素测量</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GBZ/T189.1-2007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《通信电源设备安装工程设计规范》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YD/T 5040-2005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《电气装置安装工程电力变压器、互感器施工及验收规范》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GBJ 148-1990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《电气装置安装工程电缆线路施工及验收规范》</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 50168-1992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《可编程序控制器国际标准》</w:t>
            </w:r>
          </w:p>
        </w:tc>
        <w:tc>
          <w:tcPr>
            <w:tcW w:w="118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IEC1131_3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《软件维护指南》</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GB/T14079-1993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w:t>
            </w:r>
          </w:p>
        </w:tc>
        <w:tc>
          <w:tcPr>
            <w:tcW w:w="3465" w:type="pct"/>
            <w:noWrap w:val="0"/>
            <w:vAlign w:val="center"/>
          </w:tcPr>
          <w:p>
            <w:pPr>
              <w:keepNext w:val="0"/>
              <w:keepLines w:val="0"/>
              <w:pageBreakBefore w:val="0"/>
              <w:widowControl/>
              <w:kinsoku/>
              <w:wordWrap/>
              <w:overflowPunct/>
              <w:topLinePunct w:val="0"/>
              <w:autoSpaceDE w:val="0"/>
              <w:autoSpaceDN w:val="0"/>
              <w:bidi w:val="0"/>
              <w:adjustRightInd w:val="0"/>
              <w:snapToGrid/>
              <w:spacing w:before="27" w:beforeAutospacing="0" w:afterAutospacing="0" w:line="480" w:lineRule="exact"/>
              <w:ind w:right="36" w:rightChars="17"/>
              <w:jc w:val="center"/>
              <w:textAlignment w:val="auto"/>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w:t>
            </w:r>
            <w:r>
              <w:rPr>
                <w:rFonts w:hint="eastAsia" w:ascii="宋体" w:hAnsi="宋体" w:eastAsia="宋体" w:cs="宋体"/>
                <w:color w:val="auto"/>
                <w:sz w:val="20"/>
                <w:szCs w:val="20"/>
                <w:highlight w:val="none"/>
                <w:lang w:val="en-US" w:eastAsia="zh-CN"/>
              </w:rPr>
              <w:t>机械设备安装工程施工及验收规范》</w:t>
            </w:r>
          </w:p>
        </w:tc>
        <w:tc>
          <w:tcPr>
            <w:tcW w:w="1185"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 50231-98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13</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电工成套装置中的导线颜色</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GB/T2681-81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w:t>
            </w:r>
          </w:p>
        </w:tc>
        <w:tc>
          <w:tcPr>
            <w:tcW w:w="346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电工成套装置中的指示灯和按钮的颜色</w:t>
            </w:r>
          </w:p>
        </w:tc>
        <w:tc>
          <w:tcPr>
            <w:tcW w:w="1185" w:type="pct"/>
            <w:noWrap w:val="0"/>
            <w:vAlign w:val="center"/>
          </w:tcPr>
          <w:p>
            <w:pPr>
              <w:overflowPunct w:val="0"/>
              <w:autoSpaceDE w:val="0"/>
              <w:autoSpaceDN w:val="0"/>
              <w:spacing w:beforeLines="0" w:afterLines="0" w:line="240" w:lineRule="auto"/>
              <w:jc w:val="center"/>
              <w:rPr>
                <w:rFonts w:hint="eastAsia" w:ascii="宋体" w:hAnsi="宋体" w:cs="Microsoft JhengHei Light"/>
                <w:color w:val="000000"/>
                <w:sz w:val="24"/>
                <w:szCs w:val="24"/>
                <w:highlight w:val="none"/>
              </w:rPr>
            </w:pPr>
            <w:r>
              <w:rPr>
                <w:rFonts w:hint="eastAsia" w:ascii="宋体" w:hAnsi="宋体" w:eastAsia="宋体" w:cs="宋体"/>
                <w:color w:val="auto"/>
                <w:sz w:val="20"/>
                <w:szCs w:val="20"/>
                <w:highlight w:val="none"/>
              </w:rPr>
              <w:t>GB/T2682-81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567" w:hRule="atLeast"/>
          <w:jc w:val="center"/>
        </w:trPr>
        <w:tc>
          <w:tcPr>
            <w:tcW w:w="349" w:type="pct"/>
            <w:noWrap w:val="0"/>
            <w:vAlign w:val="center"/>
          </w:tcPr>
          <w:p>
            <w:pPr>
              <w:keepNext w:val="0"/>
              <w:keepLines w:val="0"/>
              <w:pageBreakBefore w:val="0"/>
              <w:widowControl w:val="0"/>
              <w:kinsoku/>
              <w:wordWrap/>
              <w:overflowPunct w:val="0"/>
              <w:topLinePunct w:val="0"/>
              <w:autoSpaceDE/>
              <w:autoSpaceDN/>
              <w:bidi w:val="0"/>
              <w:adjustRightInd/>
              <w:snapToGrid/>
              <w:spacing w:beforeAutospacing="0" w:afterAutospacing="0" w:line="240" w:lineRule="auto"/>
              <w:ind w:right="0" w:rightChars="0" w:firstLine="0" w:firstLineChars="0"/>
              <w:jc w:val="center"/>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w:t>
            </w:r>
          </w:p>
        </w:tc>
        <w:tc>
          <w:tcPr>
            <w:tcW w:w="346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fldChar w:fldCharType="begin"/>
            </w:r>
            <w:r>
              <w:rPr>
                <w:rFonts w:hint="eastAsia" w:ascii="宋体" w:hAnsi="宋体" w:eastAsia="宋体" w:cs="宋体"/>
                <w:color w:val="auto"/>
                <w:sz w:val="20"/>
                <w:szCs w:val="20"/>
                <w:highlight w:val="none"/>
              </w:rPr>
              <w:instrText xml:space="preserve"> HYPERLINK "http://wenku.baidu.com/view/db95ac1014791711cc791788.html" \t "_blank" </w:instrText>
            </w:r>
            <w:r>
              <w:rPr>
                <w:rFonts w:hint="eastAsia" w:ascii="宋体" w:hAnsi="宋体" w:eastAsia="宋体" w:cs="宋体"/>
                <w:color w:val="auto"/>
                <w:sz w:val="20"/>
                <w:szCs w:val="20"/>
                <w:highlight w:val="none"/>
              </w:rPr>
              <w:fldChar w:fldCharType="separate"/>
            </w:r>
            <w:r>
              <w:rPr>
                <w:rFonts w:hint="eastAsia" w:ascii="宋体" w:hAnsi="宋体" w:eastAsia="宋体" w:cs="宋体"/>
                <w:color w:val="auto"/>
                <w:sz w:val="20"/>
                <w:szCs w:val="20"/>
                <w:highlight w:val="none"/>
              </w:rPr>
              <w:t>机械设备防护罩安全标准</w:t>
            </w:r>
            <w:r>
              <w:rPr>
                <w:rFonts w:hint="eastAsia" w:ascii="宋体" w:hAnsi="宋体" w:eastAsia="宋体" w:cs="宋体"/>
                <w:color w:val="auto"/>
                <w:sz w:val="20"/>
                <w:szCs w:val="20"/>
                <w:highlight w:val="none"/>
              </w:rPr>
              <w:fldChar w:fldCharType="end"/>
            </w:r>
          </w:p>
        </w:tc>
        <w:tc>
          <w:tcPr>
            <w:tcW w:w="1185" w:type="pct"/>
            <w:noWrap w:val="0"/>
            <w:vAlign w:val="center"/>
          </w:tcPr>
          <w:p>
            <w:pPr>
              <w:overflowPunct w:val="0"/>
              <w:autoSpaceDE w:val="0"/>
              <w:autoSpaceDN w:val="0"/>
              <w:spacing w:beforeLines="0" w:afterLines="0" w:line="240" w:lineRule="auto"/>
              <w:jc w:val="center"/>
              <w:rPr>
                <w:rFonts w:hint="eastAsia" w:ascii="宋体" w:hAnsi="宋体" w:eastAsia="宋体" w:cs="宋体"/>
                <w:color w:val="auto"/>
                <w:kern w:val="2"/>
                <w:sz w:val="20"/>
                <w:szCs w:val="20"/>
                <w:highlight w:val="none"/>
                <w:lang w:val="en-US" w:eastAsia="zh-CN" w:bidi="ar-SA"/>
              </w:rPr>
            </w:pPr>
            <w:r>
              <w:rPr>
                <w:rFonts w:hint="eastAsia" w:ascii="宋体" w:hAnsi="宋体" w:eastAsia="宋体" w:cs="宋体"/>
                <w:color w:val="auto"/>
                <w:sz w:val="20"/>
                <w:szCs w:val="20"/>
                <w:highlight w:val="none"/>
              </w:rPr>
              <w:t>GB8196-2003</w:t>
            </w:r>
          </w:p>
        </w:tc>
      </w:tr>
    </w:tbl>
    <w:p>
      <w:pPr>
        <w:pStyle w:val="17"/>
      </w:pPr>
    </w:p>
    <w:p>
      <w:pPr>
        <w:numPr>
          <w:ilvl w:val="0"/>
          <w:numId w:val="11"/>
        </w:numPr>
        <w:spacing w:line="480" w:lineRule="exact"/>
        <w:rPr>
          <w:rFonts w:hint="eastAsia" w:ascii="黑体" w:hAnsi="宋体" w:eastAsia="黑体"/>
        </w:rPr>
      </w:pPr>
      <w:r>
        <w:rPr>
          <w:rFonts w:hint="eastAsia" w:ascii="黑体" w:hAnsi="宋体" w:eastAsia="黑体"/>
        </w:rPr>
        <w:t>技术规范和技术要求</w:t>
      </w:r>
    </w:p>
    <w:p>
      <w:pPr>
        <w:pStyle w:val="7"/>
        <w:keepNext w:val="0"/>
        <w:keepLines w:val="0"/>
        <w:numPr>
          <w:ilvl w:val="0"/>
          <w:numId w:val="12"/>
        </w:numPr>
        <w:spacing w:line="360" w:lineRule="auto"/>
        <w:ind w:firstLine="420" w:firstLineChars="200"/>
        <w:jc w:val="left"/>
        <w:rPr>
          <w:rFonts w:hint="eastAsia" w:ascii="宋体"/>
          <w:bCs w:val="0"/>
          <w:szCs w:val="20"/>
        </w:rPr>
      </w:pPr>
      <w:r>
        <w:rPr>
          <w:rFonts w:ascii="宋体"/>
          <w:bCs w:val="0"/>
          <w:szCs w:val="20"/>
        </w:rPr>
        <w:t>项目</w:t>
      </w:r>
      <w:r>
        <w:rPr>
          <w:rFonts w:hint="eastAsia" w:ascii="宋体"/>
          <w:bCs w:val="0"/>
          <w:szCs w:val="20"/>
        </w:rPr>
        <w:t>工艺要求</w:t>
      </w:r>
    </w:p>
    <w:p>
      <w:pPr>
        <w:keepNext w:val="0"/>
        <w:keepLines w:val="0"/>
        <w:pageBreakBefore w:val="0"/>
        <w:widowControl w:val="0"/>
        <w:numPr>
          <w:ilvl w:val="0"/>
          <w:numId w:val="13"/>
        </w:numPr>
        <w:kinsoku/>
        <w:wordWrap/>
        <w:overflowPunct/>
        <w:topLinePunct w:val="0"/>
        <w:autoSpaceDE/>
        <w:autoSpaceDN/>
        <w:bidi w:val="0"/>
        <w:adjustRightInd/>
        <w:snapToGrid/>
        <w:spacing w:line="360" w:lineRule="auto"/>
        <w:textAlignment w:val="auto"/>
        <w:rPr>
          <w:rFonts w:hint="eastAsia" w:ascii="宋体" w:hAnsi="Courier New" w:eastAsia="宋体" w:cs="Times New Roman"/>
          <w:kern w:val="2"/>
          <w:sz w:val="24"/>
          <w:szCs w:val="20"/>
          <w:lang w:val="en-US" w:eastAsia="zh-CN" w:bidi="ar-SA"/>
        </w:rPr>
      </w:pPr>
      <w:r>
        <w:rPr>
          <w:rFonts w:hint="eastAsia" w:ascii="宋体" w:hAnsi="Courier New" w:eastAsia="宋体" w:cs="Times New Roman"/>
          <w:kern w:val="2"/>
          <w:sz w:val="24"/>
          <w:szCs w:val="20"/>
          <w:lang w:val="en-US" w:eastAsia="zh-CN" w:bidi="ar-SA"/>
        </w:rPr>
        <w:t>减震器轮毂分装拧紧设备</w:t>
      </w:r>
    </w:p>
    <w:p>
      <w:pPr>
        <w:pStyle w:val="17"/>
        <w:numPr>
          <w:ilvl w:val="0"/>
          <w:numId w:val="14"/>
        </w:numPr>
        <w:spacing w:line="360" w:lineRule="auto"/>
        <w:ind w:left="0" w:leftChars="0" w:firstLine="480" w:firstLineChars="200"/>
        <w:jc w:val="left"/>
        <w:outlineLvl w:val="0"/>
        <w:rPr>
          <w:rFonts w:hint="default" w:ascii="宋体" w:hAnsi="Courier New" w:eastAsia="宋体" w:cs="Times New Roman"/>
          <w:sz w:val="24"/>
          <w:highlight w:val="none"/>
          <w:lang w:val="en-US" w:eastAsia="zh-CN"/>
        </w:rPr>
      </w:pPr>
      <w:r>
        <w:rPr>
          <w:sz w:val="24"/>
        </w:rPr>
        <mc:AlternateContent>
          <mc:Choice Requires="wps">
            <w:drawing>
              <wp:anchor distT="0" distB="0" distL="114300" distR="114300" simplePos="0" relativeHeight="251660288" behindDoc="0" locked="0" layoutInCell="1" allowOverlap="1">
                <wp:simplePos x="0" y="0"/>
                <wp:positionH relativeFrom="column">
                  <wp:posOffset>2525395</wp:posOffset>
                </wp:positionH>
                <wp:positionV relativeFrom="paragraph">
                  <wp:posOffset>4085590</wp:posOffset>
                </wp:positionV>
                <wp:extent cx="579755" cy="595630"/>
                <wp:effectExtent l="7620" t="7620" r="22225" b="25400"/>
                <wp:wrapNone/>
                <wp:docPr id="39" name="圆角矩形 39"/>
                <wp:cNvGraphicFramePr/>
                <a:graphic xmlns:a="http://schemas.openxmlformats.org/drawingml/2006/main">
                  <a:graphicData uri="http://schemas.microsoft.com/office/word/2010/wordprocessingShape">
                    <wps:wsp>
                      <wps:cNvSpPr/>
                      <wps:spPr>
                        <a:xfrm>
                          <a:off x="0" y="0"/>
                          <a:ext cx="579755" cy="595630"/>
                        </a:xfrm>
                        <a:prstGeom prst="roundRect">
                          <a:avLst>
                            <a:gd name="adj" fmla="val 16667"/>
                          </a:avLst>
                        </a:prstGeom>
                        <a:noFill/>
                        <a:ln w="158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98.85pt;margin-top:321.7pt;height:46.9pt;width:45.65pt;z-index:251660288;mso-width-relative:page;mso-height-relative:page;" filled="f" stroked="t" coordsize="21600,21600" arcsize="0.166666666666667" o:gfxdata="UEsDBAoAAAAAAIdO4kAAAAAAAAAAAAAAAAAEAAAAZHJzL1BLAwQUAAAACACHTuJAFlkbUtsAAAAL&#10;AQAADwAAAGRycy9kb3ducmV2LnhtbE2PMW/CMBCF90r9D9ZV6lIVB5wSSHNhQOrSqUBVic3ER5IS&#10;21FsAv33vU5lPN2n975XrK62EyMNofUOYTpJQJCrvGldjfC5e3tegAhRO6M77wjhhwKsyvu7QufG&#10;X9yGxm2sBYe4kGuEJsY+lzJUDVkdJr4nx7+jH6yOfA61NIO+cLjt5CxJ5tLq1nFDo3taN1SdtmeL&#10;oN/36Tq032qjdvVL9fElT+ZpRHx8mCavICJd4z8Mf/qsDiU7HfzZmSA6BLXMMkYR5qlKQTCRLpa8&#10;7oCQqWwGsizk7YbyF1BLAwQUAAAACACHTuJAgFdIBhsCAAAkBAAADgAAAGRycy9lMm9Eb2MueG1s&#10;rVNLjhMxEN0jcQfLe9LJjDqZtNKZBSFsEIwYOEDFdncb+SfbSScX4ACskZDYoDkExxnBMSg7TQaG&#10;TRb0wl12lV/Ve1VeXO+1Ijvhg7SmppPRmBJhmOXStDV9/2797IqSEMFwUNaImh5EoNfLp08WvavE&#10;he2s4sITBDGh6l1NuxhdVRSBdUJDGFknDDob6zVE3Pq24B56RNequBiPp0VvPXfeMhECnq6OTjog&#10;+nMAbdNIJlaWbbUw8YjqhYKIlEInXaDLXG3TCBbfNE0QkaiaItOYV0yC9iatxXIBVevBdZINJcA5&#10;JTzipEEaTHqCWkEEsvXyHygtmbfBNnHErC6ORLIiyGIyfqTNbQdOZC4odXAn0cP/g2WvdzeeSF7T&#10;yzklBjR2/P7zx5/fPv34cnf//SvBY9Sod6HC0Ft344ddQDMR3jdepz9SIfus6+Gkq9hHwvCwnM1n&#10;ZUkJQ1c5L6eXWffi4bLzIb4UVpNk1NTbreFvsXdZUti9CjFry4cCgX+gpNEKO7UDRSbT6XSWqkTE&#10;IRit35jpprFrqVTutTKkx7Evr2apIMABbnBw0NQORQimzTmDVZKnO+l28O3mufIEc9V0vR7jN2T7&#10;KywlXEHojnHZlcKg6gTwF4aTeHCorsFXRVMNWnBKlMBHmKwcGUGqcyKRnjLIN7Xl2IhkbSw/YDO3&#10;zsu2QxknucrkweHJ6gyDnqbzz31Genjcy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WWRtS2wAA&#10;AAsBAAAPAAAAAAAAAAEAIAAAACIAAABkcnMvZG93bnJldi54bWxQSwECFAAUAAAACACHTuJAgFdI&#10;BhsCAAAkBAAADgAAAAAAAAABACAAAAAqAQAAZHJzL2Uyb0RvYy54bWxQSwUGAAAAAAYABgBZAQAA&#10;twUAAAAA&#10;">
                <v:fill on="f" focussize="0,0"/>
                <v:stroke weight="1.25pt" color="#FF0000" joinstyle="round"/>
                <v:imagedata o:title=""/>
                <o:lock v:ext="edit" aspectratio="f"/>
              </v:roundrect>
            </w:pict>
          </mc:Fallback>
        </mc:AlternateContent>
      </w:r>
      <w:r>
        <w:rPr>
          <w:sz w:val="24"/>
        </w:rPr>
        <mc:AlternateContent>
          <mc:Choice Requires="wps">
            <w:drawing>
              <wp:anchor distT="0" distB="0" distL="114300" distR="114300" simplePos="0" relativeHeight="251659264" behindDoc="0" locked="0" layoutInCell="1" allowOverlap="1">
                <wp:simplePos x="0" y="0"/>
                <wp:positionH relativeFrom="column">
                  <wp:posOffset>236220</wp:posOffset>
                </wp:positionH>
                <wp:positionV relativeFrom="paragraph">
                  <wp:posOffset>4325620</wp:posOffset>
                </wp:positionV>
                <wp:extent cx="579755" cy="595630"/>
                <wp:effectExtent l="7620" t="7620" r="22225" b="25400"/>
                <wp:wrapNone/>
                <wp:docPr id="40" name="圆角矩形 40"/>
                <wp:cNvGraphicFramePr/>
                <a:graphic xmlns:a="http://schemas.openxmlformats.org/drawingml/2006/main">
                  <a:graphicData uri="http://schemas.microsoft.com/office/word/2010/wordprocessingShape">
                    <wps:wsp>
                      <wps:cNvSpPr/>
                      <wps:spPr>
                        <a:xfrm>
                          <a:off x="0" y="0"/>
                          <a:ext cx="579755" cy="595630"/>
                        </a:xfrm>
                        <a:prstGeom prst="roundRect">
                          <a:avLst>
                            <a:gd name="adj" fmla="val 16667"/>
                          </a:avLst>
                        </a:prstGeom>
                        <a:noFill/>
                        <a:ln w="158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8.6pt;margin-top:340.6pt;height:46.9pt;width:45.65pt;z-index:251659264;mso-width-relative:page;mso-height-relative:page;" filled="f" stroked="t" coordsize="21600,21600" arcsize="0.166666666666667" o:gfxdata="UEsDBAoAAAAAAIdO4kAAAAAAAAAAAAAAAAAEAAAAZHJzL1BLAwQUAAAACACHTuJAmuwWrtoAAAAK&#10;AQAADwAAAGRycy9kb3ducmV2LnhtbE2PTU/DMAyG70j8h8hIXBBLP9a1KnV3mMSFE9sQEjevCW1Z&#10;41RN1o1/T3YaN1t+9Pp5q/XFDGLWk+stI8SLCITmxqqeW4SP/etzAcJ5YkWDZY3wqx2s6/u7ikpl&#10;z7zV8863IoSwKwmh834spXRNpw25hR01h9u3nQz5sE6tVBOdQ7gZZBJFK2mo5/Cho1FvOt0cdyeD&#10;QG9fy43rf9Jtum+z5v1THtXTjPj4EEcvILy++BsMV/2gDnVwOtgTKycGhDRPAomwKuIwXIGkyEAc&#10;EPI8i0DWlfxfof4DUEsDBBQAAAAIAIdO4kABNeyWGwIAACQEAAAOAAAAZHJzL2Uyb0RvYy54bWyt&#10;U81uEzEQviPxDpbvZJPCJu0qmx4I4YKgovQBJrZ318h/sp1s8gI8AGckJC4VD8HjVPAYHTtLCuWS&#10;A3vwjj3jb+b7Zjy/3GlFtsIHaU1NJ6MxJcIwy6Vpa3rzYfXsnJIQwXBQ1oia7kWgl4unT+a9q8SZ&#10;7aziwhMEMaHqXU27GF1VFIF1QkMYWScMOhvrNUTc+rbgHnpE16o4G4+nRW89d94yEQKeLg9OOiD6&#10;UwBt00gmlpZttDDxgOqFgoiUQiddoItcbdMIFt81TRCRqJoi05hXTIL2Oq3FYg5V68F1kg0lwCkl&#10;POKkQRpMeoRaQgSy8fIfKC2Zt8E2ccSsLg5EsiLIYjJ+pM11B05kLih1cEfRw/+DZW+3V55IXtMX&#10;KIkBjR2/+/Lp1+3nn1+/3/34RvAYNepdqDD02l35YRfQTIR3jdfpj1TILuu6P+oqdpEwPCxnF7Oy&#10;pIShq7wop88zZvFw2fkQXwurSTJq6u3G8PfYuywpbN+EmLXlQ4HAP1LSaIWd2oIik+l0OktVIuIQ&#10;jNZvzHTT2JVUKvdaGdLj2Jfns1QQ4AA3ODhoaociBNPmnMEqydOddDv4dv1SeYK5arpajfEbsv0V&#10;lhIuIXSHuOxKYVB1Avgrw0ncO1TX4KuiqQYtOCVK4CNMVo6MINUpkUhPGeSb2nJoRLLWlu+xmRvn&#10;ZduhjJNcZfLg8GR1hkFP0/nnPiM9PO7F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rsFq7aAAAA&#10;CgEAAA8AAAAAAAAAAQAgAAAAIgAAAGRycy9kb3ducmV2LnhtbFBLAQIUABQAAAAIAIdO4kABNeyW&#10;GwIAACQEAAAOAAAAAAAAAAEAIAAAACkBAABkcnMvZTJvRG9jLnhtbFBLBQYAAAAABgAGAFkBAAC2&#10;BQAAAAA=&#10;">
                <v:fill on="f" focussize="0,0"/>
                <v:stroke weight="1.25pt" color="#FF0000" joinstyle="round"/>
                <v:imagedata o:title=""/>
                <o:lock v:ext="edit" aspectratio="f"/>
              </v:roundrect>
            </w:pict>
          </mc:Fallback>
        </mc:AlternateContent>
      </w:r>
      <w:r>
        <w:rPr>
          <w:rFonts w:hint="eastAsia" w:ascii="宋体" w:hAnsi="Courier New" w:eastAsia="宋体" w:cs="Times New Roman"/>
          <w:sz w:val="24"/>
          <w:lang w:val="en-US" w:eastAsia="zh-CN"/>
        </w:rPr>
        <w:t>专用吊具能承受至少50KG重量以满足未来更重的型号，能够满足多种状态减震器的工具吊装（未装轮毂平放状态移动，装配轮毂竖直状态移动且需要对正齿轮），夹具不得</w:t>
      </w:r>
      <w:r>
        <w:rPr>
          <w:rFonts w:hint="eastAsia" w:ascii="宋体" w:hAnsi="Courier New" w:eastAsia="宋体" w:cs="Times New Roman"/>
          <w:sz w:val="24"/>
          <w:highlight w:val="none"/>
          <w:lang w:val="en-US" w:eastAsia="zh-CN"/>
        </w:rPr>
        <w:t>对减震器漆面有磨损、不得损伤部分型号表面散热片。减震器散热片有三种状态，投标方除专用吊具外还需提供吊具配合用折臂吊相关信息。</w:t>
      </w:r>
      <w:r>
        <w:rPr>
          <w:rFonts w:hint="eastAsia" w:ascii="宋体" w:hAnsi="Courier New" w:eastAsia="宋体" w:cs="Times New Roman"/>
          <w:sz w:val="24"/>
          <w:highlight w:val="none"/>
          <w:lang w:val="en-US" w:eastAsia="zh-CN"/>
        </w:rPr>
        <w:drawing>
          <wp:inline distT="0" distB="0" distL="114300" distR="114300">
            <wp:extent cx="1947545" cy="2044700"/>
            <wp:effectExtent l="0" t="0" r="14605" b="12700"/>
            <wp:docPr id="43" name="图片 1" descr="lQLPKHAA8pPADvXNAc_NAbmwQOsoU8XikV4HCyNqPCBMAA_441_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lQLPKHAA8pPADvXNAc_NAbmwQOsoU8XikV4HCyNqPCBMAA_441_463"/>
                    <pic:cNvPicPr>
                      <a:picLocks noChangeAspect="1"/>
                    </pic:cNvPicPr>
                  </pic:nvPicPr>
                  <pic:blipFill>
                    <a:blip r:embed="rId43"/>
                    <a:stretch>
                      <a:fillRect/>
                    </a:stretch>
                  </pic:blipFill>
                  <pic:spPr>
                    <a:xfrm>
                      <a:off x="0" y="0"/>
                      <a:ext cx="1947545" cy="2044700"/>
                    </a:xfrm>
                    <a:prstGeom prst="rect">
                      <a:avLst/>
                    </a:prstGeom>
                    <a:noFill/>
                    <a:ln>
                      <a:noFill/>
                    </a:ln>
                  </pic:spPr>
                </pic:pic>
              </a:graphicData>
            </a:graphic>
          </wp:inline>
        </w:drawing>
      </w:r>
      <w:r>
        <w:rPr>
          <w:rFonts w:hint="eastAsia" w:ascii="宋体" w:hAnsi="Courier New" w:eastAsia="宋体" w:cs="Times New Roman"/>
          <w:sz w:val="24"/>
          <w:highlight w:val="none"/>
          <w:lang w:val="en-US" w:eastAsia="zh-CN"/>
        </w:rPr>
        <w:drawing>
          <wp:inline distT="0" distB="0" distL="114300" distR="114300">
            <wp:extent cx="1742440" cy="1807845"/>
            <wp:effectExtent l="0" t="0" r="10160" b="1905"/>
            <wp:docPr id="32" name="图片 2" descr="1730437149149_1730437139132_8FADFE34-9C7B-4628-8AF5-9F79F7FA9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descr="1730437149149_1730437139132_8FADFE34-9C7B-4628-8AF5-9F79F7FA9360"/>
                    <pic:cNvPicPr>
                      <a:picLocks noChangeAspect="1"/>
                    </pic:cNvPicPr>
                  </pic:nvPicPr>
                  <pic:blipFill>
                    <a:blip r:embed="rId44"/>
                    <a:stretch>
                      <a:fillRect/>
                    </a:stretch>
                  </pic:blipFill>
                  <pic:spPr>
                    <a:xfrm>
                      <a:off x="0" y="0"/>
                      <a:ext cx="1742440" cy="1807845"/>
                    </a:xfrm>
                    <a:prstGeom prst="rect">
                      <a:avLst/>
                    </a:prstGeom>
                    <a:noFill/>
                    <a:ln>
                      <a:noFill/>
                    </a:ln>
                  </pic:spPr>
                </pic:pic>
              </a:graphicData>
            </a:graphic>
          </wp:inline>
        </w:drawing>
      </w:r>
      <w:r>
        <w:rPr>
          <w:rFonts w:hint="eastAsia" w:ascii="宋体" w:hAnsi="Courier New" w:eastAsia="宋体" w:cs="Times New Roman"/>
          <w:sz w:val="24"/>
          <w:highlight w:val="none"/>
          <w:lang w:val="en-US" w:eastAsia="zh-CN"/>
        </w:rPr>
        <w:drawing>
          <wp:inline distT="0" distB="0" distL="114300" distR="114300">
            <wp:extent cx="1830705" cy="1828800"/>
            <wp:effectExtent l="0" t="0" r="17145" b="0"/>
            <wp:docPr id="33" name="图片 3" descr="1730437189668_3D1672DF-C95B-4e71-8732-FB6EBB71A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1730437189668_3D1672DF-C95B-4e71-8732-FB6EBB71AE19"/>
                    <pic:cNvPicPr>
                      <a:picLocks noChangeAspect="1"/>
                    </pic:cNvPicPr>
                  </pic:nvPicPr>
                  <pic:blipFill>
                    <a:blip r:embed="rId45"/>
                    <a:stretch>
                      <a:fillRect/>
                    </a:stretch>
                  </pic:blipFill>
                  <pic:spPr>
                    <a:xfrm>
                      <a:off x="0" y="0"/>
                      <a:ext cx="1830705" cy="1828800"/>
                    </a:xfrm>
                    <a:prstGeom prst="rect">
                      <a:avLst/>
                    </a:prstGeom>
                    <a:noFill/>
                    <a:ln>
                      <a:noFill/>
                    </a:ln>
                  </pic:spPr>
                </pic:pic>
              </a:graphicData>
            </a:graphic>
          </wp:inline>
        </w:drawing>
      </w:r>
      <w:r>
        <w:rPr>
          <w:rFonts w:hint="eastAsia" w:ascii="宋体" w:hAnsi="Courier New" w:eastAsia="宋体" w:cs="Times New Roman"/>
          <w:sz w:val="24"/>
          <w:highlight w:val="none"/>
          <w:lang w:val="en-US" w:eastAsia="zh-CN"/>
        </w:rPr>
        <w:t xml:space="preserve"> </w:t>
      </w:r>
      <w:r>
        <w:rPr>
          <w:rFonts w:hint="eastAsia" w:ascii="宋体" w:hAnsi="Courier New" w:eastAsia="宋体" w:cs="Times New Roman"/>
          <w:sz w:val="24"/>
          <w:highlight w:val="none"/>
          <w:lang w:val="en-US" w:eastAsia="zh-CN"/>
        </w:rPr>
        <w:drawing>
          <wp:inline distT="0" distB="0" distL="114300" distR="114300">
            <wp:extent cx="3332480" cy="2500630"/>
            <wp:effectExtent l="0" t="0" r="1270" b="13970"/>
            <wp:docPr id="41" name="图片 4" descr="lQDPKISlHIEvFYfNA8DNBQCwh5eAQcx5IEwHAL_eTZZq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 descr="lQDPKISlHIEvFYfNA8DNBQCwh5eAQcx5IEwHAL_eTZZqAA_1280_960"/>
                    <pic:cNvPicPr>
                      <a:picLocks noChangeAspect="1"/>
                    </pic:cNvPicPr>
                  </pic:nvPicPr>
                  <pic:blipFill>
                    <a:blip r:embed="rId46"/>
                    <a:stretch>
                      <a:fillRect/>
                    </a:stretch>
                  </pic:blipFill>
                  <pic:spPr>
                    <a:xfrm>
                      <a:off x="0" y="0"/>
                      <a:ext cx="3332480" cy="2500630"/>
                    </a:xfrm>
                    <a:prstGeom prst="rect">
                      <a:avLst/>
                    </a:prstGeom>
                    <a:noFill/>
                    <a:ln>
                      <a:noFill/>
                    </a:ln>
                  </pic:spPr>
                </pic:pic>
              </a:graphicData>
            </a:graphic>
          </wp:inline>
        </w:drawing>
      </w:r>
      <w:r>
        <w:rPr>
          <w:rFonts w:hint="eastAsia" w:ascii="宋体" w:hAnsi="Courier New" w:eastAsia="宋体" w:cs="Times New Roman"/>
          <w:sz w:val="24"/>
          <w:highlight w:val="none"/>
          <w:lang w:val="en-US" w:eastAsia="zh-CN"/>
        </w:rPr>
        <w:t xml:space="preserve">  </w:t>
      </w:r>
      <w:r>
        <w:rPr>
          <w:rFonts w:hint="default" w:ascii="宋体" w:hAnsi="Courier New" w:eastAsia="宋体" w:cs="Times New Roman"/>
          <w:sz w:val="24"/>
          <w:highlight w:val="none"/>
          <w:lang w:val="en-US" w:eastAsia="zh-CN"/>
        </w:rPr>
        <w:drawing>
          <wp:inline distT="0" distB="0" distL="114300" distR="114300">
            <wp:extent cx="1876425" cy="2502535"/>
            <wp:effectExtent l="0" t="0" r="9525" b="12065"/>
            <wp:docPr id="34" name="图片 5" descr="lQDPJxXm4g-L6IfNBQDNA8CwqwtUfreWGHcHAL_hPsljAA_960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lQDPJxXm4g-L6IfNBQDNA8CwqwtUfreWGHcHAL_hPsljAA_960_1280"/>
                    <pic:cNvPicPr>
                      <a:picLocks noChangeAspect="1"/>
                    </pic:cNvPicPr>
                  </pic:nvPicPr>
                  <pic:blipFill>
                    <a:blip r:embed="rId47"/>
                    <a:stretch>
                      <a:fillRect/>
                    </a:stretch>
                  </pic:blipFill>
                  <pic:spPr>
                    <a:xfrm>
                      <a:off x="0" y="0"/>
                      <a:ext cx="1876425" cy="2502535"/>
                    </a:xfrm>
                    <a:prstGeom prst="rect">
                      <a:avLst/>
                    </a:prstGeom>
                    <a:noFill/>
                    <a:ln>
                      <a:noFill/>
                    </a:ln>
                  </pic:spPr>
                </pic:pic>
              </a:graphicData>
            </a:graphic>
          </wp:inline>
        </w:drawing>
      </w:r>
    </w:p>
    <w:p>
      <w:pPr>
        <w:pStyle w:val="17"/>
        <w:numPr>
          <w:ilvl w:val="0"/>
          <w:numId w:val="14"/>
        </w:numPr>
        <w:spacing w:line="360" w:lineRule="auto"/>
        <w:ind w:left="0" w:leftChars="0" w:firstLine="480" w:firstLineChars="200"/>
        <w:jc w:val="left"/>
        <w:outlineLvl w:val="0"/>
        <w:rPr>
          <w:rFonts w:hint="default" w:ascii="宋体" w:hAnsi="Courier New" w:eastAsia="宋体" w:cs="Times New Roman"/>
          <w:sz w:val="24"/>
          <w:highlight w:val="none"/>
          <w:lang w:val="en-US" w:eastAsia="zh-CN"/>
        </w:rPr>
      </w:pPr>
      <w:r>
        <w:rPr>
          <w:rFonts w:hint="eastAsia" w:ascii="宋体" w:hAnsi="Courier New" w:eastAsia="宋体" w:cs="Times New Roman"/>
          <w:sz w:val="24"/>
          <w:highlight w:val="none"/>
          <w:lang w:val="en-US" w:eastAsia="zh-CN"/>
        </w:rPr>
        <w:t>当前减震器轮毂分装拧紧设备中的定位机构为通用机构，可满足各种型号的减震器轮毂分装，减震器轮毂安装孔分布直径有124、130、140mm三种，设备需要增加变位机构，满足三种安装孔分布直径的拧紧，并留有一定的余量，使设备更加柔性化，变位采用伺服控制，需保证三种分布直径变位后的套筒与螺栓孔的同轴度。</w:t>
      </w:r>
    </w:p>
    <w:p>
      <w:pPr>
        <w:pStyle w:val="17"/>
        <w:numPr>
          <w:ilvl w:val="0"/>
          <w:numId w:val="14"/>
        </w:numPr>
        <w:spacing w:line="360" w:lineRule="auto"/>
        <w:ind w:left="0" w:leftChars="0" w:firstLine="480" w:firstLineChars="200"/>
        <w:jc w:val="left"/>
        <w:outlineLvl w:val="0"/>
        <w:rPr>
          <w:rFonts w:hint="default" w:ascii="宋体" w:hAnsi="Courier New" w:eastAsia="宋体" w:cs="Times New Roman"/>
          <w:sz w:val="24"/>
          <w:highlight w:val="none"/>
          <w:lang w:val="en-US" w:eastAsia="zh-CN"/>
        </w:rPr>
      </w:pPr>
      <w:r>
        <w:rPr>
          <w:rFonts w:hint="eastAsia" w:ascii="宋体" w:hAnsi="Courier New" w:eastAsia="宋体" w:cs="Times New Roman"/>
          <w:sz w:val="24"/>
          <w:highlight w:val="none"/>
          <w:lang w:val="en-US" w:eastAsia="zh-CN"/>
        </w:rPr>
        <w:t>减震器轮毂安装孔直径有φ12、φ13、φ14三种规格，φ12使用M10套筒，φ13、φ14安装孔使用M12套筒，拧紧轴上需预留传感器标定位置和人工更换套筒空间，且使用快换套筒，两种套筒力矩不同，分别为（65</w:t>
      </w:r>
      <w:r>
        <w:rPr>
          <w:rFonts w:hint="default" w:ascii="Times New Roman" w:hAnsi="Times New Roman" w:eastAsia="宋体" w:cs="Times New Roman"/>
          <w:sz w:val="24"/>
          <w:highlight w:val="none"/>
          <w:lang w:val="en-US" w:eastAsia="zh-CN"/>
        </w:rPr>
        <w:t>~</w:t>
      </w:r>
      <w:r>
        <w:rPr>
          <w:rFonts w:hint="eastAsia" w:ascii="宋体" w:hAnsi="Courier New" w:eastAsia="宋体" w:cs="Times New Roman"/>
          <w:sz w:val="24"/>
          <w:highlight w:val="none"/>
          <w:lang w:val="en-US" w:eastAsia="zh-CN"/>
        </w:rPr>
        <w:t>70）N·m和120N·m,需设计对应程序满足不同轮毂安装孔分布直径和力矩的拧紧。</w:t>
      </w:r>
    </w:p>
    <w:p>
      <w:pPr>
        <w:pStyle w:val="17"/>
        <w:numPr>
          <w:ilvl w:val="0"/>
          <w:numId w:val="14"/>
        </w:numPr>
        <w:spacing w:line="360" w:lineRule="auto"/>
        <w:ind w:left="0" w:leftChars="0" w:firstLine="480" w:firstLineChars="200"/>
        <w:jc w:val="left"/>
        <w:outlineLvl w:val="0"/>
        <w:rPr>
          <w:rFonts w:hint="eastAsia" w:ascii="宋体" w:hAnsi="Courier New" w:eastAsia="宋体" w:cs="Times New Roman"/>
          <w:sz w:val="24"/>
          <w:highlight w:val="none"/>
        </w:rPr>
      </w:pPr>
      <w:r>
        <w:rPr>
          <w:rFonts w:hint="eastAsia" w:ascii="宋体" w:hAnsi="Courier New" w:eastAsia="宋体" w:cs="Times New Roman"/>
          <w:sz w:val="24"/>
          <w:highlight w:val="none"/>
          <w:lang w:val="en-US" w:eastAsia="zh-CN"/>
        </w:rPr>
        <w:t>人工使用扫码枪扫描减震器二维码，设备读取减震器型号后自动选择对应的程序，人工双手启动后设备拧紧8颗轮毂螺栓，并将结果绑定减震器二维码上传质量档案，需要增加手动模式，可以人工选择产品进行拧紧。</w:t>
      </w:r>
    </w:p>
    <w:p>
      <w:pPr>
        <w:pStyle w:val="17"/>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jc w:val="left"/>
        <w:textAlignment w:val="auto"/>
        <w:outlineLvl w:val="0"/>
        <w:rPr>
          <w:rFonts w:hint="default" w:ascii="宋体" w:hAnsi="Courier New" w:eastAsia="宋体" w:cs="Times New Roman"/>
          <w:sz w:val="24"/>
          <w:highlight w:val="none"/>
          <w:lang w:val="en-US" w:eastAsia="zh-CN"/>
        </w:rPr>
      </w:pPr>
      <w:r>
        <w:rPr>
          <w:rFonts w:hint="eastAsia" w:ascii="宋体" w:hAnsi="Courier New" w:eastAsia="宋体" w:cs="Times New Roman"/>
          <w:sz w:val="24"/>
          <w:highlight w:val="none"/>
          <w:lang w:val="en-US" w:eastAsia="zh-CN"/>
        </w:rPr>
        <w:t>（2）机油模块自动拧紧设备</w:t>
      </w:r>
    </w:p>
    <w:p>
      <w:pPr>
        <w:pStyle w:val="17"/>
        <w:numPr>
          <w:ilvl w:val="0"/>
          <w:numId w:val="15"/>
        </w:numPr>
        <w:spacing w:line="360" w:lineRule="auto"/>
        <w:ind w:left="0" w:leftChars="0" w:firstLine="480" w:firstLineChars="200"/>
        <w:jc w:val="left"/>
        <w:outlineLvl w:val="0"/>
        <w:rPr>
          <w:rFonts w:hint="default"/>
          <w:sz w:val="24"/>
          <w:highlight w:val="none"/>
          <w:lang w:val="en-US" w:eastAsia="zh-CN"/>
        </w:rPr>
      </w:pPr>
      <w:r>
        <w:rPr>
          <w:rFonts w:hint="eastAsia"/>
          <w:sz w:val="24"/>
          <w:highlight w:val="none"/>
        </w:rPr>
        <w:t>缸体到达目标位置后，</w:t>
      </w:r>
      <w:r>
        <w:rPr>
          <w:rFonts w:hint="eastAsia"/>
          <w:sz w:val="24"/>
          <w:highlight w:val="none"/>
          <w:lang w:val="en-US" w:eastAsia="zh-CN"/>
        </w:rPr>
        <w:t>定位机构</w:t>
      </w:r>
      <w:r>
        <w:rPr>
          <w:rFonts w:hint="eastAsia"/>
          <w:sz w:val="24"/>
          <w:highlight w:val="none"/>
        </w:rPr>
        <w:t>具备对缸体进行精准定位的能力，</w:t>
      </w:r>
      <w:r>
        <w:rPr>
          <w:rFonts w:hint="eastAsia"/>
          <w:sz w:val="24"/>
          <w:highlight w:val="none"/>
          <w:lang w:val="en-US" w:eastAsia="zh-CN"/>
        </w:rPr>
        <w:t>投标方需确认托盘和缸体精度是否满足机器人使用要求，必要时进行精度补偿，</w:t>
      </w:r>
      <w:r>
        <w:rPr>
          <w:rFonts w:hint="eastAsia"/>
          <w:sz w:val="24"/>
          <w:highlight w:val="none"/>
        </w:rPr>
        <w:t>确保</w:t>
      </w:r>
      <w:r>
        <w:rPr>
          <w:rFonts w:hint="eastAsia"/>
          <w:sz w:val="24"/>
          <w:highlight w:val="none"/>
          <w:lang w:val="en-US" w:eastAsia="zh-CN"/>
        </w:rPr>
        <w:t>缸体能够在拧紧机油模块螺栓的时候在辊道上保持稳定。</w:t>
      </w:r>
    </w:p>
    <w:p>
      <w:pPr>
        <w:pStyle w:val="17"/>
        <w:numPr>
          <w:ilvl w:val="0"/>
          <w:numId w:val="15"/>
        </w:numPr>
        <w:spacing w:line="360" w:lineRule="auto"/>
        <w:ind w:left="0" w:leftChars="0" w:firstLine="480" w:firstLineChars="200"/>
        <w:jc w:val="left"/>
        <w:outlineLvl w:val="0"/>
        <w:rPr>
          <w:rFonts w:hint="default"/>
          <w:sz w:val="24"/>
          <w:highlight w:val="none"/>
          <w:lang w:val="en-US" w:eastAsia="zh-CN"/>
        </w:rPr>
      </w:pPr>
      <w:r>
        <w:rPr>
          <w:rFonts w:hint="eastAsia"/>
          <w:sz w:val="24"/>
          <w:highlight w:val="none"/>
          <w:lang w:val="en-US" w:eastAsia="zh-CN"/>
        </w:rPr>
        <w:t>拧紧设备能够自动拧紧提升型机油模块14颗螺栓，螺栓在X/Y/Z方向位置均不同，拧紧轴位置需要伺服控制，并留有一定的余量，轴与套筒的传递结构采用一体式，保证套筒与轴的同轴度，三轴拧紧机在保证节拍的情况下需要至少分6次拧紧，拧紧</w:t>
      </w:r>
      <w:r>
        <w:rPr>
          <w:rFonts w:hint="eastAsia" w:ascii="宋体" w:hAnsi="Courier New" w:eastAsia="宋体" w:cs="Times New Roman"/>
          <w:sz w:val="24"/>
          <w:highlight w:val="none"/>
          <w:lang w:val="en-US" w:eastAsia="zh-CN"/>
        </w:rPr>
        <w:t>轴上需预留传感器标定位置。</w:t>
      </w:r>
    </w:p>
    <w:p>
      <w:pPr>
        <w:pStyle w:val="17"/>
        <w:numPr>
          <w:ilvl w:val="0"/>
          <w:numId w:val="0"/>
        </w:numPr>
        <w:spacing w:line="360" w:lineRule="auto"/>
        <w:ind w:leftChars="200"/>
        <w:jc w:val="left"/>
        <w:outlineLvl w:val="0"/>
        <w:rPr>
          <w:rFonts w:hint="default" w:eastAsia="宋体"/>
          <w:sz w:val="24"/>
          <w:highlight w:val="none"/>
          <w:lang w:val="en-US" w:eastAsia="zh-CN"/>
        </w:rPr>
      </w:pPr>
      <w:r>
        <w:rPr>
          <w:sz w:val="24"/>
          <w:highlight w:val="none"/>
        </w:rPr>
        <mc:AlternateContent>
          <mc:Choice Requires="wps">
            <w:drawing>
              <wp:anchor distT="0" distB="0" distL="114300" distR="114300" simplePos="0" relativeHeight="251661312" behindDoc="0" locked="0" layoutInCell="1" allowOverlap="1">
                <wp:simplePos x="0" y="0"/>
                <wp:positionH relativeFrom="column">
                  <wp:posOffset>633095</wp:posOffset>
                </wp:positionH>
                <wp:positionV relativeFrom="paragraph">
                  <wp:posOffset>448945</wp:posOffset>
                </wp:positionV>
                <wp:extent cx="849630" cy="412750"/>
                <wp:effectExtent l="7620" t="7620" r="19050" b="17780"/>
                <wp:wrapNone/>
                <wp:docPr id="35" name="圆角矩形 35"/>
                <wp:cNvGraphicFramePr/>
                <a:graphic xmlns:a="http://schemas.openxmlformats.org/drawingml/2006/main">
                  <a:graphicData uri="http://schemas.microsoft.com/office/word/2010/wordprocessingShape">
                    <wps:wsp>
                      <wps:cNvSpPr/>
                      <wps:spPr>
                        <a:xfrm>
                          <a:off x="0" y="0"/>
                          <a:ext cx="849630" cy="412750"/>
                        </a:xfrm>
                        <a:prstGeom prst="roundRect">
                          <a:avLst>
                            <a:gd name="adj" fmla="val 16667"/>
                          </a:avLst>
                        </a:prstGeom>
                        <a:noFill/>
                        <a:ln w="158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9.85pt;margin-top:35.35pt;height:32.5pt;width:66.9pt;z-index:251661312;mso-width-relative:page;mso-height-relative:page;" filled="f" stroked="t" coordsize="21600,21600" arcsize="0.166666666666667" o:gfxdata="UEsDBAoAAAAAAIdO4kAAAAAAAAAAAAAAAAAEAAAAZHJzL1BLAwQUAAAACACHTuJAfWC3BtkAAAAJ&#10;AQAADwAAAGRycy9kb3ducmV2LnhtbE2PwU7DMAyG70i8Q2QkLoglWyhlpekOk7hwYhtC4uY1oS1r&#10;nKrJuvH2mNM4Wdb/6ffncnX2vZjcGLtABuYzBcJRHWxHjYH33cv9E4iYkCz2gZyBHxdhVV1flVjY&#10;cKKNm7apEVxCsUADbUpDIWWsW+cxzsLgiLOvMHpMvI6NtCOeuNz3cqHUo/TYEV9ocXDr1tWH7dEb&#10;wNfPh3XsvvVG75qsfvuQB3s3GXN7M1fPIJI7pwsMf/qsDhU77cORbBS9geUyZ9JArnhyvtA6A7Fn&#10;UGc5yKqU/z+ofgFQSwMEFAAAAAgAh07iQLAu1JgcAgAAJAQAAA4AAABkcnMvZTJvRG9jLnhtbK1T&#10;S44TMRDdI3EHy3vSSWbyoZXOLAhhg2DEDAeo2O5uI/9kO+nkAhyANRISG8QhOM4IjjFlp8nAsMmC&#10;XrjLrvKreq/Ki6u9VmQnfJDWVHQ0GFIiDLNcmqai72/Xz+aUhAiGg7JGVPQgAr1aPn2y6Fwpxra1&#10;igtPEMSEsnMVbWN0ZVEE1goNYWCdMOisrdcQceubgnvoEF2rYjwcTovOeu68ZSIEPF0dnbRH9OcA&#10;2rqWTKws22ph4hHVCwURKYVWukCXudq6Fiy+resgIlEVRaYxr5gE7U1ai+UCysaDayXrS4BzSnjE&#10;SYM0mPQEtYIIZOvlP1BaMm+DreOAWV0ciWRFkMVo+EibmxacyFxQ6uBOoof/B8ve7K49kbyiFxNK&#10;DGjs+N3nj7++ffr55fvdj68Ej1GjzoUSQ2/cte93Ac1EeF97nf5IheyzroeTrmIfCcPD+eXz6QUq&#10;ztB1ORrPJln34uGy8yG+ElaTZFTU263h77B3WVLYvQ4xa8v7AoF/oKTWCju1A0VG0+l0lqpExD4Y&#10;rd+Y6aaxa6lU7rUypMOxn8xnyJcBDnCNg4OmdihCME3OGaySPN1Jt4NvNi+UJ5irouv1EL8+219h&#10;KeEKQnuMy64UBmUrgL80nMSDQ3UNviqaatCCU6IEPsJk5cgIUp0TifSUQb6pLcdGJGtj+QGbuXVe&#10;Ni3KOMpVJg8OT1anH/Q0nX/uM9LD417e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1gtwbZAAAA&#10;CQEAAA8AAAAAAAAAAQAgAAAAIgAAAGRycy9kb3ducmV2LnhtbFBLAQIUABQAAAAIAIdO4kCwLtSY&#10;HAIAACQEAAAOAAAAAAAAAAEAIAAAACgBAABkcnMvZTJvRG9jLnhtbFBLBQYAAAAABgAGAFkBAAC2&#10;BQAAAAA=&#10;">
                <v:fill on="f" focussize="0,0"/>
                <v:stroke weight="1.25pt" color="#FF0000" joinstyle="round"/>
                <v:imagedata o:title=""/>
                <o:lock v:ext="edit" aspectratio="f"/>
              </v:roundrect>
            </w:pict>
          </mc:Fallback>
        </mc:AlternateContent>
      </w:r>
      <w:r>
        <w:rPr>
          <w:sz w:val="24"/>
          <w:highlight w:val="none"/>
        </w:rPr>
        <w:drawing>
          <wp:inline distT="0" distB="0" distL="114300" distR="114300">
            <wp:extent cx="2465070" cy="1849755"/>
            <wp:effectExtent l="0" t="0" r="11430" b="17145"/>
            <wp:docPr id="36" name="图片 6" descr="lQDPKcsANEN_1K_NA8DNBQCwGp4kfdP6EigHAme3t9H4AA_1280_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descr="lQDPKcsANEN_1K_NA8DNBQCwGp4kfdP6EigHAme3t9H4AA_1280_960"/>
                    <pic:cNvPicPr>
                      <a:picLocks noChangeAspect="1"/>
                    </pic:cNvPicPr>
                  </pic:nvPicPr>
                  <pic:blipFill>
                    <a:blip r:embed="rId48"/>
                    <a:stretch>
                      <a:fillRect/>
                    </a:stretch>
                  </pic:blipFill>
                  <pic:spPr>
                    <a:xfrm>
                      <a:off x="0" y="0"/>
                      <a:ext cx="2465070" cy="1849755"/>
                    </a:xfrm>
                    <a:prstGeom prst="rect">
                      <a:avLst/>
                    </a:prstGeom>
                    <a:noFill/>
                    <a:ln>
                      <a:noFill/>
                    </a:ln>
                  </pic:spPr>
                </pic:pic>
              </a:graphicData>
            </a:graphic>
          </wp:inline>
        </w:drawing>
      </w:r>
      <w:r>
        <w:rPr>
          <w:sz w:val="24"/>
          <w:highlight w:val="none"/>
        </w:rPr>
        <mc:AlternateContent>
          <mc:Choice Requires="wps">
            <w:drawing>
              <wp:anchor distT="0" distB="0" distL="114300" distR="114300" simplePos="0" relativeHeight="251662336" behindDoc="0" locked="0" layoutInCell="1" allowOverlap="1">
                <wp:simplePos x="0" y="0"/>
                <wp:positionH relativeFrom="column">
                  <wp:posOffset>3983990</wp:posOffset>
                </wp:positionH>
                <wp:positionV relativeFrom="paragraph">
                  <wp:posOffset>654050</wp:posOffset>
                </wp:positionV>
                <wp:extent cx="373380" cy="412750"/>
                <wp:effectExtent l="7620" t="7620" r="19050" b="17780"/>
                <wp:wrapNone/>
                <wp:docPr id="31" name="圆角矩形 31"/>
                <wp:cNvGraphicFramePr/>
                <a:graphic xmlns:a="http://schemas.openxmlformats.org/drawingml/2006/main">
                  <a:graphicData uri="http://schemas.microsoft.com/office/word/2010/wordprocessingShape">
                    <wps:wsp>
                      <wps:cNvSpPr/>
                      <wps:spPr>
                        <a:xfrm>
                          <a:off x="0" y="0"/>
                          <a:ext cx="373380" cy="412750"/>
                        </a:xfrm>
                        <a:prstGeom prst="roundRect">
                          <a:avLst>
                            <a:gd name="adj" fmla="val 16667"/>
                          </a:avLst>
                        </a:prstGeom>
                        <a:noFill/>
                        <a:ln w="15875" cap="flat" cmpd="sng">
                          <a:solidFill>
                            <a:srgbClr val="FF0000"/>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13.7pt;margin-top:51.5pt;height:32.5pt;width:29.4pt;z-index:251662336;mso-width-relative:page;mso-height-relative:page;" filled="f" stroked="t" coordsize="21600,21600" arcsize="0.166666666666667" o:gfxdata="UEsDBAoAAAAAAIdO4kAAAAAAAAAAAAAAAAAEAAAAZHJzL1BLAwQUAAAACACHTuJABfgavdkAAAAL&#10;AQAADwAAAGRycy9kb3ducmV2LnhtbE2PwU7DMBBE70j8g7VIXBC1mxQThTg9VOLCibYIiZsbL0lo&#10;vI5iNy1/z3KC4848zc5U64sfxIxT7AMZWC4UCKQmuJ5aA2/75/sCREyWnB0CoYFvjLCur68qW7pw&#10;pi3Ou9QKDqFYWgNdSmMpZWw69DYuwojE3meYvE18Tq10kz1zuB9kppSW3vbEHzo74qbD5rg7eQP2&#10;5WO1if1Xvs337UPz+i6P7m425vZmqZ5AJLykPxh+63N1qLnTIZzIRTEY0NnjilE2VM6jmNCFzkAc&#10;WNGFAllX8v+G+gdQSwMEFAAAAAgAh07iQIP52X8aAgAAJAQAAA4AAABkcnMvZTJvRG9jLnhtbK1T&#10;S44TMRDdI3EHy3vS+ZCPWunMghA2CEYMc4CK7e428k+2k04uwAFYIyGxQRyC44zgGJSdngwMmyzo&#10;hbtsV72q96q8vDpoRfbCB2lNRUeDISXCMMulaSp6+37zbEFJiGA4KGtERY8i0KvV0yfLzpVibFur&#10;uPAEQUwoO1fRNkZXFkVgrdAQBtYJg5e19Roibn1TcA8domtVjIfDWdFZz523TISAp+vTJe0R/SWA&#10;tq4lE2vLdlqYeEL1QkFESqGVLtBVrrauBYtv6zqISFRFkWnMKyZBe5vWYrWEsvHgWsn6EuCSEh5x&#10;0iANJj1DrSEC2Xn5D5SWzNtg6zhgVhcnIlkRZDEaPtLmpgUnMheUOriz6OH/wbI3+2tPJK/oZESJ&#10;AY0dv/v88de3Tz+/fL/78ZXgMWrUuVCi64279v0uoJkIH2qv0x+pkEPW9XjWVRwiYXg4mU8mC1Sc&#10;4dXz0Xg+zboXD8HOh/hKWE2SUVFvd4a/w95lSWH/OsSsLe8LBP6Bklor7NQeFBnNZrN5qhIRe2e0&#10;7jFTpLEbqVTutTKkw7GfLuZTLAhwgGscHDS1QxGCaXLOYJXkKSZFB99sXyhPMFdFN5shfn22v9xS&#10;wjWE9uSXr5IblK0A/tJwEo8O1TX4qmiqQQtOiRL4CJOVPSNIdYkn0lMG+aa2nBqRrK3lR2zmznnZ&#10;tChj7lz2weHJ6vSDnqbzz31Genjc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F+Bq92QAAAAsB&#10;AAAPAAAAAAAAAAEAIAAAACIAAABkcnMvZG93bnJldi54bWxQSwECFAAUAAAACACHTuJAg/nZfxoC&#10;AAAkBAAADgAAAAAAAAABACAAAAAoAQAAZHJzL2Uyb0RvYy54bWxQSwUGAAAAAAYABgBZAQAAtAUA&#10;AAAA&#10;">
                <v:fill on="f" focussize="0,0"/>
                <v:stroke weight="1.25pt" color="#FF0000" joinstyle="round"/>
                <v:imagedata o:title=""/>
                <o:lock v:ext="edit" aspectratio="f"/>
              </v:roundrect>
            </w:pict>
          </mc:Fallback>
        </mc:AlternateContent>
      </w:r>
      <w:r>
        <w:rPr>
          <w:rFonts w:hint="eastAsia"/>
          <w:sz w:val="24"/>
          <w:highlight w:val="none"/>
          <w:lang w:val="en-US" w:eastAsia="zh-CN"/>
        </w:rPr>
        <w:t xml:space="preserve">  </w:t>
      </w:r>
      <w:r>
        <w:rPr>
          <w:rFonts w:hint="default"/>
          <w:sz w:val="24"/>
          <w:highlight w:val="none"/>
          <w:lang w:val="en-US" w:eastAsia="zh-CN"/>
        </w:rPr>
        <w:drawing>
          <wp:inline distT="0" distB="0" distL="114300" distR="114300">
            <wp:extent cx="2447290" cy="1835785"/>
            <wp:effectExtent l="0" t="0" r="10160" b="12065"/>
            <wp:docPr id="42" name="图片 7" descr="lQDPJxNgO3aOMG_NDYDNEgCwAtztdfUdy4wHAmZh4xX9AA_4608_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descr="lQDPJxNgO3aOMG_NDYDNEgCwAtztdfUdy4wHAmZh4xX9AA_4608_3456"/>
                    <pic:cNvPicPr>
                      <a:picLocks noChangeAspect="1"/>
                    </pic:cNvPicPr>
                  </pic:nvPicPr>
                  <pic:blipFill>
                    <a:blip r:embed="rId49"/>
                    <a:stretch>
                      <a:fillRect/>
                    </a:stretch>
                  </pic:blipFill>
                  <pic:spPr>
                    <a:xfrm>
                      <a:off x="0" y="0"/>
                      <a:ext cx="2447290" cy="1835785"/>
                    </a:xfrm>
                    <a:prstGeom prst="rect">
                      <a:avLst/>
                    </a:prstGeom>
                    <a:noFill/>
                    <a:ln>
                      <a:noFill/>
                    </a:ln>
                  </pic:spPr>
                </pic:pic>
              </a:graphicData>
            </a:graphic>
          </wp:inline>
        </w:drawing>
      </w:r>
    </w:p>
    <w:p>
      <w:pPr>
        <w:pStyle w:val="17"/>
        <w:numPr>
          <w:ilvl w:val="0"/>
          <w:numId w:val="15"/>
        </w:numPr>
        <w:spacing w:line="360" w:lineRule="auto"/>
        <w:ind w:left="0" w:leftChars="0" w:firstLine="480" w:firstLineChars="200"/>
        <w:jc w:val="left"/>
        <w:outlineLvl w:val="0"/>
        <w:rPr>
          <w:rFonts w:hint="default"/>
          <w:sz w:val="24"/>
          <w:highlight w:val="none"/>
          <w:lang w:val="en-US" w:eastAsia="zh-CN"/>
        </w:rPr>
      </w:pPr>
      <w:r>
        <w:rPr>
          <w:rFonts w:hint="eastAsia"/>
          <w:sz w:val="24"/>
          <w:highlight w:val="none"/>
          <w:lang w:val="en-US" w:eastAsia="zh-CN"/>
        </w:rPr>
        <w:t>设备能够自动读取托盘信息，缸体自动出入站，并能根据托盘信息，自动选择设备是否进行拧紧，设备按照招标方要求的</w:t>
      </w:r>
      <w:r>
        <w:rPr>
          <w:rFonts w:hint="eastAsia" w:ascii="宋体" w:hAnsi="Courier New" w:eastAsia="宋体" w:cs="Times New Roman"/>
          <w:sz w:val="24"/>
          <w:highlight w:val="none"/>
          <w:lang w:val="en-US" w:eastAsia="zh-CN"/>
        </w:rPr>
        <w:t>拧紧顺序拧紧</w:t>
      </w:r>
      <w:r>
        <w:rPr>
          <w:rFonts w:hint="eastAsia"/>
          <w:sz w:val="24"/>
          <w:highlight w:val="none"/>
          <w:lang w:val="en-US" w:eastAsia="zh-CN"/>
        </w:rPr>
        <w:t>，并将拧紧数据上传MES。</w:t>
      </w:r>
    </w:p>
    <w:p>
      <w:pPr>
        <w:pStyle w:val="17"/>
        <w:numPr>
          <w:ilvl w:val="0"/>
          <w:numId w:val="16"/>
        </w:numPr>
        <w:spacing w:line="360" w:lineRule="auto"/>
        <w:outlineLvl w:val="0"/>
        <w:rPr>
          <w:rFonts w:hAnsi="Times New Roman"/>
          <w:sz w:val="24"/>
          <w:highlight w:val="none"/>
        </w:rPr>
      </w:pPr>
      <w:r>
        <w:rPr>
          <w:rFonts w:hint="eastAsia" w:hAnsi="Times New Roman"/>
          <w:sz w:val="24"/>
          <w:highlight w:val="none"/>
        </w:rPr>
        <w:t>设备基本要求</w:t>
      </w:r>
    </w:p>
    <w:p>
      <w:pPr>
        <w:pStyle w:val="17"/>
        <w:numPr>
          <w:ilvl w:val="0"/>
          <w:numId w:val="17"/>
        </w:numPr>
        <w:spacing w:line="360" w:lineRule="auto"/>
        <w:outlineLvl w:val="0"/>
        <w:rPr>
          <w:rFonts w:hint="default" w:hAnsi="宋体" w:cs="宋体"/>
          <w:sz w:val="24"/>
          <w:szCs w:val="24"/>
          <w:highlight w:val="none"/>
          <w:lang w:val="en-US" w:eastAsia="zh-CN"/>
        </w:rPr>
      </w:pPr>
      <w:r>
        <w:rPr>
          <w:rFonts w:hint="eastAsia" w:hAnsi="宋体" w:cs="宋体"/>
          <w:sz w:val="24"/>
          <w:szCs w:val="24"/>
          <w:highlight w:val="none"/>
          <w:lang w:val="en-US" w:eastAsia="zh-CN"/>
        </w:rPr>
        <w:t>减震器轮毂分装拧紧设备</w:t>
      </w:r>
    </w:p>
    <w:p>
      <w:pPr>
        <w:pStyle w:val="17"/>
        <w:spacing w:line="360" w:lineRule="auto"/>
        <w:ind w:firstLine="480" w:firstLineChars="200"/>
        <w:outlineLvl w:val="0"/>
        <w:rPr>
          <w:rFonts w:hAnsi="宋体" w:cs="宋体"/>
          <w:sz w:val="24"/>
          <w:szCs w:val="24"/>
          <w:highlight w:val="none"/>
        </w:rPr>
      </w:pPr>
      <w:r>
        <w:rPr>
          <w:rFonts w:hint="eastAsia" w:hAnsi="Times New Roman"/>
          <w:sz w:val="24"/>
          <w:highlight w:val="none"/>
        </w:rPr>
        <w:t>①、</w:t>
      </w:r>
      <w:r>
        <w:rPr>
          <w:rFonts w:hint="eastAsia" w:hAnsi="宋体" w:cs="宋体"/>
          <w:sz w:val="24"/>
          <w:szCs w:val="24"/>
          <w:highlight w:val="none"/>
          <w:lang w:val="en-US" w:eastAsia="zh-CN"/>
        </w:rPr>
        <w:t>减震器轮毂分装拧紧设备</w:t>
      </w:r>
      <w:r>
        <w:rPr>
          <w:rFonts w:hint="eastAsia" w:hAnsi="宋体" w:cs="宋体"/>
          <w:sz w:val="24"/>
          <w:szCs w:val="24"/>
          <w:highlight w:val="none"/>
        </w:rPr>
        <w:t>为</w:t>
      </w:r>
      <w:r>
        <w:rPr>
          <w:rFonts w:hint="eastAsia" w:hAnsi="宋体" w:cs="宋体"/>
          <w:sz w:val="24"/>
          <w:szCs w:val="24"/>
          <w:highlight w:val="none"/>
          <w:lang w:val="en-US" w:eastAsia="zh-CN"/>
        </w:rPr>
        <w:t>半</w:t>
      </w:r>
      <w:r>
        <w:rPr>
          <w:rFonts w:hint="eastAsia" w:hAnsi="宋体" w:cs="宋体"/>
          <w:sz w:val="24"/>
          <w:szCs w:val="24"/>
          <w:highlight w:val="none"/>
        </w:rPr>
        <w:t>自动设备，该设备生产节拍需在1</w:t>
      </w:r>
      <w:r>
        <w:rPr>
          <w:rFonts w:hAnsi="宋体" w:cs="宋体"/>
          <w:sz w:val="24"/>
          <w:szCs w:val="24"/>
          <w:highlight w:val="none"/>
        </w:rPr>
        <w:t>20</w:t>
      </w:r>
      <w:r>
        <w:rPr>
          <w:rFonts w:hint="eastAsia" w:hAnsi="宋体" w:cs="宋体"/>
          <w:sz w:val="24"/>
          <w:szCs w:val="24"/>
          <w:highlight w:val="none"/>
        </w:rPr>
        <w:t>s以内（包含</w:t>
      </w:r>
      <w:r>
        <w:rPr>
          <w:rFonts w:hint="eastAsia" w:hAnsi="宋体" w:cs="宋体"/>
          <w:sz w:val="24"/>
          <w:szCs w:val="24"/>
          <w:highlight w:val="none"/>
          <w:lang w:val="en-US" w:eastAsia="zh-CN"/>
        </w:rPr>
        <w:t>人工上下料</w:t>
      </w:r>
      <w:r>
        <w:rPr>
          <w:rFonts w:hint="eastAsia" w:hAnsi="宋体" w:cs="宋体"/>
          <w:sz w:val="24"/>
          <w:szCs w:val="24"/>
          <w:highlight w:val="none"/>
        </w:rPr>
        <w:t>时间）。</w:t>
      </w:r>
    </w:p>
    <w:p>
      <w:pPr>
        <w:pStyle w:val="17"/>
        <w:spacing w:line="360" w:lineRule="auto"/>
        <w:ind w:firstLine="480" w:firstLineChars="200"/>
        <w:outlineLvl w:val="0"/>
        <w:rPr>
          <w:rFonts w:hAnsi="Times New Roman"/>
          <w:sz w:val="24"/>
        </w:rPr>
      </w:pPr>
      <w:r>
        <w:rPr>
          <w:rFonts w:hint="eastAsia" w:hAnsi="Times New Roman"/>
          <w:sz w:val="24"/>
          <w:highlight w:val="none"/>
        </w:rPr>
        <w:t>②、设备运行出现故障时，需进行报警，并在工位电脑明确显示报警原因，报警灯闪烁状态以及报警声音需与目标产线其</w:t>
      </w:r>
      <w:r>
        <w:rPr>
          <w:rFonts w:hint="eastAsia" w:hAnsi="Times New Roman"/>
          <w:sz w:val="24"/>
          <w:highlight w:val="none"/>
          <w:lang w:val="en-US" w:eastAsia="zh-CN"/>
        </w:rPr>
        <w:t>他</w:t>
      </w:r>
      <w:r>
        <w:rPr>
          <w:rFonts w:hint="eastAsia" w:hAnsi="Times New Roman"/>
          <w:sz w:val="24"/>
          <w:highlight w:val="none"/>
        </w:rPr>
        <w:t>自动设备保持一致</w:t>
      </w:r>
      <w:r>
        <w:rPr>
          <w:rFonts w:hint="eastAsia" w:hAnsi="Times New Roman"/>
          <w:sz w:val="24"/>
        </w:rPr>
        <w:t>。</w:t>
      </w:r>
    </w:p>
    <w:p>
      <w:pPr>
        <w:pStyle w:val="17"/>
        <w:spacing w:line="360" w:lineRule="auto"/>
        <w:ind w:firstLine="480" w:firstLineChars="200"/>
        <w:outlineLvl w:val="0"/>
        <w:rPr>
          <w:rFonts w:hint="eastAsia" w:hAnsi="Times New Roman"/>
          <w:sz w:val="24"/>
        </w:rPr>
      </w:pPr>
      <w:r>
        <w:rPr>
          <w:rFonts w:hint="eastAsia" w:hAnsi="Times New Roman"/>
          <w:sz w:val="24"/>
        </w:rPr>
        <w:t>③、</w:t>
      </w:r>
      <w:r>
        <w:rPr>
          <w:rFonts w:hint="eastAsia" w:hAnsi="宋体" w:cs="宋体"/>
          <w:sz w:val="24"/>
          <w:szCs w:val="24"/>
          <w:lang w:val="en-US" w:eastAsia="zh-CN"/>
        </w:rPr>
        <w:t>减震器轮毂分装拧紧设备须</w:t>
      </w:r>
      <w:r>
        <w:rPr>
          <w:rFonts w:hint="eastAsia" w:hAnsi="Times New Roman"/>
          <w:sz w:val="24"/>
          <w:highlight w:val="none"/>
        </w:rPr>
        <w:t>具备</w:t>
      </w:r>
      <w:r>
        <w:rPr>
          <w:rFonts w:hint="eastAsia" w:hAnsi="Times New Roman"/>
          <w:sz w:val="24"/>
        </w:rPr>
        <w:t>安全防护，根据安装地点实际情况进行布置，</w:t>
      </w:r>
      <w:r>
        <w:rPr>
          <w:rFonts w:hAnsi="Times New Roman"/>
          <w:sz w:val="24"/>
        </w:rPr>
        <w:t>如果方案涉及原设备搬迁改动</w:t>
      </w:r>
      <w:r>
        <w:rPr>
          <w:rFonts w:hint="eastAsia" w:hAnsi="Times New Roman"/>
          <w:sz w:val="24"/>
        </w:rPr>
        <w:t>，</w:t>
      </w:r>
      <w:r>
        <w:rPr>
          <w:rFonts w:hAnsi="Times New Roman"/>
          <w:sz w:val="24"/>
        </w:rPr>
        <w:t>由投标方负责</w:t>
      </w:r>
      <w:r>
        <w:rPr>
          <w:rFonts w:hint="eastAsia" w:hAnsi="Times New Roman"/>
          <w:sz w:val="24"/>
        </w:rPr>
        <w:t>。</w:t>
      </w:r>
    </w:p>
    <w:p>
      <w:pPr>
        <w:pStyle w:val="17"/>
        <w:spacing w:line="360" w:lineRule="auto"/>
        <w:jc w:val="center"/>
        <w:outlineLvl w:val="0"/>
        <w:rPr>
          <w:rFonts w:hint="eastAsia" w:hAnsi="宋体" w:eastAsia="宋体" w:cs="宋体"/>
          <w:sz w:val="24"/>
          <w:szCs w:val="24"/>
          <w:lang w:eastAsia="zh-CN"/>
        </w:rPr>
      </w:pPr>
      <w:r>
        <w:rPr>
          <w:rFonts w:hint="eastAsia" w:hAnsi="宋体" w:eastAsia="宋体" w:cs="宋体"/>
          <w:sz w:val="24"/>
          <w:szCs w:val="24"/>
          <w:lang w:eastAsia="zh-CN"/>
        </w:rPr>
        <w:drawing>
          <wp:inline distT="0" distB="0" distL="114300" distR="114300">
            <wp:extent cx="2634615" cy="2573655"/>
            <wp:effectExtent l="0" t="0" r="13335" b="17145"/>
            <wp:docPr id="37" name="图片 8" descr="lQLPJw56CgT61dfNAp3NAq2wUmFm5QYUrnsHAOSVTG_wAA_685_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lQLPJw56CgT61dfNAp3NAq2wUmFm5QYUrnsHAOSVTG_wAA_685_669"/>
                    <pic:cNvPicPr>
                      <a:picLocks noChangeAspect="1"/>
                    </pic:cNvPicPr>
                  </pic:nvPicPr>
                  <pic:blipFill>
                    <a:blip r:embed="rId50"/>
                    <a:stretch>
                      <a:fillRect/>
                    </a:stretch>
                  </pic:blipFill>
                  <pic:spPr>
                    <a:xfrm>
                      <a:off x="0" y="0"/>
                      <a:ext cx="2634615" cy="2573655"/>
                    </a:xfrm>
                    <a:prstGeom prst="rect">
                      <a:avLst/>
                    </a:prstGeom>
                    <a:noFill/>
                    <a:ln>
                      <a:noFill/>
                    </a:ln>
                  </pic:spPr>
                </pic:pic>
              </a:graphicData>
            </a:graphic>
          </wp:inline>
        </w:drawing>
      </w:r>
    </w:p>
    <w:p>
      <w:pPr>
        <w:pStyle w:val="17"/>
        <w:numPr>
          <w:ilvl w:val="0"/>
          <w:numId w:val="0"/>
        </w:numPr>
        <w:spacing w:line="360" w:lineRule="auto"/>
        <w:jc w:val="center"/>
        <w:outlineLvl w:val="0"/>
        <w:rPr>
          <w:rFonts w:hint="eastAsia"/>
        </w:rPr>
      </w:pPr>
      <w:r>
        <w:rPr>
          <w:rFonts w:hint="eastAsia"/>
        </w:rPr>
        <w:t>装置示意图（仅供参考）</w:t>
      </w:r>
    </w:p>
    <w:p>
      <w:pPr>
        <w:pStyle w:val="17"/>
        <w:numPr>
          <w:ilvl w:val="0"/>
          <w:numId w:val="0"/>
        </w:numPr>
        <w:spacing w:line="360" w:lineRule="auto"/>
        <w:outlineLvl w:val="0"/>
        <w:rPr>
          <w:rFonts w:hint="default" w:hAnsi="宋体" w:eastAsia="宋体" w:cs="宋体"/>
          <w:sz w:val="24"/>
          <w:szCs w:val="24"/>
          <w:lang w:val="en-US" w:eastAsia="zh-CN"/>
        </w:rPr>
      </w:pPr>
      <w:r>
        <w:rPr>
          <w:rFonts w:hint="eastAsia" w:hAnsi="Times New Roman"/>
          <w:sz w:val="24"/>
        </w:rPr>
        <w:t>（</w:t>
      </w:r>
      <w:r>
        <w:rPr>
          <w:rFonts w:hAnsi="Times New Roman"/>
          <w:sz w:val="24"/>
        </w:rPr>
        <w:t>2</w:t>
      </w:r>
      <w:r>
        <w:rPr>
          <w:rFonts w:hint="eastAsia" w:hAnsi="Times New Roman"/>
          <w:sz w:val="24"/>
        </w:rPr>
        <w:t>）</w:t>
      </w:r>
      <w:r>
        <w:rPr>
          <w:rFonts w:hint="eastAsia"/>
          <w:sz w:val="24"/>
          <w:lang w:val="en-US" w:eastAsia="zh-CN"/>
        </w:rPr>
        <w:t>机油模块自动拧紧设备</w:t>
      </w:r>
    </w:p>
    <w:p>
      <w:pPr>
        <w:pStyle w:val="17"/>
        <w:spacing w:line="360" w:lineRule="auto"/>
        <w:ind w:firstLine="480" w:firstLineChars="200"/>
        <w:outlineLvl w:val="0"/>
        <w:rPr>
          <w:rFonts w:hAnsi="宋体" w:cs="宋体"/>
          <w:sz w:val="24"/>
          <w:szCs w:val="24"/>
        </w:rPr>
      </w:pPr>
      <w:r>
        <w:rPr>
          <w:rFonts w:hint="eastAsia" w:hAnsi="Times New Roman"/>
          <w:sz w:val="24"/>
        </w:rPr>
        <w:t xml:space="preserve">①、 </w:t>
      </w:r>
      <w:r>
        <w:rPr>
          <w:rFonts w:hint="eastAsia" w:hAnsi="宋体" w:cs="宋体"/>
          <w:sz w:val="24"/>
          <w:szCs w:val="24"/>
          <w:lang w:val="en-US" w:eastAsia="zh-CN"/>
        </w:rPr>
        <w:t>机油模块自动拧紧设备</w:t>
      </w:r>
      <w:r>
        <w:rPr>
          <w:rFonts w:hint="eastAsia" w:hAnsi="宋体" w:cs="宋体"/>
          <w:sz w:val="24"/>
          <w:szCs w:val="24"/>
        </w:rPr>
        <w:t>为</w:t>
      </w:r>
      <w:r>
        <w:rPr>
          <w:rFonts w:hint="eastAsia" w:hAnsi="宋体" w:cs="宋体"/>
          <w:sz w:val="24"/>
          <w:szCs w:val="24"/>
          <w:lang w:val="en-US" w:eastAsia="zh-CN"/>
        </w:rPr>
        <w:t>全</w:t>
      </w:r>
      <w:r>
        <w:rPr>
          <w:rFonts w:hint="eastAsia" w:hAnsi="宋体" w:cs="宋体"/>
          <w:sz w:val="24"/>
          <w:szCs w:val="24"/>
        </w:rPr>
        <w:t>自动设备，该设备生产节拍需在1</w:t>
      </w:r>
      <w:r>
        <w:rPr>
          <w:rFonts w:hAnsi="宋体" w:cs="宋体"/>
          <w:sz w:val="24"/>
          <w:szCs w:val="24"/>
        </w:rPr>
        <w:t>20</w:t>
      </w:r>
      <w:r>
        <w:rPr>
          <w:rFonts w:hint="eastAsia" w:hAnsi="宋体" w:cs="宋体"/>
          <w:sz w:val="24"/>
          <w:szCs w:val="24"/>
        </w:rPr>
        <w:t>s以内（包含进出</w:t>
      </w:r>
      <w:r>
        <w:rPr>
          <w:rFonts w:hint="eastAsia" w:hAnsi="宋体" w:cs="宋体"/>
          <w:sz w:val="24"/>
          <w:szCs w:val="24"/>
          <w:lang w:val="en-US" w:eastAsia="zh-CN"/>
        </w:rPr>
        <w:t>缸体</w:t>
      </w:r>
      <w:r>
        <w:rPr>
          <w:rFonts w:hint="eastAsia" w:hAnsi="宋体" w:cs="宋体"/>
          <w:sz w:val="24"/>
          <w:szCs w:val="24"/>
        </w:rPr>
        <w:t>时间）</w:t>
      </w:r>
      <w:r>
        <w:rPr>
          <w:rFonts w:hint="eastAsia" w:hAnsi="宋体" w:cs="宋体"/>
          <w:sz w:val="24"/>
          <w:szCs w:val="24"/>
          <w:lang w:val="en-US" w:eastAsia="zh-CN"/>
        </w:rPr>
        <w:t>需具备拧紧轴降温功能</w:t>
      </w:r>
      <w:r>
        <w:rPr>
          <w:rFonts w:hint="eastAsia" w:hAnsi="宋体" w:cs="宋体"/>
          <w:sz w:val="24"/>
          <w:szCs w:val="24"/>
        </w:rPr>
        <w:t>。</w:t>
      </w:r>
    </w:p>
    <w:p>
      <w:pPr>
        <w:pStyle w:val="17"/>
        <w:spacing w:line="360" w:lineRule="auto"/>
        <w:ind w:firstLine="480" w:firstLineChars="200"/>
        <w:outlineLvl w:val="0"/>
        <w:rPr>
          <w:rFonts w:hint="default" w:hAnsi="Times New Roman" w:eastAsia="宋体"/>
          <w:sz w:val="24"/>
          <w:lang w:val="en-US" w:eastAsia="zh-CN"/>
        </w:rPr>
      </w:pPr>
      <w:r>
        <w:rPr>
          <w:rFonts w:hint="eastAsia" w:hAnsi="Times New Roman"/>
          <w:sz w:val="24"/>
        </w:rPr>
        <w:t>②、设备运行出现故障时，需进行报警，并在工位电脑明确显示报警原因，报警灯闪烁状态以及报警声音需与目标产线其它自动设备保持一致</w:t>
      </w:r>
      <w:r>
        <w:rPr>
          <w:rFonts w:hint="eastAsia" w:hAnsi="Times New Roman"/>
          <w:sz w:val="24"/>
          <w:lang w:eastAsia="zh-CN"/>
        </w:rPr>
        <w:t>，</w:t>
      </w:r>
      <w:r>
        <w:rPr>
          <w:rFonts w:hint="eastAsia" w:hAnsi="Times New Roman"/>
          <w:sz w:val="24"/>
          <w:lang w:val="en-US" w:eastAsia="zh-CN"/>
        </w:rPr>
        <w:t>报警历史可查询。</w:t>
      </w:r>
    </w:p>
    <w:p>
      <w:pPr>
        <w:pStyle w:val="17"/>
        <w:spacing w:line="360" w:lineRule="auto"/>
        <w:ind w:firstLine="480" w:firstLineChars="200"/>
        <w:outlineLvl w:val="0"/>
        <w:rPr>
          <w:rFonts w:hint="eastAsia" w:hAnsi="Times New Roman"/>
          <w:sz w:val="24"/>
        </w:rPr>
      </w:pPr>
      <w:r>
        <w:rPr>
          <w:rFonts w:hint="eastAsia" w:hAnsi="Times New Roman"/>
          <w:sz w:val="24"/>
        </w:rPr>
        <w:t>③、</w:t>
      </w:r>
      <w:r>
        <w:rPr>
          <w:rFonts w:hint="eastAsia" w:hAnsi="Times New Roman"/>
          <w:sz w:val="24"/>
          <w:lang w:val="en-US" w:eastAsia="zh-CN"/>
        </w:rPr>
        <w:t>机油模块自动拧紧设备</w:t>
      </w:r>
      <w:r>
        <w:rPr>
          <w:rFonts w:hint="eastAsia" w:hAnsi="Times New Roman"/>
          <w:sz w:val="24"/>
        </w:rPr>
        <w:t>需具备安全防护，根据安装地点实际情况进行布置，</w:t>
      </w:r>
      <w:r>
        <w:rPr>
          <w:rFonts w:hAnsi="Times New Roman"/>
          <w:sz w:val="24"/>
        </w:rPr>
        <w:t>如果方案涉及原设备搬迁改动</w:t>
      </w:r>
      <w:r>
        <w:rPr>
          <w:rFonts w:hint="eastAsia" w:hAnsi="Times New Roman"/>
          <w:sz w:val="24"/>
        </w:rPr>
        <w:t>，</w:t>
      </w:r>
      <w:r>
        <w:rPr>
          <w:rFonts w:hAnsi="Times New Roman"/>
          <w:sz w:val="24"/>
        </w:rPr>
        <w:t>由投标方负责</w:t>
      </w:r>
      <w:r>
        <w:rPr>
          <w:rFonts w:hint="eastAsia" w:hAnsi="Times New Roman"/>
          <w:sz w:val="24"/>
        </w:rPr>
        <w:t>。</w:t>
      </w:r>
    </w:p>
    <w:p>
      <w:pPr>
        <w:pStyle w:val="17"/>
        <w:numPr>
          <w:ilvl w:val="0"/>
          <w:numId w:val="0"/>
        </w:numPr>
        <w:spacing w:line="360" w:lineRule="auto"/>
        <w:outlineLvl w:val="0"/>
        <w:rPr>
          <w:rFonts w:hint="eastAsia" w:ascii="宋体" w:hAnsi="Times New Roman" w:eastAsia="宋体" w:cs="Times New Roman"/>
          <w:sz w:val="24"/>
          <w:lang w:val="en-US" w:eastAsia="zh-CN"/>
        </w:rPr>
      </w:pPr>
      <w:r>
        <w:rPr>
          <w:rFonts w:hint="eastAsia" w:hAnsi="Times New Roman"/>
          <w:sz w:val="24"/>
        </w:rPr>
        <w:t>（</w:t>
      </w:r>
      <w:r>
        <w:rPr>
          <w:rFonts w:hint="eastAsia" w:hAnsi="Times New Roman"/>
          <w:sz w:val="24"/>
          <w:lang w:val="en-US" w:eastAsia="zh-CN"/>
        </w:rPr>
        <w:t>3</w:t>
      </w:r>
      <w:r>
        <w:rPr>
          <w:rFonts w:hint="eastAsia" w:hAnsi="Times New Roman"/>
          <w:sz w:val="24"/>
        </w:rPr>
        <w:t>）</w:t>
      </w:r>
      <w:r>
        <w:rPr>
          <w:rFonts w:hint="eastAsia" w:ascii="宋体" w:hAnsi="Times New Roman" w:eastAsia="宋体" w:cs="Times New Roman"/>
          <w:sz w:val="24"/>
          <w:lang w:val="en-US" w:eastAsia="zh-CN"/>
        </w:rPr>
        <w:t>设备通用要求</w:t>
      </w:r>
    </w:p>
    <w:p>
      <w:pPr>
        <w:pStyle w:val="17"/>
        <w:numPr>
          <w:ilvl w:val="0"/>
          <w:numId w:val="18"/>
        </w:numPr>
        <w:spacing w:line="360" w:lineRule="auto"/>
        <w:ind w:left="0" w:leftChars="0" w:firstLine="480" w:firstLineChars="200"/>
        <w:outlineLvl w:val="0"/>
        <w:rPr>
          <w:rFonts w:hint="eastAsia" w:ascii="宋体" w:hAnsi="宋体" w:eastAsia="宋体" w:cs="宋体"/>
          <w:b w:val="0"/>
          <w:bCs w:val="0"/>
          <w:color w:val="auto"/>
          <w:kern w:val="44"/>
          <w:sz w:val="24"/>
          <w:szCs w:val="24"/>
          <w:highlight w:val="none"/>
          <w:lang w:val="en-US" w:eastAsia="zh-CN" w:bidi="ar-SA"/>
        </w:rPr>
      </w:pPr>
      <w:r>
        <w:rPr>
          <w:rFonts w:hint="default" w:ascii="宋体" w:hAnsi="宋体" w:eastAsia="宋体" w:cs="宋体"/>
          <w:sz w:val="24"/>
          <w:szCs w:val="24"/>
          <w:lang w:val="en-US" w:eastAsia="zh-CN"/>
        </w:rPr>
        <w:t>新增设备配备的节能要求：电机功率≥7.5</w:t>
      </w:r>
      <w:r>
        <w:rPr>
          <w:rFonts w:hint="eastAsia" w:ascii="宋体" w:hAnsi="宋体" w:eastAsia="宋体" w:cs="宋体"/>
          <w:sz w:val="24"/>
          <w:szCs w:val="24"/>
          <w:lang w:val="en-US" w:eastAsia="zh-CN"/>
        </w:rPr>
        <w:t>kW</w:t>
      </w:r>
      <w:r>
        <w:rPr>
          <w:rFonts w:hint="default" w:ascii="宋体" w:hAnsi="宋体" w:eastAsia="宋体" w:cs="宋体"/>
          <w:sz w:val="24"/>
          <w:szCs w:val="24"/>
          <w:lang w:val="en-US" w:eastAsia="zh-CN"/>
        </w:rPr>
        <w:t>时，必须选用一级能效；电机功率＜7.5KW时，优先选用一级能效；对于能源供应类设备及年运行时间≥2000小时工艺设备的电机必须选用一级能效；禁止使用三级及以下能效电机；空调必须选用一</w:t>
      </w:r>
      <w:r>
        <w:rPr>
          <w:rFonts w:hint="default" w:ascii="宋体" w:hAnsi="宋体" w:eastAsia="宋体" w:cs="宋体"/>
          <w:sz w:val="24"/>
          <w:szCs w:val="24"/>
          <w:highlight w:val="none"/>
          <w:lang w:val="en-US" w:eastAsia="zh-CN"/>
        </w:rPr>
        <w:t>级能效；变压器最低选用二级能效</w:t>
      </w:r>
      <w:r>
        <w:rPr>
          <w:rFonts w:hint="eastAsia" w:ascii="宋体" w:hAnsi="宋体" w:eastAsia="宋体" w:cs="宋体"/>
          <w:sz w:val="24"/>
          <w:szCs w:val="24"/>
          <w:highlight w:val="none"/>
          <w:lang w:val="en-US" w:eastAsia="zh-CN"/>
        </w:rPr>
        <w:t>。</w:t>
      </w:r>
    </w:p>
    <w:p>
      <w:pPr>
        <w:pStyle w:val="17"/>
        <w:numPr>
          <w:ilvl w:val="0"/>
          <w:numId w:val="18"/>
        </w:numPr>
        <w:spacing w:line="360" w:lineRule="auto"/>
        <w:ind w:left="0" w:leftChars="0" w:firstLine="480" w:firstLineChars="200"/>
        <w:outlineLvl w:val="0"/>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sz w:val="24"/>
          <w:szCs w:val="24"/>
          <w:highlight w:val="none"/>
          <w:lang w:val="en-US" w:eastAsia="zh-CN"/>
        </w:rPr>
        <w:t>新增设备品牌要求：</w:t>
      </w:r>
    </w:p>
    <w:p>
      <w:pPr>
        <w:pStyle w:val="17"/>
        <w:numPr>
          <w:ilvl w:val="0"/>
          <w:numId w:val="19"/>
        </w:numPr>
        <w:spacing w:line="360" w:lineRule="auto"/>
        <w:ind w:left="1265" w:leftChars="0" w:hanging="425" w:firstLineChars="0"/>
        <w:outlineLvl w:val="0"/>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电气柜：采用集成式电柜，安装于C型架内部，带照明和维修电源插座，配备散热风扇。</w:t>
      </w:r>
    </w:p>
    <w:p>
      <w:pPr>
        <w:pStyle w:val="17"/>
        <w:numPr>
          <w:ilvl w:val="0"/>
          <w:numId w:val="19"/>
        </w:numPr>
        <w:spacing w:line="360" w:lineRule="auto"/>
        <w:ind w:left="1265" w:leftChars="0" w:hanging="425" w:firstLineChars="0"/>
        <w:outlineLvl w:val="0"/>
        <w:rPr>
          <w:rFonts w:hint="eastAsia" w:ascii="宋体" w:hAnsi="宋体" w:eastAsia="宋体" w:cs="宋体"/>
          <w:b w:val="0"/>
          <w:bCs w:val="0"/>
          <w:color w:val="000000"/>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安全装置：配置紧急停止按钮；配置安全光栅，安全光栅采用莱恩品牌，实现各种工况下的互锁及安全保护。</w:t>
      </w:r>
    </w:p>
    <w:p>
      <w:pPr>
        <w:pStyle w:val="17"/>
        <w:numPr>
          <w:ilvl w:val="0"/>
          <w:numId w:val="19"/>
        </w:numPr>
        <w:spacing w:line="360" w:lineRule="auto"/>
        <w:ind w:left="1265" w:leftChars="0" w:hanging="425" w:firstLineChars="0"/>
        <w:outlineLvl w:val="0"/>
        <w:rPr>
          <w:rFonts w:hint="default" w:ascii="宋体" w:hAnsi="宋体" w:eastAsia="宋体" w:cs="宋体"/>
          <w:b w:val="0"/>
          <w:bCs w:val="0"/>
          <w:color w:val="000000"/>
          <w:kern w:val="44"/>
          <w:sz w:val="24"/>
          <w:szCs w:val="24"/>
          <w:highlight w:val="none"/>
          <w:lang w:val="en-US" w:eastAsia="zh-CN" w:bidi="ar-SA"/>
        </w:rPr>
      </w:pPr>
      <w:r>
        <w:rPr>
          <w:rFonts w:hint="eastAsia" w:ascii="宋体" w:hAnsi="宋体" w:eastAsia="宋体" w:cs="宋体"/>
          <w:b w:val="0"/>
          <w:bCs w:val="0"/>
          <w:color w:val="000000"/>
          <w:kern w:val="44"/>
          <w:sz w:val="24"/>
          <w:szCs w:val="24"/>
          <w:highlight w:val="none"/>
          <w:lang w:val="en-US" w:eastAsia="zh-CN" w:bidi="ar-SA"/>
        </w:rPr>
        <w:t>低压电器：施耐德、西门子、BALLUFF国外知名品牌产品。</w:t>
      </w:r>
    </w:p>
    <w:p>
      <w:pPr>
        <w:pStyle w:val="17"/>
        <w:numPr>
          <w:ilvl w:val="0"/>
          <w:numId w:val="19"/>
        </w:numPr>
        <w:spacing w:line="360" w:lineRule="auto"/>
        <w:ind w:left="1265" w:leftChars="0" w:hanging="425" w:firstLineChars="0"/>
        <w:outlineLvl w:val="0"/>
        <w:rPr>
          <w:rFonts w:hint="eastAsia" w:ascii="宋体" w:hAnsi="宋体" w:eastAsia="宋体" w:cs="宋体"/>
          <w:b w:val="0"/>
          <w:bCs w:val="0"/>
          <w:color w:val="000000"/>
          <w:kern w:val="44"/>
          <w:sz w:val="24"/>
          <w:szCs w:val="24"/>
          <w:highlight w:val="none"/>
          <w:lang w:val="en-US" w:eastAsia="zh-CN" w:bidi="ar-SA"/>
        </w:rPr>
      </w:pPr>
      <w:r>
        <w:rPr>
          <w:rFonts w:hint="eastAsia" w:ascii="宋体" w:hAnsi="宋体" w:eastAsia="宋体" w:cs="宋体"/>
          <w:b w:val="0"/>
          <w:bCs w:val="0"/>
          <w:color w:val="000000"/>
          <w:kern w:val="44"/>
          <w:sz w:val="24"/>
          <w:szCs w:val="24"/>
          <w:highlight w:val="none"/>
          <w:lang w:val="en-US" w:eastAsia="zh-CN" w:bidi="ar-SA"/>
        </w:rPr>
        <w:t>读码器：斑马。</w:t>
      </w:r>
    </w:p>
    <w:p>
      <w:pPr>
        <w:pStyle w:val="17"/>
        <w:numPr>
          <w:ilvl w:val="0"/>
          <w:numId w:val="19"/>
        </w:numPr>
        <w:spacing w:line="360" w:lineRule="auto"/>
        <w:ind w:left="1265" w:leftChars="0" w:hanging="425" w:firstLineChars="0"/>
        <w:outlineLvl w:val="0"/>
        <w:rPr>
          <w:color w:val="000000"/>
          <w:highlight w:val="none"/>
        </w:rPr>
      </w:pPr>
      <w:r>
        <w:rPr>
          <w:rFonts w:hint="eastAsia" w:ascii="宋体" w:hAnsi="宋体" w:eastAsia="宋体" w:cs="宋体"/>
          <w:b w:val="0"/>
          <w:bCs w:val="0"/>
          <w:color w:val="000000"/>
          <w:kern w:val="44"/>
          <w:sz w:val="24"/>
          <w:szCs w:val="24"/>
          <w:highlight w:val="none"/>
          <w:lang w:val="en-US" w:eastAsia="zh-CN" w:bidi="ar-SA"/>
        </w:rPr>
        <w:t>控制系统：</w:t>
      </w:r>
      <w:r>
        <w:rPr>
          <w:rFonts w:hint="eastAsia" w:ascii="宋体" w:hAnsi="宋体" w:eastAsia="宋体" w:cs="宋体"/>
          <w:sz w:val="24"/>
          <w:szCs w:val="24"/>
          <w:highlight w:val="none"/>
          <w:lang w:val="en-US" w:eastAsia="zh-CN"/>
        </w:rPr>
        <w:t>PLC使用西门子1500系列</w:t>
      </w:r>
      <w:r>
        <w:rPr>
          <w:rFonts w:hint="eastAsia" w:ascii="宋体" w:hAnsi="宋体" w:eastAsia="宋体" w:cs="宋体"/>
          <w:b w:val="0"/>
          <w:bCs w:val="0"/>
          <w:color w:val="000000"/>
          <w:kern w:val="44"/>
          <w:sz w:val="24"/>
          <w:szCs w:val="24"/>
          <w:highlight w:val="none"/>
          <w:lang w:val="en-US" w:eastAsia="zh-CN" w:bidi="ar-SA"/>
        </w:rPr>
        <w:t>,PLC应预留20%节点，程序具有完整的注释和交叉表。</w:t>
      </w:r>
    </w:p>
    <w:p>
      <w:pPr>
        <w:pStyle w:val="17"/>
        <w:numPr>
          <w:ilvl w:val="0"/>
          <w:numId w:val="19"/>
        </w:numPr>
        <w:spacing w:line="360" w:lineRule="auto"/>
        <w:ind w:left="1265" w:leftChars="0" w:hanging="425" w:firstLineChars="0"/>
        <w:outlineLvl w:val="0"/>
        <w:rPr>
          <w:rFonts w:hint="eastAsia" w:ascii="宋体" w:hAnsi="宋体" w:eastAsia="宋体" w:cs="宋体"/>
          <w:color w:val="000000"/>
          <w:kern w:val="44"/>
          <w:sz w:val="24"/>
          <w:szCs w:val="24"/>
          <w:highlight w:val="none"/>
          <w:lang w:val="en-US" w:eastAsia="zh-CN" w:bidi="ar-SA"/>
        </w:rPr>
      </w:pPr>
      <w:r>
        <w:rPr>
          <w:rFonts w:hint="eastAsia" w:ascii="宋体" w:hAnsi="宋体" w:eastAsia="宋体" w:cs="宋体"/>
          <w:b w:val="0"/>
          <w:bCs w:val="0"/>
          <w:color w:val="000000"/>
          <w:kern w:val="44"/>
          <w:sz w:val="24"/>
          <w:szCs w:val="24"/>
          <w:highlight w:val="none"/>
          <w:lang w:val="en-US" w:eastAsia="zh-CN" w:bidi="ar-SA"/>
        </w:rPr>
        <w:t>PLC具有通讯模块，可实现PLC与车间内工业现场总线系统进行通讯。</w:t>
      </w:r>
    </w:p>
    <w:p>
      <w:pPr>
        <w:pStyle w:val="17"/>
        <w:numPr>
          <w:ilvl w:val="0"/>
          <w:numId w:val="19"/>
        </w:numPr>
        <w:spacing w:line="360" w:lineRule="auto"/>
        <w:ind w:left="1265" w:leftChars="0" w:hanging="425" w:firstLineChars="0"/>
        <w:outlineLvl w:val="0"/>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color w:val="000000"/>
          <w:kern w:val="44"/>
          <w:sz w:val="24"/>
          <w:szCs w:val="24"/>
          <w:highlight w:val="none"/>
          <w:lang w:val="en-US" w:eastAsia="zh-CN"/>
        </w:rPr>
        <w:t>伺服电缸：</w:t>
      </w:r>
      <w:r>
        <w:rPr>
          <w:rFonts w:hint="eastAsia" w:ascii="宋体" w:hAnsi="宋体" w:eastAsia="宋体" w:cs="宋体"/>
          <w:color w:val="000000"/>
          <w:kern w:val="44"/>
          <w:sz w:val="24"/>
          <w:szCs w:val="24"/>
          <w:highlight w:val="none"/>
          <w:lang w:val="en-US" w:eastAsia="zh-CN" w:bidi="ar-SA"/>
        </w:rPr>
        <w:t>Wildermann、E-JOIN、锐联等知名品牌。</w:t>
      </w:r>
    </w:p>
    <w:p>
      <w:pPr>
        <w:pStyle w:val="17"/>
        <w:numPr>
          <w:ilvl w:val="0"/>
          <w:numId w:val="19"/>
        </w:numPr>
        <w:spacing w:line="360" w:lineRule="auto"/>
        <w:ind w:left="1265" w:leftChars="0" w:hanging="425" w:firstLineChars="0"/>
        <w:outlineLvl w:val="0"/>
        <w:rPr>
          <w:rFonts w:hint="eastAsia" w:ascii="宋体" w:hAnsi="宋体" w:eastAsia="宋体" w:cs="宋体"/>
          <w:b w:val="0"/>
          <w:bCs w:val="0"/>
          <w:color w:val="auto"/>
          <w:kern w:val="44"/>
          <w:sz w:val="24"/>
          <w:szCs w:val="24"/>
          <w:highlight w:val="none"/>
          <w:lang w:val="en-US" w:eastAsia="zh-CN" w:bidi="ar-SA"/>
        </w:rPr>
      </w:pPr>
      <w:r>
        <w:rPr>
          <w:rFonts w:hint="eastAsia" w:ascii="宋体" w:hAnsi="宋体" w:eastAsia="宋体" w:cs="宋体"/>
          <w:b w:val="0"/>
          <w:bCs w:val="0"/>
          <w:color w:val="auto"/>
          <w:kern w:val="44"/>
          <w:sz w:val="24"/>
          <w:szCs w:val="24"/>
          <w:highlight w:val="none"/>
          <w:lang w:val="en-US" w:eastAsia="zh-CN" w:bidi="ar-SA"/>
        </w:rPr>
        <w:t>电气系统可实现手动调整、半自动、自动工作循环控制、标准件循环模式。</w:t>
      </w:r>
    </w:p>
    <w:p>
      <w:pPr>
        <w:pStyle w:val="17"/>
        <w:numPr>
          <w:ilvl w:val="0"/>
          <w:numId w:val="19"/>
        </w:numPr>
        <w:spacing w:line="360" w:lineRule="auto"/>
        <w:ind w:left="1265" w:leftChars="0" w:hanging="425" w:firstLineChars="0"/>
        <w:outlineLvl w:val="0"/>
        <w:rPr>
          <w:rFonts w:hint="default" w:ascii="宋体" w:hAnsi="宋体" w:eastAsia="宋体" w:cs="宋体"/>
          <w:sz w:val="24"/>
          <w:szCs w:val="24"/>
          <w:highlight w:val="none"/>
          <w:lang w:val="en-US" w:eastAsia="zh-CN"/>
        </w:rPr>
      </w:pPr>
      <w:r>
        <w:rPr>
          <w:rFonts w:hint="eastAsia" w:ascii="宋体" w:hAnsi="宋体" w:eastAsia="宋体" w:cs="宋体"/>
          <w:b w:val="0"/>
          <w:bCs w:val="0"/>
          <w:color w:val="000000"/>
          <w:kern w:val="44"/>
          <w:sz w:val="24"/>
          <w:szCs w:val="24"/>
          <w:highlight w:val="none"/>
          <w:lang w:val="en-US" w:eastAsia="zh-CN" w:bidi="ar-SA"/>
        </w:rPr>
        <w:t>装置颜色：按照中国重型汽车有限公司企业标准《设备设施颜色标识》Q/ZZ30070-2021。</w:t>
      </w:r>
    </w:p>
    <w:p>
      <w:pPr>
        <w:pStyle w:val="17"/>
        <w:numPr>
          <w:ilvl w:val="0"/>
          <w:numId w:val="19"/>
        </w:numPr>
        <w:spacing w:line="360" w:lineRule="auto"/>
        <w:ind w:left="1265" w:leftChars="0" w:hanging="425" w:firstLineChars="0"/>
        <w:outlineLvl w:val="0"/>
        <w:rPr>
          <w:rFonts w:hint="default" w:ascii="宋体" w:hAnsi="宋体" w:eastAsia="宋体" w:cs="宋体"/>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bidi="ar-SA"/>
        </w:rPr>
        <w:t>装置噪声达标要求：常时音不大于80dB，连续音不大于85dB，瞬间音不大于90dB，检测规范按照国家标准噪音测试依据：</w:t>
      </w:r>
      <w:r>
        <w:rPr>
          <w:rFonts w:ascii="宋体" w:hAnsi="宋体" w:eastAsia="宋体" w:cs="宋体"/>
          <w:sz w:val="24"/>
          <w:szCs w:val="24"/>
          <w:highlight w:val="none"/>
        </w:rPr>
        <w:t>GBZ/T189.8-2007</w:t>
      </w:r>
      <w:r>
        <w:rPr>
          <w:rFonts w:hint="eastAsia" w:ascii="宋体" w:hAnsi="宋体" w:eastAsia="宋体" w:cs="宋体"/>
          <w:b w:val="0"/>
          <w:bCs w:val="0"/>
          <w:color w:val="auto"/>
          <w:kern w:val="44"/>
          <w:sz w:val="24"/>
          <w:szCs w:val="24"/>
          <w:highlight w:val="none"/>
          <w:lang w:val="en-US" w:eastAsia="zh-CN" w:bidi="ar-SA"/>
        </w:rPr>
        <w:t>执行。</w:t>
      </w:r>
    </w:p>
    <w:p>
      <w:pPr>
        <w:pStyle w:val="17"/>
        <w:numPr>
          <w:ilvl w:val="0"/>
          <w:numId w:val="19"/>
        </w:numPr>
        <w:spacing w:line="360" w:lineRule="auto"/>
        <w:ind w:left="1265" w:leftChars="0" w:hanging="425" w:firstLineChars="0"/>
        <w:outlineLvl w:val="0"/>
        <w:rPr>
          <w:rFonts w:hint="default" w:ascii="宋体" w:hAnsi="宋体" w:eastAsia="宋体" w:cs="宋体"/>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bidi="ar-SA"/>
        </w:rPr>
        <w:t>电动拧紧轴品牌：阿特拉斯</w:t>
      </w:r>
    </w:p>
    <w:p>
      <w:pPr>
        <w:pStyle w:val="17"/>
        <w:numPr>
          <w:ilvl w:val="0"/>
          <w:numId w:val="19"/>
        </w:numPr>
        <w:spacing w:line="360" w:lineRule="auto"/>
        <w:ind w:left="1265" w:leftChars="0" w:hanging="425" w:firstLineChars="0"/>
        <w:outlineLvl w:val="0"/>
        <w:rPr>
          <w:rFonts w:hint="default" w:ascii="宋体" w:hAnsi="宋体" w:eastAsia="宋体" w:cs="宋体"/>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bidi="ar-SA"/>
        </w:rPr>
        <w:t>六轴机器人品牌：库卡机器人</w:t>
      </w:r>
    </w:p>
    <w:p>
      <w:pPr>
        <w:pStyle w:val="17"/>
        <w:numPr>
          <w:ilvl w:val="0"/>
          <w:numId w:val="18"/>
        </w:numPr>
        <w:spacing w:line="360" w:lineRule="auto"/>
        <w:ind w:left="0" w:leftChars="0" w:firstLine="480" w:firstLineChars="20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程序图纸要求：</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供方必须提供所有设备程序的源代码，包括但不限于PLC程序、HMI程序、机器人程序、视觉程序、伺服等。</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供方所提供的程序不得设置任何密码、保护等限制手段，PLC不得设置修改下载权限，功能块不得设置密码保护。</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HMI界面等需要密码保护的程序，供方必须提供所有级别的用户名、密码。</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供方需在设备入场前提供设备程序源码，HMI界面各级用户名和密码，并保证与现场程序一致。</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供方需在终验收前提供最新的设备程序源码</w:t>
      </w:r>
      <w:r>
        <w:rPr>
          <w:rFonts w:hint="eastAsia" w:ascii="宋体" w:hAnsi="宋体" w:eastAsia="宋体" w:cs="宋体"/>
          <w:sz w:val="24"/>
          <w:szCs w:val="24"/>
          <w:lang w:val="en-US" w:eastAsia="zh-CN"/>
        </w:rPr>
        <w:t>、三维模型、机械图纸和电气图纸</w:t>
      </w:r>
      <w:r>
        <w:rPr>
          <w:rFonts w:hint="default" w:ascii="宋体" w:hAnsi="宋体" w:eastAsia="宋体" w:cs="宋体"/>
          <w:sz w:val="24"/>
          <w:szCs w:val="24"/>
          <w:lang w:val="en-US" w:eastAsia="zh-CN"/>
        </w:rPr>
        <w:t>，图纸要求为可编辑原格式（EPLAN、CAD格式</w:t>
      </w:r>
      <w:r>
        <w:rPr>
          <w:rFonts w:hint="eastAsia" w:ascii="宋体" w:hAnsi="宋体" w:eastAsia="宋体" w:cs="宋体"/>
          <w:sz w:val="24"/>
          <w:szCs w:val="24"/>
          <w:lang w:val="en-US" w:eastAsia="zh-CN"/>
        </w:rPr>
        <w:t>等</w:t>
      </w:r>
      <w:r>
        <w:rPr>
          <w:rFonts w:hint="default" w:ascii="宋体" w:hAnsi="宋体" w:eastAsia="宋体" w:cs="宋体"/>
          <w:sz w:val="24"/>
          <w:szCs w:val="24"/>
          <w:lang w:val="en-US" w:eastAsia="zh-CN"/>
        </w:rPr>
        <w:t>）</w:t>
      </w:r>
      <w:r>
        <w:rPr>
          <w:rFonts w:hint="eastAsia" w:ascii="宋体" w:hAnsi="宋体" w:eastAsia="宋体" w:cs="宋体"/>
          <w:sz w:val="24"/>
          <w:szCs w:val="24"/>
          <w:lang w:val="en-US" w:eastAsia="zh-CN"/>
        </w:rPr>
        <w:t>及PDF版本，</w:t>
      </w:r>
      <w:r>
        <w:rPr>
          <w:rFonts w:hint="default" w:ascii="宋体" w:hAnsi="宋体" w:eastAsia="宋体" w:cs="宋体"/>
          <w:sz w:val="24"/>
          <w:szCs w:val="24"/>
          <w:lang w:val="en-US" w:eastAsia="zh-CN"/>
        </w:rPr>
        <w:t>且与实际一致。</w:t>
      </w:r>
    </w:p>
    <w:p>
      <w:pPr>
        <w:pStyle w:val="17"/>
        <w:numPr>
          <w:ilvl w:val="0"/>
          <w:numId w:val="18"/>
        </w:numPr>
        <w:spacing w:line="360" w:lineRule="auto"/>
        <w:ind w:left="0" w:leftChars="0" w:firstLine="40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接口协议要求：</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供方免费开放所有通讯接口，包括但不限于以太网、RS232、RS485、PROFIBUS、PROFINET、MODBUS 等常见接口，以及设备特有的专用接口</w:t>
      </w:r>
      <w:r>
        <w:rPr>
          <w:rFonts w:hint="eastAsia" w:ascii="宋体" w:hAnsi="宋体" w:eastAsia="宋体" w:cs="宋体"/>
          <w:sz w:val="24"/>
          <w:szCs w:val="24"/>
          <w:lang w:val="en-US" w:eastAsia="zh-CN"/>
        </w:rPr>
        <w:t>，支持阿特拉斯Toolsnet软件数据上传。</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供方免费提供数据交互功能，交互数据包括但不限于实时数据、历史数据、报警信息等。</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供方在设备入场前提供接口的技术文档和参数说明，包括但不限于接口协议、通讯速率、数据格式等。</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设备使用周期内，供方免费派遣技术人员与甲方调试团队共同进行设备通讯接口的调试工作。</w:t>
      </w:r>
    </w:p>
    <w:p>
      <w:pPr>
        <w:pStyle w:val="17"/>
        <w:numPr>
          <w:ilvl w:val="1"/>
          <w:numId w:val="18"/>
        </w:numPr>
        <w:spacing w:line="360" w:lineRule="auto"/>
        <w:ind w:left="1240" w:leftChars="0" w:hanging="420"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设备颜色等需与现场保持一致，满足现场生产一致性。</w:t>
      </w:r>
    </w:p>
    <w:p>
      <w:pPr>
        <w:pStyle w:val="17"/>
        <w:numPr>
          <w:ilvl w:val="0"/>
          <w:numId w:val="20"/>
        </w:numPr>
        <w:spacing w:line="360" w:lineRule="auto"/>
        <w:ind w:left="0" w:leftChars="0" w:firstLine="403" w:firstLineChars="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设备安装调试包含网线和电路铺设。</w:t>
      </w:r>
    </w:p>
    <w:p>
      <w:pPr>
        <w:pStyle w:val="17"/>
        <w:numPr>
          <w:ilvl w:val="0"/>
          <w:numId w:val="17"/>
        </w:numPr>
        <w:spacing w:line="360" w:lineRule="auto"/>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设备安全要求</w:t>
      </w:r>
    </w:p>
    <w:p>
      <w:pPr>
        <w:pStyle w:val="17"/>
        <w:numPr>
          <w:ilvl w:val="0"/>
          <w:numId w:val="21"/>
        </w:numPr>
        <w:spacing w:line="360" w:lineRule="auto"/>
        <w:ind w:left="0" w:leftChars="0" w:firstLine="480" w:firstLineChars="200"/>
        <w:outlineLvl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减震器轮毂分装拧紧设备配备光栅，人工双手拧紧，设备拧紧时光栅启动，当有手或物品进入光栅时设备停止并报警；</w:t>
      </w:r>
    </w:p>
    <w:p>
      <w:pPr>
        <w:pStyle w:val="17"/>
        <w:numPr>
          <w:ilvl w:val="0"/>
          <w:numId w:val="21"/>
        </w:numPr>
        <w:spacing w:line="360" w:lineRule="auto"/>
        <w:ind w:left="0" w:leftChars="0" w:firstLine="480" w:firstLineChars="200"/>
        <w:outlineLvl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机油模块自动拧紧设备需要在周围增加安全防护和安全门锁，设备运行时，禁止入内；</w:t>
      </w:r>
    </w:p>
    <w:p>
      <w:pPr>
        <w:pStyle w:val="17"/>
        <w:numPr>
          <w:ilvl w:val="0"/>
          <w:numId w:val="21"/>
        </w:numPr>
        <w:spacing w:line="360" w:lineRule="auto"/>
        <w:ind w:left="0" w:leftChars="0" w:firstLine="480" w:firstLineChars="200"/>
        <w:outlineLvl w:val="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设备的绝缘性需要满足国家标准。</w:t>
      </w:r>
    </w:p>
    <w:p>
      <w:pPr>
        <w:pStyle w:val="17"/>
        <w:spacing w:line="360" w:lineRule="auto"/>
        <w:ind w:firstLine="562" w:firstLineChars="200"/>
        <w:rPr>
          <w:rFonts w:hint="eastAsia" w:ascii="黑体" w:hAnsi="黑体" w:eastAsia="黑体"/>
          <w:b/>
          <w:bCs/>
          <w:sz w:val="28"/>
          <w:szCs w:val="28"/>
          <w:highlight w:val="none"/>
        </w:rPr>
      </w:pPr>
      <w:r>
        <w:rPr>
          <w:rFonts w:hint="eastAsia" w:ascii="黑体" w:hAnsi="黑体" w:eastAsia="黑体"/>
          <w:b/>
          <w:bCs/>
          <w:sz w:val="28"/>
          <w:szCs w:val="28"/>
          <w:highlight w:val="none"/>
        </w:rPr>
        <w:t>四、主要技术状态说明</w:t>
      </w:r>
    </w:p>
    <w:p>
      <w:pPr>
        <w:pStyle w:val="17"/>
        <w:spacing w:line="360" w:lineRule="auto"/>
        <w:ind w:firstLine="480" w:firstLineChars="200"/>
        <w:rPr>
          <w:rFonts w:hint="eastAsia" w:ascii="宋体" w:hAnsi="宋体" w:eastAsia="宋体" w:cs="宋体"/>
          <w:sz w:val="24"/>
          <w:szCs w:val="24"/>
        </w:rPr>
      </w:pPr>
      <w:r>
        <w:rPr>
          <w:rFonts w:hint="eastAsia" w:hAnsi="宋体" w:cs="宋体"/>
          <w:sz w:val="24"/>
          <w:szCs w:val="24"/>
        </w:rPr>
        <w:t>项目实施地点在济南发动机厂装配线，现场环境符合发动机装配要求</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机油模块自动拧紧设备需要在占地2.5米×2米以内实现自动拧紧</w:t>
      </w:r>
      <w:r>
        <w:rPr>
          <w:rFonts w:hint="eastAsia" w:ascii="宋体" w:hAnsi="宋体" w:eastAsia="宋体" w:cs="宋体"/>
          <w:sz w:val="24"/>
          <w:szCs w:val="24"/>
        </w:rPr>
        <w:t>。</w:t>
      </w:r>
    </w:p>
    <w:p>
      <w:pPr>
        <w:pStyle w:val="17"/>
        <w:spacing w:line="360" w:lineRule="auto"/>
        <w:ind w:firstLine="480" w:firstLineChars="200"/>
        <w:rPr>
          <w:rFonts w:hAnsi="宋体" w:cs="宋体"/>
          <w:sz w:val="24"/>
          <w:szCs w:val="24"/>
          <w:highlight w:val="none"/>
        </w:rPr>
      </w:pPr>
      <w:r>
        <w:rPr>
          <w:rFonts w:hint="eastAsia" w:hAnsi="宋体" w:cs="宋体"/>
          <w:sz w:val="24"/>
          <w:szCs w:val="24"/>
        </w:rPr>
        <w:t>1．</w:t>
      </w:r>
      <w:r>
        <w:rPr>
          <w:rFonts w:hint="eastAsia" w:hAnsi="宋体" w:cs="宋体"/>
          <w:sz w:val="24"/>
          <w:szCs w:val="24"/>
          <w:lang w:val="en-US" w:eastAsia="zh-CN"/>
        </w:rPr>
        <w:t>减震器轮毂</w:t>
      </w:r>
      <w:r>
        <w:rPr>
          <w:rFonts w:hint="eastAsia" w:hAnsi="宋体" w:cs="宋体"/>
          <w:sz w:val="24"/>
          <w:szCs w:val="24"/>
          <w:highlight w:val="none"/>
          <w:lang w:val="en-US" w:eastAsia="zh-CN"/>
        </w:rPr>
        <w:t>分装拧紧设备</w:t>
      </w:r>
      <w:r>
        <w:rPr>
          <w:rFonts w:hint="eastAsia" w:hAnsi="宋体" w:cs="宋体"/>
          <w:sz w:val="24"/>
          <w:szCs w:val="24"/>
          <w:highlight w:val="none"/>
        </w:rPr>
        <w:t>:</w:t>
      </w:r>
    </w:p>
    <w:p>
      <w:pPr>
        <w:pStyle w:val="17"/>
        <w:spacing w:line="360" w:lineRule="auto"/>
        <w:ind w:firstLine="480" w:firstLineChars="200"/>
        <w:rPr>
          <w:rFonts w:hint="default" w:hAnsi="宋体" w:eastAsia="宋体" w:cs="宋体"/>
          <w:sz w:val="24"/>
          <w:szCs w:val="24"/>
          <w:lang w:val="en-US" w:eastAsia="zh-CN"/>
        </w:rPr>
      </w:pPr>
      <w:r>
        <w:rPr>
          <w:rFonts w:hint="eastAsia" w:hAnsi="宋体" w:cs="宋体"/>
          <w:sz w:val="24"/>
          <w:szCs w:val="24"/>
          <w:highlight w:val="none"/>
        </w:rPr>
        <w:t>配置清单：</w:t>
      </w:r>
      <w:r>
        <w:rPr>
          <w:rFonts w:hint="eastAsia" w:hAnsi="宋体" w:cs="宋体"/>
          <w:sz w:val="24"/>
          <w:szCs w:val="24"/>
          <w:highlight w:val="none"/>
          <w:lang w:val="en-US" w:eastAsia="zh-CN"/>
        </w:rPr>
        <w:t>安装板、变距机构</w:t>
      </w:r>
      <w:r>
        <w:rPr>
          <w:rFonts w:hint="eastAsia" w:hAnsi="宋体" w:cs="宋体"/>
          <w:sz w:val="24"/>
          <w:szCs w:val="24"/>
          <w:highlight w:val="none"/>
        </w:rPr>
        <w:t>、</w:t>
      </w:r>
      <w:r>
        <w:rPr>
          <w:rFonts w:hint="eastAsia" w:hAnsi="宋体" w:cs="宋体"/>
          <w:sz w:val="24"/>
          <w:szCs w:val="24"/>
          <w:highlight w:val="none"/>
          <w:lang w:val="en-US" w:eastAsia="zh-CN"/>
        </w:rPr>
        <w:t>吊装夹具、伺</w:t>
      </w:r>
      <w:r>
        <w:rPr>
          <w:rFonts w:hint="eastAsia" w:hAnsi="宋体" w:cs="宋体"/>
          <w:sz w:val="24"/>
          <w:szCs w:val="24"/>
          <w:lang w:val="en-US" w:eastAsia="zh-CN"/>
        </w:rPr>
        <w:t>服电机、</w:t>
      </w:r>
      <w:r>
        <w:rPr>
          <w:rFonts w:hint="eastAsia" w:hAnsi="宋体" w:cs="宋体"/>
          <w:sz w:val="24"/>
          <w:szCs w:val="24"/>
        </w:rPr>
        <w:t>气动附件、电气配置、安全防护等相关配置。</w:t>
      </w:r>
    </w:p>
    <w:p>
      <w:pPr>
        <w:pStyle w:val="17"/>
        <w:spacing w:line="360" w:lineRule="auto"/>
        <w:ind w:firstLine="480" w:firstLineChars="200"/>
        <w:rPr>
          <w:rFonts w:hAnsi="宋体" w:cs="宋体"/>
          <w:sz w:val="24"/>
          <w:szCs w:val="24"/>
        </w:rPr>
      </w:pPr>
      <w:r>
        <w:rPr>
          <w:rFonts w:hint="eastAsia" w:hAnsi="宋体" w:cs="宋体"/>
          <w:sz w:val="24"/>
          <w:szCs w:val="24"/>
        </w:rPr>
        <w:t>2．</w:t>
      </w:r>
      <w:r>
        <w:rPr>
          <w:rFonts w:hint="eastAsia" w:hAnsi="宋体" w:cs="宋体"/>
          <w:sz w:val="24"/>
          <w:szCs w:val="24"/>
          <w:lang w:val="en-US" w:eastAsia="zh-CN"/>
        </w:rPr>
        <w:t>机油模块自动拧紧设备</w:t>
      </w:r>
      <w:r>
        <w:rPr>
          <w:rFonts w:hint="eastAsia" w:hAnsi="宋体" w:cs="宋体"/>
          <w:sz w:val="24"/>
          <w:szCs w:val="24"/>
        </w:rPr>
        <w:t>：</w:t>
      </w:r>
    </w:p>
    <w:p>
      <w:pPr>
        <w:pStyle w:val="17"/>
        <w:spacing w:line="360" w:lineRule="auto"/>
        <w:ind w:firstLine="480" w:firstLineChars="200"/>
      </w:pPr>
      <w:r>
        <w:rPr>
          <w:rFonts w:hint="eastAsia" w:hAnsi="宋体" w:cs="宋体"/>
          <w:sz w:val="24"/>
          <w:szCs w:val="24"/>
        </w:rPr>
        <w:t>配置清单：</w:t>
      </w:r>
      <w:r>
        <w:rPr>
          <w:rFonts w:hint="eastAsia" w:hAnsi="宋体" w:cs="宋体"/>
          <w:sz w:val="24"/>
          <w:szCs w:val="24"/>
          <w:lang w:val="en-US" w:eastAsia="zh-CN"/>
        </w:rPr>
        <w:t>拧紧机构、定位机构</w:t>
      </w:r>
      <w:r>
        <w:rPr>
          <w:rFonts w:hint="eastAsia" w:hAnsi="宋体" w:cs="宋体"/>
          <w:sz w:val="24"/>
          <w:szCs w:val="24"/>
        </w:rPr>
        <w:t>、</w:t>
      </w:r>
      <w:r>
        <w:rPr>
          <w:rFonts w:hint="eastAsia" w:hAnsi="宋体" w:cs="宋体"/>
          <w:sz w:val="24"/>
          <w:szCs w:val="24"/>
          <w:lang w:val="en-US" w:eastAsia="zh-CN"/>
        </w:rPr>
        <w:t>伺服电机、拧紧轴、</w:t>
      </w:r>
      <w:r>
        <w:rPr>
          <w:rFonts w:hint="eastAsia" w:hAnsi="宋体" w:cs="宋体"/>
          <w:sz w:val="24"/>
          <w:szCs w:val="24"/>
        </w:rPr>
        <w:t>电气元件、安全防护等相关配置。</w:t>
      </w:r>
    </w:p>
    <w:p>
      <w:pPr>
        <w:pStyle w:val="17"/>
        <w:spacing w:line="360" w:lineRule="auto"/>
        <w:ind w:firstLine="562" w:firstLineChars="200"/>
        <w:rPr>
          <w:rFonts w:hint="eastAsia" w:ascii="黑体" w:hAnsi="黑体" w:eastAsia="黑体"/>
          <w:b/>
          <w:bCs/>
          <w:sz w:val="28"/>
          <w:szCs w:val="28"/>
          <w:highlight w:val="none"/>
        </w:rPr>
      </w:pPr>
      <w:r>
        <w:rPr>
          <w:rFonts w:hint="eastAsia" w:ascii="黑体" w:hAnsi="黑体" w:eastAsia="黑体"/>
          <w:b/>
          <w:bCs/>
          <w:sz w:val="28"/>
          <w:szCs w:val="28"/>
          <w:highlight w:val="none"/>
        </w:rPr>
        <w:t>五</w:t>
      </w:r>
      <w:r>
        <w:rPr>
          <w:rFonts w:ascii="黑体" w:hAnsi="黑体" w:eastAsia="黑体"/>
          <w:b/>
          <w:bCs/>
          <w:sz w:val="28"/>
          <w:szCs w:val="28"/>
          <w:highlight w:val="none"/>
        </w:rPr>
        <w:t>、</w:t>
      </w:r>
      <w:r>
        <w:rPr>
          <w:rFonts w:hint="eastAsia" w:ascii="黑体" w:hAnsi="黑体" w:eastAsia="黑体"/>
          <w:b/>
          <w:bCs/>
          <w:sz w:val="28"/>
          <w:szCs w:val="28"/>
          <w:highlight w:val="none"/>
        </w:rPr>
        <w:t>安全要求</w:t>
      </w:r>
    </w:p>
    <w:p>
      <w:pPr>
        <w:pStyle w:val="126"/>
        <w:spacing w:line="360" w:lineRule="auto"/>
        <w:ind w:left="0" w:leftChars="0" w:firstLine="480" w:firstLineChars="200"/>
        <w:jc w:val="left"/>
        <w:rPr>
          <w:rFonts w:hint="eastAsia" w:ascii="黑体" w:hAnsi="黑体" w:eastAsia="黑体"/>
          <w:b/>
          <w:bCs/>
          <w:sz w:val="28"/>
          <w:szCs w:val="28"/>
          <w:highlight w:val="none"/>
        </w:rPr>
      </w:pPr>
      <w:r>
        <w:rPr>
          <w:rFonts w:hint="eastAsia" w:ascii="宋体" w:hAnsi="宋体" w:cs="宋体"/>
          <w:sz w:val="24"/>
          <w:szCs w:val="24"/>
          <w:highlight w:val="none"/>
          <w:lang w:val="en-US" w:eastAsia="zh-CN"/>
        </w:rPr>
        <w:t>设备、</w:t>
      </w:r>
      <w:r>
        <w:rPr>
          <w:rFonts w:hint="eastAsia" w:ascii="宋体" w:hAnsi="宋体" w:cs="宋体"/>
          <w:sz w:val="24"/>
          <w:szCs w:val="24"/>
          <w:highlight w:val="none"/>
        </w:rPr>
        <w:t>安全防护、环境保护、节能要求应满足ISO及国家相关标准；</w:t>
      </w:r>
    </w:p>
    <w:p>
      <w:pPr>
        <w:pStyle w:val="126"/>
        <w:spacing w:line="360" w:lineRule="auto"/>
        <w:ind w:left="0" w:leftChars="0" w:firstLine="0" w:firstLineChars="0"/>
        <w:jc w:val="left"/>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1、设备要求</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w:t>
      </w:r>
      <w:r>
        <w:rPr>
          <w:rFonts w:hint="eastAsia" w:ascii="宋体" w:hAnsi="宋体" w:cs="宋体"/>
          <w:sz w:val="24"/>
          <w:szCs w:val="24"/>
          <w:highlight w:val="none"/>
        </w:rPr>
        <w:t>具备完善的过载保护功能，当拧紧扭矩超过设定值时，能自动停止运行，防止设备损坏和工件报废。</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配备紧急停止按钮，且按钮位置应易于操作，按下后能立即切断设备动力源，使机器人停止所有运动。</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拥有故障诊断与报警系统，能实时监测设备运行状态，出现故障时及时发出声光报警，并显示故障代码和信息。</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电气系统需符合相关安全标准，具有良好的接地和漏电保护措施，防止触电事故。</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cs="宋体"/>
          <w:sz w:val="24"/>
          <w:szCs w:val="24"/>
          <w:highlight w:val="none"/>
        </w:rPr>
        <w:t>机械部件应具有足够的强度和稳定性，在高速运动和高负荷工作条件下不会发生松动、断裂等危险。</w:t>
      </w:r>
    </w:p>
    <w:p>
      <w:pPr>
        <w:pStyle w:val="126"/>
        <w:spacing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lang w:val="en-US" w:eastAsia="zh-CN"/>
        </w:rPr>
        <w:t>2、</w:t>
      </w:r>
      <w:r>
        <w:rPr>
          <w:rFonts w:hint="eastAsia" w:ascii="宋体" w:hAnsi="宋体" w:cs="宋体"/>
          <w:sz w:val="24"/>
          <w:szCs w:val="24"/>
          <w:highlight w:val="none"/>
        </w:rPr>
        <w:t>防护装置</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w:t>
      </w:r>
      <w:r>
        <w:rPr>
          <w:rFonts w:hint="eastAsia" w:ascii="宋体" w:hAnsi="宋体" w:cs="宋体"/>
          <w:sz w:val="24"/>
          <w:szCs w:val="24"/>
          <w:highlight w:val="none"/>
        </w:rPr>
        <w:t>安装安全防护栏或防护门，将机器人工作区域与人员操作区域隔离，防止人员误进入危险区域。</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w:t>
      </w:r>
      <w:r>
        <w:rPr>
          <w:rFonts w:hint="eastAsia" w:ascii="宋体" w:hAnsi="宋体" w:cs="宋体"/>
          <w:sz w:val="24"/>
          <w:szCs w:val="24"/>
          <w:highlight w:val="none"/>
        </w:rPr>
        <w:t>防护栏或防护门应配备安全联锁装置，当门打开时，机器人自动停止运行，只有门关闭并锁定后，机器人才能正常启动。</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w:t>
      </w:r>
      <w:r>
        <w:rPr>
          <w:rFonts w:hint="eastAsia" w:ascii="宋体" w:hAnsi="宋体" w:cs="宋体"/>
          <w:sz w:val="24"/>
          <w:szCs w:val="24"/>
          <w:highlight w:val="none"/>
        </w:rPr>
        <w:t>在机器人末端执行器等危险部位设置防护装置，防止人员接触到旋转或夹紧部件。</w:t>
      </w:r>
    </w:p>
    <w:p>
      <w:pPr>
        <w:pStyle w:val="126"/>
        <w:spacing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cs="宋体"/>
          <w:sz w:val="24"/>
          <w:szCs w:val="24"/>
          <w:highlight w:val="none"/>
        </w:rPr>
        <w:t>操作安全</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w:t>
      </w:r>
      <w:r>
        <w:rPr>
          <w:rFonts w:hint="eastAsia" w:ascii="宋体" w:hAnsi="宋体" w:cs="宋体"/>
          <w:sz w:val="24"/>
          <w:szCs w:val="24"/>
          <w:highlight w:val="none"/>
        </w:rPr>
        <w:t>提供清晰、易懂的操作说明书和安全警示标识，明确告知操作人员设备的正确操作方法、安全注意事项和紧急处理措施。</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w:t>
      </w:r>
      <w:r>
        <w:rPr>
          <w:rFonts w:hint="eastAsia" w:ascii="宋体" w:hAnsi="宋体" w:cs="宋体"/>
          <w:sz w:val="24"/>
          <w:szCs w:val="24"/>
          <w:highlight w:val="none"/>
        </w:rPr>
        <w:t>操作界面应设计合理，操作按钮和显示屏布局符合人体工程学原理，方便操作人员进行操作和监控。</w:t>
      </w:r>
    </w:p>
    <w:p>
      <w:pPr>
        <w:pStyle w:val="126"/>
        <w:spacing w:line="360" w:lineRule="auto"/>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3</w:t>
      </w:r>
      <w:r>
        <w:rPr>
          <w:rFonts w:hint="eastAsia" w:ascii="宋体" w:hAnsi="宋体" w:cs="宋体"/>
          <w:sz w:val="24"/>
          <w:szCs w:val="24"/>
          <w:highlight w:val="none"/>
          <w:lang w:eastAsia="zh-CN"/>
        </w:rPr>
        <w:t>）</w:t>
      </w:r>
      <w:r>
        <w:rPr>
          <w:rFonts w:hint="eastAsia" w:ascii="宋体" w:hAnsi="宋体" w:cs="宋体"/>
          <w:sz w:val="24"/>
          <w:szCs w:val="24"/>
          <w:highlight w:val="none"/>
        </w:rPr>
        <w:t>具备权限管理功能，可设置不同的操作权限，防止未经授权的人员进行操作。</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4</w:t>
      </w:r>
      <w:r>
        <w:rPr>
          <w:rFonts w:hint="eastAsia" w:ascii="宋体" w:hAnsi="宋体" w:cs="宋体"/>
          <w:sz w:val="24"/>
          <w:szCs w:val="24"/>
          <w:highlight w:val="none"/>
          <w:lang w:eastAsia="zh-CN"/>
        </w:rPr>
        <w:t>）</w:t>
      </w:r>
      <w:r>
        <w:rPr>
          <w:rFonts w:hint="eastAsia" w:ascii="宋体" w:hAnsi="宋体" w:cs="宋体"/>
          <w:sz w:val="24"/>
          <w:szCs w:val="24"/>
          <w:highlight w:val="none"/>
        </w:rPr>
        <w:t>设备应能与其他周边设备或系统进行安全互锁，避免在不协调的情况下运行导致安全事故。</w:t>
      </w:r>
    </w:p>
    <w:p>
      <w:pPr>
        <w:pStyle w:val="126"/>
        <w:spacing w:line="360" w:lineRule="auto"/>
        <w:ind w:left="0" w:leftChars="0" w:firstLine="0" w:firstLineChars="0"/>
        <w:jc w:val="left"/>
        <w:rPr>
          <w:rFonts w:hint="eastAsia" w:ascii="宋体" w:hAnsi="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cs="宋体"/>
          <w:sz w:val="24"/>
          <w:szCs w:val="24"/>
          <w:highlight w:val="none"/>
        </w:rPr>
        <w:t>培训支持</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1</w:t>
      </w:r>
      <w:r>
        <w:rPr>
          <w:rFonts w:hint="eastAsia" w:ascii="宋体" w:hAnsi="宋体" w:cs="宋体"/>
          <w:sz w:val="24"/>
          <w:szCs w:val="24"/>
          <w:highlight w:val="none"/>
          <w:lang w:eastAsia="zh-CN"/>
        </w:rPr>
        <w:t>）</w:t>
      </w:r>
      <w:r>
        <w:rPr>
          <w:rFonts w:hint="eastAsia" w:ascii="宋体" w:hAnsi="宋体" w:cs="宋体"/>
          <w:sz w:val="24"/>
          <w:szCs w:val="24"/>
          <w:highlight w:val="none"/>
        </w:rPr>
        <w:t>供应商应提供专业的培训服务，确保操作人员熟悉设备的安全操作规程、维护保养方法和应急处理流程。</w:t>
      </w:r>
    </w:p>
    <w:p>
      <w:pPr>
        <w:pStyle w:val="126"/>
        <w:spacing w:line="360" w:lineRule="auto"/>
        <w:ind w:firstLine="480"/>
        <w:jc w:val="left"/>
        <w:rPr>
          <w:rFonts w:hint="eastAsia" w:ascii="宋体" w:hAnsi="宋体" w:cs="宋体"/>
          <w:sz w:val="24"/>
          <w:szCs w:val="24"/>
          <w:highlight w:val="none"/>
        </w:rPr>
      </w:pPr>
      <w:r>
        <w:rPr>
          <w:rFonts w:hint="eastAsia" w:ascii="宋体" w:hAnsi="宋体" w:cs="宋体"/>
          <w:sz w:val="24"/>
          <w:szCs w:val="24"/>
          <w:highlight w:val="none"/>
          <w:lang w:eastAsia="zh-CN"/>
        </w:rPr>
        <w:t>（</w:t>
      </w:r>
      <w:r>
        <w:rPr>
          <w:rFonts w:hint="eastAsia" w:ascii="宋体" w:hAnsi="宋体" w:cs="宋体"/>
          <w:sz w:val="24"/>
          <w:szCs w:val="24"/>
          <w:highlight w:val="none"/>
          <w:lang w:val="en-US" w:eastAsia="zh-CN"/>
        </w:rPr>
        <w:t>2</w:t>
      </w:r>
      <w:r>
        <w:rPr>
          <w:rFonts w:hint="eastAsia" w:ascii="宋体" w:hAnsi="宋体" w:cs="宋体"/>
          <w:sz w:val="24"/>
          <w:szCs w:val="24"/>
          <w:highlight w:val="none"/>
          <w:lang w:eastAsia="zh-CN"/>
        </w:rPr>
        <w:t>）</w:t>
      </w:r>
      <w:r>
        <w:rPr>
          <w:rFonts w:hint="eastAsia" w:ascii="宋体" w:hAnsi="宋体" w:cs="宋体"/>
          <w:sz w:val="24"/>
          <w:szCs w:val="24"/>
          <w:highlight w:val="none"/>
        </w:rPr>
        <w:t>提供定期的安全检查和维护建议，帮助用户及时发现和排除安全隐患，确保设备长期安全运行。</w:t>
      </w:r>
    </w:p>
    <w:p>
      <w:pPr>
        <w:pStyle w:val="126"/>
        <w:spacing w:line="360" w:lineRule="auto"/>
        <w:ind w:firstLine="480"/>
        <w:jc w:val="left"/>
        <w:rPr>
          <w:rFonts w:ascii="黑体" w:hAnsi="黑体" w:eastAsia="黑体"/>
          <w:b/>
          <w:bCs/>
          <w:sz w:val="28"/>
          <w:szCs w:val="28"/>
        </w:rPr>
      </w:pPr>
      <w:r>
        <w:rPr>
          <w:rFonts w:hint="eastAsia" w:ascii="黑体" w:hAnsi="黑体" w:eastAsia="黑体"/>
          <w:b/>
          <w:bCs/>
          <w:sz w:val="28"/>
          <w:szCs w:val="28"/>
        </w:rPr>
        <w:t>六、供货要求</w:t>
      </w:r>
    </w:p>
    <w:p>
      <w:pPr>
        <w:pStyle w:val="17"/>
        <w:spacing w:line="360" w:lineRule="auto"/>
        <w:ind w:firstLine="480" w:firstLineChars="200"/>
        <w:rPr>
          <w:rFonts w:hAnsi="宋体" w:cs="宋体"/>
          <w:sz w:val="24"/>
          <w:szCs w:val="24"/>
        </w:rPr>
      </w:pPr>
      <w:r>
        <w:rPr>
          <w:rFonts w:hint="eastAsia" w:hAnsi="宋体" w:cs="宋体"/>
          <w:sz w:val="24"/>
          <w:szCs w:val="24"/>
          <w:lang w:val="en-US" w:eastAsia="zh-CN"/>
        </w:rPr>
        <w:t>1</w:t>
      </w:r>
      <w:r>
        <w:rPr>
          <w:rFonts w:hint="eastAsia" w:hAnsi="宋体" w:cs="宋体"/>
          <w:sz w:val="24"/>
          <w:szCs w:val="24"/>
        </w:rPr>
        <w:t>. 供货范围包括货物为达到产品标准以及环保、消防和劳动安全卫生等国家</w:t>
      </w:r>
      <w:r>
        <w:rPr>
          <w:rFonts w:hint="eastAsia" w:hAnsi="宋体" w:cs="宋体"/>
          <w:sz w:val="24"/>
          <w:szCs w:val="24"/>
          <w:highlight w:val="none"/>
        </w:rPr>
        <w:t>法律法规</w:t>
      </w:r>
      <w:r>
        <w:rPr>
          <w:rFonts w:hint="eastAsia" w:hAnsi="宋体" w:cs="宋体"/>
          <w:sz w:val="24"/>
          <w:szCs w:val="24"/>
        </w:rPr>
        <w:t>和标准、规范要求而必须配备但标书未明确提出的通风系统、近距离照明系统以及劳动安全防护设施（不包括人体防护用品）等使用现场配套的设备、材料等；</w:t>
      </w:r>
    </w:p>
    <w:p>
      <w:pPr>
        <w:pStyle w:val="17"/>
        <w:spacing w:line="360" w:lineRule="auto"/>
        <w:ind w:firstLine="480" w:firstLineChars="200"/>
        <w:rPr>
          <w:rFonts w:hAnsi="宋体" w:cs="宋体"/>
          <w:sz w:val="24"/>
          <w:szCs w:val="24"/>
        </w:rPr>
      </w:pPr>
      <w:r>
        <w:rPr>
          <w:rFonts w:hint="eastAsia" w:hAnsi="宋体" w:cs="宋体"/>
          <w:sz w:val="24"/>
          <w:szCs w:val="24"/>
          <w:lang w:val="en-US" w:eastAsia="zh-CN"/>
        </w:rPr>
        <w:t>2</w:t>
      </w:r>
      <w:r>
        <w:rPr>
          <w:rFonts w:hint="eastAsia" w:hAnsi="宋体" w:cs="宋体"/>
          <w:sz w:val="24"/>
          <w:szCs w:val="24"/>
        </w:rPr>
        <w:t>. 供货范围包括货物正常运行所必需的全套连线设备、材料等。如货物端连接法兰外端面之内的、电气系统接口压线板（插座等）之内的设备、材料、连接螺栓、垫片等；</w:t>
      </w:r>
    </w:p>
    <w:p>
      <w:pPr>
        <w:pStyle w:val="17"/>
        <w:spacing w:line="360" w:lineRule="auto"/>
        <w:ind w:firstLine="480" w:firstLineChars="200"/>
        <w:rPr>
          <w:rFonts w:hAnsi="宋体" w:cs="宋体"/>
          <w:sz w:val="24"/>
          <w:szCs w:val="24"/>
        </w:rPr>
      </w:pPr>
      <w:r>
        <w:rPr>
          <w:rFonts w:hint="eastAsia" w:hAnsi="宋体" w:cs="宋体"/>
          <w:sz w:val="24"/>
          <w:szCs w:val="24"/>
          <w:lang w:val="en-US" w:eastAsia="zh-CN"/>
        </w:rPr>
        <w:t>3</w:t>
      </w:r>
      <w:r>
        <w:rPr>
          <w:rFonts w:hint="eastAsia" w:hAnsi="宋体" w:cs="宋体"/>
          <w:sz w:val="24"/>
          <w:szCs w:val="24"/>
        </w:rPr>
        <w:t>. 供货范围包括货物正常运行、使用所需要的过桥、护栏、防护网、盖板等辅助设施；</w:t>
      </w:r>
    </w:p>
    <w:p>
      <w:pPr>
        <w:pStyle w:val="17"/>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 质保期终止之日起一年内重复出现的质保期之内出现的故障，仍属于质保范围而且应当免费；</w:t>
      </w:r>
    </w:p>
    <w:p>
      <w:pPr>
        <w:pStyle w:val="17"/>
        <w:spacing w:line="360" w:lineRule="auto"/>
        <w:ind w:firstLine="562" w:firstLineChars="200"/>
        <w:rPr>
          <w:rFonts w:ascii="黑体" w:hAnsi="黑体" w:eastAsia="黑体"/>
          <w:b/>
          <w:bCs/>
          <w:sz w:val="28"/>
          <w:szCs w:val="28"/>
        </w:rPr>
      </w:pPr>
      <w:r>
        <w:rPr>
          <w:rFonts w:hint="eastAsia" w:ascii="黑体" w:hAnsi="黑体" w:eastAsia="黑体"/>
          <w:b/>
          <w:bCs/>
          <w:sz w:val="28"/>
          <w:szCs w:val="28"/>
        </w:rPr>
        <w:t>七、售中售后服务</w:t>
      </w:r>
    </w:p>
    <w:p>
      <w:pPr>
        <w:adjustRightInd w:val="0"/>
        <w:snapToGrid w:val="0"/>
        <w:spacing w:line="460" w:lineRule="exact"/>
        <w:ind w:firstLine="420" w:firstLineChars="200"/>
        <w:rPr>
          <w:rFonts w:ascii="Cambria Math" w:hAnsi="Cambria Math"/>
        </w:rPr>
      </w:pPr>
      <w:r>
        <w:rPr>
          <w:rFonts w:hint="eastAsia" w:ascii="Cambria Math" w:hAnsi="Cambria Math"/>
        </w:rPr>
        <w:t>2. 应负责在买方设备使用现场，进行5工作日免费的技术指导和培训。</w:t>
      </w:r>
    </w:p>
    <w:p>
      <w:pPr>
        <w:adjustRightInd w:val="0"/>
        <w:snapToGrid w:val="0"/>
        <w:spacing w:line="460" w:lineRule="exact"/>
        <w:ind w:firstLine="420" w:firstLineChars="200"/>
        <w:rPr>
          <w:rFonts w:ascii="Cambria Math" w:hAnsi="Cambria Math"/>
        </w:rPr>
      </w:pPr>
      <w:r>
        <w:rPr>
          <w:rFonts w:ascii="Cambria Math" w:hAnsi="Cambria Math"/>
        </w:rPr>
        <w:t>3</w:t>
      </w:r>
      <w:r>
        <w:rPr>
          <w:rFonts w:hint="eastAsia" w:ascii="Cambria Math" w:hAnsi="Cambria Math"/>
        </w:rPr>
        <w:t>. 应免费提供培训资料2份。</w:t>
      </w:r>
    </w:p>
    <w:p>
      <w:pPr>
        <w:adjustRightInd w:val="0"/>
        <w:snapToGrid w:val="0"/>
        <w:spacing w:line="460" w:lineRule="exact"/>
        <w:ind w:firstLine="420" w:firstLineChars="200"/>
        <w:rPr>
          <w:rFonts w:ascii="Cambria Math" w:hAnsi="Cambria Math"/>
        </w:rPr>
      </w:pPr>
      <w:r>
        <w:rPr>
          <w:rFonts w:ascii="Cambria Math" w:hAnsi="Cambria Math"/>
        </w:rPr>
        <w:t>5</w:t>
      </w:r>
      <w:r>
        <w:rPr>
          <w:rFonts w:hint="eastAsia" w:ascii="Cambria Math" w:hAnsi="Cambria Math"/>
        </w:rPr>
        <w:t>. 若卖方提供的设</w:t>
      </w:r>
      <w:r>
        <w:rPr>
          <w:rFonts w:hint="eastAsia" w:ascii="Cambria Math" w:hAnsi="Cambria Math"/>
          <w:highlight w:val="none"/>
        </w:rPr>
        <w:t>备涉及外购外协货物</w:t>
      </w:r>
      <w:r>
        <w:rPr>
          <w:rFonts w:hint="eastAsia" w:ascii="Cambria Math" w:hAnsi="Cambria Math"/>
          <w:highlight w:val="none"/>
          <w:lang w:eastAsia="zh-CN"/>
        </w:rPr>
        <w:t>，而且</w:t>
      </w:r>
      <w:r>
        <w:rPr>
          <w:rFonts w:hint="eastAsia" w:ascii="Cambria Math" w:hAnsi="Cambria Math"/>
          <w:highlight w:val="none"/>
        </w:rPr>
        <w:t>该货物的技术质量等较为关键时，卖方应能保证得到配套厂家的技术</w:t>
      </w:r>
      <w:r>
        <w:rPr>
          <w:rFonts w:hint="eastAsia" w:ascii="Cambria Math" w:hAnsi="Cambria Math"/>
        </w:rPr>
        <w:t>支持，并免费为买方提供技术服务。</w:t>
      </w:r>
    </w:p>
    <w:p>
      <w:pPr>
        <w:adjustRightInd w:val="0"/>
        <w:snapToGrid w:val="0"/>
        <w:spacing w:line="460" w:lineRule="exact"/>
        <w:ind w:firstLine="420" w:firstLineChars="200"/>
        <w:rPr>
          <w:rFonts w:hint="eastAsia" w:ascii="Cambria Math" w:hAnsi="Cambria Math"/>
        </w:rPr>
      </w:pPr>
      <w:r>
        <w:rPr>
          <w:rFonts w:ascii="Cambria Math" w:hAnsi="Cambria Math"/>
        </w:rPr>
        <w:t>6</w:t>
      </w:r>
      <w:r>
        <w:rPr>
          <w:rFonts w:hint="eastAsia" w:ascii="Cambria Math" w:hAnsi="Cambria Math"/>
        </w:rPr>
        <w:t>. 负责制定对买方人员在运行、维修等方面的培训计划，并有专人负责实施培训计划，负责指导买方受培训人员正确理解设计和制造意图，认识设备的特点和特性，掌握在运行、维修和使用管理中应遵守的规则等方面的综合知识。</w:t>
      </w:r>
    </w:p>
    <w:p>
      <w:pPr>
        <w:pStyle w:val="17"/>
        <w:spacing w:line="360" w:lineRule="auto"/>
        <w:ind w:firstLine="562" w:firstLineChars="200"/>
        <w:rPr>
          <w:rFonts w:ascii="黑体" w:hAnsi="黑体" w:eastAsia="黑体"/>
          <w:b/>
          <w:bCs/>
          <w:sz w:val="28"/>
          <w:szCs w:val="28"/>
        </w:rPr>
      </w:pPr>
      <w:r>
        <w:rPr>
          <w:rFonts w:hint="eastAsia" w:ascii="黑体" w:hAnsi="黑体" w:eastAsia="黑体"/>
          <w:b/>
          <w:bCs/>
          <w:sz w:val="28"/>
          <w:szCs w:val="28"/>
        </w:rPr>
        <w:t>八、备件</w:t>
      </w:r>
    </w:p>
    <w:p>
      <w:pPr>
        <w:adjustRightInd w:val="0"/>
        <w:snapToGrid w:val="0"/>
        <w:spacing w:line="460" w:lineRule="exact"/>
        <w:ind w:firstLine="420" w:firstLineChars="200"/>
        <w:rPr>
          <w:rFonts w:ascii="Cambria Math" w:hAnsi="Cambria Math"/>
        </w:rPr>
      </w:pPr>
      <w:r>
        <w:rPr>
          <w:rFonts w:hint="eastAsia" w:ascii="Cambria Math" w:hAnsi="Cambria Math"/>
        </w:rPr>
        <w:t>1</w:t>
      </w:r>
      <w:r>
        <w:rPr>
          <w:rFonts w:ascii="Cambria Math" w:hAnsi="Cambria Math"/>
        </w:rPr>
        <w:t>.</w:t>
      </w:r>
      <w:r>
        <w:rPr>
          <w:rFonts w:hint="eastAsia" w:ascii="Cambria Math" w:hAnsi="Cambria Math"/>
        </w:rPr>
        <w:t>备件内容包括但不限于：</w:t>
      </w:r>
    </w:p>
    <w:p>
      <w:pPr>
        <w:adjustRightInd w:val="0"/>
        <w:snapToGrid w:val="0"/>
        <w:spacing w:line="460" w:lineRule="exact"/>
        <w:ind w:firstLine="420" w:firstLineChars="200"/>
        <w:rPr>
          <w:rFonts w:ascii="Cambria Math" w:hAnsi="Cambria Math"/>
          <w:highlight w:val="none"/>
        </w:rPr>
      </w:pPr>
      <w:r>
        <w:rPr>
          <w:rFonts w:hint="eastAsia" w:ascii="Cambria Math" w:hAnsi="Cambria Math"/>
          <w:highlight w:val="none"/>
          <w:lang w:val="en-US" w:eastAsia="zh-CN"/>
        </w:rPr>
        <w:t>套筒</w:t>
      </w:r>
      <w:r>
        <w:rPr>
          <w:rFonts w:hint="eastAsia" w:ascii="Cambria Math" w:hAnsi="Cambria Math"/>
          <w:highlight w:val="none"/>
        </w:rPr>
        <w:t>、电器元件、气路附件及其它易损件。</w:t>
      </w:r>
    </w:p>
    <w:p>
      <w:pPr>
        <w:adjustRightInd w:val="0"/>
        <w:snapToGrid w:val="0"/>
        <w:spacing w:line="460" w:lineRule="exact"/>
        <w:ind w:firstLine="420" w:firstLineChars="200"/>
        <w:rPr>
          <w:rFonts w:ascii="Cambria Math" w:hAnsi="Cambria Math"/>
        </w:rPr>
      </w:pPr>
      <w:r>
        <w:rPr>
          <w:rFonts w:hint="eastAsia" w:ascii="Cambria Math" w:hAnsi="Cambria Math"/>
        </w:rPr>
        <w:t>2</w:t>
      </w:r>
      <w:r>
        <w:rPr>
          <w:rFonts w:ascii="Cambria Math" w:hAnsi="Cambria Math"/>
        </w:rPr>
        <w:t>.</w:t>
      </w:r>
      <w:r>
        <w:rPr>
          <w:rFonts w:hint="eastAsia" w:ascii="Cambria Math" w:hAnsi="Cambria Math"/>
        </w:rPr>
        <w:t>在完成设备技术会签后，由买方确定具体备件清单及要求到货时间、卖方按清单提供。</w:t>
      </w:r>
    </w:p>
    <w:p>
      <w:pPr>
        <w:adjustRightInd w:val="0"/>
        <w:snapToGrid w:val="0"/>
        <w:spacing w:line="460" w:lineRule="exact"/>
        <w:ind w:firstLine="420" w:firstLineChars="200"/>
        <w:rPr>
          <w:rFonts w:ascii="Cambria Math" w:hAnsi="Cambria Math"/>
        </w:rPr>
      </w:pPr>
      <w:r>
        <w:rPr>
          <w:rFonts w:hint="eastAsia" w:ascii="Cambria Math" w:hAnsi="Cambria Math"/>
        </w:rPr>
        <w:t>3</w:t>
      </w:r>
      <w:r>
        <w:rPr>
          <w:rFonts w:ascii="Cambria Math" w:hAnsi="Cambria Math"/>
        </w:rPr>
        <w:t>.</w:t>
      </w:r>
      <w:r>
        <w:rPr>
          <w:rFonts w:hint="eastAsia" w:ascii="Cambria Math" w:hAnsi="Cambria Math"/>
        </w:rPr>
        <w:t>卖方对备件价格核算时，应按照市场价格8</w:t>
      </w:r>
      <w:r>
        <w:rPr>
          <w:rFonts w:ascii="Cambria Math" w:hAnsi="Cambria Math"/>
        </w:rPr>
        <w:t>5%</w:t>
      </w:r>
      <w:r>
        <w:rPr>
          <w:rFonts w:hint="eastAsia" w:ascii="Cambria Math" w:hAnsi="Cambria Math"/>
        </w:rPr>
        <w:t>以下（含8</w:t>
      </w:r>
      <w:r>
        <w:rPr>
          <w:rFonts w:ascii="Cambria Math" w:hAnsi="Cambria Math"/>
        </w:rPr>
        <w:t>5%</w:t>
      </w:r>
      <w:r>
        <w:rPr>
          <w:rFonts w:hint="eastAsia" w:ascii="Cambria Math" w:hAnsi="Cambria Math"/>
        </w:rPr>
        <w:t>）对买方进行核算。</w:t>
      </w:r>
    </w:p>
    <w:p>
      <w:pPr>
        <w:pStyle w:val="17"/>
        <w:spacing w:line="360" w:lineRule="auto"/>
        <w:ind w:firstLine="562" w:firstLineChars="200"/>
        <w:rPr>
          <w:rFonts w:ascii="黑体" w:hAnsi="黑体" w:eastAsia="黑体"/>
          <w:b/>
          <w:bCs/>
          <w:sz w:val="28"/>
          <w:szCs w:val="28"/>
        </w:rPr>
      </w:pPr>
      <w:r>
        <w:rPr>
          <w:rFonts w:hint="eastAsia" w:ascii="黑体" w:hAnsi="黑体" w:eastAsia="黑体"/>
          <w:b/>
          <w:bCs/>
          <w:sz w:val="28"/>
          <w:szCs w:val="28"/>
        </w:rPr>
        <w:t>九、其他</w:t>
      </w:r>
    </w:p>
    <w:p>
      <w:pPr>
        <w:adjustRightInd w:val="0"/>
        <w:snapToGrid w:val="0"/>
        <w:spacing w:line="460" w:lineRule="exact"/>
        <w:ind w:firstLine="420" w:firstLineChars="200"/>
        <w:rPr>
          <w:rFonts w:ascii="Cambria Math" w:hAnsi="Cambria Math"/>
        </w:rPr>
      </w:pPr>
      <w:r>
        <w:rPr>
          <w:rFonts w:ascii="Cambria Math" w:hAnsi="Cambria Math"/>
        </w:rPr>
        <w:t>1</w:t>
      </w:r>
      <w:r>
        <w:rPr>
          <w:rFonts w:hint="eastAsia" w:ascii="Cambria Math" w:hAnsi="Cambria Math"/>
        </w:rPr>
        <w:t>. 投标人承诺对参与该项目所获得的与招标人产品相关的所有信息都予以保密，并承担与此相关的所有法律责任；</w:t>
      </w:r>
    </w:p>
    <w:p>
      <w:pPr>
        <w:adjustRightInd w:val="0"/>
        <w:snapToGrid w:val="0"/>
        <w:spacing w:line="460" w:lineRule="exact"/>
        <w:ind w:firstLine="420" w:firstLineChars="200"/>
        <w:rPr>
          <w:rFonts w:ascii="Cambria Math" w:hAnsi="Cambria Math"/>
        </w:rPr>
      </w:pPr>
      <w:r>
        <w:rPr>
          <w:rFonts w:ascii="Cambria Math" w:hAnsi="Cambria Math"/>
        </w:rPr>
        <w:t>2.</w:t>
      </w:r>
      <w:r>
        <w:rPr>
          <w:rFonts w:hint="eastAsia" w:ascii="Cambria Math" w:hAnsi="Cambria Math"/>
        </w:rPr>
        <w:t xml:space="preserve"> 终验收合格后，质保期一年。在正常运行的情况下，系统出现故障，在接到通知后</w:t>
      </w:r>
      <w:r>
        <w:rPr>
          <w:rFonts w:ascii="Cambria Math" w:hAnsi="Cambria Math"/>
        </w:rPr>
        <w:t>4小时以内予以答复，并在24小时以内派出服务人员，无偿维修；在质保期满后，投标方在接到通知后4小时以内予以答复，并在24小时以内派出服务人员；</w:t>
      </w:r>
    </w:p>
    <w:p>
      <w:pPr>
        <w:adjustRightInd w:val="0"/>
        <w:snapToGrid w:val="0"/>
        <w:spacing w:line="460" w:lineRule="exact"/>
        <w:ind w:firstLine="420" w:firstLineChars="200"/>
        <w:rPr>
          <w:rFonts w:ascii="Cambria Math" w:hAnsi="Cambria Math"/>
        </w:rPr>
      </w:pPr>
      <w:r>
        <w:rPr>
          <w:rFonts w:ascii="Cambria Math" w:hAnsi="Cambria Math"/>
        </w:rPr>
        <w:t>3.</w:t>
      </w:r>
      <w:r>
        <w:rPr>
          <w:rFonts w:hint="eastAsia" w:ascii="Cambria Math" w:hAnsi="Cambria Math"/>
        </w:rPr>
        <w:t xml:space="preserve"> 其余未尽事宜，投标人应与招标人指派的答疑人员充分沟通，理解认可并接受相关技术规范及服务要求；</w:t>
      </w:r>
    </w:p>
    <w:p>
      <w:pPr>
        <w:adjustRightInd w:val="0"/>
        <w:snapToGrid w:val="0"/>
        <w:spacing w:line="460" w:lineRule="exact"/>
        <w:ind w:firstLine="420" w:firstLineChars="200"/>
        <w:rPr>
          <w:rFonts w:ascii="Cambria Math" w:hAnsi="Cambria Math"/>
        </w:rPr>
      </w:pPr>
      <w:r>
        <w:rPr>
          <w:rFonts w:ascii="Cambria Math" w:hAnsi="Cambria Math"/>
        </w:rPr>
        <w:t>4.</w:t>
      </w:r>
      <w:r>
        <w:rPr>
          <w:rFonts w:hint="eastAsia" w:ascii="Cambria Math" w:hAnsi="Cambria Math"/>
        </w:rPr>
        <w:t xml:space="preserve"> 中标人需安排专人负责本招标项目的联络、检测计划布置、检测现场指导工作，该负责人对于以上问题的响应时间不得超过</w:t>
      </w:r>
      <w:r>
        <w:rPr>
          <w:rFonts w:ascii="Cambria Math" w:hAnsi="Cambria Math"/>
        </w:rPr>
        <w:t>2小时；</w:t>
      </w:r>
    </w:p>
    <w:p>
      <w:pPr>
        <w:adjustRightInd w:val="0"/>
        <w:snapToGrid w:val="0"/>
        <w:spacing w:line="460" w:lineRule="exact"/>
        <w:ind w:firstLine="420" w:firstLineChars="200"/>
        <w:rPr>
          <w:rFonts w:ascii="Cambria Math" w:hAnsi="Cambria Math"/>
        </w:rPr>
      </w:pPr>
      <w:r>
        <w:rPr>
          <w:rFonts w:ascii="Cambria Math" w:hAnsi="Cambria Math"/>
        </w:rPr>
        <w:t>5.</w:t>
      </w:r>
      <w:r>
        <w:rPr>
          <w:rFonts w:hint="eastAsia" w:ascii="Cambria Math" w:hAnsi="Cambria Math"/>
        </w:rPr>
        <w:t xml:space="preserve"> 投标人需自备交通工具、各种设备及食宿等必需品；</w:t>
      </w:r>
    </w:p>
    <w:p>
      <w:pPr>
        <w:adjustRightInd w:val="0"/>
        <w:snapToGrid w:val="0"/>
        <w:spacing w:line="460" w:lineRule="exact"/>
        <w:ind w:firstLine="420" w:firstLineChars="200"/>
        <w:rPr>
          <w:rFonts w:ascii="Cambria Math" w:hAnsi="Cambria Math"/>
        </w:rPr>
      </w:pPr>
      <w:r>
        <w:rPr>
          <w:rFonts w:ascii="Cambria Math" w:hAnsi="Cambria Math"/>
        </w:rPr>
        <w:t>6.</w:t>
      </w:r>
      <w:r>
        <w:rPr>
          <w:rFonts w:hint="eastAsia" w:ascii="Cambria Math" w:hAnsi="Cambria Math"/>
        </w:rPr>
        <w:t xml:space="preserve"> 中标方需对招标人提供的数据及企业资料进行保密，并不得向第三方扩散，因泄密对招标人造成的损失由中标方承担相应全部责任；</w:t>
      </w:r>
    </w:p>
    <w:p>
      <w:pPr>
        <w:pStyle w:val="13"/>
        <w:jc w:val="center"/>
        <w:rPr>
          <w:rFonts w:hint="eastAsia" w:hAnsi="宋体" w:cs="宋体"/>
          <w:sz w:val="24"/>
        </w:rPr>
      </w:pPr>
      <w:r>
        <w:rPr>
          <w:rFonts w:hint="eastAsia" w:hAnsi="宋体" w:cs="宋体"/>
          <w:sz w:val="24"/>
        </w:rPr>
        <w:br w:type="page"/>
      </w:r>
      <w:bookmarkStart w:id="53" w:name="_Toc137705869"/>
      <w:bookmarkStart w:id="54" w:name="_Toc5879"/>
      <w:bookmarkStart w:id="55" w:name="_Toc9668"/>
      <w:bookmarkStart w:id="56" w:name="_Toc10810"/>
      <w:bookmarkStart w:id="57" w:name="_Toc10963"/>
    </w:p>
    <w:p>
      <w:pPr>
        <w:pStyle w:val="13"/>
        <w:jc w:val="center"/>
        <w:rPr>
          <w:rFonts w:hint="eastAsia" w:ascii="黑体" w:eastAsia="黑体"/>
          <w:b/>
          <w:sz w:val="24"/>
          <w:szCs w:val="24"/>
        </w:rPr>
      </w:pPr>
      <w:r>
        <w:rPr>
          <w:rFonts w:hint="eastAsia" w:ascii="黑体" w:hAnsi="Times New Roman" w:eastAsia="黑体" w:cs="Times New Roman"/>
          <w:b/>
          <w:bCs/>
          <w:i/>
          <w:iCs/>
          <w:kern w:val="44"/>
          <w:sz w:val="24"/>
          <w:szCs w:val="24"/>
          <w:lang w:val="en-US" w:eastAsia="zh-CN" w:bidi="ar-SA"/>
        </w:rPr>
        <w:t>第三章  供货范围及供货方式</w:t>
      </w:r>
      <w:bookmarkEnd w:id="53"/>
      <w:bookmarkEnd w:id="54"/>
      <w:bookmarkEnd w:id="55"/>
      <w:bookmarkEnd w:id="56"/>
      <w:bookmarkEnd w:id="57"/>
    </w:p>
    <w:p>
      <w:pPr>
        <w:pStyle w:val="4"/>
        <w:spacing w:before="120" w:after="120" w:line="480" w:lineRule="exact"/>
        <w:jc w:val="center"/>
        <w:rPr>
          <w:rFonts w:hint="eastAsia"/>
          <w:b w:val="0"/>
          <w:sz w:val="24"/>
          <w:szCs w:val="24"/>
        </w:rPr>
      </w:pPr>
      <w:bookmarkStart w:id="58" w:name="_Toc15892"/>
      <w:bookmarkStart w:id="59" w:name="_Toc137705870"/>
      <w:bookmarkStart w:id="60" w:name="_Toc10065"/>
      <w:bookmarkStart w:id="61" w:name="_Toc22761"/>
      <w:bookmarkStart w:id="62" w:name="_Toc19615"/>
      <w:r>
        <w:rPr>
          <w:rFonts w:hint="eastAsia"/>
          <w:b w:val="0"/>
          <w:sz w:val="24"/>
          <w:szCs w:val="24"/>
        </w:rPr>
        <w:t>第一节  供货范围</w:t>
      </w:r>
      <w:bookmarkEnd w:id="58"/>
      <w:bookmarkEnd w:id="59"/>
      <w:bookmarkEnd w:id="60"/>
      <w:bookmarkEnd w:id="61"/>
      <w:bookmarkEnd w:id="62"/>
    </w:p>
    <w:p>
      <w:pPr>
        <w:spacing w:line="480" w:lineRule="exact"/>
        <w:ind w:firstLine="420" w:firstLineChars="200"/>
        <w:rPr>
          <w:rFonts w:hint="eastAsia" w:ascii="黑体" w:hAnsi="宋体" w:eastAsia="黑体"/>
        </w:rPr>
      </w:pPr>
      <w:r>
        <w:rPr>
          <w:rFonts w:hint="eastAsia" w:ascii="黑体" w:hAnsi="宋体" w:eastAsia="黑体"/>
        </w:rPr>
        <w:t>一、主要货物一般供货范围界定</w:t>
      </w:r>
    </w:p>
    <w:p>
      <w:pPr>
        <w:spacing w:line="480" w:lineRule="exact"/>
        <w:ind w:firstLine="420" w:firstLineChars="200"/>
        <w:rPr>
          <w:rFonts w:hint="eastAsia" w:ascii="宋体" w:hAnsi="宋体"/>
        </w:rPr>
      </w:pPr>
      <w:r>
        <w:rPr>
          <w:rFonts w:hint="eastAsia" w:ascii="宋体" w:hAnsi="宋体"/>
        </w:rPr>
        <w:t>1、供货范围包括本技术标书“采购货物概况”所列及所要求的设备。</w:t>
      </w:r>
    </w:p>
    <w:p>
      <w:pPr>
        <w:spacing w:line="480" w:lineRule="exact"/>
        <w:ind w:firstLine="420" w:firstLineChars="200"/>
        <w:rPr>
          <w:rFonts w:hint="eastAsia" w:ascii="宋体" w:hAnsi="宋体"/>
        </w:rPr>
      </w:pPr>
      <w:r>
        <w:rPr>
          <w:rFonts w:hint="eastAsia" w:ascii="宋体" w:hAnsi="宋体"/>
        </w:rPr>
        <w:t>2、供货范围包括为保证设备正常安装、调试和验收完成及以前所必需的整套配件、附件及材料、油料、控制软件及程序或指令等。</w:t>
      </w:r>
    </w:p>
    <w:p>
      <w:pPr>
        <w:spacing w:line="480" w:lineRule="exact"/>
        <w:ind w:firstLine="420" w:firstLineChars="200"/>
        <w:rPr>
          <w:rFonts w:hint="eastAsia" w:ascii="宋体" w:hAnsi="宋体"/>
        </w:rPr>
      </w:pPr>
      <w:r>
        <w:rPr>
          <w:rFonts w:hint="eastAsia" w:ascii="宋体" w:hAnsi="宋体"/>
        </w:rPr>
        <w:t>如果终验收完成后，投标方有需要收回的配件、附件、材料、油料等，应当在投标文件的技术偏离条款中，予以详细说明；否则视同包括在供货范围之内。</w:t>
      </w:r>
    </w:p>
    <w:p>
      <w:pPr>
        <w:spacing w:line="480" w:lineRule="exact"/>
        <w:ind w:firstLine="420" w:firstLineChars="200"/>
        <w:rPr>
          <w:rFonts w:hint="eastAsia" w:ascii="宋体" w:hAnsi="宋体"/>
        </w:rPr>
      </w:pPr>
      <w:r>
        <w:rPr>
          <w:rFonts w:hint="eastAsia" w:ascii="宋体" w:hAnsi="宋体"/>
        </w:rPr>
        <w:t>3、供货范围包括货物维护维修所必需的专用工具。</w:t>
      </w:r>
    </w:p>
    <w:p>
      <w:pPr>
        <w:spacing w:line="480" w:lineRule="exact"/>
        <w:ind w:firstLine="420" w:firstLineChars="200"/>
        <w:rPr>
          <w:rFonts w:hint="eastAsia" w:ascii="宋体" w:hAnsi="宋体"/>
        </w:rPr>
      </w:pPr>
      <w:r>
        <w:rPr>
          <w:rFonts w:hint="eastAsia" w:ascii="宋体" w:hAnsi="宋体"/>
        </w:rPr>
        <w:t>4、供货范围包括设备为达到产品标准以及环保、消防和劳动安全卫生等国家</w:t>
      </w:r>
      <w:r>
        <w:rPr>
          <w:rFonts w:hint="eastAsia" w:ascii="宋体" w:hAnsi="宋体"/>
          <w:highlight w:val="none"/>
        </w:rPr>
        <w:t>法律法规</w:t>
      </w:r>
      <w:r>
        <w:rPr>
          <w:rFonts w:hint="eastAsia" w:ascii="宋体" w:hAnsi="宋体"/>
        </w:rPr>
        <w:t>和标准、规范要求而必须配备但标书未明确提出的除尘系统、通风系统、近距离照明系统以及劳动安全防护设施（不包括人体防护用品）等使用现场配套的设备、材料等。</w:t>
      </w:r>
    </w:p>
    <w:p>
      <w:pPr>
        <w:spacing w:line="480" w:lineRule="exact"/>
        <w:ind w:firstLine="420" w:firstLineChars="200"/>
        <w:rPr>
          <w:rFonts w:hint="eastAsia" w:ascii="宋体" w:hAnsi="宋体"/>
        </w:rPr>
      </w:pPr>
      <w:r>
        <w:rPr>
          <w:rFonts w:hint="eastAsia" w:ascii="宋体" w:hAnsi="宋体"/>
        </w:rPr>
        <w:t>如投标方难以提供或无优势提供以及属于选用配置的，则应当在投标文件的技术偏离条款中，予以详细说明并注明投标报价未包含该部分的货值。</w:t>
      </w:r>
    </w:p>
    <w:p>
      <w:pPr>
        <w:spacing w:line="480" w:lineRule="exact"/>
        <w:ind w:firstLine="420" w:firstLineChars="200"/>
        <w:rPr>
          <w:rFonts w:hint="eastAsia" w:ascii="宋体" w:hAnsi="宋体"/>
        </w:rPr>
      </w:pPr>
      <w:r>
        <w:rPr>
          <w:rFonts w:hint="eastAsia" w:ascii="宋体" w:hAnsi="宋体"/>
        </w:rPr>
        <w:t>5、供货范围包括为保证设备自身正常运行所必需的、满足使用地点环境条件的通风、冷却、降温等必需设施。</w:t>
      </w:r>
    </w:p>
    <w:p>
      <w:pPr>
        <w:spacing w:line="480" w:lineRule="exact"/>
        <w:ind w:firstLine="420" w:firstLineChars="200"/>
        <w:rPr>
          <w:rFonts w:hint="eastAsia" w:ascii="宋体" w:hAnsi="宋体"/>
        </w:rPr>
      </w:pPr>
      <w:r>
        <w:rPr>
          <w:rFonts w:hint="eastAsia" w:ascii="宋体" w:hAnsi="宋体"/>
        </w:rPr>
        <w:t>6、以“交钥匙”方式采购的设备，在满足技术标书本节上述要求之外，供货范围还包括如下界定（货物）：</w:t>
      </w:r>
    </w:p>
    <w:p>
      <w:pPr>
        <w:spacing w:line="480" w:lineRule="exact"/>
        <w:ind w:firstLine="420" w:firstLineChars="200"/>
        <w:rPr>
          <w:rFonts w:hint="eastAsia" w:ascii="宋体" w:hAnsi="宋体"/>
          <w:highlight w:val="none"/>
        </w:rPr>
      </w:pPr>
      <w:r>
        <w:rPr>
          <w:rFonts w:hint="eastAsia" w:ascii="宋体" w:hAnsi="宋体"/>
        </w:rPr>
        <w:t>6.1  招标方只</w:t>
      </w:r>
      <w:r>
        <w:rPr>
          <w:rFonts w:hint="eastAsia" w:ascii="宋体" w:hAnsi="宋体"/>
          <w:highlight w:val="none"/>
        </w:rPr>
        <w:t>提</w:t>
      </w:r>
      <w:r>
        <w:rPr>
          <w:rFonts w:hint="eastAsia" w:ascii="宋体" w:hAnsi="宋体"/>
          <w:highlight w:val="none"/>
          <w:lang w:val="en-US" w:eastAsia="zh-CN"/>
        </w:rPr>
        <w:t>供</w:t>
      </w:r>
      <w:r>
        <w:rPr>
          <w:rFonts w:hint="eastAsia" w:ascii="宋体" w:hAnsi="宋体"/>
        </w:rPr>
        <w:t>设备所需的厂房以及砼基础；只提供符合本技术标书中“采购货物概况”和“使用环境”章节所列明品质的电力、自来水、压缩空气、蒸汽、天然气管线至系统接口，如：系统电力接口的接线端，水、气、汽等</w:t>
      </w:r>
      <w:r>
        <w:rPr>
          <w:rFonts w:hint="eastAsia" w:ascii="宋体" w:hAnsi="宋体"/>
          <w:highlight w:val="none"/>
        </w:rPr>
        <w:t>外围管线端</w:t>
      </w:r>
      <w:r>
        <w:rPr>
          <w:rFonts w:hint="eastAsia" w:ascii="宋体" w:hAnsi="宋体"/>
          <w:highlight w:val="none"/>
          <w:lang w:eastAsia="zh-CN"/>
        </w:rPr>
        <w:t>（</w:t>
      </w:r>
      <w:r>
        <w:rPr>
          <w:rFonts w:hint="eastAsia" w:ascii="宋体" w:hAnsi="宋体"/>
          <w:highlight w:val="none"/>
          <w:lang w:val="en-US" w:eastAsia="zh-CN"/>
        </w:rPr>
        <w:t>连</w:t>
      </w:r>
      <w:r>
        <w:rPr>
          <w:rFonts w:hint="eastAsia" w:ascii="宋体" w:hAnsi="宋体"/>
          <w:highlight w:val="none"/>
          <w:lang w:eastAsia="zh-CN"/>
        </w:rPr>
        <w:t>）</w:t>
      </w:r>
      <w:r>
        <w:rPr>
          <w:rFonts w:hint="eastAsia" w:ascii="宋体" w:hAnsi="宋体"/>
          <w:highlight w:val="none"/>
        </w:rPr>
        <w:t>接法兰外端面。</w:t>
      </w:r>
    </w:p>
    <w:p>
      <w:pPr>
        <w:spacing w:line="480" w:lineRule="exact"/>
        <w:ind w:firstLine="420" w:firstLineChars="200"/>
        <w:rPr>
          <w:rFonts w:hint="eastAsia" w:ascii="宋体" w:hAnsi="宋体"/>
        </w:rPr>
      </w:pPr>
      <w:r>
        <w:rPr>
          <w:rFonts w:hint="eastAsia" w:ascii="宋体" w:hAnsi="宋体"/>
          <w:highlight w:val="none"/>
        </w:rPr>
        <w:t>6.2  供货范围包括设备正常运行所必需的全套连线设备、材料等。</w:t>
      </w:r>
      <w:r>
        <w:rPr>
          <w:rFonts w:hint="eastAsia" w:ascii="宋体" w:hAnsi="宋体"/>
        </w:rPr>
        <w:t>如货物端</w:t>
      </w:r>
      <w:r>
        <w:rPr>
          <w:rFonts w:hint="eastAsia" w:ascii="宋体" w:hAnsi="宋体"/>
          <w:lang w:val="en-US" w:eastAsia="zh-CN"/>
        </w:rPr>
        <w:t>连</w:t>
      </w:r>
      <w:r>
        <w:rPr>
          <w:rFonts w:hint="eastAsia" w:ascii="宋体" w:hAnsi="宋体"/>
        </w:rPr>
        <w:t>接法兰外端面之内的、电气系统接口压线板（插座等）之内的设备、材</w:t>
      </w:r>
      <w:r>
        <w:rPr>
          <w:rFonts w:hint="eastAsia" w:ascii="宋体" w:hAnsi="宋体"/>
          <w:highlight w:val="none"/>
        </w:rPr>
        <w:t>料、</w:t>
      </w:r>
      <w:r>
        <w:rPr>
          <w:rFonts w:hint="eastAsia" w:ascii="宋体" w:hAnsi="宋体"/>
          <w:highlight w:val="none"/>
          <w:lang w:val="en-US" w:eastAsia="zh-CN"/>
        </w:rPr>
        <w:t>连</w:t>
      </w:r>
      <w:r>
        <w:rPr>
          <w:rFonts w:hint="eastAsia" w:ascii="宋体" w:hAnsi="宋体"/>
          <w:highlight w:val="none"/>
        </w:rPr>
        <w:t>接螺栓、垫片等。</w:t>
      </w:r>
    </w:p>
    <w:p>
      <w:pPr>
        <w:spacing w:line="480" w:lineRule="exact"/>
        <w:ind w:firstLine="420" w:firstLineChars="200"/>
        <w:rPr>
          <w:rFonts w:hint="eastAsia" w:ascii="宋体" w:hAnsi="宋体"/>
        </w:rPr>
      </w:pPr>
      <w:r>
        <w:rPr>
          <w:rFonts w:hint="eastAsia" w:ascii="宋体" w:hAnsi="宋体"/>
        </w:rPr>
        <w:t>6.3  供货范围包括设备正常运行、使用所需要的过桥、护栏、防护网、盖板等辅助设施。</w:t>
      </w:r>
    </w:p>
    <w:p>
      <w:pPr>
        <w:spacing w:line="480" w:lineRule="exact"/>
        <w:ind w:firstLine="420" w:firstLineChars="200"/>
        <w:rPr>
          <w:rFonts w:hint="eastAsia" w:ascii="宋体" w:hAnsi="宋体"/>
        </w:rPr>
      </w:pPr>
      <w:r>
        <w:rPr>
          <w:rFonts w:hint="eastAsia" w:ascii="宋体" w:hAnsi="宋体"/>
          <w:highlight w:val="none"/>
        </w:rPr>
        <w:t>6.</w:t>
      </w:r>
      <w:r>
        <w:rPr>
          <w:rFonts w:hint="eastAsia" w:ascii="宋体" w:hAnsi="宋体"/>
          <w:highlight w:val="none"/>
          <w:lang w:val="en-US" w:eastAsia="zh-CN"/>
        </w:rPr>
        <w:t>4</w:t>
      </w:r>
      <w:r>
        <w:rPr>
          <w:rFonts w:hint="eastAsia" w:ascii="宋体" w:hAnsi="宋体"/>
          <w:highlight w:val="none"/>
        </w:rPr>
        <w:t xml:space="preserve">  供货范围包括招标文件中无明确具体要求而投标方认为必须具备的</w:t>
      </w:r>
      <w:r>
        <w:rPr>
          <w:rFonts w:hint="eastAsia" w:ascii="宋体" w:hAnsi="宋体"/>
          <w:highlight w:val="none"/>
          <w:lang w:val="en-US" w:eastAsia="zh-CN"/>
        </w:rPr>
        <w:t>其他货物</w:t>
      </w:r>
      <w:r>
        <w:rPr>
          <w:rFonts w:hint="eastAsia" w:ascii="宋体" w:hAnsi="宋体"/>
        </w:rPr>
        <w:t>。但是，在投标文件报价明细中，该部分货物单独报价（该报价含运杂费及税费等其它费用，而且不再作为</w:t>
      </w:r>
      <w:r>
        <w:rPr>
          <w:rFonts w:hint="eastAsia" w:ascii="宋体" w:hAnsi="宋体"/>
          <w:lang w:val="en-US" w:eastAsia="zh-CN"/>
        </w:rPr>
        <w:t>其他</w:t>
      </w:r>
      <w:r>
        <w:rPr>
          <w:rFonts w:hint="eastAsia" w:ascii="宋体" w:hAnsi="宋体"/>
        </w:rPr>
        <w:t>报价</w:t>
      </w:r>
      <w:r>
        <w:rPr>
          <w:rFonts w:hint="eastAsia" w:ascii="宋体" w:hAnsi="宋体"/>
          <w:highlight w:val="none"/>
        </w:rPr>
        <w:t>涉及的其</w:t>
      </w:r>
      <w:r>
        <w:rPr>
          <w:rFonts w:hint="eastAsia" w:ascii="宋体" w:hAnsi="宋体"/>
          <w:highlight w:val="none"/>
          <w:lang w:val="en-US" w:eastAsia="zh-CN"/>
        </w:rPr>
        <w:t>他</w:t>
      </w:r>
      <w:r>
        <w:rPr>
          <w:rFonts w:hint="eastAsia" w:ascii="宋体" w:hAnsi="宋体"/>
          <w:highlight w:val="none"/>
        </w:rPr>
        <w:t>费用的</w:t>
      </w:r>
      <w:r>
        <w:rPr>
          <w:rFonts w:hint="eastAsia" w:ascii="宋体" w:hAnsi="宋体"/>
        </w:rPr>
        <w:t>计算基数）。</w:t>
      </w:r>
    </w:p>
    <w:p>
      <w:pPr>
        <w:spacing w:line="480" w:lineRule="exact"/>
        <w:ind w:firstLine="420" w:firstLineChars="200"/>
        <w:rPr>
          <w:rFonts w:hint="eastAsia" w:ascii="黑体" w:hAnsi="宋体" w:eastAsia="黑体"/>
        </w:rPr>
      </w:pPr>
      <w:r>
        <w:rPr>
          <w:rFonts w:hint="eastAsia" w:ascii="黑体" w:hAnsi="宋体" w:eastAsia="黑体"/>
        </w:rPr>
        <w:t>二、备品备件、易损件和专用耗材供货范围</w:t>
      </w:r>
    </w:p>
    <w:p>
      <w:pPr>
        <w:spacing w:line="480" w:lineRule="exact"/>
        <w:ind w:firstLine="420" w:firstLineChars="200"/>
        <w:rPr>
          <w:rFonts w:hint="eastAsia" w:ascii="宋体" w:hAnsi="宋体"/>
        </w:rPr>
      </w:pPr>
      <w:r>
        <w:rPr>
          <w:rFonts w:hint="eastAsia" w:ascii="宋体" w:hAnsi="宋体"/>
        </w:rPr>
        <w:t>1、备品备件、易损件和专用耗材是招标方为保证设备质保期之后正常运行一年所自备自用的备品备件、易损件和专用耗材。质保期之内正常需要的备品备件、易损件和专用耗材全部包括在供货范围之内而不属于本条款界定的范围</w:t>
      </w:r>
      <w:r>
        <w:rPr>
          <w:rFonts w:hint="eastAsia" w:hAnsi="宋体" w:cs="宋体"/>
          <w:sz w:val="24"/>
          <w:szCs w:val="24"/>
        </w:rPr>
        <w:t>（应有明细）</w:t>
      </w:r>
      <w:r>
        <w:rPr>
          <w:rFonts w:hint="eastAsia" w:ascii="宋体" w:hAnsi="宋体"/>
        </w:rPr>
        <w:t>。</w:t>
      </w:r>
    </w:p>
    <w:p>
      <w:pPr>
        <w:spacing w:line="480" w:lineRule="exact"/>
        <w:ind w:firstLine="420" w:firstLineChars="200"/>
        <w:rPr>
          <w:rFonts w:ascii="宋体" w:hAnsi="宋体"/>
        </w:rPr>
      </w:pPr>
      <w:r>
        <w:rPr>
          <w:rFonts w:hint="eastAsia" w:ascii="宋体" w:hAnsi="宋体"/>
        </w:rPr>
        <w:t>2、供货范围包括易损件和专用耗材的制造图纸及其技术要求等资料。</w:t>
      </w:r>
    </w:p>
    <w:p>
      <w:pPr>
        <w:spacing w:line="480" w:lineRule="exact"/>
        <w:ind w:firstLine="420" w:firstLineChars="200"/>
        <w:rPr>
          <w:rFonts w:hint="eastAsia" w:ascii="宋体" w:hAnsi="宋体"/>
        </w:rPr>
      </w:pPr>
      <w:r>
        <w:rPr>
          <w:rFonts w:hint="eastAsia" w:ascii="宋体" w:hAnsi="宋体"/>
        </w:rPr>
        <w:t>3、投标报价需包含投标额5</w:t>
      </w:r>
      <w:r>
        <w:rPr>
          <w:rFonts w:ascii="宋体" w:hAnsi="宋体"/>
        </w:rPr>
        <w:t>%</w:t>
      </w:r>
      <w:r>
        <w:rPr>
          <w:rFonts w:hint="eastAsia" w:ascii="宋体" w:hAnsi="宋体"/>
        </w:rPr>
        <w:t>的备件及易损件。</w:t>
      </w:r>
    </w:p>
    <w:p>
      <w:pPr>
        <w:spacing w:line="480" w:lineRule="exact"/>
        <w:ind w:firstLine="420" w:firstLineChars="200"/>
        <w:rPr>
          <w:rFonts w:hint="eastAsia" w:ascii="黑体" w:hAnsi="宋体" w:eastAsia="黑体"/>
        </w:rPr>
      </w:pPr>
      <w:r>
        <w:rPr>
          <w:rFonts w:hint="eastAsia" w:ascii="黑体" w:hAnsi="宋体" w:eastAsia="黑体"/>
        </w:rPr>
        <w:t>三、技术资料供货范围</w:t>
      </w:r>
    </w:p>
    <w:p>
      <w:pPr>
        <w:spacing w:line="480" w:lineRule="exact"/>
        <w:ind w:firstLine="420" w:firstLineChars="200"/>
        <w:rPr>
          <w:rFonts w:hint="eastAsia" w:ascii="宋体" w:hAnsi="宋体"/>
        </w:rPr>
      </w:pPr>
      <w:r>
        <w:rPr>
          <w:rFonts w:hint="eastAsia" w:ascii="宋体" w:hAnsi="宋体"/>
        </w:rPr>
        <w:t>技术资料供货范围包括：</w:t>
      </w:r>
    </w:p>
    <w:p>
      <w:pPr>
        <w:spacing w:line="480" w:lineRule="exact"/>
        <w:ind w:firstLine="420" w:firstLineChars="200"/>
        <w:rPr>
          <w:rFonts w:hint="eastAsia" w:ascii="宋体" w:hAnsi="宋体"/>
          <w:bCs/>
          <w:highlight w:val="none"/>
        </w:rPr>
      </w:pPr>
      <w:r>
        <w:rPr>
          <w:rFonts w:hint="eastAsia" w:ascii="宋体" w:hAnsi="宋体"/>
          <w:highlight w:val="none"/>
        </w:rPr>
        <w:t>1、在</w:t>
      </w:r>
      <w:r>
        <w:rPr>
          <w:rFonts w:hint="eastAsia" w:hAnsi="宋体" w:cs="宋体"/>
          <w:sz w:val="24"/>
          <w:szCs w:val="24"/>
          <w:highlight w:val="none"/>
          <w:lang w:val="en-US" w:eastAsia="zh-CN"/>
        </w:rPr>
        <w:t>中标通知发出之</w:t>
      </w:r>
      <w:r>
        <w:rPr>
          <w:rFonts w:hint="eastAsia" w:ascii="宋体" w:hAnsi="宋体"/>
          <w:bCs/>
          <w:highlight w:val="none"/>
        </w:rPr>
        <w:t>后</w:t>
      </w:r>
      <w:r>
        <w:rPr>
          <w:rFonts w:hint="eastAsia" w:ascii="宋体" w:hAnsi="宋体"/>
          <w:bCs/>
          <w:highlight w:val="none"/>
          <w:u w:val="single"/>
          <w:shd w:val="pct10" w:color="auto" w:fill="FFFFFF"/>
        </w:rPr>
        <w:t xml:space="preserve">   </w:t>
      </w:r>
      <w:r>
        <w:rPr>
          <w:rFonts w:hint="eastAsia" w:ascii="宋体" w:hAnsi="宋体"/>
          <w:bCs/>
          <w:highlight w:val="none"/>
          <w:u w:val="single"/>
          <w:shd w:val="pct10" w:color="auto" w:fill="FFFFFF"/>
          <w:lang w:val="en-US" w:eastAsia="zh-CN"/>
        </w:rPr>
        <w:t>15</w:t>
      </w:r>
      <w:r>
        <w:rPr>
          <w:rFonts w:hint="eastAsia" w:ascii="宋体" w:hAnsi="宋体"/>
          <w:bCs/>
          <w:highlight w:val="none"/>
          <w:u w:val="single"/>
          <w:shd w:val="pct10" w:color="auto" w:fill="FFFFFF"/>
        </w:rPr>
        <w:t xml:space="preserve">   </w:t>
      </w:r>
      <w:r>
        <w:rPr>
          <w:rFonts w:hint="eastAsia" w:ascii="宋体" w:hAnsi="宋体"/>
          <w:bCs/>
          <w:highlight w:val="none"/>
        </w:rPr>
        <w:t>个日历日内，提供设备基础及相关的设计、制作所需的纸质及电子版资料；电子版文件应当能够使用常用版本软件可以阅读甚至使用，进口货物、设备应有中外文对照。</w:t>
      </w:r>
    </w:p>
    <w:p>
      <w:pPr>
        <w:spacing w:line="480" w:lineRule="exact"/>
        <w:ind w:firstLine="420" w:firstLineChars="200"/>
        <w:rPr>
          <w:rFonts w:hint="eastAsia" w:ascii="宋体" w:hAnsi="宋体"/>
        </w:rPr>
      </w:pPr>
      <w:r>
        <w:rPr>
          <w:rFonts w:hint="eastAsia" w:ascii="宋体" w:hAnsi="宋体"/>
        </w:rPr>
        <w:t>2、在预验收前，</w:t>
      </w:r>
      <w:r>
        <w:rPr>
          <w:rFonts w:hint="eastAsia" w:ascii="宋体" w:hAnsi="宋体"/>
          <w:bCs/>
        </w:rPr>
        <w:t>提供设备各部分的功能描述文件、图片、影像等资料（进口、设备应有中外文对照）。</w:t>
      </w:r>
    </w:p>
    <w:p>
      <w:pPr>
        <w:spacing w:line="480" w:lineRule="exact"/>
        <w:ind w:firstLine="420" w:firstLineChars="200"/>
        <w:rPr>
          <w:rFonts w:hint="eastAsia" w:ascii="宋体" w:hAnsi="宋体"/>
        </w:rPr>
      </w:pPr>
      <w:r>
        <w:rPr>
          <w:rFonts w:hint="eastAsia" w:ascii="宋体" w:hAnsi="宋体"/>
        </w:rPr>
        <w:t>3、在终验收前，提供为保证设备后续正常运行所需的工装、吊（挂）具明细及其图纸、具体技术要求等资料（如果供货范围包含该部分实物）。</w:t>
      </w:r>
    </w:p>
    <w:p>
      <w:pPr>
        <w:spacing w:line="480" w:lineRule="exact"/>
        <w:ind w:firstLine="420" w:firstLineChars="200"/>
        <w:rPr>
          <w:rFonts w:hint="eastAsia" w:ascii="宋体" w:hAnsi="宋体"/>
        </w:rPr>
      </w:pPr>
      <w:r>
        <w:rPr>
          <w:rFonts w:hint="eastAsia" w:ascii="宋体" w:hAnsi="宋体"/>
        </w:rPr>
        <w:t>4、在终验收前，提供确定的维修所需要且招标方可以自行采购的外购件、外协件、电气元件及主要原材料的供货厂家明细表。</w:t>
      </w:r>
    </w:p>
    <w:p>
      <w:pPr>
        <w:spacing w:line="480" w:lineRule="exact"/>
        <w:ind w:firstLine="420" w:firstLineChars="200"/>
        <w:rPr>
          <w:rFonts w:hint="eastAsia" w:ascii="宋体" w:hAnsi="宋体"/>
        </w:rPr>
      </w:pPr>
      <w:r>
        <w:rPr>
          <w:rFonts w:hint="eastAsia" w:ascii="宋体" w:hAnsi="宋体"/>
        </w:rPr>
        <w:t>5、在终验收后的第一笔货款支付日之前，提供包括设备的备品备件、易损件和专用耗材的图纸及技术参数、技术要求等资料。</w:t>
      </w:r>
    </w:p>
    <w:p>
      <w:pPr>
        <w:spacing w:line="480" w:lineRule="exact"/>
        <w:ind w:firstLine="420" w:firstLineChars="200"/>
        <w:rPr>
          <w:rFonts w:hint="eastAsia" w:ascii="宋体" w:hAnsi="宋体"/>
        </w:rPr>
      </w:pPr>
      <w:r>
        <w:rPr>
          <w:rFonts w:hint="eastAsia" w:ascii="宋体" w:hAnsi="宋体"/>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480" w:lineRule="exact"/>
        <w:ind w:firstLine="420" w:firstLineChars="200"/>
        <w:rPr>
          <w:rFonts w:hint="eastAsia" w:ascii="宋体" w:hAnsi="宋体"/>
        </w:rPr>
      </w:pPr>
      <w:r>
        <w:rPr>
          <w:rFonts w:hint="eastAsia" w:ascii="宋体" w:hAnsi="宋体"/>
        </w:rPr>
        <w:t>7、在终验收后的第一笔货款支付日之前，提供关于采购设备的电气资料（包括接线图、原理图、布线图、梯形图等）、液压（气动）原理图和系统图、安装基础图、维修图等有关的资料（含图片和影像等资料）；非标准货物应提供整套设备3D模型、设计总图、全线布置图、部件装配图、工装夹具全套零件图纸等详细资料；对于进口设备，应有中外文资料说明。</w:t>
      </w:r>
    </w:p>
    <w:p>
      <w:pPr>
        <w:spacing w:line="480" w:lineRule="exact"/>
        <w:ind w:firstLine="420" w:firstLineChars="200"/>
        <w:rPr>
          <w:rFonts w:hint="eastAsia" w:ascii="宋体" w:hAnsi="宋体"/>
        </w:rPr>
      </w:pPr>
      <w:r>
        <w:rPr>
          <w:rFonts w:hint="eastAsia" w:ascii="宋体" w:hAnsi="宋体"/>
        </w:rPr>
        <w:t>8、本条款所列的技术资料、图片、影像等，投标方应各提供4套，其中2套为电子版光（U）盘；每份技术文件应装有目录清单。</w:t>
      </w:r>
    </w:p>
    <w:p>
      <w:pPr>
        <w:spacing w:line="480" w:lineRule="exact"/>
        <w:ind w:firstLine="420" w:firstLineChars="200"/>
        <w:rPr>
          <w:rFonts w:hint="eastAsia" w:ascii="宋体" w:hAnsi="宋体"/>
        </w:rPr>
      </w:pPr>
      <w:r>
        <w:rPr>
          <w:rFonts w:hint="eastAsia" w:ascii="宋体" w:hAnsi="宋体"/>
        </w:rPr>
        <w:t>9、本条款所列要求，如招标方认为投标方提供的资料不能满足要求时，有权要求投标方免费补充或增加。</w:t>
      </w:r>
    </w:p>
    <w:p>
      <w:pPr>
        <w:spacing w:line="480" w:lineRule="exact"/>
        <w:ind w:firstLine="420" w:firstLineChars="200"/>
        <w:rPr>
          <w:rFonts w:hint="eastAsia" w:ascii="宋体" w:hAnsi="宋体"/>
        </w:rPr>
      </w:pPr>
    </w:p>
    <w:p>
      <w:pPr>
        <w:pStyle w:val="4"/>
        <w:spacing w:before="120" w:after="120" w:line="480" w:lineRule="exact"/>
        <w:jc w:val="center"/>
        <w:rPr>
          <w:rFonts w:hint="eastAsia"/>
          <w:b w:val="0"/>
          <w:sz w:val="24"/>
          <w:szCs w:val="24"/>
        </w:rPr>
      </w:pPr>
      <w:bookmarkStart w:id="63" w:name="_Toc13936"/>
      <w:bookmarkStart w:id="64" w:name="_Toc9858"/>
      <w:bookmarkStart w:id="65" w:name="_Toc137705871"/>
      <w:bookmarkStart w:id="66" w:name="_Toc8159"/>
      <w:bookmarkStart w:id="67" w:name="_Toc26064"/>
      <w:r>
        <w:rPr>
          <w:rFonts w:hint="eastAsia"/>
          <w:b w:val="0"/>
          <w:sz w:val="24"/>
          <w:szCs w:val="24"/>
        </w:rPr>
        <w:t>第二节  供货方式</w:t>
      </w:r>
      <w:bookmarkEnd w:id="63"/>
      <w:bookmarkEnd w:id="64"/>
      <w:bookmarkEnd w:id="65"/>
      <w:bookmarkEnd w:id="66"/>
      <w:bookmarkEnd w:id="67"/>
    </w:p>
    <w:p>
      <w:pPr>
        <w:spacing w:line="480" w:lineRule="exact"/>
        <w:ind w:firstLine="420" w:firstLineChars="200"/>
        <w:rPr>
          <w:rFonts w:hint="eastAsia" w:ascii="宋体" w:hAnsi="宋体"/>
        </w:rPr>
      </w:pPr>
      <w:r>
        <w:rPr>
          <w:rFonts w:hint="eastAsia" w:ascii="黑体" w:hAnsi="宋体" w:eastAsia="黑体"/>
        </w:rPr>
        <w:t>一、供货地点：</w:t>
      </w:r>
      <w:r>
        <w:rPr>
          <w:rFonts w:hint="eastAsia" w:ascii="宋体" w:hAnsi="宋体"/>
        </w:rPr>
        <w:t>本项目建设工地。</w:t>
      </w:r>
    </w:p>
    <w:p>
      <w:pPr>
        <w:spacing w:line="480" w:lineRule="exact"/>
        <w:ind w:firstLine="420" w:firstLineChars="200"/>
        <w:jc w:val="left"/>
        <w:rPr>
          <w:rFonts w:hint="eastAsia" w:ascii="黑体" w:hAnsi="宋体" w:eastAsia="黑体"/>
        </w:rPr>
      </w:pPr>
      <w:r>
        <w:rPr>
          <w:rFonts w:hint="eastAsia" w:ascii="黑体" w:hAnsi="宋体" w:eastAsia="黑体"/>
        </w:rPr>
        <w:t>二、供货时间</w:t>
      </w:r>
    </w:p>
    <w:p>
      <w:pPr>
        <w:spacing w:line="480" w:lineRule="exact"/>
        <w:ind w:firstLine="420" w:firstLineChars="200"/>
        <w:jc w:val="left"/>
        <w:rPr>
          <w:rFonts w:hint="eastAsia" w:ascii="宋体" w:hAnsi="宋体"/>
        </w:rPr>
      </w:pPr>
      <w:r>
        <w:rPr>
          <w:rFonts w:hint="eastAsia" w:ascii="宋体" w:hAnsi="宋体"/>
        </w:rPr>
        <w:t>1、以交钥匙方式供货的，按照以下时间要求（安装调试工期超过10个日历日的，投标方应当随标书提供详细的工期计划）：</w:t>
      </w:r>
    </w:p>
    <w:p>
      <w:pPr>
        <w:spacing w:line="480" w:lineRule="exact"/>
        <w:ind w:firstLine="420" w:firstLineChars="200"/>
        <w:jc w:val="left"/>
        <w:rPr>
          <w:rFonts w:hint="eastAsia" w:ascii="宋体" w:hAnsi="宋体"/>
        </w:rPr>
      </w:pPr>
      <w:r>
        <w:rPr>
          <w:rFonts w:hint="eastAsia" w:ascii="宋体" w:hAnsi="宋体"/>
        </w:rPr>
        <w:t>1.1  自</w:t>
      </w:r>
      <w:r>
        <w:rPr>
          <w:rFonts w:hint="eastAsia" w:hAnsi="宋体" w:cs="宋体"/>
          <w:sz w:val="24"/>
          <w:szCs w:val="24"/>
          <w:lang w:val="en-US" w:eastAsia="zh-CN"/>
        </w:rPr>
        <w:t>中标通知发出之日</w:t>
      </w:r>
      <w:r>
        <w:rPr>
          <w:rFonts w:hint="eastAsia" w:ascii="宋体" w:hAnsi="宋体"/>
        </w:rPr>
        <w:t>起，</w:t>
      </w:r>
      <w:r>
        <w:rPr>
          <w:rFonts w:hint="eastAsia" w:ascii="宋体" w:hAnsi="宋体"/>
          <w:u w:val="single"/>
          <w:shd w:val="pct10" w:color="auto" w:fill="FFFFFF"/>
          <w:lang w:val="en-US" w:eastAsia="zh-CN"/>
        </w:rPr>
        <w:t>100</w:t>
      </w:r>
      <w:r>
        <w:rPr>
          <w:rFonts w:hint="eastAsia" w:ascii="宋体" w:hAnsi="宋体"/>
        </w:rPr>
        <w:t>个日历日之内交货至供货地点。</w:t>
      </w:r>
    </w:p>
    <w:p>
      <w:pPr>
        <w:spacing w:line="480" w:lineRule="exact"/>
        <w:ind w:firstLine="420" w:firstLineChars="200"/>
        <w:jc w:val="left"/>
        <w:rPr>
          <w:rFonts w:hint="eastAsia" w:ascii="宋体" w:hAnsi="宋体"/>
        </w:rPr>
      </w:pPr>
      <w:r>
        <w:rPr>
          <w:rFonts w:hint="eastAsia" w:ascii="宋体" w:hAnsi="宋体"/>
        </w:rPr>
        <w:t>1.2  接续</w:t>
      </w:r>
      <w:r>
        <w:rPr>
          <w:rFonts w:hint="eastAsia" w:ascii="宋体" w:hAnsi="宋体"/>
          <w:u w:val="single"/>
          <w:shd w:val="pct10" w:color="auto" w:fill="FFFFFF"/>
        </w:rPr>
        <w:t xml:space="preserve"> </w:t>
      </w:r>
      <w:r>
        <w:rPr>
          <w:rFonts w:hint="eastAsia" w:ascii="宋体" w:hAnsi="宋体"/>
          <w:u w:val="single"/>
          <w:shd w:val="pct10" w:color="auto" w:fill="FFFFFF"/>
          <w:lang w:val="en-US" w:eastAsia="zh-CN"/>
        </w:rPr>
        <w:t>15</w:t>
      </w:r>
      <w:r>
        <w:rPr>
          <w:rFonts w:hint="eastAsia" w:ascii="宋体" w:hAnsi="宋体"/>
          <w:u w:val="single"/>
          <w:shd w:val="pct10" w:color="auto" w:fill="FFFFFF"/>
        </w:rPr>
        <w:t xml:space="preserve"> </w:t>
      </w:r>
      <w:r>
        <w:rPr>
          <w:rFonts w:hint="eastAsia" w:ascii="宋体" w:hAnsi="宋体"/>
        </w:rPr>
        <w:t>个日历日之内安装调试完毕。</w:t>
      </w:r>
    </w:p>
    <w:p>
      <w:pPr>
        <w:spacing w:line="480" w:lineRule="exact"/>
        <w:ind w:firstLine="420" w:firstLineChars="200"/>
        <w:jc w:val="left"/>
        <w:rPr>
          <w:rFonts w:hint="eastAsia" w:ascii="黑体" w:hAnsi="宋体" w:eastAsia="黑体"/>
        </w:rPr>
      </w:pPr>
      <w:r>
        <w:rPr>
          <w:rFonts w:hint="eastAsia" w:ascii="黑体" w:hAnsi="宋体" w:eastAsia="黑体"/>
        </w:rPr>
        <w:t>三、质保期及质保要求</w:t>
      </w:r>
    </w:p>
    <w:p>
      <w:pPr>
        <w:spacing w:line="480" w:lineRule="exact"/>
        <w:ind w:firstLine="420" w:firstLineChars="200"/>
        <w:jc w:val="left"/>
        <w:rPr>
          <w:rFonts w:hint="eastAsia" w:ascii="宋体" w:hAnsi="宋体"/>
        </w:rPr>
      </w:pPr>
      <w:r>
        <w:rPr>
          <w:rFonts w:hint="eastAsia" w:ascii="宋体" w:hAnsi="宋体"/>
        </w:rPr>
        <w:t>1、全部供货范围内的设备、材料、零配件和工器具等，除合同特别约定外，其质保期均自终验收签字生效之日起</w:t>
      </w:r>
      <w:r>
        <w:rPr>
          <w:rFonts w:hint="eastAsia" w:ascii="宋体" w:hAnsi="宋体"/>
          <w:u w:val="single"/>
          <w:shd w:val="pct10" w:color="auto" w:fill="FFFFFF"/>
        </w:rPr>
        <w:t xml:space="preserve">  12  </w:t>
      </w:r>
      <w:r>
        <w:rPr>
          <w:rFonts w:hint="eastAsia" w:ascii="宋体" w:hAnsi="宋体"/>
        </w:rPr>
        <w:t>个月。</w:t>
      </w:r>
    </w:p>
    <w:p>
      <w:pPr>
        <w:spacing w:line="480" w:lineRule="exact"/>
        <w:ind w:firstLine="420" w:firstLineChars="200"/>
        <w:jc w:val="left"/>
        <w:rPr>
          <w:rFonts w:hint="eastAsia" w:ascii="宋体" w:hAnsi="宋体"/>
        </w:rPr>
      </w:pPr>
      <w:r>
        <w:rPr>
          <w:rFonts w:hint="eastAsia" w:ascii="宋体" w:hAnsi="宋体"/>
        </w:rPr>
        <w:t>投标货物或涉及的关键总成和零件，如果有更长时间质保期，允许更改并说明，</w:t>
      </w:r>
      <w:r>
        <w:rPr>
          <w:rFonts w:hint="eastAsia" w:ascii="宋体" w:hAnsi="宋体"/>
          <w:highlight w:val="none"/>
          <w:lang w:val="en-US" w:eastAsia="zh-CN"/>
        </w:rPr>
        <w:t>由</w:t>
      </w:r>
      <w:r>
        <w:rPr>
          <w:rFonts w:hint="eastAsia" w:ascii="宋体" w:hAnsi="宋体"/>
          <w:highlight w:val="none"/>
        </w:rPr>
        <w:t>此将</w:t>
      </w:r>
      <w:r>
        <w:rPr>
          <w:rFonts w:hint="eastAsia" w:ascii="宋体" w:hAnsi="宋体"/>
        </w:rPr>
        <w:t>有利于投标方。</w:t>
      </w:r>
    </w:p>
    <w:p>
      <w:pPr>
        <w:spacing w:line="480" w:lineRule="exact"/>
        <w:ind w:firstLine="420" w:firstLineChars="200"/>
        <w:jc w:val="left"/>
        <w:rPr>
          <w:rFonts w:hint="eastAsia" w:ascii="宋体" w:hAnsi="宋体"/>
        </w:rPr>
      </w:pPr>
      <w:r>
        <w:rPr>
          <w:rFonts w:hint="eastAsia" w:ascii="宋体" w:hAnsi="宋体"/>
        </w:rPr>
        <w:t>设计使用寿命短于质保期的易损件除外，但属于易损件的，应当有明确说明。</w:t>
      </w:r>
    </w:p>
    <w:p>
      <w:pPr>
        <w:spacing w:line="480" w:lineRule="exact"/>
        <w:ind w:firstLine="420" w:firstLineChars="200"/>
        <w:jc w:val="left"/>
        <w:rPr>
          <w:rFonts w:hint="eastAsia" w:ascii="宋体" w:hAnsi="宋体"/>
        </w:rPr>
      </w:pPr>
      <w:r>
        <w:rPr>
          <w:rFonts w:hint="eastAsia" w:ascii="宋体" w:hAnsi="宋体"/>
        </w:rPr>
        <w:t>2、质保期之内，如果设备出现设备、总成、关键零部件或者多处一般零部件的更换或维修行为，则质保期自更换或维修行为结束、设备重新正常运行使用之日起重新计算。</w:t>
      </w:r>
    </w:p>
    <w:p>
      <w:pPr>
        <w:spacing w:line="480" w:lineRule="exact"/>
        <w:ind w:firstLine="420" w:firstLineChars="200"/>
        <w:jc w:val="left"/>
        <w:rPr>
          <w:rFonts w:hint="eastAsia" w:ascii="宋体" w:hAnsi="宋体"/>
        </w:rPr>
      </w:pPr>
      <w:r>
        <w:rPr>
          <w:rFonts w:hint="eastAsia" w:ascii="宋体" w:hAnsi="宋体"/>
        </w:rPr>
        <w:t>3、质保期内免费提供零部件和及时有效的服务。质保期内因货物本身缺陷造成的各种故障，投标方应负责免费维修和服务。</w:t>
      </w:r>
    </w:p>
    <w:p>
      <w:pPr>
        <w:spacing w:line="480" w:lineRule="exact"/>
        <w:ind w:firstLine="420" w:firstLineChars="200"/>
        <w:jc w:val="left"/>
        <w:rPr>
          <w:rFonts w:hint="eastAsia" w:ascii="宋体" w:hAnsi="宋体"/>
        </w:rPr>
      </w:pPr>
      <w:r>
        <w:rPr>
          <w:rFonts w:hint="eastAsia" w:ascii="宋体" w:hAnsi="宋体"/>
        </w:rPr>
        <w:t>4、质保期终止之日起18个月内重复出现的质保期之内出现的故障，仍属质保范围而且应当免费。</w:t>
      </w:r>
    </w:p>
    <w:p>
      <w:pPr>
        <w:spacing w:line="480" w:lineRule="exact"/>
        <w:ind w:firstLine="420" w:firstLineChars="200"/>
        <w:rPr>
          <w:rFonts w:hint="eastAsia" w:ascii="黑体" w:hAnsi="宋体" w:eastAsia="黑体"/>
        </w:rPr>
      </w:pPr>
      <w:r>
        <w:rPr>
          <w:rFonts w:hint="eastAsia" w:ascii="黑体" w:hAnsi="宋体" w:eastAsia="黑体"/>
        </w:rPr>
        <w:t>四、包装</w:t>
      </w:r>
    </w:p>
    <w:p>
      <w:pPr>
        <w:adjustRightInd w:val="0"/>
        <w:snapToGrid w:val="0"/>
        <w:spacing w:line="460" w:lineRule="exact"/>
        <w:ind w:firstLine="420" w:firstLineChars="200"/>
        <w:rPr>
          <w:rFonts w:hint="eastAsia" w:ascii="宋体" w:hAnsi="宋体"/>
        </w:rPr>
      </w:pPr>
      <w:r>
        <w:rPr>
          <w:rFonts w:hint="eastAsia" w:ascii="宋体" w:hAnsi="宋体"/>
        </w:rPr>
        <w:t>1、所提供设备的包装，应遵照国家标准和有关包装、包皮的技术条件，或按照最好的商业惯例进行包装。</w:t>
      </w:r>
    </w:p>
    <w:p>
      <w:pPr>
        <w:adjustRightInd w:val="0"/>
        <w:snapToGrid w:val="0"/>
        <w:spacing w:line="460" w:lineRule="exact"/>
        <w:ind w:firstLine="420" w:firstLineChars="200"/>
        <w:rPr>
          <w:rFonts w:hint="eastAsia" w:ascii="宋体" w:hAnsi="宋体"/>
        </w:rPr>
      </w:pPr>
      <w:r>
        <w:rPr>
          <w:rFonts w:hint="eastAsia" w:ascii="宋体" w:hAnsi="宋体"/>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460" w:lineRule="exact"/>
        <w:ind w:firstLine="420" w:firstLineChars="200"/>
        <w:rPr>
          <w:rFonts w:hint="eastAsia" w:ascii="宋体" w:hAnsi="宋体"/>
        </w:rPr>
      </w:pPr>
      <w:r>
        <w:rPr>
          <w:rFonts w:hint="eastAsia" w:ascii="宋体" w:hAnsi="宋体"/>
        </w:rPr>
        <w:t>3、所提供设备的包装，应能防止其一般性被窃或受外力破坏；一般不得采用有大缝隙的板条包装。</w:t>
      </w:r>
    </w:p>
    <w:p>
      <w:pPr>
        <w:adjustRightInd w:val="0"/>
        <w:snapToGrid w:val="0"/>
        <w:spacing w:line="460" w:lineRule="exact"/>
        <w:ind w:firstLine="420" w:firstLineChars="200"/>
        <w:rPr>
          <w:rFonts w:hint="eastAsia" w:ascii="宋体" w:hAnsi="宋体"/>
        </w:rPr>
      </w:pPr>
      <w:r>
        <w:rPr>
          <w:rFonts w:hint="eastAsia" w:ascii="宋体" w:hAnsi="宋体"/>
        </w:rPr>
        <w:t>4、应对包装件做必要的加固和固定，以防止运输可能造成的损坏。</w:t>
      </w:r>
    </w:p>
    <w:p>
      <w:pPr>
        <w:adjustRightInd w:val="0"/>
        <w:snapToGrid w:val="0"/>
        <w:spacing w:line="460" w:lineRule="exact"/>
        <w:ind w:firstLine="420" w:firstLineChars="200"/>
        <w:rPr>
          <w:rFonts w:hint="eastAsia" w:ascii="宋体" w:hAnsi="宋体"/>
        </w:rPr>
      </w:pPr>
      <w:r>
        <w:rPr>
          <w:rFonts w:hint="eastAsia" w:ascii="宋体" w:hAnsi="宋体"/>
        </w:rPr>
        <w:t>5、每个包装件应有装箱单，并至少标明名称、型号规格、数量、净重和毛重、投标方（或供货商）名称和制造日期等相关内容。</w:t>
      </w:r>
    </w:p>
    <w:p>
      <w:pPr>
        <w:adjustRightInd w:val="0"/>
        <w:snapToGrid w:val="0"/>
        <w:spacing w:line="460" w:lineRule="exact"/>
        <w:ind w:firstLine="420" w:firstLineChars="200"/>
        <w:rPr>
          <w:rFonts w:hint="eastAsia" w:ascii="宋体" w:hAnsi="宋体"/>
          <w:highlight w:val="none"/>
        </w:rPr>
      </w:pPr>
      <w:r>
        <w:rPr>
          <w:rFonts w:hint="eastAsia" w:ascii="宋体" w:hAnsi="宋体"/>
        </w:rPr>
        <w:t>6、每个包装箱应有明显标志，并具有中文书写的合同号、装运标志、发货和到货地点名称、发货人和收货人名称、设备名称和项目号、箱</w:t>
      </w:r>
      <w:r>
        <w:rPr>
          <w:rFonts w:hint="eastAsia" w:ascii="宋体" w:hAnsi="宋体"/>
          <w:highlight w:val="none"/>
        </w:rPr>
        <w:t>号和外</w:t>
      </w:r>
      <w:r>
        <w:rPr>
          <w:rFonts w:hint="eastAsia" w:ascii="宋体" w:hAnsi="宋体"/>
          <w:highlight w:val="none"/>
          <w:lang w:val="en-US" w:eastAsia="zh-CN"/>
        </w:rPr>
        <w:t>形</w:t>
      </w:r>
      <w:r>
        <w:rPr>
          <w:rFonts w:hint="eastAsia" w:ascii="宋体" w:hAnsi="宋体"/>
          <w:highlight w:val="none"/>
        </w:rPr>
        <w:t>尺寸等内容。</w:t>
      </w:r>
    </w:p>
    <w:p>
      <w:pPr>
        <w:adjustRightInd w:val="0"/>
        <w:snapToGrid w:val="0"/>
        <w:spacing w:line="460" w:lineRule="exact"/>
        <w:ind w:firstLine="420" w:firstLineChars="200"/>
        <w:rPr>
          <w:rFonts w:hint="eastAsia" w:ascii="宋体" w:hAnsi="宋体"/>
          <w:highlight w:val="none"/>
        </w:rPr>
      </w:pPr>
      <w:r>
        <w:rPr>
          <w:rFonts w:hint="eastAsia" w:ascii="宋体" w:hAnsi="宋体"/>
          <w:highlight w:val="none"/>
        </w:rPr>
        <w:t>7、应按照不同的装运要求在包装箱上标明“小心轻放</w:t>
      </w:r>
      <w:r>
        <w:rPr>
          <w:rFonts w:hint="eastAsia" w:ascii="宋体" w:hAnsi="宋体"/>
          <w:strike w:val="0"/>
          <w:dstrike w:val="0"/>
          <w:highlight w:val="none"/>
        </w:rPr>
        <w:t>”“</w:t>
      </w:r>
      <w:r>
        <w:rPr>
          <w:rFonts w:hint="eastAsia" w:ascii="宋体" w:hAnsi="宋体"/>
          <w:highlight w:val="none"/>
        </w:rPr>
        <w:t>箭头向上”“防潮”“防磁”“不准平放”等标志，以及其</w:t>
      </w:r>
      <w:r>
        <w:rPr>
          <w:rFonts w:hint="eastAsia" w:ascii="宋体" w:hAnsi="宋体"/>
          <w:highlight w:val="none"/>
          <w:lang w:val="en-US" w:eastAsia="zh-CN"/>
        </w:rPr>
        <w:t>他</w:t>
      </w:r>
      <w:r>
        <w:rPr>
          <w:rFonts w:hint="eastAsia" w:ascii="宋体" w:hAnsi="宋体"/>
          <w:highlight w:val="none"/>
        </w:rPr>
        <w:t>适用的国</w:t>
      </w:r>
      <w:r>
        <w:rPr>
          <w:rFonts w:hint="eastAsia" w:ascii="宋体" w:hAnsi="宋体"/>
          <w:highlight w:val="none"/>
          <w:lang w:val="en-US" w:eastAsia="zh-CN"/>
        </w:rPr>
        <w:t>际</w:t>
      </w:r>
      <w:r>
        <w:rPr>
          <w:rFonts w:hint="eastAsia" w:ascii="宋体" w:hAnsi="宋体"/>
          <w:highlight w:val="none"/>
        </w:rPr>
        <w:t>通用标志。</w:t>
      </w:r>
    </w:p>
    <w:p>
      <w:pPr>
        <w:adjustRightInd w:val="0"/>
        <w:snapToGrid w:val="0"/>
        <w:spacing w:line="460" w:lineRule="exact"/>
        <w:ind w:firstLine="420" w:firstLineChars="200"/>
        <w:rPr>
          <w:rFonts w:hint="eastAsia" w:ascii="宋体" w:hAnsi="宋体"/>
        </w:rPr>
      </w:pPr>
      <w:r>
        <w:rPr>
          <w:rFonts w:hint="eastAsia" w:ascii="宋体" w:hAnsi="宋体"/>
        </w:rPr>
        <w:t>8、包装箱应连续编号，不应出现重复编号。</w:t>
      </w:r>
    </w:p>
    <w:p>
      <w:pPr>
        <w:adjustRightInd w:val="0"/>
        <w:snapToGrid w:val="0"/>
        <w:spacing w:line="460" w:lineRule="exact"/>
        <w:ind w:firstLine="420" w:firstLineChars="200"/>
        <w:rPr>
          <w:rFonts w:hint="eastAsia" w:ascii="宋体" w:hAnsi="宋体"/>
        </w:rPr>
      </w:pPr>
      <w:r>
        <w:rPr>
          <w:rFonts w:hint="eastAsia" w:ascii="宋体" w:hAnsi="宋体"/>
        </w:rPr>
        <w:t>9、在不受到外界破坏情况下，包装应保证自交货日起一年内货物（或设备）完好无损。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五、运输</w:t>
      </w:r>
    </w:p>
    <w:p>
      <w:pPr>
        <w:adjustRightInd w:val="0"/>
        <w:snapToGrid w:val="0"/>
        <w:spacing w:line="460" w:lineRule="exact"/>
        <w:ind w:firstLine="420" w:firstLineChars="200"/>
        <w:rPr>
          <w:rFonts w:hint="eastAsia" w:ascii="宋体" w:hAnsi="宋体"/>
        </w:rPr>
      </w:pPr>
      <w:r>
        <w:rPr>
          <w:rFonts w:hint="eastAsia" w:ascii="宋体" w:hAnsi="宋体"/>
        </w:rPr>
        <w:t>1、应负责将设备运到目的地，并必须做到设备在任何运输过程中不受损坏和遗失。</w:t>
      </w:r>
    </w:p>
    <w:p>
      <w:pPr>
        <w:adjustRightInd w:val="0"/>
        <w:snapToGrid w:val="0"/>
        <w:spacing w:line="460" w:lineRule="exact"/>
        <w:ind w:firstLine="420" w:firstLineChars="200"/>
        <w:rPr>
          <w:rFonts w:hint="eastAsia" w:ascii="宋体" w:hAnsi="宋体"/>
        </w:rPr>
      </w:pPr>
      <w:r>
        <w:rPr>
          <w:rFonts w:hint="eastAsia" w:ascii="宋体" w:hAnsi="宋体"/>
        </w:rPr>
        <w:t>2、同批设备应统一包装、编号运输。</w:t>
      </w:r>
    </w:p>
    <w:p>
      <w:pPr>
        <w:adjustRightInd w:val="0"/>
        <w:snapToGrid w:val="0"/>
        <w:spacing w:line="460" w:lineRule="exact"/>
        <w:ind w:firstLine="420" w:firstLineChars="200"/>
        <w:rPr>
          <w:rFonts w:hint="eastAsia" w:ascii="宋体" w:hAnsi="宋体"/>
        </w:rPr>
      </w:pPr>
      <w:r>
        <w:rPr>
          <w:rFonts w:hint="eastAsia" w:ascii="宋体" w:hAnsi="宋体"/>
        </w:rPr>
        <w:t>3、一般情况下，经由铁路、公路运输的包装件尺寸和重量不应超过国家所规定的尺寸限制。特殊情况应予以说明。</w:t>
      </w:r>
    </w:p>
    <w:p>
      <w:pPr>
        <w:adjustRightInd w:val="0"/>
        <w:snapToGrid w:val="0"/>
        <w:spacing w:line="460" w:lineRule="exact"/>
        <w:ind w:firstLine="420" w:firstLineChars="200"/>
        <w:rPr>
          <w:rFonts w:hint="eastAsia" w:ascii="宋体" w:hAnsi="宋体"/>
        </w:rPr>
      </w:pPr>
      <w:r>
        <w:rPr>
          <w:rFonts w:hint="eastAsia" w:ascii="宋体" w:hAnsi="宋体"/>
        </w:rPr>
        <w:t>4、在每批设备发出后，应立即通知招标方；通知中应指明：合同号、货运单号、件数、重量和设备发出日期等相关内容。</w:t>
      </w:r>
    </w:p>
    <w:p>
      <w:pPr>
        <w:adjustRightInd w:val="0"/>
        <w:snapToGrid w:val="0"/>
        <w:spacing w:line="460" w:lineRule="exact"/>
        <w:ind w:firstLine="420" w:firstLineChars="200"/>
        <w:rPr>
          <w:rFonts w:hint="eastAsia" w:ascii="宋体" w:hAnsi="宋体"/>
        </w:rPr>
      </w:pPr>
      <w:r>
        <w:rPr>
          <w:rFonts w:hint="eastAsia" w:ascii="宋体" w:hAnsi="宋体"/>
        </w:rPr>
        <w:t>5、设备运抵交货地点后，应负责货物（或设备）的卸货、搬运、保管等事宜；或按照合同约定。</w:t>
      </w:r>
    </w:p>
    <w:p>
      <w:pPr>
        <w:pStyle w:val="2"/>
        <w:spacing w:before="120" w:after="120" w:line="480" w:lineRule="exact"/>
        <w:jc w:val="center"/>
        <w:rPr>
          <w:rFonts w:hint="eastAsia" w:ascii="黑体" w:eastAsia="黑体"/>
          <w:b w:val="0"/>
          <w:sz w:val="24"/>
          <w:szCs w:val="24"/>
        </w:rPr>
      </w:pPr>
      <w:r>
        <w:rPr>
          <w:rFonts w:ascii="宋体" w:hAnsi="宋体"/>
        </w:rPr>
        <w:br w:type="page"/>
      </w:r>
      <w:bookmarkStart w:id="68" w:name="_Toc137705872"/>
      <w:bookmarkStart w:id="69" w:name="_Toc9796"/>
      <w:bookmarkStart w:id="70" w:name="_Toc30960"/>
      <w:bookmarkStart w:id="71" w:name="_Toc2931"/>
      <w:bookmarkStart w:id="72" w:name="_Toc28593"/>
      <w:r>
        <w:rPr>
          <w:rFonts w:hint="eastAsia" w:ascii="黑体" w:eastAsia="黑体"/>
          <w:b w:val="0"/>
          <w:bCs w:val="0"/>
          <w:sz w:val="24"/>
          <w:szCs w:val="24"/>
        </w:rPr>
        <w:t>第四章  售中售后服务</w:t>
      </w:r>
      <w:bookmarkEnd w:id="68"/>
      <w:bookmarkEnd w:id="69"/>
      <w:bookmarkEnd w:id="70"/>
      <w:bookmarkEnd w:id="71"/>
      <w:bookmarkEnd w:id="72"/>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一、技术及培训服务</w:t>
      </w:r>
    </w:p>
    <w:p>
      <w:pPr>
        <w:adjustRightInd w:val="0"/>
        <w:snapToGrid w:val="0"/>
        <w:spacing w:line="460" w:lineRule="exact"/>
        <w:ind w:firstLine="420" w:firstLineChars="200"/>
        <w:rPr>
          <w:rFonts w:hint="eastAsia" w:ascii="宋体" w:hAnsi="宋体"/>
        </w:rPr>
      </w:pPr>
      <w:r>
        <w:rPr>
          <w:rFonts w:hint="eastAsia" w:ascii="宋体" w:hAnsi="宋体"/>
        </w:rPr>
        <w:t>1、应负责对招标方</w:t>
      </w:r>
      <w:r>
        <w:rPr>
          <w:rFonts w:hint="eastAsia" w:ascii="宋体" w:hAnsi="宋体"/>
          <w:u w:val="single"/>
          <w:shd w:val="pct10" w:color="auto" w:fill="FFFFFF"/>
        </w:rPr>
        <w:t xml:space="preserve">  3-5  </w:t>
      </w:r>
      <w:r>
        <w:rPr>
          <w:rFonts w:hint="eastAsia" w:ascii="宋体" w:hAnsi="宋体"/>
        </w:rPr>
        <w:t>名技术、维修和操作人员提供不少于</w:t>
      </w:r>
      <w:r>
        <w:rPr>
          <w:rFonts w:hint="eastAsia" w:ascii="宋体" w:hAnsi="宋体"/>
          <w:u w:val="single"/>
          <w:shd w:val="pct10" w:color="auto" w:fill="FFFFFF"/>
        </w:rPr>
        <w:t xml:space="preserve">   2  </w:t>
      </w:r>
      <w:r>
        <w:rPr>
          <w:rFonts w:hint="eastAsia" w:ascii="宋体" w:hAnsi="宋体"/>
        </w:rPr>
        <w:t>个日历日的免费的、招标方生产制造现场的理论、技术和操作、维修等方面的技术指导和培训,提供免费的2人在机器人工厂的标准培训，培训内容包括</w:t>
      </w:r>
      <w:r>
        <w:rPr>
          <w:rFonts w:hint="eastAsia"/>
          <w:lang w:val="zh-CN"/>
        </w:rPr>
        <w:t>机器人编程及简单维护培训、电气培训。</w:t>
      </w:r>
    </w:p>
    <w:p>
      <w:pPr>
        <w:adjustRightInd w:val="0"/>
        <w:snapToGrid w:val="0"/>
        <w:spacing w:line="460" w:lineRule="exact"/>
        <w:ind w:firstLine="420" w:firstLineChars="200"/>
        <w:rPr>
          <w:rFonts w:hint="eastAsia" w:ascii="宋体" w:hAnsi="宋体"/>
        </w:rPr>
      </w:pPr>
      <w:r>
        <w:rPr>
          <w:rFonts w:hint="eastAsia" w:ascii="宋体" w:hAnsi="宋体"/>
        </w:rPr>
        <w:t>2、应负责在招标方设备使用现场，进行1～2次免费的技术指导和培训，并接受招标方有关人员的技术咨询。</w:t>
      </w:r>
    </w:p>
    <w:p>
      <w:pPr>
        <w:adjustRightInd w:val="0"/>
        <w:snapToGrid w:val="0"/>
        <w:spacing w:line="460" w:lineRule="exact"/>
        <w:ind w:firstLine="420" w:firstLineChars="200"/>
        <w:rPr>
          <w:rFonts w:hint="eastAsia" w:ascii="宋体" w:hAnsi="宋体"/>
        </w:rPr>
      </w:pPr>
      <w:r>
        <w:rPr>
          <w:rFonts w:hint="eastAsia" w:ascii="宋体" w:hAnsi="宋体"/>
        </w:rPr>
        <w:t>3、应免费提供一定数量的培训资料。</w:t>
      </w:r>
    </w:p>
    <w:p>
      <w:pPr>
        <w:adjustRightInd w:val="0"/>
        <w:snapToGrid w:val="0"/>
        <w:spacing w:line="460" w:lineRule="exact"/>
        <w:ind w:firstLine="420" w:firstLineChars="200"/>
        <w:rPr>
          <w:rFonts w:hint="eastAsia" w:ascii="宋体" w:hAnsi="宋体"/>
        </w:rPr>
      </w:pPr>
      <w:r>
        <w:rPr>
          <w:rFonts w:hint="eastAsia" w:ascii="宋体" w:hAnsi="宋体"/>
        </w:rPr>
        <w:t>4、应按要求免费积极协助和提供招标方以及招标方所委托的工程设计单位有关人员所需要的、与设备有关的工程设计资料、技术咨询等。</w:t>
      </w:r>
    </w:p>
    <w:p>
      <w:pPr>
        <w:adjustRightInd w:val="0"/>
        <w:snapToGrid w:val="0"/>
        <w:spacing w:line="460" w:lineRule="exact"/>
        <w:ind w:firstLine="420" w:firstLineChars="200"/>
        <w:rPr>
          <w:rFonts w:hint="eastAsia" w:ascii="宋体" w:hAnsi="宋体"/>
          <w:highlight w:val="none"/>
        </w:rPr>
      </w:pPr>
      <w:r>
        <w:rPr>
          <w:rFonts w:hint="eastAsia" w:ascii="宋体" w:hAnsi="宋体"/>
          <w:highlight w:val="none"/>
        </w:rPr>
        <w:t>5、若投标方提供的设备涉及外购外协货物</w:t>
      </w:r>
      <w:r>
        <w:rPr>
          <w:rFonts w:hint="eastAsia" w:ascii="宋体" w:hAnsi="宋体"/>
          <w:highlight w:val="none"/>
          <w:lang w:eastAsia="zh-CN"/>
        </w:rPr>
        <w:t>，而且</w:t>
      </w:r>
      <w:r>
        <w:rPr>
          <w:rFonts w:hint="eastAsia" w:ascii="宋体" w:hAnsi="宋体"/>
          <w:highlight w:val="none"/>
        </w:rPr>
        <w:t>该货物的技术质量等较为关键时，投标方应能保证得到配套厂家的技术支持，并免费为招标方提供技术服务。</w:t>
      </w:r>
    </w:p>
    <w:p>
      <w:pPr>
        <w:adjustRightInd w:val="0"/>
        <w:snapToGrid w:val="0"/>
        <w:spacing w:line="460" w:lineRule="exact"/>
        <w:ind w:firstLine="420" w:firstLineChars="200"/>
        <w:rPr>
          <w:rFonts w:hint="eastAsia" w:ascii="宋体" w:hAnsi="宋体"/>
        </w:rPr>
      </w:pPr>
      <w:r>
        <w:rPr>
          <w:rFonts w:hint="eastAsia" w:ascii="宋体" w:hAnsi="宋体"/>
        </w:rPr>
        <w:t>6、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二、安装调试及验收服务</w:t>
      </w:r>
    </w:p>
    <w:p>
      <w:pPr>
        <w:adjustRightInd w:val="0"/>
        <w:snapToGrid w:val="0"/>
        <w:spacing w:line="460" w:lineRule="exact"/>
        <w:ind w:firstLine="420" w:firstLineChars="200"/>
        <w:rPr>
          <w:rFonts w:hint="eastAsia" w:ascii="宋体" w:hAnsi="宋体"/>
        </w:rPr>
      </w:pPr>
      <w:r>
        <w:rPr>
          <w:rFonts w:hint="eastAsia" w:ascii="宋体" w:hAnsi="宋体"/>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pPr>
        <w:adjustRightInd w:val="0"/>
        <w:snapToGrid w:val="0"/>
        <w:spacing w:line="460" w:lineRule="exact"/>
        <w:ind w:firstLine="420" w:firstLineChars="200"/>
        <w:rPr>
          <w:rFonts w:hint="eastAsia" w:ascii="宋体" w:hAnsi="宋体"/>
        </w:rPr>
      </w:pPr>
      <w:r>
        <w:rPr>
          <w:rFonts w:hint="eastAsia" w:ascii="宋体" w:hAnsi="宋体"/>
        </w:rPr>
        <w:t>2、若投标方提供的设备</w:t>
      </w:r>
      <w:r>
        <w:rPr>
          <w:rFonts w:hint="eastAsia" w:ascii="宋体" w:hAnsi="宋体"/>
          <w:highlight w:val="none"/>
        </w:rPr>
        <w:t>涉及</w:t>
      </w:r>
      <w:r>
        <w:rPr>
          <w:rFonts w:hint="eastAsia" w:ascii="宋体" w:hAnsi="宋体"/>
        </w:rPr>
        <w:t>外购外协货物</w:t>
      </w:r>
      <w:r>
        <w:rPr>
          <w:rFonts w:hint="eastAsia" w:ascii="宋体" w:hAnsi="宋体"/>
          <w:lang w:eastAsia="zh-CN"/>
        </w:rPr>
        <w:t>，而且</w:t>
      </w:r>
      <w:r>
        <w:rPr>
          <w:rFonts w:hint="eastAsia" w:ascii="宋体" w:hAnsi="宋体"/>
        </w:rPr>
        <w:t>该货物的技术质量等较为关键时，应保证能得到供应商的技术支持，并免费为招标方提供安装使用现场的指导与培训。</w:t>
      </w:r>
    </w:p>
    <w:p>
      <w:pPr>
        <w:adjustRightInd w:val="0"/>
        <w:snapToGrid w:val="0"/>
        <w:spacing w:line="460" w:lineRule="exact"/>
        <w:ind w:firstLine="420" w:firstLineChars="200"/>
        <w:rPr>
          <w:rFonts w:hint="eastAsia" w:ascii="宋体" w:hAnsi="宋体"/>
        </w:rPr>
      </w:pPr>
      <w:r>
        <w:rPr>
          <w:rFonts w:hint="eastAsia" w:ascii="宋体" w:hAnsi="宋体"/>
        </w:rPr>
        <w:t>3、根据设备的要求，调试及验收可分空载和负载两个阶段进行；招标方将积极协助投标方达到设备的各项技术指标和性能要求。投标方在招标方现场进行的货物的安装、调试和试运行，招标方有权参与，投标方应无条件向招标方提供现场记录和试运行数据及报告。</w:t>
      </w:r>
    </w:p>
    <w:p>
      <w:pPr>
        <w:adjustRightInd w:val="0"/>
        <w:snapToGrid w:val="0"/>
        <w:spacing w:line="460" w:lineRule="exact"/>
        <w:ind w:firstLine="420" w:firstLineChars="200"/>
        <w:rPr>
          <w:rFonts w:hint="eastAsia" w:ascii="宋体" w:hAnsi="宋体"/>
        </w:rPr>
      </w:pPr>
      <w:r>
        <w:rPr>
          <w:rFonts w:hint="eastAsia" w:ascii="宋体" w:hAnsi="宋体"/>
        </w:rPr>
        <w:t>4、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pPr>
        <w:adjustRightInd w:val="0"/>
        <w:snapToGrid w:val="0"/>
        <w:spacing w:line="460" w:lineRule="exact"/>
        <w:ind w:firstLine="420" w:firstLineChars="200"/>
        <w:rPr>
          <w:rFonts w:hint="eastAsia" w:ascii="宋体" w:hAnsi="宋体"/>
        </w:rPr>
      </w:pPr>
      <w:r>
        <w:rPr>
          <w:rFonts w:hint="eastAsia" w:ascii="宋体" w:hAnsi="宋体"/>
        </w:rPr>
        <w:t>5、投标方应当向招标方提供货物试验、验收的有关标准、规范和方法，同时提供货物涉及并使用的软件合法性证明。</w:t>
      </w:r>
    </w:p>
    <w:p>
      <w:pPr>
        <w:adjustRightInd w:val="0"/>
        <w:snapToGrid w:val="0"/>
        <w:spacing w:line="460" w:lineRule="exact"/>
        <w:ind w:firstLine="420" w:firstLineChars="200"/>
        <w:rPr>
          <w:rFonts w:hint="eastAsia" w:ascii="宋体" w:hAnsi="宋体"/>
        </w:rPr>
      </w:pPr>
      <w:r>
        <w:rPr>
          <w:rFonts w:hint="eastAsia" w:ascii="宋体" w:hAnsi="宋体"/>
        </w:rPr>
        <w:t>6、服务缺陷视同货物缺陷和履约延期。</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三、售后服务</w:t>
      </w:r>
    </w:p>
    <w:p>
      <w:pPr>
        <w:adjustRightInd w:val="0"/>
        <w:snapToGrid w:val="0"/>
        <w:spacing w:line="460" w:lineRule="exact"/>
        <w:ind w:firstLine="420" w:firstLineChars="200"/>
        <w:rPr>
          <w:rFonts w:hint="eastAsia" w:ascii="宋体" w:hAnsi="宋体"/>
        </w:rPr>
      </w:pPr>
      <w:r>
        <w:rPr>
          <w:rFonts w:hint="eastAsia" w:ascii="宋体" w:hAnsi="宋体"/>
        </w:rPr>
        <w:t>1、投标方提供的设备涉及的所有售后服务均由投标方负责。如果发生问题并且收到通知，投标方应当在2小时内予以答复。</w:t>
      </w:r>
    </w:p>
    <w:p>
      <w:pPr>
        <w:adjustRightInd w:val="0"/>
        <w:snapToGrid w:val="0"/>
        <w:spacing w:line="460" w:lineRule="exact"/>
        <w:ind w:firstLine="420" w:firstLineChars="200"/>
        <w:rPr>
          <w:rFonts w:hint="eastAsia" w:ascii="宋体" w:hAnsi="宋体"/>
        </w:rPr>
      </w:pPr>
      <w:r>
        <w:rPr>
          <w:rFonts w:hint="eastAsia" w:ascii="宋体" w:hAnsi="宋体"/>
        </w:rPr>
        <w:t>2、如发现所提供的设备存在问题，需要投标方解决或配合解决时：在质保期之内，应在接到通知后</w:t>
      </w:r>
      <w:r>
        <w:rPr>
          <w:rFonts w:hint="eastAsia" w:ascii="宋体" w:hAnsi="宋体"/>
          <w:u w:val="single"/>
          <w:shd w:val="pct10" w:color="auto" w:fill="FFFFFF"/>
        </w:rPr>
        <w:t xml:space="preserve">  24    </w:t>
      </w:r>
      <w:r>
        <w:rPr>
          <w:rFonts w:hint="eastAsia" w:ascii="宋体" w:hAnsi="宋体"/>
        </w:rPr>
        <w:t>小时内派有关人员到达现场；在质保期之外，应在接到通知后</w:t>
      </w:r>
      <w:r>
        <w:rPr>
          <w:rFonts w:hint="eastAsia" w:ascii="宋体" w:hAnsi="宋体"/>
          <w:u w:val="single"/>
          <w:shd w:val="pct10" w:color="auto" w:fill="FFFFFF"/>
        </w:rPr>
        <w:t xml:space="preserve">  24   </w:t>
      </w:r>
      <w:r>
        <w:rPr>
          <w:rFonts w:hint="eastAsia" w:ascii="宋体" w:hAnsi="宋体"/>
        </w:rPr>
        <w:t>小时内派有关人员到达现场。</w:t>
      </w:r>
    </w:p>
    <w:p>
      <w:pPr>
        <w:adjustRightInd w:val="0"/>
        <w:snapToGrid w:val="0"/>
        <w:spacing w:line="460" w:lineRule="exact"/>
        <w:ind w:firstLine="420" w:firstLineChars="200"/>
        <w:rPr>
          <w:rFonts w:hint="eastAsia" w:ascii="宋体" w:hAnsi="宋体"/>
        </w:rPr>
      </w:pPr>
      <w:r>
        <w:rPr>
          <w:rFonts w:hint="eastAsia" w:ascii="宋体" w:hAnsi="宋体"/>
        </w:rPr>
        <w:t>3、投标方派往招标方</w:t>
      </w:r>
      <w:r>
        <w:rPr>
          <w:rFonts w:hint="eastAsia" w:ascii="宋体" w:hAnsi="宋体"/>
          <w:highlight w:val="none"/>
          <w:lang w:val="en-US" w:eastAsia="zh-CN"/>
        </w:rPr>
        <w:t>施工</w:t>
      </w:r>
      <w:r>
        <w:rPr>
          <w:rFonts w:hint="eastAsia" w:ascii="宋体" w:hAnsi="宋体"/>
        </w:rPr>
        <w:t>现场的人员，应具有较高的业务素质；现场解决问题时，不得无故拖延或推迟，应为招标方提供最佳的服务。</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四、其它服务</w:t>
      </w:r>
    </w:p>
    <w:p>
      <w:pPr>
        <w:adjustRightInd w:val="0"/>
        <w:snapToGrid w:val="0"/>
        <w:spacing w:line="460" w:lineRule="exact"/>
        <w:ind w:firstLine="420" w:firstLineChars="200"/>
        <w:rPr>
          <w:rFonts w:hint="eastAsia" w:ascii="宋体" w:hAnsi="宋体"/>
        </w:rPr>
      </w:pPr>
      <w:r>
        <w:rPr>
          <w:rFonts w:hint="eastAsia" w:ascii="宋体" w:hAnsi="宋体"/>
        </w:rPr>
        <w:t>1、若投标方所提供设备有需要进口的，投标方一般应自行、自费办理；必要时，买卖双方共同办理。</w:t>
      </w:r>
    </w:p>
    <w:p>
      <w:pPr>
        <w:adjustRightInd w:val="0"/>
        <w:snapToGrid w:val="0"/>
        <w:spacing w:line="460" w:lineRule="exact"/>
        <w:ind w:firstLine="420" w:firstLineChars="200"/>
        <w:rPr>
          <w:rFonts w:hint="eastAsia" w:ascii="宋体" w:hAnsi="宋体"/>
        </w:rPr>
      </w:pPr>
      <w:r>
        <w:rPr>
          <w:rFonts w:hint="eastAsia" w:ascii="宋体" w:hAnsi="宋体"/>
        </w:rPr>
        <w:t>2、除招标文件、投标文件、答疑文件、技术协议、合同等约定之外，投标方应免费负责必要的或强制性的设备的检验、试验、化验等直接费用。</w:t>
      </w:r>
    </w:p>
    <w:p>
      <w:pPr>
        <w:spacing w:line="520" w:lineRule="exact"/>
        <w:ind w:firstLine="420" w:firstLineChars="200"/>
        <w:rPr>
          <w:rFonts w:hint="eastAsia"/>
        </w:rPr>
      </w:pPr>
      <w:r>
        <w:rPr>
          <w:rFonts w:hint="eastAsia" w:ascii="宋体" w:hAnsi="宋体"/>
        </w:rPr>
        <w:t>3、本章节条款所列“免费”，并非指定不可收费，而是指招标文件、投标文件、</w:t>
      </w:r>
      <w:r>
        <w:rPr>
          <w:rFonts w:hint="eastAsia"/>
        </w:rPr>
        <w:t>答疑文件、技术交流文件、技术协议书和合同等范围之外，投标方不可另行收取的费用。</w:t>
      </w:r>
    </w:p>
    <w:p>
      <w:pPr>
        <w:spacing w:line="480" w:lineRule="exact"/>
        <w:ind w:firstLine="420" w:firstLineChars="200"/>
        <w:rPr>
          <w:rFonts w:hint="eastAsia" w:ascii="宋体" w:hAnsi="宋体"/>
        </w:rPr>
      </w:pPr>
    </w:p>
    <w:p>
      <w:pPr>
        <w:pStyle w:val="2"/>
        <w:spacing w:before="120" w:after="120" w:line="480" w:lineRule="exact"/>
        <w:jc w:val="center"/>
        <w:rPr>
          <w:rFonts w:hint="eastAsia" w:ascii="黑体" w:eastAsia="黑体"/>
          <w:b w:val="0"/>
          <w:sz w:val="24"/>
          <w:szCs w:val="24"/>
        </w:rPr>
      </w:pPr>
      <w:r>
        <w:rPr>
          <w:rFonts w:ascii="宋体" w:hAnsi="宋体"/>
        </w:rPr>
        <w:br w:type="page"/>
      </w:r>
      <w:bookmarkStart w:id="73" w:name="_Toc21539"/>
      <w:bookmarkStart w:id="74" w:name="_Toc23200"/>
      <w:bookmarkStart w:id="75" w:name="_Toc137705873"/>
      <w:bookmarkStart w:id="76" w:name="_Toc19419"/>
      <w:bookmarkStart w:id="77" w:name="_Toc9060"/>
      <w:r>
        <w:rPr>
          <w:rFonts w:hint="eastAsia" w:ascii="黑体" w:eastAsia="黑体"/>
          <w:b w:val="0"/>
          <w:sz w:val="24"/>
          <w:szCs w:val="24"/>
        </w:rPr>
        <w:t>第五章  预验收和终验收</w:t>
      </w:r>
      <w:bookmarkEnd w:id="73"/>
      <w:bookmarkEnd w:id="74"/>
      <w:bookmarkEnd w:id="75"/>
      <w:bookmarkEnd w:id="76"/>
      <w:bookmarkEnd w:id="77"/>
    </w:p>
    <w:p>
      <w:pPr>
        <w:spacing w:line="480" w:lineRule="exact"/>
        <w:ind w:firstLine="420" w:firstLineChars="200"/>
        <w:rPr>
          <w:rFonts w:hint="eastAsia" w:ascii="黑体" w:hAnsi="宋体" w:eastAsia="黑体"/>
        </w:rPr>
      </w:pPr>
      <w:r>
        <w:rPr>
          <w:rFonts w:hint="eastAsia" w:ascii="黑体" w:hAnsi="宋体" w:eastAsia="黑体"/>
        </w:rPr>
        <w:t>一、验收的一般约定</w:t>
      </w:r>
    </w:p>
    <w:p>
      <w:pPr>
        <w:spacing w:line="480" w:lineRule="exact"/>
        <w:ind w:firstLine="420" w:firstLineChars="200"/>
        <w:rPr>
          <w:rFonts w:hint="eastAsia" w:ascii="宋体" w:hAnsi="宋体"/>
        </w:rPr>
      </w:pPr>
      <w:r>
        <w:rPr>
          <w:rFonts w:hint="eastAsia" w:ascii="宋体" w:hAnsi="宋体"/>
        </w:rPr>
        <w:t>1、验收标准一般以技术协议书和合同规定验收。</w:t>
      </w:r>
    </w:p>
    <w:p>
      <w:pPr>
        <w:adjustRightInd w:val="0"/>
        <w:snapToGrid w:val="0"/>
        <w:spacing w:line="460" w:lineRule="exact"/>
        <w:ind w:firstLine="420" w:firstLineChars="200"/>
        <w:rPr>
          <w:rFonts w:hint="eastAsia" w:ascii="宋体" w:hAnsi="宋体"/>
        </w:rPr>
      </w:pPr>
      <w:r>
        <w:rPr>
          <w:rFonts w:hint="eastAsia" w:ascii="宋体" w:hAnsi="宋体"/>
        </w:rPr>
        <w:t>2、如果验收过程中，发现招标文件、投标文件、答疑文件、技术交流文件等与技术协议书、合同存在差异，</w:t>
      </w:r>
      <w:r>
        <w:rPr>
          <w:rFonts w:hint="eastAsia" w:ascii="宋体" w:hAnsi="宋体"/>
          <w:highlight w:val="none"/>
        </w:rPr>
        <w:t>原则上以涉及条款中</w:t>
      </w:r>
      <w:r>
        <w:rPr>
          <w:rFonts w:hint="eastAsia" w:ascii="宋体" w:hAnsi="宋体"/>
        </w:rPr>
        <w:t>对招标方最有利条款为验收依据。</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二、检验</w:t>
      </w:r>
    </w:p>
    <w:p>
      <w:pPr>
        <w:adjustRightInd w:val="0"/>
        <w:snapToGrid w:val="0"/>
        <w:spacing w:line="460" w:lineRule="exact"/>
        <w:ind w:firstLine="420" w:firstLineChars="200"/>
        <w:rPr>
          <w:rFonts w:hint="eastAsia" w:ascii="宋体" w:hAnsi="宋体"/>
        </w:rPr>
      </w:pPr>
      <w:r>
        <w:rPr>
          <w:rFonts w:hint="eastAsia" w:ascii="宋体" w:hAnsi="宋体"/>
        </w:rPr>
        <w:t>1、国产货物的检验由买卖双方按照合同要求或在制造现场进行。</w:t>
      </w:r>
    </w:p>
    <w:p>
      <w:pPr>
        <w:adjustRightInd w:val="0"/>
        <w:snapToGrid w:val="0"/>
        <w:spacing w:line="460" w:lineRule="exact"/>
        <w:ind w:firstLine="420" w:firstLineChars="200"/>
        <w:rPr>
          <w:rFonts w:hint="eastAsia" w:ascii="宋体" w:hAnsi="宋体"/>
        </w:rPr>
      </w:pPr>
      <w:r>
        <w:rPr>
          <w:rFonts w:hint="eastAsia" w:ascii="宋体" w:hAnsi="宋体"/>
        </w:rPr>
        <w:t>2、进口货物的检验，投标方需要按照下述要求进行：</w:t>
      </w:r>
    </w:p>
    <w:p>
      <w:pPr>
        <w:adjustRightInd w:val="0"/>
        <w:snapToGrid w:val="0"/>
        <w:spacing w:line="460" w:lineRule="exact"/>
        <w:ind w:firstLine="420" w:firstLineChars="200"/>
        <w:rPr>
          <w:rFonts w:ascii="宋体" w:hAnsi="宋体"/>
        </w:rPr>
      </w:pPr>
      <w:r>
        <w:rPr>
          <w:rFonts w:hint="eastAsia" w:ascii="宋体" w:hAnsi="宋体"/>
        </w:rPr>
        <w:t>2.1  进口货物发货前，应对货物的质量、型号、规格、性能</w:t>
      </w:r>
      <w:r>
        <w:rPr>
          <w:rFonts w:hint="eastAsia" w:ascii="宋体" w:hAnsi="宋体"/>
          <w:highlight w:val="none"/>
        </w:rPr>
        <w:t>和数量/重量</w:t>
      </w:r>
      <w:r>
        <w:rPr>
          <w:rFonts w:hint="eastAsia" w:ascii="宋体" w:hAnsi="宋体"/>
          <w:highlight w:val="none"/>
          <w:lang w:val="en-US" w:eastAsia="zh-CN"/>
        </w:rPr>
        <w:t>做</w:t>
      </w:r>
      <w:r>
        <w:rPr>
          <w:rFonts w:hint="eastAsia" w:ascii="宋体" w:hAnsi="宋体"/>
          <w:highlight w:val="none"/>
        </w:rPr>
        <w:t>精</w:t>
      </w:r>
      <w:r>
        <w:rPr>
          <w:rFonts w:hint="eastAsia" w:ascii="宋体" w:hAnsi="宋体"/>
        </w:rPr>
        <w:t>密、全面的检验，并出具证明书，证明所供货物符合合同规定。</w:t>
      </w:r>
    </w:p>
    <w:p>
      <w:pPr>
        <w:adjustRightInd w:val="0"/>
        <w:snapToGrid w:val="0"/>
        <w:spacing w:line="460" w:lineRule="exact"/>
        <w:ind w:firstLine="420" w:firstLineChars="200"/>
        <w:rPr>
          <w:rFonts w:ascii="宋体" w:hAnsi="宋体"/>
        </w:rPr>
      </w:pPr>
      <w:r>
        <w:rPr>
          <w:rFonts w:hint="eastAsia" w:ascii="宋体" w:hAnsi="宋体"/>
        </w:rPr>
        <w:t>2.2  应依据合同规定的要求，提供买卖双方达成一致的货物的验收标准和装箱单，作为招标方检验的依据。</w:t>
      </w:r>
    </w:p>
    <w:p>
      <w:pPr>
        <w:adjustRightInd w:val="0"/>
        <w:snapToGrid w:val="0"/>
        <w:spacing w:line="460" w:lineRule="exact"/>
        <w:ind w:firstLine="420" w:firstLineChars="200"/>
        <w:rPr>
          <w:rFonts w:hint="eastAsia" w:ascii="宋体" w:hAnsi="宋体"/>
        </w:rPr>
      </w:pPr>
      <w:r>
        <w:rPr>
          <w:rFonts w:hint="eastAsia" w:ascii="宋体" w:hAnsi="宋体"/>
        </w:rPr>
        <w:t>2.3  进口货物到达目的地后，招标方有权申请中国商品检验检疫局进行检验，如发现货物的品质及规格与合同或发票不符，除招标方的责任外，招标方有权在货物到达卸货目的地后18</w:t>
      </w:r>
      <w:r>
        <w:rPr>
          <w:rFonts w:ascii="宋体" w:hAnsi="宋体"/>
        </w:rPr>
        <w:t>0</w:t>
      </w:r>
      <w:r>
        <w:rPr>
          <w:rFonts w:hint="eastAsia" w:ascii="宋体" w:hAnsi="宋体"/>
        </w:rPr>
        <w:t>个日历日内，根据中国商品检验检疫局出具的证明书向投标方提出索赔，因索赔所发生的一切费用</w:t>
      </w:r>
      <w:r>
        <w:rPr>
          <w:rFonts w:hint="eastAsia" w:ascii="宋体" w:hAnsi="宋体"/>
          <w:lang w:eastAsia="zh-CN"/>
        </w:rPr>
        <w:t>（</w:t>
      </w:r>
      <w:r>
        <w:rPr>
          <w:rFonts w:hint="eastAsia" w:ascii="宋体" w:hAnsi="宋体"/>
        </w:rPr>
        <w:t>包括检验检疫费等</w:t>
      </w:r>
      <w:r>
        <w:rPr>
          <w:rFonts w:hint="eastAsia" w:ascii="宋体" w:hAnsi="宋体"/>
          <w:lang w:eastAsia="zh-CN"/>
        </w:rPr>
        <w:t>）</w:t>
      </w:r>
      <w:r>
        <w:rPr>
          <w:rFonts w:hint="eastAsia" w:ascii="宋体" w:hAnsi="宋体"/>
        </w:rPr>
        <w:t>均由投标方承担。</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三、验收基本条件</w:t>
      </w:r>
    </w:p>
    <w:p>
      <w:pPr>
        <w:adjustRightInd w:val="0"/>
        <w:snapToGrid w:val="0"/>
        <w:spacing w:line="460" w:lineRule="exact"/>
        <w:ind w:firstLine="420" w:firstLineChars="200"/>
        <w:rPr>
          <w:rFonts w:hint="eastAsia" w:ascii="宋体" w:hAnsi="宋体"/>
        </w:rPr>
      </w:pPr>
      <w:r>
        <w:rPr>
          <w:rFonts w:hint="eastAsia"/>
        </w:rPr>
        <w:t>验收一般分预验收和终验收两部分。预验收一般在投标方现场进行，终验收在安装调试完成及试运行后的招标方现场进行。但是所有的项目，包括不能预验收的项目和预验收通过的项目都在终验收</w:t>
      </w:r>
      <w:r>
        <w:rPr>
          <w:rFonts w:hint="eastAsia" w:ascii="宋体" w:hAnsi="宋体"/>
        </w:rPr>
        <w:t>时重新检验，最终只以终验收为准。</w:t>
      </w:r>
    </w:p>
    <w:p>
      <w:pPr>
        <w:adjustRightInd w:val="0"/>
        <w:snapToGrid w:val="0"/>
        <w:spacing w:line="460" w:lineRule="exact"/>
        <w:ind w:firstLine="420" w:firstLineChars="200"/>
        <w:rPr>
          <w:rFonts w:hint="eastAsia" w:ascii="宋体" w:hAnsi="宋体"/>
        </w:rPr>
      </w:pPr>
      <w:r>
        <w:rPr>
          <w:rFonts w:hint="eastAsia" w:ascii="宋体" w:hAnsi="宋体"/>
        </w:rPr>
        <w:t>买卖双方按照合同约定执行了合同，同时设备完成了试运行并经检验合格，则具备验收条件。</w:t>
      </w:r>
    </w:p>
    <w:p>
      <w:pPr>
        <w:adjustRightInd w:val="0"/>
        <w:snapToGrid w:val="0"/>
        <w:spacing w:line="460" w:lineRule="exact"/>
        <w:ind w:firstLine="420" w:firstLineChars="200"/>
        <w:rPr>
          <w:rFonts w:hint="eastAsia" w:ascii="宋体" w:hAnsi="宋体"/>
        </w:rPr>
      </w:pPr>
      <w:r>
        <w:rPr>
          <w:rFonts w:hint="eastAsia" w:ascii="宋体" w:hAnsi="宋体"/>
        </w:rPr>
        <w:t>1、预验收一般条件</w:t>
      </w:r>
    </w:p>
    <w:p>
      <w:pPr>
        <w:adjustRightInd w:val="0"/>
        <w:snapToGrid w:val="0"/>
        <w:spacing w:line="460" w:lineRule="exact"/>
        <w:ind w:firstLine="420" w:firstLineChars="200"/>
        <w:rPr>
          <w:rFonts w:hint="eastAsia" w:ascii="宋体" w:hAnsi="宋体"/>
        </w:rPr>
      </w:pPr>
      <w:r>
        <w:rPr>
          <w:rFonts w:hint="eastAsia" w:ascii="宋体" w:hAnsi="宋体"/>
        </w:rPr>
        <w:t>1.1  投标方已经按照“供货范围”要求提供了预验收资料，并且资料齐全、完整和有效。</w:t>
      </w:r>
    </w:p>
    <w:p>
      <w:pPr>
        <w:adjustRightInd w:val="0"/>
        <w:snapToGrid w:val="0"/>
        <w:spacing w:line="460" w:lineRule="exact"/>
        <w:ind w:firstLine="420" w:firstLineChars="200"/>
        <w:rPr>
          <w:rFonts w:hint="eastAsia" w:ascii="宋体" w:hAnsi="宋体"/>
        </w:rPr>
      </w:pPr>
      <w:r>
        <w:rPr>
          <w:rFonts w:hint="eastAsia" w:ascii="宋体" w:hAnsi="宋体"/>
        </w:rPr>
        <w:t>1.2  设备应完整且所有的零部件应该安装牢固，外观无损伤，所有的焊缝饱满、无残渣等缺陷。</w:t>
      </w:r>
    </w:p>
    <w:p>
      <w:pPr>
        <w:adjustRightInd w:val="0"/>
        <w:snapToGrid w:val="0"/>
        <w:spacing w:line="460" w:lineRule="exact"/>
        <w:ind w:firstLine="420" w:firstLineChars="200"/>
        <w:rPr>
          <w:rFonts w:ascii="宋体" w:hAnsi="宋体"/>
        </w:rPr>
      </w:pPr>
      <w:r>
        <w:rPr>
          <w:rFonts w:hint="eastAsia" w:ascii="宋体" w:hAnsi="宋体"/>
        </w:rPr>
        <w:t>1.3  一般情况下，所有的管路和线缆等，接头应完全正确、可靠</w:t>
      </w:r>
      <w:r>
        <w:rPr>
          <w:rFonts w:hint="eastAsia" w:ascii="宋体" w:hAnsi="宋体"/>
          <w:highlight w:val="none"/>
        </w:rPr>
        <w:t>地</w:t>
      </w:r>
      <w:r>
        <w:rPr>
          <w:rFonts w:hint="eastAsia" w:ascii="宋体" w:hAnsi="宋体"/>
          <w:highlight w:val="none"/>
          <w:lang w:val="en-US" w:eastAsia="zh-CN"/>
        </w:rPr>
        <w:t>连</w:t>
      </w:r>
      <w:r>
        <w:rPr>
          <w:rFonts w:hint="eastAsia" w:ascii="宋体" w:hAnsi="宋体"/>
          <w:highlight w:val="none"/>
        </w:rPr>
        <w:t>接；应排</w:t>
      </w:r>
      <w:r>
        <w:rPr>
          <w:rFonts w:hint="eastAsia" w:ascii="宋体" w:hAnsi="宋体"/>
        </w:rPr>
        <w:t>列有序（正确、牢固、整齐），有必要的防护，无皱褶、收缩和裂缝等不良现象。</w:t>
      </w:r>
    </w:p>
    <w:p>
      <w:pPr>
        <w:adjustRightInd w:val="0"/>
        <w:snapToGrid w:val="0"/>
        <w:spacing w:line="460" w:lineRule="exact"/>
        <w:ind w:firstLine="420" w:firstLineChars="200"/>
        <w:rPr>
          <w:rFonts w:ascii="宋体" w:hAnsi="宋体"/>
        </w:rPr>
      </w:pPr>
      <w:r>
        <w:rPr>
          <w:rFonts w:hint="eastAsia" w:ascii="宋体" w:hAnsi="宋体"/>
        </w:rPr>
        <w:t>1.4  设备的润滑系统工作正常、可靠，润滑点易于到达。</w:t>
      </w:r>
    </w:p>
    <w:p>
      <w:pPr>
        <w:adjustRightInd w:val="0"/>
        <w:snapToGrid w:val="0"/>
        <w:spacing w:line="460" w:lineRule="exact"/>
        <w:ind w:firstLine="420" w:firstLineChars="200"/>
        <w:rPr>
          <w:rFonts w:ascii="宋体" w:hAnsi="宋体"/>
        </w:rPr>
      </w:pPr>
      <w:r>
        <w:rPr>
          <w:rFonts w:hint="eastAsia" w:ascii="宋体" w:hAnsi="宋体"/>
        </w:rPr>
        <w:t>1.5  使用的压力容器、电气等应具备合格证（如果有压力容器）。</w:t>
      </w:r>
    </w:p>
    <w:p>
      <w:pPr>
        <w:adjustRightInd w:val="0"/>
        <w:snapToGrid w:val="0"/>
        <w:spacing w:line="460" w:lineRule="exact"/>
        <w:ind w:firstLine="420" w:firstLineChars="200"/>
        <w:rPr>
          <w:rFonts w:ascii="宋体" w:hAnsi="宋体"/>
        </w:rPr>
      </w:pPr>
      <w:r>
        <w:rPr>
          <w:rFonts w:hint="eastAsia" w:ascii="宋体" w:hAnsi="宋体"/>
        </w:rPr>
        <w:t>1.6 设备的油漆质量应饱满、有光泽，无掉漆、无色差、无“桔皮”等不良现象（特殊标志除外）。</w:t>
      </w:r>
    </w:p>
    <w:p>
      <w:pPr>
        <w:adjustRightInd w:val="0"/>
        <w:snapToGrid w:val="0"/>
        <w:spacing w:line="460" w:lineRule="exact"/>
        <w:ind w:firstLine="420" w:firstLineChars="200"/>
        <w:rPr>
          <w:rFonts w:ascii="宋体" w:hAnsi="宋体"/>
        </w:rPr>
      </w:pPr>
      <w:r>
        <w:rPr>
          <w:rFonts w:hint="eastAsia" w:ascii="宋体" w:hAnsi="宋体"/>
        </w:rPr>
        <w:t>1.7 设备标牌完整、清晰、明确。</w:t>
      </w:r>
    </w:p>
    <w:p>
      <w:pPr>
        <w:adjustRightInd w:val="0"/>
        <w:snapToGrid w:val="0"/>
        <w:spacing w:line="460" w:lineRule="exact"/>
        <w:ind w:firstLine="420" w:firstLineChars="200"/>
        <w:rPr>
          <w:rFonts w:hint="eastAsia" w:ascii="宋体" w:hAnsi="宋体"/>
        </w:rPr>
      </w:pPr>
      <w:r>
        <w:rPr>
          <w:rFonts w:hint="eastAsia" w:ascii="宋体" w:hAnsi="宋体"/>
        </w:rPr>
        <w:t>1.8  地线</w:t>
      </w:r>
      <w:r>
        <w:rPr>
          <w:rFonts w:hint="eastAsia" w:ascii="宋体" w:hAnsi="宋体"/>
          <w:lang w:val="en-US" w:eastAsia="zh-CN"/>
        </w:rPr>
        <w:t>连</w:t>
      </w:r>
      <w:r>
        <w:rPr>
          <w:rFonts w:hint="eastAsia" w:ascii="宋体" w:hAnsi="宋体"/>
          <w:highlight w:val="none"/>
        </w:rPr>
        <w:t>接和地</w:t>
      </w:r>
      <w:r>
        <w:rPr>
          <w:rFonts w:hint="eastAsia" w:ascii="宋体" w:hAnsi="宋体"/>
        </w:rPr>
        <w:t>极符合国际（</w:t>
      </w:r>
      <w:r>
        <w:rPr>
          <w:rFonts w:ascii="宋体" w:hAnsi="宋体"/>
        </w:rPr>
        <w:t>ISO</w:t>
      </w:r>
      <w:r>
        <w:rPr>
          <w:rFonts w:hint="eastAsia" w:ascii="宋体" w:hAnsi="宋体"/>
        </w:rPr>
        <w:t>/</w:t>
      </w:r>
      <w:r>
        <w:rPr>
          <w:rFonts w:ascii="宋体" w:hAnsi="宋体"/>
        </w:rPr>
        <w:t>IEC</w:t>
      </w:r>
      <w:r>
        <w:rPr>
          <w:rFonts w:hint="eastAsia" w:ascii="宋体" w:hAnsi="宋体"/>
        </w:rPr>
        <w:t>）标准规范。</w:t>
      </w:r>
    </w:p>
    <w:p>
      <w:pPr>
        <w:adjustRightInd w:val="0"/>
        <w:snapToGrid w:val="0"/>
        <w:spacing w:line="460" w:lineRule="exact"/>
        <w:ind w:firstLine="420" w:firstLineChars="200"/>
        <w:rPr>
          <w:rFonts w:hint="eastAsia" w:ascii="宋体" w:hAnsi="宋体"/>
        </w:rPr>
      </w:pPr>
      <w:r>
        <w:rPr>
          <w:rFonts w:hint="eastAsia" w:ascii="宋体" w:hAnsi="宋体"/>
        </w:rPr>
        <w:t>1.9  设备的安全要求符合中国最新的相关</w:t>
      </w:r>
      <w:r>
        <w:rPr>
          <w:rFonts w:hint="eastAsia" w:ascii="宋体" w:hAnsi="宋体"/>
          <w:highlight w:val="none"/>
        </w:rPr>
        <w:t>法律法规</w:t>
      </w:r>
      <w:r>
        <w:rPr>
          <w:rFonts w:hint="eastAsia" w:ascii="宋体" w:hAnsi="宋体"/>
        </w:rPr>
        <w:t>、标准和规范以及合同要求。</w:t>
      </w:r>
    </w:p>
    <w:p>
      <w:pPr>
        <w:adjustRightInd w:val="0"/>
        <w:snapToGrid w:val="0"/>
        <w:spacing w:line="460" w:lineRule="exact"/>
        <w:ind w:firstLine="420" w:firstLineChars="200"/>
        <w:rPr>
          <w:rFonts w:hint="eastAsia" w:ascii="宋体" w:hAnsi="宋体"/>
        </w:rPr>
      </w:pPr>
      <w:r>
        <w:rPr>
          <w:rFonts w:hint="eastAsia" w:ascii="宋体" w:hAnsi="宋体"/>
        </w:rPr>
        <w:t>2</w:t>
      </w:r>
      <w:r>
        <w:rPr>
          <w:rFonts w:hint="eastAsia" w:ascii="宋体" w:hAnsi="宋体"/>
          <w:lang w:eastAsia="zh-CN"/>
        </w:rPr>
        <w:t>、最</w:t>
      </w:r>
      <w:r>
        <w:rPr>
          <w:rFonts w:hint="eastAsia" w:ascii="宋体" w:hAnsi="宋体"/>
        </w:rPr>
        <w:t>终验收一般条件</w:t>
      </w:r>
    </w:p>
    <w:p>
      <w:pPr>
        <w:adjustRightInd w:val="0"/>
        <w:snapToGrid w:val="0"/>
        <w:spacing w:line="460" w:lineRule="exact"/>
        <w:ind w:firstLine="420" w:firstLineChars="200"/>
        <w:rPr>
          <w:rFonts w:hint="eastAsia" w:ascii="宋体" w:hAnsi="宋体"/>
        </w:rPr>
      </w:pPr>
      <w:r>
        <w:rPr>
          <w:rFonts w:hint="eastAsia" w:ascii="宋体" w:hAnsi="宋体"/>
        </w:rPr>
        <w:t>2.1  经过预验收而且没有出现新的质量问题，或者满足预验收条款。</w:t>
      </w:r>
    </w:p>
    <w:p>
      <w:pPr>
        <w:adjustRightInd w:val="0"/>
        <w:snapToGrid w:val="0"/>
        <w:spacing w:line="460" w:lineRule="exact"/>
        <w:ind w:firstLine="420" w:firstLineChars="200"/>
        <w:rPr>
          <w:rFonts w:hint="eastAsia" w:ascii="宋体" w:hAnsi="宋体"/>
        </w:rPr>
      </w:pPr>
      <w:r>
        <w:rPr>
          <w:rFonts w:hint="eastAsia" w:ascii="宋体" w:hAnsi="宋体"/>
        </w:rPr>
        <w:t>2.2  设备安装调试完毕，并至少经过了验收要求的负荷试运行。</w:t>
      </w:r>
    </w:p>
    <w:p>
      <w:pPr>
        <w:adjustRightInd w:val="0"/>
        <w:snapToGrid w:val="0"/>
        <w:spacing w:line="460" w:lineRule="exact"/>
        <w:ind w:firstLine="420" w:firstLineChars="200"/>
        <w:rPr>
          <w:rFonts w:hint="eastAsia" w:ascii="宋体" w:hAnsi="宋体"/>
        </w:rPr>
      </w:pPr>
      <w:r>
        <w:rPr>
          <w:rFonts w:hint="eastAsia" w:ascii="宋体" w:hAnsi="宋体"/>
        </w:rPr>
        <w:t>2.3  设备正常运行时，噪声等环境影响因素满足国家和当地环保主管部门规定，安全措施落实、有效。</w:t>
      </w:r>
    </w:p>
    <w:p>
      <w:pPr>
        <w:adjustRightInd w:val="0"/>
        <w:snapToGrid w:val="0"/>
        <w:spacing w:line="460" w:lineRule="exact"/>
        <w:ind w:firstLine="420" w:firstLineChars="200"/>
        <w:rPr>
          <w:rFonts w:hint="eastAsia" w:ascii="宋体" w:hAnsi="宋体"/>
        </w:rPr>
      </w:pPr>
      <w:r>
        <w:rPr>
          <w:rFonts w:hint="eastAsia" w:ascii="宋体" w:hAnsi="宋体"/>
        </w:rPr>
        <w:t>2.4  计量仪器、仪表配套合理，采用中国的法定计量单位，计量准确、灵敏可靠。保证设计指标和仪器说明书的参数的实现。</w:t>
      </w:r>
    </w:p>
    <w:p>
      <w:pPr>
        <w:adjustRightInd w:val="0"/>
        <w:snapToGrid w:val="0"/>
        <w:spacing w:line="460" w:lineRule="exact"/>
        <w:ind w:firstLine="420" w:firstLineChars="200"/>
        <w:rPr>
          <w:rFonts w:ascii="宋体" w:hAnsi="宋体"/>
        </w:rPr>
      </w:pPr>
      <w:r>
        <w:rPr>
          <w:rFonts w:hint="eastAsia" w:ascii="宋体" w:hAnsi="宋体"/>
        </w:rPr>
        <w:t>2.5  试运行期间或之后无维修、调整等行为（特殊情况除外）。</w:t>
      </w:r>
    </w:p>
    <w:p>
      <w:pPr>
        <w:adjustRightInd w:val="0"/>
        <w:snapToGrid w:val="0"/>
        <w:spacing w:line="460" w:lineRule="exact"/>
        <w:ind w:firstLine="420" w:firstLineChars="200"/>
        <w:rPr>
          <w:rFonts w:hint="eastAsia" w:ascii="宋体" w:hAnsi="宋体"/>
        </w:rPr>
      </w:pPr>
      <w:r>
        <w:rPr>
          <w:rFonts w:hint="eastAsia" w:ascii="宋体" w:hAnsi="宋体"/>
        </w:rPr>
        <w:t>2.6 设</w:t>
      </w:r>
      <w:r>
        <w:rPr>
          <w:rFonts w:hint="eastAsia" w:ascii="宋体" w:hAnsi="宋体"/>
          <w:highlight w:val="none"/>
        </w:rPr>
        <w:t>备质量、技术性能等，达到签</w:t>
      </w:r>
      <w:r>
        <w:rPr>
          <w:rFonts w:hint="eastAsia" w:ascii="宋体" w:hAnsi="宋体"/>
          <w:highlight w:val="none"/>
          <w:lang w:val="en-US" w:eastAsia="zh-CN"/>
        </w:rPr>
        <w:t>订</w:t>
      </w:r>
      <w:r>
        <w:rPr>
          <w:rFonts w:hint="eastAsia" w:ascii="宋体" w:hAnsi="宋体"/>
          <w:highlight w:val="none"/>
        </w:rPr>
        <w:t>的技</w:t>
      </w:r>
      <w:r>
        <w:rPr>
          <w:rFonts w:hint="eastAsia" w:ascii="宋体" w:hAnsi="宋体"/>
        </w:rPr>
        <w:t>术协议书和合同规定的终验收标准。</w:t>
      </w:r>
    </w:p>
    <w:p>
      <w:pPr>
        <w:spacing w:line="480" w:lineRule="exact"/>
        <w:ind w:firstLine="420" w:firstLineChars="200"/>
        <w:rPr>
          <w:rFonts w:hint="eastAsia" w:ascii="宋体" w:hAnsi="宋体"/>
        </w:rPr>
      </w:pPr>
      <w:r>
        <w:rPr>
          <w:rFonts w:hint="eastAsia" w:ascii="宋体" w:hAnsi="宋体"/>
        </w:rPr>
        <w:t>3、终验收基本要求</w:t>
      </w:r>
    </w:p>
    <w:p>
      <w:pPr>
        <w:adjustRightInd w:val="0"/>
        <w:snapToGrid w:val="0"/>
        <w:spacing w:line="460" w:lineRule="exact"/>
        <w:ind w:firstLine="420" w:firstLineChars="200"/>
        <w:rPr>
          <w:rFonts w:hint="eastAsia" w:ascii="宋体" w:hAnsi="宋体"/>
        </w:rPr>
      </w:pPr>
      <w:r>
        <w:rPr>
          <w:rFonts w:hint="eastAsia" w:ascii="宋体" w:hAnsi="宋体"/>
        </w:rPr>
        <w:t>3.1  允许情况下，一般先连续空运转</w:t>
      </w:r>
      <w:r>
        <w:rPr>
          <w:rFonts w:hint="eastAsia" w:ascii="宋体" w:hAnsi="宋体"/>
          <w:u w:val="single"/>
          <w:shd w:val="pct10" w:color="auto" w:fill="FFFFFF"/>
        </w:rPr>
        <w:t xml:space="preserve">  24    </w:t>
      </w:r>
      <w:r>
        <w:rPr>
          <w:rFonts w:hint="eastAsia" w:ascii="宋体" w:hAnsi="宋体"/>
        </w:rPr>
        <w:t>小时，然后再进行负荷运行（无需进行空载运行的除外）。</w:t>
      </w:r>
    </w:p>
    <w:p>
      <w:pPr>
        <w:adjustRightInd w:val="0"/>
        <w:snapToGrid w:val="0"/>
        <w:spacing w:line="460" w:lineRule="exact"/>
        <w:ind w:firstLine="420" w:firstLineChars="200"/>
        <w:rPr>
          <w:rFonts w:hint="eastAsia" w:ascii="宋体" w:hAnsi="宋体"/>
        </w:rPr>
      </w:pPr>
      <w:r>
        <w:rPr>
          <w:rFonts w:hint="eastAsia" w:ascii="宋体" w:hAnsi="宋体"/>
        </w:rPr>
        <w:t>3.2  负荷运行时，应连续运行</w:t>
      </w:r>
      <w:r>
        <w:rPr>
          <w:rFonts w:hint="eastAsia" w:ascii="宋体" w:hAnsi="宋体"/>
          <w:u w:val="single"/>
          <w:shd w:val="pct10" w:color="auto" w:fill="FFFFFF"/>
        </w:rPr>
        <w:t xml:space="preserve">   7   </w:t>
      </w:r>
      <w:r>
        <w:rPr>
          <w:rFonts w:hint="eastAsia" w:ascii="宋体" w:hAnsi="宋体"/>
        </w:rPr>
        <w:t>天，每天连续运行</w:t>
      </w:r>
      <w:r>
        <w:rPr>
          <w:rFonts w:hint="eastAsia" w:ascii="宋体" w:hAnsi="宋体"/>
          <w:u w:val="single"/>
          <w:shd w:val="pct10" w:color="auto" w:fill="FFFFFF"/>
        </w:rPr>
        <w:t xml:space="preserve">   16  </w:t>
      </w:r>
      <w:r>
        <w:rPr>
          <w:rFonts w:hint="eastAsia" w:ascii="宋体" w:hAnsi="宋体"/>
        </w:rPr>
        <w:t>小时。</w:t>
      </w:r>
    </w:p>
    <w:p>
      <w:pPr>
        <w:adjustRightInd w:val="0"/>
        <w:snapToGrid w:val="0"/>
        <w:spacing w:line="460" w:lineRule="exact"/>
        <w:ind w:firstLine="420" w:firstLineChars="200"/>
        <w:rPr>
          <w:rFonts w:hint="eastAsia" w:ascii="宋体" w:hAnsi="宋体"/>
        </w:rPr>
      </w:pPr>
      <w:r>
        <w:rPr>
          <w:rFonts w:hint="eastAsia" w:ascii="宋体" w:hAnsi="宋体"/>
        </w:rPr>
        <w:t>3.3  出现下列问题之一，视作验收失败：</w:t>
      </w:r>
    </w:p>
    <w:p>
      <w:pPr>
        <w:adjustRightInd w:val="0"/>
        <w:snapToGrid w:val="0"/>
        <w:spacing w:line="460" w:lineRule="exact"/>
        <w:ind w:firstLine="420" w:firstLineChars="200"/>
        <w:rPr>
          <w:rFonts w:hint="eastAsia" w:ascii="宋体" w:hAnsi="宋体"/>
        </w:rPr>
      </w:pPr>
      <w:r>
        <w:rPr>
          <w:rFonts w:hint="eastAsia" w:ascii="宋体" w:hAnsi="宋体"/>
        </w:rPr>
        <w:t>3.3.1  在整个验收过程中发生关键零部件损坏或重大故障；</w:t>
      </w:r>
    </w:p>
    <w:p>
      <w:pPr>
        <w:adjustRightInd w:val="0"/>
        <w:snapToGrid w:val="0"/>
        <w:spacing w:line="460" w:lineRule="exact"/>
        <w:ind w:firstLine="420" w:firstLineChars="200"/>
        <w:rPr>
          <w:rFonts w:hint="eastAsia" w:ascii="宋体" w:hAnsi="宋体"/>
        </w:rPr>
      </w:pPr>
      <w:r>
        <w:rPr>
          <w:rFonts w:hint="eastAsia" w:ascii="宋体" w:hAnsi="宋体"/>
        </w:rPr>
        <w:t>3.3.2  一般性故障超过</w:t>
      </w:r>
      <w:r>
        <w:rPr>
          <w:rFonts w:hint="eastAsia" w:ascii="宋体" w:hAnsi="宋体"/>
          <w:u w:val="single"/>
          <w:shd w:val="pct10" w:color="auto" w:fill="FFFFFF"/>
        </w:rPr>
        <w:t xml:space="preserve">   3    </w:t>
      </w:r>
      <w:r>
        <w:rPr>
          <w:rFonts w:hint="eastAsia" w:ascii="宋体" w:hAnsi="宋体"/>
        </w:rPr>
        <w:t>次；</w:t>
      </w:r>
    </w:p>
    <w:p>
      <w:pPr>
        <w:adjustRightInd w:val="0"/>
        <w:snapToGrid w:val="0"/>
        <w:spacing w:line="460" w:lineRule="exact"/>
        <w:ind w:firstLine="420" w:firstLineChars="200"/>
        <w:rPr>
          <w:rFonts w:hint="eastAsia" w:ascii="宋体" w:hAnsi="宋体"/>
        </w:rPr>
      </w:pPr>
      <w:r>
        <w:rPr>
          <w:rFonts w:hint="eastAsia" w:ascii="宋体" w:hAnsi="宋体"/>
        </w:rPr>
        <w:t>3.3.3  所有出现的维修调整，每次时间均不超过</w:t>
      </w:r>
      <w:r>
        <w:rPr>
          <w:rFonts w:hint="eastAsia" w:ascii="宋体" w:hAnsi="宋体"/>
          <w:u w:val="single"/>
          <w:shd w:val="pct10" w:color="auto" w:fill="FFFFFF"/>
        </w:rPr>
        <w:t xml:space="preserve">   30    </w:t>
      </w:r>
      <w:r>
        <w:rPr>
          <w:rFonts w:hint="eastAsia" w:ascii="宋体" w:hAnsi="宋体"/>
        </w:rPr>
        <w:t>分钟；所有维修调整时间的总和不超过总运行时间的</w:t>
      </w:r>
      <w:r>
        <w:rPr>
          <w:rFonts w:hint="eastAsia" w:ascii="宋体" w:hAnsi="宋体"/>
          <w:u w:val="single"/>
          <w:shd w:val="pct10" w:color="auto" w:fill="FFFFFF"/>
        </w:rPr>
        <w:t xml:space="preserve">   2    </w:t>
      </w:r>
      <w:r>
        <w:rPr>
          <w:rFonts w:hint="eastAsia" w:ascii="宋体" w:hAnsi="宋体"/>
        </w:rPr>
        <w:t>%；</w:t>
      </w:r>
    </w:p>
    <w:p>
      <w:pPr>
        <w:adjustRightInd w:val="0"/>
        <w:snapToGrid w:val="0"/>
        <w:spacing w:line="460" w:lineRule="exact"/>
        <w:ind w:firstLine="420" w:firstLineChars="200"/>
        <w:rPr>
          <w:rFonts w:hint="eastAsia" w:ascii="宋体" w:hAnsi="宋体"/>
        </w:rPr>
      </w:pPr>
      <w:r>
        <w:rPr>
          <w:rFonts w:hint="eastAsia" w:ascii="宋体" w:hAnsi="宋体"/>
        </w:rPr>
        <w:t>3.3.4  更换的零部件货值不超过总货值的</w:t>
      </w:r>
      <w:r>
        <w:rPr>
          <w:rFonts w:hint="eastAsia" w:ascii="宋体" w:hAnsi="宋体"/>
          <w:u w:val="single"/>
          <w:shd w:val="pct10" w:color="auto" w:fill="FFFFFF"/>
        </w:rPr>
        <w:t xml:space="preserve">   2  </w:t>
      </w:r>
      <w:r>
        <w:rPr>
          <w:rFonts w:hint="eastAsia" w:ascii="宋体" w:hAnsi="宋体"/>
        </w:rPr>
        <w:t>%；</w:t>
      </w:r>
    </w:p>
    <w:p>
      <w:pPr>
        <w:adjustRightInd w:val="0"/>
        <w:snapToGrid w:val="0"/>
        <w:spacing w:line="460" w:lineRule="exact"/>
        <w:ind w:firstLine="420" w:firstLineChars="200"/>
        <w:rPr>
          <w:rFonts w:hint="eastAsia" w:ascii="宋体" w:hAnsi="宋体"/>
        </w:rPr>
      </w:pPr>
      <w:r>
        <w:rPr>
          <w:rFonts w:hint="eastAsia" w:ascii="宋体" w:hAnsi="宋体"/>
        </w:rPr>
        <w:t>3.4  累计负载运行实际性能达到合同规定；</w:t>
      </w:r>
    </w:p>
    <w:p>
      <w:pPr>
        <w:adjustRightInd w:val="0"/>
        <w:snapToGrid w:val="0"/>
        <w:spacing w:line="460" w:lineRule="exact"/>
        <w:ind w:firstLine="420" w:firstLineChars="200"/>
        <w:rPr>
          <w:rFonts w:hint="eastAsia" w:ascii="宋体" w:hAnsi="宋体"/>
        </w:rPr>
      </w:pPr>
      <w:r>
        <w:rPr>
          <w:rFonts w:hint="eastAsia" w:ascii="宋体" w:hAnsi="宋体"/>
        </w:rPr>
        <w:t>3.5  终验收内容包括以下内容：</w:t>
      </w:r>
    </w:p>
    <w:p>
      <w:pPr>
        <w:adjustRightInd w:val="0"/>
        <w:snapToGrid w:val="0"/>
        <w:spacing w:line="460" w:lineRule="exact"/>
        <w:ind w:firstLine="420" w:firstLineChars="200"/>
        <w:rPr>
          <w:rFonts w:hint="eastAsia" w:ascii="宋体" w:hAnsi="宋体"/>
        </w:rPr>
      </w:pPr>
      <w:r>
        <w:rPr>
          <w:rFonts w:hint="eastAsia" w:ascii="宋体" w:hAnsi="宋体"/>
        </w:rPr>
        <w:t>3.5.1终验收在招标方车间进行，验收内容包括但不限于设备资料、培训、设备配置、生产节拍、工期、重复定位精度。</w:t>
      </w:r>
    </w:p>
    <w:p>
      <w:pPr>
        <w:adjustRightInd w:val="0"/>
        <w:snapToGrid w:val="0"/>
        <w:spacing w:line="460" w:lineRule="exact"/>
        <w:ind w:firstLine="420" w:firstLineChars="200"/>
        <w:rPr>
          <w:rFonts w:hint="eastAsia" w:ascii="宋体" w:hAnsi="宋体"/>
        </w:rPr>
      </w:pPr>
      <w:r>
        <w:rPr>
          <w:rFonts w:hint="eastAsia" w:ascii="宋体" w:hAnsi="宋体"/>
        </w:rPr>
        <w:t>3.5.2 投标方在终验收时需提交一份预验收时发现的缺陷和设备故障确认完成整改的汇总表，列入终验收报告。</w:t>
      </w:r>
    </w:p>
    <w:p>
      <w:pPr>
        <w:tabs>
          <w:tab w:val="left" w:pos="1260"/>
        </w:tabs>
        <w:adjustRightInd w:val="0"/>
        <w:snapToGrid w:val="0"/>
        <w:spacing w:line="460" w:lineRule="exact"/>
        <w:ind w:firstLine="420" w:firstLineChars="200"/>
        <w:rPr>
          <w:rFonts w:hint="eastAsia" w:ascii="宋体" w:hAnsi="宋体"/>
        </w:rPr>
      </w:pPr>
      <w:r>
        <w:rPr>
          <w:rFonts w:hint="eastAsia" w:ascii="宋体" w:hAnsi="宋体"/>
        </w:rPr>
        <w:t>3.5.3存在影响节拍、装配质量、安全的缺陷，投标方应及时整改，整改合格后验收和移交。当由于招标方原因影响终验收进度时，则移交日期相应顺延。</w:t>
      </w:r>
    </w:p>
    <w:p>
      <w:pPr>
        <w:adjustRightInd w:val="0"/>
        <w:snapToGrid w:val="0"/>
        <w:spacing w:line="460" w:lineRule="exact"/>
        <w:ind w:firstLine="420" w:firstLineChars="200"/>
        <w:rPr>
          <w:rFonts w:ascii="宋体" w:hAnsi="宋体"/>
        </w:rPr>
      </w:pPr>
      <w:r>
        <w:rPr>
          <w:rFonts w:hint="eastAsia" w:ascii="宋体" w:hAnsi="宋体"/>
        </w:rPr>
        <w:t>3.6  终验收原则上要求一次完成。若一次验收不成功，最多允许两次；如果出现第三次验收失败，重新作价或退货；</w:t>
      </w:r>
    </w:p>
    <w:p>
      <w:pPr>
        <w:adjustRightInd w:val="0"/>
        <w:snapToGrid w:val="0"/>
        <w:spacing w:line="460" w:lineRule="exact"/>
        <w:ind w:firstLine="420" w:firstLineChars="200"/>
        <w:rPr>
          <w:rFonts w:ascii="宋体" w:hAnsi="宋体"/>
        </w:rPr>
      </w:pPr>
      <w:r>
        <w:rPr>
          <w:rFonts w:hint="eastAsia" w:ascii="宋体" w:hAnsi="宋体"/>
        </w:rPr>
        <w:t>3.7  终验收通过后买卖双方共同签署终验收报告，并移交、核对全部供货范围内物品。</w:t>
      </w:r>
    </w:p>
    <w:p>
      <w:pPr>
        <w:spacing w:line="480" w:lineRule="exact"/>
        <w:ind w:firstLine="420" w:firstLineChars="200"/>
        <w:rPr>
          <w:rFonts w:hint="eastAsia" w:ascii="宋体" w:hAnsi="宋体"/>
        </w:rPr>
      </w:pPr>
    </w:p>
    <w:p>
      <w:pPr>
        <w:pStyle w:val="2"/>
        <w:spacing w:before="120" w:after="120" w:line="480" w:lineRule="exact"/>
        <w:jc w:val="center"/>
        <w:rPr>
          <w:rFonts w:hint="eastAsia" w:ascii="黑体" w:eastAsia="黑体"/>
          <w:b w:val="0"/>
          <w:sz w:val="24"/>
          <w:szCs w:val="24"/>
        </w:rPr>
      </w:pPr>
      <w:r>
        <w:rPr>
          <w:rFonts w:ascii="宋体" w:hAnsi="宋体"/>
        </w:rPr>
        <w:br w:type="page"/>
      </w:r>
      <w:bookmarkStart w:id="78" w:name="_Toc25335"/>
      <w:bookmarkStart w:id="79" w:name="_Toc22000"/>
      <w:bookmarkStart w:id="80" w:name="_Toc12996"/>
      <w:bookmarkStart w:id="81" w:name="_Toc137705874"/>
      <w:bookmarkStart w:id="82" w:name="_Toc28978"/>
      <w:r>
        <w:rPr>
          <w:rFonts w:hint="eastAsia" w:ascii="黑体" w:eastAsia="黑体"/>
          <w:b w:val="0"/>
          <w:sz w:val="24"/>
          <w:szCs w:val="24"/>
        </w:rPr>
        <w:t>第六章  投标技术文件一般要求</w:t>
      </w:r>
      <w:bookmarkEnd w:id="78"/>
      <w:bookmarkEnd w:id="79"/>
      <w:bookmarkEnd w:id="80"/>
      <w:bookmarkEnd w:id="81"/>
      <w:bookmarkEnd w:id="82"/>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一、技术文件一般内容要求</w:t>
      </w:r>
    </w:p>
    <w:p>
      <w:pPr>
        <w:adjustRightInd w:val="0"/>
        <w:snapToGrid w:val="0"/>
        <w:spacing w:line="460" w:lineRule="exact"/>
        <w:ind w:firstLine="420" w:firstLineChars="200"/>
        <w:rPr>
          <w:rFonts w:hint="eastAsia" w:ascii="宋体" w:hAnsi="宋体"/>
        </w:rPr>
      </w:pPr>
      <w:r>
        <w:rPr>
          <w:rFonts w:hint="eastAsia" w:ascii="宋体" w:hAnsi="宋体"/>
        </w:rPr>
        <w:t>1、投标方应认真阅读招标文件和本技术标书，并按要求编写投标技术文件。</w:t>
      </w:r>
    </w:p>
    <w:p>
      <w:pPr>
        <w:adjustRightInd w:val="0"/>
        <w:snapToGrid w:val="0"/>
        <w:spacing w:line="460" w:lineRule="exact"/>
        <w:ind w:firstLine="420" w:firstLineChars="200"/>
        <w:rPr>
          <w:rFonts w:hint="eastAsia" w:ascii="宋体" w:hAnsi="宋体"/>
        </w:rPr>
      </w:pPr>
      <w:r>
        <w:rPr>
          <w:rFonts w:hint="eastAsia" w:ascii="宋体" w:hAnsi="宋体"/>
        </w:rPr>
        <w:t>2、投标技术文件至少应对投标设备的功能用途、技术性能、质量标准、技术参数等作出详细说明。</w:t>
      </w:r>
    </w:p>
    <w:p>
      <w:pPr>
        <w:adjustRightInd w:val="0"/>
        <w:snapToGrid w:val="0"/>
        <w:spacing w:line="460" w:lineRule="exact"/>
        <w:ind w:firstLine="420" w:firstLineChars="200"/>
        <w:rPr>
          <w:rFonts w:hint="eastAsia" w:ascii="宋体" w:hAnsi="宋体"/>
        </w:rPr>
      </w:pPr>
      <w:r>
        <w:rPr>
          <w:rFonts w:hint="eastAsia" w:ascii="宋体" w:hAnsi="宋体"/>
        </w:rPr>
        <w:t>3、投标技术文件至少应根据投标设备的关键设备、总成、零部件或系统作出优越性说明。</w:t>
      </w:r>
    </w:p>
    <w:p>
      <w:pPr>
        <w:spacing w:line="480" w:lineRule="exact"/>
        <w:ind w:firstLine="420" w:firstLineChars="200"/>
        <w:rPr>
          <w:rFonts w:hint="eastAsia" w:ascii="宋体" w:hAnsi="宋体"/>
        </w:rPr>
      </w:pPr>
      <w:r>
        <w:rPr>
          <w:rFonts w:hint="eastAsia" w:ascii="宋体" w:hAnsi="宋体"/>
        </w:rPr>
        <w:t>4、投标技术文件至少应按照招标文件要求（或投标方建议）列明备品备件、易损件和专用耗材明细。</w:t>
      </w:r>
    </w:p>
    <w:p>
      <w:pPr>
        <w:spacing w:line="480" w:lineRule="exact"/>
        <w:ind w:firstLine="420" w:firstLineChars="200"/>
        <w:rPr>
          <w:rFonts w:hint="eastAsia" w:ascii="宋体" w:hAnsi="宋体"/>
        </w:rPr>
      </w:pPr>
      <w:r>
        <w:rPr>
          <w:rFonts w:hint="eastAsia" w:ascii="宋体" w:hAnsi="宋体"/>
        </w:rPr>
        <w:t>5、投标方应当而且必须分别说明所列备品备件、易损件和专用耗材的使用寿命（以有效工作小时数说明）。</w:t>
      </w:r>
    </w:p>
    <w:p>
      <w:pPr>
        <w:adjustRightInd w:val="0"/>
        <w:snapToGrid w:val="0"/>
        <w:spacing w:line="460" w:lineRule="exact"/>
        <w:ind w:firstLine="420" w:firstLineChars="200"/>
        <w:rPr>
          <w:rFonts w:hint="eastAsia" w:ascii="宋体" w:hAnsi="宋体"/>
        </w:rPr>
      </w:pPr>
      <w:r>
        <w:rPr>
          <w:rFonts w:hint="eastAsia" w:ascii="宋体" w:hAnsi="宋体"/>
        </w:rPr>
        <w:t>6、投标的设备，应当根据其配置和备品备件、易损件、专用耗材情况，尽可能详细且分类填入下表：</w:t>
      </w:r>
    </w:p>
    <w:p>
      <w:pPr>
        <w:adjustRightInd w:val="0"/>
        <w:snapToGrid w:val="0"/>
        <w:spacing w:line="460" w:lineRule="exact"/>
        <w:ind w:firstLine="420" w:firstLineChars="200"/>
        <w:rPr>
          <w:rFonts w:hint="eastAsia" w:ascii="宋体" w:hAnsi="宋体"/>
        </w:rPr>
      </w:pPr>
      <w:r>
        <w:rPr>
          <w:rFonts w:hint="eastAsia" w:ascii="宋体" w:hAnsi="宋体"/>
        </w:rPr>
        <w:t>6.1  投标设备配置一览表：</w:t>
      </w:r>
    </w:p>
    <w:p>
      <w:pPr>
        <w:adjustRightInd w:val="0"/>
        <w:snapToGrid w:val="0"/>
        <w:spacing w:line="460" w:lineRule="exact"/>
        <w:ind w:firstLine="1890" w:firstLineChars="900"/>
        <w:rPr>
          <w:rFonts w:hint="eastAsia" w:ascii="宋体" w:hAnsi="宋体"/>
        </w:rPr>
      </w:pPr>
      <w:r>
        <w:rPr>
          <w:rFonts w:hint="eastAsia" w:ascii="宋体" w:hAnsi="宋体"/>
        </w:rPr>
        <w:t xml:space="preserve">投标货物配置一览表          </w:t>
      </w:r>
      <w:r>
        <w:rPr>
          <w:rFonts w:hint="eastAsia" w:ascii="宋体" w:hAnsi="宋体"/>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序号</w:t>
            </w:r>
          </w:p>
        </w:tc>
        <w:tc>
          <w:tcPr>
            <w:tcW w:w="1924"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名称</w:t>
            </w:r>
          </w:p>
        </w:tc>
        <w:tc>
          <w:tcPr>
            <w:tcW w:w="123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型号规格</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单位</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数量</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单价</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总价</w:t>
            </w:r>
          </w:p>
        </w:tc>
        <w:tc>
          <w:tcPr>
            <w:tcW w:w="2235"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bl>
    <w:p>
      <w:pPr>
        <w:adjustRightInd w:val="0"/>
        <w:snapToGrid w:val="0"/>
        <w:spacing w:line="460" w:lineRule="exact"/>
        <w:ind w:firstLine="420" w:firstLineChars="200"/>
        <w:rPr>
          <w:rFonts w:hint="eastAsia" w:ascii="宋体" w:hAnsi="宋体"/>
        </w:rPr>
      </w:pPr>
      <w:r>
        <w:rPr>
          <w:rFonts w:hint="eastAsia" w:ascii="宋体" w:hAnsi="宋体"/>
        </w:rPr>
        <w:t>6.2  备品备件、易损件和专用耗材明细表：</w:t>
      </w:r>
    </w:p>
    <w:p>
      <w:pPr>
        <w:adjustRightInd w:val="0"/>
        <w:snapToGrid w:val="0"/>
        <w:spacing w:line="460" w:lineRule="exact"/>
        <w:ind w:firstLine="1890" w:firstLineChars="900"/>
        <w:rPr>
          <w:rFonts w:hint="eastAsia" w:ascii="宋体" w:hAnsi="宋体"/>
        </w:rPr>
      </w:pPr>
      <w:r>
        <w:rPr>
          <w:rFonts w:hint="eastAsia" w:ascii="宋体" w:hAnsi="宋体"/>
        </w:rPr>
        <w:t xml:space="preserve">备品备件、易损件和专用耗材明细表             </w:t>
      </w:r>
      <w:r>
        <w:rPr>
          <w:rFonts w:hint="eastAsia" w:ascii="宋体" w:hAnsi="宋体"/>
          <w:sz w:val="21"/>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序号</w:t>
            </w:r>
          </w:p>
        </w:tc>
        <w:tc>
          <w:tcPr>
            <w:tcW w:w="1924"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名称</w:t>
            </w:r>
          </w:p>
        </w:tc>
        <w:tc>
          <w:tcPr>
            <w:tcW w:w="1236"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型号规格</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单位</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数量</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单价</w:t>
            </w:r>
          </w:p>
        </w:tc>
        <w:tc>
          <w:tcPr>
            <w:tcW w:w="720"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总价</w:t>
            </w:r>
          </w:p>
        </w:tc>
        <w:tc>
          <w:tcPr>
            <w:tcW w:w="2235" w:type="dxa"/>
            <w:noWrap w:val="0"/>
            <w:vAlign w:val="top"/>
          </w:tcPr>
          <w:p>
            <w:pPr>
              <w:adjustRightInd w:val="0"/>
              <w:snapToGrid w:val="0"/>
              <w:spacing w:line="360" w:lineRule="exact"/>
              <w:jc w:val="center"/>
              <w:rPr>
                <w:rFonts w:hint="eastAsia" w:ascii="宋体" w:hAnsi="宋体"/>
                <w:sz w:val="21"/>
              </w:rPr>
            </w:pPr>
            <w:r>
              <w:rPr>
                <w:rFonts w:hint="eastAsia" w:ascii="宋体" w:hAnsi="宋体"/>
                <w:sz w:val="21"/>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pPr>
              <w:adjustRightInd w:val="0"/>
              <w:snapToGrid w:val="0"/>
              <w:spacing w:line="360" w:lineRule="exact"/>
              <w:jc w:val="center"/>
              <w:rPr>
                <w:rFonts w:hint="eastAsia" w:ascii="宋体" w:hAnsi="宋体"/>
                <w:sz w:val="21"/>
              </w:rPr>
            </w:pPr>
          </w:p>
        </w:tc>
        <w:tc>
          <w:tcPr>
            <w:tcW w:w="1924" w:type="dxa"/>
            <w:noWrap w:val="0"/>
            <w:vAlign w:val="top"/>
          </w:tcPr>
          <w:p>
            <w:pPr>
              <w:adjustRightInd w:val="0"/>
              <w:snapToGrid w:val="0"/>
              <w:spacing w:line="360" w:lineRule="exact"/>
              <w:rPr>
                <w:rFonts w:hint="eastAsia" w:ascii="宋体" w:hAnsi="宋体"/>
                <w:sz w:val="21"/>
              </w:rPr>
            </w:pPr>
          </w:p>
        </w:tc>
        <w:tc>
          <w:tcPr>
            <w:tcW w:w="1236" w:type="dxa"/>
            <w:noWrap w:val="0"/>
            <w:vAlign w:val="top"/>
          </w:tcPr>
          <w:p>
            <w:pPr>
              <w:adjustRightInd w:val="0"/>
              <w:snapToGrid w:val="0"/>
              <w:spacing w:line="360" w:lineRule="exact"/>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720" w:type="dxa"/>
            <w:noWrap w:val="0"/>
            <w:vAlign w:val="top"/>
          </w:tcPr>
          <w:p>
            <w:pPr>
              <w:adjustRightInd w:val="0"/>
              <w:snapToGrid w:val="0"/>
              <w:spacing w:line="360" w:lineRule="exact"/>
              <w:jc w:val="center"/>
              <w:rPr>
                <w:rFonts w:hint="eastAsia" w:ascii="宋体" w:hAnsi="宋体"/>
                <w:sz w:val="21"/>
              </w:rPr>
            </w:pPr>
          </w:p>
        </w:tc>
        <w:tc>
          <w:tcPr>
            <w:tcW w:w="2235" w:type="dxa"/>
            <w:noWrap w:val="0"/>
            <w:vAlign w:val="top"/>
          </w:tcPr>
          <w:p>
            <w:pPr>
              <w:adjustRightInd w:val="0"/>
              <w:snapToGrid w:val="0"/>
              <w:spacing w:line="360" w:lineRule="exact"/>
              <w:rPr>
                <w:rFonts w:hint="eastAsia" w:ascii="宋体" w:hAnsi="宋体"/>
                <w:sz w:val="21"/>
              </w:rPr>
            </w:pPr>
          </w:p>
        </w:tc>
      </w:tr>
    </w:tbl>
    <w:p>
      <w:pPr>
        <w:adjustRightInd w:val="0"/>
        <w:snapToGrid w:val="0"/>
        <w:spacing w:line="360" w:lineRule="exact"/>
        <w:ind w:firstLine="420" w:firstLineChars="200"/>
        <w:rPr>
          <w:rFonts w:hint="eastAsia" w:ascii="宋体" w:hAnsi="宋体"/>
          <w:sz w:val="21"/>
        </w:rPr>
      </w:pPr>
    </w:p>
    <w:p>
      <w:pPr>
        <w:spacing w:line="480" w:lineRule="exact"/>
        <w:ind w:firstLine="420" w:firstLineChars="200"/>
        <w:rPr>
          <w:rFonts w:hint="eastAsia" w:ascii="宋体" w:hAnsi="宋体"/>
        </w:rPr>
      </w:pPr>
      <w:r>
        <w:rPr>
          <w:rFonts w:hint="eastAsia" w:ascii="宋体" w:hAnsi="宋体"/>
        </w:rPr>
        <w:t>6.3  “一览表”和“明细表”仅作为投标方编制投标技术文件的一般格式。其中序号编写应当便于招标方了解分类或分项货物之间的所属关系，如1、1.1、1.2。</w:t>
      </w:r>
    </w:p>
    <w:p>
      <w:pPr>
        <w:spacing w:line="480" w:lineRule="exact"/>
        <w:ind w:firstLine="420" w:firstLineChars="200"/>
        <w:rPr>
          <w:rFonts w:hint="eastAsia" w:ascii="宋体" w:hAnsi="宋体"/>
        </w:rPr>
      </w:pPr>
      <w:r>
        <w:rPr>
          <w:rFonts w:hint="eastAsia" w:ascii="宋体" w:hAnsi="宋体"/>
        </w:rPr>
        <w:t>6.4  应当尽可能将设备的配置列全、列细，这将有助于投标方胜出。</w:t>
      </w:r>
    </w:p>
    <w:p>
      <w:pPr>
        <w:spacing w:line="480" w:lineRule="exact"/>
        <w:ind w:firstLine="420" w:firstLineChars="200"/>
        <w:rPr>
          <w:rFonts w:hint="eastAsia" w:ascii="宋体" w:hAnsi="宋体"/>
        </w:rPr>
      </w:pPr>
      <w:r>
        <w:rPr>
          <w:rFonts w:hint="eastAsia" w:ascii="宋体" w:hAnsi="宋体"/>
        </w:rPr>
        <w:t>6.5  单价与总价之间、总价与分类小计价之间、分类小计价与合计价之间数据应当齐全而且准确。</w:t>
      </w:r>
    </w:p>
    <w:p>
      <w:pPr>
        <w:spacing w:line="480" w:lineRule="exact"/>
        <w:ind w:firstLine="420" w:firstLineChars="200"/>
        <w:rPr>
          <w:rFonts w:hint="eastAsia" w:ascii="宋体" w:hAnsi="宋体"/>
        </w:rPr>
      </w:pPr>
      <w:r>
        <w:rPr>
          <w:rFonts w:hint="eastAsia" w:ascii="宋体" w:hAnsi="宋体"/>
        </w:rPr>
        <w:t>6.6  本条款表格中的制造商，应当为全称或公认的简称。</w:t>
      </w:r>
    </w:p>
    <w:p>
      <w:pPr>
        <w:spacing w:line="480" w:lineRule="exact"/>
        <w:ind w:firstLine="420" w:firstLineChars="200"/>
        <w:rPr>
          <w:rFonts w:hint="eastAsia" w:ascii="黑体" w:hAnsi="宋体" w:eastAsia="黑体"/>
        </w:rPr>
      </w:pPr>
      <w:r>
        <w:rPr>
          <w:rFonts w:hint="eastAsia" w:ascii="黑体" w:hAnsi="宋体" w:eastAsia="黑体"/>
        </w:rPr>
        <w:t>二、技术文件中设备报价格式要求</w:t>
      </w:r>
    </w:p>
    <w:p>
      <w:pPr>
        <w:spacing w:line="480" w:lineRule="exact"/>
        <w:ind w:firstLine="420" w:firstLineChars="200"/>
        <w:rPr>
          <w:rFonts w:hint="eastAsia" w:ascii="宋体" w:hAnsi="宋体"/>
        </w:rPr>
      </w:pPr>
      <w:r>
        <w:rPr>
          <w:rFonts w:hint="eastAsia" w:ascii="宋体" w:hAnsi="宋体"/>
        </w:rPr>
        <w:t>1、设备配置一览表合计价以及备品备件、易损件和专用耗材明细表合计价应当在投标总报价内对应重现而且应当数据准确。其中，质保期之内需要的备品备件、易损件和专用耗材，需要在配置一览表内单独分类列出并计入设备配置一览表合计价。</w:t>
      </w:r>
    </w:p>
    <w:p>
      <w:pPr>
        <w:spacing w:line="480" w:lineRule="exact"/>
        <w:ind w:firstLine="420" w:firstLineChars="200"/>
        <w:rPr>
          <w:rFonts w:hint="eastAsia" w:ascii="宋体" w:hAnsi="宋体"/>
        </w:rPr>
      </w:pPr>
      <w:r>
        <w:rPr>
          <w:rFonts w:hint="eastAsia" w:ascii="宋体" w:hAnsi="宋体"/>
        </w:rPr>
        <w:t>2、投标技术文件中，如未按照要求编写</w:t>
      </w:r>
      <w:r>
        <w:rPr>
          <w:rFonts w:hint="eastAsia" w:ascii="宋体" w:hAnsi="宋体"/>
          <w:lang w:eastAsia="zh-CN"/>
        </w:rPr>
        <w:t>，或者</w:t>
      </w:r>
      <w:r>
        <w:rPr>
          <w:rFonts w:hint="eastAsia" w:ascii="宋体" w:hAnsi="宋体"/>
        </w:rPr>
        <w:t>存在漏项和缺项，将有可能造成对投标方不必要的误解；必要时，漏项和缺项涉及的费用，将有可能以</w:t>
      </w:r>
      <w:r>
        <w:rPr>
          <w:rFonts w:hint="eastAsia" w:ascii="宋体" w:hAnsi="宋体"/>
          <w:lang w:eastAsia="zh-CN"/>
        </w:rPr>
        <w:t>其他</w:t>
      </w:r>
      <w:r>
        <w:rPr>
          <w:rFonts w:hint="eastAsia" w:ascii="宋体" w:hAnsi="宋体"/>
        </w:rPr>
        <w:t>投标方中，相同或相似项目的最高价，计入投标方的投标总报价之内，作为评标的依据之一。</w:t>
      </w:r>
    </w:p>
    <w:p>
      <w:pPr>
        <w:spacing w:line="480" w:lineRule="exact"/>
        <w:ind w:firstLine="420" w:firstLineChars="200"/>
        <w:rPr>
          <w:rFonts w:hint="eastAsia" w:ascii="宋体" w:hAnsi="宋体"/>
        </w:rPr>
      </w:pPr>
      <w:r>
        <w:rPr>
          <w:rFonts w:hint="eastAsia" w:ascii="宋体" w:hAnsi="宋体"/>
        </w:rPr>
        <w:t>3、如果投标总报价与</w:t>
      </w:r>
      <w:r>
        <w:rPr>
          <w:rFonts w:hint="eastAsia" w:ascii="宋体" w:hAnsi="宋体"/>
          <w:lang w:eastAsia="zh-CN"/>
        </w:rPr>
        <w:t>其他</w:t>
      </w:r>
      <w:r>
        <w:rPr>
          <w:rFonts w:hint="eastAsia" w:ascii="宋体" w:hAnsi="宋体"/>
        </w:rPr>
        <w:t>价格出现错误或不一致，将有可能导致废标。</w:t>
      </w:r>
    </w:p>
    <w:p>
      <w:pPr>
        <w:spacing w:line="480" w:lineRule="exact"/>
        <w:ind w:firstLine="420" w:firstLineChars="200"/>
        <w:rPr>
          <w:rFonts w:hint="eastAsia" w:ascii="宋体" w:hAnsi="宋体"/>
        </w:rPr>
      </w:pPr>
      <w:r>
        <w:rPr>
          <w:rFonts w:hint="eastAsia" w:ascii="宋体" w:hAnsi="宋体"/>
        </w:rPr>
        <w:t>4、投标总报价为自合</w:t>
      </w:r>
      <w:r>
        <w:rPr>
          <w:rFonts w:hint="eastAsia" w:ascii="宋体" w:hAnsi="宋体"/>
          <w:highlight w:val="none"/>
        </w:rPr>
        <w:t>同签</w:t>
      </w:r>
      <w:r>
        <w:rPr>
          <w:rFonts w:hint="eastAsia" w:ascii="宋体" w:hAnsi="宋体"/>
          <w:highlight w:val="none"/>
          <w:lang w:val="en-US" w:eastAsia="zh-CN"/>
        </w:rPr>
        <w:t>订</w:t>
      </w:r>
      <w:r>
        <w:rPr>
          <w:rFonts w:hint="eastAsia" w:ascii="宋体" w:hAnsi="宋体"/>
          <w:highlight w:val="none"/>
        </w:rPr>
        <w:t>生效至合同无异议执行完毕涉及的招标方需要支付的全部费用。如投标方认为本</w:t>
      </w:r>
      <w:r>
        <w:rPr>
          <w:rFonts w:hint="eastAsia" w:ascii="宋体" w:hAnsi="宋体"/>
          <w:highlight w:val="none"/>
          <w:lang w:val="en-US" w:eastAsia="zh-CN"/>
        </w:rPr>
        <w:t>次</w:t>
      </w:r>
      <w:r>
        <w:rPr>
          <w:rFonts w:hint="eastAsia" w:ascii="宋体" w:hAnsi="宋体"/>
          <w:highlight w:val="none"/>
        </w:rPr>
        <w:t>招标及</w:t>
      </w:r>
      <w:r>
        <w:rPr>
          <w:rFonts w:hint="eastAsia" w:ascii="宋体" w:hAnsi="宋体"/>
        </w:rPr>
        <w:t>投标设备涉及专门的设计，应当列明设计费。</w:t>
      </w:r>
    </w:p>
    <w:p>
      <w:pPr>
        <w:spacing w:line="480" w:lineRule="exact"/>
        <w:ind w:firstLine="420" w:firstLineChars="200"/>
        <w:rPr>
          <w:rFonts w:hint="eastAsia" w:ascii="宋体" w:hAnsi="宋体"/>
        </w:rPr>
      </w:pPr>
      <w:r>
        <w:rPr>
          <w:rFonts w:hint="eastAsia" w:ascii="宋体" w:hAnsi="宋体"/>
        </w:rPr>
        <w:t>5、备品备件、易损件和专用耗材，招标方将可能与投标方按照投标价格另行签署供货合同。</w:t>
      </w:r>
    </w:p>
    <w:p>
      <w:pPr>
        <w:spacing w:line="480" w:lineRule="exact"/>
        <w:ind w:firstLine="420" w:firstLineChars="200"/>
        <w:rPr>
          <w:rFonts w:hint="eastAsia" w:ascii="宋体" w:hAnsi="宋体"/>
        </w:rPr>
      </w:pPr>
      <w:r>
        <w:rPr>
          <w:rFonts w:hint="eastAsia" w:ascii="宋体" w:hAnsi="宋体"/>
        </w:rPr>
        <w:t>6、要求投标总报价、分项报价、明细报价之间应当具有相互间对应关系以及填报分项和明细报价，仅为便于评标而不妨碍投标人以最合适的形式签署合同。</w:t>
      </w:r>
    </w:p>
    <w:p>
      <w:pPr>
        <w:adjustRightInd w:val="0"/>
        <w:snapToGrid w:val="0"/>
        <w:spacing w:line="460" w:lineRule="exact"/>
        <w:ind w:firstLine="420" w:firstLineChars="200"/>
        <w:rPr>
          <w:rFonts w:hint="eastAsia" w:ascii="黑体" w:hAnsi="宋体" w:eastAsia="黑体"/>
        </w:rPr>
      </w:pPr>
      <w:r>
        <w:rPr>
          <w:rFonts w:hint="eastAsia" w:ascii="黑体" w:hAnsi="宋体" w:eastAsia="黑体"/>
        </w:rPr>
        <w:t>三、验收标准及内容要求</w:t>
      </w:r>
    </w:p>
    <w:p>
      <w:pPr>
        <w:adjustRightInd w:val="0"/>
        <w:snapToGrid w:val="0"/>
        <w:spacing w:line="460" w:lineRule="exact"/>
        <w:ind w:firstLine="420" w:firstLineChars="200"/>
        <w:rPr>
          <w:rFonts w:hint="eastAsia" w:ascii="宋体" w:hAnsi="宋体"/>
        </w:rPr>
      </w:pPr>
      <w:r>
        <w:rPr>
          <w:rFonts w:hint="eastAsia" w:ascii="宋体" w:hAnsi="宋体"/>
        </w:rPr>
        <w:t>除招标文件明确的验收标准或内容之外，投标方应当在投标文件中提供预验收（必要时）和终验收的标准以及规程；在</w:t>
      </w:r>
      <w:r>
        <w:rPr>
          <w:rFonts w:hint="eastAsia" w:ascii="宋体" w:hAnsi="宋体"/>
          <w:highlight w:val="none"/>
        </w:rPr>
        <w:t>合同签</w:t>
      </w:r>
      <w:r>
        <w:rPr>
          <w:rFonts w:hint="eastAsia" w:ascii="宋体" w:hAnsi="宋体"/>
          <w:highlight w:val="none"/>
          <w:lang w:val="en-US" w:eastAsia="zh-CN"/>
        </w:rPr>
        <w:t>订</w:t>
      </w:r>
      <w:r>
        <w:rPr>
          <w:rFonts w:hint="eastAsia" w:ascii="宋体" w:hAnsi="宋体"/>
          <w:highlight w:val="none"/>
        </w:rPr>
        <w:t>之</w:t>
      </w:r>
      <w:r>
        <w:rPr>
          <w:rFonts w:hint="eastAsia" w:ascii="宋体" w:hAnsi="宋体"/>
        </w:rPr>
        <w:t>前，经投标方和招标方双方洽谈确认并签署，以作为验收标准执行。</w:t>
      </w:r>
    </w:p>
    <w:p>
      <w:pPr>
        <w:pStyle w:val="2"/>
        <w:spacing w:before="120" w:after="120" w:line="480" w:lineRule="exact"/>
        <w:jc w:val="center"/>
        <w:rPr>
          <w:rFonts w:hint="eastAsia" w:ascii="黑体" w:eastAsia="黑体"/>
          <w:b w:val="0"/>
          <w:sz w:val="24"/>
          <w:szCs w:val="24"/>
        </w:rPr>
      </w:pPr>
      <w:r>
        <w:rPr>
          <w:rFonts w:ascii="宋体" w:hAnsi="宋体"/>
        </w:rPr>
        <w:br w:type="page"/>
      </w:r>
      <w:bookmarkStart w:id="83" w:name="_Toc31849"/>
      <w:bookmarkStart w:id="84" w:name="_Toc137705875"/>
      <w:bookmarkStart w:id="85" w:name="_Toc15099"/>
      <w:bookmarkStart w:id="86" w:name="_Toc6037"/>
      <w:bookmarkStart w:id="87" w:name="_Toc5388"/>
      <w:r>
        <w:rPr>
          <w:rFonts w:hint="eastAsia" w:ascii="黑体" w:eastAsia="黑体"/>
          <w:b w:val="0"/>
          <w:sz w:val="24"/>
          <w:szCs w:val="24"/>
        </w:rPr>
        <w:t>第七章  其它要求及说明</w:t>
      </w:r>
      <w:bookmarkEnd w:id="83"/>
      <w:bookmarkEnd w:id="84"/>
      <w:bookmarkEnd w:id="85"/>
      <w:bookmarkEnd w:id="86"/>
      <w:bookmarkEnd w:id="87"/>
    </w:p>
    <w:p>
      <w:pPr>
        <w:spacing w:line="480" w:lineRule="exact"/>
        <w:ind w:firstLine="420" w:firstLineChars="200"/>
        <w:rPr>
          <w:rFonts w:hint="eastAsia" w:ascii="黑体" w:hAnsi="宋体" w:eastAsia="黑体"/>
        </w:rPr>
      </w:pPr>
      <w:r>
        <w:rPr>
          <w:rFonts w:hint="eastAsia" w:ascii="黑体" w:hAnsi="宋体" w:eastAsia="黑体"/>
        </w:rPr>
        <w:t>一、要求</w:t>
      </w:r>
    </w:p>
    <w:p>
      <w:pPr>
        <w:pStyle w:val="20"/>
        <w:rPr>
          <w:rFonts w:hint="eastAsia"/>
        </w:rPr>
      </w:pPr>
      <w:r>
        <w:rPr>
          <w:rFonts w:hint="eastAsia"/>
        </w:rPr>
        <w:t>为保证本技术标书所列采购设备的质量以及先进性、可靠性、经济性和实用性，要求投标方在投标文件中，至少应具备以下资格证明文件或资料：</w:t>
      </w:r>
    </w:p>
    <w:p>
      <w:pPr>
        <w:spacing w:line="520" w:lineRule="exact"/>
        <w:ind w:firstLine="417" w:firstLineChars="199"/>
        <w:rPr>
          <w:rFonts w:hint="eastAsia" w:ascii="宋体" w:hAnsi="宋体"/>
        </w:rPr>
      </w:pPr>
      <w:r>
        <w:rPr>
          <w:rFonts w:hint="eastAsia" w:ascii="宋体" w:hAnsi="宋体"/>
        </w:rPr>
        <w:t>1、投标方应是独立法人或得到法人授权的机构。应当在投标文件中提供法人营业执照（复印件）、税务登记证以及组织机构代码证（国外供应商参考该要求提供有效证明文件），并保证其真实性和有效性。</w:t>
      </w:r>
    </w:p>
    <w:p>
      <w:pPr>
        <w:spacing w:line="520" w:lineRule="exact"/>
        <w:ind w:firstLine="417" w:firstLineChars="199"/>
        <w:rPr>
          <w:rFonts w:hint="eastAsia"/>
        </w:rPr>
      </w:pPr>
      <w:r>
        <w:rPr>
          <w:rFonts w:hint="eastAsia" w:ascii="宋体" w:hAnsi="宋体"/>
        </w:rPr>
        <w:t>2、投标方应当是通过有关资格认证的法人。应当在投标文件中提供有效期内的资格认证证</w:t>
      </w:r>
      <w:r>
        <w:rPr>
          <w:rFonts w:hint="eastAsia"/>
        </w:rPr>
        <w:t>书，如：ISO9001、VDA6.1、QS9000等。</w:t>
      </w:r>
    </w:p>
    <w:p>
      <w:pPr>
        <w:spacing w:line="520" w:lineRule="exact"/>
        <w:ind w:firstLine="417" w:firstLineChars="199"/>
        <w:rPr>
          <w:rFonts w:hint="eastAsia" w:ascii="宋体" w:hAnsi="宋体"/>
        </w:rPr>
      </w:pPr>
      <w:r>
        <w:rPr>
          <w:rFonts w:hint="eastAsia" w:ascii="宋体" w:hAnsi="宋体"/>
        </w:rPr>
        <w:t>3、国产设备应附有采购设备涉及的由“中国质量认证中心”颁发的《中国国家强制性产品认证证书》（CCC证书）。</w:t>
      </w:r>
    </w:p>
    <w:p>
      <w:pPr>
        <w:spacing w:line="520" w:lineRule="exact"/>
        <w:ind w:firstLine="417" w:firstLineChars="199"/>
        <w:rPr>
          <w:rFonts w:hint="eastAsia" w:ascii="宋体" w:hAnsi="宋体"/>
        </w:rPr>
      </w:pPr>
      <w:r>
        <w:rPr>
          <w:rFonts w:hint="eastAsia" w:ascii="宋体" w:hAnsi="宋体"/>
        </w:rPr>
        <w:t>4、应附有</w:t>
      </w:r>
      <w:r>
        <w:rPr>
          <w:rFonts w:hint="eastAsia" w:ascii="宋体" w:hAnsi="宋体"/>
          <w:lang w:eastAsia="zh-CN"/>
        </w:rPr>
        <w:t>其他</w:t>
      </w:r>
      <w:r>
        <w:rPr>
          <w:rFonts w:hint="eastAsia" w:ascii="宋体" w:hAnsi="宋体"/>
        </w:rPr>
        <w:t>与投标单位、采购货物有关的荣誉证书或资料。</w:t>
      </w:r>
    </w:p>
    <w:p>
      <w:pPr>
        <w:spacing w:line="520" w:lineRule="exact"/>
        <w:ind w:firstLine="417" w:firstLineChars="199"/>
        <w:rPr>
          <w:rFonts w:hint="eastAsia" w:ascii="宋体" w:hAnsi="宋体"/>
        </w:rPr>
      </w:pPr>
      <w:r>
        <w:rPr>
          <w:rFonts w:hint="eastAsia" w:ascii="宋体" w:hAnsi="宋体"/>
        </w:rPr>
        <w:t>5、必须附有投标货物涉及产品要求的、国家或行业管理规定要求的</w:t>
      </w:r>
      <w:r>
        <w:rPr>
          <w:rFonts w:hint="eastAsia" w:ascii="宋体" w:hAnsi="宋体"/>
          <w:lang w:eastAsia="zh-CN"/>
        </w:rPr>
        <w:t>，或者</w:t>
      </w:r>
      <w:r>
        <w:rPr>
          <w:rFonts w:hint="eastAsia" w:ascii="宋体" w:hAnsi="宋体"/>
        </w:rPr>
        <w:t>投标方认为能够体现其投标货物合法性及先进性的最高级别的证明材料（投标货物不涉及的除外）：</w:t>
      </w:r>
    </w:p>
    <w:p>
      <w:pPr>
        <w:spacing w:line="520" w:lineRule="exact"/>
        <w:ind w:firstLine="417" w:firstLineChars="199"/>
        <w:rPr>
          <w:rFonts w:hint="eastAsia" w:ascii="宋体" w:hAnsi="宋体"/>
        </w:rPr>
      </w:pPr>
      <w:r>
        <w:rPr>
          <w:rFonts w:hint="eastAsia" w:ascii="宋体" w:hAnsi="宋体"/>
        </w:rPr>
        <w:t>5.1  国家相关机构颁发的有效期之内所必需的《生产许可证》。</w:t>
      </w:r>
    </w:p>
    <w:p>
      <w:pPr>
        <w:spacing w:line="520" w:lineRule="exact"/>
        <w:ind w:firstLine="417" w:firstLineChars="199"/>
        <w:rPr>
          <w:rFonts w:hint="eastAsia" w:ascii="宋体" w:hAnsi="宋体"/>
        </w:rPr>
      </w:pPr>
      <w:r>
        <w:rPr>
          <w:rFonts w:hint="eastAsia" w:ascii="宋体" w:hAnsi="宋体"/>
        </w:rPr>
        <w:t>5.2  产品（或技术）鉴定报告/证书、专利证书或专利许可证书、新技术成果证书等。</w:t>
      </w:r>
    </w:p>
    <w:p>
      <w:pPr>
        <w:spacing w:line="520" w:lineRule="exact"/>
        <w:ind w:firstLine="417" w:firstLineChars="199"/>
        <w:rPr>
          <w:rFonts w:hint="eastAsia" w:ascii="宋体" w:hAnsi="宋体"/>
        </w:rPr>
      </w:pPr>
      <w:r>
        <w:rPr>
          <w:rFonts w:hint="eastAsia" w:ascii="宋体" w:hAnsi="宋体"/>
        </w:rPr>
        <w:t>5.3  产品相关检验、试验报告，如：型式试验检验报告、安全试验检验报告、电弧效应试验报告、噪声检测报告等</w:t>
      </w:r>
    </w:p>
    <w:p>
      <w:pPr>
        <w:spacing w:line="520" w:lineRule="exact"/>
        <w:ind w:firstLine="417" w:firstLineChars="199"/>
        <w:rPr>
          <w:rFonts w:hint="eastAsia" w:ascii="宋体" w:hAnsi="宋体"/>
        </w:rPr>
      </w:pPr>
      <w:r>
        <w:rPr>
          <w:rFonts w:hint="eastAsia" w:ascii="宋体" w:hAnsi="宋体"/>
        </w:rPr>
        <w:t xml:space="preserve">5.4  </w:t>
      </w:r>
      <w:r>
        <w:rPr>
          <w:rFonts w:hint="eastAsia" w:ascii="宋体" w:hAnsi="宋体"/>
          <w:lang w:eastAsia="zh-CN"/>
        </w:rPr>
        <w:t>其他</w:t>
      </w:r>
      <w:r>
        <w:rPr>
          <w:rFonts w:hint="eastAsia" w:ascii="宋体" w:hAnsi="宋体"/>
        </w:rPr>
        <w:t>能够证明所供设备的质量水平、技术水平、安全性水平、节能性水平、环保性水平等</w:t>
      </w:r>
      <w:r>
        <w:rPr>
          <w:rFonts w:hint="eastAsia" w:ascii="宋体" w:hAnsi="宋体"/>
          <w:lang w:eastAsia="zh-CN"/>
        </w:rPr>
        <w:t>相关的其他</w:t>
      </w:r>
      <w:r>
        <w:rPr>
          <w:rFonts w:hint="eastAsia" w:ascii="宋体" w:hAnsi="宋体"/>
        </w:rPr>
        <w:t>证明文件或资料、报告等。</w:t>
      </w:r>
    </w:p>
    <w:p>
      <w:pPr>
        <w:spacing w:line="520" w:lineRule="exact"/>
        <w:ind w:firstLine="417" w:firstLineChars="199"/>
        <w:rPr>
          <w:rFonts w:hint="eastAsia" w:ascii="宋体" w:hAnsi="宋体"/>
        </w:rPr>
      </w:pPr>
      <w:r>
        <w:rPr>
          <w:rFonts w:hint="eastAsia" w:ascii="宋体" w:hAnsi="宋体"/>
        </w:rPr>
        <w:t>5.5  该类报告或证明材料对于投标方胜出乃至中标极为重要！</w:t>
      </w:r>
    </w:p>
    <w:p>
      <w:pPr>
        <w:spacing w:line="520" w:lineRule="exact"/>
        <w:ind w:firstLine="417" w:firstLineChars="199"/>
        <w:rPr>
          <w:rFonts w:hint="eastAsia" w:ascii="宋体" w:hAnsi="宋体"/>
        </w:rPr>
      </w:pPr>
      <w:r>
        <w:rPr>
          <w:rFonts w:hint="eastAsia" w:ascii="宋体" w:hAnsi="宋体"/>
        </w:rPr>
        <w:t>6、必须附有与本采购设备相同或相似技术规格、型号的</w:t>
      </w:r>
      <w:r>
        <w:rPr>
          <w:rFonts w:hint="eastAsia" w:ascii="宋体" w:hAnsi="宋体"/>
          <w:lang w:eastAsia="zh-CN"/>
        </w:rPr>
        <w:t>且</w:t>
      </w:r>
      <w:r>
        <w:rPr>
          <w:rFonts w:hint="eastAsia" w:ascii="宋体" w:hAnsi="宋体"/>
        </w:rPr>
        <w:t>已经正常使用或通过验收的近三年以上的设备的市场销售业绩清单，清单中应具备：招标方单位名称、销售设备的规格型号、数量、（交货）时间、联系人和联系电话（非移动通信号码）等条目内容；投标方应当保证其业绩的真实性，否则将影响投标或中标资格。</w:t>
      </w:r>
    </w:p>
    <w:p>
      <w:pPr>
        <w:spacing w:line="520" w:lineRule="exact"/>
        <w:ind w:firstLine="417" w:firstLineChars="199"/>
        <w:rPr>
          <w:rFonts w:hint="eastAsia" w:ascii="黑体" w:hAnsi="宋体" w:eastAsia="黑体"/>
        </w:rPr>
      </w:pPr>
      <w:r>
        <w:rPr>
          <w:rFonts w:hint="eastAsia" w:ascii="黑体" w:hAnsi="宋体" w:eastAsia="黑体"/>
        </w:rPr>
        <w:t>二、说明</w:t>
      </w:r>
    </w:p>
    <w:p>
      <w:pPr>
        <w:spacing w:line="480" w:lineRule="exact"/>
        <w:ind w:firstLine="420" w:firstLineChars="200"/>
        <w:rPr>
          <w:rFonts w:hint="eastAsia" w:ascii="宋体" w:hAnsi="宋体"/>
        </w:rPr>
      </w:pPr>
      <w:r>
        <w:rPr>
          <w:rFonts w:hint="eastAsia" w:ascii="宋体" w:hAnsi="宋体"/>
        </w:rPr>
        <w:t>1、投标方可以根据自身的技术、经验等优势以及对招标文件和本技术标书的理解，写明对招标方所采购设备的优化方案或建议意见。投标方的这些努力，招标方表示感谢，并将有助于投标方优先胜出。</w:t>
      </w:r>
    </w:p>
    <w:p>
      <w:pPr>
        <w:spacing w:line="480" w:lineRule="exact"/>
        <w:ind w:firstLine="420" w:firstLineChars="200"/>
        <w:rPr>
          <w:rFonts w:hint="eastAsia" w:ascii="宋体" w:hAnsi="宋体"/>
        </w:rPr>
      </w:pPr>
      <w:r>
        <w:rPr>
          <w:rFonts w:hint="eastAsia" w:ascii="宋体" w:hAnsi="宋体"/>
        </w:rPr>
        <w:t>2、即使有建议意见或建议方案，仍应依据招标文件和本技术标书要求，编写符合要求的投标文件。建议方案或建议意见，应以单独篇章或文件，予以说明。</w:t>
      </w:r>
    </w:p>
    <w:p>
      <w:pPr>
        <w:spacing w:line="480" w:lineRule="exact"/>
        <w:ind w:firstLine="420" w:firstLineChars="200"/>
        <w:rPr>
          <w:rFonts w:hint="eastAsia" w:ascii="宋体" w:hAnsi="宋体"/>
        </w:rPr>
      </w:pPr>
      <w:r>
        <w:rPr>
          <w:rFonts w:hint="eastAsia" w:ascii="宋体" w:hAnsi="宋体"/>
        </w:rPr>
        <w:t>3、请投标方仔细阅读“采购货物概况”章节内说明，针对允许分投分中的设备，招标方有权利选择其中优秀设备或服务，作为投标方合同供货范围中的指定选用设备或服务（替代投标方分投而未中标部分）。</w:t>
      </w:r>
    </w:p>
    <w:p>
      <w:pPr>
        <w:spacing w:line="480" w:lineRule="exact"/>
        <w:ind w:firstLine="420" w:firstLineChars="200"/>
        <w:rPr>
          <w:rFonts w:hint="eastAsia" w:ascii="宋体" w:hAnsi="宋体"/>
        </w:rPr>
      </w:pPr>
      <w:r>
        <w:rPr>
          <w:rFonts w:hint="eastAsia" w:ascii="宋体" w:hAnsi="宋体"/>
        </w:rPr>
        <w:t>4、招标文件、投标文件、答疑文件、技术交流文件、技术协议书等，在采购过</w:t>
      </w:r>
      <w:r>
        <w:rPr>
          <w:rFonts w:hint="eastAsia" w:ascii="宋体" w:hAnsi="宋体"/>
          <w:lang w:eastAsia="zh-CN"/>
        </w:rPr>
        <w:t>程中</w:t>
      </w:r>
      <w:r>
        <w:rPr>
          <w:rFonts w:hint="eastAsia" w:ascii="宋体" w:hAnsi="宋体"/>
        </w:rPr>
        <w:t>全部为有效文件，如有差异，以对招标方最有利的条款为准。</w:t>
      </w:r>
    </w:p>
    <w:p>
      <w:pPr>
        <w:spacing w:line="480" w:lineRule="exact"/>
        <w:ind w:firstLine="420" w:firstLineChars="200"/>
        <w:rPr>
          <w:rFonts w:hint="eastAsia" w:ascii="宋体" w:hAnsi="宋体"/>
        </w:rPr>
      </w:pPr>
      <w:r>
        <w:rPr>
          <w:rFonts w:hint="eastAsia" w:ascii="宋体" w:hAnsi="宋体"/>
        </w:rPr>
        <w:t>5</w:t>
      </w:r>
      <w:r>
        <w:rPr>
          <w:rFonts w:hint="eastAsia" w:ascii="宋体" w:hAnsi="宋体"/>
          <w:highlight w:val="none"/>
        </w:rPr>
        <w:t>、为避免歧</w:t>
      </w:r>
      <w:r>
        <w:rPr>
          <w:rFonts w:hint="eastAsia" w:ascii="宋体" w:hAnsi="宋体"/>
          <w:highlight w:val="none"/>
          <w:lang w:val="en-US" w:eastAsia="zh-CN"/>
        </w:rPr>
        <w:t>义</w:t>
      </w:r>
      <w:r>
        <w:rPr>
          <w:rFonts w:hint="eastAsia" w:ascii="宋体" w:hAnsi="宋体"/>
          <w:highlight w:val="none"/>
        </w:rPr>
        <w:t>，本技术标书涉及招投标环节的条款，均将潜在的卖方称为投标方、将买方称为招标方；定标后合</w:t>
      </w:r>
      <w:r>
        <w:rPr>
          <w:rFonts w:hint="eastAsia" w:ascii="宋体" w:hAnsi="宋体"/>
        </w:rPr>
        <w:t>同签署环节以及后续的合同执行环节条款，招标方称为买方、投标方中的中标方称为卖方。</w:t>
      </w:r>
    </w:p>
    <w:p>
      <w:pPr>
        <w:spacing w:line="360" w:lineRule="auto"/>
        <w:ind w:firstLine="480" w:firstLineChars="200"/>
        <w:rPr>
          <w:rFonts w:ascii="宋体" w:hAnsi="宋体" w:eastAsia="宋体" w:cs="宋体"/>
          <w:sz w:val="24"/>
          <w:szCs w:val="24"/>
        </w:rPr>
      </w:pPr>
    </w:p>
    <w:p>
      <w:pPr>
        <w:spacing w:line="360" w:lineRule="auto"/>
        <w:ind w:firstLine="480" w:firstLineChars="200"/>
        <w:rPr>
          <w:rFonts w:hint="eastAsia" w:ascii="宋体" w:hAnsi="宋体" w:eastAsia="宋体" w:cs="宋体"/>
          <w:sz w:val="24"/>
          <w:szCs w:val="24"/>
          <w:lang w:val="en-US" w:eastAsia="zh-CN"/>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bookmarkEnd w:id="38"/>
    <w:bookmarkEnd w:id="39"/>
    <w:p>
      <w:pPr>
        <w:pStyle w:val="17"/>
      </w:pPr>
    </w:p>
    <w:p>
      <w:pPr>
        <w:spacing w:line="360" w:lineRule="auto"/>
        <w:jc w:val="center"/>
        <w:outlineLvl w:val="0"/>
        <w:rPr>
          <w:rFonts w:ascii="宋体" w:hAnsi="Calibri" w:eastAsia="宋体" w:cs="Times New Roman"/>
          <w:b/>
          <w:sz w:val="36"/>
          <w:szCs w:val="36"/>
        </w:rPr>
      </w:pPr>
      <w:bookmarkStart w:id="88"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8"/>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5" w:type="default"/>
          <w:footerReference r:id="rId16"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89"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0" w:name="_Toc16330018"/>
      <w:bookmarkStart w:id="91" w:name="_Toc17619"/>
      <w:bookmarkStart w:id="92" w:name="_Toc11823"/>
      <w:bookmarkStart w:id="93" w:name="_Toc11930"/>
      <w:r>
        <w:rPr>
          <w:rFonts w:hint="eastAsia" w:ascii="黑体" w:hAnsi="黑体" w:eastAsia="黑体" w:cstheme="minorEastAsia"/>
          <w:b w:val="0"/>
          <w:sz w:val="28"/>
          <w:szCs w:val="28"/>
        </w:rPr>
        <w:t>1 合同设备</w:t>
      </w:r>
      <w:bookmarkEnd w:id="90"/>
      <w:bookmarkEnd w:id="91"/>
      <w:bookmarkEnd w:id="92"/>
      <w:bookmarkEnd w:id="9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94" w:name="_Toc22800"/>
      <w:bookmarkStart w:id="95" w:name="_Toc32510"/>
      <w:bookmarkStart w:id="96" w:name="_Toc29026"/>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16330019"/>
      <w:r>
        <w:rPr>
          <w:rFonts w:hint="eastAsia" w:ascii="黑体" w:hAnsi="黑体" w:eastAsia="黑体" w:cstheme="minorEastAsia"/>
          <w:b w:val="0"/>
          <w:sz w:val="28"/>
          <w:szCs w:val="28"/>
        </w:rPr>
        <w:t>2 包装</w:t>
      </w:r>
      <w:bookmarkEnd w:id="94"/>
      <w:bookmarkEnd w:id="95"/>
      <w:bookmarkEnd w:id="96"/>
      <w:bookmarkEnd w:id="9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6330020"/>
      <w:bookmarkStart w:id="99" w:name="_Toc2833"/>
      <w:bookmarkStart w:id="100" w:name="_Toc27144"/>
      <w:bookmarkStart w:id="101" w:name="_Toc27453"/>
      <w:r>
        <w:rPr>
          <w:rFonts w:hint="eastAsia" w:ascii="黑体" w:hAnsi="黑体" w:eastAsia="黑体" w:cstheme="minorEastAsia"/>
          <w:b w:val="0"/>
          <w:sz w:val="28"/>
          <w:szCs w:val="28"/>
        </w:rPr>
        <w:t>3 运输标记</w:t>
      </w:r>
      <w:bookmarkEnd w:id="98"/>
      <w:bookmarkEnd w:id="99"/>
      <w:bookmarkEnd w:id="100"/>
      <w:bookmarkEnd w:id="10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2" w:name="_Toc16133"/>
      <w:bookmarkStart w:id="103" w:name="_Toc16330021"/>
      <w:bookmarkStart w:id="104" w:name="_Toc7431"/>
      <w:bookmarkStart w:id="105" w:name="_Toc10630"/>
      <w:r>
        <w:rPr>
          <w:rFonts w:hint="eastAsia" w:ascii="黑体" w:hAnsi="黑体" w:eastAsia="黑体" w:cstheme="minorEastAsia"/>
          <w:b w:val="0"/>
          <w:sz w:val="28"/>
          <w:szCs w:val="28"/>
        </w:rPr>
        <w:t>4 检验</w:t>
      </w:r>
      <w:bookmarkEnd w:id="102"/>
      <w:bookmarkEnd w:id="103"/>
      <w:bookmarkEnd w:id="104"/>
      <w:bookmarkEnd w:id="10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6" w:name="_Toc11217"/>
      <w:bookmarkStart w:id="107" w:name="_Toc24467"/>
      <w:bookmarkStart w:id="108" w:name="_Toc16330022"/>
      <w:bookmarkStart w:id="109" w:name="_Toc19850"/>
      <w:r>
        <w:rPr>
          <w:rFonts w:hint="eastAsia" w:ascii="黑体" w:hAnsi="黑体" w:eastAsia="黑体" w:cstheme="minorEastAsia"/>
          <w:b w:val="0"/>
          <w:sz w:val="28"/>
          <w:szCs w:val="28"/>
        </w:rPr>
        <w:t>5 权利担保</w:t>
      </w:r>
      <w:bookmarkEnd w:id="106"/>
      <w:bookmarkEnd w:id="107"/>
      <w:bookmarkEnd w:id="108"/>
      <w:bookmarkEnd w:id="10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0" w:name="_Toc16330023"/>
      <w:bookmarkStart w:id="111" w:name="_Toc27500"/>
      <w:bookmarkStart w:id="112" w:name="_Toc14809"/>
      <w:bookmarkStart w:id="113" w:name="_Toc11759"/>
      <w:r>
        <w:rPr>
          <w:rFonts w:hint="eastAsia" w:ascii="黑体" w:hAnsi="黑体" w:eastAsia="黑体" w:cstheme="minorEastAsia"/>
          <w:b w:val="0"/>
          <w:sz w:val="28"/>
          <w:szCs w:val="28"/>
        </w:rPr>
        <w:t>6 交货</w:t>
      </w:r>
      <w:bookmarkEnd w:id="110"/>
      <w:bookmarkEnd w:id="111"/>
      <w:bookmarkEnd w:id="112"/>
      <w:bookmarkEnd w:id="11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4" w:name="_Toc16330024"/>
      <w:bookmarkStart w:id="115" w:name="_Toc25510"/>
      <w:bookmarkStart w:id="116" w:name="_Toc8024"/>
      <w:bookmarkStart w:id="117" w:name="_Toc2984"/>
      <w:r>
        <w:rPr>
          <w:rFonts w:hint="eastAsia" w:ascii="黑体" w:hAnsi="黑体" w:eastAsia="黑体" w:cstheme="minorEastAsia"/>
          <w:b w:val="0"/>
          <w:sz w:val="28"/>
          <w:szCs w:val="28"/>
        </w:rPr>
        <w:t>7 安装、调试</w:t>
      </w:r>
      <w:bookmarkEnd w:id="114"/>
      <w:bookmarkEnd w:id="115"/>
      <w:bookmarkEnd w:id="116"/>
      <w:bookmarkEnd w:id="117"/>
    </w:p>
    <w:p>
      <w:pPr>
        <w:pStyle w:val="12"/>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8" w:name="_Toc16330025"/>
      <w:bookmarkStart w:id="119" w:name="_Toc14098"/>
      <w:bookmarkStart w:id="120" w:name="_Toc14260"/>
      <w:bookmarkStart w:id="121" w:name="_Toc6350"/>
      <w:r>
        <w:rPr>
          <w:rFonts w:hint="eastAsia" w:ascii="黑体" w:hAnsi="黑体" w:eastAsia="黑体" w:cstheme="minorEastAsia"/>
          <w:b w:val="0"/>
          <w:sz w:val="28"/>
          <w:szCs w:val="28"/>
        </w:rPr>
        <w:t>8 价款与支付</w:t>
      </w:r>
      <w:bookmarkEnd w:id="118"/>
      <w:bookmarkEnd w:id="119"/>
      <w:bookmarkEnd w:id="120"/>
      <w:bookmarkEnd w:id="12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22" w:name="_Toc14676804"/>
      <w:bookmarkStart w:id="123"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22"/>
      <w:bookmarkEnd w:id="123"/>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4" w:name="_Toc6726"/>
      <w:bookmarkStart w:id="125" w:name="_Toc16330026"/>
      <w:bookmarkStart w:id="126" w:name="_Toc25708"/>
      <w:bookmarkStart w:id="127" w:name="_Toc24085"/>
      <w:r>
        <w:rPr>
          <w:rFonts w:hint="eastAsia" w:ascii="黑体" w:hAnsi="黑体" w:eastAsia="黑体" w:cstheme="minorEastAsia"/>
          <w:b w:val="0"/>
          <w:sz w:val="28"/>
          <w:szCs w:val="28"/>
        </w:rPr>
        <w:t>9 质量保证及售后服务</w:t>
      </w:r>
      <w:bookmarkEnd w:id="124"/>
      <w:bookmarkEnd w:id="125"/>
      <w:bookmarkEnd w:id="126"/>
      <w:bookmarkEnd w:id="127"/>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8" w:name="_Toc15570"/>
      <w:bookmarkStart w:id="129" w:name="_Toc12927"/>
      <w:bookmarkStart w:id="130" w:name="_Toc16330027"/>
      <w:bookmarkStart w:id="131" w:name="_Toc10359"/>
      <w:r>
        <w:rPr>
          <w:rFonts w:hint="eastAsia" w:ascii="黑体" w:hAnsi="黑体" w:eastAsia="黑体" w:cstheme="minorEastAsia"/>
          <w:b w:val="0"/>
          <w:sz w:val="28"/>
          <w:szCs w:val="28"/>
        </w:rPr>
        <w:t>10法定责任</w:t>
      </w:r>
      <w:bookmarkEnd w:id="128"/>
      <w:bookmarkEnd w:id="129"/>
      <w:bookmarkEnd w:id="130"/>
      <w:bookmarkEnd w:id="131"/>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2" w:name="_Toc16330028"/>
      <w:bookmarkStart w:id="133" w:name="_Toc30381"/>
      <w:bookmarkStart w:id="134" w:name="_Toc9708"/>
      <w:bookmarkStart w:id="135" w:name="_Toc27314"/>
      <w:r>
        <w:rPr>
          <w:rFonts w:hint="eastAsia" w:ascii="黑体" w:hAnsi="黑体" w:eastAsia="黑体" w:cstheme="minorEastAsia"/>
          <w:b w:val="0"/>
          <w:sz w:val="28"/>
          <w:szCs w:val="28"/>
        </w:rPr>
        <w:t>11 违约责任</w:t>
      </w:r>
      <w:bookmarkEnd w:id="132"/>
      <w:bookmarkEnd w:id="133"/>
      <w:bookmarkEnd w:id="134"/>
      <w:bookmarkEnd w:id="135"/>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6" w:name="_Toc9172"/>
      <w:bookmarkStart w:id="137" w:name="_Toc1827"/>
      <w:bookmarkStart w:id="138" w:name="_Toc31554"/>
      <w:bookmarkStart w:id="139" w:name="_Toc16330029"/>
      <w:r>
        <w:rPr>
          <w:rFonts w:hint="eastAsia" w:ascii="黑体" w:hAnsi="黑体" w:eastAsia="黑体" w:cstheme="minorEastAsia"/>
          <w:b w:val="0"/>
          <w:sz w:val="28"/>
          <w:szCs w:val="28"/>
        </w:rPr>
        <w:t>12 合同的终止与解除</w:t>
      </w:r>
      <w:bookmarkEnd w:id="136"/>
      <w:bookmarkEnd w:id="137"/>
      <w:bookmarkEnd w:id="138"/>
      <w:bookmarkEnd w:id="139"/>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0" w:name="_Toc13671"/>
      <w:bookmarkStart w:id="141" w:name="_Toc8620"/>
      <w:bookmarkStart w:id="142" w:name="_Toc16330030"/>
      <w:bookmarkStart w:id="143" w:name="_Toc31945"/>
      <w:r>
        <w:rPr>
          <w:rFonts w:hint="eastAsia" w:ascii="黑体" w:hAnsi="黑体" w:eastAsia="黑体" w:cstheme="minorEastAsia"/>
          <w:b w:val="0"/>
          <w:sz w:val="28"/>
          <w:szCs w:val="28"/>
        </w:rPr>
        <w:t>13 不可抗力</w:t>
      </w:r>
      <w:bookmarkEnd w:id="140"/>
      <w:bookmarkEnd w:id="141"/>
      <w:bookmarkEnd w:id="142"/>
      <w:bookmarkEnd w:id="14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4" w:name="_Toc637"/>
      <w:bookmarkStart w:id="145" w:name="_Toc30389"/>
      <w:bookmarkStart w:id="146" w:name="_Toc16330031"/>
      <w:bookmarkStart w:id="147" w:name="_Toc31243"/>
      <w:r>
        <w:rPr>
          <w:rFonts w:hint="eastAsia" w:ascii="黑体" w:hAnsi="黑体" w:eastAsia="黑体" w:cstheme="minorEastAsia"/>
          <w:b w:val="0"/>
          <w:sz w:val="28"/>
          <w:szCs w:val="28"/>
        </w:rPr>
        <w:t>14 通讯</w:t>
      </w:r>
      <w:bookmarkEnd w:id="144"/>
      <w:bookmarkEnd w:id="145"/>
      <w:bookmarkEnd w:id="146"/>
      <w:bookmarkEnd w:id="147"/>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48" w:name="_Toc9915"/>
      <w:bookmarkStart w:id="149" w:name="_Toc16330032"/>
      <w:bookmarkStart w:id="150" w:name="_Toc12984"/>
      <w:bookmarkStart w:id="151" w:name="_Toc11290"/>
      <w:r>
        <w:rPr>
          <w:rFonts w:hint="eastAsia" w:ascii="黑体" w:hAnsi="黑体" w:eastAsia="黑体" w:cstheme="minorEastAsia"/>
          <w:b w:val="0"/>
          <w:sz w:val="28"/>
          <w:szCs w:val="28"/>
        </w:rPr>
        <w:t>15 适用法律及争议解决</w:t>
      </w:r>
      <w:bookmarkEnd w:id="148"/>
      <w:bookmarkEnd w:id="149"/>
      <w:bookmarkEnd w:id="150"/>
      <w:bookmarkEnd w:id="151"/>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2" w:name="_Toc23765"/>
      <w:bookmarkStart w:id="153" w:name="_Toc16330033"/>
      <w:bookmarkStart w:id="154" w:name="_Toc18207"/>
      <w:bookmarkStart w:id="155" w:name="_Toc23906"/>
      <w:r>
        <w:rPr>
          <w:rFonts w:hint="eastAsia" w:ascii="黑体" w:hAnsi="黑体" w:eastAsia="黑体" w:cstheme="minorEastAsia"/>
          <w:b w:val="0"/>
          <w:sz w:val="28"/>
          <w:szCs w:val="28"/>
        </w:rPr>
        <w:t>16 附件</w:t>
      </w:r>
      <w:bookmarkEnd w:id="152"/>
      <w:bookmarkEnd w:id="153"/>
      <w:bookmarkEnd w:id="154"/>
      <w:bookmarkEnd w:id="155"/>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6" w:name="_Toc17656"/>
      <w:bookmarkStart w:id="157" w:name="_Toc27202"/>
      <w:bookmarkStart w:id="158" w:name="_Toc16330034"/>
      <w:bookmarkStart w:id="159" w:name="_Toc31331"/>
      <w:r>
        <w:rPr>
          <w:rFonts w:hint="eastAsia" w:ascii="黑体" w:hAnsi="黑体" w:eastAsia="黑体" w:cstheme="minorEastAsia"/>
          <w:b w:val="0"/>
          <w:sz w:val="28"/>
          <w:szCs w:val="28"/>
        </w:rPr>
        <w:t>17 其他规定</w:t>
      </w:r>
      <w:bookmarkEnd w:id="156"/>
      <w:bookmarkEnd w:id="157"/>
      <w:bookmarkEnd w:id="158"/>
      <w:bookmarkEnd w:id="159"/>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60" w:name="_Toc19077"/>
      <w:bookmarkStart w:id="161" w:name="_Toc29136"/>
      <w:bookmarkStart w:id="162" w:name="_Toc17952"/>
      <w:bookmarkStart w:id="163"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60"/>
      <w:bookmarkEnd w:id="161"/>
      <w:bookmarkEnd w:id="162"/>
      <w:bookmarkEnd w:id="163"/>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64" w:name="_Toc3778"/>
      <w:bookmarkStart w:id="165" w:name="_Toc25120"/>
      <w:bookmarkStart w:id="166" w:name="_Toc16330037"/>
      <w:bookmarkStart w:id="167" w:name="_Toc5379"/>
      <w:bookmarkStart w:id="168" w:name="_Toc24623"/>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64"/>
      <w:bookmarkEnd w:id="165"/>
      <w:bookmarkEnd w:id="166"/>
      <w:bookmarkEnd w:id="167"/>
      <w:bookmarkEnd w:id="168"/>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69" w:name="_Toc14341849"/>
    </w:p>
    <w:p>
      <w:pPr>
        <w:ind w:right="480"/>
        <w:jc w:val="center"/>
        <w:rPr>
          <w:sz w:val="24"/>
          <w:szCs w:val="24"/>
        </w:rPr>
      </w:pPr>
      <w:r>
        <w:rPr>
          <w:rFonts w:hint="eastAsia" w:ascii="楷体_GB2312" w:hAnsi="宋体" w:eastAsia="楷体_GB2312"/>
          <w:sz w:val="24"/>
        </w:rPr>
        <w:t xml:space="preserve">                                    </w:t>
      </w:r>
    </w:p>
    <w:bookmarkEnd w:id="169"/>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3"/>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3"/>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3"/>
        <w:ind w:left="0" w:firstLine="0"/>
        <w:rPr>
          <w:rFonts w:ascii="楷体" w:hAnsi="楷体" w:eastAsia="楷体" w:cs="楷体"/>
          <w:b/>
          <w:sz w:val="24"/>
          <w:szCs w:val="28"/>
        </w:rPr>
      </w:pPr>
    </w:p>
    <w:p>
      <w:pPr>
        <w:pStyle w:val="13"/>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3"/>
        <w:ind w:left="0" w:firstLine="0"/>
        <w:rPr>
          <w:rFonts w:ascii="楷体" w:hAnsi="楷体" w:eastAsia="楷体" w:cs="楷体"/>
          <w:b/>
          <w:sz w:val="24"/>
          <w:szCs w:val="28"/>
        </w:rPr>
      </w:pPr>
    </w:p>
    <w:p>
      <w:pPr>
        <w:pStyle w:val="13"/>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9" w:type="first"/>
          <w:headerReference r:id="rId17" w:type="default"/>
          <w:footerReference r:id="rId18"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89"/>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0" w:name="_Toc25811"/>
      <w:bookmarkStart w:id="171" w:name="_Toc639004"/>
      <w:bookmarkStart w:id="172" w:name="_Toc212369550"/>
      <w:bookmarkStart w:id="173"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0"/>
      <w:bookmarkEnd w:id="171"/>
      <w:bookmarkEnd w:id="172"/>
      <w:bookmarkEnd w:id="173"/>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济南发动机厂拧紧设备改造技改项目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济南发动机厂拧紧设备改造技改项目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CGZX2025020131</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济南发动机厂拧紧设备改造技改项目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济南发动机厂拧紧设备改造技改项目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80" w:type="dxa"/>
            <w:noWrap w:val="0"/>
            <w:vAlign w:val="top"/>
          </w:tcPr>
          <w:p>
            <w:pPr>
              <w:spacing w:before="97" w:line="186" w:lineRule="auto"/>
              <w:ind w:left="304"/>
              <w:rPr>
                <w:rFonts w:ascii="宋体" w:hAnsi="宋体" w:eastAsia="宋体" w:cs="宋体"/>
                <w:szCs w:val="21"/>
              </w:rPr>
            </w:pPr>
            <w:r>
              <w:rPr>
                <w:rFonts w:ascii="宋体" w:hAnsi="宋体" w:eastAsia="宋体" w:cs="宋体"/>
                <w:szCs w:val="21"/>
              </w:rPr>
              <w:t>1</w:t>
            </w:r>
          </w:p>
        </w:tc>
        <w:tc>
          <w:tcPr>
            <w:tcW w:w="1578" w:type="dxa"/>
            <w:noWrap w:val="0"/>
            <w:vAlign w:val="top"/>
          </w:tcPr>
          <w:p>
            <w:pPr>
              <w:spacing w:before="98" w:line="185" w:lineRule="auto"/>
              <w:ind w:left="1071"/>
              <w:rPr>
                <w:rFonts w:ascii="宋体" w:hAnsi="宋体" w:eastAsia="宋体" w:cs="宋体"/>
                <w:szCs w:val="21"/>
              </w:rPr>
            </w:pPr>
            <w:r>
              <w:rPr>
                <w:rFonts w:ascii="宋体" w:hAnsi="宋体" w:eastAsia="宋体" w:cs="宋体"/>
                <w:szCs w:val="21"/>
              </w:rPr>
              <w:t>2</w:t>
            </w:r>
          </w:p>
        </w:tc>
        <w:tc>
          <w:tcPr>
            <w:tcW w:w="4171" w:type="dxa"/>
            <w:noWrap w:val="0"/>
            <w:vAlign w:val="top"/>
          </w:tcPr>
          <w:p>
            <w:pPr>
              <w:spacing w:before="99" w:line="183" w:lineRule="auto"/>
              <w:ind w:left="1075"/>
              <w:rPr>
                <w:rFonts w:ascii="宋体" w:hAnsi="宋体" w:eastAsia="宋体" w:cs="宋体"/>
                <w:szCs w:val="21"/>
              </w:rPr>
            </w:pPr>
            <w:r>
              <w:rPr>
                <w:rFonts w:ascii="宋体" w:hAnsi="宋体" w:eastAsia="宋体" w:cs="宋体"/>
                <w:szCs w:val="21"/>
              </w:rPr>
              <w:t>3</w:t>
            </w:r>
          </w:p>
        </w:tc>
        <w:tc>
          <w:tcPr>
            <w:tcW w:w="1639" w:type="dxa"/>
            <w:noWrap w:val="0"/>
            <w:vAlign w:val="top"/>
          </w:tcPr>
          <w:p>
            <w:pPr>
              <w:spacing w:before="98" w:line="185" w:lineRule="auto"/>
              <w:ind w:left="511"/>
              <w:rPr>
                <w:rFonts w:ascii="宋体" w:hAnsi="宋体" w:eastAsia="宋体" w:cs="宋体"/>
                <w:szCs w:val="21"/>
              </w:rPr>
            </w:pPr>
            <w:r>
              <w:rPr>
                <w:rFonts w:ascii="宋体" w:hAnsi="宋体" w:eastAsia="宋体" w:cs="宋体"/>
                <w:szCs w:val="21"/>
              </w:rPr>
              <w:t>4</w:t>
            </w:r>
          </w:p>
        </w:tc>
        <w:tc>
          <w:tcPr>
            <w:tcW w:w="1117" w:type="dxa"/>
            <w:noWrap w:val="0"/>
            <w:vAlign w:val="top"/>
          </w:tcPr>
          <w:p>
            <w:pPr>
              <w:spacing w:before="100" w:line="182" w:lineRule="auto"/>
              <w:ind w:left="798"/>
              <w:rPr>
                <w:rFonts w:ascii="宋体" w:hAnsi="宋体" w:eastAsia="宋体" w:cs="宋体"/>
                <w:szCs w:val="21"/>
              </w:rPr>
            </w:pPr>
            <w:r>
              <w:rPr>
                <w:rFonts w:ascii="宋体" w:hAnsi="宋体" w:eastAsia="宋体" w:cs="宋体"/>
                <w:szCs w:val="21"/>
              </w:rPr>
              <w:t>5</w:t>
            </w:r>
          </w:p>
        </w:tc>
        <w:tc>
          <w:tcPr>
            <w:tcW w:w="3336" w:type="dxa"/>
            <w:tcBorders>
              <w:left w:val="single" w:color="000000" w:sz="4" w:space="0"/>
            </w:tcBorders>
            <w:noWrap w:val="0"/>
            <w:vAlign w:val="top"/>
          </w:tcPr>
          <w:p>
            <w:pPr>
              <w:spacing w:before="100" w:line="182" w:lineRule="auto"/>
              <w:ind w:left="1007"/>
              <w:rPr>
                <w:rFonts w:ascii="宋体" w:hAnsi="宋体" w:eastAsia="宋体" w:cs="宋体"/>
                <w:szCs w:val="21"/>
              </w:rPr>
            </w:pPr>
            <w:r>
              <w:rPr>
                <w:rFonts w:ascii="宋体" w:hAnsi="宋体" w:eastAsia="宋体" w:cs="宋体"/>
                <w:szCs w:val="21"/>
              </w:rPr>
              <w:t>7</w:t>
            </w:r>
          </w:p>
        </w:tc>
        <w:tc>
          <w:tcPr>
            <w:tcW w:w="1271" w:type="dxa"/>
            <w:noWrap w:val="0"/>
            <w:vAlign w:val="top"/>
          </w:tcPr>
          <w:p>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序号</w:t>
            </w:r>
          </w:p>
        </w:tc>
        <w:tc>
          <w:tcPr>
            <w:tcW w:w="1578" w:type="dxa"/>
            <w:noWrap w:val="0"/>
            <w:vAlign w:val="center"/>
          </w:tcPr>
          <w:p>
            <w:pPr>
              <w:spacing w:line="221" w:lineRule="auto"/>
              <w:jc w:val="center"/>
              <w:rPr>
                <w:rFonts w:ascii="宋体" w:hAnsi="宋体" w:eastAsia="宋体" w:cs="宋体"/>
                <w:b/>
                <w:bCs/>
                <w:spacing w:val="-1"/>
                <w:szCs w:val="21"/>
              </w:rPr>
            </w:pPr>
            <w:r>
              <w:rPr>
                <w:rFonts w:hint="eastAsia" w:ascii="宋体" w:hAnsi="宋体" w:eastAsia="宋体" w:cs="宋体"/>
                <w:b/>
                <w:bCs/>
                <w:spacing w:val="-1"/>
                <w:szCs w:val="21"/>
              </w:rPr>
              <w:t>货物名称</w:t>
            </w:r>
          </w:p>
        </w:tc>
        <w:tc>
          <w:tcPr>
            <w:tcW w:w="4171"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1639"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1117"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单位</w:t>
            </w:r>
          </w:p>
        </w:tc>
        <w:tc>
          <w:tcPr>
            <w:tcW w:w="3336" w:type="dxa"/>
            <w:tcBorders>
              <w:left w:val="single" w:color="000000" w:sz="4" w:space="0"/>
            </w:tcBorders>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1271"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13692"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sz w:val="20"/>
                <w:szCs w:val="20"/>
                <w:highlight w:val="yellow"/>
                <w:lang w:val="en-US" w:eastAsia="zh-CN"/>
              </w:rPr>
              <w:t>减振器轮毂分装拧紧设备改造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变位机构及主体</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安全防护</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吊装夹具</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电气控制系统</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机械系统</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3692" w:type="dxa"/>
            <w:gridSpan w:val="7"/>
            <w:noWrap w:val="0"/>
            <w:vAlign w:val="center"/>
          </w:tcPr>
          <w:p>
            <w:pPr>
              <w:jc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highlight w:val="yellow"/>
                <w:u w:val="none"/>
                <w:lang w:val="en-US" w:eastAsia="zh-CN" w:bidi="ar"/>
              </w:rPr>
              <w:t>机油模块自动拧紧设备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机器人</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拧紧轴</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color w:val="000000"/>
                <w:sz w:val="21"/>
                <w:szCs w:val="21"/>
              </w:rPr>
            </w:pPr>
            <w:r>
              <w:rPr>
                <w:rFonts w:hint="eastAsia" w:ascii="宋体" w:hAnsi="宋体" w:eastAsia="宋体" w:cs="宋体"/>
                <w:i w:val="0"/>
                <w:iCs w:val="0"/>
                <w:color w:val="000000"/>
                <w:kern w:val="0"/>
                <w:sz w:val="20"/>
                <w:szCs w:val="20"/>
                <w:u w:val="none"/>
                <w:lang w:val="en-US" w:eastAsia="zh-CN" w:bidi="ar"/>
              </w:rPr>
              <w:t>工控机</w:t>
            </w:r>
          </w:p>
        </w:tc>
        <w:tc>
          <w:tcPr>
            <w:tcW w:w="4171" w:type="dxa"/>
            <w:noWrap w:val="0"/>
            <w:vAlign w:val="top"/>
          </w:tcPr>
          <w:p>
            <w:pPr>
              <w:jc w:val="cente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新增安全防护</w:t>
            </w:r>
          </w:p>
        </w:tc>
        <w:tc>
          <w:tcPr>
            <w:tcW w:w="4171" w:type="dxa"/>
            <w:noWrap w:val="0"/>
            <w:vAlign w:val="top"/>
          </w:tcPr>
          <w:p>
            <w:pP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580" w:type="dxa"/>
            <w:shd w:val="clear" w:color="auto" w:fill="auto"/>
            <w:noWrap w:val="0"/>
            <w:vAlign w:val="center"/>
          </w:tcPr>
          <w:p>
            <w:pPr>
              <w:adjustRightInd w:val="0"/>
              <w:snapToGrid w:val="0"/>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机械系统</w:t>
            </w:r>
          </w:p>
        </w:tc>
        <w:tc>
          <w:tcPr>
            <w:tcW w:w="4171" w:type="dxa"/>
            <w:noWrap w:val="0"/>
            <w:vAlign w:val="top"/>
          </w:tcPr>
          <w:p>
            <w:pP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shd w:val="clear" w:color="auto" w:fill="auto"/>
            <w:noWrap w:val="0"/>
            <w:vAlign w:val="center"/>
          </w:tcPr>
          <w:p>
            <w:pPr>
              <w:adjustRightInd w:val="0"/>
              <w:snapToGrid w:val="0"/>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1578" w:type="dxa"/>
            <w:noWrap w:val="0"/>
            <w:vAlign w:val="center"/>
          </w:tcPr>
          <w:p>
            <w:pPr>
              <w:keepNext w:val="0"/>
              <w:keepLines w:val="0"/>
              <w:widowControl/>
              <w:suppressLineNumbers w:val="0"/>
              <w:jc w:val="center"/>
              <w:textAlignment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u w:val="none"/>
                <w:lang w:val="en-US" w:eastAsia="zh-CN" w:bidi="ar"/>
              </w:rPr>
              <w:t>电气控制系统</w:t>
            </w:r>
          </w:p>
        </w:tc>
        <w:tc>
          <w:tcPr>
            <w:tcW w:w="4171" w:type="dxa"/>
            <w:noWrap w:val="0"/>
            <w:vAlign w:val="top"/>
          </w:tcPr>
          <w:p>
            <w:pPr>
              <w:rPr>
                <w:rFonts w:hint="eastAsia" w:ascii="宋体" w:hAnsi="宋体" w:eastAsia="宋体" w:cs="宋体"/>
                <w:sz w:val="21"/>
                <w:szCs w:val="21"/>
              </w:rPr>
            </w:pPr>
          </w:p>
        </w:tc>
        <w:tc>
          <w:tcPr>
            <w:tcW w:w="1639"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117" w:type="dxa"/>
            <w:noWrap w:val="0"/>
            <w:vAlign w:val="top"/>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套</w:t>
            </w:r>
          </w:p>
        </w:tc>
        <w:tc>
          <w:tcPr>
            <w:tcW w:w="3336" w:type="dxa"/>
            <w:tcBorders>
              <w:left w:val="single" w:color="000000" w:sz="4" w:space="0"/>
            </w:tcBorders>
            <w:noWrap w:val="0"/>
            <w:vAlign w:val="top"/>
          </w:tcPr>
          <w:p>
            <w:pPr>
              <w:rPr>
                <w:rFonts w:hint="eastAsia" w:ascii="宋体" w:hAnsi="宋体" w:eastAsia="宋体" w:cs="宋体"/>
                <w:sz w:val="21"/>
                <w:szCs w:val="21"/>
              </w:rPr>
            </w:pPr>
          </w:p>
        </w:tc>
        <w:tc>
          <w:tcPr>
            <w:tcW w:w="1271"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noWrap w:val="0"/>
            <w:vAlign w:val="center"/>
          </w:tcPr>
          <w:p>
            <w:pPr>
              <w:adjustRightInd w:val="0"/>
              <w:snapToGrid w:val="0"/>
              <w:spacing w:before="0" w:line="240" w:lineRule="auto"/>
              <w:ind w:left="0"/>
              <w:jc w:val="center"/>
              <w:rPr>
                <w:rFonts w:ascii="宋体" w:hAnsi="宋体" w:eastAsia="宋体" w:cs="宋体"/>
                <w:szCs w:val="21"/>
              </w:rPr>
            </w:pPr>
          </w:p>
        </w:tc>
        <w:tc>
          <w:tcPr>
            <w:tcW w:w="1578" w:type="dxa"/>
            <w:noWrap w:val="0"/>
            <w:vAlign w:val="top"/>
          </w:tcPr>
          <w:p>
            <w:pPr>
              <w:rPr>
                <w:rFonts w:hint="eastAsia" w:ascii="宋体" w:hAnsi="宋体" w:eastAsia="宋体" w:cs="Times New Roman"/>
                <w:sz w:val="18"/>
                <w:szCs w:val="18"/>
              </w:rPr>
            </w:pPr>
            <w:r>
              <w:rPr>
                <w:rFonts w:hint="eastAsia" w:ascii="宋体" w:hAnsi="宋体" w:eastAsia="宋体" w:cs="Times New Roman"/>
                <w:sz w:val="18"/>
                <w:szCs w:val="18"/>
              </w:rPr>
              <w:t>以上投标设备不足之处请往下添加序号自行补充</w:t>
            </w:r>
          </w:p>
        </w:tc>
        <w:tc>
          <w:tcPr>
            <w:tcW w:w="4171" w:type="dxa"/>
            <w:noWrap w:val="0"/>
            <w:vAlign w:val="top"/>
          </w:tcPr>
          <w:p>
            <w:pPr>
              <w:rPr>
                <w:rFonts w:ascii="Arial"/>
              </w:rPr>
            </w:pPr>
          </w:p>
        </w:tc>
        <w:tc>
          <w:tcPr>
            <w:tcW w:w="1639" w:type="dxa"/>
            <w:noWrap w:val="0"/>
            <w:vAlign w:val="top"/>
          </w:tcPr>
          <w:p>
            <w:pPr>
              <w:rPr>
                <w:rFonts w:ascii="Arial"/>
              </w:rPr>
            </w:pPr>
          </w:p>
        </w:tc>
        <w:tc>
          <w:tcPr>
            <w:tcW w:w="1117" w:type="dxa"/>
            <w:noWrap w:val="0"/>
            <w:vAlign w:val="top"/>
          </w:tcPr>
          <w:p>
            <w:pPr>
              <w:rPr>
                <w:rFonts w:ascii="Arial"/>
              </w:rPr>
            </w:pPr>
          </w:p>
        </w:tc>
        <w:tc>
          <w:tcPr>
            <w:tcW w:w="3336" w:type="dxa"/>
            <w:tcBorders>
              <w:left w:val="single" w:color="000000" w:sz="4" w:space="0"/>
            </w:tcBorders>
            <w:noWrap w:val="0"/>
            <w:vAlign w:val="top"/>
          </w:tcPr>
          <w:p>
            <w:pPr>
              <w:rPr>
                <w:rFonts w:ascii="Arial"/>
              </w:rPr>
            </w:pPr>
          </w:p>
        </w:tc>
        <w:tc>
          <w:tcPr>
            <w:tcW w:w="1271" w:type="dxa"/>
            <w:noWrap w:val="0"/>
            <w:vAlign w:val="top"/>
          </w:tcPr>
          <w:p>
            <w:pPr>
              <w:rPr>
                <w:rFonts w:ascii="Arial"/>
              </w:rPr>
            </w:pPr>
          </w:p>
        </w:tc>
      </w:tr>
    </w:tbl>
    <w:p>
      <w:pPr>
        <w:spacing w:before="78" w:line="219" w:lineRule="auto"/>
        <w:ind w:left="431"/>
        <w:rPr>
          <w:rFonts w:ascii="宋体" w:hAnsi="宋体" w:eastAsia="宋体" w:cs="宋体"/>
          <w:spacing w:val="-8"/>
          <w:szCs w:val="21"/>
        </w:rPr>
      </w:pPr>
    </w:p>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济南发动机厂拧紧设备改造技改项目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济南发动机厂拧紧设备改造技改项目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济南发动机厂拧紧设备改造技改项目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济南发动机厂拧紧设备改造技改项目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spacing w:after="0" w:line="240" w:lineRule="auto"/>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spacing w:after="0"/>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noWrap w:val="0"/>
            <w:vAlign w:val="center"/>
          </w:tcPr>
          <w:p>
            <w:pPr>
              <w:keepNext w:val="0"/>
              <w:keepLines w:val="0"/>
              <w:pageBreakBefore w:val="0"/>
              <w:widowControl w:val="0"/>
              <w:kinsoku/>
              <w:wordWrap/>
              <w:overflowPunct/>
              <w:topLinePunct w:val="0"/>
              <w:autoSpaceDE/>
              <w:autoSpaceDN/>
              <w:bidi w:val="0"/>
              <w:adjustRightInd/>
              <w:snapToGrid/>
              <w:spacing w:line="186" w:lineRule="auto"/>
              <w:ind w:left="0"/>
              <w:jc w:val="center"/>
              <w:textAlignment w:val="auto"/>
              <w:rPr>
                <w:rFonts w:ascii="宋体" w:hAnsi="宋体" w:eastAsia="宋体" w:cs="宋体"/>
                <w:szCs w:val="21"/>
              </w:rPr>
            </w:pPr>
            <w:r>
              <w:rPr>
                <w:rFonts w:ascii="宋体" w:hAnsi="宋体" w:eastAsia="宋体" w:cs="宋体"/>
                <w:szCs w:val="21"/>
              </w:rPr>
              <w:t>1</w:t>
            </w:r>
          </w:p>
        </w:tc>
        <w:tc>
          <w:tcPr>
            <w:tcW w:w="2315"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rPr>
              <w:t>2</w:t>
            </w:r>
          </w:p>
        </w:tc>
        <w:tc>
          <w:tcPr>
            <w:tcW w:w="1722"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jc w:val="center"/>
              <w:textAlignment w:val="auto"/>
              <w:rPr>
                <w:rFonts w:ascii="宋体" w:hAnsi="宋体" w:eastAsia="宋体" w:cs="宋体"/>
                <w:szCs w:val="21"/>
              </w:rPr>
            </w:pPr>
            <w:r>
              <w:rPr>
                <w:rFonts w:ascii="宋体" w:hAnsi="宋体" w:eastAsia="宋体" w:cs="宋体"/>
                <w:szCs w:val="21"/>
              </w:rPr>
              <w:t>3</w:t>
            </w:r>
          </w:p>
        </w:tc>
        <w:tc>
          <w:tcPr>
            <w:tcW w:w="703" w:type="dxa"/>
            <w:noWrap w:val="0"/>
            <w:vAlign w:val="center"/>
          </w:tcPr>
          <w:p>
            <w:pPr>
              <w:keepNext w:val="0"/>
              <w:keepLines w:val="0"/>
              <w:pageBreakBefore w:val="0"/>
              <w:widowControl w:val="0"/>
              <w:kinsoku/>
              <w:wordWrap/>
              <w:overflowPunct/>
              <w:topLinePunct w:val="0"/>
              <w:autoSpaceDE/>
              <w:autoSpaceDN/>
              <w:bidi w:val="0"/>
              <w:adjustRightInd/>
              <w:snapToGrid/>
              <w:spacing w:line="185" w:lineRule="auto"/>
              <w:ind w:left="0"/>
              <w:jc w:val="center"/>
              <w:textAlignment w:val="auto"/>
              <w:rPr>
                <w:rFonts w:ascii="宋体" w:hAnsi="宋体" w:eastAsia="宋体" w:cs="宋体"/>
                <w:szCs w:val="21"/>
              </w:rPr>
            </w:pPr>
            <w:r>
              <w:rPr>
                <w:rFonts w:ascii="宋体" w:hAnsi="宋体" w:eastAsia="宋体" w:cs="宋体"/>
                <w:szCs w:val="21"/>
              </w:rPr>
              <w:t>4</w:t>
            </w:r>
          </w:p>
        </w:tc>
        <w:tc>
          <w:tcPr>
            <w:tcW w:w="550" w:type="dxa"/>
            <w:noWrap w:val="0"/>
            <w:vAlign w:val="center"/>
          </w:tcPr>
          <w:p>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kern w:val="2"/>
                <w:sz w:val="21"/>
                <w:szCs w:val="21"/>
                <w:lang w:val="en-US" w:eastAsia="zh-CN" w:bidi="ar-SA"/>
              </w:rPr>
            </w:pPr>
            <w:r>
              <w:rPr>
                <w:rFonts w:hint="eastAsia" w:ascii="宋体" w:hAnsi="宋体" w:eastAsia="宋体" w:cs="宋体"/>
                <w:szCs w:val="21"/>
                <w:lang w:val="en-US" w:eastAsia="zh-CN"/>
              </w:rPr>
              <w:t>5</w:t>
            </w:r>
          </w:p>
        </w:tc>
        <w:tc>
          <w:tcPr>
            <w:tcW w:w="2550"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leftChars="0"/>
              <w:jc w:val="center"/>
              <w:textAlignment w:val="auto"/>
              <w:rPr>
                <w:rFonts w:ascii="宋体" w:hAnsi="宋体" w:eastAsia="宋体" w:cs="宋体"/>
                <w:kern w:val="2"/>
                <w:sz w:val="21"/>
                <w:szCs w:val="21"/>
                <w:lang w:val="en-US" w:eastAsia="zh-CN" w:bidi="ar-SA"/>
              </w:rPr>
            </w:pPr>
            <w:r>
              <w:rPr>
                <w:rFonts w:ascii="宋体" w:hAnsi="宋体" w:eastAsia="宋体" w:cs="宋体"/>
                <w:szCs w:val="21"/>
              </w:rPr>
              <w:t>6</w:t>
            </w:r>
          </w:p>
        </w:tc>
        <w:tc>
          <w:tcPr>
            <w:tcW w:w="2510" w:type="dxa"/>
            <w:tcBorders>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82" w:lineRule="auto"/>
              <w:ind w:left="0" w:leftChars="0"/>
              <w:jc w:val="center"/>
              <w:textAlignment w:val="auto"/>
              <w:rPr>
                <w:rFonts w:ascii="宋体" w:hAnsi="宋体" w:eastAsia="宋体" w:cs="宋体"/>
                <w:kern w:val="2"/>
                <w:sz w:val="21"/>
                <w:szCs w:val="21"/>
                <w:lang w:val="en-US" w:eastAsia="zh-CN" w:bidi="ar-SA"/>
              </w:rPr>
            </w:pPr>
            <w:r>
              <w:rPr>
                <w:rFonts w:ascii="宋体" w:hAnsi="宋体" w:eastAsia="宋体" w:cs="宋体"/>
                <w:szCs w:val="21"/>
              </w:rPr>
              <w:t>7</w:t>
            </w:r>
          </w:p>
        </w:tc>
        <w:tc>
          <w:tcPr>
            <w:tcW w:w="2196" w:type="dxa"/>
            <w:tcBorders>
              <w:lef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ascii="宋体" w:hAnsi="宋体" w:eastAsia="宋体" w:cs="宋体"/>
                <w:kern w:val="2"/>
                <w:sz w:val="21"/>
                <w:szCs w:val="21"/>
                <w:lang w:val="en-US" w:eastAsia="zh-CN" w:bidi="ar-SA"/>
              </w:rPr>
            </w:pPr>
            <w:r>
              <w:rPr>
                <w:rFonts w:ascii="宋体" w:hAnsi="宋体" w:eastAsia="宋体" w:cs="宋体"/>
                <w:szCs w:val="21"/>
              </w:rPr>
              <w:t>8</w:t>
            </w:r>
          </w:p>
        </w:tc>
        <w:tc>
          <w:tcPr>
            <w:tcW w:w="964" w:type="dxa"/>
            <w:noWrap w:val="0"/>
            <w:vAlign w:val="center"/>
          </w:tcPr>
          <w:p>
            <w:pPr>
              <w:keepNext w:val="0"/>
              <w:keepLines w:val="0"/>
              <w:pageBreakBefore w:val="0"/>
              <w:widowControl w:val="0"/>
              <w:kinsoku/>
              <w:wordWrap/>
              <w:overflowPunct/>
              <w:topLinePunct w:val="0"/>
              <w:autoSpaceDE/>
              <w:autoSpaceDN/>
              <w:bidi w:val="0"/>
              <w:adjustRightInd/>
              <w:snapToGrid/>
              <w:spacing w:line="183" w:lineRule="auto"/>
              <w:ind w:left="0" w:firstLine="420" w:firstLineChars="200"/>
              <w:jc w:val="center"/>
              <w:textAlignment w:val="auto"/>
              <w:rPr>
                <w:rFonts w:hint="eastAsia" w:ascii="宋体" w:hAnsi="宋体" w:eastAsia="宋体" w:cs="宋体"/>
                <w:szCs w:val="21"/>
                <w:lang w:eastAsia="zh-CN"/>
              </w:rPr>
            </w:pPr>
            <w:r>
              <w:rPr>
                <w:rFonts w:hint="eastAsia" w:ascii="宋体" w:hAnsi="宋体" w:eastAsia="宋体" w:cs="宋体"/>
                <w:szCs w:val="21"/>
                <w:lang w:val="en-US" w:eastAsia="zh-CN"/>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序号</w:t>
            </w:r>
          </w:p>
        </w:tc>
        <w:tc>
          <w:tcPr>
            <w:tcW w:w="2315" w:type="dxa"/>
            <w:gridSpan w:val="2"/>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货物名称</w:t>
            </w:r>
          </w:p>
        </w:tc>
        <w:tc>
          <w:tcPr>
            <w:tcW w:w="1722"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型号和规格</w:t>
            </w:r>
          </w:p>
        </w:tc>
        <w:tc>
          <w:tcPr>
            <w:tcW w:w="703"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数量</w:t>
            </w:r>
          </w:p>
        </w:tc>
        <w:tc>
          <w:tcPr>
            <w:tcW w:w="550" w:type="dxa"/>
            <w:noWrap w:val="0"/>
            <w:vAlign w:val="center"/>
          </w:tcPr>
          <w:p>
            <w:pPr>
              <w:spacing w:line="221" w:lineRule="auto"/>
              <w:jc w:val="center"/>
              <w:rPr>
                <w:rFonts w:hint="eastAsia" w:ascii="宋体" w:hAnsi="宋体" w:eastAsia="宋体" w:cs="宋体"/>
                <w:spacing w:val="-1"/>
                <w:szCs w:val="21"/>
                <w:lang w:val="en-US" w:eastAsia="zh-CN"/>
              </w:rPr>
            </w:pPr>
            <w:r>
              <w:rPr>
                <w:rFonts w:hint="eastAsia" w:ascii="宋体" w:hAnsi="宋体" w:eastAsia="宋体" w:cs="宋体"/>
                <w:spacing w:val="-1"/>
                <w:szCs w:val="21"/>
                <w:lang w:val="en-US" w:eastAsia="zh-CN"/>
              </w:rPr>
              <w:t>单位</w:t>
            </w:r>
          </w:p>
        </w:tc>
        <w:tc>
          <w:tcPr>
            <w:tcW w:w="2550"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原产地和制造商名称</w:t>
            </w:r>
          </w:p>
        </w:tc>
        <w:tc>
          <w:tcPr>
            <w:tcW w:w="2510" w:type="dxa"/>
            <w:tcBorders>
              <w:right w:val="single" w:color="000000" w:sz="4" w:space="0"/>
            </w:tcBorders>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单价（不含税）</w:t>
            </w:r>
          </w:p>
          <w:p>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2196" w:type="dxa"/>
            <w:tcBorders>
              <w:left w:val="single" w:color="000000" w:sz="4" w:space="0"/>
            </w:tcBorders>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总价[4×</w:t>
            </w:r>
            <w:r>
              <w:rPr>
                <w:rFonts w:hint="eastAsia" w:ascii="宋体" w:hAnsi="宋体" w:eastAsia="宋体" w:cs="宋体"/>
                <w:spacing w:val="-1"/>
                <w:szCs w:val="21"/>
                <w:lang w:val="en-US" w:eastAsia="zh-CN"/>
              </w:rPr>
              <w:t>7</w:t>
            </w:r>
            <w:r>
              <w:rPr>
                <w:rFonts w:hint="eastAsia" w:ascii="宋体" w:hAnsi="宋体" w:eastAsia="宋体" w:cs="宋体"/>
                <w:spacing w:val="-1"/>
                <w:szCs w:val="21"/>
              </w:rPr>
              <w:t>]（不含税）</w:t>
            </w:r>
          </w:p>
          <w:p>
            <w:pPr>
              <w:spacing w:line="221" w:lineRule="auto"/>
              <w:jc w:val="center"/>
              <w:rPr>
                <w:rFonts w:ascii="宋体" w:hAnsi="宋体" w:eastAsia="宋体" w:cs="宋体"/>
                <w:spacing w:val="-1"/>
                <w:szCs w:val="21"/>
              </w:rPr>
            </w:pPr>
            <w:r>
              <w:rPr>
                <w:rFonts w:hint="eastAsia" w:ascii="宋体" w:hAnsi="宋体" w:eastAsia="宋体" w:cs="宋体"/>
                <w:spacing w:val="-1"/>
                <w:szCs w:val="21"/>
              </w:rPr>
              <w:t>(元)</w:t>
            </w:r>
          </w:p>
        </w:tc>
        <w:tc>
          <w:tcPr>
            <w:tcW w:w="964" w:type="dxa"/>
            <w:noWrap w:val="0"/>
            <w:vAlign w:val="center"/>
          </w:tcPr>
          <w:p>
            <w:pPr>
              <w:spacing w:line="221" w:lineRule="auto"/>
              <w:jc w:val="center"/>
              <w:rPr>
                <w:rFonts w:ascii="宋体" w:hAnsi="宋体" w:eastAsia="宋体" w:cs="宋体"/>
                <w:spacing w:val="-1"/>
                <w:szCs w:val="21"/>
              </w:rPr>
            </w:pPr>
            <w:r>
              <w:rPr>
                <w:rFonts w:hint="eastAsia"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14116" w:type="dxa"/>
            <w:gridSpan w:val="10"/>
            <w:noWrap w:val="0"/>
            <w:vAlign w:val="center"/>
          </w:tcPr>
          <w:p>
            <w:pPr>
              <w:jc w:val="center"/>
              <w:rPr>
                <w:rFonts w:hint="eastAsia" w:ascii="宋体" w:hAnsi="宋体" w:eastAsia="宋体" w:cs="宋体"/>
                <w:sz w:val="21"/>
                <w:szCs w:val="21"/>
              </w:rPr>
            </w:pPr>
            <w:r>
              <w:rPr>
                <w:rFonts w:hint="eastAsia" w:ascii="宋体" w:hAnsi="宋体" w:eastAsia="宋体" w:cs="宋体"/>
                <w:sz w:val="20"/>
                <w:szCs w:val="20"/>
                <w:highlight w:val="yellow"/>
                <w:lang w:val="en-US" w:eastAsia="zh-CN"/>
              </w:rPr>
              <w:t>减振器轮毂分装拧紧设备改造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color w:val="000000"/>
                <w:kern w:val="2"/>
                <w:sz w:val="21"/>
                <w:szCs w:val="21"/>
                <w:lang w:val="en-US" w:eastAsia="zh-CN" w:bidi="ar-SA"/>
              </w:rPr>
              <w:t>1</w:t>
            </w:r>
          </w:p>
        </w:tc>
        <w:tc>
          <w:tcPr>
            <w:tcW w:w="2315"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变位机构及主体</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w:t>
            </w:r>
          </w:p>
        </w:tc>
        <w:tc>
          <w:tcPr>
            <w:tcW w:w="2315"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安全防护</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w:t>
            </w:r>
          </w:p>
        </w:tc>
        <w:tc>
          <w:tcPr>
            <w:tcW w:w="2315"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吊装夹具</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c>
          <w:tcPr>
            <w:tcW w:w="2315"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电气控制系统</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5</w:t>
            </w:r>
          </w:p>
        </w:tc>
        <w:tc>
          <w:tcPr>
            <w:tcW w:w="2315" w:type="dxa"/>
            <w:gridSpan w:val="2"/>
            <w:shd w:val="clear" w:color="auto" w:fill="auto"/>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机械系统</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14116" w:type="dxa"/>
            <w:gridSpan w:val="10"/>
            <w:noWrap w:val="0"/>
            <w:vAlign w:val="center"/>
          </w:tcPr>
          <w:p>
            <w:pPr>
              <w:jc w:val="center"/>
              <w:rPr>
                <w:rFonts w:hint="eastAsia" w:ascii="宋体" w:hAnsi="宋体" w:eastAsia="宋体" w:cs="宋体"/>
                <w:sz w:val="21"/>
                <w:szCs w:val="21"/>
              </w:rPr>
            </w:pPr>
            <w:r>
              <w:rPr>
                <w:rFonts w:hint="eastAsia" w:ascii="宋体" w:hAnsi="宋体" w:eastAsia="宋体" w:cs="宋体"/>
                <w:i w:val="0"/>
                <w:iCs w:val="0"/>
                <w:color w:val="000000"/>
                <w:kern w:val="0"/>
                <w:sz w:val="20"/>
                <w:szCs w:val="20"/>
                <w:highlight w:val="yellow"/>
                <w:u w:val="none"/>
                <w:lang w:val="en-US" w:eastAsia="zh-CN" w:bidi="ar"/>
              </w:rPr>
              <w:t>机油模块自动拧紧设备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6</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机器人</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7</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i w:val="0"/>
                <w:iCs w:val="0"/>
                <w:color w:val="000000"/>
                <w:kern w:val="0"/>
                <w:sz w:val="20"/>
                <w:szCs w:val="20"/>
                <w:u w:val="none"/>
                <w:lang w:val="en-US" w:eastAsia="zh-CN" w:bidi="ar"/>
              </w:rPr>
              <w:t>拧紧轴</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kern w:val="2"/>
                <w:sz w:val="21"/>
                <w:szCs w:val="21"/>
                <w:lang w:val="en-US" w:eastAsia="zh-CN" w:bidi="ar-SA"/>
              </w:rPr>
            </w:pPr>
          </w:p>
        </w:tc>
        <w:tc>
          <w:tcPr>
            <w:tcW w:w="550" w:type="dxa"/>
            <w:noWrap w:val="0"/>
            <w:vAlign w:val="top"/>
          </w:tcPr>
          <w:p>
            <w:pPr>
              <w:jc w:val="center"/>
              <w:rPr>
                <w:rFonts w:hint="eastAsia" w:ascii="宋体" w:hAnsi="宋体" w:eastAsia="宋体" w:cs="宋体"/>
                <w:kern w:val="2"/>
                <w:sz w:val="21"/>
                <w:szCs w:val="21"/>
                <w:lang w:val="en-US" w:eastAsia="zh-CN" w:bidi="ar-SA"/>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i w:val="0"/>
                <w:iCs w:val="0"/>
                <w:color w:val="000000"/>
                <w:kern w:val="0"/>
                <w:sz w:val="20"/>
                <w:szCs w:val="20"/>
                <w:u w:val="none"/>
                <w:lang w:val="en-US" w:eastAsia="zh-CN" w:bidi="ar"/>
              </w:rPr>
              <w:t>工控机</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sz w:val="21"/>
                <w:szCs w:val="21"/>
              </w:rPr>
            </w:pPr>
          </w:p>
        </w:tc>
        <w:tc>
          <w:tcPr>
            <w:tcW w:w="550" w:type="dxa"/>
            <w:noWrap w:val="0"/>
            <w:vAlign w:val="top"/>
          </w:tcPr>
          <w:p>
            <w:pPr>
              <w:jc w:val="center"/>
              <w:rPr>
                <w:rFonts w:hint="eastAsia" w:ascii="宋体" w:hAnsi="宋体" w:eastAsia="宋体" w:cs="宋体"/>
                <w:sz w:val="21"/>
                <w:szCs w:val="21"/>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pStyle w:val="126"/>
              <w:numPr>
                <w:ilvl w:val="0"/>
                <w:numId w:val="0"/>
              </w:numPr>
              <w:adjustRightInd w:val="0"/>
              <w:snapToGrid w:val="0"/>
              <w:spacing w:line="240" w:lineRule="auto"/>
              <w:ind w:left="0" w:leftChars="0" w:firstLine="0" w:firstLineChars="0"/>
              <w:jc w:val="center"/>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i w:val="0"/>
                <w:iCs w:val="0"/>
                <w:color w:val="000000"/>
                <w:kern w:val="0"/>
                <w:sz w:val="20"/>
                <w:szCs w:val="20"/>
                <w:u w:val="none"/>
                <w:lang w:val="en-US" w:eastAsia="zh-CN" w:bidi="ar"/>
              </w:rPr>
              <w:t>新增安全防护</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sz w:val="21"/>
                <w:szCs w:val="21"/>
              </w:rPr>
            </w:pPr>
          </w:p>
        </w:tc>
        <w:tc>
          <w:tcPr>
            <w:tcW w:w="550" w:type="dxa"/>
            <w:noWrap w:val="0"/>
            <w:vAlign w:val="top"/>
          </w:tcPr>
          <w:p>
            <w:pPr>
              <w:jc w:val="center"/>
              <w:rPr>
                <w:rFonts w:hint="eastAsia" w:ascii="宋体" w:hAnsi="宋体" w:eastAsia="宋体" w:cs="宋体"/>
                <w:sz w:val="21"/>
                <w:szCs w:val="21"/>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adjustRightInd w:val="0"/>
              <w:snapToGrid w:val="0"/>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10</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i w:val="0"/>
                <w:iCs w:val="0"/>
                <w:color w:val="000000"/>
                <w:kern w:val="0"/>
                <w:sz w:val="20"/>
                <w:szCs w:val="20"/>
                <w:u w:val="none"/>
                <w:lang w:val="en-US" w:eastAsia="zh-CN" w:bidi="ar"/>
              </w:rPr>
              <w:t>机械系统</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sz w:val="21"/>
                <w:szCs w:val="21"/>
              </w:rPr>
            </w:pPr>
          </w:p>
        </w:tc>
        <w:tc>
          <w:tcPr>
            <w:tcW w:w="550" w:type="dxa"/>
            <w:noWrap w:val="0"/>
            <w:vAlign w:val="top"/>
          </w:tcPr>
          <w:p>
            <w:pPr>
              <w:jc w:val="center"/>
              <w:rPr>
                <w:rFonts w:hint="eastAsia" w:ascii="宋体" w:hAnsi="宋体" w:eastAsia="宋体" w:cs="宋体"/>
                <w:sz w:val="21"/>
                <w:szCs w:val="21"/>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shd w:val="clear" w:color="auto" w:fill="auto"/>
            <w:noWrap w:val="0"/>
            <w:vAlign w:val="center"/>
          </w:tcPr>
          <w:p>
            <w:pPr>
              <w:adjustRightInd w:val="0"/>
              <w:snapToGrid w:val="0"/>
              <w:spacing w:before="0" w:line="240" w:lineRule="auto"/>
              <w:ind w:left="0" w:leftChars="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11</w:t>
            </w:r>
          </w:p>
        </w:tc>
        <w:tc>
          <w:tcPr>
            <w:tcW w:w="2315" w:type="dxa"/>
            <w:gridSpan w:val="2"/>
            <w:noWrap w:val="0"/>
            <w:vAlign w:val="center"/>
          </w:tcPr>
          <w:p>
            <w:pPr>
              <w:keepNext w:val="0"/>
              <w:keepLines w:val="0"/>
              <w:widowControl/>
              <w:suppressLineNumbers w:val="0"/>
              <w:jc w:val="center"/>
              <w:textAlignment w:val="center"/>
              <w:rPr>
                <w:rFonts w:hint="eastAsia" w:ascii="宋体" w:hAnsi="宋体" w:eastAsia="宋体" w:cs="宋体"/>
                <w:sz w:val="21"/>
                <w:szCs w:val="21"/>
                <w:highlight w:val="none"/>
              </w:rPr>
            </w:pPr>
            <w:r>
              <w:rPr>
                <w:rFonts w:hint="eastAsia" w:ascii="宋体" w:hAnsi="宋体" w:eastAsia="宋体" w:cs="宋体"/>
                <w:i w:val="0"/>
                <w:iCs w:val="0"/>
                <w:color w:val="000000"/>
                <w:kern w:val="0"/>
                <w:sz w:val="20"/>
                <w:szCs w:val="20"/>
                <w:u w:val="none"/>
                <w:lang w:val="en-US" w:eastAsia="zh-CN" w:bidi="ar"/>
              </w:rPr>
              <w:t>电气控制系统</w:t>
            </w:r>
          </w:p>
        </w:tc>
        <w:tc>
          <w:tcPr>
            <w:tcW w:w="1722" w:type="dxa"/>
            <w:noWrap w:val="0"/>
            <w:vAlign w:val="top"/>
          </w:tcPr>
          <w:p>
            <w:pPr>
              <w:jc w:val="center"/>
              <w:rPr>
                <w:rFonts w:hint="eastAsia" w:ascii="宋体" w:hAnsi="宋体" w:eastAsia="宋体" w:cs="宋体"/>
                <w:kern w:val="2"/>
                <w:sz w:val="21"/>
                <w:szCs w:val="21"/>
                <w:lang w:val="en-US" w:eastAsia="zh-CN" w:bidi="ar-SA"/>
              </w:rPr>
            </w:pPr>
          </w:p>
        </w:tc>
        <w:tc>
          <w:tcPr>
            <w:tcW w:w="703" w:type="dxa"/>
            <w:noWrap w:val="0"/>
            <w:vAlign w:val="top"/>
          </w:tcPr>
          <w:p>
            <w:pPr>
              <w:jc w:val="center"/>
              <w:rPr>
                <w:rFonts w:hint="eastAsia" w:ascii="宋体" w:hAnsi="宋体" w:eastAsia="宋体" w:cs="宋体"/>
                <w:sz w:val="21"/>
                <w:szCs w:val="21"/>
              </w:rPr>
            </w:pPr>
          </w:p>
        </w:tc>
        <w:tc>
          <w:tcPr>
            <w:tcW w:w="550" w:type="dxa"/>
            <w:noWrap w:val="0"/>
            <w:vAlign w:val="top"/>
          </w:tcPr>
          <w:p>
            <w:pPr>
              <w:jc w:val="center"/>
              <w:rPr>
                <w:rFonts w:hint="eastAsia" w:ascii="宋体" w:hAnsi="宋体" w:eastAsia="宋体" w:cs="宋体"/>
                <w:sz w:val="21"/>
                <w:szCs w:val="21"/>
              </w:rPr>
            </w:pPr>
          </w:p>
        </w:tc>
        <w:tc>
          <w:tcPr>
            <w:tcW w:w="2550" w:type="dxa"/>
            <w:noWrap w:val="0"/>
            <w:vAlign w:val="top"/>
          </w:tcPr>
          <w:p>
            <w:pPr>
              <w:rPr>
                <w:rFonts w:hint="eastAsia" w:ascii="宋体" w:hAnsi="宋体" w:eastAsia="宋体" w:cs="宋体"/>
                <w:kern w:val="2"/>
                <w:sz w:val="21"/>
                <w:szCs w:val="21"/>
                <w:lang w:val="en-US" w:eastAsia="zh-CN" w:bidi="ar-SA"/>
              </w:rPr>
            </w:pPr>
          </w:p>
        </w:tc>
        <w:tc>
          <w:tcPr>
            <w:tcW w:w="2510" w:type="dxa"/>
            <w:tcBorders>
              <w:right w:val="single" w:color="000000" w:sz="4" w:space="0"/>
            </w:tcBorders>
            <w:noWrap w:val="0"/>
            <w:vAlign w:val="top"/>
          </w:tcPr>
          <w:p>
            <w:pPr>
              <w:ind w:left="105" w:leftChars="50"/>
              <w:jc w:val="left"/>
              <w:rPr>
                <w:rFonts w:hint="eastAsia" w:ascii="宋体" w:hAnsi="宋体" w:eastAsia="宋体" w:cs="宋体"/>
                <w:sz w:val="21"/>
                <w:szCs w:val="21"/>
              </w:rPr>
            </w:pPr>
          </w:p>
        </w:tc>
        <w:tc>
          <w:tcPr>
            <w:tcW w:w="2196" w:type="dxa"/>
            <w:tcBorders>
              <w:left w:val="single" w:color="000000" w:sz="4" w:space="0"/>
            </w:tcBorders>
            <w:noWrap w:val="0"/>
            <w:vAlign w:val="top"/>
          </w:tcPr>
          <w:p>
            <w:pPr>
              <w:ind w:left="105" w:leftChars="50"/>
              <w:jc w:val="left"/>
              <w:rPr>
                <w:rFonts w:hint="eastAsia" w:ascii="宋体" w:hAnsi="宋体" w:eastAsia="宋体" w:cs="宋体"/>
                <w:sz w:val="21"/>
                <w:szCs w:val="21"/>
              </w:rPr>
            </w:pPr>
          </w:p>
        </w:tc>
        <w:tc>
          <w:tcPr>
            <w:tcW w:w="964" w:type="dxa"/>
            <w:noWrap w:val="0"/>
            <w:vAlign w:val="top"/>
          </w:tcPr>
          <w:p>
            <w:pPr>
              <w:rPr>
                <w:rFonts w:hint="eastAsia" w:ascii="宋体" w:hAnsi="宋体" w:eastAsia="宋体" w:cs="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noWrap w:val="0"/>
            <w:vAlign w:val="center"/>
          </w:tcPr>
          <w:p>
            <w:pPr>
              <w:spacing w:before="0" w:line="240" w:lineRule="auto"/>
              <w:ind w:left="0"/>
              <w:jc w:val="center"/>
              <w:rPr>
                <w:rFonts w:ascii="宋体" w:hAnsi="宋体" w:eastAsia="宋体" w:cs="宋体"/>
                <w:szCs w:val="21"/>
              </w:rPr>
            </w:pPr>
            <w:r>
              <w:rPr>
                <w:rFonts w:ascii="宋体" w:hAnsi="宋体" w:eastAsia="宋体" w:cs="宋体"/>
                <w:position w:val="1"/>
                <w:szCs w:val="21"/>
              </w:rPr>
              <w:t>…</w:t>
            </w:r>
          </w:p>
        </w:tc>
        <w:tc>
          <w:tcPr>
            <w:tcW w:w="2315" w:type="dxa"/>
            <w:gridSpan w:val="2"/>
            <w:noWrap w:val="0"/>
            <w:vAlign w:val="top"/>
          </w:tcPr>
          <w:p>
            <w:pPr>
              <w:rPr>
                <w:rFonts w:ascii="Arial"/>
              </w:rPr>
            </w:pPr>
            <w:r>
              <w:rPr>
                <w:rFonts w:hint="eastAsia" w:ascii="宋体" w:hAnsi="宋体" w:eastAsia="宋体" w:cs="宋体"/>
              </w:rPr>
              <w:t>以上投标设备不足之处请往下添加序号自行补充</w:t>
            </w:r>
          </w:p>
        </w:tc>
        <w:tc>
          <w:tcPr>
            <w:tcW w:w="1722" w:type="dxa"/>
            <w:noWrap w:val="0"/>
            <w:vAlign w:val="top"/>
          </w:tcPr>
          <w:p>
            <w:pPr>
              <w:rPr>
                <w:rFonts w:ascii="Arial"/>
              </w:rPr>
            </w:pPr>
          </w:p>
        </w:tc>
        <w:tc>
          <w:tcPr>
            <w:tcW w:w="703" w:type="dxa"/>
            <w:noWrap w:val="0"/>
            <w:vAlign w:val="top"/>
          </w:tcPr>
          <w:p>
            <w:pPr>
              <w:rPr>
                <w:rFonts w:ascii="Arial"/>
              </w:rPr>
            </w:pPr>
          </w:p>
        </w:tc>
        <w:tc>
          <w:tcPr>
            <w:tcW w:w="550" w:type="dxa"/>
            <w:noWrap w:val="0"/>
            <w:vAlign w:val="top"/>
          </w:tcPr>
          <w:p>
            <w:pPr>
              <w:rPr>
                <w:rFonts w:ascii="Arial"/>
              </w:rPr>
            </w:pPr>
          </w:p>
        </w:tc>
        <w:tc>
          <w:tcPr>
            <w:tcW w:w="2550" w:type="dxa"/>
            <w:noWrap w:val="0"/>
            <w:vAlign w:val="top"/>
          </w:tcPr>
          <w:p>
            <w:pPr>
              <w:rPr>
                <w:rFonts w:ascii="Arial"/>
              </w:rPr>
            </w:pPr>
          </w:p>
        </w:tc>
        <w:tc>
          <w:tcPr>
            <w:tcW w:w="2510" w:type="dxa"/>
            <w:tcBorders>
              <w:right w:val="single" w:color="000000" w:sz="4" w:space="0"/>
            </w:tcBorders>
            <w:noWrap w:val="0"/>
            <w:vAlign w:val="top"/>
          </w:tcPr>
          <w:p>
            <w:pPr>
              <w:rPr>
                <w:rFonts w:ascii="Arial"/>
              </w:rPr>
            </w:pPr>
          </w:p>
        </w:tc>
        <w:tc>
          <w:tcPr>
            <w:tcW w:w="2196" w:type="dxa"/>
            <w:tcBorders>
              <w:left w:val="single" w:color="000000" w:sz="4" w:space="0"/>
            </w:tcBorders>
            <w:noWrap w:val="0"/>
            <w:vAlign w:val="top"/>
          </w:tcPr>
          <w:p>
            <w:pPr>
              <w:rPr>
                <w:rFonts w:ascii="Arial"/>
              </w:rPr>
            </w:pPr>
          </w:p>
        </w:tc>
        <w:tc>
          <w:tcPr>
            <w:tcW w:w="964"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noWrap w:val="0"/>
            <w:vAlign w:val="top"/>
          </w:tcPr>
          <w:p>
            <w:pPr>
              <w:jc w:val="center"/>
              <w:rPr>
                <w:rFonts w:ascii="宋体" w:hAnsi="宋体" w:eastAsia="宋体" w:cs="宋体"/>
                <w:spacing w:val="-6"/>
                <w:szCs w:val="21"/>
              </w:rPr>
            </w:pPr>
          </w:p>
        </w:tc>
        <w:tc>
          <w:tcPr>
            <w:tcW w:w="9440" w:type="dxa"/>
            <w:gridSpan w:val="6"/>
            <w:tcBorders>
              <w:right w:val="single" w:color="000000" w:sz="4" w:space="0"/>
            </w:tcBorders>
            <w:noWrap w:val="0"/>
            <w:vAlign w:val="top"/>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196" w:type="dxa"/>
            <w:tcBorders>
              <w:left w:val="single" w:color="000000" w:sz="4" w:space="0"/>
            </w:tcBorders>
            <w:noWrap w:val="0"/>
            <w:vAlign w:val="top"/>
          </w:tcPr>
          <w:p>
            <w:pPr>
              <w:rPr>
                <w:rFonts w:ascii="Arial"/>
              </w:rPr>
            </w:pPr>
          </w:p>
        </w:tc>
        <w:tc>
          <w:tcPr>
            <w:tcW w:w="964" w:type="dxa"/>
            <w:noWrap w:val="0"/>
            <w:vAlign w:val="top"/>
          </w:tcPr>
          <w:p>
            <w:pPr>
              <w:rPr>
                <w:rFonts w:ascii="Arial"/>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3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noWrap w:val="0"/>
            <w:vAlign w:val="top"/>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rPr>
              <w:t>序号</w:t>
            </w:r>
          </w:p>
        </w:tc>
        <w:tc>
          <w:tcPr>
            <w:tcW w:w="3530" w:type="dxa"/>
            <w:vMerge w:val="restart"/>
            <w:tcBorders>
              <w:bottom w:val="nil"/>
            </w:tcBorders>
            <w:noWrap w:val="0"/>
            <w:vAlign w:val="top"/>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rPr>
              <w:t>内  容</w:t>
            </w:r>
          </w:p>
        </w:tc>
        <w:tc>
          <w:tcPr>
            <w:tcW w:w="2159" w:type="dxa"/>
            <w:noWrap w:val="0"/>
            <w:vAlign w:val="top"/>
          </w:tcPr>
          <w:p>
            <w:pPr>
              <w:spacing w:before="130" w:line="221" w:lineRule="auto"/>
              <w:ind w:left="766"/>
              <w:rPr>
                <w:rFonts w:ascii="宋体" w:hAnsi="宋体" w:eastAsia="宋体" w:cs="宋体"/>
                <w:szCs w:val="21"/>
              </w:rPr>
            </w:pPr>
            <w:r>
              <w:rPr>
                <w:rFonts w:ascii="宋体" w:hAnsi="宋体" w:eastAsia="宋体" w:cs="宋体"/>
                <w:spacing w:val="-1"/>
                <w:szCs w:val="21"/>
              </w:rPr>
              <w:t>数  量</w:t>
            </w:r>
          </w:p>
        </w:tc>
        <w:tc>
          <w:tcPr>
            <w:tcW w:w="218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单价(元)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596" w:type="dxa"/>
            <w:noWrap w:val="0"/>
            <w:vAlign w:val="top"/>
          </w:tcPr>
          <w:p>
            <w:pPr>
              <w:spacing w:before="131" w:line="219" w:lineRule="auto"/>
              <w:jc w:val="center"/>
              <w:rPr>
                <w:rFonts w:ascii="宋体" w:hAnsi="宋体" w:eastAsia="宋体" w:cs="宋体"/>
                <w:spacing w:val="-1"/>
                <w:szCs w:val="21"/>
              </w:rPr>
            </w:pPr>
            <w:r>
              <w:rPr>
                <w:rFonts w:ascii="宋体" w:hAnsi="宋体" w:eastAsia="宋体" w:cs="宋体"/>
                <w:spacing w:val="-1"/>
                <w:szCs w:val="21"/>
              </w:rPr>
              <w:t>总价(元)</w:t>
            </w:r>
            <w:r>
              <w:rPr>
                <w:rFonts w:hint="eastAsia" w:ascii="宋体" w:hAnsi="宋体" w:eastAsia="宋体" w:cs="宋体"/>
                <w:spacing w:val="-1"/>
                <w:szCs w:val="21"/>
              </w:rPr>
              <w:t>（</w:t>
            </w:r>
            <w:r>
              <w:rPr>
                <w:rFonts w:hint="eastAsia" w:ascii="宋体" w:hAnsi="宋体" w:eastAsia="宋体" w:cs="宋体"/>
                <w:spacing w:val="-1"/>
                <w:szCs w:val="21"/>
                <w:lang w:val="en-US" w:eastAsia="zh-CN"/>
              </w:rPr>
              <w:t>不</w:t>
            </w:r>
            <w:r>
              <w:rPr>
                <w:rFonts w:hint="eastAsia" w:ascii="宋体" w:hAnsi="宋体" w:eastAsia="宋体" w:cs="宋体"/>
                <w:spacing w:val="-1"/>
                <w:szCs w:val="21"/>
              </w:rPr>
              <w:t>含税）</w:t>
            </w:r>
          </w:p>
        </w:tc>
        <w:tc>
          <w:tcPr>
            <w:tcW w:w="2164" w:type="dxa"/>
            <w:noWrap w:val="0"/>
            <w:vAlign w:val="top"/>
          </w:tcPr>
          <w:p>
            <w:pPr>
              <w:spacing w:before="130" w:line="222" w:lineRule="auto"/>
              <w:ind w:left="770"/>
              <w:rPr>
                <w:rFonts w:ascii="宋体" w:hAnsi="宋体" w:eastAsia="宋体" w:cs="宋体"/>
                <w:szCs w:val="21"/>
              </w:rPr>
            </w:pPr>
            <w:r>
              <w:rPr>
                <w:rFonts w:ascii="宋体" w:hAnsi="宋体" w:eastAsia="宋体" w:cs="宋体"/>
                <w:spacing w:val="-1"/>
                <w:szCs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noWrap w:val="0"/>
            <w:vAlign w:val="top"/>
          </w:tcPr>
          <w:p>
            <w:pPr>
              <w:rPr>
                <w:rFonts w:ascii="Arial"/>
              </w:rPr>
            </w:pPr>
          </w:p>
        </w:tc>
        <w:tc>
          <w:tcPr>
            <w:tcW w:w="3530" w:type="dxa"/>
            <w:vMerge w:val="continue"/>
            <w:tcBorders>
              <w:top w:val="nil"/>
            </w:tcBorders>
            <w:noWrap w:val="0"/>
            <w:vAlign w:val="top"/>
          </w:tcPr>
          <w:p>
            <w:pPr>
              <w:rPr>
                <w:rFonts w:ascii="Arial"/>
              </w:rPr>
            </w:pPr>
          </w:p>
        </w:tc>
        <w:tc>
          <w:tcPr>
            <w:tcW w:w="2159" w:type="dxa"/>
            <w:noWrap w:val="0"/>
            <w:vAlign w:val="top"/>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noWrap w:val="0"/>
            <w:vAlign w:val="top"/>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noWrap w:val="0"/>
            <w:vAlign w:val="top"/>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noWrap w:val="0"/>
            <w:vAlign w:val="top"/>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noWrap w:val="0"/>
            <w:vAlign w:val="top"/>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restart"/>
            <w:tcBorders>
              <w:bottom w:val="nil"/>
            </w:tcBorders>
            <w:noWrap w:val="0"/>
            <w:vAlign w:val="top"/>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pPr>
              <w:spacing w:before="248" w:line="185" w:lineRule="auto"/>
              <w:ind w:left="350"/>
              <w:rPr>
                <w:rFonts w:hint="default" w:ascii="宋体" w:hAnsi="宋体" w:eastAsia="宋体" w:cs="宋体"/>
                <w:szCs w:val="21"/>
                <w:lang w:val="en-US" w:eastAsia="zh-CN"/>
              </w:rPr>
            </w:pPr>
            <w:r>
              <w:rPr>
                <w:rFonts w:hint="eastAsia" w:ascii="宋体" w:hAnsi="宋体" w:eastAsia="宋体" w:cs="宋体"/>
                <w:szCs w:val="21"/>
                <w:lang w:val="en-US" w:eastAsia="zh-CN"/>
              </w:rPr>
              <w:t>3</w:t>
            </w:r>
          </w:p>
        </w:tc>
        <w:tc>
          <w:tcPr>
            <w:tcW w:w="3530" w:type="dxa"/>
            <w:noWrap w:val="0"/>
            <w:vAlign w:val="top"/>
          </w:tcPr>
          <w:p>
            <w:pPr>
              <w:spacing w:before="212" w:line="221" w:lineRule="auto"/>
              <w:ind w:left="1241"/>
              <w:rPr>
                <w:rFonts w:ascii="宋体" w:hAnsi="宋体" w:eastAsia="宋体" w:cs="宋体"/>
                <w:spacing w:val="-1"/>
                <w:szCs w:val="21"/>
              </w:rPr>
            </w:pPr>
            <w:r>
              <w:rPr>
                <w:rFonts w:hint="eastAsia" w:ascii="宋体" w:hAnsi="宋体" w:eastAsia="宋体" w:cs="宋体"/>
                <w:i w:val="0"/>
                <w:iCs w:val="0"/>
                <w:color w:val="000000"/>
                <w:kern w:val="0"/>
                <w:sz w:val="21"/>
                <w:szCs w:val="21"/>
                <w:u w:val="none"/>
                <w:lang w:val="en-US" w:eastAsia="zh-CN" w:bidi="ar"/>
              </w:rPr>
              <w:t>日常备件/文件及资料</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continue"/>
            <w:tcBorders>
              <w:top w:val="nil"/>
            </w:tcBorders>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noWrap w:val="0"/>
            <w:vAlign w:val="top"/>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noWrap w:val="0"/>
            <w:vAlign w:val="top"/>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vMerge w:val="continue"/>
            <w:tcBorders>
              <w:top w:val="nil"/>
            </w:tcBorders>
            <w:noWrap w:val="0"/>
            <w:vAlign w:val="top"/>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noWrap w:val="0"/>
            <w:vAlign w:val="top"/>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noWrap w:val="0"/>
            <w:vAlign w:val="top"/>
          </w:tcPr>
          <w:p>
            <w:pPr>
              <w:spacing w:before="247" w:line="183" w:lineRule="auto"/>
              <w:ind w:left="352" w:leftChars="0"/>
              <w:rPr>
                <w:rFonts w:hint="eastAsia" w:ascii="宋体" w:hAnsi="宋体" w:eastAsia="宋体" w:cs="宋体"/>
                <w:szCs w:val="21"/>
                <w:lang w:val="en-US" w:eastAsia="zh-CN"/>
              </w:rPr>
            </w:pPr>
            <w:r>
              <w:rPr>
                <w:rFonts w:hint="eastAsia" w:ascii="宋体" w:hAnsi="宋体" w:eastAsia="宋体" w:cs="宋体"/>
                <w:szCs w:val="21"/>
                <w:lang w:val="en-US" w:eastAsia="zh-CN"/>
              </w:rPr>
              <w:t>6</w:t>
            </w:r>
          </w:p>
        </w:tc>
        <w:tc>
          <w:tcPr>
            <w:tcW w:w="3530" w:type="dxa"/>
            <w:noWrap w:val="0"/>
            <w:vAlign w:val="top"/>
          </w:tcPr>
          <w:p>
            <w:pPr>
              <w:spacing w:before="211" w:line="221" w:lineRule="auto"/>
              <w:ind w:left="1557" w:leftChars="0"/>
              <w:rPr>
                <w:rFonts w:ascii="宋体" w:hAnsi="宋体" w:eastAsia="宋体" w:cs="宋体"/>
                <w:spacing w:val="-2"/>
                <w:szCs w:val="21"/>
              </w:rPr>
            </w:pPr>
            <w:r>
              <w:rPr>
                <w:rFonts w:ascii="宋体" w:hAnsi="宋体" w:eastAsia="宋体" w:cs="宋体"/>
                <w:spacing w:val="-2"/>
                <w:szCs w:val="21"/>
              </w:rPr>
              <w:t>其他</w:t>
            </w:r>
          </w:p>
        </w:tc>
        <w:tc>
          <w:tcPr>
            <w:tcW w:w="2159" w:type="dxa"/>
            <w:noWrap w:val="0"/>
            <w:vAlign w:val="top"/>
          </w:tcPr>
          <w:p>
            <w:pPr>
              <w:rPr>
                <w:rFonts w:ascii="Arial"/>
              </w:rPr>
            </w:pPr>
          </w:p>
        </w:tc>
        <w:tc>
          <w:tcPr>
            <w:tcW w:w="2186" w:type="dxa"/>
            <w:noWrap w:val="0"/>
            <w:vAlign w:val="top"/>
          </w:tcPr>
          <w:p>
            <w:pPr>
              <w:rPr>
                <w:rFonts w:ascii="Arial"/>
              </w:rPr>
            </w:pPr>
          </w:p>
        </w:tc>
        <w:tc>
          <w:tcPr>
            <w:tcW w:w="2596" w:type="dxa"/>
            <w:noWrap w:val="0"/>
            <w:vAlign w:val="top"/>
          </w:tcPr>
          <w:p>
            <w:pPr>
              <w:rPr>
                <w:rFonts w:ascii="Arial"/>
              </w:rPr>
            </w:pPr>
          </w:p>
        </w:tc>
        <w:tc>
          <w:tcPr>
            <w:tcW w:w="2164" w:type="dxa"/>
            <w:noWrap w:val="0"/>
            <w:vAlign w:val="top"/>
          </w:tcPr>
          <w:p>
            <w:pPr>
              <w:spacing w:before="210" w:line="221" w:lineRule="auto"/>
              <w:ind w:left="456" w:leftChars="0"/>
              <w:rPr>
                <w:rFonts w:ascii="宋体" w:hAnsi="宋体" w:eastAsia="宋体" w:cs="宋体"/>
                <w:spacing w:val="-2"/>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noWrap w:val="0"/>
            <w:vAlign w:val="top"/>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noWrap w:val="0"/>
            <w:vAlign w:val="top"/>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line="172" w:lineRule="exact"/>
      </w:pPr>
    </w:p>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3"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4"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5"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济南发动机厂拧紧设备改造技改项目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济南发动机厂拧紧设备改造技改项目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济南发动机厂拧紧设备改造技改项目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济南发动机厂拧紧设备改造技改项目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rPr>
          <w:rFonts w:hint="eastAsia" w:ascii="宋体" w:hAnsi="宋体" w:eastAsia="宋体" w:cs="Times New Roman"/>
          <w:b/>
          <w:bCs/>
          <w:sz w:val="24"/>
          <w:szCs w:val="24"/>
          <w:highlight w:val="none"/>
        </w:rPr>
      </w:pPr>
    </w:p>
    <w:tbl>
      <w:tblPr>
        <w:tblStyle w:val="36"/>
        <w:tblW w:w="95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3"/>
        <w:gridCol w:w="2697"/>
        <w:gridCol w:w="640"/>
        <w:gridCol w:w="4905"/>
        <w:gridCol w:w="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评价类型</w:t>
            </w:r>
          </w:p>
        </w:tc>
        <w:tc>
          <w:tcPr>
            <w:tcW w:w="603"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序号</w:t>
            </w:r>
          </w:p>
        </w:tc>
        <w:tc>
          <w:tcPr>
            <w:tcW w:w="2697"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内</w:t>
            </w:r>
            <w:r>
              <w:rPr>
                <w:rFonts w:ascii="宋体" w:hAnsi="宋体" w:cs="Times New Roman"/>
                <w:b/>
                <w:sz w:val="18"/>
                <w:szCs w:val="18"/>
              </w:rPr>
              <w:t xml:space="preserve">   </w:t>
            </w:r>
            <w:r>
              <w:rPr>
                <w:rFonts w:hint="eastAsia" w:ascii="宋体" w:hAnsi="宋体" w:cs="Times New Roman"/>
                <w:b/>
                <w:sz w:val="18"/>
                <w:szCs w:val="18"/>
              </w:rPr>
              <w:t>容</w:t>
            </w:r>
          </w:p>
        </w:tc>
        <w:tc>
          <w:tcPr>
            <w:tcW w:w="640" w:type="dxa"/>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标准分</w:t>
            </w:r>
          </w:p>
        </w:tc>
        <w:tc>
          <w:tcPr>
            <w:tcW w:w="4910" w:type="dxa"/>
            <w:gridSpan w:val="2"/>
            <w:noWrap w:val="0"/>
            <w:vAlign w:val="center"/>
          </w:tcPr>
          <w:p>
            <w:pPr>
              <w:tabs>
                <w:tab w:val="left" w:pos="13965"/>
              </w:tabs>
              <w:jc w:val="center"/>
              <w:rPr>
                <w:rFonts w:ascii="宋体" w:hAnsi="宋体" w:cs="Times New Roman"/>
                <w:b/>
                <w:sz w:val="18"/>
                <w:szCs w:val="18"/>
              </w:rPr>
            </w:pPr>
            <w:r>
              <w:rPr>
                <w:rFonts w:hint="eastAsia" w:ascii="宋体" w:hAnsi="宋体" w:cs="Times New Roman"/>
                <w:b/>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noWrap w:val="0"/>
            <w:vAlign w:val="center"/>
          </w:tcPr>
          <w:p>
            <w:pPr>
              <w:tabs>
                <w:tab w:val="left" w:pos="13965"/>
              </w:tabs>
              <w:jc w:val="center"/>
              <w:rPr>
                <w:rFonts w:hint="eastAsia" w:ascii="宋体" w:hAnsi="宋体" w:eastAsia="等线" w:cs="Times New Roman"/>
                <w:b/>
                <w:bCs/>
                <w:sz w:val="18"/>
                <w:szCs w:val="18"/>
                <w:lang w:val="en-US" w:eastAsia="zh-CN"/>
              </w:rPr>
            </w:pPr>
            <w:r>
              <w:rPr>
                <w:rFonts w:hint="eastAsia" w:ascii="宋体" w:hAnsi="宋体" w:cs="Times New Roman"/>
                <w:b/>
                <w:bCs/>
                <w:sz w:val="18"/>
                <w:szCs w:val="18"/>
              </w:rPr>
              <w:t>技术</w:t>
            </w:r>
            <w:r>
              <w:rPr>
                <w:rFonts w:hint="eastAsia" w:ascii="宋体" w:hAnsi="宋体" w:cs="Times New Roman"/>
                <w:b/>
                <w:bCs/>
                <w:sz w:val="18"/>
                <w:szCs w:val="18"/>
                <w:lang w:val="en-US" w:eastAsia="zh-CN"/>
              </w:rPr>
              <w:t>标</w:t>
            </w:r>
          </w:p>
          <w:p>
            <w:pPr>
              <w:tabs>
                <w:tab w:val="left" w:pos="13965"/>
              </w:tabs>
              <w:rPr>
                <w:rFonts w:ascii="宋体" w:hAnsi="宋体" w:cs="Times New Roman"/>
                <w:sz w:val="18"/>
                <w:szCs w:val="18"/>
              </w:rPr>
            </w:pPr>
            <w:r>
              <w:rPr>
                <w:rFonts w:ascii="宋体" w:hAnsi="宋体" w:cs="Times New Roman"/>
                <w:sz w:val="18"/>
                <w:szCs w:val="18"/>
              </w:rPr>
              <w:t>100</w:t>
            </w:r>
            <w:r>
              <w:rPr>
                <w:rFonts w:hint="eastAsia" w:ascii="宋体" w:hAnsi="宋体" w:cs="Times New Roman"/>
                <w:sz w:val="18"/>
                <w:szCs w:val="18"/>
              </w:rPr>
              <w:t>分</w:t>
            </w: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1</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设备制造商同 类型项目业绩</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 一般得2分(时间以签订日期为准)。投标人在20</w:t>
            </w:r>
            <w:r>
              <w:rPr>
                <w:rFonts w:hint="eastAsia" w:ascii="宋体" w:hAnsi="宋体" w:eastAsia="宋体" w:cs="Times New Roman"/>
                <w:bCs/>
                <w:sz w:val="22"/>
                <w:szCs w:val="22"/>
                <w:lang w:val="en-US" w:eastAsia="zh-CN"/>
              </w:rPr>
              <w:t>20</w:t>
            </w:r>
            <w:r>
              <w:rPr>
                <w:rFonts w:hint="eastAsia" w:ascii="宋体" w:hAnsi="宋体" w:eastAsia="宋体" w:cs="Times New Roman"/>
                <w:bCs/>
                <w:sz w:val="22"/>
                <w:szCs w:val="22"/>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2</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设备制造商装备制造能力、生产设备、加工工艺、完善程度</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3</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产品方案技术先进、各系统完善、性能可靠，设备主要核心部件，具备自身技术优势</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50</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以下各项由评标委员会成员独立进行</w:t>
            </w:r>
            <w:r>
              <w:rPr>
                <w:rFonts w:hint="eastAsia" w:ascii="宋体" w:hAnsi="宋体" w:eastAsia="宋体" w:cs="Times New Roman"/>
                <w:bCs/>
                <w:sz w:val="22"/>
                <w:szCs w:val="22"/>
                <w:lang w:val="en-US" w:eastAsia="zh-CN"/>
              </w:rPr>
              <w:t>客观</w:t>
            </w:r>
            <w:r>
              <w:rPr>
                <w:rFonts w:hint="eastAsia" w:ascii="宋体" w:hAnsi="宋体" w:eastAsia="宋体" w:cs="Times New Roman"/>
                <w:bCs/>
                <w:sz w:val="22"/>
                <w:szCs w:val="22"/>
              </w:rPr>
              <w:t>、公正的评价打分。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①定制系统方案已到达招标要求，设备主要核心部件，具备自身技术优势，打分0-16分。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②系统配置齐全，其精度、参数、技术水平、可靠性等优势明显，打分0-16分。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③操作灵活方便，系统开放程度高，打分0-10分。</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④综合评价，打分0-8分。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4</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现场答疑</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8</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投标人代表对方案、技术优势的讲解，</w:t>
            </w:r>
          </w:p>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以及就该项目难点回答评标专家现场提问，打分0-8分。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5</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技术偏离</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12</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技 术 培 训 方 案：对</w:t>
            </w:r>
            <w:r>
              <w:rPr>
                <w:rFonts w:hint="eastAsia" w:ascii="宋体" w:hAnsi="宋体" w:eastAsia="宋体" w:cs="Times New Roman"/>
                <w:bCs/>
                <w:sz w:val="22"/>
                <w:szCs w:val="22"/>
                <w:lang w:val="en-US" w:eastAsia="zh-CN"/>
              </w:rPr>
              <w:t>招标</w:t>
            </w:r>
            <w:r>
              <w:rPr>
                <w:rFonts w:hint="eastAsia" w:ascii="宋体" w:hAnsi="宋体" w:eastAsia="宋体" w:cs="Times New Roman"/>
                <w:bCs/>
                <w:sz w:val="22"/>
                <w:szCs w:val="22"/>
              </w:rPr>
              <w:t>方 人员的技术培 训方案安排科 学、合理、可 行</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7</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lang w:val="en-US" w:eastAsia="zh-CN"/>
              </w:rPr>
              <w:t>安装调试方案：有详尽的安装调试计划及方案，方案科学合理，可实施性强。</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noWrap w:val="0"/>
            <w:vAlign w:val="center"/>
          </w:tcPr>
          <w:p>
            <w:pPr>
              <w:jc w:val="center"/>
              <w:rPr>
                <w:rFonts w:ascii="宋体" w:hAnsi="宋体" w:cs="Times New Roman"/>
                <w:sz w:val="18"/>
                <w:szCs w:val="18"/>
              </w:rPr>
            </w:pPr>
          </w:p>
        </w:tc>
        <w:tc>
          <w:tcPr>
            <w:tcW w:w="603"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8</w:t>
            </w:r>
          </w:p>
        </w:tc>
        <w:tc>
          <w:tcPr>
            <w:tcW w:w="2697"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售后服务及时周到，有相应 的服务承诺和具体的保证措施</w:t>
            </w:r>
          </w:p>
        </w:tc>
        <w:tc>
          <w:tcPr>
            <w:tcW w:w="640" w:type="dxa"/>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6</w:t>
            </w:r>
          </w:p>
        </w:tc>
        <w:tc>
          <w:tcPr>
            <w:tcW w:w="4910" w:type="dxa"/>
            <w:gridSpan w:val="2"/>
            <w:noWrap w:val="0"/>
            <w:vAlign w:val="center"/>
          </w:tcPr>
          <w:p>
            <w:pPr>
              <w:spacing w:line="240" w:lineRule="auto"/>
              <w:rPr>
                <w:rFonts w:hint="eastAsia" w:ascii="宋体" w:hAnsi="宋体" w:eastAsia="宋体" w:cs="Times New Roman"/>
                <w:bCs/>
                <w:sz w:val="22"/>
                <w:szCs w:val="22"/>
              </w:rPr>
            </w:pPr>
            <w:r>
              <w:rPr>
                <w:rFonts w:hint="eastAsia" w:ascii="宋体" w:hAnsi="宋体" w:eastAsia="宋体" w:cs="Times New Roman"/>
                <w:bCs/>
                <w:sz w:val="22"/>
                <w:szCs w:val="22"/>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7" w:hRule="atLeast"/>
          <w:jc w:val="center"/>
        </w:trPr>
        <w:tc>
          <w:tcPr>
            <w:tcW w:w="718" w:type="dxa"/>
            <w:noWrap w:val="0"/>
            <w:vAlign w:val="center"/>
          </w:tcPr>
          <w:p>
            <w:pPr>
              <w:jc w:val="center"/>
              <w:rPr>
                <w:rFonts w:hint="default" w:ascii="宋体" w:hAnsi="宋体" w:eastAsia="等线" w:cs="Times New Roman"/>
                <w:sz w:val="18"/>
                <w:szCs w:val="18"/>
                <w:lang w:val="en-US" w:eastAsia="zh-CN"/>
              </w:rPr>
            </w:pPr>
            <w:r>
              <w:rPr>
                <w:rFonts w:hint="eastAsia" w:ascii="宋体" w:hAnsi="宋体" w:cs="Times New Roman"/>
                <w:b/>
                <w:bCs/>
                <w:sz w:val="18"/>
                <w:szCs w:val="18"/>
                <w:lang w:val="en-US" w:eastAsia="zh-CN"/>
              </w:rPr>
              <w:t>商务标</w:t>
            </w:r>
            <w:r>
              <w:rPr>
                <w:rFonts w:hint="eastAsia" w:ascii="宋体" w:hAnsi="宋体" w:cs="Times New Roman"/>
                <w:sz w:val="18"/>
                <w:szCs w:val="18"/>
                <w:lang w:val="en-US" w:eastAsia="zh-CN"/>
              </w:rPr>
              <w:t>100分</w:t>
            </w:r>
          </w:p>
        </w:tc>
        <w:tc>
          <w:tcPr>
            <w:tcW w:w="8850" w:type="dxa"/>
            <w:gridSpan w:val="5"/>
            <w:noWrap w:val="0"/>
            <w:vAlign w:val="center"/>
          </w:tcPr>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 xml:space="preserve">评标基准价： </w:t>
            </w:r>
          </w:p>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1、评标基准价为所有合理有效的最终投标报价的最低价。</w:t>
            </w:r>
          </w:p>
          <w:p>
            <w:pPr>
              <w:spacing w:line="360" w:lineRule="auto"/>
              <w:rPr>
                <w:rFonts w:ascii="宋体" w:hAnsi="宋体" w:eastAsia="宋体" w:cs="Times New Roman"/>
                <w:bCs/>
                <w:sz w:val="22"/>
                <w:szCs w:val="22"/>
              </w:rPr>
            </w:pPr>
            <w:r>
              <w:rPr>
                <w:rFonts w:hint="eastAsia" w:ascii="宋体" w:hAnsi="宋体" w:eastAsia="宋体" w:cs="Times New Roman"/>
                <w:bCs/>
                <w:sz w:val="22"/>
                <w:szCs w:val="22"/>
              </w:rPr>
              <w:t>2、有效的评标基准价得</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分；其他投标人的价格得分按下列公式计算：投标价格得分=</w:t>
            </w:r>
            <w:r>
              <w:rPr>
                <w:rFonts w:hint="eastAsia" w:ascii="宋体" w:hAnsi="宋体" w:eastAsia="宋体" w:cs="Times New Roman"/>
                <w:bCs/>
                <w:sz w:val="22"/>
                <w:szCs w:val="22"/>
                <w:lang w:val="en-US" w:eastAsia="zh-CN"/>
              </w:rPr>
              <w:t>100</w:t>
            </w:r>
            <w:r>
              <w:rPr>
                <w:rFonts w:hint="eastAsia" w:ascii="宋体" w:hAnsi="宋体" w:eastAsia="宋体" w:cs="Times New Roman"/>
                <w:bCs/>
                <w:sz w:val="22"/>
                <w:szCs w:val="22"/>
              </w:rPr>
              <w:t>×（评标基准价/投标报价）。</w:t>
            </w:r>
          </w:p>
          <w:p>
            <w:pPr>
              <w:rPr>
                <w:rFonts w:hint="eastAsia" w:ascii="宋体" w:hAnsi="宋体" w:eastAsia="宋体" w:cs="Times New Roman"/>
                <w:bCs/>
                <w:sz w:val="22"/>
                <w:szCs w:val="22"/>
              </w:rPr>
            </w:pPr>
            <w:r>
              <w:rPr>
                <w:rFonts w:hint="eastAsia" w:ascii="宋体" w:hAnsi="宋体" w:eastAsia="宋体" w:cs="Times New Roman"/>
                <w:bCs/>
                <w:sz w:val="22"/>
                <w:szCs w:val="22"/>
              </w:rPr>
              <w:t>注：得分值取小数点后两位，不足一个百分点的，按照四舍五入法计算。</w:t>
            </w:r>
            <w:r>
              <w:rPr>
                <w:rFonts w:ascii="宋体" w:hAnsi="宋体" w:eastAsia="宋体" w:cs="Times New Roman"/>
                <w:bCs/>
                <w:sz w:val="22"/>
                <w:szCs w:val="22"/>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dxa"/>
          <w:cantSplit/>
          <w:trHeight w:val="974" w:hRule="atLeast"/>
          <w:jc w:val="center"/>
        </w:trPr>
        <w:tc>
          <w:tcPr>
            <w:tcW w:w="718" w:type="dxa"/>
            <w:noWrap w:val="0"/>
            <w:vAlign w:val="center"/>
          </w:tcPr>
          <w:p>
            <w:pPr>
              <w:jc w:val="center"/>
              <w:rPr>
                <w:rFonts w:hint="default" w:ascii="宋体" w:hAnsi="宋体" w:eastAsia="等线" w:cs="Times New Roman"/>
                <w:sz w:val="18"/>
                <w:szCs w:val="18"/>
                <w:lang w:val="en-US" w:eastAsia="zh-CN"/>
              </w:rPr>
            </w:pPr>
            <w:r>
              <w:rPr>
                <w:rFonts w:hint="eastAsia" w:ascii="宋体" w:hAnsi="宋体" w:cs="Times New Roman"/>
                <w:b/>
                <w:bCs/>
                <w:sz w:val="20"/>
                <w:szCs w:val="20"/>
                <w:lang w:val="en-US" w:eastAsia="zh-CN"/>
              </w:rPr>
              <w:t>综合得分</w:t>
            </w:r>
          </w:p>
        </w:tc>
        <w:tc>
          <w:tcPr>
            <w:tcW w:w="8845" w:type="dxa"/>
            <w:gridSpan w:val="4"/>
            <w:noWrap w:val="0"/>
            <w:vAlign w:val="center"/>
          </w:tcPr>
          <w:p>
            <w:pPr>
              <w:tabs>
                <w:tab w:val="left" w:pos="1654"/>
              </w:tabs>
              <w:jc w:val="both"/>
              <w:rPr>
                <w:rFonts w:hint="eastAsia" w:ascii="宋体" w:hAnsi="宋体" w:cs="Times New Roman"/>
                <w:bCs/>
                <w:sz w:val="16"/>
                <w:szCs w:val="16"/>
                <w:lang w:eastAsia="zh-CN"/>
              </w:rPr>
            </w:pPr>
            <w:r>
              <w:rPr>
                <w:rFonts w:hint="eastAsia" w:ascii="宋体" w:hAnsi="Times New Roman" w:eastAsia="宋体" w:cs="Times New Roman"/>
                <w:b/>
                <w:bCs w:val="0"/>
                <w:sz w:val="22"/>
                <w:szCs w:val="22"/>
                <w:lang w:val="en-US" w:eastAsia="zh-CN"/>
              </w:rPr>
              <w:t>综合得分=技术标得分×30%＋商务标得分×70%</w:t>
            </w:r>
          </w:p>
        </w:tc>
      </w:tr>
    </w:tbl>
    <w:p>
      <w:pPr>
        <w:pStyle w:val="17"/>
        <w:rPr>
          <w:rFonts w:hint="eastAsia"/>
        </w:rPr>
        <w:sectPr>
          <w:pgSz w:w="11906" w:h="16838"/>
          <w:pgMar w:top="1588" w:right="1418" w:bottom="1134" w:left="1418" w:header="851" w:footer="992" w:gutter="0"/>
          <w:cols w:space="720" w:num="1"/>
          <w:titlePg/>
          <w:docGrid w:type="lines" w:linePitch="312" w:charSpace="0"/>
        </w:sectPr>
      </w:pPr>
    </w:p>
    <w:p>
      <w:pPr>
        <w:pStyle w:val="17"/>
        <w:rPr>
          <w:rFonts w:hint="eastAsia"/>
        </w:rPr>
      </w:pPr>
    </w:p>
    <w:p>
      <w:pPr>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51"/>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2"/>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3"/>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4"/>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5"/>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6"/>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配套能力“供货类别”填“工艺设备”，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工艺工匠研究院</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17"/>
        <w:sectPr>
          <w:pgSz w:w="11906" w:h="16838"/>
          <w:pgMar w:top="1588" w:right="1418" w:bottom="1134" w:left="1418" w:header="851" w:footer="992" w:gutter="0"/>
          <w:cols w:space="720" w:num="1"/>
          <w:titlePg/>
          <w:docGrid w:type="lines" w:linePitch="312" w:charSpace="0"/>
        </w:sectPr>
      </w:pP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7"/>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8"/>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9"/>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60"/>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61"/>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2"/>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Microsoft JhengHei Light">
    <w:panose1 w:val="020B0304030504040204"/>
    <w:charset w:val="88"/>
    <w:family w:val="swiss"/>
    <w:pitch w:val="default"/>
    <w:sig w:usb0="800002A7" w:usb1="28CF4400" w:usb2="00000016" w:usb3="00000000" w:csb0="00100009" w:csb1="00000000"/>
  </w:font>
  <w:font w:name="Cambria Math">
    <w:panose1 w:val="02040503050406030204"/>
    <w:charset w:val="00"/>
    <w:family w:val="roman"/>
    <w:pitch w:val="default"/>
    <w:sig w:usb0="E00006FF" w:usb1="420024FF" w:usb2="02000000" w:usb3="00000000" w:csb0="2000019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BC266E"/>
    <w:multiLevelType w:val="singleLevel"/>
    <w:tmpl w:val="9FBC266E"/>
    <w:lvl w:ilvl="0" w:tentative="0">
      <w:start w:val="2"/>
      <w:numFmt w:val="decimal"/>
      <w:suff w:val="nothing"/>
      <w:lvlText w:val="%1、"/>
      <w:lvlJc w:val="left"/>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BAF19832"/>
    <w:multiLevelType w:val="multilevel"/>
    <w:tmpl w:val="BAF19832"/>
    <w:lvl w:ilvl="0" w:tentative="0">
      <w:start w:val="1"/>
      <w:numFmt w:val="decimalEnclosedCircleChinese"/>
      <w:suff w:val="nothing"/>
      <w:lvlText w:val="%1　"/>
      <w:lvlJc w:val="left"/>
      <w:pPr>
        <w:ind w:left="0" w:firstLine="400"/>
      </w:pPr>
      <w:rPr>
        <w:rFonts w:hint="eastAsia"/>
      </w:rPr>
    </w:lvl>
    <w:lvl w:ilvl="1" w:tentative="0">
      <w:start w:val="1"/>
      <w:numFmt w:val="decimal"/>
      <w:lvlText w:val="%2)"/>
      <w:lvlJc w:val="left"/>
      <w:pPr>
        <w:tabs>
          <w:tab w:val="left" w:pos="840"/>
        </w:tabs>
        <w:ind w:left="1240" w:hanging="420"/>
      </w:pPr>
      <w:rPr>
        <w:rFonts w:hint="default"/>
      </w:rPr>
    </w:lvl>
    <w:lvl w:ilvl="2" w:tentative="0">
      <w:start w:val="1"/>
      <w:numFmt w:val="lowerLetter"/>
      <w:lvlText w:val="%3."/>
      <w:lvlJc w:val="left"/>
      <w:pPr>
        <w:tabs>
          <w:tab w:val="left" w:pos="1260"/>
        </w:tabs>
        <w:ind w:left="1660" w:hanging="420"/>
      </w:pPr>
      <w:rPr>
        <w:rFonts w:hint="default"/>
      </w:rPr>
    </w:lvl>
    <w:lvl w:ilvl="3" w:tentative="0">
      <w:start w:val="1"/>
      <w:numFmt w:val="lowerLetter"/>
      <w:lvlText w:val="%4)"/>
      <w:lvlJc w:val="left"/>
      <w:pPr>
        <w:tabs>
          <w:tab w:val="left" w:pos="1680"/>
        </w:tabs>
        <w:ind w:left="2080" w:hanging="420"/>
      </w:pPr>
      <w:rPr>
        <w:rFonts w:hint="default"/>
      </w:rPr>
    </w:lvl>
    <w:lvl w:ilvl="4" w:tentative="0">
      <w:start w:val="1"/>
      <w:numFmt w:val="lowerRoman"/>
      <w:lvlText w:val="%5."/>
      <w:lvlJc w:val="left"/>
      <w:pPr>
        <w:tabs>
          <w:tab w:val="left" w:pos="2100"/>
        </w:tabs>
        <w:ind w:left="2500" w:hanging="420"/>
      </w:pPr>
      <w:rPr>
        <w:rFonts w:hint="default"/>
      </w:rPr>
    </w:lvl>
    <w:lvl w:ilvl="5" w:tentative="0">
      <w:start w:val="1"/>
      <w:numFmt w:val="lowerRoman"/>
      <w:lvlText w:val="%6)"/>
      <w:lvlJc w:val="left"/>
      <w:pPr>
        <w:tabs>
          <w:tab w:val="left" w:pos="2520"/>
        </w:tabs>
        <w:ind w:left="2920" w:hanging="420"/>
      </w:pPr>
      <w:rPr>
        <w:rFonts w:hint="default"/>
      </w:rPr>
    </w:lvl>
    <w:lvl w:ilvl="6" w:tentative="0">
      <w:start w:val="1"/>
      <w:numFmt w:val="lowerLetter"/>
      <w:lvlText w:val="%7."/>
      <w:lvlJc w:val="left"/>
      <w:pPr>
        <w:tabs>
          <w:tab w:val="left" w:pos="2940"/>
        </w:tabs>
        <w:ind w:left="3340" w:hanging="420"/>
      </w:pPr>
      <w:rPr>
        <w:rFonts w:hint="default"/>
      </w:rPr>
    </w:lvl>
    <w:lvl w:ilvl="7" w:tentative="0">
      <w:start w:val="1"/>
      <w:numFmt w:val="lowerLetter"/>
      <w:lvlText w:val="%8)"/>
      <w:lvlJc w:val="left"/>
      <w:pPr>
        <w:tabs>
          <w:tab w:val="left" w:pos="3360"/>
        </w:tabs>
        <w:ind w:left="3760" w:hanging="420"/>
      </w:pPr>
      <w:rPr>
        <w:rFonts w:hint="default"/>
      </w:rPr>
    </w:lvl>
    <w:lvl w:ilvl="8" w:tentative="0">
      <w:start w:val="1"/>
      <w:numFmt w:val="lowerRoman"/>
      <w:lvlText w:val="%9."/>
      <w:lvlJc w:val="left"/>
      <w:pPr>
        <w:tabs>
          <w:tab w:val="left" w:pos="3780"/>
        </w:tabs>
        <w:ind w:left="4180" w:hanging="420"/>
      </w:pPr>
      <w:rPr>
        <w:rFonts w:hint="default"/>
      </w:rPr>
    </w:lvl>
  </w:abstractNum>
  <w:abstractNum w:abstractNumId="3">
    <w:nsid w:val="CD163598"/>
    <w:multiLevelType w:val="singleLevel"/>
    <w:tmpl w:val="CD163598"/>
    <w:lvl w:ilvl="0" w:tentative="0">
      <w:start w:val="5"/>
      <w:numFmt w:val="decimalEnclosedCircleChinese"/>
      <w:suff w:val="nothing"/>
      <w:lvlText w:val="%1　"/>
      <w:lvlJc w:val="left"/>
      <w:pPr>
        <w:ind w:left="0" w:firstLine="403"/>
      </w:pPr>
      <w:rPr>
        <w:rFonts w:hint="eastAsia"/>
      </w:rPr>
    </w:lvl>
  </w:abstractNum>
  <w:abstractNum w:abstractNumId="4">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5">
    <w:nsid w:val="DBCBDC41"/>
    <w:multiLevelType w:val="singleLevel"/>
    <w:tmpl w:val="DBCBDC41"/>
    <w:lvl w:ilvl="0" w:tentative="0">
      <w:start w:val="1"/>
      <w:numFmt w:val="decimalEnclosedCircleChinese"/>
      <w:suff w:val="nothing"/>
      <w:lvlText w:val="%1　"/>
      <w:lvlJc w:val="left"/>
      <w:pPr>
        <w:ind w:left="0" w:firstLine="400"/>
      </w:pPr>
      <w:rPr>
        <w:rFonts w:hint="eastAsia"/>
      </w:rPr>
    </w:lvl>
  </w:abstractNum>
  <w:abstractNum w:abstractNumId="6">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7">
    <w:nsid w:val="10B65138"/>
    <w:multiLevelType w:val="multilevel"/>
    <w:tmpl w:val="10B65138"/>
    <w:lvl w:ilvl="0" w:tentative="0">
      <w:start w:val="1"/>
      <w:numFmt w:val="decimalEnclosedCircleChinese"/>
      <w:suff w:val="nothing"/>
      <w:lvlText w:val="%1　"/>
      <w:lvlJc w:val="left"/>
      <w:pPr>
        <w:ind w:left="0" w:firstLine="400"/>
      </w:pPr>
      <w:rPr>
        <w:rFonts w:hint="eastAsia"/>
      </w:rPr>
    </w:lvl>
    <w:lvl w:ilvl="1" w:tentative="0">
      <w:start w:val="1"/>
      <w:numFmt w:val="decimal"/>
      <w:lvlText w:val="%2)"/>
      <w:lvlJc w:val="left"/>
      <w:pPr>
        <w:tabs>
          <w:tab w:val="left" w:pos="840"/>
        </w:tabs>
        <w:ind w:left="1240" w:hanging="420"/>
      </w:pPr>
      <w:rPr>
        <w:rFonts w:hint="default"/>
      </w:rPr>
    </w:lvl>
    <w:lvl w:ilvl="2" w:tentative="0">
      <w:start w:val="1"/>
      <w:numFmt w:val="lowerLetter"/>
      <w:lvlText w:val="%3."/>
      <w:lvlJc w:val="left"/>
      <w:pPr>
        <w:tabs>
          <w:tab w:val="left" w:pos="1260"/>
        </w:tabs>
        <w:ind w:left="1660" w:hanging="420"/>
      </w:pPr>
      <w:rPr>
        <w:rFonts w:hint="default"/>
      </w:rPr>
    </w:lvl>
    <w:lvl w:ilvl="3" w:tentative="0">
      <w:start w:val="1"/>
      <w:numFmt w:val="lowerLetter"/>
      <w:lvlText w:val="%4)"/>
      <w:lvlJc w:val="left"/>
      <w:pPr>
        <w:tabs>
          <w:tab w:val="left" w:pos="1680"/>
        </w:tabs>
        <w:ind w:left="2080" w:hanging="420"/>
      </w:pPr>
      <w:rPr>
        <w:rFonts w:hint="default"/>
      </w:rPr>
    </w:lvl>
    <w:lvl w:ilvl="4" w:tentative="0">
      <w:start w:val="1"/>
      <w:numFmt w:val="lowerRoman"/>
      <w:lvlText w:val="%5."/>
      <w:lvlJc w:val="left"/>
      <w:pPr>
        <w:tabs>
          <w:tab w:val="left" w:pos="2100"/>
        </w:tabs>
        <w:ind w:left="2500" w:hanging="420"/>
      </w:pPr>
      <w:rPr>
        <w:rFonts w:hint="default"/>
      </w:rPr>
    </w:lvl>
    <w:lvl w:ilvl="5" w:tentative="0">
      <w:start w:val="1"/>
      <w:numFmt w:val="lowerRoman"/>
      <w:lvlText w:val="%6)"/>
      <w:lvlJc w:val="left"/>
      <w:pPr>
        <w:tabs>
          <w:tab w:val="left" w:pos="2520"/>
        </w:tabs>
        <w:ind w:left="2920" w:hanging="420"/>
      </w:pPr>
      <w:rPr>
        <w:rFonts w:hint="default"/>
      </w:rPr>
    </w:lvl>
    <w:lvl w:ilvl="6" w:tentative="0">
      <w:start w:val="1"/>
      <w:numFmt w:val="lowerLetter"/>
      <w:lvlText w:val="%7."/>
      <w:lvlJc w:val="left"/>
      <w:pPr>
        <w:tabs>
          <w:tab w:val="left" w:pos="2940"/>
        </w:tabs>
        <w:ind w:left="3340" w:hanging="420"/>
      </w:pPr>
      <w:rPr>
        <w:rFonts w:hint="default"/>
      </w:rPr>
    </w:lvl>
    <w:lvl w:ilvl="7" w:tentative="0">
      <w:start w:val="1"/>
      <w:numFmt w:val="lowerLetter"/>
      <w:lvlText w:val="%8)"/>
      <w:lvlJc w:val="left"/>
      <w:pPr>
        <w:tabs>
          <w:tab w:val="left" w:pos="3360"/>
        </w:tabs>
        <w:ind w:left="3760" w:hanging="420"/>
      </w:pPr>
      <w:rPr>
        <w:rFonts w:hint="default"/>
      </w:rPr>
    </w:lvl>
    <w:lvl w:ilvl="8" w:tentative="0">
      <w:start w:val="1"/>
      <w:numFmt w:val="lowerRoman"/>
      <w:lvlText w:val="%9."/>
      <w:lvlJc w:val="left"/>
      <w:pPr>
        <w:tabs>
          <w:tab w:val="left" w:pos="3780"/>
        </w:tabs>
        <w:ind w:left="4180" w:hanging="420"/>
      </w:pPr>
      <w:rPr>
        <w:rFonts w:hint="default"/>
      </w:rPr>
    </w:lvl>
  </w:abstractNum>
  <w:abstractNum w:abstractNumId="8">
    <w:nsid w:val="17176B05"/>
    <w:multiLevelType w:val="singleLevel"/>
    <w:tmpl w:val="17176B05"/>
    <w:lvl w:ilvl="0" w:tentative="0">
      <w:start w:val="1"/>
      <w:numFmt w:val="decimalEnclosedCircleChinese"/>
      <w:suff w:val="nothing"/>
      <w:lvlText w:val="%1　"/>
      <w:lvlJc w:val="left"/>
      <w:pPr>
        <w:ind w:left="0" w:firstLine="400"/>
      </w:pPr>
      <w:rPr>
        <w:rFonts w:hint="eastAsia"/>
      </w:rPr>
    </w:lvl>
  </w:abstractNum>
  <w:abstractNum w:abstractNumId="9">
    <w:nsid w:val="1DECDA7B"/>
    <w:multiLevelType w:val="singleLevel"/>
    <w:tmpl w:val="1DECDA7B"/>
    <w:lvl w:ilvl="0" w:tentative="0">
      <w:start w:val="3"/>
      <w:numFmt w:val="chineseCounting"/>
      <w:suff w:val="nothing"/>
      <w:lvlText w:val="%1、"/>
      <w:lvlJc w:val="left"/>
      <w:rPr>
        <w:rFonts w:hint="eastAsia"/>
      </w:rPr>
    </w:lvl>
  </w:abstractNum>
  <w:abstractNum w:abstractNumId="10">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11">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12">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3">
    <w:nsid w:val="3141B1BC"/>
    <w:multiLevelType w:val="singleLevel"/>
    <w:tmpl w:val="3141B1BC"/>
    <w:lvl w:ilvl="0" w:tentative="0">
      <w:start w:val="1"/>
      <w:numFmt w:val="decimal"/>
      <w:lvlText w:val="%1)"/>
      <w:lvlJc w:val="left"/>
      <w:pPr>
        <w:tabs>
          <w:tab w:val="left" w:pos="840"/>
        </w:tabs>
        <w:ind w:left="1265" w:hanging="425"/>
      </w:pPr>
      <w:rPr>
        <w:rFonts w:hint="default"/>
        <w:sz w:val="20"/>
        <w:szCs w:val="20"/>
      </w:rPr>
    </w:lvl>
  </w:abstractNum>
  <w:abstractNum w:abstractNumId="14">
    <w:nsid w:val="37377EEB"/>
    <w:multiLevelType w:val="singleLevel"/>
    <w:tmpl w:val="37377EEB"/>
    <w:lvl w:ilvl="0" w:tentative="0">
      <w:start w:val="1"/>
      <w:numFmt w:val="decimal"/>
      <w:suff w:val="nothing"/>
      <w:lvlText w:val="%1、"/>
      <w:lvlJc w:val="left"/>
    </w:lvl>
  </w:abstractNum>
  <w:abstractNum w:abstractNumId="15">
    <w:nsid w:val="401F9112"/>
    <w:multiLevelType w:val="singleLevel"/>
    <w:tmpl w:val="401F9112"/>
    <w:lvl w:ilvl="0" w:tentative="0">
      <w:start w:val="1"/>
      <w:numFmt w:val="decimal"/>
      <w:suff w:val="nothing"/>
      <w:lvlText w:val="（%1）"/>
      <w:lvlJc w:val="left"/>
    </w:lvl>
  </w:abstractNum>
  <w:abstractNum w:abstractNumId="1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7">
    <w:nsid w:val="6CFF0D44"/>
    <w:multiLevelType w:val="singleLevel"/>
    <w:tmpl w:val="6CFF0D44"/>
    <w:lvl w:ilvl="0" w:tentative="0">
      <w:start w:val="1"/>
      <w:numFmt w:val="decimal"/>
      <w:suff w:val="nothing"/>
      <w:lvlText w:val="（%1）"/>
      <w:lvlJc w:val="left"/>
    </w:lvl>
  </w:abstractNum>
  <w:abstractNum w:abstractNumId="18">
    <w:nsid w:val="6E8C6948"/>
    <w:multiLevelType w:val="singleLevel"/>
    <w:tmpl w:val="6E8C6948"/>
    <w:lvl w:ilvl="0" w:tentative="0">
      <w:start w:val="1"/>
      <w:numFmt w:val="chineseCounting"/>
      <w:suff w:val="space"/>
      <w:lvlText w:val="第%1部分"/>
      <w:lvlJc w:val="left"/>
      <w:rPr>
        <w:rFonts w:hint="eastAsia"/>
      </w:rPr>
    </w:lvl>
  </w:abstractNum>
  <w:abstractNum w:abstractNumId="19">
    <w:nsid w:val="77DE7897"/>
    <w:multiLevelType w:val="singleLevel"/>
    <w:tmpl w:val="77DE7897"/>
    <w:lvl w:ilvl="0" w:tentative="0">
      <w:start w:val="1"/>
      <w:numFmt w:val="decimal"/>
      <w:lvlText w:val="%1."/>
      <w:lvlJc w:val="left"/>
      <w:pPr>
        <w:tabs>
          <w:tab w:val="left" w:pos="312"/>
        </w:tabs>
      </w:pPr>
    </w:lvl>
  </w:abstractNum>
  <w:abstractNum w:abstractNumId="20">
    <w:nsid w:val="7A612DE2"/>
    <w:multiLevelType w:val="singleLevel"/>
    <w:tmpl w:val="7A612DE2"/>
    <w:lvl w:ilvl="0" w:tentative="0">
      <w:start w:val="2"/>
      <w:numFmt w:val="decimal"/>
      <w:lvlText w:val="%1."/>
      <w:lvlJc w:val="left"/>
      <w:pPr>
        <w:tabs>
          <w:tab w:val="left" w:pos="312"/>
        </w:tabs>
      </w:pPr>
    </w:lvl>
  </w:abstractNum>
  <w:num w:numId="1">
    <w:abstractNumId w:val="18"/>
  </w:num>
  <w:num w:numId="2">
    <w:abstractNumId w:val="19"/>
  </w:num>
  <w:num w:numId="3">
    <w:abstractNumId w:val="1"/>
  </w:num>
  <w:num w:numId="4">
    <w:abstractNumId w:val="20"/>
  </w:num>
  <w:num w:numId="5">
    <w:abstractNumId w:val="11"/>
  </w:num>
  <w:num w:numId="6">
    <w:abstractNumId w:val="6"/>
  </w:num>
  <w:num w:numId="7">
    <w:abstractNumId w:val="16"/>
  </w:num>
  <w:num w:numId="8">
    <w:abstractNumId w:val="4"/>
  </w:num>
  <w:num w:numId="9">
    <w:abstractNumId w:val="12"/>
  </w:num>
  <w:num w:numId="10">
    <w:abstractNumId w:val="10"/>
  </w:num>
  <w:num w:numId="11">
    <w:abstractNumId w:val="9"/>
  </w:num>
  <w:num w:numId="12">
    <w:abstractNumId w:val="14"/>
  </w:num>
  <w:num w:numId="13">
    <w:abstractNumId w:val="15"/>
  </w:num>
  <w:num w:numId="14">
    <w:abstractNumId w:val="5"/>
  </w:num>
  <w:num w:numId="15">
    <w:abstractNumId w:val="8"/>
  </w:num>
  <w:num w:numId="16">
    <w:abstractNumId w:val="0"/>
  </w:num>
  <w:num w:numId="17">
    <w:abstractNumId w:val="17"/>
  </w:num>
  <w:num w:numId="18">
    <w:abstractNumId w:val="2"/>
  </w:num>
  <w:num w:numId="19">
    <w:abstractNumId w:val="13"/>
  </w:num>
  <w:num w:numId="20">
    <w:abstractNumId w:val="3"/>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ExZmI5NTc2OTFhZWY2NDZlZTFkMTUzMWFkYzBmYWM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42921B6"/>
    <w:rsid w:val="043342B8"/>
    <w:rsid w:val="043B72BB"/>
    <w:rsid w:val="04461EC1"/>
    <w:rsid w:val="04504B3F"/>
    <w:rsid w:val="04AD02B8"/>
    <w:rsid w:val="04DE51C8"/>
    <w:rsid w:val="04DF17D4"/>
    <w:rsid w:val="05412745"/>
    <w:rsid w:val="05491761"/>
    <w:rsid w:val="05A351AD"/>
    <w:rsid w:val="05F9748A"/>
    <w:rsid w:val="06266F78"/>
    <w:rsid w:val="063E7B7A"/>
    <w:rsid w:val="06582413"/>
    <w:rsid w:val="06682E69"/>
    <w:rsid w:val="067E33B8"/>
    <w:rsid w:val="06E82FCB"/>
    <w:rsid w:val="06F34B95"/>
    <w:rsid w:val="07571DAC"/>
    <w:rsid w:val="07867620"/>
    <w:rsid w:val="08DD171B"/>
    <w:rsid w:val="08E64121"/>
    <w:rsid w:val="0942017F"/>
    <w:rsid w:val="09BA1FBB"/>
    <w:rsid w:val="09CB139F"/>
    <w:rsid w:val="0A0106F5"/>
    <w:rsid w:val="0A112AB7"/>
    <w:rsid w:val="0A4E5482"/>
    <w:rsid w:val="0AAA504A"/>
    <w:rsid w:val="0AD71BC7"/>
    <w:rsid w:val="0AF420EB"/>
    <w:rsid w:val="0B2B2BF5"/>
    <w:rsid w:val="0B2F3908"/>
    <w:rsid w:val="0B3F6206"/>
    <w:rsid w:val="0B6A2214"/>
    <w:rsid w:val="0BDE715C"/>
    <w:rsid w:val="0BE12DB6"/>
    <w:rsid w:val="0BFC6504"/>
    <w:rsid w:val="0C345AD1"/>
    <w:rsid w:val="0C626CE4"/>
    <w:rsid w:val="0D030966"/>
    <w:rsid w:val="0D0C2B7B"/>
    <w:rsid w:val="0D9308F8"/>
    <w:rsid w:val="0DE76C3D"/>
    <w:rsid w:val="0E1A1D85"/>
    <w:rsid w:val="0E750568"/>
    <w:rsid w:val="0E9C3C97"/>
    <w:rsid w:val="0F2D7A80"/>
    <w:rsid w:val="0F4277E5"/>
    <w:rsid w:val="0FA75561"/>
    <w:rsid w:val="0FB83603"/>
    <w:rsid w:val="0FCA77F1"/>
    <w:rsid w:val="0FCD5DCC"/>
    <w:rsid w:val="10043197"/>
    <w:rsid w:val="10270545"/>
    <w:rsid w:val="103409DF"/>
    <w:rsid w:val="108A1D4B"/>
    <w:rsid w:val="10A10111"/>
    <w:rsid w:val="10BE093E"/>
    <w:rsid w:val="10E20BD8"/>
    <w:rsid w:val="111B0FE9"/>
    <w:rsid w:val="112C77F4"/>
    <w:rsid w:val="114755AB"/>
    <w:rsid w:val="115F67A8"/>
    <w:rsid w:val="119A7465"/>
    <w:rsid w:val="11C07DA5"/>
    <w:rsid w:val="11C2491E"/>
    <w:rsid w:val="11F36B75"/>
    <w:rsid w:val="12491386"/>
    <w:rsid w:val="12E60579"/>
    <w:rsid w:val="12EB0F02"/>
    <w:rsid w:val="13695B36"/>
    <w:rsid w:val="1372609F"/>
    <w:rsid w:val="13D73572"/>
    <w:rsid w:val="14504752"/>
    <w:rsid w:val="145A6A37"/>
    <w:rsid w:val="1467440F"/>
    <w:rsid w:val="15400323"/>
    <w:rsid w:val="15433A9B"/>
    <w:rsid w:val="15FC2F04"/>
    <w:rsid w:val="16181FAC"/>
    <w:rsid w:val="168756A0"/>
    <w:rsid w:val="16F94849"/>
    <w:rsid w:val="17045E51"/>
    <w:rsid w:val="172011D4"/>
    <w:rsid w:val="17252C3B"/>
    <w:rsid w:val="173C25C7"/>
    <w:rsid w:val="173F0A2E"/>
    <w:rsid w:val="17770BC2"/>
    <w:rsid w:val="17860E2F"/>
    <w:rsid w:val="17A119AA"/>
    <w:rsid w:val="18586F2B"/>
    <w:rsid w:val="18772322"/>
    <w:rsid w:val="19A766B9"/>
    <w:rsid w:val="19CE76BA"/>
    <w:rsid w:val="19F26070"/>
    <w:rsid w:val="19F97C8B"/>
    <w:rsid w:val="1A1523CE"/>
    <w:rsid w:val="1AA730BD"/>
    <w:rsid w:val="1ADF38C8"/>
    <w:rsid w:val="1B333D5D"/>
    <w:rsid w:val="1B587618"/>
    <w:rsid w:val="1B5F19C7"/>
    <w:rsid w:val="1C1C709B"/>
    <w:rsid w:val="1C4F6795"/>
    <w:rsid w:val="1C9F6814"/>
    <w:rsid w:val="1D5C514E"/>
    <w:rsid w:val="1D865D14"/>
    <w:rsid w:val="1D8705EC"/>
    <w:rsid w:val="1DEC0E7D"/>
    <w:rsid w:val="1E43150B"/>
    <w:rsid w:val="1EA93E80"/>
    <w:rsid w:val="1ED33FB6"/>
    <w:rsid w:val="1EE81332"/>
    <w:rsid w:val="1F1C3BAF"/>
    <w:rsid w:val="1F32415A"/>
    <w:rsid w:val="1F542F9A"/>
    <w:rsid w:val="1F702632"/>
    <w:rsid w:val="1F7E2174"/>
    <w:rsid w:val="1FB64E98"/>
    <w:rsid w:val="20107567"/>
    <w:rsid w:val="20AB56C6"/>
    <w:rsid w:val="21547789"/>
    <w:rsid w:val="2176507C"/>
    <w:rsid w:val="21BE35AF"/>
    <w:rsid w:val="21C11174"/>
    <w:rsid w:val="22244B28"/>
    <w:rsid w:val="22467FD4"/>
    <w:rsid w:val="229451FD"/>
    <w:rsid w:val="22A12DB6"/>
    <w:rsid w:val="236356D1"/>
    <w:rsid w:val="23A91C83"/>
    <w:rsid w:val="23C962E8"/>
    <w:rsid w:val="247E4FED"/>
    <w:rsid w:val="24AD78E0"/>
    <w:rsid w:val="24B30BE8"/>
    <w:rsid w:val="24E34060"/>
    <w:rsid w:val="253A0491"/>
    <w:rsid w:val="254E0478"/>
    <w:rsid w:val="25E036B2"/>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BD6726"/>
    <w:rsid w:val="29C32A87"/>
    <w:rsid w:val="29CF26DC"/>
    <w:rsid w:val="2A1C5DA0"/>
    <w:rsid w:val="2A200D39"/>
    <w:rsid w:val="2A507EFF"/>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63756E"/>
    <w:rsid w:val="307610EA"/>
    <w:rsid w:val="307776D1"/>
    <w:rsid w:val="30862574"/>
    <w:rsid w:val="30B631E1"/>
    <w:rsid w:val="311933AA"/>
    <w:rsid w:val="317D15BB"/>
    <w:rsid w:val="31C825FC"/>
    <w:rsid w:val="31D07E6C"/>
    <w:rsid w:val="323F65DA"/>
    <w:rsid w:val="32412074"/>
    <w:rsid w:val="32A43435"/>
    <w:rsid w:val="32DE0199"/>
    <w:rsid w:val="333C2963"/>
    <w:rsid w:val="335B2774"/>
    <w:rsid w:val="33A4642E"/>
    <w:rsid w:val="33D4039C"/>
    <w:rsid w:val="33D47E05"/>
    <w:rsid w:val="3413677D"/>
    <w:rsid w:val="342B544B"/>
    <w:rsid w:val="345E036E"/>
    <w:rsid w:val="34C47852"/>
    <w:rsid w:val="34DE1E4F"/>
    <w:rsid w:val="34F07DB1"/>
    <w:rsid w:val="35092435"/>
    <w:rsid w:val="359009FB"/>
    <w:rsid w:val="35D354B8"/>
    <w:rsid w:val="35D4025C"/>
    <w:rsid w:val="362666BC"/>
    <w:rsid w:val="368A6B11"/>
    <w:rsid w:val="37085B1F"/>
    <w:rsid w:val="372E04CB"/>
    <w:rsid w:val="38E070F2"/>
    <w:rsid w:val="390D33AB"/>
    <w:rsid w:val="391E6D06"/>
    <w:rsid w:val="3A074847"/>
    <w:rsid w:val="3A830B2E"/>
    <w:rsid w:val="3AA90FE6"/>
    <w:rsid w:val="3AA9318F"/>
    <w:rsid w:val="3AB62DA0"/>
    <w:rsid w:val="3B69577B"/>
    <w:rsid w:val="3B702D85"/>
    <w:rsid w:val="3B7D3FD5"/>
    <w:rsid w:val="3B823DDF"/>
    <w:rsid w:val="3BD827B4"/>
    <w:rsid w:val="3C237ED3"/>
    <w:rsid w:val="3C460D90"/>
    <w:rsid w:val="3C4D2D59"/>
    <w:rsid w:val="3CAA596A"/>
    <w:rsid w:val="3CAF1D22"/>
    <w:rsid w:val="3CB1587B"/>
    <w:rsid w:val="3CB735F2"/>
    <w:rsid w:val="3D186684"/>
    <w:rsid w:val="3D363C36"/>
    <w:rsid w:val="3D8B2178"/>
    <w:rsid w:val="3DB34909"/>
    <w:rsid w:val="3DD115F5"/>
    <w:rsid w:val="3DE435F0"/>
    <w:rsid w:val="3DE5122C"/>
    <w:rsid w:val="3DF37E53"/>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ED2EA4"/>
    <w:rsid w:val="42F6649D"/>
    <w:rsid w:val="42FE0080"/>
    <w:rsid w:val="43315D2E"/>
    <w:rsid w:val="43670C99"/>
    <w:rsid w:val="43824A1C"/>
    <w:rsid w:val="43D110E1"/>
    <w:rsid w:val="43E873C9"/>
    <w:rsid w:val="44905B1F"/>
    <w:rsid w:val="45316885"/>
    <w:rsid w:val="45334280"/>
    <w:rsid w:val="45A95EE9"/>
    <w:rsid w:val="45FB0F21"/>
    <w:rsid w:val="46167166"/>
    <w:rsid w:val="4636719A"/>
    <w:rsid w:val="47200EE3"/>
    <w:rsid w:val="47435AC2"/>
    <w:rsid w:val="47544B78"/>
    <w:rsid w:val="47587AF7"/>
    <w:rsid w:val="47745A86"/>
    <w:rsid w:val="47E239AC"/>
    <w:rsid w:val="480F4B73"/>
    <w:rsid w:val="487974BD"/>
    <w:rsid w:val="48DB38E3"/>
    <w:rsid w:val="49001B5E"/>
    <w:rsid w:val="49376DB0"/>
    <w:rsid w:val="49804BB7"/>
    <w:rsid w:val="49826DCB"/>
    <w:rsid w:val="499013E7"/>
    <w:rsid w:val="49C8088A"/>
    <w:rsid w:val="4A0F6D68"/>
    <w:rsid w:val="4A301C93"/>
    <w:rsid w:val="4A3302AB"/>
    <w:rsid w:val="4A572A17"/>
    <w:rsid w:val="4A6F2535"/>
    <w:rsid w:val="4AC85D49"/>
    <w:rsid w:val="4AE308A9"/>
    <w:rsid w:val="4B260F2D"/>
    <w:rsid w:val="4B9A1456"/>
    <w:rsid w:val="4BA32C82"/>
    <w:rsid w:val="4BE70627"/>
    <w:rsid w:val="4C0A5AE1"/>
    <w:rsid w:val="4C130AB8"/>
    <w:rsid w:val="4C5A284D"/>
    <w:rsid w:val="4C5C0673"/>
    <w:rsid w:val="4CB96B43"/>
    <w:rsid w:val="4CC75FCC"/>
    <w:rsid w:val="4CC87A5E"/>
    <w:rsid w:val="4CD63947"/>
    <w:rsid w:val="4CDB3FE7"/>
    <w:rsid w:val="4CFC49F4"/>
    <w:rsid w:val="4D073D73"/>
    <w:rsid w:val="4D1E27BA"/>
    <w:rsid w:val="4D23574A"/>
    <w:rsid w:val="4D4C4DB0"/>
    <w:rsid w:val="4D7322D5"/>
    <w:rsid w:val="4DC000E1"/>
    <w:rsid w:val="4DD7034C"/>
    <w:rsid w:val="4DE312CB"/>
    <w:rsid w:val="4DF5318E"/>
    <w:rsid w:val="4E1F4862"/>
    <w:rsid w:val="4E2E4393"/>
    <w:rsid w:val="4E535EF2"/>
    <w:rsid w:val="4F08773C"/>
    <w:rsid w:val="4F31409F"/>
    <w:rsid w:val="4F5E670E"/>
    <w:rsid w:val="4F846A83"/>
    <w:rsid w:val="50070E2C"/>
    <w:rsid w:val="501112F3"/>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3D6020"/>
    <w:rsid w:val="5447483C"/>
    <w:rsid w:val="54862A07"/>
    <w:rsid w:val="54942CAE"/>
    <w:rsid w:val="54A61722"/>
    <w:rsid w:val="54B31FAF"/>
    <w:rsid w:val="54FB10D7"/>
    <w:rsid w:val="55326D63"/>
    <w:rsid w:val="555D1A10"/>
    <w:rsid w:val="55C300FC"/>
    <w:rsid w:val="56AC4A78"/>
    <w:rsid w:val="56DB16B9"/>
    <w:rsid w:val="577A3463"/>
    <w:rsid w:val="57F967AD"/>
    <w:rsid w:val="58052975"/>
    <w:rsid w:val="58063909"/>
    <w:rsid w:val="584D1A65"/>
    <w:rsid w:val="584F5C44"/>
    <w:rsid w:val="58E525CA"/>
    <w:rsid w:val="58EE7372"/>
    <w:rsid w:val="593D045A"/>
    <w:rsid w:val="5960739E"/>
    <w:rsid w:val="59896D0A"/>
    <w:rsid w:val="59B72684"/>
    <w:rsid w:val="5A9579AE"/>
    <w:rsid w:val="5AC468CD"/>
    <w:rsid w:val="5B342B9A"/>
    <w:rsid w:val="5B5953B0"/>
    <w:rsid w:val="5B630802"/>
    <w:rsid w:val="5B807F68"/>
    <w:rsid w:val="5BA72CE5"/>
    <w:rsid w:val="5C034D53"/>
    <w:rsid w:val="5C0A43A9"/>
    <w:rsid w:val="5D722852"/>
    <w:rsid w:val="5DA13E95"/>
    <w:rsid w:val="5DF60588"/>
    <w:rsid w:val="5E1D6F56"/>
    <w:rsid w:val="5E52187F"/>
    <w:rsid w:val="5E6567AD"/>
    <w:rsid w:val="5E6A13CD"/>
    <w:rsid w:val="5E705D15"/>
    <w:rsid w:val="5E93326C"/>
    <w:rsid w:val="5E9F1A7A"/>
    <w:rsid w:val="5EAF3818"/>
    <w:rsid w:val="5EFB4BA4"/>
    <w:rsid w:val="5F025452"/>
    <w:rsid w:val="5F5F46B5"/>
    <w:rsid w:val="5FB25360"/>
    <w:rsid w:val="5FBA3CC0"/>
    <w:rsid w:val="5FBE258A"/>
    <w:rsid w:val="5FD90D61"/>
    <w:rsid w:val="60177697"/>
    <w:rsid w:val="602329DB"/>
    <w:rsid w:val="607777D6"/>
    <w:rsid w:val="60BC76A1"/>
    <w:rsid w:val="610B7637"/>
    <w:rsid w:val="612279BA"/>
    <w:rsid w:val="615F5624"/>
    <w:rsid w:val="61D215CF"/>
    <w:rsid w:val="61D73926"/>
    <w:rsid w:val="625C563D"/>
    <w:rsid w:val="626A1704"/>
    <w:rsid w:val="627921C2"/>
    <w:rsid w:val="62B362C8"/>
    <w:rsid w:val="62C1330E"/>
    <w:rsid w:val="6342085E"/>
    <w:rsid w:val="636F415C"/>
    <w:rsid w:val="64917820"/>
    <w:rsid w:val="64AA1CC5"/>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9A5E59"/>
    <w:rsid w:val="68A94E70"/>
    <w:rsid w:val="68EE72DF"/>
    <w:rsid w:val="68FE744E"/>
    <w:rsid w:val="690B4C92"/>
    <w:rsid w:val="69485FEA"/>
    <w:rsid w:val="69677DC0"/>
    <w:rsid w:val="69937EC7"/>
    <w:rsid w:val="69D64558"/>
    <w:rsid w:val="6A042548"/>
    <w:rsid w:val="6A471EFD"/>
    <w:rsid w:val="6AB57116"/>
    <w:rsid w:val="6B17424A"/>
    <w:rsid w:val="6B2218FA"/>
    <w:rsid w:val="6B686C59"/>
    <w:rsid w:val="6B691672"/>
    <w:rsid w:val="6BE97F42"/>
    <w:rsid w:val="6C5E6A51"/>
    <w:rsid w:val="6C6513C3"/>
    <w:rsid w:val="6C744268"/>
    <w:rsid w:val="6C913746"/>
    <w:rsid w:val="6CD62D03"/>
    <w:rsid w:val="6CD97FB6"/>
    <w:rsid w:val="6D0E5050"/>
    <w:rsid w:val="6D4B22B8"/>
    <w:rsid w:val="6D930013"/>
    <w:rsid w:val="6E1A1656"/>
    <w:rsid w:val="6E231DD6"/>
    <w:rsid w:val="6E5A5288"/>
    <w:rsid w:val="6EE013EE"/>
    <w:rsid w:val="6EE079F1"/>
    <w:rsid w:val="6EE42C42"/>
    <w:rsid w:val="6F7F7CB0"/>
    <w:rsid w:val="6FE0165C"/>
    <w:rsid w:val="6FE10C44"/>
    <w:rsid w:val="70222744"/>
    <w:rsid w:val="706D25DF"/>
    <w:rsid w:val="706D2B21"/>
    <w:rsid w:val="707B1384"/>
    <w:rsid w:val="70857A34"/>
    <w:rsid w:val="70985D3C"/>
    <w:rsid w:val="70F81685"/>
    <w:rsid w:val="71047C73"/>
    <w:rsid w:val="7109004F"/>
    <w:rsid w:val="71103167"/>
    <w:rsid w:val="712E56F7"/>
    <w:rsid w:val="71691ABB"/>
    <w:rsid w:val="71AE1AEA"/>
    <w:rsid w:val="71CF3B6C"/>
    <w:rsid w:val="71F80F33"/>
    <w:rsid w:val="722922C6"/>
    <w:rsid w:val="727176A7"/>
    <w:rsid w:val="72AC2584"/>
    <w:rsid w:val="72CB03A1"/>
    <w:rsid w:val="732D4B5D"/>
    <w:rsid w:val="73393C88"/>
    <w:rsid w:val="7362513F"/>
    <w:rsid w:val="73771D49"/>
    <w:rsid w:val="73A1354E"/>
    <w:rsid w:val="74006876"/>
    <w:rsid w:val="74A11E7D"/>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071E5D"/>
    <w:rsid w:val="781564B8"/>
    <w:rsid w:val="781B2E5F"/>
    <w:rsid w:val="78224ACF"/>
    <w:rsid w:val="78CD6DCC"/>
    <w:rsid w:val="78D07CAF"/>
    <w:rsid w:val="78DE12D7"/>
    <w:rsid w:val="79210683"/>
    <w:rsid w:val="799C3465"/>
    <w:rsid w:val="79B14EC4"/>
    <w:rsid w:val="7A2A6B4A"/>
    <w:rsid w:val="7A681070"/>
    <w:rsid w:val="7A860C7C"/>
    <w:rsid w:val="7AB879FE"/>
    <w:rsid w:val="7B072683"/>
    <w:rsid w:val="7B3264DD"/>
    <w:rsid w:val="7B81188A"/>
    <w:rsid w:val="7B9E2902"/>
    <w:rsid w:val="7BC854E2"/>
    <w:rsid w:val="7C0562EC"/>
    <w:rsid w:val="7C067A45"/>
    <w:rsid w:val="7C27683F"/>
    <w:rsid w:val="7CB14B4D"/>
    <w:rsid w:val="7CF26969"/>
    <w:rsid w:val="7D25523C"/>
    <w:rsid w:val="7DB23041"/>
    <w:rsid w:val="7E253FEC"/>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qFormat/>
    <w:uiPriority w:val="0"/>
    <w:pPr>
      <w:keepNext/>
      <w:keepLines/>
      <w:spacing w:line="480" w:lineRule="exact"/>
      <w:outlineLvl w:val="4"/>
    </w:pPr>
    <w:rPr>
      <w:bCs/>
      <w:szCs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9"/>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60"/>
    <w:qFormat/>
    <w:uiPriority w:val="0"/>
    <w:pPr>
      <w:jc w:val="left"/>
    </w:pPr>
  </w:style>
  <w:style w:type="paragraph" w:styleId="13">
    <w:name w:val="Body Text"/>
    <w:basedOn w:val="1"/>
    <w:next w:val="1"/>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4">
    <w:name w:val="Body Text Indent"/>
    <w:basedOn w:val="1"/>
    <w:link w:val="78"/>
    <w:qFormat/>
    <w:uiPriority w:val="99"/>
    <w:pPr>
      <w:spacing w:after="120"/>
      <w:ind w:left="420" w:leftChars="200"/>
    </w:pPr>
    <w:rPr>
      <w:rFonts w:ascii="Calibri" w:hAnsi="Calibri" w:eastAsia="宋体" w:cs="Times New Roman"/>
      <w:szCs w:val="20"/>
    </w:rPr>
  </w:style>
  <w:style w:type="paragraph" w:styleId="15">
    <w:name w:val="index 4"/>
    <w:basedOn w:val="1"/>
    <w:next w:val="1"/>
    <w:qFormat/>
    <w:uiPriority w:val="0"/>
    <w:pPr>
      <w:ind w:left="600" w:leftChars="600"/>
    </w:pPr>
  </w:style>
  <w:style w:type="paragraph" w:styleId="16">
    <w:name w:val="toc 5"/>
    <w:basedOn w:val="1"/>
    <w:next w:val="1"/>
    <w:qFormat/>
    <w:uiPriority w:val="39"/>
    <w:pPr>
      <w:ind w:left="960"/>
      <w:jc w:val="left"/>
    </w:pPr>
    <w:rPr>
      <w:rFonts w:ascii="Calibri" w:hAnsi="Calibri" w:eastAsia="宋体" w:cs="Times New Roman"/>
      <w:sz w:val="18"/>
      <w:szCs w:val="18"/>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2"/>
    <w:next w:val="12"/>
    <w:link w:val="51"/>
    <w:qFormat/>
    <w:uiPriority w:val="0"/>
    <w:rPr>
      <w:b/>
    </w:rPr>
  </w:style>
  <w:style w:type="paragraph" w:styleId="35">
    <w:name w:val="Body Text First Indent 2"/>
    <w:basedOn w:val="14"/>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2"/>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2"/>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10"/>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4"/>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3"/>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2"/>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character" w:customStyle="1" w:styleId="133">
    <w:name w:val="font21"/>
    <w:basedOn w:val="38"/>
    <w:qFormat/>
    <w:uiPriority w:val="0"/>
    <w:rPr>
      <w:rFonts w:hint="eastAsia" w:ascii="宋体" w:hAnsi="宋体" w:eastAsia="宋体" w:cs="宋体"/>
      <w:color w:val="000000"/>
      <w:sz w:val="24"/>
      <w:szCs w:val="24"/>
      <w:u w:val="none"/>
    </w:rPr>
  </w:style>
  <w:style w:type="character" w:customStyle="1" w:styleId="134">
    <w:name w:val="font01"/>
    <w:basedOn w:val="38"/>
    <w:qFormat/>
    <w:uiPriority w:val="0"/>
    <w:rPr>
      <w:rFonts w:hint="eastAsia" w:ascii="宋体" w:hAnsi="宋体" w:eastAsia="宋体" w:cs="宋体"/>
      <w:color w:val="000000"/>
      <w:sz w:val="18"/>
      <w:szCs w:val="18"/>
      <w:u w:val="none"/>
    </w:rPr>
  </w:style>
  <w:style w:type="character" w:customStyle="1" w:styleId="135">
    <w:name w:val="15"/>
    <w:qFormat/>
    <w:uiPriority w:val="0"/>
    <w:rPr>
      <w:rFonts w:hint="eastAsia" w:ascii="微软雅黑" w:hAnsi="微软雅黑" w:eastAsia="微软雅黑"/>
      <w:color w:val="000000"/>
      <w:sz w:val="22"/>
      <w:szCs w:val="22"/>
    </w:rPr>
  </w:style>
  <w:style w:type="paragraph" w:customStyle="1" w:styleId="136">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footer" Target="footer3.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header" Target="header1.xml"/><Relationship Id="rId49" Type="http://schemas.openxmlformats.org/officeDocument/2006/relationships/image" Target="media/image7.jpeg"/><Relationship Id="rId48" Type="http://schemas.openxmlformats.org/officeDocument/2006/relationships/image" Target="media/image6.jpeg"/><Relationship Id="rId47" Type="http://schemas.openxmlformats.org/officeDocument/2006/relationships/image" Target="media/image5.jpeg"/><Relationship Id="rId46" Type="http://schemas.openxmlformats.org/officeDocument/2006/relationships/image" Target="media/image4.jpe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30.xml"/><Relationship Id="rId40" Type="http://schemas.openxmlformats.org/officeDocument/2006/relationships/footer" Target="footer29.xml"/><Relationship Id="rId4" Type="http://schemas.openxmlformats.org/officeDocument/2006/relationships/footer" Target="footer2.xml"/><Relationship Id="rId39" Type="http://schemas.openxmlformats.org/officeDocument/2006/relationships/header" Target="header9.xml"/><Relationship Id="rId38" Type="http://schemas.openxmlformats.org/officeDocument/2006/relationships/header" Target="header8.xml"/><Relationship Id="rId37" Type="http://schemas.openxmlformats.org/officeDocument/2006/relationships/footer" Target="footer28.xml"/><Relationship Id="rId36" Type="http://schemas.openxmlformats.org/officeDocument/2006/relationships/footer" Target="footer27.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footer" Target="footer24.xml"/><Relationship Id="rId32" Type="http://schemas.openxmlformats.org/officeDocument/2006/relationships/footer" Target="footer23.xml"/><Relationship Id="rId31" Type="http://schemas.openxmlformats.org/officeDocument/2006/relationships/footer" Target="footer22.xml"/><Relationship Id="rId30" Type="http://schemas.openxmlformats.org/officeDocument/2006/relationships/footer" Target="footer21.xml"/><Relationship Id="rId3" Type="http://schemas.openxmlformats.org/officeDocument/2006/relationships/footer" Target="footer1.xml"/><Relationship Id="rId29" Type="http://schemas.openxmlformats.org/officeDocument/2006/relationships/footer" Target="footer20.xml"/><Relationship Id="rId28" Type="http://schemas.openxmlformats.org/officeDocument/2006/relationships/footer" Target="footer19.xml"/><Relationship Id="rId27" Type="http://schemas.openxmlformats.org/officeDocument/2006/relationships/footer" Target="footer18.xml"/><Relationship Id="rId26" Type="http://schemas.openxmlformats.org/officeDocument/2006/relationships/footer" Target="footer17.xml"/><Relationship Id="rId25" Type="http://schemas.openxmlformats.org/officeDocument/2006/relationships/footer" Target="footer16.xml"/><Relationship Id="rId24" Type="http://schemas.openxmlformats.org/officeDocument/2006/relationships/footer" Target="footer15.xml"/><Relationship Id="rId23" Type="http://schemas.openxmlformats.org/officeDocument/2006/relationships/footer" Target="footer14.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88</Pages>
  <Words>11171</Words>
  <Characters>11813</Characters>
  <Lines>305</Lines>
  <Paragraphs>86</Paragraphs>
  <TotalTime>15</TotalTime>
  <ScaleCrop>false</ScaleCrop>
  <LinksUpToDate>false</LinksUpToDate>
  <CharactersWithSpaces>12166</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Admin</cp:lastModifiedBy>
  <cp:lastPrinted>2022-07-01T03:19:00Z</cp:lastPrinted>
  <dcterms:modified xsi:type="dcterms:W3CDTF">2025-02-28T03:15:43Z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6BAE9AC8F6DF46378FBB8B05943F77A4_13</vt:lpwstr>
  </property>
  <property fmtid="{D5CDD505-2E9C-101B-9397-08002B2CF9AE}" pid="4" name="KSOTemplateDocerSaveRecord">
    <vt:lpwstr>eyJoZGlkIjoiMDExZmI5NTc2OTFhZWY2NDZlZTFkMTUzMWFkYzBmYWMiLCJ1c2VySWQiOiIyMjk2MTM5MDEifQ==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