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轻卡涂装车间消防安全提升项目</w:t>
      </w: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2"/>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轻卡涂装车间消防安全提升项目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CGZX2024110316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轻卡涂装车间消防安全提升项目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default" w:ascii="宋体" w:hAnsi="宋体" w:eastAsia="宋体" w:cs="宋体"/>
                <w:bCs/>
                <w:snapToGrid w:val="0"/>
                <w:kern w:val="0"/>
                <w:sz w:val="24"/>
                <w:szCs w:val="24"/>
                <w:lang w:val="en-US"/>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黄赛昌</w:t>
            </w:r>
          </w:p>
          <w:p>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13475952683</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t>huangsaichang@sinotruk.com</w:t>
            </w:r>
          </w:p>
          <w:p>
            <w:pPr>
              <w:ind w:firstLine="480" w:firstLineChars="200"/>
              <w:rPr>
                <w:rFonts w:hint="default" w:ascii="宋体" w:hAnsi="宋体" w:eastAsia="宋体" w:cs="宋体"/>
                <w:bCs/>
                <w:snapToGrid w:val="0"/>
                <w:kern w:val="0"/>
                <w:sz w:val="24"/>
                <w:szCs w:val="24"/>
                <w:highlight w:val="yellow"/>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35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hint="eastAsia" w:hAnsi="宋体" w:eastAsia="宋体" w:cs="宋体"/>
                <w:color w:val="000000"/>
                <w:kern w:val="0"/>
                <w:sz w:val="24"/>
                <w:szCs w:val="24"/>
              </w:rPr>
            </w:pPr>
            <w:r>
              <w:rPr>
                <w:rFonts w:hint="eastAsia" w:hAnsi="宋体" w:eastAsia="宋体" w:cs="宋体"/>
                <w:color w:val="000000"/>
                <w:kern w:val="0"/>
                <w:sz w:val="24"/>
                <w:szCs w:val="24"/>
                <w:lang w:val="en-US" w:eastAsia="zh-CN"/>
              </w:rPr>
              <w:t>6.</w:t>
            </w:r>
            <w:r>
              <w:rPr>
                <w:rFonts w:hint="eastAsia" w:hAnsi="宋体" w:eastAsia="宋体" w:cs="宋体"/>
                <w:color w:val="000000"/>
                <w:kern w:val="0"/>
                <w:sz w:val="24"/>
                <w:szCs w:val="24"/>
              </w:rPr>
              <w:t>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拟投标人有与本次招标内容相同或类似项目业绩，且近3年内无因服务不当而造成重大事故；（若投标方为代理商的，可使用制造商的业绩，并加盖制造商公章有效）</w:t>
            </w:r>
            <w:r>
              <w:rPr>
                <w:rFonts w:hint="eastAsia" w:hAnsi="宋体" w:eastAsia="宋体" w:cs="宋体"/>
                <w:color w:val="000000"/>
                <w:sz w:val="24"/>
                <w:szCs w:val="24"/>
                <w:lang w:eastAsia="zh-CN"/>
              </w:rPr>
              <w:t>，</w:t>
            </w:r>
            <w:r>
              <w:rPr>
                <w:rFonts w:hint="eastAsia" w:hAnsi="宋体" w:eastAsia="宋体" w:cs="宋体"/>
                <w:color w:val="000000"/>
                <w:sz w:val="24"/>
                <w:szCs w:val="24"/>
              </w:rPr>
              <w:t>报名及投标时需提供近三年用户清单，同时需提供用户合同复印件；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2"/>
              <w:ind w:firstLine="482" w:firstLineChars="200"/>
              <w:rPr>
                <w:rFonts w:hint="eastAsia" w:hAnsi="宋体" w:eastAsia="宋体" w:cs="宋体"/>
                <w:color w:val="000000"/>
                <w:sz w:val="24"/>
                <w:szCs w:val="24"/>
                <w:highlight w:val="none"/>
                <w:lang w:val="en-US" w:eastAsia="zh-CN"/>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27</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1</w:t>
            </w:r>
            <w:r>
              <w:rPr>
                <w:rFonts w:hint="eastAsia" w:eastAsia="宋体" w:cs="宋体"/>
                <w:highlight w:val="yellow"/>
              </w:rPr>
              <w:t>月</w:t>
            </w:r>
            <w:r>
              <w:rPr>
                <w:rFonts w:hint="eastAsia" w:eastAsia="宋体" w:cs="宋体"/>
                <w:highlight w:val="yellow"/>
                <w:lang w:val="en-US" w:eastAsia="zh-CN"/>
              </w:rPr>
              <w:t>6</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黄赛昌</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val="en-US" w:eastAsia="zh-CN"/>
              </w:rPr>
              <w:t>13475952683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bookmarkStart w:id="121" w:name="_GoBack"/>
            <w:bookmarkEnd w:id="121"/>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sz w:val="24"/>
                <w:szCs w:val="24"/>
              </w:rPr>
              <w:t>资质标审核→唱标→</w:t>
            </w:r>
            <w:r>
              <w:rPr>
                <w:rFonts w:hint="eastAsia" w:ascii="宋体" w:hAnsi="宋体" w:eastAsia="宋体" w:cs="宋体"/>
                <w:sz w:val="24"/>
                <w:szCs w:val="24"/>
                <w:lang w:val="en-US" w:eastAsia="zh-CN"/>
              </w:rPr>
              <w:t>技术标评审</w:t>
            </w:r>
            <w:r>
              <w:rPr>
                <w:rFonts w:hint="eastAsia" w:ascii="宋体" w:hAnsi="宋体" w:eastAsia="宋体" w:cs="宋体"/>
                <w:sz w:val="24"/>
                <w:szCs w:val="24"/>
              </w:rPr>
              <w:t>→商务标评审。选取合理最低价中标。具体详见“第二部分投标须知第六条：评标原则”。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sz w:val="24"/>
              </w:rPr>
            </w:pPr>
            <w:r>
              <w:rPr>
                <w:rFonts w:ascii="宋体" w:hAnsi="宋体"/>
                <w:sz w:val="24"/>
              </w:rPr>
              <w:t>1.合同生效后</w:t>
            </w:r>
            <w:r>
              <w:rPr>
                <w:rFonts w:hint="eastAsia" w:ascii="宋体" w:hAnsi="宋体"/>
                <w:sz w:val="24"/>
                <w:lang w:val="en-US" w:eastAsia="zh-CN"/>
              </w:rPr>
              <w:t>60</w:t>
            </w:r>
            <w:r>
              <w:rPr>
                <w:rFonts w:ascii="宋体" w:hAnsi="宋体"/>
                <w:sz w:val="24"/>
              </w:rPr>
              <w:t>个日历日之内交货至供货地点。</w:t>
            </w:r>
          </w:p>
          <w:p>
            <w:pPr>
              <w:ind w:firstLine="480" w:firstLineChars="200"/>
              <w:rPr>
                <w:rFonts w:ascii="宋体" w:hAnsi="宋体"/>
                <w:sz w:val="24"/>
              </w:rPr>
            </w:pPr>
            <w:r>
              <w:rPr>
                <w:rFonts w:ascii="宋体" w:hAnsi="宋体"/>
                <w:sz w:val="24"/>
              </w:rPr>
              <w:t>2.接续</w:t>
            </w:r>
            <w:r>
              <w:rPr>
                <w:rFonts w:hint="eastAsia" w:ascii="宋体" w:hAnsi="宋体"/>
                <w:sz w:val="24"/>
                <w:lang w:val="en-US" w:eastAsia="zh-CN"/>
              </w:rPr>
              <w:t>30</w:t>
            </w:r>
            <w:r>
              <w:rPr>
                <w:rFonts w:ascii="宋体" w:hAnsi="宋体"/>
                <w:sz w:val="24"/>
              </w:rPr>
              <w:t>个日历日之内安装调试完毕。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int="default" w:hAnsi="宋体" w:eastAsia="宋体" w:cs="宋体"/>
                <w:color w:val="000000"/>
                <w:sz w:val="24"/>
                <w:szCs w:val="24"/>
                <w:lang w:val="en-US"/>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val="en-US" w:eastAsia="zh-CN"/>
              </w:rPr>
              <w:t>中国重汽</w:t>
            </w:r>
            <w:r>
              <w:rPr>
                <w:rFonts w:hint="eastAsia" w:ascii="宋体" w:hAnsi="宋体"/>
                <w:sz w:val="24"/>
                <w:szCs w:val="24"/>
                <w:lang w:val="en-US" w:eastAsia="zh-CN"/>
              </w:rPr>
              <w:t>济南轻卡制造公司涂装车间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50"/>
      <w:bookmarkStart w:id="8" w:name="_Toc33265752"/>
      <w:bookmarkStart w:id="9" w:name="_Toc33265653"/>
      <w:bookmarkStart w:id="10" w:name="_Toc33266914"/>
      <w:bookmarkStart w:id="11" w:name="_Toc33266627"/>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ind w:left="0" w:firstLine="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中标人确定</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技术标入围后，原则上合理最低价中标</w:t>
      </w:r>
      <w:r>
        <w:rPr>
          <w:rFonts w:hint="eastAsia" w:ascii="宋体" w:hAnsi="宋体" w:eastAsia="宋体" w:cs="宋体"/>
          <w:b/>
          <w:color w:val="auto"/>
          <w:sz w:val="24"/>
          <w:szCs w:val="24"/>
          <w:highlight w:val="none"/>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w:t>
      </w:r>
      <w:r>
        <w:rPr>
          <w:rFonts w:hint="eastAsia" w:ascii="宋体" w:hAnsi="宋体" w:eastAsia="宋体" w:cs="宋体"/>
          <w:b/>
          <w:bCs/>
          <w:sz w:val="24"/>
          <w:szCs w:val="24"/>
          <w:lang w:val="en-US" w:eastAsia="zh-CN"/>
        </w:rPr>
        <w:t>无效投标</w:t>
      </w:r>
      <w:r>
        <w:rPr>
          <w:rFonts w:hint="eastAsia" w:ascii="宋体" w:hAnsi="宋体" w:eastAsia="宋体" w:cs="宋体"/>
          <w:b/>
          <w:bCs/>
          <w:sz w:val="24"/>
          <w:szCs w:val="24"/>
        </w:rPr>
        <w:t>及</w:t>
      </w:r>
      <w:r>
        <w:rPr>
          <w:rFonts w:hint="eastAsia" w:ascii="宋体" w:hAnsi="宋体" w:eastAsia="宋体" w:cs="宋体"/>
          <w:b/>
          <w:bCs/>
          <w:sz w:val="24"/>
          <w:szCs w:val="24"/>
          <w:lang w:val="en-US" w:eastAsia="zh-CN"/>
        </w:rPr>
        <w:t>废标并</w:t>
      </w:r>
      <w:r>
        <w:rPr>
          <w:rFonts w:hint="eastAsia" w:ascii="宋体" w:hAnsi="宋体" w:eastAsia="宋体" w:cs="宋体"/>
          <w:b/>
          <w:bCs/>
          <w:sz w:val="24"/>
          <w:szCs w:val="24"/>
        </w:rPr>
        <w:t>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w:t>
      </w:r>
      <w:r>
        <w:rPr>
          <w:rFonts w:hint="eastAsia" w:ascii="宋体" w:hAnsi="宋体" w:eastAsia="宋体" w:cs="宋体"/>
          <w:color w:val="000000"/>
          <w:sz w:val="24"/>
          <w:szCs w:val="24"/>
          <w:lang w:val="en-US" w:eastAsia="zh-CN"/>
        </w:rPr>
        <w:t>无效投标</w:t>
      </w:r>
      <w:r>
        <w:rPr>
          <w:rFonts w:hint="eastAsia" w:ascii="宋体" w:hAnsi="宋体" w:eastAsia="宋体" w:cs="宋体"/>
          <w:color w:val="000000"/>
          <w:sz w:val="24"/>
          <w:szCs w:val="24"/>
        </w:rPr>
        <w:t>，招标人将严格按照《中华人民共和国招标投标法》及相关法律、法规及规章制度的规定行使权利。投标人给招标人造成损失的，招标人有索赔的权利，投标人应予以赔偿。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rPr>
        <w:t>）未按照招标人规定的时间内在中国重汽e采通完成投标的；</w:t>
      </w:r>
    </w:p>
    <w:p>
      <w:pPr>
        <w:pStyle w:val="2"/>
        <w:spacing w:line="360" w:lineRule="auto"/>
        <w:ind w:firstLine="480" w:firstLineChars="200"/>
        <w:rPr>
          <w:rFonts w:hint="eastAsia" w:ascii="宋体" w:hAnsi="宋体" w:eastAsia="宋体" w:cs="宋体"/>
          <w:color w:val="000000"/>
          <w:sz w:val="24"/>
          <w:szCs w:val="24"/>
          <w:highlight w:val="yellow"/>
        </w:rPr>
      </w:pP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w:t>
      </w:r>
      <w:r>
        <w:rPr>
          <w:rFonts w:hint="eastAsia" w:ascii="宋体" w:hAnsi="宋体" w:eastAsia="宋体" w:cs="宋体"/>
          <w:sz w:val="24"/>
          <w:szCs w:val="24"/>
          <w:lang w:val="en-US" w:eastAsia="zh-CN"/>
        </w:rPr>
        <w:t>废标</w:t>
      </w:r>
      <w:r>
        <w:rPr>
          <w:rFonts w:hint="eastAsia" w:ascii="宋体" w:hAnsi="宋体" w:eastAsia="宋体" w:cs="宋体"/>
          <w:sz w:val="24"/>
          <w:szCs w:val="24"/>
        </w:rPr>
        <w:t>并终止招标。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（1）符合条件的投标人或者对招标文件做实质响应的投标人不足三家</w:t>
      </w:r>
      <w:r>
        <w:rPr>
          <w:rFonts w:hint="eastAsia" w:ascii="宋体" w:hAnsi="宋体" w:eastAsia="宋体" w:cs="宋体"/>
          <w:sz w:val="24"/>
          <w:szCs w:val="24"/>
          <w:lang w:val="en-US" w:eastAsia="zh-CN"/>
        </w:rPr>
        <w:t>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14" w:name="OLE_LINK28"/>
      <w:bookmarkStart w:id="15" w:name="OLE_LINK29"/>
      <w:bookmarkStart w:id="16" w:name="OLE_LINK26"/>
      <w:bookmarkStart w:id="17" w:name="OLE_LINK27"/>
      <w:bookmarkStart w:id="18" w:name="OLE_LINK25"/>
      <w:r>
        <w:rPr>
          <w:rFonts w:hint="eastAsia" w:ascii="宋体" w:hAnsi="宋体" w:eastAsia="宋体" w:cs="宋体"/>
          <w:bCs/>
          <w:sz w:val="24"/>
          <w:szCs w:val="24"/>
        </w:rPr>
        <w:t>；</w:t>
      </w:r>
      <w:bookmarkEnd w:id="14"/>
      <w:bookmarkEnd w:id="15"/>
      <w:bookmarkEnd w:id="16"/>
      <w:bookmarkEnd w:id="17"/>
      <w:bookmarkEnd w:id="18"/>
    </w:p>
    <w:p>
      <w:pPr>
        <w:pStyle w:val="2"/>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不同投标人的投标文件异常一致</w:t>
      </w:r>
      <w:r>
        <w:rPr>
          <w:rFonts w:hint="eastAsia" w:ascii="宋体" w:hAnsi="宋体" w:eastAsia="宋体" w:cs="宋体"/>
          <w:color w:val="000000"/>
          <w:sz w:val="24"/>
          <w:szCs w:val="24"/>
          <w:highlight w:val="yellow"/>
          <w:lang w:eastAsia="zh-CN"/>
        </w:rPr>
        <w:t>；</w:t>
      </w:r>
    </w:p>
    <w:p>
      <w:pPr>
        <w:pStyle w:val="2"/>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hAnsi="宋体" w:eastAsia="宋体" w:cs="宋体"/>
          <w:color w:val="000000"/>
          <w:sz w:val="24"/>
          <w:szCs w:val="24"/>
          <w:highlight w:val="yellow"/>
          <w:lang w:val="en-US" w:eastAsia="zh-CN"/>
        </w:rPr>
        <w:t>6</w:t>
      </w:r>
      <w:r>
        <w:rPr>
          <w:rFonts w:hint="eastAsia" w:ascii="宋体" w:hAnsi="宋体" w:eastAsia="宋体" w:cs="宋体"/>
          <w:color w:val="000000"/>
          <w:sz w:val="24"/>
          <w:szCs w:val="24"/>
          <w:highlight w:val="yellow"/>
          <w:lang w:eastAsia="zh-CN"/>
        </w:rPr>
        <w:t>）投标报价呈规律性差异的；</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lang w:eastAsia="zh-CN"/>
        </w:rPr>
        <w:t>）投标人报价均超过</w:t>
      </w:r>
      <w:r>
        <w:rPr>
          <w:rFonts w:hint="eastAsia" w:hAnsi="宋体" w:eastAsia="宋体" w:cs="宋体"/>
          <w:color w:val="000000"/>
          <w:sz w:val="24"/>
          <w:szCs w:val="24"/>
          <w:highlight w:val="yellow"/>
          <w:lang w:val="en-US" w:eastAsia="zh-CN"/>
        </w:rPr>
        <w:t>投标限价</w:t>
      </w:r>
      <w:r>
        <w:rPr>
          <w:rFonts w:hint="eastAsia" w:ascii="宋体" w:hAnsi="宋体" w:eastAsia="宋体" w:cs="宋体"/>
          <w:color w:val="000000"/>
          <w:sz w:val="24"/>
          <w:szCs w:val="24"/>
          <w:highlight w:val="yellow"/>
          <w:lang w:eastAsia="zh-CN"/>
        </w:rPr>
        <w:t>的；</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ascii="宋体" w:hAnsi="宋体" w:eastAsia="宋体" w:cs="宋体"/>
          <w:sz w:val="24"/>
          <w:szCs w:val="24"/>
        </w:rPr>
        <w:t>技术标入围商务标不足三家</w:t>
      </w:r>
      <w:r>
        <w:rPr>
          <w:rFonts w:hint="eastAsia" w:ascii="宋体" w:hAnsi="宋体" w:eastAsia="宋体" w:cs="宋体"/>
          <w:sz w:val="24"/>
          <w:szCs w:val="24"/>
          <w:lang w:val="en-US" w:eastAsia="zh-CN"/>
        </w:rPr>
        <w:t>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w:t>
      </w:r>
      <w:r>
        <w:rPr>
          <w:rFonts w:hint="eastAsia" w:hAnsi="宋体" w:eastAsia="宋体" w:cs="宋体"/>
          <w:bCs/>
          <w:sz w:val="24"/>
          <w:szCs w:val="24"/>
          <w:lang w:val="en-US" w:eastAsia="zh-CN"/>
        </w:rPr>
        <w:t>9</w:t>
      </w:r>
      <w:r>
        <w:rPr>
          <w:rFonts w:hint="eastAsia" w:ascii="宋体" w:hAnsi="宋体" w:eastAsia="宋体" w:cs="宋体"/>
          <w:bCs/>
          <w:sz w:val="24"/>
          <w:szCs w:val="24"/>
        </w:rPr>
        <w:t>）招标人认为其他应终止招标的情形。</w:t>
      </w:r>
    </w:p>
    <w:p>
      <w:pPr>
        <w:spacing w:line="360" w:lineRule="auto"/>
        <w:ind w:right="2"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注：</w:t>
      </w:r>
      <w:r>
        <w:rPr>
          <w:rFonts w:hint="eastAsia" w:ascii="宋体" w:hAnsi="宋体" w:eastAsia="宋体" w:cs="宋体"/>
          <w:bCs/>
          <w:sz w:val="24"/>
          <w:szCs w:val="24"/>
        </w:rPr>
        <w:t>投标人承诺同意由于招标人公司政策变化引起的随时终止项目的要求并承担由此带来的一切损失</w:t>
      </w:r>
      <w:r>
        <w:rPr>
          <w:rFonts w:hint="eastAsia" w:ascii="宋体" w:hAnsi="宋体" w:eastAsia="宋体" w:cs="宋体"/>
          <w:bCs/>
          <w:sz w:val="24"/>
          <w:szCs w:val="24"/>
          <w:lang w:eastAsia="zh-CN"/>
        </w:rPr>
        <w:t>。</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2"/>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19"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19"/>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复印件（清单中必须包含金额）</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0"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0"/>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1"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1"/>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2" w:name="OLE_LINK18"/>
      <w:bookmarkStart w:id="23" w:name="OLE_LINK19"/>
      <w:r>
        <w:rPr>
          <w:rFonts w:hint="eastAsia" w:ascii="宋体" w:hAnsi="宋体" w:eastAsia="宋体" w:cs="宋体"/>
          <w:b/>
          <w:color w:val="000000"/>
          <w:sz w:val="24"/>
          <w:szCs w:val="24"/>
        </w:rPr>
        <w:t>；</w:t>
      </w:r>
      <w:bookmarkEnd w:id="22"/>
      <w:bookmarkEnd w:id="23"/>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轻卡涂装车间消防安全提升项目</w:t>
      </w:r>
    </w:p>
    <w:p>
      <w:pPr>
        <w:spacing w:line="276" w:lineRule="auto"/>
        <w:jc w:val="center"/>
        <w:rPr>
          <w:rFonts w:ascii="Calibri" w:hAnsi="Calibri" w:eastAsia="宋体" w:cs="Times New Roman"/>
          <w:b/>
          <w:bCs/>
          <w:color w:val="000000"/>
          <w:spacing w:val="-8"/>
          <w:sz w:val="48"/>
          <w:szCs w:val="44"/>
        </w:rPr>
      </w:pP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人：济南动力有限公司</w:t>
      </w:r>
    </w:p>
    <w:p>
      <w:pPr>
        <w:jc w:val="center"/>
        <w:rPr>
          <w:rFonts w:ascii="Calibri" w:hAnsi="Calibri" w:eastAsia="宋体" w:cs="Times New Roman"/>
          <w:color w:val="000000"/>
          <w:sz w:val="28"/>
          <w:szCs w:val="28"/>
        </w:rPr>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1</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headerReference r:id="rId12" w:type="default"/>
          <w:footerReference r:id="rId13" w:type="default"/>
          <w:pgSz w:w="11907" w:h="16840"/>
          <w:pgMar w:top="1304" w:right="1418" w:bottom="1304" w:left="1418" w:header="724" w:footer="851" w:gutter="0"/>
          <w:cols w:space="720" w:num="1"/>
          <w:docGrid w:linePitch="290" w:charSpace="-3931"/>
        </w:sectPr>
      </w:pPr>
    </w:p>
    <w:p>
      <w:pPr>
        <w:pStyle w:val="3"/>
        <w:keepNext/>
        <w:keepLines/>
        <w:ind w:hanging="420"/>
        <w:jc w:val="both"/>
      </w:pPr>
      <w:bookmarkStart w:id="24" w:name="_Toc49342385"/>
      <w:bookmarkStart w:id="25" w:name="_Toc445655500"/>
      <w:bookmarkStart w:id="26" w:name="_Toc18103"/>
      <w:bookmarkStart w:id="27" w:name="_Toc27758106"/>
      <w:bookmarkStart w:id="28" w:name="_Toc180241683"/>
      <w:bookmarkStart w:id="29" w:name="_Toc26357117"/>
      <w:r>
        <w:t>一、</w:t>
      </w:r>
      <w:r>
        <w:rPr>
          <w:rFonts w:hint="eastAsia"/>
        </w:rPr>
        <w:t>标的物的用途</w:t>
      </w:r>
      <w:bookmarkEnd w:id="24"/>
    </w:p>
    <w:p>
      <w:pPr>
        <w:spacing w:line="360" w:lineRule="auto"/>
        <w:jc w:val="left"/>
        <w:rPr>
          <w:rFonts w:hint="eastAsia" w:ascii="宋体" w:hAnsi="宋体"/>
          <w:sz w:val="24"/>
          <w:szCs w:val="24"/>
          <w:highlight w:val="red"/>
        </w:rPr>
      </w:pPr>
    </w:p>
    <w:p>
      <w:pPr>
        <w:numPr>
          <w:ilvl w:val="0"/>
          <w:numId w:val="0"/>
        </w:numPr>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实现沸石转轮自动防火、灭火功能，整个VOCs废气处理系统增加消防设施，降低火灾风险，避免因火灾造成沸石转轮更换。</w:t>
      </w:r>
    </w:p>
    <w:p>
      <w:pPr>
        <w:pStyle w:val="3"/>
        <w:keepNext/>
        <w:keepLines/>
        <w:ind w:hanging="420"/>
        <w:jc w:val="both"/>
      </w:pPr>
      <w:bookmarkStart w:id="30" w:name="_Toc49342386"/>
      <w:r>
        <w:t>二、</w:t>
      </w:r>
      <w:r>
        <w:rPr>
          <w:rFonts w:hint="eastAsia"/>
        </w:rPr>
        <w:t>标的物使用环境</w:t>
      </w:r>
      <w:bookmarkEnd w:id="30"/>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项目名称：</w:t>
      </w:r>
      <w:r>
        <w:rPr>
          <w:rFonts w:hint="eastAsia" w:ascii="宋体" w:hAnsi="宋体" w:eastAsia="宋体" w:cs="Times New Roman"/>
          <w:bCs/>
          <w:sz w:val="24"/>
          <w:szCs w:val="24"/>
          <w:u w:val="single"/>
        </w:rPr>
        <w:t>济南轻卡制造公司涂装车间消防安全提升项目</w:t>
      </w:r>
      <w:r>
        <w:rPr>
          <w:rFonts w:hint="eastAsia" w:ascii="宋体" w:hAnsi="宋体"/>
          <w:bCs/>
          <w:sz w:val="24"/>
          <w:szCs w:val="24"/>
          <w:u w:val="single"/>
        </w:rPr>
        <w:t>招标文件</w:t>
      </w:r>
    </w:p>
    <w:p>
      <w:pPr>
        <w:numPr>
          <w:ilvl w:val="0"/>
          <w:numId w:val="11"/>
        </w:numPr>
        <w:spacing w:line="360" w:lineRule="auto"/>
        <w:ind w:firstLine="480" w:firstLineChars="200"/>
        <w:jc w:val="left"/>
        <w:rPr>
          <w:rFonts w:ascii="宋体" w:hAnsi="宋体"/>
          <w:bCs/>
          <w:sz w:val="24"/>
          <w:szCs w:val="24"/>
          <w:u w:val="single"/>
        </w:rPr>
      </w:pPr>
      <w:r>
        <w:rPr>
          <w:rFonts w:hint="eastAsia" w:ascii="宋体" w:hAnsi="宋体"/>
          <w:bCs/>
          <w:sz w:val="24"/>
          <w:szCs w:val="24"/>
        </w:rPr>
        <w:t>工作地点：</w:t>
      </w:r>
      <w:r>
        <w:rPr>
          <w:rFonts w:hint="eastAsia" w:ascii="宋体" w:hAnsi="宋体"/>
          <w:bCs/>
          <w:strike w:val="0"/>
          <w:sz w:val="24"/>
          <w:szCs w:val="24"/>
          <w:u w:val="single"/>
          <w:lang w:val="en-US" w:eastAsia="zh-CN"/>
        </w:rPr>
        <w:t>涂装VOCs废气处理设备平台</w:t>
      </w:r>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工作制度：全年工作</w:t>
      </w:r>
      <w:r>
        <w:rPr>
          <w:rFonts w:hint="eastAsia" w:ascii="宋体" w:hAnsi="宋体"/>
          <w:bCs/>
          <w:sz w:val="24"/>
          <w:szCs w:val="24"/>
          <w:u w:val="single"/>
        </w:rPr>
        <w:t xml:space="preserve"> </w:t>
      </w:r>
      <w:r>
        <w:rPr>
          <w:rFonts w:ascii="宋体" w:hAnsi="宋体"/>
          <w:bCs/>
          <w:sz w:val="24"/>
          <w:szCs w:val="24"/>
          <w:u w:val="single"/>
        </w:rPr>
        <w:t>251</w:t>
      </w:r>
      <w:r>
        <w:rPr>
          <w:rFonts w:hint="eastAsia" w:ascii="宋体" w:hAnsi="宋体"/>
          <w:bCs/>
          <w:sz w:val="24"/>
          <w:szCs w:val="24"/>
        </w:rPr>
        <w:t>天、</w:t>
      </w:r>
      <w:r>
        <w:rPr>
          <w:rFonts w:hint="eastAsia" w:ascii="宋体" w:hAnsi="宋体"/>
          <w:bCs/>
          <w:sz w:val="24"/>
          <w:szCs w:val="24"/>
          <w:u w:val="single"/>
        </w:rPr>
        <w:t>2</w:t>
      </w:r>
      <w:r>
        <w:rPr>
          <w:rFonts w:hint="eastAsia" w:ascii="宋体" w:hAnsi="宋体"/>
          <w:bCs/>
          <w:sz w:val="24"/>
          <w:szCs w:val="24"/>
        </w:rPr>
        <w:t>班制、</w:t>
      </w:r>
      <w:r>
        <w:rPr>
          <w:rFonts w:hint="eastAsia" w:ascii="宋体" w:hAnsi="宋体"/>
          <w:kern w:val="0"/>
          <w:sz w:val="24"/>
          <w:szCs w:val="24"/>
        </w:rPr>
        <w:t>设备开动率：75%</w:t>
      </w:r>
    </w:p>
    <w:p>
      <w:pPr>
        <w:numPr>
          <w:ilvl w:val="0"/>
          <w:numId w:val="11"/>
        </w:numPr>
        <w:spacing w:line="360" w:lineRule="auto"/>
        <w:ind w:firstLine="480" w:firstLineChars="200"/>
        <w:jc w:val="left"/>
        <w:rPr>
          <w:rFonts w:ascii="宋体" w:hAnsi="宋体"/>
          <w:bCs/>
          <w:sz w:val="24"/>
          <w:szCs w:val="24"/>
        </w:rPr>
      </w:pPr>
      <w:r>
        <w:rPr>
          <w:rFonts w:hint="eastAsia" w:ascii="宋体" w:hAnsi="宋体"/>
          <w:bCs/>
          <w:sz w:val="24"/>
          <w:szCs w:val="24"/>
        </w:rPr>
        <w:t>使用地点区域自然环境：</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海拔高度：1000m以下</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室外温度：-20℃～40℃</w:t>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室内温度：-5℃～45℃</w:t>
      </w:r>
      <w:r>
        <w:rPr>
          <w:rFonts w:hint="eastAsia" w:ascii="宋体" w:hAnsi="宋体"/>
          <w:bCs/>
          <w:sz w:val="24"/>
          <w:szCs w:val="24"/>
        </w:rPr>
        <w:tab/>
      </w:r>
    </w:p>
    <w:p>
      <w:pPr>
        <w:numPr>
          <w:ilvl w:val="1"/>
          <w:numId w:val="11"/>
        </w:numPr>
        <w:spacing w:line="360" w:lineRule="auto"/>
        <w:ind w:left="0" w:firstLine="480" w:firstLineChars="200"/>
        <w:jc w:val="left"/>
        <w:rPr>
          <w:rFonts w:ascii="宋体" w:hAnsi="宋体"/>
          <w:bCs/>
          <w:sz w:val="24"/>
          <w:szCs w:val="24"/>
        </w:rPr>
      </w:pPr>
      <w:r>
        <w:rPr>
          <w:rFonts w:hint="eastAsia" w:ascii="宋体" w:hAnsi="宋体"/>
          <w:bCs/>
          <w:sz w:val="24"/>
          <w:szCs w:val="24"/>
        </w:rPr>
        <w:t>环境湿度：在20℃时最大湿度为90%</w:t>
      </w:r>
    </w:p>
    <w:p>
      <w:pPr>
        <w:numPr>
          <w:ilvl w:val="1"/>
          <w:numId w:val="11"/>
        </w:numPr>
        <w:spacing w:line="360" w:lineRule="auto"/>
        <w:ind w:left="0" w:firstLine="480" w:firstLineChars="200"/>
        <w:jc w:val="left"/>
        <w:rPr>
          <w:rFonts w:ascii="宋体" w:hAnsi="宋体"/>
          <w:sz w:val="24"/>
          <w:szCs w:val="24"/>
        </w:rPr>
      </w:pPr>
      <w:r>
        <w:rPr>
          <w:rFonts w:hint="eastAsia" w:ascii="宋体" w:hAnsi="宋体"/>
          <w:bCs/>
          <w:sz w:val="24"/>
          <w:szCs w:val="24"/>
        </w:rPr>
        <w:t>压缩空气压力：0.4～0.6Mpa</w:t>
      </w:r>
    </w:p>
    <w:p>
      <w:pPr>
        <w:numPr>
          <w:ilvl w:val="1"/>
          <w:numId w:val="11"/>
        </w:numPr>
        <w:spacing w:line="360" w:lineRule="auto"/>
        <w:ind w:left="0" w:firstLine="480" w:firstLineChars="200"/>
        <w:jc w:val="left"/>
        <w:rPr>
          <w:rFonts w:ascii="宋体" w:hAnsi="宋体"/>
          <w:bCs/>
          <w:sz w:val="24"/>
          <w:szCs w:val="24"/>
        </w:rPr>
      </w:pPr>
      <w:r>
        <w:rPr>
          <w:rFonts w:ascii="宋体" w:hAnsi="宋体"/>
          <w:bCs/>
          <w:sz w:val="24"/>
          <w:szCs w:val="24"/>
        </w:rPr>
        <w:t xml:space="preserve">电源电压：380V±15%，50 Hz±2% </w:t>
      </w:r>
    </w:p>
    <w:p>
      <w:pPr>
        <w:pStyle w:val="3"/>
        <w:keepNext/>
        <w:keepLines/>
        <w:ind w:hanging="420"/>
        <w:jc w:val="both"/>
      </w:pPr>
      <w:bookmarkStart w:id="31" w:name="_Toc49342387"/>
      <w:r>
        <w:t>三、</w:t>
      </w:r>
      <w:r>
        <w:rPr>
          <w:rFonts w:hint="eastAsia"/>
        </w:rPr>
        <w:t>供货范围</w:t>
      </w:r>
      <w:bookmarkEnd w:id="31"/>
    </w:p>
    <w:p>
      <w:pPr>
        <w:spacing w:line="360" w:lineRule="auto"/>
        <w:ind w:firstLine="480" w:firstLineChars="200"/>
        <w:jc w:val="left"/>
        <w:rPr>
          <w:b/>
          <w:sz w:val="24"/>
          <w:szCs w:val="24"/>
        </w:rPr>
      </w:pPr>
      <w:r>
        <w:rPr>
          <w:rFonts w:hint="eastAsia"/>
          <w:color w:val="000000"/>
          <w:sz w:val="24"/>
          <w:szCs w:val="24"/>
        </w:rPr>
        <w:t>本项目是一个总包项目，项目包含</w:t>
      </w:r>
      <w:r>
        <w:rPr>
          <w:rFonts w:hint="eastAsia"/>
          <w:color w:val="000000"/>
          <w:sz w:val="24"/>
          <w:szCs w:val="24"/>
          <w:lang w:val="en-US" w:eastAsia="zh-CN"/>
        </w:rPr>
        <w:t>VOCs废气处理设备中沸石转轮的</w:t>
      </w:r>
      <w:r>
        <w:rPr>
          <w:rFonts w:hint="eastAsia" w:ascii="Times New Roman" w:hAnsi="Times New Roman" w:eastAsia="宋体" w:cs="Times New Roman"/>
          <w:color w:val="000000"/>
          <w:sz w:val="24"/>
          <w:szCs w:val="24"/>
          <w:lang w:val="zh-CN" w:eastAsia="zh-CN"/>
        </w:rPr>
        <w:t>自动防火、灭火</w:t>
      </w:r>
      <w:r>
        <w:rPr>
          <w:rFonts w:hint="eastAsia" w:ascii="Times New Roman" w:hAnsi="Times New Roman" w:eastAsia="宋体" w:cs="Times New Roman"/>
          <w:color w:val="000000"/>
          <w:sz w:val="24"/>
          <w:szCs w:val="24"/>
          <w:lang w:val="en-US" w:eastAsia="zh-CN"/>
        </w:rPr>
        <w:t>的</w:t>
      </w:r>
      <w:r>
        <w:rPr>
          <w:rFonts w:hint="eastAsia"/>
          <w:color w:val="000000"/>
          <w:sz w:val="24"/>
          <w:szCs w:val="24"/>
        </w:rPr>
        <w:t>设计、采购、制造、运输、装卸、安装调试及培训等，并交付使用。主要供货明细详见下表：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3109"/>
        <w:gridCol w:w="141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6" w:type="dxa"/>
            <w:noWrap w:val="0"/>
            <w:vAlign w:val="center"/>
          </w:tcPr>
          <w:p>
            <w:pPr>
              <w:pStyle w:val="126"/>
              <w:tabs>
                <w:tab w:val="left" w:pos="552"/>
              </w:tabs>
              <w:ind w:firstLine="0" w:firstLineChars="0"/>
              <w:jc w:val="center"/>
              <w:rPr>
                <w:rFonts w:ascii="宋体" w:hAnsi="宋体"/>
                <w:sz w:val="24"/>
              </w:rPr>
            </w:pPr>
            <w:r>
              <w:rPr>
                <w:rFonts w:hint="eastAsia" w:ascii="宋体" w:hAnsi="宋体"/>
                <w:sz w:val="24"/>
              </w:rPr>
              <w:t>序号</w:t>
            </w:r>
          </w:p>
        </w:tc>
        <w:tc>
          <w:tcPr>
            <w:tcW w:w="3109" w:type="dxa"/>
            <w:noWrap w:val="0"/>
            <w:vAlign w:val="center"/>
          </w:tcPr>
          <w:p>
            <w:pPr>
              <w:pStyle w:val="126"/>
              <w:ind w:firstLine="0" w:firstLineChars="0"/>
              <w:jc w:val="center"/>
              <w:rPr>
                <w:rFonts w:ascii="宋体" w:hAnsi="宋体"/>
                <w:sz w:val="24"/>
              </w:rPr>
            </w:pPr>
            <w:r>
              <w:rPr>
                <w:rFonts w:hint="eastAsia" w:ascii="宋体" w:hAnsi="宋体"/>
                <w:sz w:val="24"/>
              </w:rPr>
              <w:t>名称</w:t>
            </w:r>
          </w:p>
        </w:tc>
        <w:tc>
          <w:tcPr>
            <w:tcW w:w="1418" w:type="dxa"/>
            <w:noWrap w:val="0"/>
            <w:vAlign w:val="center"/>
          </w:tcPr>
          <w:p>
            <w:pPr>
              <w:pStyle w:val="126"/>
              <w:ind w:firstLine="0" w:firstLineChars="0"/>
              <w:jc w:val="center"/>
              <w:rPr>
                <w:rFonts w:ascii="宋体" w:hAnsi="宋体"/>
                <w:sz w:val="24"/>
              </w:rPr>
            </w:pPr>
            <w:r>
              <w:rPr>
                <w:rFonts w:hint="eastAsia" w:ascii="宋体" w:hAnsi="宋体"/>
                <w:sz w:val="24"/>
              </w:rPr>
              <w:t>数量/套</w:t>
            </w:r>
          </w:p>
        </w:tc>
        <w:tc>
          <w:tcPr>
            <w:tcW w:w="1568" w:type="dxa"/>
            <w:noWrap w:val="0"/>
            <w:vAlign w:val="center"/>
          </w:tcPr>
          <w:p>
            <w:pPr>
              <w:pStyle w:val="126"/>
              <w:ind w:firstLine="0" w:firstLineChars="0"/>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96" w:type="dxa"/>
            <w:noWrap w:val="0"/>
            <w:vAlign w:val="center"/>
          </w:tcPr>
          <w:p>
            <w:pPr>
              <w:pStyle w:val="126"/>
              <w:tabs>
                <w:tab w:val="left" w:pos="552"/>
              </w:tabs>
              <w:ind w:firstLine="0" w:firstLineChars="0"/>
              <w:jc w:val="center"/>
              <w:rPr>
                <w:rFonts w:ascii="宋体" w:hAnsi="宋体"/>
                <w:sz w:val="24"/>
              </w:rPr>
            </w:pPr>
            <w:r>
              <w:rPr>
                <w:rFonts w:hint="eastAsia" w:ascii="宋体" w:hAnsi="宋体"/>
                <w:sz w:val="24"/>
              </w:rPr>
              <w:t>1</w:t>
            </w:r>
          </w:p>
        </w:tc>
        <w:tc>
          <w:tcPr>
            <w:tcW w:w="3109" w:type="dxa"/>
            <w:noWrap w:val="0"/>
            <w:vAlign w:val="center"/>
          </w:tcPr>
          <w:p>
            <w:pPr>
              <w:jc w:val="center"/>
              <w:rPr>
                <w:rFonts w:ascii="宋体" w:hAnsi="宋体"/>
                <w:sz w:val="24"/>
                <w:szCs w:val="24"/>
              </w:rPr>
            </w:pPr>
            <w:r>
              <w:rPr>
                <w:rFonts w:hint="eastAsia" w:ascii="宋体" w:hAnsi="宋体"/>
                <w:sz w:val="24"/>
                <w:szCs w:val="24"/>
              </w:rPr>
              <w:t>氮气系统</w:t>
            </w:r>
          </w:p>
        </w:tc>
        <w:tc>
          <w:tcPr>
            <w:tcW w:w="1418" w:type="dxa"/>
            <w:noWrap w:val="0"/>
            <w:vAlign w:val="center"/>
          </w:tcPr>
          <w:p>
            <w:pPr>
              <w:jc w:val="center"/>
              <w:rPr>
                <w:rFonts w:hint="eastAsia" w:ascii="宋体" w:hAnsi="宋体" w:eastAsia="宋体"/>
                <w:sz w:val="24"/>
                <w:szCs w:val="24"/>
                <w:lang w:eastAsia="zh-CN"/>
              </w:rPr>
            </w:pPr>
            <w:r>
              <w:rPr>
                <w:rFonts w:hint="eastAsia" w:ascii="宋体" w:hAnsi="宋体"/>
                <w:sz w:val="24"/>
                <w:szCs w:val="24"/>
                <w:lang w:val="en-US" w:eastAsia="zh-CN"/>
              </w:rPr>
              <w:t>1</w:t>
            </w:r>
          </w:p>
        </w:tc>
        <w:tc>
          <w:tcPr>
            <w:tcW w:w="1568" w:type="dxa"/>
            <w:noWrap w:val="0"/>
            <w:vAlign w:val="center"/>
          </w:tcPr>
          <w:p>
            <w:pPr>
              <w:pStyle w:val="126"/>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296" w:type="dxa"/>
            <w:noWrap w:val="0"/>
            <w:vAlign w:val="center"/>
          </w:tcPr>
          <w:p>
            <w:pPr>
              <w:pStyle w:val="126"/>
              <w:tabs>
                <w:tab w:val="left" w:pos="552"/>
              </w:tabs>
              <w:ind w:firstLine="0" w:firstLineChars="0"/>
              <w:jc w:val="center"/>
              <w:rPr>
                <w:rFonts w:hint="eastAsia" w:ascii="宋体" w:hAnsi="宋体"/>
                <w:sz w:val="24"/>
              </w:rPr>
            </w:pPr>
            <w:r>
              <w:rPr>
                <w:rFonts w:hint="eastAsia" w:ascii="宋体" w:hAnsi="宋体"/>
                <w:sz w:val="24"/>
              </w:rPr>
              <w:t>2</w:t>
            </w:r>
          </w:p>
        </w:tc>
        <w:tc>
          <w:tcPr>
            <w:tcW w:w="3109" w:type="dxa"/>
            <w:noWrap w:val="0"/>
            <w:vAlign w:val="center"/>
          </w:tcPr>
          <w:p>
            <w:pPr>
              <w:jc w:val="center"/>
              <w:rPr>
                <w:rFonts w:ascii="宋体" w:hAnsi="宋体"/>
                <w:sz w:val="24"/>
                <w:szCs w:val="24"/>
              </w:rPr>
            </w:pPr>
            <w:r>
              <w:rPr>
                <w:rFonts w:hint="eastAsia" w:ascii="宋体" w:hAnsi="宋体"/>
                <w:sz w:val="24"/>
                <w:szCs w:val="24"/>
              </w:rPr>
              <w:t>喷淋系统</w:t>
            </w:r>
          </w:p>
        </w:tc>
        <w:tc>
          <w:tcPr>
            <w:tcW w:w="1418" w:type="dxa"/>
            <w:noWrap w:val="0"/>
            <w:vAlign w:val="center"/>
          </w:tcPr>
          <w:p>
            <w:pPr>
              <w:jc w:val="center"/>
              <w:rPr>
                <w:rFonts w:ascii="宋体" w:hAnsi="宋体"/>
                <w:sz w:val="24"/>
                <w:szCs w:val="24"/>
              </w:rPr>
            </w:pPr>
            <w:r>
              <w:rPr>
                <w:rFonts w:hint="eastAsia" w:ascii="宋体" w:hAnsi="宋体"/>
                <w:sz w:val="24"/>
                <w:szCs w:val="24"/>
              </w:rPr>
              <w:t>1</w:t>
            </w:r>
          </w:p>
        </w:tc>
        <w:tc>
          <w:tcPr>
            <w:tcW w:w="1568" w:type="dxa"/>
            <w:noWrap w:val="0"/>
            <w:vAlign w:val="center"/>
          </w:tcPr>
          <w:p>
            <w:pPr>
              <w:pStyle w:val="126"/>
              <w:tabs>
                <w:tab w:val="left" w:pos="552"/>
              </w:tabs>
              <w:ind w:firstLine="0" w:firstLineChars="0"/>
              <w:jc w:val="center"/>
              <w:rPr>
                <w:rFonts w:ascii="宋体" w:hAnsi="宋体"/>
                <w:sz w:val="24"/>
              </w:rPr>
            </w:pPr>
          </w:p>
        </w:tc>
      </w:tr>
    </w:tbl>
    <w:p>
      <w:pPr>
        <w:pStyle w:val="3"/>
        <w:keepNext/>
        <w:keepLines/>
        <w:ind w:hanging="420"/>
        <w:jc w:val="both"/>
      </w:pPr>
      <w:bookmarkStart w:id="32" w:name="_Toc49342388"/>
      <w:r>
        <w:t>四、</w:t>
      </w:r>
      <w:r>
        <w:rPr>
          <w:rFonts w:hint="eastAsia"/>
        </w:rPr>
        <w:t>标的物技术要求</w:t>
      </w:r>
      <w:bookmarkEnd w:id="32"/>
    </w:p>
    <w:p>
      <w:pPr>
        <w:spacing w:line="360" w:lineRule="auto"/>
        <w:ind w:firstLine="560" w:firstLineChars="200"/>
        <w:rPr>
          <w:rFonts w:hint="default" w:ascii="宋体" w:hAnsi="宋体" w:eastAsia="宋体"/>
          <w:sz w:val="24"/>
          <w:szCs w:val="24"/>
          <w:lang w:val="en-US" w:eastAsia="zh-CN"/>
        </w:rPr>
      </w:pPr>
      <w:r>
        <w:rPr>
          <w:rFonts w:hint="eastAsia" w:ascii="宋体" w:hAnsi="宋体"/>
          <w:bCs/>
          <w:color w:val="000000"/>
          <w:sz w:val="28"/>
          <w:szCs w:val="28"/>
        </w:rPr>
        <w:t>1.</w:t>
      </w:r>
      <w:r>
        <w:rPr>
          <w:rFonts w:hint="eastAsia" w:ascii="宋体" w:hAnsi="宋体"/>
          <w:bCs/>
          <w:color w:val="000000"/>
          <w:sz w:val="28"/>
          <w:szCs w:val="28"/>
          <w:lang w:val="en-US" w:eastAsia="zh-CN"/>
        </w:rPr>
        <w:t>系统整体说明：</w:t>
      </w:r>
    </w:p>
    <w:p>
      <w:pPr>
        <w:spacing w:line="360" w:lineRule="auto"/>
        <w:ind w:firstLine="480" w:firstLineChars="200"/>
        <w:jc w:val="left"/>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VOCs废气处理系统共计4个沸石转轮，在密闭的空间内运行。该项目需</w:t>
      </w:r>
      <w:r>
        <w:rPr>
          <w:rFonts w:hint="eastAsia" w:ascii="Times New Roman" w:hAnsi="Times New Roman" w:eastAsia="宋体" w:cs="Times New Roman"/>
          <w:color w:val="000000"/>
          <w:sz w:val="24"/>
          <w:szCs w:val="24"/>
        </w:rPr>
        <w:t>在VOCs废气处理系统平台上增加氮气瓶，每个沸石转轮处增加管路通氮气保护，当转轮温度超过报警温度，并继续升高时，以纯氮气作为系统异常停机时的保护气，置换转轮系统中残留的氧气。同时增</w:t>
      </w:r>
      <w:r>
        <w:rPr>
          <w:rFonts w:hint="eastAsia" w:ascii="Times New Roman" w:hAnsi="Times New Roman" w:eastAsia="宋体" w:cs="Times New Roman"/>
          <w:color w:val="000000"/>
          <w:sz w:val="24"/>
          <w:szCs w:val="24"/>
          <w:lang w:val="en-US" w:eastAsia="zh-CN"/>
        </w:rPr>
        <w:t>加</w:t>
      </w:r>
      <w:r>
        <w:rPr>
          <w:rFonts w:hint="eastAsia" w:ascii="Times New Roman" w:hAnsi="Times New Roman" w:eastAsia="宋体" w:cs="Times New Roman"/>
          <w:color w:val="000000"/>
          <w:sz w:val="24"/>
          <w:szCs w:val="24"/>
        </w:rPr>
        <w:t>控制系统，当控制系统检测到转轮温度、过滤箱内温度超过高温报警温度并温度继续升高时，现场报警警示系统开始声光报警，若限定时间内，无人为处理报警并温度继续升高，水喷淋系统自动喷淋。</w:t>
      </w:r>
    </w:p>
    <w:p>
      <w:pPr>
        <w:numPr>
          <w:ilvl w:val="0"/>
          <w:numId w:val="12"/>
        </w:numPr>
        <w:spacing w:line="360" w:lineRule="auto"/>
        <w:ind w:firstLine="480" w:firstLineChars="20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氮气系统：</w:t>
      </w:r>
    </w:p>
    <w:p>
      <w:pPr>
        <w:numPr>
          <w:ilvl w:val="0"/>
          <w:numId w:val="0"/>
        </w:numPr>
        <w:spacing w:line="360" w:lineRule="auto"/>
        <w:ind w:firstLine="48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采用液氮瓶方式：氮气瓶安装在控制室外侧，不得有阳光直晒，需增加遮阳棚以及防倾倒措施，每个转轮氮气瓶日常配备两瓶。氮气瓶通过管路连接进沸石转轮区域，随电控系统控制是否释放和关闭氮气。</w:t>
      </w:r>
    </w:p>
    <w:p>
      <w:pPr>
        <w:numPr>
          <w:ilvl w:val="0"/>
          <w:numId w:val="12"/>
        </w:numPr>
        <w:spacing w:line="360" w:lineRule="auto"/>
        <w:ind w:left="0" w:leftChars="0" w:firstLine="480" w:firstLineChars="20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喷淋系统：</w:t>
      </w:r>
    </w:p>
    <w:p>
      <w:pPr>
        <w:numPr>
          <w:ilvl w:val="0"/>
          <w:numId w:val="0"/>
        </w:numPr>
        <w:spacing w:line="360" w:lineRule="auto"/>
        <w:ind w:firstLine="48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在4台沸石转轮区域、过滤箱区域增加降温水自动喷淋系统，管路与厂区消防管道连接，喷淋信号与厂区消防中控室连接。管路采用DN40镀锌管加工，降温水管路安装在转轮与过滤箱，过滤箱内共计三道。采用手动及自动控制。降温管路外加伴热带及保温层。伴热管路带PID温控功能。</w:t>
      </w:r>
    </w:p>
    <w:p>
      <w:pPr>
        <w:numPr>
          <w:ilvl w:val="0"/>
          <w:numId w:val="12"/>
        </w:numPr>
        <w:spacing w:line="360" w:lineRule="auto"/>
        <w:ind w:left="0" w:leftChars="0" w:firstLine="480" w:firstLineChars="20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防火阀：</w:t>
      </w:r>
    </w:p>
    <w:p>
      <w:pPr>
        <w:numPr>
          <w:ilvl w:val="0"/>
          <w:numId w:val="0"/>
        </w:numPr>
        <w:spacing w:line="360" w:lineRule="auto"/>
        <w:ind w:firstLine="480" w:firstLineChars="200"/>
        <w:jc w:val="left"/>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过滤箱进气管道安装防火阀（带3C），当车间或过滤箱发生火灾时，自动关闭，防止火灾二次伤害。防火阀状态引入新增PLC控制箱，现场触摸屏可实时监控防火阀状态。防火阀需使用法兰链接，并考虑防漆雾附着功能。防火阀需与系统联动，防火阀关闭时，系统应停止工作。</w:t>
      </w:r>
    </w:p>
    <w:p>
      <w:pPr>
        <w:numPr>
          <w:ilvl w:val="0"/>
          <w:numId w:val="12"/>
        </w:numPr>
        <w:spacing w:line="360" w:lineRule="auto"/>
        <w:ind w:left="0" w:leftChars="0" w:firstLine="480" w:firstLineChars="200"/>
        <w:jc w:val="lef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控制系统：</w:t>
      </w:r>
    </w:p>
    <w:p>
      <w:pPr>
        <w:numPr>
          <w:ilvl w:val="0"/>
          <w:numId w:val="0"/>
        </w:numPr>
        <w:spacing w:line="360" w:lineRule="auto"/>
        <w:ind w:firstLine="480"/>
        <w:jc w:val="left"/>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当检测到转轮温度到达高温警告温度时，开始声光报警，声光报警器安装在消防中控室内，若温度继续升高并无人员进行设备高温处理，温度达到260℃时氮气降温阀开启，对转轮区进行降温，温度达到280℃时水喷淋降温灭火。控制系统采用PLC及触摸屏，通过温度传感器控制电磁阀启停氮气和水喷淋。增加UPS电源，当紧急断电时，原控制系统可继续监测各监测点温度，随时根据温度异常进行人为干预。</w:t>
      </w:r>
    </w:p>
    <w:p>
      <w:pPr>
        <w:pStyle w:val="3"/>
        <w:keepNext/>
        <w:keepLines/>
        <w:ind w:hanging="420"/>
        <w:jc w:val="both"/>
        <w:rPr>
          <w:rFonts w:hint="eastAsia"/>
        </w:rPr>
      </w:pPr>
      <w:r>
        <w:rPr>
          <w:rFonts w:hint="eastAsia"/>
        </w:rPr>
        <w:t>五、验收</w:t>
      </w:r>
    </w:p>
    <w:p>
      <w:pPr>
        <w:pStyle w:val="126"/>
        <w:spacing w:line="360" w:lineRule="auto"/>
        <w:ind w:firstLine="480"/>
        <w:rPr>
          <w:rFonts w:hint="default" w:ascii="宋体" w:hAnsi="宋体" w:eastAsia="宋体"/>
          <w:sz w:val="24"/>
          <w:lang w:val="en-US" w:eastAsia="zh-CN"/>
        </w:rPr>
      </w:pPr>
      <w:r>
        <w:rPr>
          <w:rFonts w:hint="eastAsia" w:ascii="宋体" w:hAnsi="宋体"/>
          <w:sz w:val="24"/>
        </w:rPr>
        <w:t>1.终验收</w:t>
      </w:r>
      <w:r>
        <w:rPr>
          <w:rFonts w:hint="eastAsia" w:ascii="宋体" w:hAnsi="宋体"/>
          <w:sz w:val="24"/>
          <w:lang w:eastAsia="zh-CN"/>
        </w:rPr>
        <w:t>：</w:t>
      </w:r>
      <w:r>
        <w:rPr>
          <w:rFonts w:hint="eastAsia" w:ascii="宋体" w:hAnsi="宋体"/>
          <w:sz w:val="24"/>
          <w:lang w:val="en-US" w:eastAsia="zh-CN"/>
        </w:rPr>
        <w:t>项目验收前需模拟运行系统，确保氮气保护和水喷淋有效后方可进行终验收。</w:t>
      </w:r>
    </w:p>
    <w:p>
      <w:pPr>
        <w:pStyle w:val="126"/>
        <w:spacing w:line="360" w:lineRule="auto"/>
        <w:ind w:firstLine="480"/>
        <w:rPr>
          <w:rFonts w:ascii="宋体" w:hAnsi="宋体"/>
          <w:sz w:val="24"/>
        </w:rPr>
      </w:pPr>
      <w:r>
        <w:rPr>
          <w:rFonts w:hint="eastAsia" w:ascii="宋体" w:hAnsi="宋体"/>
          <w:sz w:val="24"/>
        </w:rPr>
        <w:t>1.1</w:t>
      </w:r>
      <w:r>
        <w:rPr>
          <w:rFonts w:ascii="宋体" w:hAnsi="宋体"/>
          <w:sz w:val="24"/>
        </w:rPr>
        <w:t>最终验收期间若发现合同供货内容有质量问题或发现破损、缺陷和缺少零件，投标方应根据招标方要求免费更换零部件并解决问题，并且记录在终验收的报告中。</w:t>
      </w:r>
    </w:p>
    <w:p>
      <w:pPr>
        <w:pStyle w:val="126"/>
        <w:spacing w:line="360" w:lineRule="auto"/>
        <w:ind w:firstLine="480"/>
        <w:rPr>
          <w:rFonts w:ascii="宋体" w:hAnsi="宋体"/>
          <w:sz w:val="24"/>
        </w:rPr>
      </w:pPr>
      <w:r>
        <w:rPr>
          <w:rFonts w:hint="eastAsia" w:ascii="宋体" w:hAnsi="宋体"/>
          <w:sz w:val="24"/>
        </w:rPr>
        <w:t>1.2</w:t>
      </w:r>
      <w:r>
        <w:rPr>
          <w:rFonts w:ascii="宋体" w:hAnsi="宋体"/>
          <w:sz w:val="24"/>
        </w:rPr>
        <w:t>按合同要求验收，若投标方提供的标的内容、技术资料与合同中规定的内容有不符或缺少时，招标方有权要求更换及补偿。</w:t>
      </w:r>
    </w:p>
    <w:p>
      <w:pPr>
        <w:pStyle w:val="126"/>
        <w:spacing w:line="360" w:lineRule="auto"/>
        <w:ind w:firstLine="480"/>
        <w:rPr>
          <w:rFonts w:ascii="宋体" w:hAnsi="宋体"/>
          <w:sz w:val="24"/>
        </w:rPr>
      </w:pPr>
      <w:r>
        <w:rPr>
          <w:rFonts w:hint="eastAsia" w:ascii="宋体" w:hAnsi="宋体"/>
          <w:sz w:val="24"/>
        </w:rPr>
        <w:t>1.3</w:t>
      </w:r>
      <w:r>
        <w:rPr>
          <w:rFonts w:ascii="宋体" w:hAnsi="宋体"/>
          <w:sz w:val="24"/>
        </w:rPr>
        <w:t>投标方</w:t>
      </w:r>
      <w:r>
        <w:rPr>
          <w:rFonts w:hint="eastAsia" w:ascii="宋体" w:hAnsi="宋体"/>
          <w:sz w:val="24"/>
        </w:rPr>
        <w:t>一旦中标，</w:t>
      </w:r>
      <w:r>
        <w:rPr>
          <w:rFonts w:ascii="宋体" w:hAnsi="宋体"/>
          <w:sz w:val="24"/>
        </w:rPr>
        <w:t>需向招标方提供的技术文件资料</w:t>
      </w:r>
      <w:r>
        <w:rPr>
          <w:rFonts w:hint="eastAsia" w:ascii="宋体" w:hAnsi="宋体"/>
          <w:sz w:val="24"/>
        </w:rPr>
        <w:t>：</w:t>
      </w:r>
    </w:p>
    <w:p>
      <w:pPr>
        <w:pStyle w:val="126"/>
        <w:spacing w:line="360" w:lineRule="auto"/>
        <w:ind w:firstLine="480"/>
        <w:rPr>
          <w:rFonts w:ascii="宋体" w:hAnsi="宋体"/>
          <w:sz w:val="24"/>
        </w:rPr>
      </w:pPr>
      <w:r>
        <w:rPr>
          <w:rFonts w:hint="eastAsia" w:ascii="宋体" w:hAnsi="宋体"/>
          <w:sz w:val="24"/>
        </w:rPr>
        <w:t>1.4装配图、易损件2D零件图（若易损件需要加工型面，需增加提供3D图）、零件明细（内部标注易损件）。</w:t>
      </w:r>
    </w:p>
    <w:p>
      <w:pPr>
        <w:pStyle w:val="126"/>
        <w:spacing w:line="360" w:lineRule="auto"/>
        <w:ind w:firstLine="480"/>
        <w:rPr>
          <w:rFonts w:ascii="宋体" w:hAnsi="宋体"/>
          <w:sz w:val="24"/>
        </w:rPr>
      </w:pPr>
      <w:r>
        <w:rPr>
          <w:rFonts w:hint="eastAsia" w:ascii="宋体" w:hAnsi="宋体"/>
          <w:sz w:val="24"/>
        </w:rPr>
        <w:t>1.5</w:t>
      </w:r>
      <w:r>
        <w:rPr>
          <w:rFonts w:ascii="宋体" w:hAnsi="宋体"/>
          <w:sz w:val="24"/>
        </w:rPr>
        <w:t>所有技术文件资料均为电子版文件1套</w:t>
      </w:r>
      <w:r>
        <w:rPr>
          <w:rFonts w:hint="eastAsia" w:ascii="宋体" w:hAnsi="宋体"/>
          <w:sz w:val="24"/>
        </w:rPr>
        <w:t>，纸质版文件3份</w:t>
      </w:r>
      <w:r>
        <w:rPr>
          <w:rFonts w:ascii="宋体" w:hAnsi="宋体"/>
          <w:sz w:val="24"/>
        </w:rPr>
        <w:t>，其中所有电子版文件必须使用国际通用软件以确保能在招标方的计算机中打开并进行编辑和修改。</w:t>
      </w:r>
    </w:p>
    <w:p>
      <w:pPr>
        <w:pStyle w:val="126"/>
        <w:spacing w:line="360" w:lineRule="auto"/>
        <w:ind w:firstLine="480"/>
        <w:rPr>
          <w:rFonts w:hint="eastAsia" w:ascii="宋体" w:hAnsi="宋体"/>
          <w:sz w:val="24"/>
        </w:rPr>
      </w:pPr>
      <w:r>
        <w:rPr>
          <w:rFonts w:hint="eastAsia" w:ascii="宋体" w:hAnsi="宋体"/>
          <w:sz w:val="24"/>
        </w:rPr>
        <w:t xml:space="preserve">1.6 供方必须提供所有设备程序的源代码，包括但不限于 PLC程序、HMI 程序、机器人程序、视觉程序、伺服等。 </w:t>
      </w:r>
    </w:p>
    <w:p>
      <w:pPr>
        <w:pStyle w:val="126"/>
        <w:spacing w:line="360" w:lineRule="auto"/>
        <w:ind w:firstLine="480"/>
        <w:rPr>
          <w:rFonts w:hint="eastAsia" w:ascii="宋体" w:hAnsi="宋体"/>
          <w:sz w:val="24"/>
        </w:rPr>
      </w:pPr>
      <w:r>
        <w:rPr>
          <w:rFonts w:hint="eastAsia" w:ascii="宋体" w:hAnsi="宋体"/>
          <w:sz w:val="24"/>
        </w:rPr>
        <w:t xml:space="preserve">1.7 供方所提供的程序不得设置任何密码、保护等限制手段，PLC不得设置修改下载权限，功能块不得设置密码保护。 </w:t>
      </w:r>
    </w:p>
    <w:p>
      <w:pPr>
        <w:pStyle w:val="126"/>
        <w:spacing w:line="360" w:lineRule="auto"/>
        <w:ind w:firstLine="480"/>
        <w:rPr>
          <w:rFonts w:hint="eastAsia" w:ascii="宋体" w:hAnsi="宋体"/>
          <w:sz w:val="24"/>
        </w:rPr>
      </w:pPr>
      <w:r>
        <w:rPr>
          <w:rFonts w:hint="eastAsia" w:ascii="宋体" w:hAnsi="宋体"/>
          <w:sz w:val="24"/>
        </w:rPr>
        <w:t xml:space="preserve">1.8 HMI 界面等需要密码保护的程序，供方必须提供所有级别的用户名、密码。 </w:t>
      </w:r>
    </w:p>
    <w:p>
      <w:pPr>
        <w:pStyle w:val="126"/>
        <w:spacing w:line="360" w:lineRule="auto"/>
        <w:ind w:firstLine="480"/>
        <w:rPr>
          <w:rFonts w:hint="eastAsia" w:ascii="宋体" w:hAnsi="宋体"/>
          <w:sz w:val="24"/>
        </w:rPr>
      </w:pPr>
      <w:r>
        <w:rPr>
          <w:rFonts w:hint="eastAsia" w:ascii="宋体" w:hAnsi="宋体"/>
          <w:sz w:val="24"/>
        </w:rPr>
        <w:t xml:space="preserve">1.9 供方需在设备入场前提供设备程序源码，HMI 界面各级用户名和密码，并保证与现场程序一致。 </w:t>
      </w:r>
    </w:p>
    <w:p>
      <w:pPr>
        <w:pStyle w:val="126"/>
        <w:spacing w:line="360" w:lineRule="auto"/>
        <w:ind w:firstLine="480"/>
        <w:rPr>
          <w:rFonts w:hint="eastAsia" w:ascii="宋体" w:hAnsi="宋体"/>
          <w:sz w:val="24"/>
        </w:rPr>
      </w:pPr>
      <w:r>
        <w:rPr>
          <w:rFonts w:hint="eastAsia" w:ascii="宋体" w:hAnsi="宋体"/>
          <w:sz w:val="24"/>
        </w:rPr>
        <w:t xml:space="preserve">1.10 供方需在终验收前提供最新的设备程序源码和电气图纸，图纸要求为可编辑原格式（EPLAN、CAD 格式）且与实际接线一致。 </w:t>
      </w:r>
    </w:p>
    <w:p>
      <w:pPr>
        <w:pStyle w:val="126"/>
        <w:spacing w:line="360" w:lineRule="auto"/>
        <w:ind w:firstLine="480"/>
        <w:rPr>
          <w:rFonts w:hint="eastAsia" w:ascii="宋体" w:hAnsi="宋体"/>
          <w:sz w:val="24"/>
        </w:rPr>
      </w:pPr>
      <w:r>
        <w:rPr>
          <w:rFonts w:hint="eastAsia" w:ascii="宋体" w:hAnsi="宋体"/>
          <w:sz w:val="24"/>
        </w:rPr>
        <w:t xml:space="preserve">2.接口协议要求 </w:t>
      </w:r>
    </w:p>
    <w:p>
      <w:pPr>
        <w:pStyle w:val="126"/>
        <w:spacing w:line="360" w:lineRule="auto"/>
        <w:ind w:firstLine="480"/>
        <w:rPr>
          <w:rFonts w:hint="eastAsia" w:ascii="宋体" w:hAnsi="宋体"/>
          <w:sz w:val="24"/>
        </w:rPr>
      </w:pPr>
      <w:r>
        <w:rPr>
          <w:rFonts w:hint="eastAsia" w:ascii="宋体" w:hAnsi="宋体"/>
          <w:sz w:val="24"/>
        </w:rPr>
        <w:t xml:space="preserve">2.1 供方免费开放所有通讯接口，包括但不限于以太网、RS232、RS485、PROFIBUS、PROFINET、MODBUS 等常见接口，以及设备特有的专用接口。 </w:t>
      </w:r>
    </w:p>
    <w:p>
      <w:pPr>
        <w:pStyle w:val="126"/>
        <w:spacing w:line="360" w:lineRule="auto"/>
        <w:ind w:firstLine="480"/>
        <w:rPr>
          <w:rFonts w:hint="eastAsia" w:ascii="宋体" w:hAnsi="宋体"/>
          <w:sz w:val="24"/>
        </w:rPr>
      </w:pPr>
      <w:r>
        <w:rPr>
          <w:rFonts w:hint="eastAsia" w:ascii="宋体" w:hAnsi="宋体"/>
          <w:sz w:val="24"/>
        </w:rPr>
        <w:t xml:space="preserve">2.2 供方免费提供数据交互功能，交互数据包括但不限于实时数据、历史数据、报警信息等。 </w:t>
      </w:r>
    </w:p>
    <w:p>
      <w:pPr>
        <w:pStyle w:val="126"/>
        <w:spacing w:line="360" w:lineRule="auto"/>
        <w:ind w:firstLine="480"/>
        <w:rPr>
          <w:rFonts w:hint="eastAsia" w:ascii="宋体" w:hAnsi="宋体"/>
          <w:sz w:val="24"/>
        </w:rPr>
      </w:pPr>
      <w:r>
        <w:rPr>
          <w:rFonts w:hint="eastAsia" w:ascii="宋体" w:hAnsi="宋体"/>
          <w:sz w:val="24"/>
        </w:rPr>
        <w:t xml:space="preserve">2.3 供方在设备入场前提供接口的技术文档和参数说明，包括但不限于接口协议、通讯速率、数据格式等。 </w:t>
      </w:r>
    </w:p>
    <w:p>
      <w:pPr>
        <w:pStyle w:val="126"/>
        <w:spacing w:line="360" w:lineRule="auto"/>
        <w:ind w:firstLine="480"/>
        <w:rPr>
          <w:rFonts w:hint="eastAsia" w:ascii="宋体" w:hAnsi="宋体"/>
          <w:sz w:val="24"/>
        </w:rPr>
      </w:pPr>
      <w:r>
        <w:rPr>
          <w:rFonts w:hint="eastAsia" w:ascii="宋体" w:hAnsi="宋体"/>
          <w:sz w:val="24"/>
        </w:rPr>
        <w:t>2.4 设备使用周期内，供方免费派遣技术人员与甲方调试团队共同进行设备通讯接口的调试工作。</w:t>
      </w:r>
    </w:p>
    <w:p>
      <w:pPr>
        <w:pStyle w:val="126"/>
        <w:spacing w:line="360" w:lineRule="auto"/>
        <w:ind w:firstLine="480"/>
        <w:rPr>
          <w:rFonts w:ascii="宋体" w:hAnsi="宋体"/>
          <w:sz w:val="24"/>
        </w:rPr>
      </w:pPr>
    </w:p>
    <w:p>
      <w:pPr>
        <w:pStyle w:val="3"/>
        <w:keepNext/>
        <w:keepLines/>
        <w:ind w:hanging="420"/>
        <w:jc w:val="both"/>
        <w:rPr>
          <w:rFonts w:hint="eastAsia"/>
        </w:rPr>
      </w:pPr>
      <w:r>
        <w:rPr>
          <w:rFonts w:hint="eastAsia"/>
        </w:rPr>
        <w:t>六、品牌需求</w:t>
      </w:r>
    </w:p>
    <w:tbl>
      <w:tblPr>
        <w:tblStyle w:val="35"/>
        <w:tblW w:w="8176" w:type="dxa"/>
        <w:jc w:val="center"/>
        <w:tblLayout w:type="autofit"/>
        <w:tblCellMar>
          <w:top w:w="0" w:type="dxa"/>
          <w:left w:w="108" w:type="dxa"/>
          <w:bottom w:w="0" w:type="dxa"/>
          <w:right w:w="108" w:type="dxa"/>
        </w:tblCellMar>
      </w:tblPr>
      <w:tblGrid>
        <w:gridCol w:w="631"/>
        <w:gridCol w:w="2158"/>
        <w:gridCol w:w="3096"/>
        <w:gridCol w:w="9"/>
        <w:gridCol w:w="1673"/>
        <w:gridCol w:w="609"/>
      </w:tblGrid>
      <w:tr>
        <w:tblPrEx>
          <w:tblCellMar>
            <w:top w:w="0" w:type="dxa"/>
            <w:left w:w="108" w:type="dxa"/>
            <w:bottom w:w="0" w:type="dxa"/>
            <w:right w:w="108" w:type="dxa"/>
          </w:tblCellMar>
        </w:tblPrEx>
        <w:trPr>
          <w:trHeight w:val="560" w:hRule="atLeast"/>
          <w:jc w:val="center"/>
        </w:trPr>
        <w:tc>
          <w:tcPr>
            <w:tcW w:w="6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序号</w:t>
            </w:r>
          </w:p>
        </w:tc>
        <w:tc>
          <w:tcPr>
            <w:tcW w:w="215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设备名称</w:t>
            </w:r>
          </w:p>
        </w:tc>
        <w:tc>
          <w:tcPr>
            <w:tcW w:w="310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规格型号</w:t>
            </w:r>
          </w:p>
        </w:tc>
        <w:tc>
          <w:tcPr>
            <w:tcW w:w="16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4"/>
                <w:szCs w:val="24"/>
              </w:rPr>
            </w:pPr>
            <w:r>
              <w:rPr>
                <w:rFonts w:hint="eastAsia" w:ascii="宋体" w:hAnsi="宋体" w:cs="宋体"/>
                <w:color w:val="000000"/>
                <w:kern w:val="0"/>
                <w:sz w:val="24"/>
                <w:szCs w:val="24"/>
                <w:lang w:bidi="ar"/>
              </w:rPr>
              <w:t>备注</w:t>
            </w:r>
          </w:p>
        </w:tc>
      </w:tr>
      <w:tr>
        <w:tblPrEx>
          <w:tblCellMar>
            <w:top w:w="0" w:type="dxa"/>
            <w:left w:w="108" w:type="dxa"/>
            <w:bottom w:w="0" w:type="dxa"/>
            <w:right w:w="108" w:type="dxa"/>
          </w:tblCellMar>
        </w:tblPrEx>
        <w:trPr>
          <w:trHeight w:val="576"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内外热镀锌钢管（含钢管、管件)</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DN40</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color w:val="000000"/>
                <w:sz w:val="22"/>
                <w:szCs w:val="22"/>
                <w:lang w:val="en-US"/>
              </w:rPr>
            </w:pPr>
            <w:r>
              <w:rPr>
                <w:rFonts w:hint="eastAsia" w:ascii="宋体" w:hAnsi="宋体" w:eastAsia="宋体" w:cs="宋体"/>
                <w:i w:val="0"/>
                <w:iCs w:val="0"/>
                <w:color w:val="000000"/>
                <w:kern w:val="0"/>
                <w:sz w:val="24"/>
                <w:szCs w:val="24"/>
                <w:u w:val="none"/>
                <w:lang w:val="en-US" w:eastAsia="zh-CN" w:bidi="ar"/>
              </w:rPr>
              <w:t>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624"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2</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橡塑保温管（含保温管、PAP保护层）</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φ57以内，内径48，厚度30mm</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奥瑞那华岐或同档次品牌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48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4</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橡塑保温管（含保温管、PAP保护层）</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φ133以内，内径108，厚度31mm</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奥瑞那华岐或同档次品牌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4"/>
                <w:szCs w:val="24"/>
                <w:u w:val="none"/>
                <w:lang w:val="en-US" w:eastAsia="zh-CN" w:bidi="ar"/>
              </w:rPr>
              <w:t>电伴热带（含电伴热带、中间盒、终端盒、配电箱）</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14mm</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sz w:val="22"/>
                <w:szCs w:val="22"/>
              </w:rPr>
            </w:pPr>
            <w:r>
              <w:rPr>
                <w:rFonts w:hint="eastAsia" w:ascii="宋体" w:hAnsi="宋体" w:eastAsia="宋体" w:cs="宋体"/>
                <w:i w:val="0"/>
                <w:iCs w:val="0"/>
                <w:color w:val="000000"/>
                <w:kern w:val="0"/>
                <w:sz w:val="24"/>
                <w:szCs w:val="24"/>
                <w:u w:val="none"/>
                <w:lang w:val="en-US" w:eastAsia="zh-CN" w:bidi="ar"/>
              </w:rPr>
              <w:t>申亚华岐或同档次品牌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Style w:val="135"/>
                <w:rFonts w:hint="default"/>
                <w:lang w:bidi="ar"/>
              </w:rPr>
            </w:pPr>
            <w:r>
              <w:rPr>
                <w:rFonts w:hint="eastAsia" w:ascii="宋体" w:hAnsi="宋体" w:eastAsia="宋体" w:cs="宋体"/>
                <w:i w:val="0"/>
                <w:iCs w:val="0"/>
                <w:color w:val="000000"/>
                <w:kern w:val="0"/>
                <w:sz w:val="24"/>
                <w:szCs w:val="24"/>
                <w:u w:val="none"/>
                <w:lang w:val="en-US" w:eastAsia="zh-CN" w:bidi="ar"/>
              </w:rPr>
              <w:t>防火阀</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楷体" w:hAnsi="楷体" w:eastAsia="楷体" w:cs="楷体"/>
                <w:i w:val="0"/>
                <w:iCs w:val="0"/>
                <w:color w:val="000000"/>
                <w:kern w:val="0"/>
                <w:sz w:val="24"/>
                <w:szCs w:val="24"/>
                <w:u w:val="none"/>
                <w:lang w:val="en-US" w:eastAsia="zh-CN" w:bidi="ar"/>
              </w:rPr>
              <w:t>外径800</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4"/>
                <w:szCs w:val="24"/>
                <w:u w:val="none"/>
                <w:lang w:val="en-US" w:eastAsia="zh-CN" w:bidi="ar"/>
              </w:rPr>
              <w:t>顺达华岐或同档次品牌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7</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Style w:val="135"/>
                <w:rFonts w:hint="default"/>
                <w:lang w:bidi="ar"/>
              </w:rPr>
            </w:pPr>
            <w:r>
              <w:rPr>
                <w:rFonts w:hint="eastAsia" w:ascii="宋体" w:hAnsi="宋体" w:eastAsia="宋体" w:cs="宋体"/>
                <w:i w:val="0"/>
                <w:iCs w:val="0"/>
                <w:color w:val="000000"/>
                <w:kern w:val="0"/>
                <w:sz w:val="24"/>
                <w:szCs w:val="24"/>
                <w:u w:val="none"/>
                <w:lang w:val="en-US" w:eastAsia="zh-CN" w:bidi="ar"/>
              </w:rPr>
              <w:t>防火阀</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楷体" w:hAnsi="楷体" w:eastAsia="楷体" w:cs="楷体"/>
                <w:i w:val="0"/>
                <w:iCs w:val="0"/>
                <w:color w:val="000000"/>
                <w:kern w:val="0"/>
                <w:sz w:val="24"/>
                <w:szCs w:val="24"/>
                <w:u w:val="none"/>
                <w:lang w:val="en-US" w:eastAsia="zh-CN" w:bidi="ar"/>
              </w:rPr>
              <w:t>2500x2500</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4"/>
                <w:szCs w:val="24"/>
                <w:u w:val="none"/>
                <w:lang w:val="en-US" w:eastAsia="zh-CN" w:bidi="ar"/>
              </w:rPr>
              <w:t>顺达华岐或同档次品牌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center"/>
              <w:textAlignment w:val="center"/>
              <w:rPr>
                <w:rStyle w:val="135"/>
                <w:rFonts w:hint="default"/>
                <w:lang w:bidi="ar"/>
              </w:rPr>
            </w:pPr>
            <w:r>
              <w:rPr>
                <w:rStyle w:val="135"/>
                <w:rFonts w:hint="default"/>
                <w:lang w:bidi="ar"/>
              </w:rPr>
              <w:t>UPS电源</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6KW UPS电</w:t>
            </w:r>
          </w:p>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xml:space="preserve">源 </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山大华天或同档次品牌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9</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Style w:val="135"/>
                <w:rFonts w:hint="default"/>
                <w:lang w:bidi="ar"/>
              </w:rPr>
            </w:pPr>
            <w:r>
              <w:rPr>
                <w:rFonts w:hint="eastAsia" w:ascii="宋体" w:hAnsi="宋体" w:eastAsia="宋体" w:cs="宋体"/>
                <w:i w:val="0"/>
                <w:iCs w:val="0"/>
                <w:color w:val="000000"/>
                <w:kern w:val="0"/>
                <w:sz w:val="24"/>
                <w:szCs w:val="24"/>
                <w:u w:val="none"/>
                <w:lang w:val="en-US" w:eastAsia="zh-CN" w:bidi="ar"/>
              </w:rPr>
              <w:t>氮气瓶</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40L</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诺亚或同档次品牌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10</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触摸屏</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color w:val="000000"/>
                <w:kern w:val="0"/>
                <w:sz w:val="22"/>
                <w:szCs w:val="22"/>
                <w:lang w:bidi="ar"/>
              </w:rPr>
            </w:pPr>
            <w:r>
              <w:rPr>
                <w:rFonts w:hint="eastAsia" w:ascii="宋体" w:hAnsi="宋体" w:eastAsia="宋体" w:cs="宋体"/>
                <w:i w:val="0"/>
                <w:iCs w:val="0"/>
                <w:color w:val="000000"/>
                <w:kern w:val="0"/>
                <w:sz w:val="24"/>
                <w:szCs w:val="24"/>
                <w:u w:val="none"/>
                <w:lang w:val="en-US" w:eastAsia="zh-CN" w:bidi="ar"/>
              </w:rPr>
              <w:t>PLCS7-1200HMI</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11</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kern w:val="2"/>
                <w:sz w:val="21"/>
                <w:szCs w:val="21"/>
                <w:lang w:val="en-US" w:eastAsia="zh-CN" w:bidi="ar-SA"/>
              </w:rPr>
            </w:pPr>
            <w:r>
              <w:rPr>
                <w:rFonts w:hint="eastAsia" w:ascii="宋体" w:hAnsi="宋体" w:eastAsia="宋体" w:cs="宋体"/>
                <w:i w:val="0"/>
                <w:iCs w:val="0"/>
                <w:color w:val="000000"/>
                <w:kern w:val="0"/>
                <w:sz w:val="24"/>
                <w:szCs w:val="24"/>
                <w:u w:val="none"/>
                <w:lang w:val="en-US" w:eastAsia="zh-CN" w:bidi="ar"/>
              </w:rPr>
              <w:t>PLC</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color w:val="000000"/>
                <w:kern w:val="0"/>
                <w:sz w:val="22"/>
                <w:szCs w:val="22"/>
                <w:lang w:val="en-US" w:bidi="ar"/>
              </w:rPr>
            </w:pPr>
            <w:r>
              <w:rPr>
                <w:rFonts w:hint="eastAsia" w:ascii="宋体" w:hAnsi="宋体" w:eastAsia="宋体" w:cs="宋体"/>
                <w:i w:val="0"/>
                <w:iCs w:val="0"/>
                <w:color w:val="000000"/>
                <w:kern w:val="0"/>
                <w:sz w:val="24"/>
                <w:szCs w:val="24"/>
                <w:u w:val="none"/>
                <w:lang w:val="en-US" w:eastAsia="zh-CN" w:bidi="ar"/>
              </w:rPr>
              <w:t>S7-1500</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r>
        <w:tblPrEx>
          <w:tblCellMar>
            <w:top w:w="0" w:type="dxa"/>
            <w:left w:w="108" w:type="dxa"/>
            <w:bottom w:w="0" w:type="dxa"/>
            <w:right w:w="108" w:type="dxa"/>
          </w:tblCellMar>
        </w:tblPrEx>
        <w:trPr>
          <w:trHeight w:val="520" w:hRule="atLeast"/>
          <w:jc w:val="center"/>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14</w:t>
            </w:r>
          </w:p>
        </w:tc>
        <w:tc>
          <w:tcPr>
            <w:tcW w:w="21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default" w:ascii="Times New Roman" w:hAnsi="Times New Roman" w:eastAsia="宋体"/>
                <w:color w:val="000000"/>
                <w:kern w:val="2"/>
                <w:sz w:val="22"/>
                <w:szCs w:val="22"/>
                <w:lang w:val="en-US" w:eastAsia="zh-CN" w:bidi="ar-SA"/>
              </w:rPr>
            </w:pPr>
            <w:r>
              <w:rPr>
                <w:rFonts w:hint="eastAsia" w:ascii="宋体" w:hAnsi="宋体" w:eastAsia="宋体" w:cs="宋体"/>
                <w:i w:val="0"/>
                <w:iCs w:val="0"/>
                <w:color w:val="000000"/>
                <w:kern w:val="0"/>
                <w:sz w:val="24"/>
                <w:szCs w:val="24"/>
                <w:u w:val="none"/>
                <w:lang w:val="en-US" w:eastAsia="zh-CN" w:bidi="ar"/>
              </w:rPr>
              <w:t>塑壳断路器</w:t>
            </w:r>
          </w:p>
        </w:tc>
        <w:tc>
          <w:tcPr>
            <w:tcW w:w="309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3VA2M400R400</w:t>
            </w:r>
          </w:p>
        </w:tc>
        <w:tc>
          <w:tcPr>
            <w:tcW w:w="168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西门子或同档次品牌</w:t>
            </w:r>
          </w:p>
        </w:tc>
        <w:tc>
          <w:tcPr>
            <w:tcW w:w="60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000000"/>
                <w:sz w:val="22"/>
                <w:szCs w:val="22"/>
              </w:rPr>
            </w:pPr>
          </w:p>
        </w:tc>
      </w:tr>
    </w:tbl>
    <w:p>
      <w:pPr>
        <w:pStyle w:val="126"/>
        <w:spacing w:line="360" w:lineRule="auto"/>
        <w:ind w:firstLine="0" w:firstLineChars="0"/>
        <w:rPr>
          <w:rFonts w:ascii="宋体" w:hAnsi="宋体"/>
          <w:sz w:val="24"/>
        </w:rPr>
      </w:pPr>
    </w:p>
    <w:p>
      <w:pPr>
        <w:pStyle w:val="3"/>
        <w:keepNext/>
        <w:keepLines/>
        <w:ind w:hanging="420"/>
        <w:jc w:val="both"/>
      </w:pPr>
      <w:bookmarkStart w:id="33" w:name="_Toc49342390"/>
      <w:r>
        <w:t>七、服务</w:t>
      </w:r>
      <w:bookmarkEnd w:id="33"/>
    </w:p>
    <w:p>
      <w:pPr>
        <w:pStyle w:val="126"/>
        <w:spacing w:line="360" w:lineRule="auto"/>
        <w:ind w:firstLine="480"/>
        <w:rPr>
          <w:rFonts w:ascii="宋体" w:hAnsi="宋体"/>
          <w:sz w:val="24"/>
        </w:rPr>
      </w:pPr>
      <w:r>
        <w:rPr>
          <w:rFonts w:hint="eastAsia" w:ascii="宋体" w:hAnsi="宋体"/>
          <w:sz w:val="24"/>
        </w:rPr>
        <w:t>1.</w:t>
      </w:r>
      <w:r>
        <w:rPr>
          <w:rFonts w:ascii="宋体" w:hAnsi="宋体"/>
          <w:sz w:val="24"/>
        </w:rPr>
        <w:t>质量保证期为：从设备终验收合格之日起</w:t>
      </w:r>
      <w:r>
        <w:rPr>
          <w:rFonts w:hint="eastAsia" w:ascii="宋体" w:hAnsi="宋体"/>
          <w:sz w:val="24"/>
        </w:rPr>
        <w:t>12</w:t>
      </w:r>
      <w:r>
        <w:rPr>
          <w:rFonts w:ascii="宋体" w:hAnsi="宋体"/>
          <w:sz w:val="24"/>
        </w:rPr>
        <w:t>个月。投标方对设备出现的各类故障应及时免费提供维修服务。对非人为造成的各类零件损坏，应及时免费更换</w:t>
      </w:r>
      <w:r>
        <w:rPr>
          <w:rFonts w:hint="eastAsia" w:ascii="宋体" w:hAnsi="宋体"/>
          <w:sz w:val="24"/>
        </w:rPr>
        <w:t>。</w:t>
      </w:r>
    </w:p>
    <w:p>
      <w:pPr>
        <w:pStyle w:val="126"/>
        <w:spacing w:line="360" w:lineRule="auto"/>
        <w:ind w:firstLine="480"/>
        <w:rPr>
          <w:rFonts w:hint="eastAsia" w:ascii="宋体" w:hAnsi="宋体"/>
          <w:sz w:val="24"/>
        </w:rPr>
      </w:pPr>
      <w:r>
        <w:rPr>
          <w:rFonts w:hint="eastAsia" w:ascii="宋体" w:hAnsi="宋体"/>
          <w:sz w:val="24"/>
        </w:rPr>
        <w:t>2.</w:t>
      </w:r>
      <w:r>
        <w:rPr>
          <w:rFonts w:ascii="宋体" w:hAnsi="宋体"/>
          <w:sz w:val="24"/>
        </w:rPr>
        <w:t>投标方在接到</w:t>
      </w:r>
      <w:r>
        <w:rPr>
          <w:rFonts w:hint="eastAsia" w:ascii="宋体" w:hAnsi="宋体"/>
          <w:sz w:val="24"/>
        </w:rPr>
        <w:t>设备</w:t>
      </w:r>
      <w:r>
        <w:rPr>
          <w:rFonts w:ascii="宋体" w:hAnsi="宋体"/>
          <w:sz w:val="24"/>
        </w:rPr>
        <w:t>有关故障信息后，</w:t>
      </w:r>
      <w:r>
        <w:rPr>
          <w:rFonts w:hint="eastAsia" w:ascii="宋体" w:hAnsi="宋体"/>
          <w:sz w:val="24"/>
        </w:rPr>
        <w:t>8</w:t>
      </w:r>
      <w:r>
        <w:rPr>
          <w:rFonts w:ascii="宋体" w:hAnsi="宋体"/>
          <w:sz w:val="24"/>
        </w:rPr>
        <w:t>小时内作出响应，包括口述指导排除故障等措施。如不能排除故障，投标方人员</w:t>
      </w:r>
      <w:r>
        <w:rPr>
          <w:rFonts w:hint="eastAsia" w:ascii="宋体" w:hAnsi="宋体"/>
          <w:sz w:val="24"/>
        </w:rPr>
        <w:t>应</w:t>
      </w:r>
      <w:r>
        <w:rPr>
          <w:rFonts w:ascii="宋体" w:hAnsi="宋体"/>
          <w:sz w:val="24"/>
        </w:rPr>
        <w:t>在24小时内到现场解决问题。</w:t>
      </w:r>
    </w:p>
    <w:p>
      <w:pPr>
        <w:pStyle w:val="126"/>
        <w:spacing w:line="360" w:lineRule="auto"/>
        <w:ind w:firstLine="480"/>
        <w:rPr>
          <w:rFonts w:ascii="宋体" w:hAnsi="宋体"/>
          <w:sz w:val="24"/>
        </w:rPr>
      </w:pPr>
      <w:r>
        <w:rPr>
          <w:rFonts w:hint="eastAsia" w:ascii="宋体" w:hAnsi="宋体"/>
          <w:sz w:val="24"/>
        </w:rPr>
        <w:t>3.</w:t>
      </w:r>
      <w:r>
        <w:rPr>
          <w:rFonts w:ascii="宋体" w:hAnsi="宋体"/>
          <w:sz w:val="24"/>
        </w:rPr>
        <w:t>投标方应承诺在质保期过后</w:t>
      </w:r>
      <w:r>
        <w:rPr>
          <w:rFonts w:hint="eastAsia" w:ascii="宋体" w:hAnsi="宋体"/>
          <w:sz w:val="24"/>
        </w:rPr>
        <w:t>，</w:t>
      </w:r>
      <w:r>
        <w:rPr>
          <w:rFonts w:ascii="宋体" w:hAnsi="宋体"/>
          <w:sz w:val="24"/>
        </w:rPr>
        <w:t>仍为用户提供优惠备件及优质服务。</w:t>
      </w:r>
    </w:p>
    <w:p>
      <w:pPr>
        <w:pStyle w:val="126"/>
        <w:spacing w:line="360" w:lineRule="auto"/>
        <w:ind w:firstLine="480"/>
        <w:rPr>
          <w:rFonts w:hint="default" w:ascii="宋体" w:hAnsi="宋体" w:eastAsia="宋体"/>
          <w:sz w:val="24"/>
          <w:lang w:val="en-US" w:eastAsia="zh-CN"/>
        </w:rPr>
      </w:pPr>
      <w:r>
        <w:rPr>
          <w:rFonts w:hint="eastAsia" w:ascii="宋体" w:hAnsi="宋体"/>
          <w:sz w:val="24"/>
          <w:lang w:val="en-US" w:eastAsia="zh-CN"/>
        </w:rPr>
        <w:t>4.投标方需对项目方案和施工负责，项目投入使用后无法实现预期效果，投标方需对招标方造成的损失进行赔偿。</w:t>
      </w:r>
    </w:p>
    <w:p>
      <w:pPr>
        <w:pStyle w:val="3"/>
        <w:keepNext/>
        <w:keepLines/>
        <w:ind w:hanging="420"/>
        <w:jc w:val="both"/>
      </w:pPr>
      <w:bookmarkStart w:id="34" w:name="_Toc49342391"/>
      <w:r>
        <w:t>八、交货期</w:t>
      </w:r>
      <w:bookmarkEnd w:id="34"/>
    </w:p>
    <w:bookmarkEnd w:id="25"/>
    <w:p>
      <w:pPr>
        <w:shd w:val="clear" w:color="auto" w:fill="FFFFFF"/>
        <w:spacing w:line="360" w:lineRule="auto"/>
        <w:ind w:firstLine="480" w:firstLineChars="200"/>
        <w:rPr>
          <w:rFonts w:hint="eastAsia" w:ascii="宋体" w:hAnsi="宋体"/>
          <w:sz w:val="24"/>
          <w:szCs w:val="24"/>
        </w:rPr>
      </w:pPr>
      <w:r>
        <w:rPr>
          <w:rFonts w:hint="eastAsia" w:ascii="宋体" w:hAnsi="宋体"/>
          <w:sz w:val="24"/>
          <w:szCs w:val="24"/>
        </w:rPr>
        <w:t>1.</w:t>
      </w:r>
      <w:r>
        <w:rPr>
          <w:rFonts w:ascii="宋体" w:hAnsi="宋体"/>
          <w:sz w:val="24"/>
          <w:szCs w:val="24"/>
        </w:rPr>
        <w:t>交货期:</w:t>
      </w:r>
    </w:p>
    <w:p>
      <w:pPr>
        <w:shd w:val="clear" w:color="auto" w:fill="FFFFFF"/>
        <w:spacing w:line="360" w:lineRule="auto"/>
        <w:ind w:firstLine="480" w:firstLineChars="200"/>
        <w:rPr>
          <w:rFonts w:ascii="宋体" w:hAnsi="宋体"/>
          <w:sz w:val="24"/>
          <w:szCs w:val="24"/>
        </w:rPr>
      </w:pPr>
      <w:r>
        <w:rPr>
          <w:rFonts w:hint="eastAsia" w:ascii="宋体" w:hAnsi="宋体"/>
          <w:color w:val="000000"/>
          <w:sz w:val="24"/>
          <w:szCs w:val="24"/>
        </w:rPr>
        <w:t>1.1合同签订后两周内完成现场确认以及相关设计工作</w:t>
      </w:r>
    </w:p>
    <w:p>
      <w:pPr>
        <w:shd w:val="clear" w:color="auto" w:fill="FFFFFF"/>
        <w:spacing w:line="360" w:lineRule="auto"/>
        <w:ind w:firstLine="480" w:firstLineChars="200"/>
        <w:rPr>
          <w:rFonts w:ascii="宋体" w:hAnsi="宋体"/>
          <w:sz w:val="24"/>
          <w:szCs w:val="24"/>
        </w:rPr>
      </w:pPr>
      <w:r>
        <w:rPr>
          <w:rFonts w:hint="eastAsia" w:ascii="宋体" w:hAnsi="宋体"/>
          <w:sz w:val="24"/>
          <w:szCs w:val="24"/>
        </w:rPr>
        <w:t>1.2</w:t>
      </w:r>
      <w:r>
        <w:rPr>
          <w:rFonts w:hint="eastAsia" w:ascii="宋体" w:hAnsi="宋体"/>
          <w:color w:val="000000"/>
          <w:sz w:val="24"/>
          <w:szCs w:val="24"/>
        </w:rPr>
        <w:t>合同签订后</w:t>
      </w:r>
      <w:r>
        <w:rPr>
          <w:rFonts w:hint="eastAsia" w:ascii="宋体" w:hAnsi="宋体"/>
          <w:color w:val="000000"/>
          <w:sz w:val="24"/>
          <w:szCs w:val="24"/>
          <w:lang w:val="en-US" w:eastAsia="zh-CN"/>
        </w:rPr>
        <w:t>2</w:t>
      </w:r>
      <w:r>
        <w:rPr>
          <w:rFonts w:hint="eastAsia" w:ascii="宋体" w:hAnsi="宋体"/>
          <w:color w:val="000000"/>
          <w:sz w:val="24"/>
          <w:szCs w:val="24"/>
        </w:rPr>
        <w:t>个月内交货，</w:t>
      </w:r>
      <w:r>
        <w:rPr>
          <w:rFonts w:hint="eastAsia" w:ascii="宋体" w:hAnsi="宋体"/>
          <w:color w:val="000000"/>
          <w:sz w:val="24"/>
          <w:szCs w:val="24"/>
          <w:lang w:val="en-US" w:eastAsia="zh-CN"/>
        </w:rPr>
        <w:t>1</w:t>
      </w:r>
      <w:r>
        <w:rPr>
          <w:rFonts w:hint="eastAsia" w:ascii="宋体" w:hAnsi="宋体"/>
          <w:color w:val="000000"/>
          <w:sz w:val="24"/>
          <w:szCs w:val="24"/>
        </w:rPr>
        <w:t>个月内完成现场安装调试工作，调试不能影响正常生产，连续停线时间不能超过2天。</w:t>
      </w:r>
    </w:p>
    <w:p>
      <w:pPr>
        <w:shd w:val="clear" w:color="auto" w:fill="FFFFFF"/>
        <w:spacing w:line="360" w:lineRule="auto"/>
        <w:ind w:firstLine="480" w:firstLineChars="200"/>
        <w:textAlignment w:val="top"/>
        <w:rPr>
          <w:rFonts w:ascii="宋体" w:hAnsi="宋体"/>
          <w:sz w:val="24"/>
          <w:szCs w:val="24"/>
        </w:rPr>
      </w:pPr>
      <w:r>
        <w:rPr>
          <w:rFonts w:hint="eastAsia" w:ascii="宋体" w:hAnsi="宋体"/>
          <w:sz w:val="24"/>
          <w:szCs w:val="24"/>
        </w:rPr>
        <w:t>2.</w:t>
      </w:r>
      <w:r>
        <w:rPr>
          <w:rFonts w:ascii="宋体" w:hAnsi="宋体"/>
          <w:sz w:val="24"/>
          <w:szCs w:val="24"/>
        </w:rPr>
        <w:t>交货地点:</w:t>
      </w:r>
      <w:r>
        <w:rPr>
          <w:rFonts w:hint="eastAsia" w:ascii="宋体" w:hAnsi="宋体"/>
          <w:sz w:val="24"/>
          <w:szCs w:val="24"/>
          <w:lang w:val="en-US" w:eastAsia="zh-CN"/>
        </w:rPr>
        <w:t>济南轻卡制造公司涂装车间</w:t>
      </w:r>
      <w:r>
        <w:rPr>
          <w:rFonts w:hint="eastAsia" w:ascii="宋体" w:hAnsi="宋体"/>
          <w:sz w:val="24"/>
          <w:szCs w:val="24"/>
        </w:rPr>
        <w:t>。</w:t>
      </w:r>
    </w:p>
    <w:p>
      <w:pPr>
        <w:pStyle w:val="3"/>
        <w:tabs>
          <w:tab w:val="right" w:leader="dot" w:pos="9061"/>
        </w:tabs>
        <w:jc w:val="both"/>
        <w:rPr>
          <w:rFonts w:hint="eastAsia" w:ascii="宋体" w:hAnsi="宋体"/>
        </w:rPr>
      </w:pPr>
    </w:p>
    <w:bookmarkEnd w:id="26"/>
    <w:bookmarkEnd w:id="27"/>
    <w:bookmarkEnd w:id="28"/>
    <w:bookmarkEnd w:id="29"/>
    <w:p>
      <w:pPr>
        <w:pStyle w:val="45"/>
        <w:rPr>
          <w:rFonts w:hint="eastAsia" w:ascii="宋体" w:hAnsi="宋体" w:eastAsia="宋体" w:cs="宋体"/>
          <w:sz w:val="24"/>
          <w:szCs w:val="24"/>
        </w:rPr>
      </w:pPr>
    </w:p>
    <w:p>
      <w:pPr>
        <w:pStyle w:val="45"/>
        <w:ind w:left="0"/>
        <w:rPr>
          <w:rFonts w:hint="eastAsia" w:ascii="宋体" w:hAnsi="宋体" w:eastAsia="宋体" w:cs="宋体"/>
          <w:sz w:val="24"/>
          <w:szCs w:val="24"/>
        </w:rPr>
      </w:pPr>
    </w:p>
    <w:p>
      <w:pPr>
        <w:pStyle w:val="2"/>
      </w:pPr>
    </w:p>
    <w:p>
      <w:pPr>
        <w:spacing w:line="360" w:lineRule="auto"/>
        <w:jc w:val="center"/>
        <w:outlineLvl w:val="0"/>
        <w:rPr>
          <w:rFonts w:ascii="宋体" w:hAnsi="Calibri" w:eastAsia="宋体" w:cs="Times New Roman"/>
          <w:b/>
          <w:sz w:val="36"/>
          <w:szCs w:val="36"/>
        </w:rPr>
      </w:pPr>
      <w:bookmarkStart w:id="35"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6"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7" w:name="_Toc11930"/>
      <w:bookmarkStart w:id="38" w:name="_Toc17619"/>
      <w:bookmarkStart w:id="39" w:name="_Toc11823"/>
      <w:bookmarkStart w:id="40" w:name="_Toc16330018"/>
      <w:r>
        <w:rPr>
          <w:rFonts w:hint="eastAsia" w:ascii="黑体" w:hAnsi="黑体" w:eastAsia="黑体" w:cstheme="minorEastAsia"/>
          <w:b w:val="0"/>
          <w:sz w:val="28"/>
          <w:szCs w:val="28"/>
        </w:rPr>
        <w:t>1 合同设备</w:t>
      </w:r>
      <w:bookmarkEnd w:id="37"/>
      <w:bookmarkEnd w:id="38"/>
      <w:bookmarkEnd w:id="39"/>
      <w:bookmarkEnd w:id="4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1" w:name="_Toc22800"/>
      <w:bookmarkStart w:id="42" w:name="_Toc32510"/>
      <w:bookmarkStart w:id="43"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16330019"/>
      <w:r>
        <w:rPr>
          <w:rFonts w:hint="eastAsia" w:ascii="黑体" w:hAnsi="黑体" w:eastAsia="黑体" w:cstheme="minorEastAsia"/>
          <w:b w:val="0"/>
          <w:sz w:val="28"/>
          <w:szCs w:val="28"/>
        </w:rPr>
        <w:t>2 包装</w:t>
      </w:r>
      <w:bookmarkEnd w:id="41"/>
      <w:bookmarkEnd w:id="42"/>
      <w:bookmarkEnd w:id="43"/>
      <w:bookmarkEnd w:id="4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5" w:name="_Toc27453"/>
      <w:bookmarkStart w:id="46" w:name="_Toc16330020"/>
      <w:bookmarkStart w:id="47" w:name="_Toc2833"/>
      <w:bookmarkStart w:id="48" w:name="_Toc27144"/>
      <w:r>
        <w:rPr>
          <w:rFonts w:hint="eastAsia" w:ascii="黑体" w:hAnsi="黑体" w:eastAsia="黑体" w:cstheme="minorEastAsia"/>
          <w:b w:val="0"/>
          <w:sz w:val="28"/>
          <w:szCs w:val="28"/>
        </w:rPr>
        <w:t>3 运输标记</w:t>
      </w:r>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10630"/>
      <w:bookmarkStart w:id="50" w:name="_Toc7431"/>
      <w:bookmarkStart w:id="51" w:name="_Toc16330021"/>
      <w:bookmarkStart w:id="52" w:name="_Toc16133"/>
      <w:r>
        <w:rPr>
          <w:rFonts w:hint="eastAsia" w:ascii="黑体" w:hAnsi="黑体" w:eastAsia="黑体" w:cstheme="minorEastAsia"/>
          <w:b w:val="0"/>
          <w:sz w:val="28"/>
          <w:szCs w:val="28"/>
        </w:rPr>
        <w:t>4 检验</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24467"/>
      <w:bookmarkStart w:id="54" w:name="_Toc11217"/>
      <w:bookmarkStart w:id="55" w:name="_Toc19850"/>
      <w:bookmarkStart w:id="56" w:name="_Toc16330022"/>
      <w:r>
        <w:rPr>
          <w:rFonts w:hint="eastAsia" w:ascii="黑体" w:hAnsi="黑体" w:eastAsia="黑体" w:cstheme="minorEastAsia"/>
          <w:b w:val="0"/>
          <w:sz w:val="28"/>
          <w:szCs w:val="28"/>
        </w:rPr>
        <w:t>5 权利担保</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16330023"/>
      <w:bookmarkStart w:id="58" w:name="_Toc11759"/>
      <w:bookmarkStart w:id="59" w:name="_Toc27500"/>
      <w:bookmarkStart w:id="60" w:name="_Toc14809"/>
      <w:r>
        <w:rPr>
          <w:rFonts w:hint="eastAsia" w:ascii="黑体" w:hAnsi="黑体" w:eastAsia="黑体" w:cstheme="minorEastAsia"/>
          <w:b w:val="0"/>
          <w:sz w:val="28"/>
          <w:szCs w:val="28"/>
        </w:rPr>
        <w:t>6 交货</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2984"/>
      <w:bookmarkStart w:id="62" w:name="_Toc16330024"/>
      <w:bookmarkStart w:id="63" w:name="_Toc8024"/>
      <w:bookmarkStart w:id="64" w:name="_Toc25510"/>
      <w:r>
        <w:rPr>
          <w:rFonts w:hint="eastAsia" w:ascii="黑体" w:hAnsi="黑体" w:eastAsia="黑体" w:cstheme="minorEastAsia"/>
          <w:b w:val="0"/>
          <w:sz w:val="28"/>
          <w:szCs w:val="28"/>
        </w:rPr>
        <w:t>7 安装、调试</w:t>
      </w:r>
      <w:bookmarkEnd w:id="61"/>
      <w:bookmarkEnd w:id="62"/>
      <w:bookmarkEnd w:id="63"/>
      <w:bookmarkEnd w:id="64"/>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4260"/>
      <w:bookmarkStart w:id="66" w:name="_Toc16330025"/>
      <w:bookmarkStart w:id="67" w:name="_Toc14098"/>
      <w:bookmarkStart w:id="68" w:name="_Toc6350"/>
      <w:r>
        <w:rPr>
          <w:rFonts w:hint="eastAsia" w:ascii="黑体" w:hAnsi="黑体" w:eastAsia="黑体" w:cstheme="minorEastAsia"/>
          <w:b w:val="0"/>
          <w:sz w:val="28"/>
          <w:szCs w:val="28"/>
        </w:rPr>
        <w:t>8 价款与支付</w:t>
      </w:r>
      <w:bookmarkEnd w:id="65"/>
      <w:bookmarkEnd w:id="66"/>
      <w:bookmarkEnd w:id="67"/>
      <w:bookmarkEnd w:id="6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69" w:name="_Toc14676804"/>
      <w:bookmarkStart w:id="70"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9"/>
      <w:bookmarkEnd w:id="70"/>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1" w:name="_Toc24085"/>
      <w:bookmarkStart w:id="72" w:name="_Toc25708"/>
      <w:bookmarkStart w:id="73" w:name="_Toc16330026"/>
      <w:bookmarkStart w:id="74" w:name="_Toc6726"/>
      <w:r>
        <w:rPr>
          <w:rFonts w:hint="eastAsia" w:ascii="黑体" w:hAnsi="黑体" w:eastAsia="黑体" w:cstheme="minorEastAsia"/>
          <w:b w:val="0"/>
          <w:sz w:val="28"/>
          <w:szCs w:val="28"/>
        </w:rPr>
        <w:t>9 质量保证及售后服务</w:t>
      </w:r>
      <w:bookmarkEnd w:id="71"/>
      <w:bookmarkEnd w:id="72"/>
      <w:bookmarkEnd w:id="73"/>
      <w:bookmarkEnd w:id="7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6330027"/>
      <w:bookmarkStart w:id="76" w:name="_Toc12927"/>
      <w:bookmarkStart w:id="77" w:name="_Toc15570"/>
      <w:bookmarkStart w:id="78" w:name="_Toc10359"/>
      <w:r>
        <w:rPr>
          <w:rFonts w:hint="eastAsia" w:ascii="黑体" w:hAnsi="黑体" w:eastAsia="黑体" w:cstheme="minorEastAsia"/>
          <w:b w:val="0"/>
          <w:sz w:val="28"/>
          <w:szCs w:val="28"/>
        </w:rPr>
        <w:t>10法定责任</w:t>
      </w:r>
      <w:bookmarkEnd w:id="75"/>
      <w:bookmarkEnd w:id="76"/>
      <w:bookmarkEnd w:id="77"/>
      <w:bookmarkEnd w:id="7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9708"/>
      <w:bookmarkStart w:id="80" w:name="_Toc30381"/>
      <w:bookmarkStart w:id="81" w:name="_Toc16330028"/>
      <w:bookmarkStart w:id="82" w:name="_Toc27314"/>
      <w:r>
        <w:rPr>
          <w:rFonts w:hint="eastAsia" w:ascii="黑体" w:hAnsi="黑体" w:eastAsia="黑体" w:cstheme="minorEastAsia"/>
          <w:b w:val="0"/>
          <w:sz w:val="28"/>
          <w:szCs w:val="28"/>
        </w:rPr>
        <w:t>11 违约责任</w:t>
      </w:r>
      <w:bookmarkEnd w:id="79"/>
      <w:bookmarkEnd w:id="80"/>
      <w:bookmarkEnd w:id="81"/>
      <w:bookmarkEnd w:id="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827"/>
      <w:bookmarkStart w:id="84" w:name="_Toc16330029"/>
      <w:bookmarkStart w:id="85" w:name="_Toc9172"/>
      <w:bookmarkStart w:id="86" w:name="_Toc31554"/>
      <w:r>
        <w:rPr>
          <w:rFonts w:hint="eastAsia" w:ascii="黑体" w:hAnsi="黑体" w:eastAsia="黑体" w:cstheme="minorEastAsia"/>
          <w:b w:val="0"/>
          <w:sz w:val="28"/>
          <w:szCs w:val="28"/>
        </w:rPr>
        <w:t>12 合同的终止与解除</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8620"/>
      <w:bookmarkStart w:id="88" w:name="_Toc13671"/>
      <w:bookmarkStart w:id="89" w:name="_Toc16330030"/>
      <w:bookmarkStart w:id="90" w:name="_Toc31945"/>
      <w:r>
        <w:rPr>
          <w:rFonts w:hint="eastAsia" w:ascii="黑体" w:hAnsi="黑体" w:eastAsia="黑体" w:cstheme="minorEastAsia"/>
          <w:b w:val="0"/>
          <w:sz w:val="28"/>
          <w:szCs w:val="28"/>
        </w:rPr>
        <w:t>13 不可抗力</w:t>
      </w:r>
      <w:bookmarkEnd w:id="87"/>
      <w:bookmarkEnd w:id="88"/>
      <w:bookmarkEnd w:id="89"/>
      <w:bookmarkEnd w:id="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16330031"/>
      <w:bookmarkStart w:id="92" w:name="_Toc31243"/>
      <w:bookmarkStart w:id="93" w:name="_Toc30389"/>
      <w:bookmarkStart w:id="94" w:name="_Toc637"/>
      <w:r>
        <w:rPr>
          <w:rFonts w:hint="eastAsia" w:ascii="黑体" w:hAnsi="黑体" w:eastAsia="黑体" w:cstheme="minorEastAsia"/>
          <w:b w:val="0"/>
          <w:sz w:val="28"/>
          <w:szCs w:val="28"/>
        </w:rPr>
        <w:t>14 通讯</w:t>
      </w:r>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95" w:name="_Toc11290"/>
      <w:bookmarkStart w:id="96" w:name="_Toc12984"/>
      <w:bookmarkStart w:id="97" w:name="_Toc9915"/>
      <w:bookmarkStart w:id="98" w:name="_Toc16330032"/>
      <w:r>
        <w:rPr>
          <w:rFonts w:hint="eastAsia" w:ascii="黑体" w:hAnsi="黑体" w:eastAsia="黑体" w:cstheme="minorEastAsia"/>
          <w:b w:val="0"/>
          <w:sz w:val="28"/>
          <w:szCs w:val="28"/>
        </w:rPr>
        <w:t>15 适用法律及争议解决</w:t>
      </w:r>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23765"/>
      <w:bookmarkStart w:id="100" w:name="_Toc16330033"/>
      <w:bookmarkStart w:id="101" w:name="_Toc18207"/>
      <w:bookmarkStart w:id="102" w:name="_Toc23906"/>
      <w:r>
        <w:rPr>
          <w:rFonts w:hint="eastAsia" w:ascii="黑体" w:hAnsi="黑体" w:eastAsia="黑体" w:cstheme="minorEastAsia"/>
          <w:b w:val="0"/>
          <w:sz w:val="28"/>
          <w:szCs w:val="28"/>
        </w:rPr>
        <w:t>16 附件</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6330034"/>
      <w:bookmarkStart w:id="104" w:name="_Toc27202"/>
      <w:bookmarkStart w:id="105" w:name="_Toc31331"/>
      <w:bookmarkStart w:id="106" w:name="_Toc17656"/>
      <w:r>
        <w:rPr>
          <w:rFonts w:hint="eastAsia" w:ascii="黑体" w:hAnsi="黑体" w:eastAsia="黑体" w:cstheme="minorEastAsia"/>
          <w:b w:val="0"/>
          <w:sz w:val="28"/>
          <w:szCs w:val="28"/>
        </w:rPr>
        <w:t>17 其他规定</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7" w:name="_Toc29136"/>
      <w:bookmarkStart w:id="108" w:name="_Toc16330035"/>
      <w:bookmarkStart w:id="109" w:name="_Toc19077"/>
      <w:bookmarkStart w:id="110"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11" w:name="_Toc3778"/>
      <w:bookmarkStart w:id="112" w:name="_Toc5379"/>
      <w:bookmarkStart w:id="113" w:name="_Toc16330037"/>
      <w:bookmarkStart w:id="114" w:name="_Toc25120"/>
      <w:bookmarkStart w:id="115" w:name="_Toc24623"/>
      <w:r>
        <w:rPr>
          <w:rFonts w:hint="eastAsia" w:asciiTheme="minorEastAsia" w:hAnsiTheme="minorEastAsia" w:eastAsiaTheme="minorEastAsia" w:cstheme="minorEastAsia"/>
          <w:sz w:val="20"/>
          <w:szCs w:val="20"/>
        </w:rPr>
        <w:br w:type="page"/>
      </w:r>
    </w:p>
    <w:p>
      <w:pPr>
        <w:pStyle w:val="5"/>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1"/>
      <w:bookmarkEnd w:id="112"/>
      <w:bookmarkEnd w:id="113"/>
      <w:bookmarkEnd w:id="114"/>
      <w:bookmarkEnd w:id="115"/>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6" w:name="_Toc14341849"/>
    </w:p>
    <w:p>
      <w:pPr>
        <w:ind w:right="480"/>
        <w:jc w:val="center"/>
        <w:rPr>
          <w:sz w:val="24"/>
          <w:szCs w:val="24"/>
        </w:rPr>
      </w:pPr>
      <w:r>
        <w:rPr>
          <w:rFonts w:hint="eastAsia" w:ascii="楷体_GB2312" w:hAnsi="宋体" w:eastAsia="楷体_GB2312"/>
          <w:sz w:val="24"/>
        </w:rPr>
        <w:t xml:space="preserve">                                    </w:t>
      </w:r>
    </w:p>
    <w:bookmarkEnd w:id="116"/>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6"/>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7" w:name="_Toc639004"/>
      <w:bookmarkStart w:id="118" w:name="_Toc212369550"/>
      <w:bookmarkStart w:id="119" w:name="_Toc353881012"/>
      <w:bookmarkStart w:id="120"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7"/>
      <w:bookmarkEnd w:id="118"/>
      <w:bookmarkEnd w:id="119"/>
      <w:bookmarkEnd w:id="12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轻卡涂装车间消防安全提升项目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轻卡涂装车间消防安全提升项目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CGZX2024110316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轻卡涂装车间消防安全提升项目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轻卡涂装车间消防安全提升项目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轻卡涂装车间消防安全提升项目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轻卡涂装车间消防安全提升项目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轻卡涂装车间消防安全提升项目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轻卡涂装车间消防安全提升项目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jc w:val="left"/>
        <w:rPr>
          <w:rFonts w:hint="eastAsia"/>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pPr>
              <w:jc w:val="center"/>
              <w:rPr>
                <w:rFonts w:hint="eastAsia" w:ascii="仿宋_GB2312" w:hAnsi="仿宋_GB2312" w:eastAsia="仿宋_GB2312" w:cs="仿宋_GB2312"/>
                <w:sz w:val="21"/>
                <w:szCs w:val="21"/>
                <w:lang w:bidi="ar"/>
              </w:rPr>
            </w:pPr>
            <w:r>
              <w:rPr>
                <w:rFonts w:hint="eastAsia" w:ascii="宋体" w:hAnsi="宋体"/>
                <w:sz w:val="24"/>
                <w:szCs w:val="24"/>
              </w:rPr>
              <w:t>氮气系统</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sz w:val="24"/>
                <w:szCs w:val="24"/>
              </w:rPr>
            </w:pPr>
            <w:r>
              <w:rPr>
                <w:rFonts w:hint="eastAsia" w:ascii="仿宋" w:hAnsi="仿宋" w:eastAsia="仿宋" w:cs="仿宋"/>
                <w:color w:val="000000"/>
                <w:sz w:val="24"/>
                <w:szCs w:val="24"/>
              </w:rPr>
              <w:t>套</w:t>
            </w: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89" w:type="dxa"/>
            <w:vAlign w:val="center"/>
          </w:tcPr>
          <w:p>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pPr>
              <w:jc w:val="center"/>
              <w:rPr>
                <w:rFonts w:hint="eastAsia" w:ascii="仿宋_GB2312" w:hAnsi="仿宋_GB2312" w:eastAsia="仿宋_GB2312" w:cs="仿宋_GB2312"/>
                <w:sz w:val="21"/>
                <w:szCs w:val="21"/>
                <w:lang w:bidi="ar"/>
              </w:rPr>
            </w:pPr>
            <w:r>
              <w:rPr>
                <w:rFonts w:hint="eastAsia" w:ascii="宋体" w:hAnsi="宋体"/>
                <w:sz w:val="24"/>
                <w:szCs w:val="24"/>
              </w:rPr>
              <w:t>喷淋系统</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sz w:val="24"/>
                <w:szCs w:val="24"/>
              </w:rPr>
            </w:pPr>
            <w:r>
              <w:rPr>
                <w:rFonts w:hint="eastAsia" w:ascii="仿宋" w:hAnsi="仿宋" w:eastAsia="仿宋" w:cs="仿宋"/>
                <w:color w:val="000000"/>
                <w:sz w:val="24"/>
                <w:szCs w:val="24"/>
              </w:rPr>
              <w:t>套</w:t>
            </w: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3</w:t>
            </w:r>
          </w:p>
        </w:tc>
        <w:tc>
          <w:tcPr>
            <w:tcW w:w="2865"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bl>
    <w:p>
      <w:pPr>
        <w:spacing w:before="52" w:line="221" w:lineRule="auto"/>
        <w:ind w:left="9"/>
        <w:jc w:val="right"/>
        <w:rPr>
          <w:rFonts w:ascii="宋体" w:hAnsi="宋体" w:eastAsia="宋体" w:cs="Times New Roman"/>
          <w:b/>
          <w:bCs/>
          <w:sz w:val="24"/>
          <w:szCs w:val="24"/>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轻卡涂装车间消防安全提升项目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轻卡涂装车间消防安全提升项目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轻卡涂装车间消防安全提升项目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轻卡涂装车间消防安全提升项目</w:t>
            </w: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5"/>
        <w:tblW w:w="85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4"/>
        <w:gridCol w:w="1920"/>
        <w:gridCol w:w="742"/>
        <w:gridCol w:w="51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 w:hAnsi="仿宋" w:eastAsia="仿宋" w:cs="仿宋"/>
                <w:i w:val="0"/>
                <w:iCs w:val="0"/>
                <w:color w:val="131513"/>
                <w:sz w:val="25"/>
                <w:szCs w:val="25"/>
                <w:u w:val="none"/>
              </w:rPr>
            </w:pPr>
            <w:r>
              <w:rPr>
                <w:rFonts w:hint="eastAsia" w:ascii="仿宋" w:hAnsi="仿宋" w:eastAsia="仿宋" w:cs="仿宋"/>
                <w:i w:val="0"/>
                <w:iCs w:val="0"/>
                <w:color w:val="131513"/>
                <w:kern w:val="0"/>
                <w:sz w:val="25"/>
                <w:szCs w:val="25"/>
                <w:u w:val="none"/>
                <w:lang w:val="en-US" w:eastAsia="zh-CN" w:bidi="ar"/>
              </w:rPr>
              <w:t>一</w:t>
            </w:r>
          </w:p>
        </w:tc>
        <w:tc>
          <w:tcPr>
            <w:tcW w:w="78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131513"/>
                <w:sz w:val="25"/>
                <w:szCs w:val="25"/>
                <w:u w:val="none"/>
              </w:rPr>
            </w:pPr>
            <w:r>
              <w:rPr>
                <w:rFonts w:hint="eastAsia" w:ascii="仿宋" w:hAnsi="仿宋" w:eastAsia="仿宋" w:cs="仿宋"/>
                <w:i w:val="0"/>
                <w:iCs w:val="0"/>
                <w:color w:val="131513"/>
                <w:kern w:val="0"/>
                <w:sz w:val="25"/>
                <w:szCs w:val="25"/>
                <w:u w:val="none"/>
                <w:lang w:val="en-US" w:eastAsia="zh-CN" w:bidi="ar"/>
              </w:rPr>
              <w:t>技术标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序号</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内容</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标准分</w:t>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3"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1</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产品方案技术先进、各系统完善、性能可靠，设备主要核心部件，具备自身技术优势</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（1）投标文件中设备技术参数满足招标要求，关键技术资料完整，打分0-10分。</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（2）设备方案设计合理、方便操作，打分0-10分。</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（3）对采购方人员的技术培训方案安排科学、合理、可行，打分0-10分</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（4）售后服务及时周到，有相应的服务承诺和具体的保证措施，打分0-10分。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2</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现场答疑</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在开标现场，投标人代表对方案、技术优势的讲解，以及就该项目难点回答评标专家现场提问。酌情得0-20分；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3</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技术偏离</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经过有效性和符合性审核合格的投标人，投标文件中对技术要求、付款、供货期等无偏离得20分，每一条负偏离扣2分，最低0分。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jc w:val="center"/>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131513"/>
                <w:sz w:val="20"/>
                <w:szCs w:val="20"/>
                <w:u w:val="none"/>
              </w:rPr>
            </w:pPr>
            <w:r>
              <w:rPr>
                <w:rFonts w:hint="eastAsia" w:ascii="仿宋" w:hAnsi="仿宋" w:eastAsia="仿宋" w:cs="仿宋"/>
                <w:i w:val="0"/>
                <w:iCs w:val="0"/>
                <w:color w:val="131513"/>
                <w:kern w:val="0"/>
                <w:sz w:val="20"/>
                <w:szCs w:val="20"/>
                <w:u w:val="none"/>
                <w:lang w:val="en-US" w:eastAsia="zh-CN" w:bidi="ar"/>
              </w:rPr>
              <w:t>4</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设备制造商同类型项目业绩</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5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由评标委员会成员独立进行客观、公正的评价，按照业绩进行赋分，具有4家（包含4家）以上同类型项目业绩得20分；业绩不足4家者，每少一家扣5分，扣完为止（时间以签订日期为准）。</w:t>
            </w:r>
          </w:p>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投标人在2022年1月1日以来在中国与本标同类规格产品的真实业绩，以合同复印件加盖公章为准（须有客户联系方式及联系人以供招标人核实确认）。</w:t>
            </w:r>
          </w:p>
        </w:tc>
      </w:tr>
    </w:tbl>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pPr>
        <w:pStyle w:val="2"/>
      </w:pPr>
    </w:p>
    <w:p>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注：</w:t>
      </w:r>
    </w:p>
    <w:p>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1.“项目名称”和“采购形式编号”见投标须知前附表1.1；</w:t>
      </w:r>
    </w:p>
    <w:p>
      <w:pPr>
        <w:rPr>
          <w:rFonts w:hint="eastAsia" w:ascii="仿宋_GB2312" w:hAnsi="仿宋_GB2312" w:eastAsia="仿宋_GB2312" w:cs="仿宋_GB2312"/>
        </w:rPr>
        <w:sectPr>
          <w:footerReference r:id="rId41" w:type="default"/>
          <w:pgSz w:w="11906" w:h="16838"/>
          <w:pgMar w:top="1588" w:right="1418" w:bottom="1134" w:left="1418" w:header="851" w:footer="992" w:gutter="0"/>
          <w:pgNumType w:fmt="decimal"/>
          <w:cols w:space="720" w:num="1"/>
          <w:titlePg/>
          <w:docGrid w:type="lines" w:linePitch="312" w:charSpace="0"/>
        </w:sectPr>
      </w:pPr>
      <w:r>
        <w:rPr>
          <w:rFonts w:hint="eastAsia" w:ascii="仿宋_GB2312" w:hAnsi="仿宋_GB2312" w:eastAsia="仿宋_GB2312" w:cs="仿宋_GB2312"/>
          <w:b/>
          <w:bCs/>
          <w:color w:val="000000"/>
          <w:sz w:val="24"/>
          <w:szCs w:val="28"/>
          <w:highlight w:val="yellow"/>
        </w:rPr>
        <w:t>2.配套能力“供货类别”选“非生产招标→</w:t>
      </w:r>
      <w:r>
        <w:rPr>
          <w:rFonts w:hint="eastAsia" w:ascii="仿宋_GB2312" w:hAnsi="仿宋_GB2312" w:eastAsia="仿宋_GB2312" w:cs="仿宋_GB2312"/>
          <w:b/>
          <w:bCs/>
          <w:color w:val="000000"/>
          <w:sz w:val="24"/>
          <w:szCs w:val="28"/>
          <w:highlight w:val="yellow"/>
          <w:lang w:val="en-US" w:eastAsia="zh-CN"/>
        </w:rPr>
        <w:t>安全消防</w:t>
      </w:r>
      <w:r>
        <w:rPr>
          <w:rFonts w:hint="eastAsia" w:ascii="仿宋_GB2312" w:hAnsi="仿宋_GB2312" w:eastAsia="仿宋_GB2312" w:cs="仿宋_GB2312"/>
          <w:b/>
          <w:bCs/>
          <w:color w:val="000000"/>
          <w:sz w:val="24"/>
          <w:szCs w:val="28"/>
          <w:highlight w:val="yellow"/>
        </w:rPr>
        <w:t>”，业务主管部门为“安全环保部”</w:t>
      </w:r>
    </w:p>
    <w:p>
      <w:pPr>
        <w:pStyle w:val="2"/>
      </w:pP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6D019DE"/>
    <w:multiLevelType w:val="multilevel"/>
    <w:tmpl w:val="A6D019DE"/>
    <w:lvl w:ilvl="0" w:tentative="0">
      <w:start w:val="1"/>
      <w:numFmt w:val="decimal"/>
      <w:suff w:val="space"/>
      <w:lvlText w:val="%1."/>
      <w:lvlJc w:val="left"/>
    </w:lvl>
    <w:lvl w:ilvl="1" w:tentative="0">
      <w:start w:val="1"/>
      <w:numFmt w:val="decimal"/>
      <w:suff w:val="space"/>
      <w:lvlText w:val="%1.%2"/>
      <w:lvlJc w:val="left"/>
      <w:pPr>
        <w:ind w:left="240" w:firstLine="0"/>
      </w:pPr>
      <w:rPr>
        <w:rFonts w:hint="default"/>
      </w:rPr>
    </w:lvl>
    <w:lvl w:ilvl="2" w:tentative="0">
      <w:start w:val="1"/>
      <w:numFmt w:val="decimal"/>
      <w:suff w:val="space"/>
      <w:lvlText w:val="%1.%2.%3"/>
      <w:lvlJc w:val="left"/>
      <w:pPr>
        <w:ind w:left="240" w:firstLine="0"/>
      </w:pPr>
      <w:rPr>
        <w:rFonts w:hint="default"/>
      </w:rPr>
    </w:lvl>
    <w:lvl w:ilvl="3" w:tentative="0">
      <w:start w:val="1"/>
      <w:numFmt w:val="decimal"/>
      <w:suff w:val="space"/>
      <w:lvlText w:val="%1.%2.%3.%4"/>
      <w:lvlJc w:val="left"/>
      <w:pPr>
        <w:ind w:left="240" w:firstLine="0"/>
      </w:pPr>
      <w:rPr>
        <w:rFonts w:hint="default"/>
      </w:rPr>
    </w:lvl>
    <w:lvl w:ilvl="4" w:tentative="0">
      <w:start w:val="1"/>
      <w:numFmt w:val="decimal"/>
      <w:suff w:val="space"/>
      <w:lvlText w:val="%1.%2.%3.%4.%5"/>
      <w:lvlJc w:val="left"/>
      <w:pPr>
        <w:ind w:left="240" w:firstLine="0"/>
      </w:pPr>
      <w:rPr>
        <w:rFonts w:hint="default"/>
      </w:rPr>
    </w:lvl>
    <w:lvl w:ilvl="5" w:tentative="0">
      <w:start w:val="1"/>
      <w:numFmt w:val="decimal"/>
      <w:suff w:val="space"/>
      <w:lvlText w:val="%1.%2.%3.%4.%5.%6"/>
      <w:lvlJc w:val="left"/>
      <w:pPr>
        <w:ind w:left="240" w:firstLine="0"/>
      </w:pPr>
      <w:rPr>
        <w:rFonts w:hint="default"/>
      </w:rPr>
    </w:lvl>
    <w:lvl w:ilvl="6" w:tentative="0">
      <w:start w:val="1"/>
      <w:numFmt w:val="decimal"/>
      <w:suff w:val="space"/>
      <w:lvlText w:val="%1.%2.%3.%4.%5.%6.%7"/>
      <w:lvlJc w:val="left"/>
      <w:pPr>
        <w:ind w:left="240" w:firstLine="0"/>
      </w:pPr>
      <w:rPr>
        <w:rFonts w:hint="default"/>
      </w:rPr>
    </w:lvl>
    <w:lvl w:ilvl="7" w:tentative="0">
      <w:start w:val="1"/>
      <w:numFmt w:val="decimal"/>
      <w:suff w:val="space"/>
      <w:lvlText w:val="%1.%2.%3.%4.%5.%6.%7.%8"/>
      <w:lvlJc w:val="left"/>
      <w:pPr>
        <w:ind w:left="240" w:firstLine="0"/>
      </w:pPr>
      <w:rPr>
        <w:rFonts w:hint="default"/>
      </w:rPr>
    </w:lvl>
    <w:lvl w:ilvl="8" w:tentative="0">
      <w:start w:val="1"/>
      <w:numFmt w:val="decimal"/>
      <w:suff w:val="space"/>
      <w:lvlText w:val="%1.%2.%3.%4.%5.%6.%7.%8.%9"/>
      <w:lvlJc w:val="left"/>
      <w:pPr>
        <w:ind w:left="240" w:firstLine="0"/>
      </w:pPr>
      <w:rPr>
        <w:rFonts w:hint="default"/>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EA93DF2"/>
    <w:multiLevelType w:val="singleLevel"/>
    <w:tmpl w:val="0EA93DF2"/>
    <w:lvl w:ilvl="0" w:tentative="0">
      <w:start w:val="2"/>
      <w:numFmt w:val="decimal"/>
      <w:lvlText w:val="%1."/>
      <w:lvlJc w:val="left"/>
      <w:pPr>
        <w:tabs>
          <w:tab w:val="left" w:pos="312"/>
        </w:tabs>
      </w:p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7DE7897"/>
    <w:multiLevelType w:val="singleLevel"/>
    <w:tmpl w:val="77DE7897"/>
    <w:lvl w:ilvl="0" w:tentative="0">
      <w:start w:val="1"/>
      <w:numFmt w:val="decimal"/>
      <w:lvlText w:val="%1."/>
      <w:lvlJc w:val="left"/>
      <w:pPr>
        <w:tabs>
          <w:tab w:val="left" w:pos="312"/>
        </w:tabs>
      </w:p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0"/>
  </w:num>
  <w:num w:numId="4">
    <w:abstractNumId w:val="11"/>
  </w:num>
  <w:num w:numId="5">
    <w:abstractNumId w:val="6"/>
  </w:num>
  <w:num w:numId="6">
    <w:abstractNumId w:val="3"/>
  </w:num>
  <w:num w:numId="7">
    <w:abstractNumId w:val="8"/>
  </w:num>
  <w:num w:numId="8">
    <w:abstractNumId w:val="2"/>
  </w:num>
  <w:num w:numId="9">
    <w:abstractNumId w:val="7"/>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NzEyOWU1OTUyOGU2MGVjYzZhNGU3NDRiMjJhNTE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36276"/>
    <w:rsid w:val="00964F00"/>
    <w:rsid w:val="009B511E"/>
    <w:rsid w:val="009E0F5E"/>
    <w:rsid w:val="00A21EB2"/>
    <w:rsid w:val="00A31561"/>
    <w:rsid w:val="00A54E95"/>
    <w:rsid w:val="00A80564"/>
    <w:rsid w:val="00A960B2"/>
    <w:rsid w:val="00AE6633"/>
    <w:rsid w:val="00B01FF1"/>
    <w:rsid w:val="00B72516"/>
    <w:rsid w:val="00B92C97"/>
    <w:rsid w:val="00BA3803"/>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272"/>
    <w:rsid w:val="027408EE"/>
    <w:rsid w:val="02963F39"/>
    <w:rsid w:val="0296734E"/>
    <w:rsid w:val="02B037A6"/>
    <w:rsid w:val="02B3095A"/>
    <w:rsid w:val="02BA7274"/>
    <w:rsid w:val="02E041E6"/>
    <w:rsid w:val="02F676C8"/>
    <w:rsid w:val="03093FC8"/>
    <w:rsid w:val="03251978"/>
    <w:rsid w:val="0325718A"/>
    <w:rsid w:val="032A08BF"/>
    <w:rsid w:val="03D567D9"/>
    <w:rsid w:val="03EA6451"/>
    <w:rsid w:val="041078B8"/>
    <w:rsid w:val="04280DD5"/>
    <w:rsid w:val="042921B6"/>
    <w:rsid w:val="043B72BB"/>
    <w:rsid w:val="04461EC1"/>
    <w:rsid w:val="04504B3F"/>
    <w:rsid w:val="04831DF5"/>
    <w:rsid w:val="04A3012C"/>
    <w:rsid w:val="04AD02B8"/>
    <w:rsid w:val="04DE51C8"/>
    <w:rsid w:val="04DF17D4"/>
    <w:rsid w:val="04EC77B3"/>
    <w:rsid w:val="05000C0B"/>
    <w:rsid w:val="05174255"/>
    <w:rsid w:val="05412745"/>
    <w:rsid w:val="05491761"/>
    <w:rsid w:val="05515CC6"/>
    <w:rsid w:val="055D755A"/>
    <w:rsid w:val="05683014"/>
    <w:rsid w:val="058761A0"/>
    <w:rsid w:val="05A351AD"/>
    <w:rsid w:val="05CD5AB2"/>
    <w:rsid w:val="05D1329F"/>
    <w:rsid w:val="05F9748A"/>
    <w:rsid w:val="06266F78"/>
    <w:rsid w:val="063E7B7A"/>
    <w:rsid w:val="06582413"/>
    <w:rsid w:val="067E33B8"/>
    <w:rsid w:val="06C465A2"/>
    <w:rsid w:val="06E82FCB"/>
    <w:rsid w:val="06F34B95"/>
    <w:rsid w:val="070F2A67"/>
    <w:rsid w:val="072858CC"/>
    <w:rsid w:val="07571DAC"/>
    <w:rsid w:val="076444C8"/>
    <w:rsid w:val="07645CFB"/>
    <w:rsid w:val="0797664C"/>
    <w:rsid w:val="07D959F0"/>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655CC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050571"/>
    <w:rsid w:val="0C345AD1"/>
    <w:rsid w:val="0C552FCB"/>
    <w:rsid w:val="0C626CE4"/>
    <w:rsid w:val="0C686809"/>
    <w:rsid w:val="0D08498F"/>
    <w:rsid w:val="0D0C2B7B"/>
    <w:rsid w:val="0D3F756A"/>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0FD146C5"/>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712842"/>
    <w:rsid w:val="118328C8"/>
    <w:rsid w:val="119A7465"/>
    <w:rsid w:val="119B76A5"/>
    <w:rsid w:val="11AE1BB4"/>
    <w:rsid w:val="11B567FB"/>
    <w:rsid w:val="11C07DA5"/>
    <w:rsid w:val="11C2491E"/>
    <w:rsid w:val="11F36B75"/>
    <w:rsid w:val="123B45F5"/>
    <w:rsid w:val="12491386"/>
    <w:rsid w:val="12DE232A"/>
    <w:rsid w:val="12E60579"/>
    <w:rsid w:val="12EB0F02"/>
    <w:rsid w:val="12FE34CD"/>
    <w:rsid w:val="13057392"/>
    <w:rsid w:val="13695B36"/>
    <w:rsid w:val="1372609F"/>
    <w:rsid w:val="138A301D"/>
    <w:rsid w:val="13CD6F8A"/>
    <w:rsid w:val="13D73572"/>
    <w:rsid w:val="141476FE"/>
    <w:rsid w:val="14184FB8"/>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9C380B"/>
    <w:rsid w:val="17A119AA"/>
    <w:rsid w:val="17E85AC5"/>
    <w:rsid w:val="180E4708"/>
    <w:rsid w:val="18104A8B"/>
    <w:rsid w:val="182E403B"/>
    <w:rsid w:val="18426B32"/>
    <w:rsid w:val="18586F2B"/>
    <w:rsid w:val="186D35F0"/>
    <w:rsid w:val="193C2A3D"/>
    <w:rsid w:val="19495B46"/>
    <w:rsid w:val="1973724A"/>
    <w:rsid w:val="19A766B9"/>
    <w:rsid w:val="19B06735"/>
    <w:rsid w:val="19CE76BA"/>
    <w:rsid w:val="19F26070"/>
    <w:rsid w:val="19F97C8B"/>
    <w:rsid w:val="1A0A4E08"/>
    <w:rsid w:val="1A1523CE"/>
    <w:rsid w:val="1AA730BD"/>
    <w:rsid w:val="1AAE3F81"/>
    <w:rsid w:val="1B333D5D"/>
    <w:rsid w:val="1B400146"/>
    <w:rsid w:val="1B587618"/>
    <w:rsid w:val="1B5F19C7"/>
    <w:rsid w:val="1B84164C"/>
    <w:rsid w:val="1BE063BC"/>
    <w:rsid w:val="1C1C709B"/>
    <w:rsid w:val="1C4A05F8"/>
    <w:rsid w:val="1C4B624A"/>
    <w:rsid w:val="1C4F6795"/>
    <w:rsid w:val="1C630856"/>
    <w:rsid w:val="1C687BA8"/>
    <w:rsid w:val="1C7723C1"/>
    <w:rsid w:val="1C9F6814"/>
    <w:rsid w:val="1CA7399C"/>
    <w:rsid w:val="1D5C514E"/>
    <w:rsid w:val="1D865D14"/>
    <w:rsid w:val="1D8705EC"/>
    <w:rsid w:val="1DBE0159"/>
    <w:rsid w:val="1DEC0E7D"/>
    <w:rsid w:val="1E23495C"/>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5C2E31"/>
    <w:rsid w:val="208244E5"/>
    <w:rsid w:val="20875058"/>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2B91715"/>
    <w:rsid w:val="232B6D4E"/>
    <w:rsid w:val="236356D1"/>
    <w:rsid w:val="23672FA4"/>
    <w:rsid w:val="236B2A0F"/>
    <w:rsid w:val="23791175"/>
    <w:rsid w:val="23A45F21"/>
    <w:rsid w:val="23A91C83"/>
    <w:rsid w:val="23C962E8"/>
    <w:rsid w:val="242552B4"/>
    <w:rsid w:val="243F7403"/>
    <w:rsid w:val="247E4FED"/>
    <w:rsid w:val="24884A95"/>
    <w:rsid w:val="24AD78E0"/>
    <w:rsid w:val="24B30BE8"/>
    <w:rsid w:val="24BC5AD3"/>
    <w:rsid w:val="24E10292"/>
    <w:rsid w:val="24E34060"/>
    <w:rsid w:val="253A0491"/>
    <w:rsid w:val="254E0478"/>
    <w:rsid w:val="259322B4"/>
    <w:rsid w:val="25AF6361"/>
    <w:rsid w:val="25C428AA"/>
    <w:rsid w:val="25C50504"/>
    <w:rsid w:val="25E036B2"/>
    <w:rsid w:val="25E75BA2"/>
    <w:rsid w:val="25E9082A"/>
    <w:rsid w:val="25F42473"/>
    <w:rsid w:val="260A0FF9"/>
    <w:rsid w:val="26436BD4"/>
    <w:rsid w:val="265C2AE3"/>
    <w:rsid w:val="269C17B8"/>
    <w:rsid w:val="26AF2D79"/>
    <w:rsid w:val="26B34B91"/>
    <w:rsid w:val="26EA00EF"/>
    <w:rsid w:val="26ED706D"/>
    <w:rsid w:val="26F853FE"/>
    <w:rsid w:val="26F92E80"/>
    <w:rsid w:val="270D66E8"/>
    <w:rsid w:val="27174C5C"/>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5201CD"/>
    <w:rsid w:val="29606AF1"/>
    <w:rsid w:val="299741EC"/>
    <w:rsid w:val="299E147F"/>
    <w:rsid w:val="29B34495"/>
    <w:rsid w:val="29B72BFE"/>
    <w:rsid w:val="29C32A87"/>
    <w:rsid w:val="29CF26DC"/>
    <w:rsid w:val="29FB0EEE"/>
    <w:rsid w:val="2A1C5DA0"/>
    <w:rsid w:val="2A200D39"/>
    <w:rsid w:val="2A4B17EC"/>
    <w:rsid w:val="2A507EFF"/>
    <w:rsid w:val="2A5F2FA3"/>
    <w:rsid w:val="2AAB37D0"/>
    <w:rsid w:val="2ADC05A4"/>
    <w:rsid w:val="2AEF2177"/>
    <w:rsid w:val="2B0B6B2D"/>
    <w:rsid w:val="2B46348F"/>
    <w:rsid w:val="2B5E3CCB"/>
    <w:rsid w:val="2B6F0D7F"/>
    <w:rsid w:val="2B853D1A"/>
    <w:rsid w:val="2B8716BD"/>
    <w:rsid w:val="2B8B76FF"/>
    <w:rsid w:val="2BA07020"/>
    <w:rsid w:val="2BB97F4A"/>
    <w:rsid w:val="2BD5034F"/>
    <w:rsid w:val="2BF77A2F"/>
    <w:rsid w:val="2C153E60"/>
    <w:rsid w:val="2C370819"/>
    <w:rsid w:val="2C5F3D9D"/>
    <w:rsid w:val="2C61165D"/>
    <w:rsid w:val="2C88731E"/>
    <w:rsid w:val="2CF85053"/>
    <w:rsid w:val="2D002B75"/>
    <w:rsid w:val="2D025012"/>
    <w:rsid w:val="2D2B45A9"/>
    <w:rsid w:val="2D4178F0"/>
    <w:rsid w:val="2D7C3A6A"/>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1A707E"/>
    <w:rsid w:val="31414A5E"/>
    <w:rsid w:val="315B788A"/>
    <w:rsid w:val="315E658D"/>
    <w:rsid w:val="3168109A"/>
    <w:rsid w:val="317D15BB"/>
    <w:rsid w:val="31D07E6C"/>
    <w:rsid w:val="323F65DA"/>
    <w:rsid w:val="32412074"/>
    <w:rsid w:val="32DE0199"/>
    <w:rsid w:val="333C2963"/>
    <w:rsid w:val="3345127F"/>
    <w:rsid w:val="335B2774"/>
    <w:rsid w:val="338B331E"/>
    <w:rsid w:val="33A20D45"/>
    <w:rsid w:val="33A4642E"/>
    <w:rsid w:val="33D1020F"/>
    <w:rsid w:val="33D4039C"/>
    <w:rsid w:val="33D47E05"/>
    <w:rsid w:val="33EC194A"/>
    <w:rsid w:val="3413677D"/>
    <w:rsid w:val="342B544B"/>
    <w:rsid w:val="34447470"/>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E04CB"/>
    <w:rsid w:val="37317C9C"/>
    <w:rsid w:val="3811234D"/>
    <w:rsid w:val="387C0DC3"/>
    <w:rsid w:val="38832151"/>
    <w:rsid w:val="38E070F2"/>
    <w:rsid w:val="390D33AB"/>
    <w:rsid w:val="391E6D06"/>
    <w:rsid w:val="391F0E3B"/>
    <w:rsid w:val="39DC5BB6"/>
    <w:rsid w:val="39F1031B"/>
    <w:rsid w:val="3A074847"/>
    <w:rsid w:val="3A830B2E"/>
    <w:rsid w:val="3AA90FE6"/>
    <w:rsid w:val="3AA9318F"/>
    <w:rsid w:val="3AAC3BE1"/>
    <w:rsid w:val="3AB62DA0"/>
    <w:rsid w:val="3AD04447"/>
    <w:rsid w:val="3AEA41B5"/>
    <w:rsid w:val="3B414BC4"/>
    <w:rsid w:val="3B69577B"/>
    <w:rsid w:val="3B702D85"/>
    <w:rsid w:val="3B761A51"/>
    <w:rsid w:val="3B7905A1"/>
    <w:rsid w:val="3B7D3FD5"/>
    <w:rsid w:val="3B823DDF"/>
    <w:rsid w:val="3BD827B4"/>
    <w:rsid w:val="3C237ED3"/>
    <w:rsid w:val="3C317D4F"/>
    <w:rsid w:val="3C4D2D59"/>
    <w:rsid w:val="3CAA596A"/>
    <w:rsid w:val="3CAF1D22"/>
    <w:rsid w:val="3CB1587B"/>
    <w:rsid w:val="3CB735F2"/>
    <w:rsid w:val="3CD94A35"/>
    <w:rsid w:val="3CFC4E99"/>
    <w:rsid w:val="3D186684"/>
    <w:rsid w:val="3D363C36"/>
    <w:rsid w:val="3D68584E"/>
    <w:rsid w:val="3D837F03"/>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81341A"/>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4D7F2B"/>
    <w:rsid w:val="43670C99"/>
    <w:rsid w:val="43824A1C"/>
    <w:rsid w:val="43BA782C"/>
    <w:rsid w:val="43C873A2"/>
    <w:rsid w:val="43D110E1"/>
    <w:rsid w:val="43D72555"/>
    <w:rsid w:val="43E048FB"/>
    <w:rsid w:val="43E873C9"/>
    <w:rsid w:val="43EF4482"/>
    <w:rsid w:val="43F14D5A"/>
    <w:rsid w:val="448B5C69"/>
    <w:rsid w:val="44905B1F"/>
    <w:rsid w:val="44A3327A"/>
    <w:rsid w:val="44C81F67"/>
    <w:rsid w:val="45316885"/>
    <w:rsid w:val="459B1F40"/>
    <w:rsid w:val="45A95EE9"/>
    <w:rsid w:val="45D109A0"/>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50F36"/>
    <w:rsid w:val="48B9571B"/>
    <w:rsid w:val="48DB38E3"/>
    <w:rsid w:val="49001B5E"/>
    <w:rsid w:val="4904108C"/>
    <w:rsid w:val="493443AD"/>
    <w:rsid w:val="49376DB0"/>
    <w:rsid w:val="493D4634"/>
    <w:rsid w:val="49551CDB"/>
    <w:rsid w:val="49605AEE"/>
    <w:rsid w:val="497E3057"/>
    <w:rsid w:val="49804BB7"/>
    <w:rsid w:val="49826DCB"/>
    <w:rsid w:val="499013E7"/>
    <w:rsid w:val="49C8088A"/>
    <w:rsid w:val="49D60D3D"/>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2F01CE"/>
    <w:rsid w:val="4C4023DB"/>
    <w:rsid w:val="4C5A284D"/>
    <w:rsid w:val="4C5C0673"/>
    <w:rsid w:val="4C673E0C"/>
    <w:rsid w:val="4C8B531F"/>
    <w:rsid w:val="4CB96B43"/>
    <w:rsid w:val="4CC61682"/>
    <w:rsid w:val="4CC75FCC"/>
    <w:rsid w:val="4CC87A5E"/>
    <w:rsid w:val="4CD63947"/>
    <w:rsid w:val="4CFC49F4"/>
    <w:rsid w:val="4D0314E7"/>
    <w:rsid w:val="4D073D73"/>
    <w:rsid w:val="4D1E27BA"/>
    <w:rsid w:val="4D23574A"/>
    <w:rsid w:val="4D4C4DB0"/>
    <w:rsid w:val="4D7322D5"/>
    <w:rsid w:val="4DAB040A"/>
    <w:rsid w:val="4DD7034C"/>
    <w:rsid w:val="4DE312CB"/>
    <w:rsid w:val="4DF5318E"/>
    <w:rsid w:val="4E0D199A"/>
    <w:rsid w:val="4E0E0BAE"/>
    <w:rsid w:val="4E1F4862"/>
    <w:rsid w:val="4E2E4393"/>
    <w:rsid w:val="4E4478F5"/>
    <w:rsid w:val="4E535EF2"/>
    <w:rsid w:val="4E9563FB"/>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0F814D6"/>
    <w:rsid w:val="511931FB"/>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459BA"/>
    <w:rsid w:val="54A61722"/>
    <w:rsid w:val="54B31FAF"/>
    <w:rsid w:val="54DC2048"/>
    <w:rsid w:val="550C502E"/>
    <w:rsid w:val="55224E1C"/>
    <w:rsid w:val="55326D63"/>
    <w:rsid w:val="555D1A10"/>
    <w:rsid w:val="55963292"/>
    <w:rsid w:val="55B72CB0"/>
    <w:rsid w:val="55C300FC"/>
    <w:rsid w:val="55E8347F"/>
    <w:rsid w:val="55E90F00"/>
    <w:rsid w:val="565C0F82"/>
    <w:rsid w:val="56AC4A78"/>
    <w:rsid w:val="56B55151"/>
    <w:rsid w:val="56DB16B9"/>
    <w:rsid w:val="572F0E41"/>
    <w:rsid w:val="57435CBA"/>
    <w:rsid w:val="577A3463"/>
    <w:rsid w:val="57B35F6D"/>
    <w:rsid w:val="57BE1D80"/>
    <w:rsid w:val="57F967AD"/>
    <w:rsid w:val="58052975"/>
    <w:rsid w:val="581D7A74"/>
    <w:rsid w:val="584D1A65"/>
    <w:rsid w:val="584F5C44"/>
    <w:rsid w:val="585A2A77"/>
    <w:rsid w:val="58A96885"/>
    <w:rsid w:val="58B8581B"/>
    <w:rsid w:val="58E525CA"/>
    <w:rsid w:val="58EE7372"/>
    <w:rsid w:val="58FD7D40"/>
    <w:rsid w:val="591C7CB6"/>
    <w:rsid w:val="592B5B5A"/>
    <w:rsid w:val="593D045A"/>
    <w:rsid w:val="5960739E"/>
    <w:rsid w:val="59664632"/>
    <w:rsid w:val="59896D0A"/>
    <w:rsid w:val="599226DC"/>
    <w:rsid w:val="599D6D92"/>
    <w:rsid w:val="59B72684"/>
    <w:rsid w:val="59BA4144"/>
    <w:rsid w:val="59F861A7"/>
    <w:rsid w:val="5A08766C"/>
    <w:rsid w:val="5A4001AF"/>
    <w:rsid w:val="5A557999"/>
    <w:rsid w:val="5A9579AE"/>
    <w:rsid w:val="5AC468CD"/>
    <w:rsid w:val="5AC558FB"/>
    <w:rsid w:val="5AE74205"/>
    <w:rsid w:val="5B342B9A"/>
    <w:rsid w:val="5B3C46B5"/>
    <w:rsid w:val="5B5953B0"/>
    <w:rsid w:val="5B630802"/>
    <w:rsid w:val="5B746998"/>
    <w:rsid w:val="5B807F68"/>
    <w:rsid w:val="5BA72CE5"/>
    <w:rsid w:val="5BB16E51"/>
    <w:rsid w:val="5BBE3013"/>
    <w:rsid w:val="5BE61256"/>
    <w:rsid w:val="5C034D53"/>
    <w:rsid w:val="5C0A43A9"/>
    <w:rsid w:val="5C41066B"/>
    <w:rsid w:val="5C620B9F"/>
    <w:rsid w:val="5C79798F"/>
    <w:rsid w:val="5C7F2AAC"/>
    <w:rsid w:val="5D0D455B"/>
    <w:rsid w:val="5D0E2082"/>
    <w:rsid w:val="5D161948"/>
    <w:rsid w:val="5D35111A"/>
    <w:rsid w:val="5D722852"/>
    <w:rsid w:val="5E1D6F56"/>
    <w:rsid w:val="5E52187F"/>
    <w:rsid w:val="5E6A13CD"/>
    <w:rsid w:val="5E705D15"/>
    <w:rsid w:val="5E93326C"/>
    <w:rsid w:val="5E9F1A7A"/>
    <w:rsid w:val="5EAB5261"/>
    <w:rsid w:val="5EAF3818"/>
    <w:rsid w:val="5EE62ABD"/>
    <w:rsid w:val="5EFB4BA4"/>
    <w:rsid w:val="5EFD23AE"/>
    <w:rsid w:val="5F025452"/>
    <w:rsid w:val="5F1F2324"/>
    <w:rsid w:val="5F5F46B5"/>
    <w:rsid w:val="5FB25360"/>
    <w:rsid w:val="5FBA3CC0"/>
    <w:rsid w:val="5FD90D61"/>
    <w:rsid w:val="60177697"/>
    <w:rsid w:val="602329DB"/>
    <w:rsid w:val="607777D6"/>
    <w:rsid w:val="60B34B89"/>
    <w:rsid w:val="60BC76A1"/>
    <w:rsid w:val="60BF5B6D"/>
    <w:rsid w:val="610B7637"/>
    <w:rsid w:val="612279BA"/>
    <w:rsid w:val="614D1FB2"/>
    <w:rsid w:val="615F5624"/>
    <w:rsid w:val="61BD7BD2"/>
    <w:rsid w:val="61CA793C"/>
    <w:rsid w:val="61D215CF"/>
    <w:rsid w:val="62042FA0"/>
    <w:rsid w:val="62414951"/>
    <w:rsid w:val="624709AB"/>
    <w:rsid w:val="625901AB"/>
    <w:rsid w:val="625C563D"/>
    <w:rsid w:val="626A1704"/>
    <w:rsid w:val="627921C2"/>
    <w:rsid w:val="62B362C8"/>
    <w:rsid w:val="62C0797A"/>
    <w:rsid w:val="62C1330E"/>
    <w:rsid w:val="62DD39C2"/>
    <w:rsid w:val="62EB67A0"/>
    <w:rsid w:val="62EC0759"/>
    <w:rsid w:val="62F200E4"/>
    <w:rsid w:val="63084806"/>
    <w:rsid w:val="63141A74"/>
    <w:rsid w:val="632919C3"/>
    <w:rsid w:val="6342085E"/>
    <w:rsid w:val="636F415C"/>
    <w:rsid w:val="63C329BB"/>
    <w:rsid w:val="63E85179"/>
    <w:rsid w:val="645A0930"/>
    <w:rsid w:val="64917820"/>
    <w:rsid w:val="64AA1CC5"/>
    <w:rsid w:val="64B06253"/>
    <w:rsid w:val="64C21AA1"/>
    <w:rsid w:val="64E9279D"/>
    <w:rsid w:val="64EB5CA0"/>
    <w:rsid w:val="651F4063"/>
    <w:rsid w:val="6528341F"/>
    <w:rsid w:val="652B1E11"/>
    <w:rsid w:val="6544632F"/>
    <w:rsid w:val="656B2909"/>
    <w:rsid w:val="6598607C"/>
    <w:rsid w:val="659A2704"/>
    <w:rsid w:val="65A3045D"/>
    <w:rsid w:val="65D5369F"/>
    <w:rsid w:val="65D97752"/>
    <w:rsid w:val="65E25E59"/>
    <w:rsid w:val="66174109"/>
    <w:rsid w:val="6617798C"/>
    <w:rsid w:val="66307F76"/>
    <w:rsid w:val="66580EAF"/>
    <w:rsid w:val="66694D0D"/>
    <w:rsid w:val="667B4472"/>
    <w:rsid w:val="66AF0431"/>
    <w:rsid w:val="66F041A8"/>
    <w:rsid w:val="67114028"/>
    <w:rsid w:val="6721178A"/>
    <w:rsid w:val="6739399A"/>
    <w:rsid w:val="673F39DE"/>
    <w:rsid w:val="674C5D22"/>
    <w:rsid w:val="67663AF8"/>
    <w:rsid w:val="677243C5"/>
    <w:rsid w:val="67762CFD"/>
    <w:rsid w:val="67762DCB"/>
    <w:rsid w:val="677A678D"/>
    <w:rsid w:val="678C2D71"/>
    <w:rsid w:val="67A17493"/>
    <w:rsid w:val="67D30B32"/>
    <w:rsid w:val="67E10ABE"/>
    <w:rsid w:val="68011379"/>
    <w:rsid w:val="68252C37"/>
    <w:rsid w:val="6836320A"/>
    <w:rsid w:val="6855023B"/>
    <w:rsid w:val="68673E5E"/>
    <w:rsid w:val="68680C6F"/>
    <w:rsid w:val="68803F1E"/>
    <w:rsid w:val="68817BAC"/>
    <w:rsid w:val="689A5E59"/>
    <w:rsid w:val="68A94E70"/>
    <w:rsid w:val="68AB31C8"/>
    <w:rsid w:val="68EB3277"/>
    <w:rsid w:val="68EB61B0"/>
    <w:rsid w:val="68EE72DF"/>
    <w:rsid w:val="68FE51D1"/>
    <w:rsid w:val="690B4C92"/>
    <w:rsid w:val="69485FEA"/>
    <w:rsid w:val="69677DC0"/>
    <w:rsid w:val="69937EC7"/>
    <w:rsid w:val="699A504F"/>
    <w:rsid w:val="69C9180A"/>
    <w:rsid w:val="69D64558"/>
    <w:rsid w:val="6A042548"/>
    <w:rsid w:val="6A0F720C"/>
    <w:rsid w:val="6A146F17"/>
    <w:rsid w:val="6A244C92"/>
    <w:rsid w:val="6A471EFD"/>
    <w:rsid w:val="6AB57116"/>
    <w:rsid w:val="6B17424A"/>
    <w:rsid w:val="6B2218FA"/>
    <w:rsid w:val="6B5A722E"/>
    <w:rsid w:val="6B686C59"/>
    <w:rsid w:val="6B691672"/>
    <w:rsid w:val="6B8C3281"/>
    <w:rsid w:val="6BC67ED1"/>
    <w:rsid w:val="6BCA2D65"/>
    <w:rsid w:val="6BE97F42"/>
    <w:rsid w:val="6BEB29A1"/>
    <w:rsid w:val="6C5660C1"/>
    <w:rsid w:val="6C5E6A51"/>
    <w:rsid w:val="6C6513C3"/>
    <w:rsid w:val="6C744268"/>
    <w:rsid w:val="6C913746"/>
    <w:rsid w:val="6C9D0B3F"/>
    <w:rsid w:val="6CD62D03"/>
    <w:rsid w:val="6CD7423E"/>
    <w:rsid w:val="6CD97FB6"/>
    <w:rsid w:val="6D0B1173"/>
    <w:rsid w:val="6D0E5050"/>
    <w:rsid w:val="6D376CA3"/>
    <w:rsid w:val="6D4B22B8"/>
    <w:rsid w:val="6D930013"/>
    <w:rsid w:val="6DA51372"/>
    <w:rsid w:val="6DB53B8B"/>
    <w:rsid w:val="6DBA5A94"/>
    <w:rsid w:val="6E1A1656"/>
    <w:rsid w:val="6E231DD6"/>
    <w:rsid w:val="6E4407CF"/>
    <w:rsid w:val="6E5A5288"/>
    <w:rsid w:val="6EE013EE"/>
    <w:rsid w:val="6EE079F1"/>
    <w:rsid w:val="6EE42C42"/>
    <w:rsid w:val="6F143527"/>
    <w:rsid w:val="6F7F7CB0"/>
    <w:rsid w:val="6F8C57B4"/>
    <w:rsid w:val="6F993A2D"/>
    <w:rsid w:val="6FC62348"/>
    <w:rsid w:val="6FD774D4"/>
    <w:rsid w:val="6FE0165C"/>
    <w:rsid w:val="6FE10C44"/>
    <w:rsid w:val="6FFC763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407402"/>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4E4B2E"/>
    <w:rsid w:val="7362513F"/>
    <w:rsid w:val="736612A1"/>
    <w:rsid w:val="73771D49"/>
    <w:rsid w:val="73846894"/>
    <w:rsid w:val="738B299C"/>
    <w:rsid w:val="73A1354E"/>
    <w:rsid w:val="73CB7009"/>
    <w:rsid w:val="73F12089"/>
    <w:rsid w:val="73FE05FF"/>
    <w:rsid w:val="73FE4ED9"/>
    <w:rsid w:val="740C6EC3"/>
    <w:rsid w:val="743D3AC4"/>
    <w:rsid w:val="744E663A"/>
    <w:rsid w:val="745368A0"/>
    <w:rsid w:val="747D20BB"/>
    <w:rsid w:val="74A11E7D"/>
    <w:rsid w:val="74AE727B"/>
    <w:rsid w:val="74EC1DD5"/>
    <w:rsid w:val="75590B0A"/>
    <w:rsid w:val="75647B4C"/>
    <w:rsid w:val="758075D4"/>
    <w:rsid w:val="7582279F"/>
    <w:rsid w:val="75843EB5"/>
    <w:rsid w:val="75BB71AF"/>
    <w:rsid w:val="75F01962"/>
    <w:rsid w:val="760E19DF"/>
    <w:rsid w:val="762A586E"/>
    <w:rsid w:val="764E52E0"/>
    <w:rsid w:val="76557F3E"/>
    <w:rsid w:val="76676A53"/>
    <w:rsid w:val="76A3294D"/>
    <w:rsid w:val="76B620A1"/>
    <w:rsid w:val="76D0016F"/>
    <w:rsid w:val="76D4359C"/>
    <w:rsid w:val="76E51777"/>
    <w:rsid w:val="76F20814"/>
    <w:rsid w:val="77050D7C"/>
    <w:rsid w:val="77462524"/>
    <w:rsid w:val="77854826"/>
    <w:rsid w:val="778A071F"/>
    <w:rsid w:val="779A6594"/>
    <w:rsid w:val="77A21064"/>
    <w:rsid w:val="77BE04D4"/>
    <w:rsid w:val="77E34EB2"/>
    <w:rsid w:val="781564B8"/>
    <w:rsid w:val="78224ACF"/>
    <w:rsid w:val="783751ED"/>
    <w:rsid w:val="787C3EEC"/>
    <w:rsid w:val="789A00FF"/>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862E9"/>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910439"/>
    <w:rsid w:val="7DAA6C39"/>
    <w:rsid w:val="7DB23041"/>
    <w:rsid w:val="7DC600E3"/>
    <w:rsid w:val="7DD86484"/>
    <w:rsid w:val="7E163D6A"/>
    <w:rsid w:val="7E2120FB"/>
    <w:rsid w:val="7E412630"/>
    <w:rsid w:val="7E5F7809"/>
    <w:rsid w:val="7E870BA6"/>
    <w:rsid w:val="7EC06781"/>
    <w:rsid w:val="7ED56C53"/>
    <w:rsid w:val="7EEA1BAF"/>
    <w:rsid w:val="7F20421C"/>
    <w:rsid w:val="7F5460D4"/>
    <w:rsid w:val="7F552892"/>
    <w:rsid w:val="7F8F5B55"/>
    <w:rsid w:val="7FDA7E7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6"/>
    <w:qFormat/>
    <w:uiPriority w:val="9"/>
    <w:pPr>
      <w:keepNext/>
      <w:keepLines/>
      <w:jc w:val="center"/>
      <w:outlineLvl w:val="0"/>
    </w:pPr>
    <w:rPr>
      <w:b/>
      <w:bCs/>
      <w:kern w:val="44"/>
      <w:sz w:val="36"/>
      <w:szCs w:val="44"/>
    </w:rPr>
  </w:style>
  <w:style w:type="paragraph" w:styleId="5">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1"/>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4"/>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1"/>
    <w:qFormat/>
    <w:uiPriority w:val="0"/>
    <w:rPr>
      <w:b/>
    </w:rPr>
  </w:style>
  <w:style w:type="paragraph" w:styleId="34">
    <w:name w:val="Body Text First Indent 2"/>
    <w:basedOn w:val="14"/>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3"/>
    <w:qFormat/>
    <w:uiPriority w:val="9"/>
    <w:rPr>
      <w:rFonts w:ascii="Calibri" w:hAnsi="Calibri" w:eastAsia="宋体" w:cs="Times New Roman"/>
      <w:b/>
      <w:bCs/>
      <w:kern w:val="44"/>
      <w:sz w:val="36"/>
      <w:szCs w:val="44"/>
    </w:rPr>
  </w:style>
  <w:style w:type="character" w:customStyle="1" w:styleId="47">
    <w:name w:val="标题 2 字符"/>
    <w:basedOn w:val="37"/>
    <w:link w:val="5"/>
    <w:qFormat/>
    <w:uiPriority w:val="9"/>
    <w:rPr>
      <w:rFonts w:ascii="Arial" w:hAnsi="Arial" w:eastAsia="宋体" w:cs="Times New Roman"/>
      <w:b/>
      <w:bCs/>
      <w:sz w:val="24"/>
      <w:szCs w:val="32"/>
    </w:rPr>
  </w:style>
  <w:style w:type="character" w:customStyle="1" w:styleId="48">
    <w:name w:val="标题 3 字符"/>
    <w:basedOn w:val="37"/>
    <w:link w:val="6"/>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2"/>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4"/>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3"/>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2"/>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5"/>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6"/>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character" w:customStyle="1" w:styleId="135">
    <w:name w:val="font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66</Pages>
  <Words>27429</Words>
  <Characters>28947</Characters>
  <Lines>305</Lines>
  <Paragraphs>86</Paragraphs>
  <TotalTime>21</TotalTime>
  <ScaleCrop>false</ScaleCrop>
  <LinksUpToDate>false</LinksUpToDate>
  <CharactersWithSpaces>35013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h</cp:lastModifiedBy>
  <cp:lastPrinted>2022-07-01T11:19:00Z</cp:lastPrinted>
  <dcterms:modified xsi:type="dcterms:W3CDTF">2024-12-27T08:28:28Z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ED02EB12B8294FE5807EAA5D2C3C24E0</vt:lpwstr>
  </property>
</Properties>
</file>