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重汽（重庆）轻型汽车有限公司</w:t>
      </w:r>
    </w:p>
    <w:p>
      <w:pPr>
        <w:snapToGrid w:val="0"/>
        <w:jc w:val="center"/>
        <w:rPr>
          <w:b/>
          <w:sz w:val="36"/>
          <w:szCs w:val="72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商品车运输管理办法</w:t>
      </w:r>
    </w:p>
    <w:p>
      <w:pPr>
        <w:snapToGrid w:val="0"/>
        <w:spacing w:line="360" w:lineRule="auto"/>
        <w:jc w:val="center"/>
        <w:rPr>
          <w:rFonts w:ascii="仿宋" w:hAnsi="仿宋" w:eastAsia="仿宋" w:cs="Tahoma"/>
          <w:kern w:val="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111125</wp:posOffset>
                </wp:positionV>
                <wp:extent cx="6305550" cy="0"/>
                <wp:effectExtent l="0" t="0" r="19050" b="19050"/>
                <wp:wrapNone/>
                <wp:docPr id="4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-3.75pt;margin-top:8.75pt;height:0pt;width:496.5pt;z-index:251659264;mso-width-relative:page;mso-height-relative:page;" filled="f" stroked="t" coordsize="21600,21600" o:gfxdata="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/vxa7NQAAAAIAQAADwAAAAAAAAABACAAAAAi&#10;AAAAZHJzL2Rvd25yZXYueG1sUEsBAhQAFAAAAAgAh07iQDbHpB/VAQAAsgMAAA4AAAAAAAAAAQAg&#10;AAAAI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cs="Tahoma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Tahoma" w:asciiTheme="majorEastAsia" w:hAnsiTheme="majorEastAsia" w:eastAsiaTheme="majorEastAsia"/>
          <w:kern w:val="0"/>
          <w:sz w:val="24"/>
          <w:szCs w:val="24"/>
        </w:rPr>
        <w:t>为了加强厂商之间的紧密协作，不断提高承运商的运营能力、提升物流服务质量、降低运输成本，做到精益物流，达到双赢目的，特制订本办法。</w:t>
      </w:r>
    </w:p>
    <w:p>
      <w:pPr>
        <w:snapToGrid w:val="0"/>
        <w:spacing w:line="360" w:lineRule="auto"/>
        <w:rPr>
          <w:rFonts w:cs="Tahoma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Tahoma" w:asciiTheme="majorEastAsia" w:hAnsiTheme="majorEastAsia" w:eastAsiaTheme="majorEastAsia"/>
          <w:kern w:val="0"/>
          <w:sz w:val="24"/>
          <w:szCs w:val="24"/>
        </w:rPr>
        <w:t>一、适用对象：各承运商</w:t>
      </w:r>
    </w:p>
    <w:p>
      <w:pPr>
        <w:snapToGrid w:val="0"/>
        <w:spacing w:line="360" w:lineRule="auto"/>
        <w:rPr>
          <w:rFonts w:cs="Tahoma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Tahoma" w:asciiTheme="majorEastAsia" w:hAnsiTheme="majorEastAsia" w:eastAsiaTheme="majorEastAsia"/>
          <w:kern w:val="0"/>
          <w:sz w:val="24"/>
          <w:szCs w:val="24"/>
        </w:rPr>
        <w:t>二、具体办法</w:t>
      </w:r>
    </w:p>
    <w:p>
      <w:pPr>
        <w:pStyle w:val="8"/>
        <w:numPr>
          <w:ilvl w:val="0"/>
          <w:numId w:val="1"/>
        </w:numPr>
        <w:snapToGrid w:val="0"/>
        <w:spacing w:line="360" w:lineRule="auto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启运管理:</w:t>
      </w:r>
    </w:p>
    <w:p>
      <w:pPr>
        <w:pStyle w:val="8"/>
        <w:numPr>
          <w:ilvl w:val="0"/>
          <w:numId w:val="2"/>
        </w:numPr>
        <w:snapToGrid w:val="0"/>
        <w:spacing w:line="360" w:lineRule="auto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承运商需每日提供可装载车辆及装载能力信息表；</w:t>
      </w:r>
    </w:p>
    <w:p>
      <w:pPr>
        <w:pStyle w:val="8"/>
        <w:numPr>
          <w:ilvl w:val="0"/>
          <w:numId w:val="2"/>
        </w:numPr>
        <w:snapToGrid w:val="0"/>
        <w:spacing w:line="360" w:lineRule="auto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启运时间要求：</w:t>
      </w:r>
    </w:p>
    <w:tbl>
      <w:tblPr>
        <w:tblStyle w:val="5"/>
        <w:tblW w:w="89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701"/>
        <w:gridCol w:w="2268"/>
        <w:gridCol w:w="30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运输方式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订单辆数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启运时长（天）</w:t>
            </w:r>
          </w:p>
        </w:tc>
        <w:tc>
          <w:tcPr>
            <w:tcW w:w="3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公路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1-2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≤4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计划通知后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3-4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≤3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计划通知后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5-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≤2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计划通知后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≤1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计划通知后</w:t>
            </w:r>
          </w:p>
        </w:tc>
      </w:tr>
    </w:tbl>
    <w:p>
      <w:pPr>
        <w:snapToGrid w:val="0"/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备注：</w:t>
      </w:r>
    </w:p>
    <w:p>
      <w:pPr>
        <w:snapToGrid w:val="0"/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a、承运商在商品车启运后按500公里/天进行计算；</w:t>
      </w:r>
    </w:p>
    <w:p>
      <w:pPr>
        <w:snapToGrid w:val="0"/>
        <w:spacing w:line="360" w:lineRule="auto"/>
        <w:ind w:firstLine="240" w:firstLineChars="1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b、若整备返修，则启运时长顺延。</w:t>
      </w:r>
    </w:p>
    <w:p>
      <w:pPr>
        <w:snapToGrid w:val="0"/>
        <w:spacing w:line="360" w:lineRule="auto"/>
        <w:ind w:firstLine="240" w:firstLineChars="1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C、单板运输的启运时间按整板运输启运时间计算。</w:t>
      </w:r>
    </w:p>
    <w:p>
      <w:pPr>
        <w:snapToGrid w:val="0"/>
        <w:spacing w:line="360" w:lineRule="auto"/>
        <w:ind w:firstLine="240" w:firstLineChars="1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d、人工驾送启运时间按计划下达后2天开始计算。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超过规定启运时长的，按逾期启运时长累加考核，标准如下：</w:t>
      </w:r>
    </w:p>
    <w:tbl>
      <w:tblPr>
        <w:tblStyle w:val="6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977"/>
        <w:gridCol w:w="3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处罚标准</w:t>
            </w:r>
          </w:p>
        </w:tc>
        <w:tc>
          <w:tcPr>
            <w:tcW w:w="3627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第1-3天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按100元/天/辆</w:t>
            </w:r>
          </w:p>
        </w:tc>
        <w:tc>
          <w:tcPr>
            <w:tcW w:w="3627" w:type="dxa"/>
            <w:vMerge w:val="restart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1、不足24小时的按1天计算；</w:t>
            </w:r>
          </w:p>
          <w:p>
            <w:pPr>
              <w:widowControl/>
              <w:snapToGrid w:val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2、考核费用在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保证金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扣除。(三个工作日之内补齐保证金)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第4-6天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按200元/天/辆</w:t>
            </w:r>
          </w:p>
        </w:tc>
        <w:tc>
          <w:tcPr>
            <w:tcW w:w="36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第7天起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按300元/天/辆</w:t>
            </w:r>
          </w:p>
        </w:tc>
        <w:tc>
          <w:tcPr>
            <w:tcW w:w="36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2.装载管理</w:t>
      </w:r>
    </w:p>
    <w:p>
      <w:pPr>
        <w:pStyle w:val="8"/>
        <w:numPr>
          <w:ilvl w:val="0"/>
          <w:numId w:val="3"/>
        </w:numPr>
        <w:snapToGrid w:val="0"/>
        <w:spacing w:line="360" w:lineRule="auto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严禁装载人员进入商品车停放区域,违者罚款50元；</w:t>
      </w:r>
    </w:p>
    <w:p>
      <w:pPr>
        <w:pStyle w:val="8"/>
        <w:numPr>
          <w:ilvl w:val="0"/>
          <w:numId w:val="3"/>
        </w:numPr>
        <w:snapToGrid w:val="0"/>
        <w:spacing w:line="360" w:lineRule="auto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装载人员在厂区内行驶速度不能超过15km/h,违者罚款50元。造成事故，事故损失由该物流公司承担，损坏的商品车辆由物流公司赔偿或买断，并追加1000元罚款；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承运商必须确保承运车辆正常保养、车况良好，严禁将车况不良的运输车辆调配使用。严禁驾驶员在我公司装车场地内吸烟、乱扔废弃物，禁止驾驶员在商品车内吸烟、休息。一经发现，对承运商按500元/次罚款；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严禁装载车辆驶上水泥地面,违者罚款200元(地面压坏者修复地面)；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商品车装载后，若中途因其他原因不能按照运输周期内到达目的地，需将装载商品车负极拔掉，避免商品车出现亏电现象。若因运输时间过长，且负极未拔导致商品车电瓶亏电，按原价进行赔偿，并给予300元/台处罚。</w:t>
      </w:r>
    </w:p>
    <w:p>
      <w:pPr>
        <w:adjustRightInd w:val="0"/>
        <w:snapToGrid w:val="0"/>
        <w:spacing w:line="360" w:lineRule="auto"/>
        <w:ind w:left="14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3.运输过程管理</w:t>
      </w:r>
    </w:p>
    <w:p>
      <w:pPr>
        <w:pStyle w:val="8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承运商</w:t>
      </w:r>
      <w:r>
        <w:rPr>
          <w:rFonts w:asciiTheme="majorEastAsia" w:hAnsiTheme="majorEastAsia" w:eastAsiaTheme="majorEastAsia"/>
          <w:sz w:val="24"/>
          <w:szCs w:val="24"/>
        </w:rPr>
        <w:t>应按要求的内容、形式每天</w:t>
      </w:r>
      <w:r>
        <w:rPr>
          <w:rFonts w:hint="eastAsia" w:asciiTheme="majorEastAsia" w:hAnsiTheme="majorEastAsia" w:eastAsiaTheme="majorEastAsia"/>
          <w:sz w:val="24"/>
          <w:szCs w:val="24"/>
        </w:rPr>
        <w:t>填报</w:t>
      </w:r>
      <w:r>
        <w:rPr>
          <w:rFonts w:asciiTheme="majorEastAsia" w:hAnsiTheme="majorEastAsia" w:eastAsiaTheme="majorEastAsia"/>
          <w:sz w:val="24"/>
          <w:szCs w:val="24"/>
        </w:rPr>
        <w:t>车辆</w:t>
      </w:r>
      <w:r>
        <w:rPr>
          <w:rFonts w:hint="eastAsia" w:asciiTheme="majorEastAsia" w:hAnsiTheme="majorEastAsia" w:eastAsiaTheme="majorEastAsia"/>
          <w:sz w:val="24"/>
          <w:szCs w:val="24"/>
        </w:rPr>
        <w:t>在途跟踪记录，</w:t>
      </w:r>
      <w:r>
        <w:rPr>
          <w:rFonts w:asciiTheme="majorEastAsia" w:hAnsiTheme="majorEastAsia" w:eastAsiaTheme="majorEastAsia"/>
          <w:sz w:val="24"/>
          <w:szCs w:val="24"/>
        </w:rPr>
        <w:t>不得虚报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asciiTheme="majorEastAsia" w:hAnsiTheme="majorEastAsia" w:eastAsiaTheme="majorEastAsia"/>
          <w:sz w:val="24"/>
          <w:szCs w:val="24"/>
        </w:rPr>
        <w:t>假报</w:t>
      </w:r>
      <w:r>
        <w:rPr>
          <w:rFonts w:hint="eastAsia" w:asciiTheme="majorEastAsia" w:hAnsiTheme="majorEastAsia" w:eastAsiaTheme="majorEastAsia"/>
          <w:sz w:val="24"/>
          <w:szCs w:val="24"/>
        </w:rPr>
        <w:t>，以便我公司和经销商查询车辆在途情况。</w:t>
      </w:r>
      <w:r>
        <w:rPr>
          <w:rFonts w:asciiTheme="majorEastAsia" w:hAnsiTheme="majorEastAsia" w:eastAsiaTheme="majorEastAsia"/>
          <w:sz w:val="24"/>
          <w:szCs w:val="24"/>
        </w:rPr>
        <w:t>如发现虚报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asciiTheme="majorEastAsia" w:hAnsiTheme="majorEastAsia" w:eastAsiaTheme="majorEastAsia"/>
          <w:sz w:val="24"/>
          <w:szCs w:val="24"/>
        </w:rPr>
        <w:t>假报，</w:t>
      </w:r>
      <w:r>
        <w:rPr>
          <w:rFonts w:hint="eastAsia" w:asciiTheme="majorEastAsia" w:hAnsiTheme="majorEastAsia" w:eastAsiaTheme="majorEastAsia"/>
          <w:sz w:val="24"/>
          <w:szCs w:val="24"/>
        </w:rPr>
        <w:t>对</w:t>
      </w:r>
      <w:r>
        <w:rPr>
          <w:rFonts w:asciiTheme="majorEastAsia" w:hAnsiTheme="majorEastAsia" w:eastAsiaTheme="majorEastAsia"/>
          <w:sz w:val="24"/>
          <w:szCs w:val="24"/>
        </w:rPr>
        <w:t>承运商</w:t>
      </w:r>
      <w:r>
        <w:rPr>
          <w:rFonts w:hint="eastAsia" w:asciiTheme="majorEastAsia" w:hAnsiTheme="majorEastAsia" w:eastAsiaTheme="majorEastAsia"/>
          <w:sz w:val="24"/>
          <w:szCs w:val="24"/>
        </w:rPr>
        <w:t>按100元/条进行罚款；</w:t>
      </w:r>
    </w:p>
    <w:p>
      <w:pPr>
        <w:pStyle w:val="8"/>
        <w:numPr>
          <w:ilvl w:val="0"/>
          <w:numId w:val="4"/>
        </w:numPr>
        <w:snapToGrid w:val="0"/>
        <w:spacing w:line="360" w:lineRule="auto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车辆启运后，驾驶员务必保持通讯畅通，</w:t>
      </w:r>
      <w:r>
        <w:rPr>
          <w:rFonts w:asciiTheme="majorEastAsia" w:hAnsiTheme="majorEastAsia" w:eastAsiaTheme="majorEastAsia"/>
          <w:sz w:val="24"/>
          <w:szCs w:val="24"/>
        </w:rPr>
        <w:t>发现一次联络不通，</w:t>
      </w:r>
      <w:r>
        <w:rPr>
          <w:rFonts w:hint="eastAsia" w:asciiTheme="majorEastAsia" w:hAnsiTheme="majorEastAsia" w:eastAsiaTheme="majorEastAsia"/>
          <w:sz w:val="24"/>
          <w:szCs w:val="24"/>
        </w:rPr>
        <w:t>间隔10分钟再联系一次，若仍然联系不上则按</w:t>
      </w:r>
      <w:r>
        <w:rPr>
          <w:rFonts w:asciiTheme="majorEastAsia" w:hAnsiTheme="majorEastAsia" w:eastAsiaTheme="majorEastAsia"/>
          <w:sz w:val="24"/>
          <w:szCs w:val="24"/>
        </w:rPr>
        <w:t>100元</w:t>
      </w:r>
      <w:r>
        <w:rPr>
          <w:rFonts w:hint="eastAsia" w:asciiTheme="majorEastAsia" w:hAnsiTheme="majorEastAsia" w:eastAsiaTheme="majorEastAsia"/>
          <w:sz w:val="24"/>
          <w:szCs w:val="24"/>
        </w:rPr>
        <w:t>/次进行考核</w:t>
      </w:r>
      <w:r>
        <w:rPr>
          <w:rFonts w:asciiTheme="majorEastAsia" w:hAnsiTheme="majorEastAsia" w:eastAsiaTheme="majorEastAsia"/>
          <w:sz w:val="24"/>
          <w:szCs w:val="24"/>
        </w:rPr>
        <w:t>。</w:t>
      </w:r>
    </w:p>
    <w:p>
      <w:pPr>
        <w:pStyle w:val="8"/>
        <w:numPr>
          <w:ilvl w:val="0"/>
          <w:numId w:val="4"/>
        </w:numPr>
        <w:snapToGrid w:val="0"/>
        <w:spacing w:line="360" w:lineRule="auto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运输周期参照《运输周期考核表》执行。按500公里/天计算；逾期按500元/天予以处罚，在运费中扣除。遇不可抗力致使不能按期到达目的地的，须及时电话通知重汽汽车整车发运室，并由承运商代表向重汽汽车整车发运室提交书面备案。未书面备案的，按正常运输周期进行考核。</w:t>
      </w:r>
    </w:p>
    <w:p>
      <w:pPr>
        <w:pStyle w:val="8"/>
        <w:numPr>
          <w:ilvl w:val="0"/>
          <w:numId w:val="4"/>
        </w:numPr>
        <w:snapToGrid w:val="0"/>
        <w:spacing w:line="360" w:lineRule="auto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承运商接车后，严禁驾驶员无证驾驶，严禁将商品车挪作它用。如有上述违规行为，视情节轻重给予承运商1000-3000元罚款或停业整顿一个月处罚；影响交付的，承运商须买断该车辆。</w:t>
      </w:r>
    </w:p>
    <w:p>
      <w:pPr>
        <w:pStyle w:val="8"/>
        <w:numPr>
          <w:ilvl w:val="0"/>
          <w:numId w:val="4"/>
        </w:numPr>
        <w:snapToGrid w:val="0"/>
        <w:spacing w:line="360" w:lineRule="auto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运输途中若发现运输车辆故障或驾送的商品车出现故障，承运商驾驶员应及时排除，严禁带病行驶。</w:t>
      </w:r>
    </w:p>
    <w:p>
      <w:pPr>
        <w:pStyle w:val="8"/>
        <w:numPr>
          <w:ilvl w:val="0"/>
          <w:numId w:val="4"/>
        </w:numPr>
        <w:snapToGrid w:val="0"/>
        <w:spacing w:line="360" w:lineRule="auto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cs="仿宋" w:asciiTheme="majorEastAsia" w:hAnsiTheme="majorEastAsia" w:eastAsiaTheme="majorEastAsia"/>
          <w:sz w:val="24"/>
          <w:szCs w:val="24"/>
        </w:rPr>
        <w:t>因运输过程造成的损失，由承运商自行承担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>
      <w:pPr>
        <w:pStyle w:val="8"/>
        <w:numPr>
          <w:ilvl w:val="0"/>
          <w:numId w:val="4"/>
        </w:numPr>
        <w:snapToGrid w:val="0"/>
        <w:spacing w:line="360" w:lineRule="auto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严禁承运商及驾驶员在运输途中擅自修理商品车，违犯者罚款5000元，并对所属承运商停业整顿一月。</w:t>
      </w:r>
    </w:p>
    <w:p>
      <w:pPr>
        <w:pStyle w:val="8"/>
        <w:numPr>
          <w:ilvl w:val="0"/>
          <w:numId w:val="4"/>
        </w:numPr>
        <w:snapToGrid w:val="0"/>
        <w:spacing w:line="360" w:lineRule="auto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承运商应加强管理降低事故率，如连续3个月内统计事故率超过0.3%，先停运整顿，整顿措施经我公司认可通过后，再恢复正常的运输业务。</w:t>
      </w:r>
    </w:p>
    <w:p>
      <w:pPr>
        <w:snapToGrid w:val="0"/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4.交车管控</w:t>
      </w:r>
    </w:p>
    <w:p>
      <w:pPr>
        <w:pStyle w:val="8"/>
        <w:numPr>
          <w:ilvl w:val="0"/>
          <w:numId w:val="5"/>
        </w:numPr>
        <w:snapToGrid w:val="0"/>
        <w:spacing w:line="360" w:lineRule="auto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对</w:t>
      </w:r>
      <w:r>
        <w:rPr>
          <w:rFonts w:hint="eastAsia" w:asciiTheme="majorEastAsia" w:hAnsiTheme="majorEastAsia" w:eastAsiaTheme="majorEastAsia"/>
          <w:sz w:val="24"/>
          <w:szCs w:val="24"/>
        </w:rPr>
        <w:t>公司</w:t>
      </w:r>
      <w:r>
        <w:rPr>
          <w:rFonts w:asciiTheme="majorEastAsia" w:hAnsiTheme="majorEastAsia" w:eastAsiaTheme="majorEastAsia"/>
          <w:sz w:val="24"/>
          <w:szCs w:val="24"/>
        </w:rPr>
        <w:t>的《</w:t>
      </w:r>
      <w:r>
        <w:rPr>
          <w:rFonts w:hint="eastAsia" w:asciiTheme="majorEastAsia" w:hAnsiTheme="majorEastAsia" w:eastAsiaTheme="majorEastAsia"/>
          <w:sz w:val="24"/>
          <w:szCs w:val="24"/>
        </w:rPr>
        <w:t>商品车点检及</w:t>
      </w:r>
      <w:r>
        <w:rPr>
          <w:rFonts w:asciiTheme="majorEastAsia" w:hAnsiTheme="majorEastAsia" w:eastAsiaTheme="majorEastAsia"/>
          <w:sz w:val="24"/>
          <w:szCs w:val="24"/>
        </w:rPr>
        <w:t>交接单》，</w:t>
      </w:r>
      <w:r>
        <w:rPr>
          <w:rFonts w:hint="eastAsia" w:asciiTheme="majorEastAsia" w:hAnsiTheme="majorEastAsia" w:eastAsiaTheme="majorEastAsia"/>
          <w:sz w:val="24"/>
          <w:szCs w:val="24"/>
        </w:rPr>
        <w:t>承运商及驾驶员</w:t>
      </w:r>
      <w:r>
        <w:rPr>
          <w:rFonts w:asciiTheme="majorEastAsia" w:hAnsiTheme="majorEastAsia" w:eastAsiaTheme="majorEastAsia"/>
          <w:sz w:val="24"/>
          <w:szCs w:val="24"/>
        </w:rPr>
        <w:t>不得随意填写或涂改，如违反，</w:t>
      </w:r>
      <w:r>
        <w:rPr>
          <w:rFonts w:hint="eastAsia" w:asciiTheme="majorEastAsia" w:hAnsiTheme="majorEastAsia" w:eastAsiaTheme="majorEastAsia"/>
          <w:sz w:val="24"/>
          <w:szCs w:val="24"/>
        </w:rPr>
        <w:t>视情节</w:t>
      </w:r>
      <w:r>
        <w:rPr>
          <w:rFonts w:asciiTheme="majorEastAsia" w:hAnsiTheme="majorEastAsia" w:eastAsiaTheme="majorEastAsia"/>
          <w:sz w:val="24"/>
          <w:szCs w:val="24"/>
        </w:rPr>
        <w:t>罚款200-2000元。</w:t>
      </w:r>
    </w:p>
    <w:p>
      <w:pPr>
        <w:pStyle w:val="8"/>
        <w:numPr>
          <w:ilvl w:val="0"/>
          <w:numId w:val="5"/>
        </w:numPr>
        <w:snapToGrid w:val="0"/>
        <w:spacing w:line="360" w:lineRule="auto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《</w:t>
      </w:r>
      <w:r>
        <w:rPr>
          <w:rFonts w:hint="eastAsia" w:asciiTheme="majorEastAsia" w:hAnsiTheme="majorEastAsia" w:eastAsiaTheme="majorEastAsia"/>
          <w:sz w:val="24"/>
          <w:szCs w:val="24"/>
        </w:rPr>
        <w:t>商品车点检及</w:t>
      </w:r>
      <w:r>
        <w:rPr>
          <w:rFonts w:asciiTheme="majorEastAsia" w:hAnsiTheme="majorEastAsia" w:eastAsiaTheme="majorEastAsia"/>
          <w:sz w:val="24"/>
          <w:szCs w:val="24"/>
        </w:rPr>
        <w:t>交接单》</w:t>
      </w:r>
      <w:r>
        <w:rPr>
          <w:rFonts w:hint="eastAsia" w:asciiTheme="majorEastAsia" w:hAnsiTheme="majorEastAsia" w:eastAsiaTheme="majorEastAsia"/>
          <w:sz w:val="24"/>
          <w:szCs w:val="24"/>
        </w:rPr>
        <w:t>回执严禁造假，一经查实，该</w:t>
      </w:r>
      <w:r>
        <w:rPr>
          <w:rFonts w:asciiTheme="majorEastAsia" w:hAnsiTheme="majorEastAsia" w:eastAsiaTheme="majorEastAsia"/>
          <w:sz w:val="24"/>
          <w:szCs w:val="24"/>
        </w:rPr>
        <w:t>《</w:t>
      </w:r>
      <w:r>
        <w:rPr>
          <w:rFonts w:hint="eastAsia" w:asciiTheme="majorEastAsia" w:hAnsiTheme="majorEastAsia" w:eastAsiaTheme="majorEastAsia"/>
          <w:sz w:val="24"/>
          <w:szCs w:val="24"/>
        </w:rPr>
        <w:t>商品车点检及</w:t>
      </w:r>
      <w:r>
        <w:rPr>
          <w:rFonts w:asciiTheme="majorEastAsia" w:hAnsiTheme="majorEastAsia" w:eastAsiaTheme="majorEastAsia"/>
          <w:sz w:val="24"/>
          <w:szCs w:val="24"/>
        </w:rPr>
        <w:t>交接单》</w:t>
      </w:r>
      <w:r>
        <w:rPr>
          <w:rFonts w:hint="eastAsia" w:asciiTheme="majorEastAsia" w:hAnsiTheme="majorEastAsia" w:eastAsiaTheme="majorEastAsia"/>
          <w:sz w:val="24"/>
          <w:szCs w:val="24"/>
        </w:rPr>
        <w:t>公司有权不予结算。</w:t>
      </w:r>
    </w:p>
    <w:p>
      <w:pPr>
        <w:pStyle w:val="8"/>
        <w:numPr>
          <w:ilvl w:val="0"/>
          <w:numId w:val="5"/>
        </w:numPr>
        <w:snapToGrid w:val="0"/>
        <w:spacing w:line="360" w:lineRule="auto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《</w:t>
      </w:r>
      <w:r>
        <w:rPr>
          <w:rFonts w:hint="eastAsia" w:asciiTheme="majorEastAsia" w:hAnsiTheme="majorEastAsia" w:eastAsiaTheme="majorEastAsia"/>
          <w:sz w:val="24"/>
          <w:szCs w:val="24"/>
        </w:rPr>
        <w:t>商品车点检及</w:t>
      </w:r>
      <w:r>
        <w:rPr>
          <w:rFonts w:asciiTheme="majorEastAsia" w:hAnsiTheme="majorEastAsia" w:eastAsiaTheme="majorEastAsia"/>
          <w:sz w:val="24"/>
          <w:szCs w:val="24"/>
        </w:rPr>
        <w:t>交接单》</w:t>
      </w:r>
      <w:r>
        <w:rPr>
          <w:rFonts w:hint="eastAsia" w:asciiTheme="majorEastAsia" w:hAnsiTheme="majorEastAsia" w:eastAsiaTheme="majorEastAsia"/>
          <w:sz w:val="24"/>
          <w:szCs w:val="24"/>
        </w:rPr>
        <w:t>作为承运商运费结算的重要凭证，须妥善保管，该凭证一经打印，整车发运室一律不予补打，若须补打，按500元/单进行考核。</w:t>
      </w:r>
    </w:p>
    <w:p>
      <w:pPr>
        <w:pStyle w:val="8"/>
        <w:numPr>
          <w:ilvl w:val="0"/>
          <w:numId w:val="5"/>
        </w:numPr>
        <w:snapToGrid w:val="0"/>
        <w:spacing w:line="360" w:lineRule="auto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商品车送达目的地后，承运商驾驶员应将商品车辆清洗干净并进行必要检查，做好热情周到的交接工作，严禁做有损重汽汽车形象和利益的事。如损坏或丢失随车资料及有关手续，由承运商书面说明原因，并承担补办费用。 </w:t>
      </w:r>
    </w:p>
    <w:p>
      <w:pPr>
        <w:pStyle w:val="8"/>
        <w:snapToGrid w:val="0"/>
        <w:spacing w:line="360" w:lineRule="auto"/>
        <w:ind w:firstLine="0"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5.异地调动管理</w:t>
      </w:r>
    </w:p>
    <w:p>
      <w:pPr>
        <w:pStyle w:val="8"/>
        <w:snapToGrid w:val="0"/>
        <w:spacing w:line="360" w:lineRule="auto"/>
        <w:ind w:left="640" w:firstLine="50" w:firstLineChars="21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如有我公司的商品车在异地需要调动时，一经指派，承运商不得以任何理由不予承接（含我公司指定载带的其它货物）。如有违反，按3000元/次对承运商进行处罚（罚款用于奖励该项业务承运物流商）。</w:t>
      </w:r>
    </w:p>
    <w:p>
      <w:pPr>
        <w:pStyle w:val="8"/>
        <w:snapToGrid w:val="0"/>
        <w:spacing w:line="360" w:lineRule="auto"/>
        <w:ind w:left="140" w:firstLine="0"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6.考评管理</w:t>
      </w:r>
    </w:p>
    <w:p>
      <w:pPr>
        <w:pStyle w:val="8"/>
        <w:snapToGrid w:val="0"/>
        <w:spacing w:line="360" w:lineRule="auto"/>
        <w:ind w:left="640" w:firstLine="50" w:firstLineChars="21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每月对承运商进行一次考评，考评分数低于70分的，承运商需提交整改措施；连续3个月考评分数低于70分的，承运商停业整顿1个月（停业整顿的承运商所有运输线路交由分值高的承运商承运，运价按合同价执行）；年度考评分数（年度考评分=月度考总评分/考评总月份）低于70分的，取消承运商我公司承运资格。</w:t>
      </w:r>
    </w:p>
    <w:p>
      <w:pPr>
        <w:snapToGrid w:val="0"/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备注：《商品车运输管理办法》中所述考核、罚款均从承运商保证金中扣除(三个工作日之内补齐保证金)。</w:t>
      </w:r>
    </w:p>
    <w:p>
      <w:pPr>
        <w:pStyle w:val="4"/>
        <w:adjustRightInd w:val="0"/>
        <w:snapToGrid w:val="0"/>
        <w:spacing w:line="360" w:lineRule="auto"/>
        <w:ind w:firstLine="480" w:firstLineChars="200"/>
        <w:rPr>
          <w:rFonts w:cs="Times New Roman" w:asciiTheme="majorEastAsia" w:hAnsiTheme="majorEastAsia" w:eastAsiaTheme="majorEastAsia"/>
          <w:kern w:val="2"/>
        </w:rPr>
      </w:pPr>
      <w:r>
        <w:rPr>
          <w:rFonts w:hint="eastAsia" w:cs="Times New Roman" w:asciiTheme="majorEastAsia" w:hAnsiTheme="majorEastAsia" w:eastAsiaTheme="majorEastAsia"/>
          <w:kern w:val="2"/>
        </w:rPr>
        <w:t>三、</w:t>
      </w:r>
      <w:r>
        <w:rPr>
          <w:rFonts w:cs="Times New Roman" w:asciiTheme="majorEastAsia" w:hAnsiTheme="majorEastAsia" w:eastAsiaTheme="majorEastAsia"/>
          <w:kern w:val="2"/>
        </w:rPr>
        <w:t>本考核办法</w:t>
      </w:r>
      <w:r>
        <w:rPr>
          <w:rFonts w:hint="eastAsia" w:cs="Times New Roman" w:asciiTheme="majorEastAsia" w:hAnsiTheme="majorEastAsia" w:eastAsiaTheme="majorEastAsia"/>
          <w:kern w:val="2"/>
        </w:rPr>
        <w:t>自</w:t>
      </w:r>
      <w:r>
        <w:rPr>
          <w:rFonts w:hint="eastAsia" w:cs="Tahoma" w:asciiTheme="majorEastAsia" w:hAnsiTheme="majorEastAsia" w:eastAsiaTheme="majorEastAsia"/>
        </w:rPr>
        <w:t>运输合同签订之日起执行，</w:t>
      </w:r>
      <w:r>
        <w:rPr>
          <w:rFonts w:cs="Times New Roman" w:asciiTheme="majorEastAsia" w:hAnsiTheme="majorEastAsia" w:eastAsiaTheme="majorEastAsia"/>
          <w:kern w:val="2"/>
        </w:rPr>
        <w:t>最终解释权</w:t>
      </w:r>
      <w:r>
        <w:rPr>
          <w:rFonts w:hint="eastAsia" w:cs="Times New Roman" w:asciiTheme="majorEastAsia" w:hAnsiTheme="majorEastAsia" w:eastAsiaTheme="majorEastAsia"/>
          <w:kern w:val="2"/>
        </w:rPr>
        <w:t>归重汽（重庆）轻型汽车</w:t>
      </w:r>
      <w:r>
        <w:rPr>
          <w:rFonts w:cs="Times New Roman" w:asciiTheme="majorEastAsia" w:hAnsiTheme="majorEastAsia" w:eastAsiaTheme="majorEastAsia"/>
          <w:kern w:val="2"/>
        </w:rPr>
        <w:t>有限公司</w:t>
      </w:r>
      <w:r>
        <w:rPr>
          <w:rFonts w:hint="eastAsia" w:cs="Times New Roman" w:asciiTheme="majorEastAsia" w:hAnsiTheme="majorEastAsia" w:eastAsiaTheme="majorEastAsia"/>
          <w:kern w:val="2"/>
        </w:rPr>
        <w:t>所有</w:t>
      </w:r>
      <w:r>
        <w:rPr>
          <w:rFonts w:cs="Times New Roman" w:asciiTheme="majorEastAsia" w:hAnsiTheme="majorEastAsia" w:eastAsiaTheme="majorEastAsia"/>
          <w:kern w:val="2"/>
        </w:rPr>
        <w:t>。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92217444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>
            <w:pPr>
              <w:pStyle w:val="2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97A7E"/>
    <w:multiLevelType w:val="multilevel"/>
    <w:tmpl w:val="11797A7E"/>
    <w:lvl w:ilvl="0" w:tentative="0">
      <w:start w:val="1"/>
      <w:numFmt w:val="decimal"/>
      <w:lvlText w:val="（%1）"/>
      <w:lvlJc w:val="left"/>
      <w:pPr>
        <w:ind w:left="720" w:hanging="720"/>
      </w:pPr>
      <w:rPr>
        <w:rFonts w:ascii="仿宋" w:hAnsi="仿宋" w:eastAsia="仿宋" w:cs="Times New Roman"/>
        <w:lang w:val="en-US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0842246"/>
    <w:multiLevelType w:val="multilevel"/>
    <w:tmpl w:val="5084224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0"/>
      <w:numFmt w:val="bullet"/>
      <w:lvlText w:val="★"/>
      <w:lvlJc w:val="left"/>
      <w:pPr>
        <w:ind w:left="780" w:hanging="360"/>
      </w:pPr>
      <w:rPr>
        <w:rFonts w:hint="eastAsia" w:ascii="仿宋" w:hAnsi="仿宋" w:eastAsia="仿宋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A37857"/>
    <w:multiLevelType w:val="multilevel"/>
    <w:tmpl w:val="56A37857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311FB4"/>
    <w:multiLevelType w:val="multilevel"/>
    <w:tmpl w:val="58311FB4"/>
    <w:lvl w:ilvl="0" w:tentative="0">
      <w:start w:val="1"/>
      <w:numFmt w:val="decimal"/>
      <w:lvlText w:val="（%1）"/>
      <w:lvlJc w:val="left"/>
      <w:pPr>
        <w:ind w:left="720" w:hanging="720"/>
      </w:pPr>
      <w:rPr>
        <w:rFonts w:ascii="仿宋" w:hAnsi="仿宋" w:eastAsia="仿宋" w:cs="Times New Roman"/>
        <w:lang w:val="en-US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FD71821"/>
    <w:multiLevelType w:val="multilevel"/>
    <w:tmpl w:val="5FD71821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lMDE4NWJhZWVjYTM5ZTk5YTQ3YzU2NDVlOWY1ZjYifQ=="/>
    <w:docVar w:name="KSO_WPS_MARK_KEY" w:val="87cd3318-0b10-4e79-82a1-946dd416e6c5"/>
  </w:docVars>
  <w:rsids>
    <w:rsidRoot w:val="009A1C67"/>
    <w:rsid w:val="00057F95"/>
    <w:rsid w:val="000E1844"/>
    <w:rsid w:val="0015013E"/>
    <w:rsid w:val="00193D2F"/>
    <w:rsid w:val="00197F39"/>
    <w:rsid w:val="001A187F"/>
    <w:rsid w:val="00261145"/>
    <w:rsid w:val="002F7F25"/>
    <w:rsid w:val="003172B8"/>
    <w:rsid w:val="003462E3"/>
    <w:rsid w:val="00352C4F"/>
    <w:rsid w:val="003839E3"/>
    <w:rsid w:val="004E7969"/>
    <w:rsid w:val="004F1683"/>
    <w:rsid w:val="00504D18"/>
    <w:rsid w:val="00553152"/>
    <w:rsid w:val="00614CE6"/>
    <w:rsid w:val="00615CB8"/>
    <w:rsid w:val="006304CF"/>
    <w:rsid w:val="00682BD6"/>
    <w:rsid w:val="006A5717"/>
    <w:rsid w:val="006A791A"/>
    <w:rsid w:val="006B1056"/>
    <w:rsid w:val="00756ECE"/>
    <w:rsid w:val="00795076"/>
    <w:rsid w:val="007A5B7D"/>
    <w:rsid w:val="007D1326"/>
    <w:rsid w:val="007F3697"/>
    <w:rsid w:val="007F6647"/>
    <w:rsid w:val="0084036B"/>
    <w:rsid w:val="008472BB"/>
    <w:rsid w:val="00857985"/>
    <w:rsid w:val="00882EF2"/>
    <w:rsid w:val="008A61B4"/>
    <w:rsid w:val="00947E81"/>
    <w:rsid w:val="0097759E"/>
    <w:rsid w:val="009A1C67"/>
    <w:rsid w:val="009E7DBA"/>
    <w:rsid w:val="00A11E68"/>
    <w:rsid w:val="00A45345"/>
    <w:rsid w:val="00A52E93"/>
    <w:rsid w:val="00A5495C"/>
    <w:rsid w:val="00A57455"/>
    <w:rsid w:val="00A963DD"/>
    <w:rsid w:val="00AB11FC"/>
    <w:rsid w:val="00B26E6B"/>
    <w:rsid w:val="00B36F47"/>
    <w:rsid w:val="00B53CD3"/>
    <w:rsid w:val="00C30AC5"/>
    <w:rsid w:val="00C3312A"/>
    <w:rsid w:val="00CB498F"/>
    <w:rsid w:val="00CC537A"/>
    <w:rsid w:val="00CF1172"/>
    <w:rsid w:val="00D11D24"/>
    <w:rsid w:val="00D95BA0"/>
    <w:rsid w:val="00DA35AF"/>
    <w:rsid w:val="00DD1A56"/>
    <w:rsid w:val="00DD5FEE"/>
    <w:rsid w:val="00E00C21"/>
    <w:rsid w:val="00E00EA6"/>
    <w:rsid w:val="00E06200"/>
    <w:rsid w:val="00E30079"/>
    <w:rsid w:val="00EA1274"/>
    <w:rsid w:val="00EC43B5"/>
    <w:rsid w:val="00ED2359"/>
    <w:rsid w:val="00F361B7"/>
    <w:rsid w:val="00F4474E"/>
    <w:rsid w:val="00F84321"/>
    <w:rsid w:val="00FA3C8E"/>
    <w:rsid w:val="00FB73D1"/>
    <w:rsid w:val="00FD7161"/>
    <w:rsid w:val="00FE127B"/>
    <w:rsid w:val="00FF09BC"/>
    <w:rsid w:val="00FF4503"/>
    <w:rsid w:val="115619D2"/>
    <w:rsid w:val="146910FB"/>
    <w:rsid w:val="1BA84703"/>
    <w:rsid w:val="1EBC0380"/>
    <w:rsid w:val="2485548F"/>
    <w:rsid w:val="2B785887"/>
    <w:rsid w:val="2C7124E9"/>
    <w:rsid w:val="2F036A0D"/>
    <w:rsid w:val="2F1E6438"/>
    <w:rsid w:val="3C3011E6"/>
    <w:rsid w:val="4C2744D3"/>
    <w:rsid w:val="4EB9091F"/>
    <w:rsid w:val="52B70FD4"/>
    <w:rsid w:val="58AB2849"/>
    <w:rsid w:val="59AF7CEF"/>
    <w:rsid w:val="6CBA6009"/>
    <w:rsid w:val="75AD3FBB"/>
    <w:rsid w:val="7B3F7BF8"/>
    <w:rsid w:val="7E70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294</Words>
  <Characters>1677</Characters>
  <Lines>13</Lines>
  <Paragraphs>3</Paragraphs>
  <TotalTime>10</TotalTime>
  <ScaleCrop>false</ScaleCrop>
  <LinksUpToDate>false</LinksUpToDate>
  <CharactersWithSpaces>1968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2023-09-01T07:26:00Z</dcterms:created>
  <dc:creator>郑勇</dc:creator>
  <cp:lastModifiedBy>杨福祥</cp:lastModifiedBy>
  <cp:lastPrinted>2016-03-09T01:55:00Z</cp:lastPrinted>
  <dcterms:modified xsi:type="dcterms:W3CDTF">2024-09-12T08:39:46Z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9D53502786F94A85861B251E1268E75F</vt:lpwstr>
  </property>
</Properties>
</file>