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jc w:val="center"/>
        <w:rPr>
          <w:u w:val="single"/>
        </w:rPr>
      </w:pPr>
    </w:p>
    <w:p>
      <w:pPr>
        <w:ind w:firstLine="420"/>
        <w:jc w:val="center"/>
        <w:rPr>
          <w:u w:val="single"/>
        </w:rPr>
      </w:pPr>
    </w:p>
    <w:p>
      <w:pPr>
        <w:ind w:firstLine="420"/>
        <w:jc w:val="center"/>
        <w:rPr>
          <w:u w:val="single"/>
        </w:rPr>
      </w:pPr>
    </w:p>
    <w:p>
      <w:pPr>
        <w:ind w:firstLine="420"/>
        <w:jc w:val="center"/>
        <w:rPr>
          <w:u w:val="single"/>
        </w:rPr>
      </w:pPr>
    </w:p>
    <w:p>
      <w:pPr>
        <w:ind w:firstLine="420"/>
        <w:jc w:val="center"/>
        <w:rPr>
          <w:u w:val="single"/>
        </w:rPr>
      </w:pPr>
    </w:p>
    <w:p>
      <w:pPr>
        <w:ind w:firstLine="420"/>
        <w:jc w:val="center"/>
        <w:rPr>
          <w:u w:val="single"/>
        </w:rPr>
      </w:pPr>
    </w:p>
    <w:p>
      <w:pPr>
        <w:ind w:firstLine="420"/>
        <w:jc w:val="center"/>
        <w:rPr>
          <w:u w:val="single"/>
        </w:rPr>
      </w:pPr>
    </w:p>
    <w:p>
      <w:pPr>
        <w:ind w:firstLine="420"/>
        <w:jc w:val="center"/>
        <w:rPr>
          <w:u w:val="single"/>
        </w:rPr>
      </w:pPr>
    </w:p>
    <w:p>
      <w:pPr>
        <w:ind w:firstLine="420"/>
        <w:jc w:val="center"/>
        <w:rPr>
          <w:u w:val="single"/>
        </w:rPr>
      </w:pPr>
    </w:p>
    <w:p>
      <w:pPr>
        <w:ind w:firstLine="420"/>
        <w:jc w:val="center"/>
        <w:rPr>
          <w:u w:val="single"/>
        </w:rPr>
      </w:pPr>
    </w:p>
    <w:tbl>
      <w:tblPr>
        <w:tblStyle w:val="5"/>
        <w:tblW w:w="0" w:type="auto"/>
        <w:jc w:val="center"/>
        <w:tblBorders>
          <w:top w:val="none" w:color="auto" w:sz="0" w:space="0"/>
          <w:left w:val="none" w:color="auto" w:sz="0" w:space="0"/>
          <w:bottom w:val="single" w:color="000000" w:themeColor="text1" w:sz="12" w:space="0"/>
          <w:right w:val="none" w:color="auto" w:sz="0" w:space="0"/>
          <w:insideH w:val="single" w:color="000000" w:themeColor="text1" w:sz="12" w:space="0"/>
          <w:insideV w:val="none" w:color="auto" w:sz="0" w:space="0"/>
        </w:tblBorders>
        <w:tblLayout w:type="autofit"/>
        <w:tblCellMar>
          <w:top w:w="0" w:type="dxa"/>
          <w:left w:w="10" w:type="dxa"/>
          <w:bottom w:w="0" w:type="dxa"/>
          <w:right w:w="10" w:type="dxa"/>
        </w:tblCellMar>
      </w:tblPr>
      <w:tblGrid>
        <w:gridCol w:w="7796"/>
      </w:tblGrid>
      <w:tr>
        <w:tblPrEx>
          <w:tblBorders>
            <w:top w:val="none" w:color="auto" w:sz="0" w:space="0"/>
            <w:left w:val="none" w:color="auto" w:sz="0" w:space="0"/>
            <w:bottom w:val="single" w:color="000000" w:themeColor="text1" w:sz="12" w:space="0"/>
            <w:right w:val="none" w:color="auto" w:sz="0" w:space="0"/>
            <w:insideH w:val="single" w:color="000000" w:themeColor="text1" w:sz="12" w:space="0"/>
            <w:insideV w:val="none" w:color="auto" w:sz="0" w:space="0"/>
          </w:tblBorders>
          <w:tblCellMar>
            <w:top w:w="0" w:type="dxa"/>
            <w:left w:w="10" w:type="dxa"/>
            <w:bottom w:w="0" w:type="dxa"/>
            <w:right w:w="10" w:type="dxa"/>
          </w:tblCellMar>
        </w:tblPrEx>
        <w:trPr>
          <w:jc w:val="center"/>
        </w:trPr>
        <w:tc>
          <w:tcPr>
            <w:tcW w:w="7796" w:type="dxa"/>
          </w:tcPr>
          <w:p>
            <w:pPr>
              <w:jc w:val="center"/>
              <w:rPr>
                <w:b/>
                <w:bCs/>
                <w:sz w:val="52"/>
                <w:szCs w:val="52"/>
              </w:rPr>
            </w:pPr>
            <w:r>
              <w:rPr>
                <w:b/>
                <w:bCs/>
                <w:sz w:val="52"/>
                <w:szCs w:val="52"/>
              </w:rPr>
              <w:t>中国重汽集团</w:t>
            </w:r>
          </w:p>
          <w:p>
            <w:pPr>
              <w:jc w:val="center"/>
              <w:rPr>
                <w:b/>
                <w:sz w:val="52"/>
                <w:szCs w:val="52"/>
                <w:u w:val="single"/>
              </w:rPr>
            </w:pPr>
            <w:r>
              <w:rPr>
                <w:b/>
                <w:bCs/>
                <w:sz w:val="52"/>
                <w:szCs w:val="52"/>
              </w:rPr>
              <w:t>SRM</w:t>
            </w:r>
            <w:r>
              <w:rPr>
                <w:rFonts w:hint="eastAsia"/>
                <w:b/>
                <w:bCs/>
                <w:sz w:val="52"/>
                <w:szCs w:val="52"/>
              </w:rPr>
              <w:t>采购一体化</w:t>
            </w:r>
          </w:p>
        </w:tc>
      </w:tr>
      <w:tr>
        <w:tblPrEx>
          <w:tblBorders>
            <w:top w:val="none" w:color="auto" w:sz="0" w:space="0"/>
            <w:left w:val="none" w:color="auto" w:sz="0" w:space="0"/>
            <w:bottom w:val="single" w:color="000000" w:themeColor="text1" w:sz="12" w:space="0"/>
            <w:right w:val="none" w:color="auto" w:sz="0" w:space="0"/>
            <w:insideH w:val="single" w:color="000000" w:themeColor="text1" w:sz="12" w:space="0"/>
            <w:insideV w:val="none" w:color="auto" w:sz="0" w:space="0"/>
          </w:tblBorders>
          <w:tblCellMar>
            <w:top w:w="0" w:type="dxa"/>
            <w:left w:w="10" w:type="dxa"/>
            <w:bottom w:w="0" w:type="dxa"/>
            <w:right w:w="10" w:type="dxa"/>
          </w:tblCellMar>
        </w:tblPrEx>
        <w:trPr>
          <w:jc w:val="center"/>
        </w:trPr>
        <w:tc>
          <w:tcPr>
            <w:tcW w:w="7796" w:type="dxa"/>
          </w:tcPr>
          <w:p>
            <w:pPr>
              <w:ind w:firstLine="2088" w:firstLineChars="400"/>
              <w:rPr>
                <w:b/>
                <w:sz w:val="52"/>
                <w:szCs w:val="52"/>
                <w:u w:val="single"/>
              </w:rPr>
            </w:pPr>
            <w:r>
              <w:rPr>
                <w:rFonts w:hint="eastAsia"/>
                <w:b/>
                <w:sz w:val="52"/>
                <w:szCs w:val="52"/>
              </w:rPr>
              <w:t>系统用户手册</w:t>
            </w:r>
          </w:p>
        </w:tc>
      </w:tr>
    </w:tbl>
    <w:p>
      <w:pPr>
        <w:ind w:firstLine="3915" w:firstLineChars="750"/>
        <w:rPr>
          <w:b/>
          <w:sz w:val="52"/>
          <w:szCs w:val="52"/>
        </w:rPr>
      </w:pPr>
    </w:p>
    <w:p>
      <w:pPr>
        <w:ind w:firstLine="720"/>
        <w:jc w:val="center"/>
        <w:rPr>
          <w:sz w:val="36"/>
          <w:szCs w:val="36"/>
        </w:rPr>
      </w:pPr>
    </w:p>
    <w:p>
      <w:pPr>
        <w:ind w:firstLine="720"/>
        <w:jc w:val="center"/>
        <w:rPr>
          <w:sz w:val="36"/>
          <w:szCs w:val="36"/>
        </w:rPr>
      </w:pPr>
    </w:p>
    <w:tbl>
      <w:tblPr>
        <w:tblStyle w:val="5"/>
        <w:tblW w:w="0" w:type="auto"/>
        <w:tblInd w:w="0" w:type="dxa"/>
        <w:tblLayout w:type="autofit"/>
        <w:tblCellMar>
          <w:top w:w="0" w:type="dxa"/>
          <w:left w:w="10" w:type="dxa"/>
          <w:bottom w:w="0" w:type="dxa"/>
          <w:right w:w="10" w:type="dxa"/>
        </w:tblCellMar>
      </w:tblPr>
      <w:tblGrid>
        <w:gridCol w:w="8522"/>
      </w:tblGrid>
      <w:tr>
        <w:tblPrEx>
          <w:tblCellMar>
            <w:top w:w="0" w:type="dxa"/>
            <w:left w:w="10" w:type="dxa"/>
            <w:bottom w:w="0" w:type="dxa"/>
            <w:right w:w="10" w:type="dxa"/>
          </w:tblCellMar>
        </w:tblPrEx>
        <w:tc>
          <w:tcPr>
            <w:tcW w:w="8522" w:type="dxa"/>
          </w:tcPr>
          <w:p>
            <w:pPr>
              <w:widowControl/>
              <w:jc w:val="left"/>
              <w:rPr>
                <w:rFonts w:asciiTheme="majorEastAsia" w:hAnsiTheme="majorEastAsia" w:eastAsiaTheme="majorEastAsia"/>
                <w:b/>
                <w:sz w:val="32"/>
                <w:szCs w:val="32"/>
              </w:rPr>
            </w:pPr>
          </w:p>
          <w:p>
            <w:pPr>
              <w:widowControl/>
              <w:jc w:val="left"/>
              <w:rPr>
                <w:rFonts w:asciiTheme="majorEastAsia" w:hAnsiTheme="majorEastAsia" w:eastAsiaTheme="majorEastAsia"/>
                <w:b/>
                <w:sz w:val="32"/>
                <w:szCs w:val="32"/>
              </w:rPr>
            </w:pPr>
          </w:p>
          <w:p>
            <w:pPr>
              <w:widowControl/>
              <w:jc w:val="left"/>
              <w:rPr>
                <w:rFonts w:asciiTheme="majorEastAsia" w:hAnsiTheme="majorEastAsia" w:eastAsiaTheme="majorEastAsia"/>
                <w:b/>
                <w:sz w:val="32"/>
                <w:szCs w:val="32"/>
              </w:rPr>
            </w:pPr>
          </w:p>
          <w:p>
            <w:pPr>
              <w:widowControl/>
              <w:jc w:val="left"/>
              <w:rPr>
                <w:rFonts w:asciiTheme="majorEastAsia" w:hAnsiTheme="majorEastAsia" w:eastAsiaTheme="majorEastAsia"/>
                <w:b/>
                <w:sz w:val="32"/>
                <w:szCs w:val="32"/>
              </w:rPr>
            </w:pPr>
          </w:p>
          <w:p>
            <w:pPr>
              <w:widowControl/>
              <w:jc w:val="left"/>
              <w:rPr>
                <w:rFonts w:asciiTheme="majorEastAsia" w:hAnsiTheme="majorEastAsia" w:eastAsiaTheme="majorEastAsia"/>
                <w:b/>
                <w:sz w:val="32"/>
                <w:szCs w:val="32"/>
              </w:rPr>
            </w:pPr>
          </w:p>
          <w:p>
            <w:pPr>
              <w:widowControl/>
              <w:jc w:val="left"/>
              <w:rPr>
                <w:rFonts w:asciiTheme="majorEastAsia" w:hAnsiTheme="majorEastAsia" w:eastAsiaTheme="majorEastAsia"/>
                <w:b/>
                <w:sz w:val="32"/>
                <w:szCs w:val="32"/>
              </w:rPr>
            </w:pPr>
          </w:p>
          <w:p>
            <w:pPr>
              <w:widowControl/>
              <w:jc w:val="left"/>
              <w:rPr>
                <w:rFonts w:asciiTheme="majorEastAsia" w:hAnsiTheme="majorEastAsia" w:eastAsiaTheme="majorEastAsia"/>
                <w:b/>
                <w:sz w:val="32"/>
                <w:szCs w:val="32"/>
              </w:rPr>
            </w:pPr>
          </w:p>
          <w:p>
            <w:pPr>
              <w:widowControl/>
              <w:jc w:val="left"/>
              <w:rPr>
                <w:rFonts w:asciiTheme="majorEastAsia" w:hAnsiTheme="majorEastAsia" w:eastAsiaTheme="majorEastAsia"/>
                <w:b/>
                <w:sz w:val="32"/>
                <w:szCs w:val="32"/>
              </w:rPr>
            </w:pPr>
          </w:p>
          <w:p>
            <w:pPr>
              <w:widowControl/>
              <w:jc w:val="left"/>
              <w:rPr>
                <w:rFonts w:asciiTheme="majorEastAsia" w:hAnsiTheme="majorEastAsia" w:eastAsiaTheme="majorEastAsia"/>
                <w:b/>
                <w:sz w:val="32"/>
                <w:szCs w:val="32"/>
              </w:rPr>
            </w:pPr>
          </w:p>
          <w:p>
            <w:pPr>
              <w:widowControl/>
              <w:jc w:val="left"/>
              <w:rPr>
                <w:rFonts w:asciiTheme="majorEastAsia" w:hAnsiTheme="majorEastAsia" w:eastAsiaTheme="majorEastAsia"/>
                <w:b/>
                <w:sz w:val="32"/>
                <w:szCs w:val="32"/>
              </w:rPr>
            </w:pPr>
          </w:p>
        </w:tc>
      </w:tr>
      <w:tr>
        <w:tblPrEx>
          <w:tblCellMar>
            <w:top w:w="0" w:type="dxa"/>
            <w:left w:w="10" w:type="dxa"/>
            <w:bottom w:w="0" w:type="dxa"/>
            <w:right w:w="10" w:type="dxa"/>
          </w:tblCellMar>
        </w:tblPrEx>
        <w:tc>
          <w:tcPr>
            <w:tcW w:w="8522" w:type="dxa"/>
          </w:tcPr>
          <w:p>
            <w:pPr>
              <w:widowControl/>
              <w:ind w:firstLine="643"/>
              <w:jc w:val="center"/>
              <w:rPr>
                <w:rFonts w:asciiTheme="majorEastAsia" w:hAnsiTheme="majorEastAsia" w:eastAsiaTheme="majorEastAsia"/>
                <w:b/>
                <w:sz w:val="32"/>
                <w:szCs w:val="32"/>
              </w:rPr>
            </w:pPr>
          </w:p>
        </w:tc>
      </w:tr>
      <w:tr>
        <w:tblPrEx>
          <w:tblCellMar>
            <w:top w:w="0" w:type="dxa"/>
            <w:left w:w="10" w:type="dxa"/>
            <w:bottom w:w="0" w:type="dxa"/>
            <w:right w:w="10" w:type="dxa"/>
          </w:tblCellMar>
        </w:tblPrEx>
        <w:tc>
          <w:tcPr>
            <w:tcW w:w="8522" w:type="dxa"/>
          </w:tcPr>
          <w:p>
            <w:pPr>
              <w:widowControl/>
              <w:ind w:firstLine="643"/>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202</w:t>
            </w:r>
            <w:r>
              <w:rPr>
                <w:rFonts w:hint="eastAsia" w:asciiTheme="majorEastAsia" w:hAnsiTheme="majorEastAsia" w:eastAsiaTheme="majorEastAsia"/>
                <w:b/>
                <w:sz w:val="32"/>
                <w:szCs w:val="32"/>
                <w:lang w:val="en-US" w:eastAsia="zh-CN"/>
              </w:rPr>
              <w:t>4</w:t>
            </w:r>
            <w:r>
              <w:rPr>
                <w:rFonts w:hint="eastAsia" w:asciiTheme="majorEastAsia" w:hAnsiTheme="majorEastAsia" w:eastAsiaTheme="majorEastAsia"/>
                <w:b/>
                <w:sz w:val="32"/>
                <w:szCs w:val="32"/>
              </w:rPr>
              <w:t>年</w:t>
            </w:r>
            <w:r>
              <w:rPr>
                <w:rFonts w:hint="eastAsia" w:asciiTheme="majorEastAsia" w:hAnsiTheme="majorEastAsia" w:eastAsiaTheme="majorEastAsia"/>
                <w:b/>
                <w:sz w:val="32"/>
                <w:szCs w:val="32"/>
                <w:lang w:val="en-US" w:eastAsia="zh-CN"/>
              </w:rPr>
              <w:t>02</w:t>
            </w:r>
            <w:r>
              <w:rPr>
                <w:rFonts w:hint="eastAsia" w:asciiTheme="majorEastAsia" w:hAnsiTheme="majorEastAsia" w:eastAsiaTheme="majorEastAsia"/>
                <w:b/>
                <w:sz w:val="32"/>
                <w:szCs w:val="32"/>
              </w:rPr>
              <w:t>月</w:t>
            </w:r>
          </w:p>
        </w:tc>
      </w:tr>
    </w:tbl>
    <w:p>
      <w:pPr>
        <w:widowControl/>
        <w:ind w:firstLine="720"/>
        <w:jc w:val="left"/>
        <w:rPr>
          <w:sz w:val="36"/>
          <w:szCs w:val="36"/>
        </w:rPr>
      </w:pPr>
    </w:p>
    <w:p>
      <w:pPr>
        <w:widowControl/>
        <w:ind w:firstLine="720"/>
        <w:jc w:val="left"/>
        <w:rPr>
          <w:sz w:val="36"/>
          <w:szCs w:val="36"/>
        </w:rPr>
      </w:pPr>
      <w:r>
        <w:rPr>
          <w:sz w:val="36"/>
          <w:szCs w:val="36"/>
        </w:rPr>
        <w:br w:type="page"/>
      </w:r>
    </w:p>
    <w:p>
      <w:pPr>
        <w:tabs>
          <w:tab w:val="left" w:pos="360"/>
        </w:tabs>
        <w:spacing w:before="120" w:after="120" w:line="360" w:lineRule="auto"/>
        <w:ind w:left="360" w:firstLine="562"/>
        <w:rPr>
          <w:b/>
          <w:sz w:val="28"/>
          <w:szCs w:val="28"/>
        </w:rPr>
      </w:pPr>
      <w:r>
        <w:rPr>
          <w:rFonts w:hint="eastAsia"/>
          <w:b/>
          <w:sz w:val="28"/>
          <w:szCs w:val="28"/>
        </w:rPr>
        <w:t>保密声明</w:t>
      </w:r>
    </w:p>
    <w:p>
      <w:pPr>
        <w:spacing w:before="120" w:after="120" w:line="360" w:lineRule="auto"/>
        <w:ind w:left="210" w:leftChars="100" w:firstLine="440"/>
        <w:rPr>
          <w:rFonts w:hAnsi="Arial" w:cs="Arial"/>
          <w:color w:val="808080"/>
          <w:sz w:val="22"/>
          <w:szCs w:val="20"/>
          <w:lang w:val="en-GB"/>
        </w:rPr>
      </w:pPr>
      <w:r>
        <w:rPr>
          <w:rFonts w:hint="eastAsia" w:hAnsi="Arial" w:cs="Arial"/>
          <w:color w:val="808080"/>
          <w:sz w:val="22"/>
          <w:szCs w:val="20"/>
          <w:lang w:val="en-GB"/>
        </w:rPr>
        <w:t>此文档包含了</w:t>
      </w:r>
      <w:r>
        <w:rPr>
          <w:rFonts w:hint="eastAsia" w:ascii="宋体" w:hAnsi="宋体" w:cs="宋体"/>
          <w:color w:val="808080"/>
          <w:sz w:val="22"/>
          <w:szCs w:val="20"/>
          <w:lang w:val="de-DE"/>
        </w:rPr>
        <w:t>中国重汽集团S</w:t>
      </w:r>
      <w:r>
        <w:rPr>
          <w:rFonts w:ascii="宋体" w:hAnsi="宋体" w:cs="宋体"/>
          <w:color w:val="808080"/>
          <w:sz w:val="22"/>
          <w:szCs w:val="20"/>
          <w:lang w:val="de-DE"/>
        </w:rPr>
        <w:t>RM</w:t>
      </w:r>
      <w:r>
        <w:rPr>
          <w:rFonts w:hint="eastAsia" w:ascii="宋体" w:hAnsi="宋体" w:cs="宋体"/>
          <w:color w:val="808080"/>
          <w:sz w:val="22"/>
          <w:szCs w:val="20"/>
          <w:lang w:val="de-DE"/>
        </w:rPr>
        <w:t>采购一体化系统</w:t>
      </w:r>
      <w:r>
        <w:rPr>
          <w:rFonts w:hint="eastAsia" w:hAnsi="Arial" w:cs="Arial"/>
          <w:color w:val="808080"/>
          <w:sz w:val="22"/>
          <w:szCs w:val="20"/>
          <w:lang w:val="en-GB"/>
        </w:rPr>
        <w:t>的机密信息，其版权为</w:t>
      </w:r>
      <w:r>
        <w:rPr>
          <w:rFonts w:hint="eastAsia" w:ascii="宋体" w:hAnsi="宋体" w:cs="宋体"/>
          <w:color w:val="808080"/>
          <w:sz w:val="22"/>
          <w:szCs w:val="20"/>
          <w:lang w:val="de-DE"/>
        </w:rPr>
        <w:t>中国重汽集团数据工程中心</w:t>
      </w:r>
      <w:r>
        <w:rPr>
          <w:rFonts w:hint="eastAsia" w:hAnsi="Arial" w:cs="Arial"/>
          <w:color w:val="808080"/>
          <w:sz w:val="22"/>
          <w:szCs w:val="20"/>
          <w:lang w:val="en-GB"/>
        </w:rPr>
        <w:t>所有,并保留其所有解释权。在不限制版权许可的权利的情况下，未经</w:t>
      </w:r>
      <w:r>
        <w:rPr>
          <w:rFonts w:hint="eastAsia" w:ascii="宋体" w:hAnsi="宋体" w:cs="宋体"/>
          <w:color w:val="808080"/>
          <w:sz w:val="22"/>
          <w:szCs w:val="20"/>
          <w:lang w:val="de-DE"/>
        </w:rPr>
        <w:t>中国重汽集团数据工程中心</w:t>
      </w:r>
      <w:r>
        <w:rPr>
          <w:rFonts w:hint="eastAsia" w:hAnsi="Arial" w:cs="Arial"/>
          <w:color w:val="808080"/>
          <w:sz w:val="22"/>
          <w:szCs w:val="20"/>
          <w:lang w:val="en-GB"/>
        </w:rPr>
        <w:t>明确书面许可，不得出于任何目的、以任何形式或通过任何手段（电子、机械、复印、录制或其他方式）复制本文档的任何部分或将其存储或引入到检索系统中或进行传播。</w:t>
      </w:r>
    </w:p>
    <w:p>
      <w:pPr>
        <w:widowControl/>
        <w:ind w:firstLine="198" w:firstLineChars="90"/>
        <w:jc w:val="left"/>
        <w:rPr>
          <w:rFonts w:hAnsi="Arial" w:cs="Arial"/>
          <w:color w:val="808080"/>
          <w:sz w:val="22"/>
          <w:szCs w:val="20"/>
          <w:lang w:val="de-DE"/>
        </w:rPr>
      </w:pPr>
      <w:r>
        <w:rPr>
          <w:rFonts w:hAnsi="Arial" w:cs="Arial"/>
          <w:color w:val="808080"/>
          <w:sz w:val="22"/>
          <w:szCs w:val="20"/>
          <w:lang w:val="de-DE"/>
        </w:rPr>
        <w:br w:type="page"/>
      </w:r>
    </w:p>
    <w:p>
      <w:pPr>
        <w:spacing w:before="120" w:after="120" w:line="360" w:lineRule="auto"/>
        <w:rPr>
          <w:b/>
          <w:sz w:val="28"/>
          <w:szCs w:val="28"/>
        </w:rPr>
      </w:pPr>
      <w:r>
        <w:rPr>
          <w:b/>
          <w:sz w:val="28"/>
          <w:szCs w:val="28"/>
        </w:rPr>
        <w:t>文档</w:t>
      </w:r>
      <w:r>
        <w:rPr>
          <w:rFonts w:hint="eastAsia"/>
          <w:b/>
          <w:sz w:val="28"/>
          <w:szCs w:val="28"/>
        </w:rPr>
        <w:t>信息</w:t>
      </w:r>
    </w:p>
    <w:tbl>
      <w:tblPr>
        <w:tblStyle w:val="5"/>
        <w:tblW w:w="8949"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 w:type="dxa"/>
          <w:bottom w:w="0" w:type="dxa"/>
          <w:right w:w="10" w:type="dxa"/>
        </w:tblCellMar>
      </w:tblPr>
      <w:tblGrid>
        <w:gridCol w:w="1011"/>
        <w:gridCol w:w="1418"/>
        <w:gridCol w:w="3100"/>
        <w:gridCol w:w="34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blHeader/>
        </w:trPr>
        <w:tc>
          <w:tcPr>
            <w:tcW w:w="1011" w:type="dxa"/>
            <w:tcBorders>
              <w:top w:val="single" w:color="000000" w:sz="12" w:space="0"/>
            </w:tcBorders>
            <w:shd w:val="clear" w:color="auto" w:fill="E0E0E0"/>
          </w:tcPr>
          <w:p>
            <w:pPr>
              <w:widowControl/>
              <w:jc w:val="left"/>
              <w:rPr>
                <w:rFonts w:ascii="Arial" w:hAnsi="Arial" w:cs="Arial"/>
                <w:sz w:val="24"/>
              </w:rPr>
            </w:pPr>
            <w:r>
              <w:rPr>
                <w:rFonts w:ascii="Arial" w:hAnsi="Arial" w:cs="Arial"/>
                <w:sz w:val="24"/>
              </w:rPr>
              <w:t>Rev</w:t>
            </w:r>
          </w:p>
        </w:tc>
        <w:tc>
          <w:tcPr>
            <w:tcW w:w="1418" w:type="dxa"/>
            <w:tcBorders>
              <w:top w:val="single" w:color="000000" w:sz="12" w:space="0"/>
            </w:tcBorders>
            <w:shd w:val="clear" w:color="auto" w:fill="E0E0E0"/>
          </w:tcPr>
          <w:p>
            <w:pPr>
              <w:widowControl/>
              <w:jc w:val="left"/>
              <w:rPr>
                <w:rFonts w:ascii="Arial" w:hAnsi="Arial" w:cs="Arial"/>
                <w:sz w:val="24"/>
              </w:rPr>
            </w:pPr>
            <w:r>
              <w:rPr>
                <w:rFonts w:ascii="Arial" w:hAnsi="Arial" w:cs="Arial"/>
                <w:sz w:val="24"/>
              </w:rPr>
              <w:t>Date</w:t>
            </w:r>
          </w:p>
        </w:tc>
        <w:tc>
          <w:tcPr>
            <w:tcW w:w="3100" w:type="dxa"/>
            <w:tcBorders>
              <w:top w:val="single" w:color="000000" w:sz="12" w:space="0"/>
            </w:tcBorders>
            <w:shd w:val="clear" w:color="auto" w:fill="E0E0E0"/>
          </w:tcPr>
          <w:p>
            <w:pPr>
              <w:widowControl/>
              <w:jc w:val="left"/>
              <w:rPr>
                <w:rFonts w:ascii="Arial" w:hAnsi="Arial" w:cs="Arial"/>
                <w:sz w:val="24"/>
              </w:rPr>
            </w:pPr>
            <w:r>
              <w:rPr>
                <w:rFonts w:ascii="Arial" w:hAnsi="Arial" w:cs="Arial"/>
                <w:sz w:val="24"/>
              </w:rPr>
              <w:t>Change</w:t>
            </w:r>
          </w:p>
        </w:tc>
        <w:tc>
          <w:tcPr>
            <w:tcW w:w="3420" w:type="dxa"/>
            <w:tcBorders>
              <w:top w:val="single" w:color="000000" w:sz="12" w:space="0"/>
            </w:tcBorders>
            <w:shd w:val="clear" w:color="auto" w:fill="E0E0E0"/>
          </w:tcPr>
          <w:p>
            <w:pPr>
              <w:widowControl/>
              <w:jc w:val="left"/>
              <w:rPr>
                <w:rFonts w:ascii="Arial" w:hAnsi="Arial" w:cs="Arial"/>
                <w:sz w:val="24"/>
              </w:rPr>
            </w:pPr>
            <w:r>
              <w:rPr>
                <w:rFonts w:ascii="Arial" w:hAnsi="Arial" w:cs="Arial"/>
                <w:sz w:val="24"/>
              </w:rPr>
              <w:t>Author</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c>
          <w:tcPr>
            <w:tcW w:w="1011" w:type="dxa"/>
          </w:tcPr>
          <w:p>
            <w:pPr>
              <w:widowControl/>
              <w:jc w:val="left"/>
              <w:rPr>
                <w:rFonts w:ascii="Arial" w:hAnsi="Arial" w:cs="Arial"/>
                <w:sz w:val="24"/>
              </w:rPr>
            </w:pPr>
            <w:r>
              <w:rPr>
                <w:rFonts w:ascii="Arial" w:hAnsi="Arial" w:cs="Arial"/>
                <w:sz w:val="24"/>
              </w:rPr>
              <w:t>1.0</w:t>
            </w:r>
          </w:p>
        </w:tc>
        <w:tc>
          <w:tcPr>
            <w:tcW w:w="1418" w:type="dxa"/>
          </w:tcPr>
          <w:p>
            <w:pPr>
              <w:widowControl/>
              <w:jc w:val="left"/>
              <w:rPr>
                <w:rFonts w:ascii="Arial" w:hAnsi="Arial" w:cs="Arial"/>
                <w:sz w:val="24"/>
              </w:rPr>
            </w:pPr>
            <w:r>
              <w:rPr>
                <w:rFonts w:hint="eastAsia" w:ascii="Arial" w:hAnsi="Arial" w:cs="Arial"/>
                <w:sz w:val="24"/>
              </w:rPr>
              <w:t>2</w:t>
            </w:r>
            <w:r>
              <w:rPr>
                <w:rFonts w:ascii="Arial" w:hAnsi="Arial" w:cs="Arial"/>
                <w:sz w:val="24"/>
              </w:rPr>
              <w:t>0</w:t>
            </w:r>
            <w:r>
              <w:rPr>
                <w:rFonts w:hint="eastAsia" w:ascii="Arial" w:hAnsi="Arial" w:cs="Arial"/>
                <w:sz w:val="24"/>
              </w:rPr>
              <w:t>2</w:t>
            </w:r>
            <w:r>
              <w:rPr>
                <w:rFonts w:ascii="Arial" w:hAnsi="Arial" w:cs="Arial"/>
                <w:sz w:val="24"/>
              </w:rPr>
              <w:t>3.2.25</w:t>
            </w:r>
          </w:p>
        </w:tc>
        <w:tc>
          <w:tcPr>
            <w:tcW w:w="3100" w:type="dxa"/>
          </w:tcPr>
          <w:p>
            <w:pPr>
              <w:widowControl/>
              <w:jc w:val="left"/>
              <w:rPr>
                <w:rFonts w:ascii="Arial" w:hAnsi="Arial" w:cs="Arial"/>
                <w:sz w:val="24"/>
              </w:rPr>
            </w:pPr>
            <w:r>
              <w:rPr>
                <w:rFonts w:hint="eastAsia" w:ascii="Arial" w:hAnsi="Arial" w:cs="Arial"/>
                <w:sz w:val="24"/>
              </w:rPr>
              <w:t>初稿</w:t>
            </w:r>
          </w:p>
        </w:tc>
        <w:tc>
          <w:tcPr>
            <w:tcW w:w="3420"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206" w:hRule="atLeast"/>
        </w:trPr>
        <w:tc>
          <w:tcPr>
            <w:tcW w:w="1011" w:type="dxa"/>
            <w:vAlign w:val="top"/>
          </w:tcPr>
          <w:p>
            <w:pPr>
              <w:widowControl/>
              <w:jc w:val="left"/>
              <w:rPr>
                <w:rFonts w:ascii="Arial" w:hAnsi="Arial" w:cs="Arial" w:eastAsiaTheme="minorEastAsia"/>
                <w:sz w:val="24"/>
                <w:szCs w:val="22"/>
                <w:lang w:val="en-US" w:eastAsia="zh-CN" w:bidi="ar-SA"/>
              </w:rPr>
            </w:pPr>
            <w:r>
              <w:rPr>
                <w:rFonts w:hint="eastAsia" w:ascii="Arial" w:hAnsi="Arial" w:cs="Arial"/>
                <w:sz w:val="24"/>
                <w:lang w:val="en-US" w:eastAsia="zh-CN"/>
              </w:rPr>
              <w:t>2</w:t>
            </w:r>
            <w:r>
              <w:rPr>
                <w:rFonts w:ascii="Arial" w:hAnsi="Arial" w:cs="Arial"/>
                <w:sz w:val="24"/>
              </w:rPr>
              <w:t>.0</w:t>
            </w:r>
          </w:p>
        </w:tc>
        <w:tc>
          <w:tcPr>
            <w:tcW w:w="1418" w:type="dxa"/>
            <w:vAlign w:val="top"/>
          </w:tcPr>
          <w:p>
            <w:pPr>
              <w:widowControl/>
              <w:jc w:val="left"/>
              <w:rPr>
                <w:rFonts w:hint="default" w:ascii="Arial" w:hAnsi="Arial" w:cs="Arial" w:eastAsiaTheme="minorEastAsia"/>
                <w:sz w:val="24"/>
                <w:szCs w:val="22"/>
                <w:lang w:val="en-US" w:eastAsia="zh-CN" w:bidi="ar-SA"/>
              </w:rPr>
            </w:pPr>
            <w:r>
              <w:rPr>
                <w:rFonts w:hint="eastAsia" w:ascii="Arial" w:hAnsi="Arial" w:cs="Arial"/>
                <w:sz w:val="24"/>
              </w:rPr>
              <w:t>2</w:t>
            </w:r>
            <w:r>
              <w:rPr>
                <w:rFonts w:ascii="Arial" w:hAnsi="Arial" w:cs="Arial"/>
                <w:sz w:val="24"/>
              </w:rPr>
              <w:t>0</w:t>
            </w:r>
            <w:r>
              <w:rPr>
                <w:rFonts w:hint="eastAsia" w:ascii="Arial" w:hAnsi="Arial" w:cs="Arial"/>
                <w:sz w:val="24"/>
              </w:rPr>
              <w:t>2</w:t>
            </w:r>
            <w:r>
              <w:rPr>
                <w:rFonts w:ascii="Arial" w:hAnsi="Arial" w:cs="Arial"/>
                <w:sz w:val="24"/>
              </w:rPr>
              <w:t>3.</w:t>
            </w:r>
            <w:r>
              <w:rPr>
                <w:rFonts w:hint="eastAsia" w:ascii="Arial" w:hAnsi="Arial" w:cs="Arial"/>
                <w:sz w:val="24"/>
                <w:lang w:val="en-US" w:eastAsia="zh-CN"/>
              </w:rPr>
              <w:t>11</w:t>
            </w:r>
            <w:r>
              <w:rPr>
                <w:rFonts w:ascii="Arial" w:hAnsi="Arial" w:cs="Arial"/>
                <w:sz w:val="24"/>
              </w:rPr>
              <w:t>.</w:t>
            </w:r>
            <w:r>
              <w:rPr>
                <w:rFonts w:hint="eastAsia" w:ascii="Arial" w:hAnsi="Arial" w:cs="Arial"/>
                <w:sz w:val="24"/>
                <w:lang w:val="en-US" w:eastAsia="zh-CN"/>
              </w:rPr>
              <w:t>06</w:t>
            </w:r>
          </w:p>
        </w:tc>
        <w:tc>
          <w:tcPr>
            <w:tcW w:w="3100" w:type="dxa"/>
            <w:vAlign w:val="top"/>
          </w:tcPr>
          <w:p>
            <w:pPr>
              <w:widowControl/>
              <w:jc w:val="left"/>
              <w:rPr>
                <w:rFonts w:hint="default" w:ascii="Arial" w:hAnsi="Arial" w:cs="Arial" w:eastAsiaTheme="minorEastAsia"/>
                <w:sz w:val="24"/>
                <w:szCs w:val="22"/>
                <w:lang w:val="en-US" w:eastAsia="zh-CN" w:bidi="ar-SA"/>
              </w:rPr>
            </w:pPr>
            <w:r>
              <w:rPr>
                <w:rFonts w:hint="eastAsia" w:ascii="Arial" w:hAnsi="Arial" w:cs="Arial"/>
                <w:sz w:val="24"/>
                <w:szCs w:val="22"/>
                <w:lang w:val="en-US" w:eastAsia="zh-CN" w:bidi="ar-SA"/>
              </w:rPr>
              <w:t>更新</w:t>
            </w:r>
          </w:p>
        </w:tc>
        <w:tc>
          <w:tcPr>
            <w:tcW w:w="3420"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250" w:hRule="atLeast"/>
        </w:trPr>
        <w:tc>
          <w:tcPr>
            <w:tcW w:w="1011" w:type="dxa"/>
          </w:tcPr>
          <w:p>
            <w:pPr>
              <w:widowControl/>
              <w:jc w:val="left"/>
              <w:rPr>
                <w:rFonts w:hint="default" w:ascii="Arial" w:hAnsi="Arial" w:cs="Arial" w:eastAsiaTheme="minorEastAsia"/>
                <w:sz w:val="24"/>
                <w:lang w:val="en-US" w:eastAsia="zh-CN"/>
              </w:rPr>
            </w:pPr>
            <w:r>
              <w:rPr>
                <w:rFonts w:hint="eastAsia" w:ascii="Arial" w:hAnsi="Arial" w:cs="Arial"/>
                <w:sz w:val="24"/>
                <w:lang w:val="en-US" w:eastAsia="zh-CN"/>
              </w:rPr>
              <w:t>2.1</w:t>
            </w:r>
          </w:p>
        </w:tc>
        <w:tc>
          <w:tcPr>
            <w:tcW w:w="1418" w:type="dxa"/>
          </w:tcPr>
          <w:p>
            <w:pPr>
              <w:widowControl/>
              <w:jc w:val="left"/>
              <w:rPr>
                <w:rFonts w:hint="default" w:ascii="Arial" w:hAnsi="Arial" w:cs="Arial" w:eastAsiaTheme="minorEastAsia"/>
                <w:sz w:val="24"/>
                <w:lang w:val="en-US" w:eastAsia="zh-CN"/>
              </w:rPr>
            </w:pPr>
            <w:r>
              <w:rPr>
                <w:rFonts w:hint="eastAsia" w:ascii="Arial" w:hAnsi="Arial" w:cs="Arial"/>
                <w:sz w:val="24"/>
                <w:lang w:val="en-US" w:eastAsia="zh-CN"/>
              </w:rPr>
              <w:t>2024.02.20</w:t>
            </w:r>
          </w:p>
        </w:tc>
        <w:tc>
          <w:tcPr>
            <w:tcW w:w="3100" w:type="dxa"/>
          </w:tcPr>
          <w:p>
            <w:pPr>
              <w:widowControl/>
              <w:jc w:val="left"/>
              <w:rPr>
                <w:rFonts w:hint="eastAsia" w:ascii="Arial" w:hAnsi="Arial" w:cs="Arial" w:eastAsiaTheme="minorEastAsia"/>
                <w:sz w:val="24"/>
                <w:lang w:val="en-US" w:eastAsia="zh-CN"/>
              </w:rPr>
            </w:pPr>
            <w:r>
              <w:rPr>
                <w:rFonts w:hint="eastAsia" w:ascii="Arial" w:hAnsi="Arial" w:cs="Arial"/>
                <w:sz w:val="24"/>
                <w:lang w:val="en-US" w:eastAsia="zh-CN"/>
              </w:rPr>
              <w:t>更新</w:t>
            </w:r>
          </w:p>
        </w:tc>
        <w:tc>
          <w:tcPr>
            <w:tcW w:w="3420"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c>
          <w:tcPr>
            <w:tcW w:w="1011" w:type="dxa"/>
          </w:tcPr>
          <w:p>
            <w:pPr>
              <w:widowControl/>
              <w:jc w:val="left"/>
              <w:rPr>
                <w:rFonts w:ascii="Arial" w:hAnsi="Arial" w:cs="Arial"/>
                <w:sz w:val="24"/>
              </w:rPr>
            </w:pPr>
          </w:p>
        </w:tc>
        <w:tc>
          <w:tcPr>
            <w:tcW w:w="1418" w:type="dxa"/>
          </w:tcPr>
          <w:p>
            <w:pPr>
              <w:widowControl/>
              <w:jc w:val="left"/>
              <w:rPr>
                <w:rFonts w:ascii="Arial" w:hAnsi="Arial" w:cs="Arial"/>
                <w:sz w:val="24"/>
              </w:rPr>
            </w:pPr>
          </w:p>
        </w:tc>
        <w:tc>
          <w:tcPr>
            <w:tcW w:w="3100" w:type="dxa"/>
          </w:tcPr>
          <w:p>
            <w:pPr>
              <w:widowControl/>
              <w:jc w:val="left"/>
              <w:rPr>
                <w:rFonts w:ascii="Arial" w:hAnsi="Arial" w:cs="Arial"/>
                <w:sz w:val="24"/>
              </w:rPr>
            </w:pPr>
          </w:p>
        </w:tc>
        <w:tc>
          <w:tcPr>
            <w:tcW w:w="3420"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c>
          <w:tcPr>
            <w:tcW w:w="1011" w:type="dxa"/>
          </w:tcPr>
          <w:p>
            <w:pPr>
              <w:widowControl/>
              <w:jc w:val="left"/>
              <w:rPr>
                <w:rFonts w:ascii="Arial" w:hAnsi="Arial" w:cs="Arial"/>
                <w:sz w:val="24"/>
              </w:rPr>
            </w:pPr>
          </w:p>
        </w:tc>
        <w:tc>
          <w:tcPr>
            <w:tcW w:w="1418" w:type="dxa"/>
          </w:tcPr>
          <w:p>
            <w:pPr>
              <w:widowControl/>
              <w:jc w:val="left"/>
              <w:rPr>
                <w:rFonts w:ascii="Arial" w:hAnsi="Arial" w:cs="Arial"/>
                <w:sz w:val="24"/>
              </w:rPr>
            </w:pPr>
          </w:p>
        </w:tc>
        <w:tc>
          <w:tcPr>
            <w:tcW w:w="3100" w:type="dxa"/>
          </w:tcPr>
          <w:p>
            <w:pPr>
              <w:widowControl/>
              <w:jc w:val="left"/>
              <w:rPr>
                <w:rFonts w:ascii="Arial" w:hAnsi="Arial" w:cs="Arial"/>
                <w:sz w:val="24"/>
              </w:rPr>
            </w:pPr>
          </w:p>
        </w:tc>
        <w:tc>
          <w:tcPr>
            <w:tcW w:w="3420"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c>
          <w:tcPr>
            <w:tcW w:w="1011" w:type="dxa"/>
          </w:tcPr>
          <w:p>
            <w:pPr>
              <w:widowControl/>
              <w:jc w:val="left"/>
              <w:rPr>
                <w:rFonts w:ascii="Arial" w:hAnsi="Arial" w:cs="Arial"/>
                <w:sz w:val="24"/>
              </w:rPr>
            </w:pPr>
          </w:p>
        </w:tc>
        <w:tc>
          <w:tcPr>
            <w:tcW w:w="1418" w:type="dxa"/>
          </w:tcPr>
          <w:p>
            <w:pPr>
              <w:widowControl/>
              <w:jc w:val="left"/>
              <w:rPr>
                <w:rFonts w:ascii="Arial" w:hAnsi="Arial" w:cs="Arial"/>
                <w:sz w:val="24"/>
              </w:rPr>
            </w:pPr>
          </w:p>
        </w:tc>
        <w:tc>
          <w:tcPr>
            <w:tcW w:w="3100" w:type="dxa"/>
          </w:tcPr>
          <w:p>
            <w:pPr>
              <w:widowControl/>
              <w:jc w:val="left"/>
              <w:rPr>
                <w:rFonts w:ascii="Arial" w:hAnsi="Arial" w:cs="Arial"/>
                <w:sz w:val="24"/>
              </w:rPr>
            </w:pPr>
          </w:p>
        </w:tc>
        <w:tc>
          <w:tcPr>
            <w:tcW w:w="3420"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c>
          <w:tcPr>
            <w:tcW w:w="1011" w:type="dxa"/>
          </w:tcPr>
          <w:p>
            <w:pPr>
              <w:widowControl/>
              <w:jc w:val="left"/>
              <w:rPr>
                <w:rFonts w:ascii="Arial" w:hAnsi="Arial" w:cs="Arial"/>
                <w:sz w:val="24"/>
              </w:rPr>
            </w:pPr>
          </w:p>
        </w:tc>
        <w:tc>
          <w:tcPr>
            <w:tcW w:w="1418" w:type="dxa"/>
          </w:tcPr>
          <w:p>
            <w:pPr>
              <w:widowControl/>
              <w:jc w:val="left"/>
              <w:rPr>
                <w:rFonts w:ascii="Arial" w:hAnsi="Arial" w:cs="Arial"/>
                <w:sz w:val="24"/>
              </w:rPr>
            </w:pPr>
          </w:p>
        </w:tc>
        <w:tc>
          <w:tcPr>
            <w:tcW w:w="3100" w:type="dxa"/>
          </w:tcPr>
          <w:p>
            <w:pPr>
              <w:widowControl/>
              <w:jc w:val="left"/>
              <w:rPr>
                <w:rFonts w:ascii="Arial" w:hAnsi="Arial" w:cs="Arial"/>
                <w:sz w:val="24"/>
              </w:rPr>
            </w:pPr>
          </w:p>
        </w:tc>
        <w:tc>
          <w:tcPr>
            <w:tcW w:w="3420" w:type="dxa"/>
          </w:tcPr>
          <w:p>
            <w:pPr>
              <w:widowControl/>
              <w:jc w:val="left"/>
              <w:rPr>
                <w:rFonts w:ascii="Arial" w:hAnsi="Arial" w:cs="Arial"/>
                <w:sz w:val="24"/>
              </w:rPr>
            </w:pPr>
          </w:p>
        </w:tc>
      </w:tr>
    </w:tbl>
    <w:p>
      <w:pPr>
        <w:spacing w:before="120" w:after="120" w:line="360" w:lineRule="auto"/>
        <w:rPr>
          <w:b/>
          <w:sz w:val="28"/>
          <w:szCs w:val="28"/>
        </w:rPr>
      </w:pPr>
      <w:r>
        <w:rPr>
          <w:rFonts w:hint="eastAsia"/>
          <w:b/>
          <w:sz w:val="28"/>
          <w:szCs w:val="28"/>
        </w:rPr>
        <w:t>文档审核</w:t>
      </w:r>
    </w:p>
    <w:tbl>
      <w:tblPr>
        <w:tblStyle w:val="5"/>
        <w:tblW w:w="8949"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 w:type="dxa"/>
          <w:bottom w:w="0" w:type="dxa"/>
          <w:right w:w="10" w:type="dxa"/>
        </w:tblCellMar>
      </w:tblPr>
      <w:tblGrid>
        <w:gridCol w:w="720"/>
        <w:gridCol w:w="1453"/>
        <w:gridCol w:w="677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blHeader/>
        </w:trPr>
        <w:tc>
          <w:tcPr>
            <w:tcW w:w="720" w:type="dxa"/>
            <w:tcBorders>
              <w:top w:val="single" w:color="000000" w:sz="12" w:space="0"/>
            </w:tcBorders>
            <w:shd w:val="clear" w:color="auto" w:fill="E0E0E0"/>
          </w:tcPr>
          <w:p>
            <w:pPr>
              <w:widowControl/>
              <w:jc w:val="left"/>
              <w:rPr>
                <w:rFonts w:ascii="Arial" w:hAnsi="Arial" w:cs="Arial"/>
                <w:sz w:val="24"/>
              </w:rPr>
            </w:pPr>
            <w:r>
              <w:rPr>
                <w:rFonts w:ascii="Arial" w:hAnsi="Arial" w:cs="Arial"/>
                <w:sz w:val="24"/>
              </w:rPr>
              <w:t>Rev</w:t>
            </w:r>
          </w:p>
        </w:tc>
        <w:tc>
          <w:tcPr>
            <w:tcW w:w="1453" w:type="dxa"/>
            <w:tcBorders>
              <w:top w:val="single" w:color="000000" w:sz="12" w:space="0"/>
            </w:tcBorders>
            <w:shd w:val="clear" w:color="auto" w:fill="E0E0E0"/>
          </w:tcPr>
          <w:p>
            <w:pPr>
              <w:widowControl/>
              <w:jc w:val="left"/>
              <w:rPr>
                <w:rFonts w:ascii="Arial" w:hAnsi="Arial" w:cs="Arial"/>
                <w:sz w:val="24"/>
              </w:rPr>
            </w:pPr>
            <w:r>
              <w:rPr>
                <w:rFonts w:ascii="Arial" w:hAnsi="Arial" w:cs="Arial"/>
                <w:sz w:val="24"/>
              </w:rPr>
              <w:t>Date</w:t>
            </w:r>
          </w:p>
        </w:tc>
        <w:tc>
          <w:tcPr>
            <w:tcW w:w="6776" w:type="dxa"/>
            <w:tcBorders>
              <w:top w:val="single" w:color="000000" w:sz="12" w:space="0"/>
            </w:tcBorders>
            <w:shd w:val="clear" w:color="auto" w:fill="E0E0E0"/>
          </w:tcPr>
          <w:p>
            <w:pPr>
              <w:widowControl/>
              <w:jc w:val="left"/>
              <w:rPr>
                <w:rFonts w:ascii="Arial" w:hAnsi="Arial" w:cs="Arial"/>
                <w:sz w:val="24"/>
              </w:rPr>
            </w:pPr>
            <w:r>
              <w:rPr>
                <w:rFonts w:ascii="Arial" w:hAnsi="Arial" w:cs="Arial"/>
                <w:sz w:val="24"/>
              </w:rPr>
              <w:t>Name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c>
          <w:tcPr>
            <w:tcW w:w="720" w:type="dxa"/>
          </w:tcPr>
          <w:p>
            <w:pPr>
              <w:widowControl/>
              <w:jc w:val="left"/>
              <w:rPr>
                <w:rFonts w:ascii="Arial" w:hAnsi="Arial" w:cs="Arial"/>
                <w:sz w:val="24"/>
              </w:rPr>
            </w:pPr>
            <w:r>
              <w:rPr>
                <w:rFonts w:hint="eastAsia" w:ascii="Arial" w:hAnsi="Arial" w:cs="Arial"/>
                <w:sz w:val="24"/>
              </w:rPr>
              <w:t>1.0</w:t>
            </w:r>
          </w:p>
        </w:tc>
        <w:tc>
          <w:tcPr>
            <w:tcW w:w="1453" w:type="dxa"/>
          </w:tcPr>
          <w:p>
            <w:pPr>
              <w:widowControl/>
              <w:jc w:val="left"/>
              <w:rPr>
                <w:rFonts w:ascii="Arial" w:hAnsi="Arial" w:cs="Arial"/>
                <w:sz w:val="24"/>
              </w:rPr>
            </w:pPr>
          </w:p>
        </w:tc>
        <w:tc>
          <w:tcPr>
            <w:tcW w:w="6776"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206" w:hRule="atLeast"/>
        </w:trPr>
        <w:tc>
          <w:tcPr>
            <w:tcW w:w="720" w:type="dxa"/>
          </w:tcPr>
          <w:p>
            <w:pPr>
              <w:widowControl/>
              <w:jc w:val="left"/>
              <w:rPr>
                <w:rFonts w:ascii="Arial" w:hAnsi="Arial" w:cs="Arial"/>
                <w:sz w:val="24"/>
              </w:rPr>
            </w:pPr>
          </w:p>
        </w:tc>
        <w:tc>
          <w:tcPr>
            <w:tcW w:w="1453" w:type="dxa"/>
          </w:tcPr>
          <w:p>
            <w:pPr>
              <w:widowControl/>
              <w:jc w:val="left"/>
              <w:rPr>
                <w:rFonts w:ascii="Arial" w:hAnsi="Arial" w:cs="Arial"/>
                <w:sz w:val="24"/>
              </w:rPr>
            </w:pPr>
          </w:p>
        </w:tc>
        <w:tc>
          <w:tcPr>
            <w:tcW w:w="6776"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c>
          <w:tcPr>
            <w:tcW w:w="720" w:type="dxa"/>
          </w:tcPr>
          <w:p>
            <w:pPr>
              <w:widowControl/>
              <w:jc w:val="left"/>
              <w:rPr>
                <w:rFonts w:ascii="Arial" w:hAnsi="Arial" w:cs="Arial"/>
                <w:sz w:val="24"/>
              </w:rPr>
            </w:pPr>
          </w:p>
        </w:tc>
        <w:tc>
          <w:tcPr>
            <w:tcW w:w="1453" w:type="dxa"/>
          </w:tcPr>
          <w:p>
            <w:pPr>
              <w:widowControl/>
              <w:jc w:val="left"/>
              <w:rPr>
                <w:rFonts w:ascii="Arial" w:hAnsi="Arial" w:cs="Arial"/>
                <w:sz w:val="24"/>
              </w:rPr>
            </w:pPr>
          </w:p>
        </w:tc>
        <w:tc>
          <w:tcPr>
            <w:tcW w:w="6776"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c>
          <w:tcPr>
            <w:tcW w:w="720" w:type="dxa"/>
          </w:tcPr>
          <w:p>
            <w:pPr>
              <w:widowControl/>
              <w:jc w:val="left"/>
              <w:rPr>
                <w:rFonts w:ascii="Arial" w:hAnsi="Arial" w:cs="Arial"/>
                <w:sz w:val="24"/>
              </w:rPr>
            </w:pPr>
          </w:p>
        </w:tc>
        <w:tc>
          <w:tcPr>
            <w:tcW w:w="1453" w:type="dxa"/>
          </w:tcPr>
          <w:p>
            <w:pPr>
              <w:widowControl/>
              <w:jc w:val="left"/>
              <w:rPr>
                <w:rFonts w:ascii="Arial" w:hAnsi="Arial" w:cs="Arial"/>
                <w:sz w:val="24"/>
              </w:rPr>
            </w:pPr>
          </w:p>
        </w:tc>
        <w:tc>
          <w:tcPr>
            <w:tcW w:w="6776"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c>
          <w:tcPr>
            <w:tcW w:w="720" w:type="dxa"/>
          </w:tcPr>
          <w:p>
            <w:pPr>
              <w:widowControl/>
              <w:jc w:val="left"/>
              <w:rPr>
                <w:rFonts w:ascii="Arial" w:hAnsi="Arial" w:cs="Arial"/>
                <w:sz w:val="24"/>
              </w:rPr>
            </w:pPr>
          </w:p>
        </w:tc>
        <w:tc>
          <w:tcPr>
            <w:tcW w:w="1453" w:type="dxa"/>
          </w:tcPr>
          <w:p>
            <w:pPr>
              <w:widowControl/>
              <w:jc w:val="left"/>
              <w:rPr>
                <w:rFonts w:ascii="Arial" w:hAnsi="Arial" w:cs="Arial"/>
                <w:sz w:val="24"/>
              </w:rPr>
            </w:pPr>
          </w:p>
        </w:tc>
        <w:tc>
          <w:tcPr>
            <w:tcW w:w="6776" w:type="dxa"/>
          </w:tcPr>
          <w:p>
            <w:pPr>
              <w:widowControl/>
              <w:jc w:val="left"/>
              <w:rPr>
                <w:rFonts w:ascii="Arial" w:hAnsi="Arial" w:cs="Arial"/>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c>
          <w:tcPr>
            <w:tcW w:w="720" w:type="dxa"/>
          </w:tcPr>
          <w:p>
            <w:pPr>
              <w:widowControl/>
              <w:jc w:val="left"/>
              <w:rPr>
                <w:rFonts w:ascii="Arial" w:hAnsi="Arial" w:cs="Arial"/>
                <w:sz w:val="24"/>
              </w:rPr>
            </w:pPr>
          </w:p>
        </w:tc>
        <w:tc>
          <w:tcPr>
            <w:tcW w:w="1453" w:type="dxa"/>
          </w:tcPr>
          <w:p>
            <w:pPr>
              <w:widowControl/>
              <w:jc w:val="left"/>
              <w:rPr>
                <w:rFonts w:ascii="Arial" w:hAnsi="Arial" w:cs="Arial"/>
                <w:sz w:val="24"/>
              </w:rPr>
            </w:pPr>
          </w:p>
        </w:tc>
        <w:tc>
          <w:tcPr>
            <w:tcW w:w="6776" w:type="dxa"/>
          </w:tcPr>
          <w:p>
            <w:pPr>
              <w:widowControl/>
              <w:jc w:val="left"/>
              <w:rPr>
                <w:rFonts w:ascii="Arial" w:hAnsi="Arial" w:cs="Arial"/>
                <w:sz w:val="24"/>
              </w:rPr>
            </w:pPr>
          </w:p>
        </w:tc>
      </w:tr>
    </w:tbl>
    <w:p>
      <w:pPr>
        <w:spacing w:before="156" w:beforeLines="50" w:after="156" w:afterLines="50"/>
        <w:ind w:firstLine="562"/>
        <w:rPr>
          <w:rFonts w:asciiTheme="minorEastAsia" w:hAnsiTheme="minorEastAsia"/>
          <w:b/>
          <w:bCs/>
          <w:kern w:val="2"/>
          <w:sz w:val="28"/>
          <w:szCs w:val="28"/>
        </w:rPr>
      </w:pPr>
    </w:p>
    <w:p>
      <w:pPr>
        <w:spacing w:before="156" w:beforeLines="50" w:after="156" w:afterLines="50"/>
        <w:ind w:firstLine="562"/>
        <w:rPr>
          <w:rFonts w:asciiTheme="minorEastAsia" w:hAnsiTheme="minorEastAsia"/>
          <w:b/>
          <w:bCs/>
          <w:kern w:val="2"/>
          <w:sz w:val="28"/>
          <w:szCs w:val="28"/>
        </w:rPr>
      </w:pPr>
      <w:r>
        <w:rPr>
          <w:rFonts w:hint="eastAsia" w:asciiTheme="minorEastAsia" w:hAnsiTheme="minorEastAsia"/>
          <w:b/>
          <w:bCs/>
          <w:kern w:val="2"/>
          <w:sz w:val="28"/>
          <w:szCs w:val="28"/>
        </w:rPr>
        <w:t>文件批准：</w:t>
      </w:r>
    </w:p>
    <w:tbl>
      <w:tblPr>
        <w:tblStyle w:val="5"/>
        <w:tblW w:w="77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96" w:type="dxa"/>
          <w:bottom w:w="0" w:type="dxa"/>
          <w:right w:w="96" w:type="dxa"/>
        </w:tblCellMar>
      </w:tblPr>
      <w:tblGrid>
        <w:gridCol w:w="2626"/>
        <w:gridCol w:w="1341"/>
        <w:gridCol w:w="37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475" w:hRule="atLeast"/>
          <w:tblHeader/>
          <w:jc w:val="center"/>
        </w:trPr>
        <w:tc>
          <w:tcPr>
            <w:tcW w:w="2626" w:type="dxa"/>
            <w:tcBorders>
              <w:top w:val="single" w:color="auto" w:sz="4" w:space="0"/>
              <w:left w:val="single" w:color="auto" w:sz="4" w:space="0"/>
              <w:bottom w:val="single" w:color="auto" w:sz="4" w:space="0"/>
              <w:right w:val="single" w:color="auto" w:sz="4" w:space="0"/>
            </w:tcBorders>
            <w:shd w:val="pct10" w:color="auto" w:fill="auto"/>
            <w:vAlign w:val="center"/>
          </w:tcPr>
          <w:p>
            <w:pPr>
              <w:spacing w:before="100" w:beforeAutospacing="1" w:after="100" w:afterAutospacing="1"/>
              <w:ind w:firstLine="482"/>
              <w:jc w:val="center"/>
              <w:rPr>
                <w:rFonts w:asciiTheme="minorEastAsia" w:hAnsiTheme="minorEastAsia"/>
                <w:b/>
                <w:bCs/>
                <w:kern w:val="2"/>
                <w:sz w:val="24"/>
                <w:szCs w:val="24"/>
              </w:rPr>
            </w:pPr>
            <w:r>
              <w:rPr>
                <w:rFonts w:hint="eastAsia" w:asciiTheme="minorEastAsia" w:hAnsiTheme="minorEastAsia"/>
                <w:b/>
                <w:bCs/>
                <w:kern w:val="2"/>
                <w:sz w:val="24"/>
                <w:szCs w:val="24"/>
              </w:rPr>
              <w:t>公司/角色</w:t>
            </w:r>
          </w:p>
        </w:tc>
        <w:tc>
          <w:tcPr>
            <w:tcW w:w="5108"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spacing w:before="100" w:beforeAutospacing="1" w:after="100" w:afterAutospacing="1"/>
              <w:ind w:firstLine="482"/>
              <w:jc w:val="center"/>
              <w:rPr>
                <w:rFonts w:asciiTheme="minorEastAsia" w:hAnsiTheme="minorEastAsia"/>
                <w:b/>
                <w:bCs/>
                <w:kern w:val="2"/>
                <w:sz w:val="24"/>
                <w:szCs w:val="24"/>
              </w:rPr>
            </w:pPr>
            <w:r>
              <w:rPr>
                <w:rFonts w:hint="eastAsia" w:asciiTheme="minorEastAsia" w:hAnsiTheme="minorEastAsia"/>
                <w:b/>
                <w:bCs/>
                <w:kern w:val="2"/>
                <w:sz w:val="24"/>
                <w:szCs w:val="24"/>
              </w:rPr>
              <w:t>签字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3" w:hRule="exact"/>
          <w:tblHeader/>
          <w:jc w:val="center"/>
        </w:trPr>
        <w:tc>
          <w:tcPr>
            <w:tcW w:w="2626" w:type="dxa"/>
            <w:tcBorders>
              <w:top w:val="single" w:color="auto" w:sz="4" w:space="0"/>
              <w:left w:val="nil"/>
              <w:right w:val="nil"/>
            </w:tcBorders>
            <w:shd w:val="pct50" w:color="auto" w:fill="auto"/>
          </w:tcPr>
          <w:p>
            <w:pPr>
              <w:spacing w:before="100" w:beforeAutospacing="1" w:after="100" w:afterAutospacing="1"/>
              <w:ind w:firstLine="482"/>
              <w:rPr>
                <w:rFonts w:asciiTheme="minorEastAsia" w:hAnsiTheme="minorEastAsia"/>
                <w:b/>
                <w:bCs/>
                <w:sz w:val="24"/>
                <w:szCs w:val="24"/>
              </w:rPr>
            </w:pPr>
          </w:p>
        </w:tc>
        <w:tc>
          <w:tcPr>
            <w:tcW w:w="1341" w:type="dxa"/>
            <w:tcBorders>
              <w:top w:val="single" w:color="auto" w:sz="4" w:space="0"/>
              <w:left w:val="nil"/>
              <w:right w:val="nil"/>
            </w:tcBorders>
            <w:shd w:val="pct50" w:color="auto" w:fill="auto"/>
          </w:tcPr>
          <w:p>
            <w:pPr>
              <w:spacing w:before="100" w:beforeAutospacing="1" w:after="100" w:afterAutospacing="1"/>
              <w:ind w:firstLine="482"/>
              <w:rPr>
                <w:rFonts w:asciiTheme="minorEastAsia" w:hAnsiTheme="minorEastAsia"/>
                <w:b/>
                <w:bCs/>
                <w:sz w:val="24"/>
                <w:szCs w:val="24"/>
              </w:rPr>
            </w:pPr>
          </w:p>
        </w:tc>
        <w:tc>
          <w:tcPr>
            <w:tcW w:w="3767" w:type="dxa"/>
            <w:tcBorders>
              <w:top w:val="single" w:color="auto" w:sz="4" w:space="0"/>
              <w:left w:val="nil"/>
              <w:right w:val="nil"/>
            </w:tcBorders>
            <w:shd w:val="pct50" w:color="auto" w:fill="auto"/>
          </w:tcPr>
          <w:p>
            <w:pPr>
              <w:spacing w:before="100" w:beforeAutospacing="1" w:after="100" w:afterAutospacing="1"/>
              <w:ind w:firstLine="482"/>
              <w:rPr>
                <w:rFonts w:asciiTheme="minorEastAsia" w:hAnsiTheme="minorEastAsia"/>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888" w:hRule="atLeast"/>
          <w:jc w:val="center"/>
        </w:trPr>
        <w:tc>
          <w:tcPr>
            <w:tcW w:w="2626" w:type="dxa"/>
            <w:tcBorders>
              <w:top w:val="nil"/>
            </w:tcBorders>
            <w:vAlign w:val="center"/>
          </w:tcPr>
          <w:p>
            <w:pPr>
              <w:tabs>
                <w:tab w:val="left" w:pos="2434"/>
              </w:tabs>
              <w:spacing w:before="100" w:beforeAutospacing="1" w:after="100" w:afterAutospacing="1"/>
              <w:ind w:firstLine="480"/>
              <w:jc w:val="center"/>
              <w:rPr>
                <w:rFonts w:asciiTheme="minorEastAsia" w:hAnsiTheme="minorEastAsia"/>
                <w:sz w:val="24"/>
              </w:rPr>
            </w:pPr>
          </w:p>
        </w:tc>
        <w:tc>
          <w:tcPr>
            <w:tcW w:w="5108" w:type="dxa"/>
            <w:gridSpan w:val="2"/>
            <w:tcBorders>
              <w:top w:val="nil"/>
            </w:tcBorders>
            <w:vAlign w:val="center"/>
          </w:tcPr>
          <w:p>
            <w:pPr>
              <w:spacing w:before="100" w:beforeAutospacing="1" w:after="100" w:afterAutospacing="1"/>
              <w:ind w:firstLine="480"/>
              <w:jc w:val="center"/>
              <w:rPr>
                <w:rFonts w:asciiTheme="minorEastAsia" w:hAnsi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888" w:hRule="atLeast"/>
          <w:jc w:val="center"/>
        </w:trPr>
        <w:tc>
          <w:tcPr>
            <w:tcW w:w="2626" w:type="dxa"/>
            <w:tcBorders>
              <w:top w:val="nil"/>
            </w:tcBorders>
            <w:vAlign w:val="center"/>
          </w:tcPr>
          <w:p>
            <w:pPr>
              <w:spacing w:before="100" w:beforeAutospacing="1" w:after="100" w:afterAutospacing="1"/>
              <w:ind w:firstLine="480"/>
              <w:jc w:val="center"/>
              <w:rPr>
                <w:rFonts w:asciiTheme="minorEastAsia" w:hAnsiTheme="minorEastAsia"/>
                <w:sz w:val="24"/>
              </w:rPr>
            </w:pPr>
          </w:p>
        </w:tc>
        <w:tc>
          <w:tcPr>
            <w:tcW w:w="5108" w:type="dxa"/>
            <w:gridSpan w:val="2"/>
            <w:tcBorders>
              <w:top w:val="nil"/>
            </w:tcBorders>
            <w:vAlign w:val="center"/>
          </w:tcPr>
          <w:p>
            <w:pPr>
              <w:spacing w:before="100" w:beforeAutospacing="1" w:after="100" w:afterAutospacing="1"/>
              <w:ind w:firstLine="480"/>
              <w:jc w:val="center"/>
              <w:rPr>
                <w:rFonts w:asciiTheme="minorEastAsia" w:hAnsiTheme="minorEastAsia"/>
                <w:sz w:val="24"/>
              </w:rPr>
            </w:pPr>
          </w:p>
        </w:tc>
      </w:tr>
    </w:tbl>
    <w:p>
      <w:pPr>
        <w:widowControl/>
        <w:ind w:firstLine="200" w:firstLineChars="71"/>
        <w:jc w:val="left"/>
        <w:rPr>
          <w:b/>
          <w:sz w:val="28"/>
          <w:szCs w:val="28"/>
        </w:rPr>
      </w:pPr>
      <w:r>
        <w:rPr>
          <w:b/>
          <w:sz w:val="28"/>
          <w:szCs w:val="28"/>
        </w:rPr>
        <w:br w:type="page"/>
      </w:r>
    </w:p>
    <w:p>
      <w:pPr>
        <w:widowControl/>
        <w:ind w:firstLine="420"/>
        <w:jc w:val="left"/>
        <w:rPr>
          <w:rFonts w:asciiTheme="majorHAnsi" w:hAnsiTheme="majorHAnsi" w:eastAsiaTheme="majorEastAsia"/>
          <w:color w:val="C0504D" w:themeColor="accent2"/>
          <w:sz w:val="32"/>
          <w:szCs w:val="32"/>
        </w:rPr>
      </w:pPr>
      <w:r>
        <w:br w:type="page"/>
      </w:r>
    </w:p>
    <w:p>
      <w:pPr>
        <w:rPr>
          <w:rFonts w:asciiTheme="majorEastAsia" w:hAnsiTheme="majorEastAsia"/>
        </w:rPr>
      </w:pPr>
      <w:r>
        <w:rPr>
          <w:rFonts w:hint="eastAsia" w:asciiTheme="majorEastAsia" w:hAnsiTheme="majorEastAsia"/>
        </w:rPr>
        <w:t>项目概述</w:t>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目前采购业务涉及的信息系统多，工作内容分散，且业务流程缺乏全流程支撑，业务流程存在数据流断档等问题，集团采购中心对各采购部业务的执行情况管控松散、监控困难，所以急需进行流程梳理和系统整合。</w:t>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本次项目的业务目标为实现供应商体系化管理、业务流程图示化进展、 统计分析标准化应用、业务能力直观化促进；管理目标为覆盖完整采购业务流程、协同供应与制造和研发与生产、转化知识储备，管理规范业务、适配采购业务域的不同用户角色、满足采购组织不同管理维度的场景化管控。</w:t>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采购业务一体化管理平台，在执行监控、统计分析、信息预警、需求预测等方面为业务提供更强的支撑，实现供应与制造采购协同和采购业务集中化管控，从而达到采购管理维度一致、数据分析策略一致等目标。</w:t>
      </w:r>
    </w:p>
    <w:p>
      <w:pPr>
        <w:widowControl/>
        <w:spacing w:line="480" w:lineRule="exact"/>
        <w:ind w:firstLine="560"/>
        <w:rPr>
          <w:rFonts w:ascii="仿宋" w:hAnsi="仿宋" w:eastAsia="仿宋" w:cs="仿宋"/>
          <w:sz w:val="28"/>
          <w:szCs w:val="28"/>
          <w:highlight w:val="yellow"/>
          <w:lang w:bidi="ar"/>
        </w:rPr>
      </w:pPr>
      <w:r>
        <w:rPr>
          <w:rFonts w:hint="eastAsia" w:ascii="仿宋" w:hAnsi="仿宋" w:eastAsia="仿宋" w:cs="仿宋"/>
          <w:sz w:val="28"/>
          <w:szCs w:val="28"/>
          <w:highlight w:val="yellow"/>
          <w:lang w:bidi="ar"/>
        </w:rPr>
        <w:t>系统网址：</w:t>
      </w:r>
      <w:r>
        <w:fldChar w:fldCharType="begin"/>
      </w:r>
      <w:r>
        <w:instrText xml:space="preserve"> HYPERLINK "http://ecaitong.sinotruk.com:8012/" </w:instrText>
      </w:r>
      <w:r>
        <w:fldChar w:fldCharType="separate"/>
      </w:r>
      <w:r>
        <w:rPr>
          <w:rFonts w:ascii="仿宋" w:hAnsi="仿宋" w:eastAsia="仿宋" w:cs="仿宋"/>
          <w:sz w:val="28"/>
          <w:szCs w:val="28"/>
          <w:highlight w:val="yellow"/>
          <w:lang w:bidi="ar"/>
        </w:rPr>
        <w:t>http://ecaitong.sinotruk.com:8012/</w:t>
      </w:r>
      <w:r>
        <w:rPr>
          <w:rFonts w:ascii="仿宋" w:hAnsi="仿宋" w:eastAsia="仿宋" w:cs="仿宋"/>
          <w:sz w:val="28"/>
          <w:szCs w:val="28"/>
          <w:highlight w:val="yellow"/>
          <w:lang w:bidi="ar"/>
        </w:rPr>
        <w:fldChar w:fldCharType="end"/>
      </w:r>
    </w:p>
    <w:p>
      <w:pPr>
        <w:widowControl/>
        <w:spacing w:line="480" w:lineRule="exact"/>
        <w:ind w:firstLine="560"/>
        <w:rPr>
          <w:rFonts w:ascii="仿宋" w:hAnsi="仿宋" w:eastAsia="仿宋" w:cs="仿宋"/>
          <w:sz w:val="28"/>
          <w:szCs w:val="28"/>
          <w:highlight w:val="yellow"/>
          <w:lang w:bidi="ar"/>
        </w:rPr>
      </w:pPr>
      <w:r>
        <w:rPr>
          <w:rFonts w:hint="eastAsia" w:ascii="仿宋" w:hAnsi="仿宋" w:eastAsia="仿宋" w:cs="仿宋"/>
          <w:sz w:val="28"/>
          <w:szCs w:val="28"/>
          <w:highlight w:val="yellow"/>
          <w:lang w:bidi="ar"/>
        </w:rPr>
        <w:t>用 户 名：g</w:t>
      </w:r>
      <w:r>
        <w:rPr>
          <w:rFonts w:ascii="仿宋" w:hAnsi="仿宋" w:eastAsia="仿宋" w:cs="仿宋"/>
          <w:sz w:val="28"/>
          <w:szCs w:val="28"/>
          <w:highlight w:val="yellow"/>
          <w:lang w:bidi="ar"/>
        </w:rPr>
        <w:t>ys+</w:t>
      </w:r>
      <w:r>
        <w:rPr>
          <w:rFonts w:hint="eastAsia" w:ascii="仿宋" w:hAnsi="仿宋" w:eastAsia="仿宋" w:cs="仿宋"/>
          <w:sz w:val="28"/>
          <w:szCs w:val="28"/>
          <w:highlight w:val="yellow"/>
          <w:lang w:bidi="ar"/>
        </w:rPr>
        <w:t>供应商代码</w:t>
      </w:r>
    </w:p>
    <w:p>
      <w:pPr>
        <w:widowControl/>
        <w:spacing w:line="480" w:lineRule="exact"/>
        <w:ind w:firstLine="560"/>
        <w:rPr>
          <w:rFonts w:hint="eastAsia" w:ascii="仿宋" w:hAnsi="仿宋" w:eastAsia="仿宋" w:cs="仿宋"/>
          <w:sz w:val="28"/>
          <w:szCs w:val="28"/>
          <w:lang w:val="en-US" w:eastAsia="zh-CN" w:bidi="ar"/>
        </w:rPr>
      </w:pPr>
      <w:r>
        <w:rPr>
          <w:rFonts w:hint="eastAsia" w:ascii="仿宋" w:hAnsi="仿宋" w:eastAsia="仿宋" w:cs="仿宋"/>
          <w:sz w:val="28"/>
          <w:szCs w:val="28"/>
          <w:highlight w:val="yellow"/>
          <w:lang w:bidi="ar"/>
        </w:rPr>
        <w:t>初始密码：scm</w:t>
      </w:r>
      <w:r>
        <w:rPr>
          <w:rFonts w:ascii="仿宋" w:hAnsi="仿宋" w:eastAsia="仿宋" w:cs="仿宋"/>
          <w:sz w:val="28"/>
          <w:szCs w:val="28"/>
          <w:highlight w:val="yellow"/>
          <w:lang w:bidi="ar"/>
        </w:rPr>
        <w:t>@202</w:t>
      </w:r>
      <w:r>
        <w:rPr>
          <w:rFonts w:hint="eastAsia" w:ascii="仿宋" w:hAnsi="仿宋" w:eastAsia="仿宋" w:cs="仿宋"/>
          <w:sz w:val="28"/>
          <w:szCs w:val="28"/>
          <w:highlight w:val="yellow"/>
          <w:lang w:val="en-US" w:eastAsia="zh-CN" w:bidi="ar"/>
        </w:rPr>
        <w:t>2</w:t>
      </w:r>
    </w:p>
    <w:p>
      <w:pPr>
        <w:widowControl/>
        <w:spacing w:line="480" w:lineRule="exact"/>
        <w:ind w:firstLine="560"/>
        <w:rPr>
          <w:rFonts w:ascii="仿宋" w:hAnsi="仿宋" w:eastAsia="仿宋" w:cs="仿宋"/>
          <w:sz w:val="28"/>
          <w:szCs w:val="28"/>
          <w:lang w:bidi="ar"/>
        </w:rPr>
      </w:pPr>
    </w:p>
    <w:p>
      <w:bookmarkStart w:id="0" w:name="_Toc77336609"/>
      <w:bookmarkEnd w:id="0"/>
      <w:bookmarkStart w:id="1" w:name="_Toc522005584"/>
      <w:bookmarkEnd w:id="1"/>
      <w:bookmarkStart w:id="2" w:name="_Toc77754747"/>
      <w:bookmarkEnd w:id="2"/>
      <w:bookmarkStart w:id="3" w:name="_Toc77337714"/>
      <w:bookmarkEnd w:id="3"/>
      <w:bookmarkStart w:id="4" w:name="_Toc521919763"/>
      <w:bookmarkEnd w:id="4"/>
      <w:bookmarkStart w:id="5" w:name="_Toc77752841"/>
      <w:bookmarkEnd w:id="5"/>
      <w:bookmarkStart w:id="6" w:name="_Toc77952823"/>
      <w:bookmarkEnd w:id="6"/>
      <w:bookmarkStart w:id="7" w:name="_Toc77336328"/>
      <w:bookmarkEnd w:id="7"/>
      <w:bookmarkStart w:id="8" w:name="_Toc77754138"/>
      <w:bookmarkEnd w:id="8"/>
      <w:bookmarkStart w:id="9" w:name="_Toc111214275"/>
      <w:bookmarkEnd w:id="9"/>
      <w:bookmarkStart w:id="10" w:name="_Toc77336402"/>
      <w:bookmarkEnd w:id="10"/>
      <w:bookmarkStart w:id="11" w:name="_Toc77693130"/>
      <w:bookmarkEnd w:id="11"/>
      <w:bookmarkStart w:id="12" w:name="_Toc77337624"/>
      <w:bookmarkEnd w:id="12"/>
    </w:p>
    <w:p>
      <w:pPr>
        <w:pStyle w:val="4"/>
      </w:pPr>
      <w:r>
        <w:rPr>
          <w:rFonts w:hint="eastAsia"/>
        </w:rPr>
        <w:t>供应商应标</w:t>
      </w:r>
    </w:p>
    <w:p>
      <w:r>
        <w:rPr>
          <w:rFonts w:hint="eastAsia"/>
        </w:rPr>
        <w:t>路径：招投标中心-非生产类招投标-供应商应标</w:t>
      </w:r>
    </w:p>
    <w:p>
      <w:r>
        <w:rPr>
          <w:rFonts w:hint="eastAsia"/>
        </w:rPr>
        <w:t>点击应标，上传文件之后点击提交。</w:t>
      </w:r>
    </w:p>
    <w:p>
      <w:r>
        <w:drawing>
          <wp:inline distT="0" distB="0" distL="114300" distR="114300">
            <wp:extent cx="5751830" cy="2267585"/>
            <wp:effectExtent l="0" t="0" r="889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751830" cy="2267585"/>
                    </a:xfrm>
                    <a:prstGeom prst="rect">
                      <a:avLst/>
                    </a:prstGeom>
                    <a:noFill/>
                    <a:ln>
                      <a:noFill/>
                    </a:ln>
                  </pic:spPr>
                </pic:pic>
              </a:graphicData>
            </a:graphic>
          </wp:inline>
        </w:drawing>
      </w:r>
    </w:p>
    <w:p>
      <w:pPr>
        <w:rPr>
          <w:rFonts w:hint="eastAsia"/>
          <w:color w:val="FF0000"/>
          <w:sz w:val="28"/>
          <w:szCs w:val="28"/>
          <w:lang w:val="en-US" w:eastAsia="zh-CN"/>
        </w:rPr>
      </w:pPr>
      <w:r>
        <w:rPr>
          <w:rFonts w:hint="eastAsia"/>
          <w:color w:val="FF0000"/>
          <w:sz w:val="28"/>
          <w:szCs w:val="28"/>
          <w:lang w:val="en-US" w:eastAsia="zh-CN"/>
        </w:rPr>
        <w:t>注意：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w:t>
      </w:r>
      <w:bookmarkStart w:id="14" w:name="_GoBack"/>
      <w:bookmarkEnd w:id="14"/>
      <w:r>
        <w:rPr>
          <w:rFonts w:hint="eastAsia"/>
          <w:color w:val="FF0000"/>
          <w:sz w:val="28"/>
          <w:szCs w:val="28"/>
          <w:lang w:val="en-US" w:eastAsia="zh-CN"/>
        </w:rPr>
        <w:t>数据是不显示的且为空的，慎重。按要求填写财务数据，财务数据除长期借款、短期借款、对外担保金额可以为0其他数据不允许为空，全部信息补充完整（上面其他的名称、地址、等等其他数据不变更不需要填写）之后选择采购工程师提交，经过审批后后才可以参与招标。</w:t>
      </w:r>
    </w:p>
    <w:p>
      <w:pPr>
        <w:ind w:firstLine="560" w:firstLineChars="200"/>
        <w:rPr>
          <w:rFonts w:hint="eastAsia"/>
          <w:color w:val="FF0000"/>
          <w:sz w:val="28"/>
          <w:szCs w:val="28"/>
          <w:lang w:val="en-US" w:eastAsia="zh-CN"/>
        </w:rPr>
      </w:pPr>
      <w:r>
        <w:rPr>
          <w:rFonts w:hint="eastAsia"/>
          <w:color w:val="FF0000"/>
          <w:sz w:val="28"/>
          <w:szCs w:val="28"/>
          <w:lang w:val="en-US" w:eastAsia="zh-CN"/>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r>
        <w:drawing>
          <wp:inline distT="0" distB="0" distL="114300" distR="114300">
            <wp:extent cx="4180840" cy="1755775"/>
            <wp:effectExtent l="0" t="0" r="10160" b="952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1"/>
                    <a:stretch>
                      <a:fillRect/>
                    </a:stretch>
                  </pic:blipFill>
                  <pic:spPr>
                    <a:xfrm>
                      <a:off x="0" y="0"/>
                      <a:ext cx="4180840" cy="1755775"/>
                    </a:xfrm>
                    <a:prstGeom prst="rect">
                      <a:avLst/>
                    </a:prstGeom>
                    <a:noFill/>
                    <a:ln>
                      <a:noFill/>
                    </a:ln>
                  </pic:spPr>
                </pic:pic>
              </a:graphicData>
            </a:graphic>
          </wp:inline>
        </w:drawing>
      </w:r>
    </w:p>
    <w:p>
      <w:pPr>
        <w:rPr>
          <w:rFonts w:hint="default"/>
          <w:lang w:val="en-US" w:eastAsia="zh-CN"/>
        </w:rPr>
      </w:pPr>
      <w:r>
        <w:drawing>
          <wp:inline distT="0" distB="0" distL="114300" distR="114300">
            <wp:extent cx="4310380" cy="2586355"/>
            <wp:effectExtent l="0" t="0" r="762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310380" cy="2586355"/>
                    </a:xfrm>
                    <a:prstGeom prst="rect">
                      <a:avLst/>
                    </a:prstGeom>
                    <a:noFill/>
                    <a:ln>
                      <a:noFill/>
                    </a:ln>
                  </pic:spPr>
                </pic:pic>
              </a:graphicData>
            </a:graphic>
          </wp:inline>
        </w:drawing>
      </w:r>
      <w:r>
        <w:drawing>
          <wp:inline distT="0" distB="0" distL="114300" distR="114300">
            <wp:extent cx="5746750" cy="1341755"/>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746750" cy="1341755"/>
                    </a:xfrm>
                    <a:prstGeom prst="rect">
                      <a:avLst/>
                    </a:prstGeom>
                    <a:noFill/>
                    <a:ln>
                      <a:noFill/>
                    </a:ln>
                  </pic:spPr>
                </pic:pic>
              </a:graphicData>
            </a:graphic>
          </wp:inline>
        </w:drawing>
      </w:r>
      <w:r>
        <w:drawing>
          <wp:inline distT="0" distB="0" distL="114300" distR="114300">
            <wp:extent cx="5751195" cy="292544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751195" cy="2925445"/>
                    </a:xfrm>
                    <a:prstGeom prst="rect">
                      <a:avLst/>
                    </a:prstGeom>
                    <a:noFill/>
                    <a:ln>
                      <a:noFill/>
                    </a:ln>
                  </pic:spPr>
                </pic:pic>
              </a:graphicData>
            </a:graphic>
          </wp:inline>
        </w:drawing>
      </w:r>
      <w:r>
        <w:drawing>
          <wp:inline distT="0" distB="0" distL="114300" distR="114300">
            <wp:extent cx="5746115" cy="3126105"/>
            <wp:effectExtent l="0" t="0" r="698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746115" cy="3126105"/>
                    </a:xfrm>
                    <a:prstGeom prst="rect">
                      <a:avLst/>
                    </a:prstGeom>
                    <a:noFill/>
                    <a:ln>
                      <a:noFill/>
                    </a:ln>
                  </pic:spPr>
                </pic:pic>
              </a:graphicData>
            </a:graphic>
          </wp:inline>
        </w:drawing>
      </w:r>
    </w:p>
    <w:p/>
    <w:p>
      <w:pPr>
        <w:pStyle w:val="4"/>
      </w:pPr>
      <w:r>
        <w:rPr>
          <w:rFonts w:hint="eastAsia"/>
        </w:rPr>
        <w:t>供应商投标</w:t>
      </w:r>
    </w:p>
    <w:p>
      <w:r>
        <w:t>路径：招投标中心-非生产类招投标-</w:t>
      </w:r>
      <w:r>
        <w:rPr>
          <w:rFonts w:hint="eastAsia"/>
        </w:rPr>
        <w:t>供应商投标</w:t>
      </w:r>
    </w:p>
    <w:p>
      <w:r>
        <w:drawing>
          <wp:inline distT="0" distB="0" distL="114300" distR="114300">
            <wp:extent cx="5750560" cy="2118360"/>
            <wp:effectExtent l="0" t="0" r="1016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5750560" cy="2118360"/>
                    </a:xfrm>
                    <a:prstGeom prst="rect">
                      <a:avLst/>
                    </a:prstGeom>
                    <a:noFill/>
                    <a:ln>
                      <a:noFill/>
                    </a:ln>
                  </pic:spPr>
                </pic:pic>
              </a:graphicData>
            </a:graphic>
          </wp:inline>
        </w:drawing>
      </w:r>
    </w:p>
    <w:p>
      <w:r>
        <w:rPr>
          <w:rFonts w:hint="eastAsia"/>
        </w:rPr>
        <w:t>点击投标按钮，进入详情页，输入投标报价并上传相应的附件。</w:t>
      </w:r>
    </w:p>
    <w:p>
      <w:pPr>
        <w:rPr>
          <w:b/>
          <w:bCs/>
        </w:rPr>
      </w:pPr>
      <w:r>
        <w:rPr>
          <w:rFonts w:hint="eastAsia"/>
          <w:b/>
          <w:bCs/>
          <w:highlight w:val="yellow"/>
        </w:rPr>
        <w:t>请注意，投标报价单位为万元含税</w:t>
      </w:r>
    </w:p>
    <w:p>
      <w:r>
        <w:drawing>
          <wp:inline distT="0" distB="0" distL="114300" distR="114300">
            <wp:extent cx="5752465" cy="2797175"/>
            <wp:effectExtent l="0" t="0" r="8255" b="69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7"/>
                    <a:stretch>
                      <a:fillRect/>
                    </a:stretch>
                  </pic:blipFill>
                  <pic:spPr>
                    <a:xfrm>
                      <a:off x="0" y="0"/>
                      <a:ext cx="5752465" cy="2797175"/>
                    </a:xfrm>
                    <a:prstGeom prst="rect">
                      <a:avLst/>
                    </a:prstGeom>
                    <a:noFill/>
                    <a:ln>
                      <a:noFill/>
                    </a:ln>
                  </pic:spPr>
                </pic:pic>
              </a:graphicData>
            </a:graphic>
          </wp:inline>
        </w:drawing>
      </w:r>
    </w:p>
    <w:p>
      <w:pPr>
        <w:pStyle w:val="4"/>
      </w:pPr>
      <w:bookmarkStart w:id="13" w:name="_Hlk128316797"/>
      <w:r>
        <w:rPr>
          <w:rFonts w:hint="eastAsia"/>
        </w:rPr>
        <w:t>供应商技术标澄清函</w:t>
      </w:r>
    </w:p>
    <w:p>
      <w:r>
        <w:t>路径：招投标中心-非生产类招投标-</w:t>
      </w:r>
      <w:r>
        <w:rPr>
          <w:rFonts w:hint="eastAsia"/>
        </w:rPr>
        <w:t>供应商技术标澄清函</w:t>
      </w:r>
    </w:p>
    <w:p>
      <w:r>
        <w:rPr>
          <w:rFonts w:hint="eastAsia"/>
        </w:rPr>
        <w:t>点击编辑按钮进入系统，技术标澄清函。</w:t>
      </w:r>
    </w:p>
    <w:p>
      <w:r>
        <w:rPr>
          <w:rFonts w:hint="eastAsia"/>
        </w:rPr>
        <w:t>开标之后所有投标的供应商都可编辑提交，技术标入围之后 都不可编辑</w:t>
      </w:r>
    </w:p>
    <w:p>
      <w:r>
        <w:drawing>
          <wp:inline distT="0" distB="0" distL="0" distR="0">
            <wp:extent cx="5759450" cy="2669540"/>
            <wp:effectExtent l="0" t="0" r="0" b="0"/>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18"/>
                    <a:stretch>
                      <a:fillRect/>
                    </a:stretch>
                  </pic:blipFill>
                  <pic:spPr>
                    <a:xfrm>
                      <a:off x="0" y="0"/>
                      <a:ext cx="5759450" cy="2669540"/>
                    </a:xfrm>
                    <a:prstGeom prst="rect">
                      <a:avLst/>
                    </a:prstGeom>
                  </pic:spPr>
                </pic:pic>
              </a:graphicData>
            </a:graphic>
          </wp:inline>
        </w:drawing>
      </w:r>
    </w:p>
    <w:p/>
    <w:bookmarkEnd w:id="13"/>
    <w:p>
      <w:pPr>
        <w:pStyle w:val="4"/>
      </w:pPr>
      <w:r>
        <w:rPr>
          <w:rFonts w:hint="eastAsia"/>
        </w:rPr>
        <w:t>供应商报价</w:t>
      </w:r>
    </w:p>
    <w:p>
      <w:r>
        <w:t>路径：招投标中心-非生产类招投标-</w:t>
      </w:r>
      <w:r>
        <w:rPr>
          <w:rFonts w:hint="eastAsia"/>
        </w:rPr>
        <w:t>供应商报价</w:t>
      </w:r>
    </w:p>
    <w:p>
      <w:r>
        <w:rPr>
          <w:rFonts w:hint="eastAsia"/>
        </w:rPr>
        <w:t>点击报价按钮进入报价详情界面，请在此轮报价起止时间内报价并输入澄清函，否则无法报价。</w:t>
      </w:r>
    </w:p>
    <w:p>
      <w:pPr>
        <w:rPr>
          <w:b/>
          <w:bCs/>
        </w:rPr>
      </w:pPr>
      <w:r>
        <w:rPr>
          <w:rFonts w:hint="eastAsia"/>
          <w:b/>
          <w:bCs/>
          <w:highlight w:val="yellow"/>
        </w:rPr>
        <w:t>请注意，报价单位为万元含税</w:t>
      </w:r>
    </w:p>
    <w:p>
      <w:pPr>
        <w:rPr>
          <w:rFonts w:hint="eastAsia"/>
          <w:b/>
          <w:bCs/>
        </w:rPr>
      </w:pPr>
    </w:p>
    <w:p>
      <w:pPr>
        <w:rPr>
          <w:b/>
          <w:bCs/>
        </w:rPr>
      </w:pPr>
      <w:r>
        <w:drawing>
          <wp:inline distT="0" distB="0" distL="0" distR="0">
            <wp:extent cx="5759450" cy="2936240"/>
            <wp:effectExtent l="0" t="0" r="0" b="0"/>
            <wp:docPr id="1001516908"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6908" name="图片 1" descr="图形用户界面, 文本&#10;&#10;描述已自动生成"/>
                    <pic:cNvPicPr>
                      <a:picLocks noChangeAspect="1"/>
                    </pic:cNvPicPr>
                  </pic:nvPicPr>
                  <pic:blipFill>
                    <a:blip r:embed="rId19"/>
                    <a:stretch>
                      <a:fillRect/>
                    </a:stretch>
                  </pic:blipFill>
                  <pic:spPr>
                    <a:xfrm>
                      <a:off x="0" y="0"/>
                      <a:ext cx="5759450" cy="2936240"/>
                    </a:xfrm>
                    <a:prstGeom prst="rect">
                      <a:avLst/>
                    </a:prstGeom>
                  </pic:spPr>
                </pic:pic>
              </a:graphicData>
            </a:graphic>
          </wp:inline>
        </w:drawing>
      </w:r>
    </w:p>
    <w:p>
      <w:pPr>
        <w:rPr>
          <w:rFonts w:hint="eastAsia"/>
          <w:b/>
          <w:bCs/>
        </w:rPr>
      </w:pPr>
    </w:p>
    <w:p>
      <w:pPr>
        <w:pStyle w:val="4"/>
      </w:pPr>
      <w:r>
        <w:rPr>
          <w:rFonts w:hint="eastAsia"/>
        </w:rPr>
        <w:t>供应商澄清报价</w:t>
      </w:r>
    </w:p>
    <w:p>
      <w:r>
        <w:t>路径：招投标中心-非生产类招投标-</w:t>
      </w:r>
      <w:r>
        <w:rPr>
          <w:rFonts w:hint="eastAsia"/>
        </w:rPr>
        <w:t>供应商澄清报价</w:t>
      </w:r>
    </w:p>
    <w:p/>
    <w:p>
      <w:r>
        <w:rPr>
          <w:rFonts w:hint="eastAsia"/>
        </w:rPr>
        <w:t>招标发起人接收建议价的同时会给供应商发送澄清报价，供应商在此界面进行澄清报价，点击编辑按钮进入澄清报价详细界面，输入价格并上传澄清函，之后点击提交。</w:t>
      </w:r>
    </w:p>
    <w:p>
      <w:r>
        <w:drawing>
          <wp:inline distT="0" distB="0" distL="0" distR="0">
            <wp:extent cx="5759450" cy="2671445"/>
            <wp:effectExtent l="0" t="0" r="0" b="0"/>
            <wp:docPr id="36"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 电子邮件&#10;&#10;描述已自动生成"/>
                    <pic:cNvPicPr>
                      <a:picLocks noChangeAspect="1"/>
                    </pic:cNvPicPr>
                  </pic:nvPicPr>
                  <pic:blipFill>
                    <a:blip r:embed="rId20"/>
                    <a:stretch>
                      <a:fillRect/>
                    </a:stretch>
                  </pic:blipFill>
                  <pic:spPr>
                    <a:xfrm>
                      <a:off x="0" y="0"/>
                      <a:ext cx="5759450" cy="2671445"/>
                    </a:xfrm>
                    <a:prstGeom prst="rect">
                      <a:avLst/>
                    </a:prstGeom>
                  </pic:spPr>
                </pic:pic>
              </a:graphicData>
            </a:graphic>
          </wp:inline>
        </w:drawing>
      </w:r>
    </w:p>
    <w:p>
      <w:pPr>
        <w:pStyle w:val="4"/>
      </w:pPr>
      <w:r>
        <w:rPr>
          <w:rFonts w:hint="eastAsia"/>
        </w:rPr>
        <w:t>供应商查看中标通知</w:t>
      </w:r>
    </w:p>
    <w:p>
      <w:r>
        <w:t>路径：招投标中心-非生产类招投标-</w:t>
      </w:r>
      <w:r>
        <w:rPr>
          <w:rFonts w:hint="eastAsia"/>
        </w:rPr>
        <w:t>中标项目</w:t>
      </w:r>
    </w:p>
    <w:p>
      <w:r>
        <w:rPr>
          <w:rFonts w:hint="eastAsia"/>
        </w:rPr>
        <w:t>点击查看进入查看中标项目详情</w:t>
      </w:r>
    </w:p>
    <w:p>
      <w:r>
        <w:drawing>
          <wp:inline distT="0" distB="0" distL="0" distR="0">
            <wp:extent cx="5759450" cy="2366010"/>
            <wp:effectExtent l="0" t="0" r="0" b="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1"/>
                    <a:stretch>
                      <a:fillRect/>
                    </a:stretch>
                  </pic:blipFill>
                  <pic:spPr>
                    <a:xfrm>
                      <a:off x="0" y="0"/>
                      <a:ext cx="5759450" cy="2366010"/>
                    </a:xfrm>
                    <a:prstGeom prst="rect">
                      <a:avLst/>
                    </a:prstGeom>
                  </pic:spPr>
                </pic:pic>
              </a:graphicData>
            </a:graphic>
          </wp:inline>
        </w:drawing>
      </w:r>
    </w:p>
    <w:p>
      <w:pPr>
        <w:rPr>
          <w:rFonts w:hint="eastAsia"/>
        </w:rPr>
      </w:pPr>
      <w:r>
        <w:drawing>
          <wp:inline distT="0" distB="0" distL="0" distR="0">
            <wp:extent cx="5759450" cy="2494915"/>
            <wp:effectExtent l="0" t="0" r="0" b="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2"/>
                    <a:stretch>
                      <a:fillRect/>
                    </a:stretch>
                  </pic:blipFill>
                  <pic:spPr>
                    <a:xfrm>
                      <a:off x="0" y="0"/>
                      <a:ext cx="5759450" cy="2494915"/>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
    <w:p>
      <w:pPr>
        <w:pStyle w:val="4"/>
      </w:pPr>
      <w:r>
        <w:rPr>
          <w:rFonts w:hint="eastAsia"/>
        </w:rPr>
        <w:t>评标纪律</w:t>
      </w:r>
    </w:p>
    <w:p/>
    <w:p>
      <w:r>
        <w:t>路径：招投标中心-非生产类招投标-</w:t>
      </w:r>
      <w:r>
        <w:rPr>
          <w:rFonts w:hint="eastAsia"/>
        </w:rPr>
        <w:t>供应商投标</w:t>
      </w:r>
    </w:p>
    <w:p/>
    <w:p>
      <w:pPr>
        <w:rPr>
          <w:rFonts w:hint="eastAsia"/>
        </w:rPr>
      </w:pPr>
      <w:r>
        <w:rPr>
          <w:rFonts w:hint="eastAsia"/>
        </w:rPr>
        <w:t>供应商投标时会弹窗展示评标纪律，要求供应商勾选我已阅知并保证遵守评标记录之后点击确定按钮进入投标界面。</w:t>
      </w:r>
    </w:p>
    <w:p>
      <w:pPr>
        <w:rPr>
          <w:rFonts w:hint="eastAsia"/>
        </w:rPr>
      </w:pPr>
      <w:r>
        <w:drawing>
          <wp:inline distT="0" distB="0" distL="0" distR="0">
            <wp:extent cx="5759450" cy="6294120"/>
            <wp:effectExtent l="0" t="0" r="0" b="0"/>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3"/>
                    <a:stretch>
                      <a:fillRect/>
                    </a:stretch>
                  </pic:blipFill>
                  <pic:spPr>
                    <a:xfrm>
                      <a:off x="0" y="0"/>
                      <a:ext cx="5759450" cy="6294120"/>
                    </a:xfrm>
                    <a:prstGeom prst="rect">
                      <a:avLst/>
                    </a:prstGeom>
                  </pic:spPr>
                </pic:pic>
              </a:graphicData>
            </a:graphic>
          </wp:inline>
        </w:drawing>
      </w:r>
    </w:p>
    <w:p>
      <w:pPr>
        <w:pageBreakBefore/>
      </w:pPr>
      <w:r>
        <w:br w:type="page"/>
      </w:r>
    </w:p>
    <w:p>
      <w:pPr>
        <w:pageBreakBefore/>
      </w:pPr>
    </w:p>
    <w:p>
      <w:pPr>
        <w:pageBreakBefore/>
      </w:pPr>
    </w:p>
    <w:p>
      <w:pPr>
        <w:pageBreakBefore/>
      </w:pPr>
    </w:p>
    <w:sectPr>
      <w:headerReference r:id="rId5" w:type="first"/>
      <w:footerReference r:id="rId8" w:type="first"/>
      <w:headerReference r:id="rId3" w:type="default"/>
      <w:footerReference r:id="rId6" w:type="default"/>
      <w:headerReference r:id="rId4" w:type="even"/>
      <w:footerReference r:id="rId7" w:type="even"/>
      <w:pgSz w:w="11906" w:h="16838"/>
      <w:pgMar w:top="1134" w:right="1418" w:bottom="1134" w:left="1418" w:header="397"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12" w:space="1"/>
      </w:pBdr>
      <w:ind w:firstLine="420"/>
      <w:jc w:val="center"/>
      <w:rPr>
        <w:szCs w:val="21"/>
      </w:rPr>
    </w:pPr>
    <w:r>
      <w:rPr>
        <w:rFonts w:hint="eastAsia" w:asciiTheme="minorEastAsia" w:hAnsiTheme="minorEastAsia"/>
        <w:szCs w:val="21"/>
      </w:rPr>
      <w:t>第</w:t>
    </w:r>
    <w:r>
      <w:rPr>
        <w:rFonts w:asciiTheme="minorEastAsia" w:hAnsiTheme="minorEastAsia"/>
        <w:szCs w:val="21"/>
      </w:rPr>
      <w:fldChar w:fldCharType="begin"/>
    </w:r>
    <w:r>
      <w:rPr>
        <w:rFonts w:asciiTheme="minorEastAsia" w:hAnsiTheme="minorEastAsia"/>
        <w:szCs w:val="21"/>
      </w:rPr>
      <w:instrText xml:space="preserve">PAGE  \* Arabic  \* MERGEFORMAT</w:instrText>
    </w:r>
    <w:r>
      <w:rPr>
        <w:rFonts w:asciiTheme="minorEastAsia" w:hAnsiTheme="minorEastAsia"/>
        <w:szCs w:val="21"/>
      </w:rPr>
      <w:fldChar w:fldCharType="separate"/>
    </w:r>
    <w:r>
      <w:rPr>
        <w:rFonts w:asciiTheme="minorEastAsia" w:hAnsiTheme="minorEastAsia"/>
        <w:szCs w:val="21"/>
        <w:lang w:val="zh-CN"/>
      </w:rPr>
      <w:t>12</w:t>
    </w:r>
    <w:r>
      <w:rPr>
        <w:rFonts w:asciiTheme="minorEastAsia" w:hAnsiTheme="minorEastAsia"/>
        <w:szCs w:val="21"/>
      </w:rPr>
      <w:fldChar w:fldCharType="end"/>
    </w:r>
    <w:r>
      <w:rPr>
        <w:rFonts w:hint="eastAsia" w:asciiTheme="minorEastAsia" w:hAnsiTheme="minorEastAsia"/>
        <w:szCs w:val="21"/>
      </w:rPr>
      <w:t>页</w:t>
    </w:r>
    <w:r>
      <w:rPr>
        <w:rFonts w:asciiTheme="minorEastAsia" w:hAnsiTheme="minorEastAsia"/>
        <w:szCs w:val="21"/>
        <w:lang w:val="zh-CN"/>
      </w:rPr>
      <w:t>/</w:t>
    </w:r>
    <w:r>
      <w:rPr>
        <w:rFonts w:hint="eastAsia" w:asciiTheme="minorEastAsia" w:hAnsiTheme="minorEastAsia"/>
        <w:szCs w:val="21"/>
        <w:lang w:val="zh-CN"/>
      </w:rPr>
      <w:t>共</w:t>
    </w:r>
    <w:r>
      <w:fldChar w:fldCharType="begin"/>
    </w:r>
    <w:r>
      <w:instrText xml:space="preserve">NUMPAGES  \* Arabic  \* MERGEFORMAT</w:instrText>
    </w:r>
    <w:r>
      <w:fldChar w:fldCharType="separate"/>
    </w:r>
    <w:r>
      <w:rPr>
        <w:rFonts w:asciiTheme="minorEastAsia" w:hAnsiTheme="minorEastAsia"/>
        <w:szCs w:val="21"/>
        <w:lang w:val="zh-CN"/>
      </w:rPr>
      <w:t>65</w:t>
    </w:r>
    <w:r>
      <w:rPr>
        <w:rFonts w:asciiTheme="minorEastAsia" w:hAnsiTheme="minorEastAsia"/>
        <w:szCs w:val="21"/>
        <w:lang w:val="zh-CN"/>
      </w:rPr>
      <w:fldChar w:fldCharType="end"/>
    </w:r>
    <w:r>
      <w:rPr>
        <w:rFonts w:hint="eastAsia" w:asciiTheme="minorEastAsia" w:hAnsiTheme="minorEastAsia"/>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12" w:space="1"/>
      </w:pBdr>
      <w:jc w:val="left"/>
      <w:rPr>
        <w:szCs w:val="21"/>
      </w:rPr>
    </w:pPr>
    <w:r>
      <w:rPr>
        <w:rFonts w:hint="eastAsia"/>
        <w:szCs w:val="21"/>
      </w:rPr>
      <w:t xml:space="preserve"> </w:t>
    </w:r>
    <w:r>
      <w:rPr>
        <w:szCs w:val="21"/>
      </w:rPr>
      <w:t xml:space="preserve">                                                                                               </w:t>
    </w:r>
    <w:r>
      <w:rPr>
        <w:rFonts w:hint="eastAsia"/>
        <w:szCs w:val="21"/>
      </w:rPr>
      <w:t>S</w:t>
    </w:r>
    <w:r>
      <w:rPr>
        <w:szCs w:val="21"/>
      </w:rPr>
      <w:t>RM</w:t>
    </w:r>
    <w:r>
      <w:rPr>
        <w:rFonts w:hint="eastAsia"/>
        <w:szCs w:val="21"/>
      </w:rPr>
      <w:t>采购一体化</w:t>
    </w:r>
    <w:r>
      <w:rPr>
        <w:szCs w:val="21"/>
      </w:rPr>
      <w:t>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jc w:val="right"/>
      <w:rPr>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03BC2"/>
    <w:multiLevelType w:val="singleLevel"/>
    <w:tmpl w:val="AAA03BC2"/>
    <w:lvl w:ilvl="0" w:tentative="0">
      <w:start w:val="1"/>
      <w:numFmt w:val="decimal"/>
      <w:pStyle w:val="4"/>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noPunctuationKerning w:val="1"/>
  <w:characterSpacingControl w:val="doNotCompress"/>
  <w:compat>
    <w:doNotExpandShiftReturn/>
    <w:doNotWrapTextWithPunct/>
    <w:doNotUseEastAsianBreakRules/>
    <w:useFELayout/>
    <w:doNotUseIndentAsNumberingTabStop/>
    <w:splitPgBreakAndParaMark/>
    <w:compatSetting w:name="compatibilityMode" w:uri="http://schemas.microsoft.com/office/word" w:val="12"/>
  </w:compat>
  <w:docVars>
    <w:docVar w:name="commondata" w:val="eyJoZGlkIjoiYWMyOGFiOWIyYjM1ZTBlZDEyYjQxYmQ0NmQ1ZWYxNWEifQ=="/>
  </w:docVars>
  <w:rsids>
    <w:rsidRoot w:val="00172A27"/>
    <w:rsid w:val="00056215"/>
    <w:rsid w:val="0008539E"/>
    <w:rsid w:val="000E01B6"/>
    <w:rsid w:val="00172A27"/>
    <w:rsid w:val="001B22C3"/>
    <w:rsid w:val="00251A68"/>
    <w:rsid w:val="0026216F"/>
    <w:rsid w:val="002658B5"/>
    <w:rsid w:val="0027734C"/>
    <w:rsid w:val="00280C39"/>
    <w:rsid w:val="002A58FF"/>
    <w:rsid w:val="002E4B66"/>
    <w:rsid w:val="002F79BD"/>
    <w:rsid w:val="003320BB"/>
    <w:rsid w:val="0035055B"/>
    <w:rsid w:val="0040088B"/>
    <w:rsid w:val="00410577"/>
    <w:rsid w:val="004201B7"/>
    <w:rsid w:val="00420A7E"/>
    <w:rsid w:val="004435F3"/>
    <w:rsid w:val="00453225"/>
    <w:rsid w:val="00474C31"/>
    <w:rsid w:val="0048625E"/>
    <w:rsid w:val="004C3B41"/>
    <w:rsid w:val="004D6E52"/>
    <w:rsid w:val="00512C80"/>
    <w:rsid w:val="00546E0F"/>
    <w:rsid w:val="005943BC"/>
    <w:rsid w:val="00597E62"/>
    <w:rsid w:val="00597E8E"/>
    <w:rsid w:val="00603472"/>
    <w:rsid w:val="00612001"/>
    <w:rsid w:val="00613FDA"/>
    <w:rsid w:val="00620344"/>
    <w:rsid w:val="00686DD2"/>
    <w:rsid w:val="00705311"/>
    <w:rsid w:val="00746A95"/>
    <w:rsid w:val="00774000"/>
    <w:rsid w:val="00775393"/>
    <w:rsid w:val="00780E33"/>
    <w:rsid w:val="007C7709"/>
    <w:rsid w:val="00810382"/>
    <w:rsid w:val="00812ABE"/>
    <w:rsid w:val="0082539F"/>
    <w:rsid w:val="00835E1C"/>
    <w:rsid w:val="008666E9"/>
    <w:rsid w:val="00871B10"/>
    <w:rsid w:val="008A4987"/>
    <w:rsid w:val="008B7F4E"/>
    <w:rsid w:val="008E6AD6"/>
    <w:rsid w:val="008F094B"/>
    <w:rsid w:val="009029CE"/>
    <w:rsid w:val="00925DE2"/>
    <w:rsid w:val="00936117"/>
    <w:rsid w:val="009E436C"/>
    <w:rsid w:val="00A21200"/>
    <w:rsid w:val="00A41799"/>
    <w:rsid w:val="00AA0F2E"/>
    <w:rsid w:val="00AA15CF"/>
    <w:rsid w:val="00AA50A9"/>
    <w:rsid w:val="00AA61D0"/>
    <w:rsid w:val="00AC7103"/>
    <w:rsid w:val="00AE4737"/>
    <w:rsid w:val="00AF4355"/>
    <w:rsid w:val="00B25DE3"/>
    <w:rsid w:val="00B3554B"/>
    <w:rsid w:val="00B67B87"/>
    <w:rsid w:val="00B920E2"/>
    <w:rsid w:val="00BD27BA"/>
    <w:rsid w:val="00C1617B"/>
    <w:rsid w:val="00C2333A"/>
    <w:rsid w:val="00C25B27"/>
    <w:rsid w:val="00C26D28"/>
    <w:rsid w:val="00C574B8"/>
    <w:rsid w:val="00CD37B2"/>
    <w:rsid w:val="00CD3987"/>
    <w:rsid w:val="00CE17B6"/>
    <w:rsid w:val="00D04BD6"/>
    <w:rsid w:val="00D147AF"/>
    <w:rsid w:val="00D31950"/>
    <w:rsid w:val="00DB4693"/>
    <w:rsid w:val="00DB745A"/>
    <w:rsid w:val="00DC4D56"/>
    <w:rsid w:val="00DF69A4"/>
    <w:rsid w:val="00E244C2"/>
    <w:rsid w:val="00E45873"/>
    <w:rsid w:val="00E527CF"/>
    <w:rsid w:val="00E53831"/>
    <w:rsid w:val="00EA05D3"/>
    <w:rsid w:val="00EB0AD5"/>
    <w:rsid w:val="00ED7737"/>
    <w:rsid w:val="00F17E65"/>
    <w:rsid w:val="00F4225E"/>
    <w:rsid w:val="00FC06B5"/>
    <w:rsid w:val="02926C74"/>
    <w:rsid w:val="06FD08ED"/>
    <w:rsid w:val="083B0895"/>
    <w:rsid w:val="09055911"/>
    <w:rsid w:val="094E7626"/>
    <w:rsid w:val="09CB72D6"/>
    <w:rsid w:val="0A0E66E1"/>
    <w:rsid w:val="0D6B4803"/>
    <w:rsid w:val="0DF82297"/>
    <w:rsid w:val="0E7B78BC"/>
    <w:rsid w:val="0F1B0C0A"/>
    <w:rsid w:val="126605CD"/>
    <w:rsid w:val="14441774"/>
    <w:rsid w:val="151F3521"/>
    <w:rsid w:val="2164183D"/>
    <w:rsid w:val="22CD6D11"/>
    <w:rsid w:val="237E2B95"/>
    <w:rsid w:val="27F5264E"/>
    <w:rsid w:val="285B0DAF"/>
    <w:rsid w:val="29204669"/>
    <w:rsid w:val="29267689"/>
    <w:rsid w:val="2B746468"/>
    <w:rsid w:val="2BFD43B9"/>
    <w:rsid w:val="2E155481"/>
    <w:rsid w:val="2E6F2D10"/>
    <w:rsid w:val="30E705AD"/>
    <w:rsid w:val="33230922"/>
    <w:rsid w:val="346A286F"/>
    <w:rsid w:val="35333134"/>
    <w:rsid w:val="381551E7"/>
    <w:rsid w:val="392F7B56"/>
    <w:rsid w:val="3ACF167E"/>
    <w:rsid w:val="3CCB60BB"/>
    <w:rsid w:val="3D7B789B"/>
    <w:rsid w:val="3DED7156"/>
    <w:rsid w:val="3E204718"/>
    <w:rsid w:val="3E9414F0"/>
    <w:rsid w:val="3EE24282"/>
    <w:rsid w:val="3FD94AC9"/>
    <w:rsid w:val="4373317D"/>
    <w:rsid w:val="44380293"/>
    <w:rsid w:val="462036D5"/>
    <w:rsid w:val="46C31E7E"/>
    <w:rsid w:val="47A9492A"/>
    <w:rsid w:val="47FE17F4"/>
    <w:rsid w:val="48360F8E"/>
    <w:rsid w:val="4886147B"/>
    <w:rsid w:val="49C1412B"/>
    <w:rsid w:val="4AEB521D"/>
    <w:rsid w:val="4CE90D02"/>
    <w:rsid w:val="4EA90CEF"/>
    <w:rsid w:val="59774AA2"/>
    <w:rsid w:val="5B5C6B06"/>
    <w:rsid w:val="5C592DC3"/>
    <w:rsid w:val="5D336633"/>
    <w:rsid w:val="5EC073AC"/>
    <w:rsid w:val="5F8A4C69"/>
    <w:rsid w:val="625F7D37"/>
    <w:rsid w:val="630612FA"/>
    <w:rsid w:val="657065B9"/>
    <w:rsid w:val="69C441F4"/>
    <w:rsid w:val="6AFB5BA3"/>
    <w:rsid w:val="6EF36ACF"/>
    <w:rsid w:val="6F9260EB"/>
    <w:rsid w:val="71082658"/>
    <w:rsid w:val="713D663A"/>
    <w:rsid w:val="73E55A8B"/>
    <w:rsid w:val="740240DA"/>
    <w:rsid w:val="78032BA2"/>
    <w:rsid w:val="78DF0BE5"/>
    <w:rsid w:val="79D3176E"/>
    <w:rsid w:val="7EC00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unhideWhenUsed/>
    <w:qFormat/>
    <w:uiPriority w:val="0"/>
    <w:pPr>
      <w:keepNext/>
      <w:keepLines/>
      <w:spacing w:before="260" w:after="260" w:line="413" w:lineRule="auto"/>
      <w:outlineLvl w:val="2"/>
    </w:pPr>
    <w:rPr>
      <w:rFonts w:eastAsia="黑体"/>
      <w:b/>
      <w:sz w:val="28"/>
    </w:rPr>
  </w:style>
  <w:style w:type="paragraph" w:styleId="4">
    <w:name w:val="heading 4"/>
    <w:basedOn w:val="1"/>
    <w:next w:val="1"/>
    <w:autoRedefine/>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216</Words>
  <Characters>1233</Characters>
  <Lines>10</Lines>
  <Paragraphs>2</Paragraphs>
  <TotalTime>12</TotalTime>
  <ScaleCrop>false</ScaleCrop>
  <LinksUpToDate>false</LinksUpToDate>
  <CharactersWithSpaces>1447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2023-02-14T00:37:00Z</dcterms:created>
  <dc:creator>zzt</dc:creator>
  <cp:lastModifiedBy>Zzzzz、</cp:lastModifiedBy>
  <dcterms:modified xsi:type="dcterms:W3CDTF">2024-02-27T06:45:36Z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277A8DFF14E14B838CDC52B8A2AB1AF6</vt:lpwstr>
  </property>
</Properties>
</file>