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68CABC">
      <w:pPr>
        <w:spacing w:line="360" w:lineRule="auto"/>
        <w:ind w:right="360"/>
        <w:jc w:val="left"/>
        <w:rPr>
          <w:rFonts w:ascii="宋体" w:hAnsi="宋体" w:cs="宋体"/>
          <w:sz w:val="24"/>
          <w:szCs w:val="24"/>
        </w:rPr>
      </w:pPr>
      <w:bookmarkStart w:id="166" w:name="_GoBack"/>
      <w:bookmarkEnd w:id="166"/>
      <w:r>
        <w:rPr>
          <w:rFonts w:hint="eastAsia" w:ascii="宋体" w:hAnsi="宋体" w:cs="宋体"/>
          <w:sz w:val="24"/>
          <w:szCs w:val="24"/>
        </w:rPr>
        <w:t xml:space="preserve"> </w:t>
      </w:r>
      <w:r>
        <w:rPr>
          <w:rFonts w:ascii="宋体" w:hAnsi="宋体" w:cs="宋体"/>
          <w:sz w:val="24"/>
          <w:szCs w:val="24"/>
        </w:rPr>
        <w:t xml:space="preserve">                                                </w:t>
      </w:r>
    </w:p>
    <w:p w14:paraId="2829A999">
      <w:pPr>
        <w:spacing w:line="360" w:lineRule="auto"/>
        <w:ind w:right="360" w:firstLine="480" w:firstLineChars="200"/>
        <w:jc w:val="left"/>
        <w:rPr>
          <w:rFonts w:ascii="宋体" w:hAnsi="宋体" w:cs="宋体"/>
          <w:sz w:val="24"/>
          <w:szCs w:val="24"/>
          <w14:textFill>
            <w14:gradFill>
              <w14:gsLst>
                <w14:gs w14:pos="0">
                  <w14:srgbClr w14:val="14CD68"/>
                </w14:gs>
                <w14:gs w14:pos="100000">
                  <w14:srgbClr w14:val="0B6E38"/>
                </w14:gs>
              </w14:gsLst>
              <w14:lin w14:scaled="0"/>
            </w14:gradFill>
          </w14:textFill>
        </w:rPr>
      </w:pPr>
    </w:p>
    <w:p w14:paraId="6080964D">
      <w:pPr>
        <w:spacing w:line="360" w:lineRule="auto"/>
        <w:ind w:firstLine="480"/>
      </w:pPr>
    </w:p>
    <w:p w14:paraId="7C172A45">
      <w:pPr>
        <w:spacing w:line="360" w:lineRule="auto"/>
        <w:ind w:firstLine="880"/>
        <w:rPr>
          <w:rFonts w:ascii="楷体_GB2312" w:hAnsi="宋体" w:eastAsia="楷体_GB2312"/>
          <w:sz w:val="44"/>
          <w:szCs w:val="44"/>
        </w:rPr>
      </w:pPr>
    </w:p>
    <w:p w14:paraId="1B9AC27F">
      <w:pPr>
        <w:spacing w:line="360" w:lineRule="auto"/>
        <w:jc w:val="center"/>
      </w:pPr>
    </w:p>
    <w:p w14:paraId="446F7105">
      <w:pPr>
        <w:spacing w:line="360" w:lineRule="auto"/>
        <w:jc w:val="center"/>
        <w:rPr>
          <w:rFonts w:hint="default" w:ascii="楷体_GB2312" w:hAnsi="宋体" w:eastAsia="楷体_GB2312"/>
          <w:b/>
          <w:bCs/>
          <w:sz w:val="44"/>
          <w:szCs w:val="44"/>
          <w:u w:val="single"/>
          <w:lang w:val="en-US" w:eastAsia="zh-CN"/>
        </w:rPr>
      </w:pPr>
      <w:r>
        <w:rPr>
          <w:rFonts w:hint="eastAsia" w:ascii="楷体_GB2312" w:hAnsi="宋体" w:eastAsia="楷体_GB2312"/>
          <w:b/>
          <w:bCs/>
          <w:sz w:val="44"/>
          <w:szCs w:val="44"/>
          <w:u w:val="single"/>
        </w:rPr>
        <w:t>中国重汽集团</w:t>
      </w:r>
      <w:r>
        <w:rPr>
          <w:rFonts w:hint="eastAsia" w:ascii="楷体_GB2312" w:hAnsi="宋体" w:eastAsia="楷体_GB2312"/>
          <w:b/>
          <w:bCs/>
          <w:sz w:val="44"/>
          <w:szCs w:val="44"/>
          <w:u w:val="single"/>
          <w:lang w:val="en-US" w:eastAsia="zh-CN"/>
        </w:rPr>
        <w:t>济南特种车有限公司</w:t>
      </w:r>
    </w:p>
    <w:p w14:paraId="008C9AB0">
      <w:pPr>
        <w:spacing w:line="360" w:lineRule="auto"/>
        <w:jc w:val="center"/>
        <w:rPr>
          <w:rFonts w:ascii="楷体_GB2312" w:hAnsi="宋体" w:eastAsia="楷体_GB2312"/>
          <w:b/>
          <w:bCs/>
          <w:sz w:val="44"/>
          <w:szCs w:val="44"/>
          <w:u w:val="single"/>
        </w:rPr>
      </w:pPr>
      <w:r>
        <w:rPr>
          <w:rFonts w:hint="eastAsia" w:ascii="楷体_GB2312" w:hAnsi="宋体" w:eastAsia="楷体_GB2312"/>
          <w:b/>
          <w:bCs/>
          <w:sz w:val="44"/>
          <w:szCs w:val="44"/>
          <w:u w:val="single"/>
        </w:rPr>
        <w:t>202</w:t>
      </w:r>
      <w:r>
        <w:rPr>
          <w:rFonts w:hint="eastAsia" w:ascii="楷体_GB2312" w:hAnsi="宋体" w:eastAsia="楷体_GB2312"/>
          <w:b/>
          <w:bCs/>
          <w:sz w:val="44"/>
          <w:szCs w:val="44"/>
          <w:u w:val="single"/>
          <w:lang w:val="en-US" w:eastAsia="zh-CN"/>
        </w:rPr>
        <w:t>6</w:t>
      </w:r>
      <w:r>
        <w:rPr>
          <w:rFonts w:hint="eastAsia" w:ascii="楷体_GB2312" w:hAnsi="宋体" w:eastAsia="楷体_GB2312"/>
          <w:b/>
          <w:bCs/>
          <w:sz w:val="44"/>
          <w:szCs w:val="44"/>
          <w:u w:val="single"/>
        </w:rPr>
        <w:t>年</w:t>
      </w:r>
      <w:r>
        <w:rPr>
          <w:rFonts w:hint="eastAsia" w:ascii="楷体_GB2312" w:hAnsi="宋体" w:eastAsia="楷体_GB2312"/>
          <w:b/>
          <w:bCs/>
          <w:sz w:val="44"/>
          <w:szCs w:val="44"/>
          <w:u w:val="single"/>
          <w:lang w:val="en-US" w:eastAsia="zh-CN"/>
        </w:rPr>
        <w:t>商品</w:t>
      </w:r>
      <w:r>
        <w:rPr>
          <w:rFonts w:hint="eastAsia" w:ascii="楷体_GB2312" w:hAnsi="宋体" w:eastAsia="楷体_GB2312"/>
          <w:b/>
          <w:bCs/>
          <w:sz w:val="44"/>
          <w:szCs w:val="44"/>
          <w:u w:val="single"/>
        </w:rPr>
        <w:t>车</w:t>
      </w:r>
      <w:r>
        <w:rPr>
          <w:rFonts w:hint="eastAsia" w:ascii="楷体_GB2312" w:hAnsi="宋体" w:eastAsia="楷体_GB2312"/>
          <w:b/>
          <w:bCs/>
          <w:sz w:val="44"/>
          <w:szCs w:val="44"/>
          <w:u w:val="single"/>
          <w:lang w:val="en-US" w:eastAsia="zh-CN"/>
        </w:rPr>
        <w:t>运输及生产移库</w:t>
      </w:r>
      <w:r>
        <w:rPr>
          <w:rFonts w:hint="eastAsia" w:ascii="楷体_GB2312" w:hAnsi="宋体" w:eastAsia="楷体_GB2312"/>
          <w:b/>
          <w:bCs/>
          <w:sz w:val="44"/>
          <w:szCs w:val="44"/>
          <w:u w:val="single"/>
        </w:rPr>
        <w:t>项目</w:t>
      </w:r>
    </w:p>
    <w:p w14:paraId="01CEBD61">
      <w:pPr>
        <w:pStyle w:val="6"/>
        <w:spacing w:line="360" w:lineRule="auto"/>
      </w:pPr>
    </w:p>
    <w:p w14:paraId="22010B09">
      <w:pPr>
        <w:spacing w:line="360" w:lineRule="auto"/>
        <w:ind w:firstLine="2891" w:firstLineChars="400"/>
        <w:rPr>
          <w:rFonts w:ascii="宋体" w:hAnsi="宋体" w:cs="宋体"/>
          <w:b/>
          <w:bCs/>
          <w:sz w:val="72"/>
          <w:szCs w:val="72"/>
        </w:rPr>
      </w:pPr>
      <w:r>
        <w:rPr>
          <w:rFonts w:hint="eastAsia" w:ascii="宋体" w:hAnsi="宋体" w:cs="宋体"/>
          <w:b/>
          <w:bCs/>
          <w:sz w:val="72"/>
          <w:szCs w:val="72"/>
        </w:rPr>
        <w:t>招标文件</w:t>
      </w:r>
    </w:p>
    <w:p w14:paraId="30B934AA">
      <w:pPr>
        <w:spacing w:line="360" w:lineRule="auto"/>
        <w:ind w:firstLine="2249" w:firstLineChars="700"/>
        <w:jc w:val="both"/>
        <w:rPr>
          <w:rFonts w:hint="eastAsia" w:eastAsia="宋体"/>
          <w:highlight w:val="yellow"/>
          <w:lang w:val="en-US" w:eastAsia="zh-CN"/>
        </w:rPr>
      </w:pPr>
      <w:r>
        <w:rPr>
          <w:rFonts w:ascii="宋体" w:hAnsi="宋体" w:cs="宋体"/>
          <w:b/>
          <w:color w:val="000000"/>
          <w:sz w:val="32"/>
          <w:highlight w:val="none"/>
        </w:rPr>
        <w:t>项目编号：</w:t>
      </w:r>
      <w:r>
        <w:rPr>
          <w:rFonts w:hint="eastAsia" w:ascii="宋体" w:hAnsi="宋体" w:cs="宋体"/>
          <w:b/>
          <w:color w:val="000000"/>
          <w:sz w:val="32"/>
          <w:highlight w:val="none"/>
        </w:rPr>
        <w:t>ZBGL2026100165</w:t>
      </w:r>
    </w:p>
    <w:p w14:paraId="11D875DC">
      <w:pPr>
        <w:widowControl/>
        <w:spacing w:line="360" w:lineRule="auto"/>
        <w:ind w:firstLine="643"/>
        <w:jc w:val="left"/>
        <w:rPr>
          <w:rFonts w:ascii="宋体" w:hAnsi="宋体" w:cs="宋体"/>
          <w:b/>
          <w:bCs/>
          <w:kern w:val="0"/>
          <w:sz w:val="32"/>
          <w:szCs w:val="32"/>
        </w:rPr>
      </w:pPr>
    </w:p>
    <w:p w14:paraId="15F58297">
      <w:pPr>
        <w:widowControl/>
        <w:spacing w:line="360" w:lineRule="auto"/>
        <w:ind w:firstLine="643"/>
        <w:jc w:val="left"/>
        <w:rPr>
          <w:rFonts w:ascii="宋体" w:hAnsi="宋体" w:cs="宋体"/>
          <w:b/>
          <w:bCs/>
          <w:kern w:val="0"/>
          <w:sz w:val="32"/>
          <w:szCs w:val="32"/>
        </w:rPr>
      </w:pPr>
    </w:p>
    <w:p w14:paraId="76638E15">
      <w:pPr>
        <w:widowControl/>
        <w:spacing w:line="360" w:lineRule="auto"/>
        <w:ind w:firstLine="643"/>
        <w:jc w:val="left"/>
        <w:rPr>
          <w:rFonts w:ascii="宋体" w:hAnsi="宋体" w:cs="宋体"/>
          <w:b/>
          <w:bCs/>
          <w:kern w:val="0"/>
          <w:sz w:val="32"/>
          <w:szCs w:val="32"/>
        </w:rPr>
      </w:pPr>
    </w:p>
    <w:p w14:paraId="1904C7A6">
      <w:pPr>
        <w:widowControl/>
        <w:spacing w:line="360" w:lineRule="auto"/>
        <w:ind w:firstLine="1590" w:firstLineChars="495"/>
        <w:rPr>
          <w:rFonts w:ascii="宋体" w:hAnsi="宋体" w:cs="宋体"/>
          <w:b/>
          <w:bCs/>
          <w:kern w:val="0"/>
          <w:sz w:val="32"/>
          <w:szCs w:val="32"/>
          <w:u w:val="single"/>
        </w:rPr>
      </w:pPr>
    </w:p>
    <w:p w14:paraId="242375DA">
      <w:pPr>
        <w:widowControl/>
        <w:spacing w:line="360" w:lineRule="auto"/>
        <w:ind w:firstLine="643"/>
        <w:jc w:val="center"/>
        <w:rPr>
          <w:rFonts w:ascii="宋体" w:hAnsi="宋体" w:cs="宋体"/>
          <w:b/>
          <w:bCs/>
          <w:kern w:val="0"/>
          <w:sz w:val="32"/>
          <w:szCs w:val="32"/>
        </w:rPr>
      </w:pPr>
    </w:p>
    <w:p w14:paraId="56CE3AEF">
      <w:pPr>
        <w:spacing w:line="360" w:lineRule="auto"/>
      </w:pPr>
    </w:p>
    <w:p w14:paraId="2746D7C2">
      <w:pPr>
        <w:widowControl/>
        <w:spacing w:line="360" w:lineRule="auto"/>
        <w:ind w:firstLine="2096" w:firstLineChars="696"/>
        <w:rPr>
          <w:rFonts w:ascii="宋体" w:hAnsi="宋体" w:cs="宋体"/>
          <w:b/>
          <w:bCs/>
          <w:sz w:val="30"/>
          <w:szCs w:val="30"/>
          <w:u w:val="single"/>
        </w:rPr>
      </w:pPr>
      <w:r>
        <w:rPr>
          <w:rFonts w:hint="eastAsia" w:ascii="宋体" w:hAnsi="宋体" w:cs="宋体"/>
          <w:b/>
          <w:bCs/>
          <w:sz w:val="30"/>
          <w:szCs w:val="30"/>
          <w:u w:val="single"/>
        </w:rPr>
        <w:t>招标单位：中国</w:t>
      </w:r>
      <w:r>
        <w:rPr>
          <w:rFonts w:hint="eastAsia" w:ascii="宋体" w:hAnsi="宋体" w:cs="宋体"/>
          <w:b/>
          <w:bCs/>
          <w:sz w:val="30"/>
          <w:szCs w:val="30"/>
          <w:u w:val="single"/>
          <w:lang w:val="en-US" w:eastAsia="zh-CN"/>
        </w:rPr>
        <w:t>重型汽车集团</w:t>
      </w:r>
      <w:r>
        <w:rPr>
          <w:rFonts w:hint="eastAsia" w:ascii="宋体" w:hAnsi="宋体" w:cs="宋体"/>
          <w:b/>
          <w:bCs/>
          <w:sz w:val="30"/>
          <w:szCs w:val="30"/>
          <w:u w:val="single"/>
        </w:rPr>
        <w:t>有限公司</w:t>
      </w:r>
    </w:p>
    <w:p w14:paraId="6A4543DA">
      <w:pPr>
        <w:spacing w:line="360" w:lineRule="auto"/>
        <w:jc w:val="center"/>
        <w:rPr>
          <w:rFonts w:eastAsia="黑体"/>
        </w:rPr>
      </w:pPr>
      <w:r>
        <w:rPr>
          <w:rFonts w:hint="eastAsia" w:ascii="黑体" w:hAnsi="黑体" w:eastAsia="黑体" w:cs="黑体"/>
          <w:color w:val="000000"/>
          <w:sz w:val="32"/>
          <w:u w:val="single"/>
        </w:rPr>
        <w:t>202</w:t>
      </w:r>
      <w:r>
        <w:rPr>
          <w:rFonts w:hint="eastAsia" w:ascii="黑体" w:hAnsi="黑体" w:eastAsia="黑体" w:cs="黑体"/>
          <w:color w:val="000000"/>
          <w:sz w:val="32"/>
          <w:u w:val="single"/>
          <w:lang w:val="en-US" w:eastAsia="zh-CN"/>
        </w:rPr>
        <w:t>6</w:t>
      </w:r>
      <w:r>
        <w:rPr>
          <w:rFonts w:hint="eastAsia" w:ascii="黑体" w:hAnsi="黑体" w:eastAsia="黑体" w:cs="黑体"/>
          <w:color w:val="000000"/>
          <w:sz w:val="32"/>
        </w:rPr>
        <w:t>年</w:t>
      </w:r>
      <w:r>
        <w:rPr>
          <w:rFonts w:hint="eastAsia" w:ascii="黑体" w:hAnsi="黑体" w:eastAsia="黑体" w:cs="黑体"/>
          <w:color w:val="000000"/>
          <w:sz w:val="32"/>
          <w:u w:val="single"/>
          <w:lang w:val="en-US" w:eastAsia="zh-CN"/>
        </w:rPr>
        <w:t>10</w:t>
      </w:r>
      <w:r>
        <w:rPr>
          <w:rFonts w:hint="eastAsia" w:ascii="黑体" w:hAnsi="黑体" w:eastAsia="黑体" w:cs="黑体"/>
          <w:color w:val="000000"/>
          <w:sz w:val="32"/>
        </w:rPr>
        <w:t>月</w:t>
      </w:r>
    </w:p>
    <w:p w14:paraId="5180ABF2">
      <w:pPr>
        <w:widowControl/>
        <w:spacing w:line="360" w:lineRule="auto"/>
        <w:ind w:firstLine="723"/>
        <w:jc w:val="center"/>
        <w:rPr>
          <w:rFonts w:ascii="宋体" w:hAnsi="宋体"/>
          <w:b/>
        </w:rPr>
      </w:pPr>
      <w:r>
        <w:rPr>
          <w:rFonts w:hint="eastAsia" w:ascii="宋体" w:hAnsi="宋体" w:cs="宋体"/>
          <w:b/>
          <w:bCs/>
          <w:sz w:val="36"/>
          <w:szCs w:val="36"/>
        </w:rPr>
        <w:br w:type="page"/>
      </w:r>
      <w:r>
        <w:rPr>
          <w:rFonts w:hint="eastAsia" w:ascii="宋体" w:hAnsi="宋体" w:cs="宋体"/>
          <w:b/>
          <w:bCs/>
          <w:sz w:val="36"/>
          <w:szCs w:val="36"/>
        </w:rPr>
        <w:t>目</w:t>
      </w:r>
      <w:r>
        <w:rPr>
          <w:rFonts w:ascii="宋体" w:hAnsi="宋体" w:cs="宋体"/>
          <w:b/>
          <w:bCs/>
          <w:sz w:val="36"/>
          <w:szCs w:val="36"/>
        </w:rPr>
        <w:t xml:space="preserve">    </w:t>
      </w:r>
      <w:r>
        <w:rPr>
          <w:rFonts w:hint="eastAsia" w:ascii="宋体" w:hAnsi="宋体" w:cs="宋体"/>
          <w:b/>
          <w:bCs/>
          <w:sz w:val="36"/>
          <w:szCs w:val="36"/>
        </w:rPr>
        <w:t>录</w:t>
      </w:r>
    </w:p>
    <w:p w14:paraId="32B0F075">
      <w:pPr>
        <w:pStyle w:val="12"/>
        <w:tabs>
          <w:tab w:val="right" w:leader="dot" w:pos="9071"/>
        </w:tabs>
      </w:pPr>
      <w:r>
        <w:rPr>
          <w:rFonts w:hint="eastAsia" w:ascii="宋体" w:hAnsi="宋体" w:cs="宋体"/>
          <w:i/>
          <w:caps w:val="0"/>
          <w:szCs w:val="24"/>
        </w:rPr>
        <w:fldChar w:fldCharType="begin"/>
      </w:r>
      <w:r>
        <w:rPr>
          <w:rFonts w:hint="eastAsia" w:ascii="宋体" w:hAnsi="宋体" w:cs="宋体"/>
          <w:i/>
          <w:caps w:val="0"/>
          <w:szCs w:val="24"/>
        </w:rPr>
        <w:instrText xml:space="preserve">TOC \o "1-2" \h \u </w:instrText>
      </w:r>
      <w:r>
        <w:rPr>
          <w:rFonts w:hint="eastAsia" w:ascii="宋体" w:hAnsi="宋体" w:cs="宋体"/>
          <w:i/>
          <w:caps w:val="0"/>
          <w:szCs w:val="24"/>
        </w:rPr>
        <w:fldChar w:fldCharType="separate"/>
      </w:r>
      <w:r>
        <w:rPr>
          <w:rFonts w:hint="eastAsia" w:ascii="宋体" w:hAnsi="宋体" w:cs="宋体"/>
          <w:i/>
          <w:caps w:val="0"/>
          <w:szCs w:val="24"/>
        </w:rPr>
        <w:fldChar w:fldCharType="begin"/>
      </w:r>
      <w:r>
        <w:rPr>
          <w:rFonts w:hint="eastAsia" w:ascii="宋体" w:hAnsi="宋体" w:cs="宋体"/>
          <w:i/>
          <w:caps w:val="0"/>
          <w:szCs w:val="24"/>
        </w:rPr>
        <w:instrText xml:space="preserve"> HYPERLINK \l _Toc11033 </w:instrText>
      </w:r>
      <w:r>
        <w:rPr>
          <w:rFonts w:hint="eastAsia" w:ascii="宋体" w:hAnsi="宋体" w:cs="宋体"/>
          <w:i/>
          <w:caps w:val="0"/>
          <w:szCs w:val="24"/>
        </w:rPr>
        <w:fldChar w:fldCharType="separate"/>
      </w:r>
      <w:r>
        <w:t xml:space="preserve">第1章 </w:t>
      </w:r>
      <w:r>
        <w:rPr>
          <w:rFonts w:hint="eastAsia"/>
        </w:rPr>
        <w:t>招标公告</w:t>
      </w:r>
      <w:r>
        <w:tab/>
      </w:r>
      <w:r>
        <w:fldChar w:fldCharType="begin"/>
      </w:r>
      <w:r>
        <w:instrText xml:space="preserve"> PAGEREF _Toc11033 \h </w:instrText>
      </w:r>
      <w:r>
        <w:fldChar w:fldCharType="separate"/>
      </w:r>
      <w:r>
        <w:t>1</w:t>
      </w:r>
      <w:r>
        <w:fldChar w:fldCharType="end"/>
      </w:r>
      <w:r>
        <w:rPr>
          <w:rFonts w:hint="eastAsia" w:ascii="宋体" w:hAnsi="宋体" w:cs="宋体"/>
          <w:i/>
          <w:caps w:val="0"/>
          <w:szCs w:val="24"/>
        </w:rPr>
        <w:fldChar w:fldCharType="end"/>
      </w:r>
    </w:p>
    <w:p w14:paraId="223DD05B">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_Toc20534 </w:instrText>
      </w:r>
      <w:r>
        <w:rPr>
          <w:rFonts w:hint="eastAsia" w:ascii="宋体" w:hAnsi="宋体" w:cs="宋体"/>
          <w:i/>
          <w:caps/>
          <w:szCs w:val="24"/>
        </w:rPr>
        <w:fldChar w:fldCharType="separate"/>
      </w:r>
      <w:r>
        <w:rPr>
          <w:rFonts w:hint="default"/>
          <w:i w:val="0"/>
          <w:iCs w:val="0"/>
          <w:szCs w:val="28"/>
        </w:rPr>
        <w:t xml:space="preserve">1.1 </w:t>
      </w:r>
      <w:r>
        <w:rPr>
          <w:rFonts w:hint="eastAsia"/>
          <w:szCs w:val="28"/>
        </w:rPr>
        <w:t>项目名称及项目编号</w:t>
      </w:r>
      <w:r>
        <w:tab/>
      </w:r>
      <w:r>
        <w:fldChar w:fldCharType="begin"/>
      </w:r>
      <w:r>
        <w:instrText xml:space="preserve"> PAGEREF _Toc20534 \h </w:instrText>
      </w:r>
      <w:r>
        <w:fldChar w:fldCharType="separate"/>
      </w:r>
      <w:r>
        <w:t>1</w:t>
      </w:r>
      <w:r>
        <w:fldChar w:fldCharType="end"/>
      </w:r>
      <w:r>
        <w:rPr>
          <w:rFonts w:hint="eastAsia" w:ascii="宋体" w:hAnsi="宋体" w:cs="宋体"/>
          <w:i/>
          <w:caps/>
          <w:szCs w:val="24"/>
        </w:rPr>
        <w:fldChar w:fldCharType="end"/>
      </w:r>
    </w:p>
    <w:p w14:paraId="07FC1F54">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_Toc18096 </w:instrText>
      </w:r>
      <w:r>
        <w:rPr>
          <w:rFonts w:hint="eastAsia" w:ascii="宋体" w:hAnsi="宋体" w:cs="宋体"/>
          <w:i/>
          <w:caps/>
          <w:szCs w:val="24"/>
        </w:rPr>
        <w:fldChar w:fldCharType="separate"/>
      </w:r>
      <w:r>
        <w:rPr>
          <w:rFonts w:hint="default"/>
          <w:i w:val="0"/>
          <w:iCs w:val="0"/>
          <w:szCs w:val="28"/>
        </w:rPr>
        <w:t xml:space="preserve">1.2 </w:t>
      </w:r>
      <w:r>
        <w:rPr>
          <w:rFonts w:hint="eastAsia"/>
          <w:szCs w:val="28"/>
        </w:rPr>
        <w:t>招标形式：</w:t>
      </w:r>
      <w:r>
        <w:rPr>
          <w:rFonts w:hint="eastAsia"/>
          <w:szCs w:val="28"/>
          <w:lang w:val="en-US" w:eastAsia="zh-CN"/>
        </w:rPr>
        <w:t>公开招标</w:t>
      </w:r>
      <w:r>
        <w:tab/>
      </w:r>
      <w:r>
        <w:rPr>
          <w:rFonts w:hint="eastAsia"/>
          <w:lang w:val="en-US" w:eastAsia="zh-CN"/>
        </w:rPr>
        <w:t>2</w:t>
      </w:r>
      <w:r>
        <w:rPr>
          <w:rFonts w:hint="eastAsia" w:ascii="宋体" w:hAnsi="宋体" w:cs="宋体"/>
          <w:i/>
          <w:caps/>
          <w:szCs w:val="24"/>
        </w:rPr>
        <w:fldChar w:fldCharType="end"/>
      </w:r>
    </w:p>
    <w:p w14:paraId="70AB83D4">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_Toc10431 </w:instrText>
      </w:r>
      <w:r>
        <w:rPr>
          <w:rFonts w:hint="eastAsia" w:ascii="宋体" w:hAnsi="宋体" w:cs="宋体"/>
          <w:i/>
          <w:caps/>
          <w:szCs w:val="24"/>
        </w:rPr>
        <w:fldChar w:fldCharType="separate"/>
      </w:r>
      <w:r>
        <w:rPr>
          <w:rFonts w:hint="default"/>
          <w:i w:val="0"/>
          <w:iCs w:val="0"/>
          <w:szCs w:val="28"/>
        </w:rPr>
        <w:t xml:space="preserve">1.3 </w:t>
      </w:r>
      <w:r>
        <w:rPr>
          <w:rFonts w:hint="eastAsia"/>
          <w:szCs w:val="28"/>
        </w:rPr>
        <w:t>投标人资格要求</w:t>
      </w:r>
      <w:r>
        <w:tab/>
      </w:r>
      <w:r>
        <w:rPr>
          <w:rFonts w:hint="eastAsia"/>
          <w:lang w:val="en-US" w:eastAsia="zh-CN"/>
        </w:rPr>
        <w:t>2</w:t>
      </w:r>
      <w:r>
        <w:rPr>
          <w:rFonts w:hint="eastAsia" w:ascii="宋体" w:hAnsi="宋体" w:cs="宋体"/>
          <w:i/>
          <w:caps/>
          <w:szCs w:val="24"/>
        </w:rPr>
        <w:fldChar w:fldCharType="end"/>
      </w:r>
    </w:p>
    <w:p w14:paraId="622D82C3">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_Toc3405 </w:instrText>
      </w:r>
      <w:r>
        <w:rPr>
          <w:rFonts w:hint="eastAsia" w:ascii="宋体" w:hAnsi="宋体" w:cs="宋体"/>
          <w:i/>
          <w:caps/>
          <w:szCs w:val="24"/>
        </w:rPr>
        <w:fldChar w:fldCharType="separate"/>
      </w:r>
      <w:r>
        <w:rPr>
          <w:rFonts w:hint="default"/>
          <w:i w:val="0"/>
          <w:iCs w:val="0"/>
          <w:szCs w:val="28"/>
        </w:rPr>
        <w:t xml:space="preserve">1.4 </w:t>
      </w:r>
      <w:r>
        <w:rPr>
          <w:rFonts w:hint="eastAsia"/>
          <w:szCs w:val="28"/>
        </w:rPr>
        <w:t>招标文件的获取</w:t>
      </w:r>
      <w:r>
        <w:tab/>
      </w:r>
      <w:r>
        <w:rPr>
          <w:rFonts w:hint="eastAsia"/>
          <w:lang w:val="en-US" w:eastAsia="zh-CN"/>
        </w:rPr>
        <w:t>4</w:t>
      </w:r>
      <w:r>
        <w:rPr>
          <w:rFonts w:hint="eastAsia" w:ascii="宋体" w:hAnsi="宋体" w:cs="宋体"/>
          <w:i/>
          <w:caps/>
          <w:szCs w:val="24"/>
        </w:rPr>
        <w:fldChar w:fldCharType="end"/>
      </w:r>
    </w:p>
    <w:p w14:paraId="12232C2D">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_Toc28136 </w:instrText>
      </w:r>
      <w:r>
        <w:rPr>
          <w:rFonts w:hint="eastAsia" w:ascii="宋体" w:hAnsi="宋体" w:cs="宋体"/>
          <w:i/>
          <w:caps/>
          <w:szCs w:val="24"/>
        </w:rPr>
        <w:fldChar w:fldCharType="separate"/>
      </w:r>
      <w:r>
        <w:rPr>
          <w:rFonts w:hint="default"/>
          <w:i w:val="0"/>
          <w:iCs w:val="0"/>
          <w:szCs w:val="28"/>
        </w:rPr>
        <w:t xml:space="preserve">1.5 </w:t>
      </w:r>
      <w:r>
        <w:rPr>
          <w:rFonts w:hint="eastAsia"/>
          <w:szCs w:val="28"/>
        </w:rPr>
        <w:t>投标文件的递交</w:t>
      </w:r>
      <w:r>
        <w:tab/>
      </w:r>
      <w:r>
        <w:rPr>
          <w:rFonts w:hint="eastAsia"/>
          <w:lang w:val="en-US" w:eastAsia="zh-CN"/>
        </w:rPr>
        <w:t>5</w:t>
      </w:r>
      <w:r>
        <w:rPr>
          <w:rFonts w:hint="eastAsia" w:ascii="宋体" w:hAnsi="宋体" w:cs="宋体"/>
          <w:i/>
          <w:caps/>
          <w:szCs w:val="24"/>
        </w:rPr>
        <w:fldChar w:fldCharType="end"/>
      </w:r>
    </w:p>
    <w:p w14:paraId="62B2CB60">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_Toc22006 </w:instrText>
      </w:r>
      <w:r>
        <w:rPr>
          <w:rFonts w:hint="eastAsia" w:ascii="宋体" w:hAnsi="宋体" w:cs="宋体"/>
          <w:i/>
          <w:caps/>
          <w:szCs w:val="24"/>
        </w:rPr>
        <w:fldChar w:fldCharType="separate"/>
      </w:r>
      <w:r>
        <w:rPr>
          <w:rFonts w:hint="default"/>
          <w:i w:val="0"/>
          <w:iCs w:val="0"/>
          <w:szCs w:val="28"/>
        </w:rPr>
        <w:t xml:space="preserve">1.6 </w:t>
      </w:r>
      <w:r>
        <w:rPr>
          <w:rFonts w:hint="eastAsia"/>
          <w:szCs w:val="28"/>
          <w:highlight w:val="none"/>
        </w:rPr>
        <w:t>开标时间和地点</w:t>
      </w:r>
      <w:r>
        <w:tab/>
      </w:r>
      <w:r>
        <w:rPr>
          <w:rFonts w:hint="eastAsia"/>
          <w:lang w:val="en-US" w:eastAsia="zh-CN"/>
        </w:rPr>
        <w:t>5</w:t>
      </w:r>
      <w:r>
        <w:rPr>
          <w:rFonts w:hint="eastAsia" w:ascii="宋体" w:hAnsi="宋体" w:cs="宋体"/>
          <w:i/>
          <w:caps/>
          <w:szCs w:val="24"/>
        </w:rPr>
        <w:fldChar w:fldCharType="end"/>
      </w:r>
    </w:p>
    <w:p w14:paraId="51E6A339">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_Toc8732 </w:instrText>
      </w:r>
      <w:r>
        <w:rPr>
          <w:rFonts w:hint="eastAsia" w:ascii="宋体" w:hAnsi="宋体" w:cs="宋体"/>
          <w:i/>
          <w:caps/>
          <w:szCs w:val="24"/>
        </w:rPr>
        <w:fldChar w:fldCharType="separate"/>
      </w:r>
      <w:r>
        <w:rPr>
          <w:rFonts w:hint="default"/>
          <w:i w:val="0"/>
          <w:iCs w:val="0"/>
          <w:szCs w:val="28"/>
        </w:rPr>
        <w:t xml:space="preserve">1.7 </w:t>
      </w:r>
      <w:r>
        <w:rPr>
          <w:rFonts w:hint="eastAsia"/>
          <w:szCs w:val="28"/>
        </w:rPr>
        <w:t>联系方式</w:t>
      </w:r>
      <w:r>
        <w:tab/>
      </w:r>
      <w:r>
        <w:rPr>
          <w:rFonts w:hint="eastAsia"/>
          <w:lang w:val="en-US" w:eastAsia="zh-CN"/>
        </w:rPr>
        <w:t>5</w:t>
      </w:r>
      <w:r>
        <w:rPr>
          <w:rFonts w:hint="eastAsia" w:ascii="宋体" w:hAnsi="宋体" w:cs="宋体"/>
          <w:i/>
          <w:caps/>
          <w:szCs w:val="24"/>
        </w:rPr>
        <w:fldChar w:fldCharType="end"/>
      </w:r>
    </w:p>
    <w:p w14:paraId="110B2C17">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_Toc2793 </w:instrText>
      </w:r>
      <w:r>
        <w:rPr>
          <w:rFonts w:hint="eastAsia" w:ascii="宋体" w:hAnsi="宋体" w:cs="宋体"/>
          <w:i/>
          <w:caps/>
          <w:szCs w:val="24"/>
        </w:rPr>
        <w:fldChar w:fldCharType="separate"/>
      </w:r>
      <w:r>
        <w:rPr>
          <w:rFonts w:hint="default"/>
          <w:i w:val="0"/>
          <w:iCs w:val="0"/>
          <w:szCs w:val="28"/>
        </w:rPr>
        <w:t xml:space="preserve">1.8 </w:t>
      </w:r>
      <w:r>
        <w:rPr>
          <w:rFonts w:hint="eastAsia"/>
          <w:szCs w:val="28"/>
        </w:rPr>
        <w:t>保证金</w:t>
      </w:r>
      <w:r>
        <w:tab/>
      </w:r>
      <w:r>
        <w:rPr>
          <w:rFonts w:hint="eastAsia"/>
          <w:lang w:val="en-US" w:eastAsia="zh-CN"/>
        </w:rPr>
        <w:t>5</w:t>
      </w:r>
      <w:r>
        <w:rPr>
          <w:rFonts w:hint="eastAsia" w:ascii="宋体" w:hAnsi="宋体" w:cs="宋体"/>
          <w:i/>
          <w:caps/>
          <w:szCs w:val="24"/>
        </w:rPr>
        <w:fldChar w:fldCharType="end"/>
      </w:r>
    </w:p>
    <w:p w14:paraId="4E194330">
      <w:pPr>
        <w:pStyle w:val="12"/>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_Toc6713 </w:instrText>
      </w:r>
      <w:r>
        <w:rPr>
          <w:rFonts w:hint="eastAsia" w:ascii="宋体" w:hAnsi="宋体" w:cs="宋体"/>
          <w:i/>
          <w:caps/>
          <w:szCs w:val="24"/>
        </w:rPr>
        <w:fldChar w:fldCharType="separate"/>
      </w:r>
      <w:r>
        <w:t xml:space="preserve">第2章 </w:t>
      </w:r>
      <w:r>
        <w:rPr>
          <w:rFonts w:hint="eastAsia"/>
        </w:rPr>
        <w:t>投标人须知</w:t>
      </w:r>
      <w:r>
        <w:tab/>
      </w:r>
      <w:r>
        <w:rPr>
          <w:rFonts w:hint="eastAsia"/>
          <w:lang w:val="en-US" w:eastAsia="zh-CN"/>
        </w:rPr>
        <w:t>6</w:t>
      </w:r>
      <w:r>
        <w:rPr>
          <w:rFonts w:hint="eastAsia" w:ascii="宋体" w:hAnsi="宋体" w:cs="宋体"/>
          <w:i/>
          <w:caps/>
          <w:szCs w:val="24"/>
        </w:rPr>
        <w:fldChar w:fldCharType="end"/>
      </w:r>
    </w:p>
    <w:p w14:paraId="1E180372">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_Toc15058 </w:instrText>
      </w:r>
      <w:r>
        <w:rPr>
          <w:rFonts w:hint="eastAsia" w:ascii="宋体" w:hAnsi="宋体" w:cs="宋体"/>
          <w:i/>
          <w:caps/>
          <w:szCs w:val="24"/>
        </w:rPr>
        <w:fldChar w:fldCharType="separate"/>
      </w:r>
      <w:r>
        <w:rPr>
          <w:rFonts w:hint="default"/>
          <w:szCs w:val="28"/>
        </w:rPr>
        <w:t xml:space="preserve">2.1 </w:t>
      </w:r>
      <w:r>
        <w:rPr>
          <w:rFonts w:hint="eastAsia"/>
          <w:szCs w:val="28"/>
        </w:rPr>
        <w:t>投标人须知前附表</w:t>
      </w:r>
      <w:r>
        <w:tab/>
      </w:r>
      <w:r>
        <w:rPr>
          <w:rFonts w:hint="eastAsia"/>
          <w:lang w:val="en-US" w:eastAsia="zh-CN"/>
        </w:rPr>
        <w:t>6</w:t>
      </w:r>
      <w:r>
        <w:rPr>
          <w:rFonts w:hint="eastAsia" w:ascii="宋体" w:hAnsi="宋体" w:cs="宋体"/>
          <w:i/>
          <w:caps/>
          <w:szCs w:val="24"/>
        </w:rPr>
        <w:fldChar w:fldCharType="end"/>
      </w:r>
    </w:p>
    <w:p w14:paraId="1FCD4C87">
      <w:pPr>
        <w:pStyle w:val="13"/>
        <w:tabs>
          <w:tab w:val="right" w:leader="dot" w:pos="9071"/>
        </w:tabs>
        <w:rPr>
          <w:rFonts w:hint="eastAsia" w:eastAsia="宋体"/>
          <w:i w:val="0"/>
          <w:iCs/>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_Toc10842 </w:instrText>
      </w:r>
      <w:r>
        <w:rPr>
          <w:rFonts w:hint="eastAsia" w:ascii="宋体" w:hAnsi="宋体" w:cs="宋体"/>
          <w:i/>
          <w:caps/>
          <w:szCs w:val="24"/>
        </w:rPr>
        <w:fldChar w:fldCharType="separate"/>
      </w:r>
      <w:r>
        <w:rPr>
          <w:rFonts w:hint="default"/>
          <w:i w:val="0"/>
          <w:iCs w:val="0"/>
          <w:szCs w:val="28"/>
        </w:rPr>
        <w:t xml:space="preserve">2.2 </w:t>
      </w:r>
      <w:r>
        <w:rPr>
          <w:rFonts w:hint="eastAsia"/>
          <w:szCs w:val="28"/>
        </w:rPr>
        <w:t>投标文件编写</w:t>
      </w:r>
      <w:r>
        <w:tab/>
      </w:r>
      <w:r>
        <w:rPr>
          <w:rFonts w:hint="eastAsia"/>
          <w:lang w:val="en-US" w:eastAsia="zh-CN"/>
        </w:rPr>
        <w:t>1</w:t>
      </w:r>
      <w:r>
        <w:rPr>
          <w:rFonts w:hint="eastAsia" w:ascii="宋体" w:hAnsi="宋体" w:cs="宋体"/>
          <w:i/>
          <w:caps/>
          <w:szCs w:val="24"/>
        </w:rPr>
        <w:fldChar w:fldCharType="end"/>
      </w:r>
      <w:r>
        <w:rPr>
          <w:rFonts w:hint="eastAsia" w:ascii="宋体" w:hAnsi="宋体" w:cs="宋体"/>
          <w:i w:val="0"/>
          <w:iCs/>
          <w:caps/>
          <w:szCs w:val="24"/>
          <w:lang w:val="en-US" w:eastAsia="zh-CN"/>
        </w:rPr>
        <w:t>0</w:t>
      </w:r>
    </w:p>
    <w:p w14:paraId="63B2CD53">
      <w:pPr>
        <w:pStyle w:val="13"/>
        <w:tabs>
          <w:tab w:val="right" w:leader="dot" w:pos="9071"/>
        </w:tabs>
        <w:rPr>
          <w:rFonts w:hint="eastAsia" w:eastAsia="宋体"/>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_Toc28928 </w:instrText>
      </w:r>
      <w:r>
        <w:rPr>
          <w:rFonts w:hint="eastAsia" w:ascii="宋体" w:hAnsi="宋体" w:cs="宋体"/>
          <w:i/>
          <w:caps/>
          <w:szCs w:val="24"/>
        </w:rPr>
        <w:fldChar w:fldCharType="separate"/>
      </w:r>
      <w:r>
        <w:rPr>
          <w:rFonts w:hint="default"/>
          <w:i w:val="0"/>
          <w:iCs w:val="0"/>
          <w:szCs w:val="28"/>
        </w:rPr>
        <w:t xml:space="preserve">2.3 </w:t>
      </w:r>
      <w:r>
        <w:rPr>
          <w:rFonts w:hint="eastAsia"/>
          <w:szCs w:val="28"/>
        </w:rPr>
        <w:t>开标与评标</w:t>
      </w:r>
      <w:r>
        <w:tab/>
      </w:r>
      <w:r>
        <w:rPr>
          <w:rFonts w:hint="eastAsia"/>
          <w:lang w:val="en-US" w:eastAsia="zh-CN"/>
        </w:rPr>
        <w:t>1</w:t>
      </w:r>
      <w:r>
        <w:rPr>
          <w:rFonts w:hint="eastAsia" w:ascii="宋体" w:hAnsi="宋体" w:cs="宋体"/>
          <w:i/>
          <w:caps/>
          <w:szCs w:val="24"/>
        </w:rPr>
        <w:fldChar w:fldCharType="end"/>
      </w:r>
      <w:r>
        <w:rPr>
          <w:rFonts w:hint="eastAsia" w:ascii="宋体" w:hAnsi="宋体" w:cs="宋体"/>
          <w:i w:val="0"/>
          <w:iCs/>
          <w:caps/>
          <w:szCs w:val="24"/>
          <w:lang w:val="en-US" w:eastAsia="zh-CN"/>
        </w:rPr>
        <w:t>3</w:t>
      </w:r>
    </w:p>
    <w:p w14:paraId="40CD078C">
      <w:pPr>
        <w:pStyle w:val="12"/>
        <w:tabs>
          <w:tab w:val="right" w:leader="dot" w:pos="9071"/>
        </w:tabs>
        <w:rPr>
          <w:rFonts w:hint="eastAsia" w:eastAsia="宋体"/>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_Toc451 </w:instrText>
      </w:r>
      <w:r>
        <w:rPr>
          <w:rFonts w:hint="eastAsia" w:ascii="宋体" w:hAnsi="宋体" w:cs="宋体"/>
          <w:i/>
          <w:caps/>
          <w:szCs w:val="24"/>
        </w:rPr>
        <w:fldChar w:fldCharType="separate"/>
      </w:r>
      <w:r>
        <w:t xml:space="preserve">第3章 </w:t>
      </w:r>
      <w:r>
        <w:rPr>
          <w:rFonts w:hint="eastAsia"/>
        </w:rPr>
        <w:t>招标项目内容及运输费用标准</w:t>
      </w:r>
      <w:r>
        <w:tab/>
      </w:r>
      <w:r>
        <w:rPr>
          <w:rFonts w:hint="eastAsia"/>
          <w:lang w:val="en-US" w:eastAsia="zh-CN"/>
        </w:rPr>
        <w:t>1</w:t>
      </w:r>
      <w:r>
        <w:rPr>
          <w:rFonts w:hint="eastAsia" w:ascii="宋体" w:hAnsi="宋体" w:cs="宋体"/>
          <w:i/>
          <w:caps/>
          <w:szCs w:val="24"/>
        </w:rPr>
        <w:fldChar w:fldCharType="end"/>
      </w:r>
      <w:r>
        <w:rPr>
          <w:rFonts w:hint="eastAsia" w:ascii="宋体" w:hAnsi="宋体" w:cs="宋体"/>
          <w:i w:val="0"/>
          <w:iCs/>
          <w:caps/>
          <w:szCs w:val="24"/>
          <w:lang w:val="en-US" w:eastAsia="zh-CN"/>
        </w:rPr>
        <w:t>4</w:t>
      </w:r>
    </w:p>
    <w:p w14:paraId="3E8689CF">
      <w:pPr>
        <w:pStyle w:val="13"/>
        <w:tabs>
          <w:tab w:val="right" w:leader="dot" w:pos="9071"/>
        </w:tabs>
        <w:rPr>
          <w:rFonts w:hint="eastAsia" w:eastAsia="宋体"/>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_Toc29707 </w:instrText>
      </w:r>
      <w:r>
        <w:rPr>
          <w:rFonts w:hint="eastAsia" w:ascii="宋体" w:hAnsi="宋体" w:cs="宋体"/>
          <w:i/>
          <w:caps/>
          <w:szCs w:val="24"/>
        </w:rPr>
        <w:fldChar w:fldCharType="separate"/>
      </w:r>
      <w:r>
        <w:rPr>
          <w:rFonts w:hint="eastAsia"/>
          <w:szCs w:val="28"/>
        </w:rPr>
        <w:t>3.1项目内容</w:t>
      </w:r>
      <w:r>
        <w:tab/>
      </w:r>
      <w:r>
        <w:rPr>
          <w:rFonts w:hint="eastAsia"/>
          <w:lang w:val="en-US" w:eastAsia="zh-CN"/>
        </w:rPr>
        <w:t>1</w:t>
      </w:r>
      <w:r>
        <w:rPr>
          <w:rFonts w:hint="eastAsia" w:ascii="宋体" w:hAnsi="宋体" w:cs="宋体"/>
          <w:i/>
          <w:caps/>
          <w:szCs w:val="24"/>
        </w:rPr>
        <w:fldChar w:fldCharType="end"/>
      </w:r>
      <w:r>
        <w:rPr>
          <w:rFonts w:hint="eastAsia" w:ascii="宋体" w:hAnsi="宋体" w:cs="宋体"/>
          <w:i w:val="0"/>
          <w:iCs/>
          <w:caps/>
          <w:szCs w:val="24"/>
          <w:lang w:val="en-US" w:eastAsia="zh-CN"/>
        </w:rPr>
        <w:t>4</w:t>
      </w:r>
    </w:p>
    <w:p w14:paraId="2DF2E9A7">
      <w:pPr>
        <w:pStyle w:val="13"/>
        <w:tabs>
          <w:tab w:val="right" w:leader="dot" w:pos="9071"/>
        </w:tabs>
        <w:rPr>
          <w:rFonts w:hint="eastAsia" w:eastAsia="宋体"/>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_Toc30575 </w:instrText>
      </w:r>
      <w:r>
        <w:rPr>
          <w:rFonts w:hint="eastAsia" w:ascii="宋体" w:hAnsi="宋体" w:cs="宋体"/>
          <w:i/>
          <w:caps/>
          <w:szCs w:val="24"/>
        </w:rPr>
        <w:fldChar w:fldCharType="separate"/>
      </w:r>
      <w:r>
        <w:rPr>
          <w:rFonts w:hint="eastAsia"/>
          <w:szCs w:val="28"/>
        </w:rPr>
        <w:t>3.2项目路线划分</w:t>
      </w:r>
      <w:r>
        <w:tab/>
      </w:r>
      <w:r>
        <w:rPr>
          <w:rFonts w:hint="eastAsia"/>
          <w:lang w:val="en-US" w:eastAsia="zh-CN"/>
        </w:rPr>
        <w:t>1</w:t>
      </w:r>
      <w:r>
        <w:rPr>
          <w:rFonts w:hint="eastAsia" w:ascii="宋体" w:hAnsi="宋体" w:cs="宋体"/>
          <w:i/>
          <w:caps/>
          <w:szCs w:val="24"/>
        </w:rPr>
        <w:fldChar w:fldCharType="end"/>
      </w:r>
      <w:r>
        <w:rPr>
          <w:rFonts w:hint="eastAsia" w:ascii="宋体" w:hAnsi="宋体" w:cs="宋体"/>
          <w:i w:val="0"/>
          <w:iCs/>
          <w:caps/>
          <w:szCs w:val="24"/>
          <w:lang w:val="en-US" w:eastAsia="zh-CN"/>
        </w:rPr>
        <w:t>5</w:t>
      </w:r>
    </w:p>
    <w:p w14:paraId="3925DD08">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_Toc18109 </w:instrText>
      </w:r>
      <w:r>
        <w:rPr>
          <w:rFonts w:hint="eastAsia" w:ascii="宋体" w:hAnsi="宋体" w:cs="宋体"/>
          <w:i/>
          <w:caps/>
          <w:szCs w:val="24"/>
        </w:rPr>
        <w:fldChar w:fldCharType="separate"/>
      </w:r>
      <w:r>
        <w:rPr>
          <w:rFonts w:hint="eastAsia"/>
          <w:szCs w:val="28"/>
        </w:rPr>
        <w:t>3.3限达时间</w:t>
      </w:r>
      <w:r>
        <w:tab/>
      </w:r>
      <w:r>
        <w:fldChar w:fldCharType="begin"/>
      </w:r>
      <w:r>
        <w:instrText xml:space="preserve"> PAGEREF _Toc18109 \h </w:instrText>
      </w:r>
      <w:r>
        <w:fldChar w:fldCharType="separate"/>
      </w:r>
      <w:r>
        <w:t>1</w:t>
      </w:r>
      <w:r>
        <w:rPr>
          <w:rFonts w:hint="eastAsia"/>
          <w:lang w:val="en-US" w:eastAsia="zh-CN"/>
        </w:rPr>
        <w:t>5</w:t>
      </w:r>
      <w:r>
        <w:fldChar w:fldCharType="end"/>
      </w:r>
      <w:r>
        <w:rPr>
          <w:rFonts w:hint="eastAsia" w:ascii="宋体" w:hAnsi="宋体" w:cs="宋体"/>
          <w:i/>
          <w:caps/>
          <w:szCs w:val="24"/>
        </w:rPr>
        <w:fldChar w:fldCharType="end"/>
      </w:r>
    </w:p>
    <w:p w14:paraId="60B5FC58">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_Toc21459 </w:instrText>
      </w:r>
      <w:r>
        <w:rPr>
          <w:rFonts w:hint="eastAsia" w:ascii="宋体" w:hAnsi="宋体" w:cs="宋体"/>
          <w:i/>
          <w:caps/>
          <w:szCs w:val="24"/>
        </w:rPr>
        <w:fldChar w:fldCharType="separate"/>
      </w:r>
      <w:r>
        <w:rPr>
          <w:rFonts w:hint="eastAsia"/>
          <w:szCs w:val="28"/>
        </w:rPr>
        <w:t>3.4</w:t>
      </w:r>
      <w:r>
        <w:rPr>
          <w:rFonts w:hint="eastAsia"/>
          <w:szCs w:val="28"/>
          <w:lang w:val="en-US" w:eastAsia="zh-CN"/>
        </w:rPr>
        <w:t>送达</w:t>
      </w:r>
      <w:r>
        <w:rPr>
          <w:rFonts w:hint="eastAsia"/>
          <w:szCs w:val="28"/>
        </w:rPr>
        <w:t>及时率</w:t>
      </w:r>
      <w:r>
        <w:tab/>
      </w:r>
      <w:r>
        <w:fldChar w:fldCharType="begin"/>
      </w:r>
      <w:r>
        <w:instrText xml:space="preserve"> PAGEREF _Toc21459 \h </w:instrText>
      </w:r>
      <w:r>
        <w:fldChar w:fldCharType="separate"/>
      </w:r>
      <w:r>
        <w:t>1</w:t>
      </w:r>
      <w:r>
        <w:rPr>
          <w:rFonts w:hint="eastAsia"/>
          <w:lang w:val="en-US" w:eastAsia="zh-CN"/>
        </w:rPr>
        <w:t>5</w:t>
      </w:r>
      <w:r>
        <w:fldChar w:fldCharType="end"/>
      </w:r>
      <w:r>
        <w:rPr>
          <w:rFonts w:hint="eastAsia" w:ascii="宋体" w:hAnsi="宋体" w:cs="宋体"/>
          <w:i/>
          <w:caps/>
          <w:szCs w:val="24"/>
        </w:rPr>
        <w:fldChar w:fldCharType="end"/>
      </w:r>
    </w:p>
    <w:p w14:paraId="6650A365">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_Toc25924 </w:instrText>
      </w:r>
      <w:r>
        <w:rPr>
          <w:rFonts w:hint="eastAsia" w:ascii="宋体" w:hAnsi="宋体" w:cs="宋体"/>
          <w:i/>
          <w:caps/>
          <w:szCs w:val="24"/>
        </w:rPr>
        <w:fldChar w:fldCharType="separate"/>
      </w:r>
      <w:r>
        <w:rPr>
          <w:rFonts w:hint="eastAsia"/>
          <w:szCs w:val="28"/>
        </w:rPr>
        <w:t>3.5项目运输费用标准</w:t>
      </w:r>
      <w:r>
        <w:tab/>
      </w:r>
      <w:r>
        <w:fldChar w:fldCharType="begin"/>
      </w:r>
      <w:r>
        <w:instrText xml:space="preserve"> PAGEREF _Toc25924 \h </w:instrText>
      </w:r>
      <w:r>
        <w:fldChar w:fldCharType="separate"/>
      </w:r>
      <w:r>
        <w:t>1</w:t>
      </w:r>
      <w:r>
        <w:rPr>
          <w:rFonts w:hint="eastAsia"/>
          <w:lang w:val="en-US" w:eastAsia="zh-CN"/>
        </w:rPr>
        <w:t>6</w:t>
      </w:r>
      <w:r>
        <w:fldChar w:fldCharType="end"/>
      </w:r>
      <w:r>
        <w:rPr>
          <w:rFonts w:hint="eastAsia" w:ascii="宋体" w:hAnsi="宋体" w:cs="宋体"/>
          <w:i/>
          <w:caps/>
          <w:szCs w:val="24"/>
        </w:rPr>
        <w:fldChar w:fldCharType="end"/>
      </w:r>
    </w:p>
    <w:p w14:paraId="068C69B6">
      <w:pPr>
        <w:pStyle w:val="12"/>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_Toc18885 </w:instrText>
      </w:r>
      <w:r>
        <w:rPr>
          <w:rFonts w:hint="eastAsia" w:ascii="宋体" w:hAnsi="宋体" w:cs="宋体"/>
          <w:i/>
          <w:caps/>
          <w:szCs w:val="24"/>
        </w:rPr>
        <w:fldChar w:fldCharType="separate"/>
      </w:r>
      <w:r>
        <w:t xml:space="preserve">第4章 </w:t>
      </w:r>
      <w:r>
        <w:rPr>
          <w:rFonts w:hint="eastAsia"/>
        </w:rPr>
        <w:t>报价及</w:t>
      </w:r>
      <w:r>
        <w:rPr>
          <w:rFonts w:hint="eastAsia"/>
          <w:lang w:val="en-US" w:eastAsia="zh-CN"/>
        </w:rPr>
        <w:t>管理履约</w:t>
      </w:r>
      <w:r>
        <w:rPr>
          <w:rFonts w:hint="eastAsia"/>
        </w:rPr>
        <w:t>要求</w:t>
      </w:r>
      <w:r>
        <w:tab/>
      </w:r>
      <w:r>
        <w:fldChar w:fldCharType="begin"/>
      </w:r>
      <w:r>
        <w:instrText xml:space="preserve"> PAGEREF _Toc18885 \h </w:instrText>
      </w:r>
      <w:r>
        <w:fldChar w:fldCharType="separate"/>
      </w:r>
      <w:r>
        <w:t>1</w:t>
      </w:r>
      <w:r>
        <w:rPr>
          <w:rFonts w:hint="eastAsia"/>
          <w:lang w:val="en-US" w:eastAsia="zh-CN"/>
        </w:rPr>
        <w:t>7</w:t>
      </w:r>
      <w:r>
        <w:fldChar w:fldCharType="end"/>
      </w:r>
      <w:r>
        <w:rPr>
          <w:rFonts w:hint="eastAsia" w:ascii="宋体" w:hAnsi="宋体" w:cs="宋体"/>
          <w:i/>
          <w:caps/>
          <w:szCs w:val="24"/>
        </w:rPr>
        <w:fldChar w:fldCharType="end"/>
      </w:r>
    </w:p>
    <w:p w14:paraId="73DE3C5E">
      <w:pPr>
        <w:pStyle w:val="13"/>
        <w:tabs>
          <w:tab w:val="right" w:leader="dot" w:pos="9071"/>
        </w:tabs>
      </w:pPr>
      <w:r>
        <w:rPr>
          <w:rFonts w:hint="eastAsia" w:ascii="宋体" w:hAnsi="宋体" w:cs="宋体"/>
          <w:i/>
          <w:caps/>
          <w:szCs w:val="24"/>
        </w:rPr>
        <w:fldChar w:fldCharType="begin"/>
      </w:r>
      <w:r>
        <w:rPr>
          <w:rFonts w:hint="eastAsia" w:ascii="宋体" w:hAnsi="宋体" w:cs="宋体"/>
          <w:i/>
          <w:caps/>
          <w:szCs w:val="24"/>
        </w:rPr>
        <w:instrText xml:space="preserve"> HYPERLINK \l _Toc18679 </w:instrText>
      </w:r>
      <w:r>
        <w:rPr>
          <w:rFonts w:hint="eastAsia" w:ascii="宋体" w:hAnsi="宋体" w:cs="宋体"/>
          <w:i/>
          <w:caps/>
          <w:szCs w:val="24"/>
        </w:rPr>
        <w:fldChar w:fldCharType="separate"/>
      </w:r>
      <w:r>
        <w:rPr>
          <w:rFonts w:hint="eastAsia"/>
          <w:szCs w:val="28"/>
        </w:rPr>
        <w:t xml:space="preserve">4.1 </w:t>
      </w:r>
      <w:r>
        <w:rPr>
          <w:rFonts w:hint="eastAsia" w:ascii="宋体" w:hAnsi="宋体" w:cs="宋体"/>
          <w:szCs w:val="28"/>
        </w:rPr>
        <w:t>报价要求</w:t>
      </w:r>
      <w:r>
        <w:tab/>
      </w:r>
      <w:r>
        <w:fldChar w:fldCharType="begin"/>
      </w:r>
      <w:r>
        <w:instrText xml:space="preserve"> PAGEREF _Toc18679 \h </w:instrText>
      </w:r>
      <w:r>
        <w:fldChar w:fldCharType="separate"/>
      </w:r>
      <w:r>
        <w:t>1</w:t>
      </w:r>
      <w:r>
        <w:rPr>
          <w:rFonts w:hint="eastAsia"/>
          <w:lang w:val="en-US" w:eastAsia="zh-CN"/>
        </w:rPr>
        <w:t>7</w:t>
      </w:r>
      <w:r>
        <w:fldChar w:fldCharType="end"/>
      </w:r>
      <w:r>
        <w:rPr>
          <w:rFonts w:hint="eastAsia" w:ascii="宋体" w:hAnsi="宋体" w:cs="宋体"/>
          <w:i/>
          <w:caps/>
          <w:szCs w:val="24"/>
        </w:rPr>
        <w:fldChar w:fldCharType="end"/>
      </w:r>
    </w:p>
    <w:p w14:paraId="17ED30EF">
      <w:pPr>
        <w:pStyle w:val="13"/>
        <w:tabs>
          <w:tab w:val="right" w:leader="dot" w:pos="9071"/>
        </w:tabs>
        <w:rPr>
          <w:highlight w:val="none"/>
        </w:rPr>
      </w:pPr>
      <w:r>
        <w:rPr>
          <w:rFonts w:hint="eastAsia" w:ascii="宋体" w:hAnsi="宋体" w:cs="宋体"/>
          <w:i/>
          <w:caps/>
          <w:szCs w:val="24"/>
          <w:highlight w:val="none"/>
        </w:rPr>
        <w:fldChar w:fldCharType="begin"/>
      </w:r>
      <w:r>
        <w:rPr>
          <w:rFonts w:hint="eastAsia" w:ascii="宋体" w:hAnsi="宋体" w:cs="宋体"/>
          <w:i/>
          <w:caps/>
          <w:szCs w:val="24"/>
          <w:highlight w:val="none"/>
        </w:rPr>
        <w:instrText xml:space="preserve"> HYPERLINK \l _Toc8116 </w:instrText>
      </w:r>
      <w:r>
        <w:rPr>
          <w:rFonts w:hint="eastAsia" w:ascii="宋体" w:hAnsi="宋体" w:cs="宋体"/>
          <w:i/>
          <w:caps/>
          <w:szCs w:val="24"/>
          <w:highlight w:val="none"/>
        </w:rPr>
        <w:fldChar w:fldCharType="separate"/>
      </w:r>
      <w:r>
        <w:rPr>
          <w:rFonts w:hint="eastAsia"/>
          <w:szCs w:val="28"/>
          <w:highlight w:val="none"/>
        </w:rPr>
        <w:t>4.</w:t>
      </w:r>
      <w:r>
        <w:rPr>
          <w:rFonts w:hint="eastAsia"/>
          <w:szCs w:val="28"/>
          <w:highlight w:val="none"/>
          <w:lang w:val="en-US" w:eastAsia="zh-CN"/>
        </w:rPr>
        <w:t>2</w:t>
      </w:r>
      <w:r>
        <w:rPr>
          <w:rFonts w:hint="eastAsia" w:ascii="宋体" w:hAnsi="宋体" w:cs="宋体"/>
          <w:szCs w:val="28"/>
          <w:highlight w:val="none"/>
          <w:lang w:val="en-US" w:eastAsia="zh-CN"/>
        </w:rPr>
        <w:t>管理和履约</w:t>
      </w:r>
      <w:r>
        <w:rPr>
          <w:rFonts w:hint="eastAsia" w:ascii="宋体" w:hAnsi="宋体" w:cs="宋体"/>
          <w:szCs w:val="28"/>
          <w:highlight w:val="none"/>
        </w:rPr>
        <w:t>要求</w:t>
      </w:r>
      <w:r>
        <w:rPr>
          <w:highlight w:val="none"/>
        </w:rPr>
        <w:tab/>
      </w:r>
      <w:r>
        <w:rPr>
          <w:highlight w:val="none"/>
        </w:rPr>
        <w:fldChar w:fldCharType="begin"/>
      </w:r>
      <w:r>
        <w:rPr>
          <w:highlight w:val="none"/>
        </w:rPr>
        <w:instrText xml:space="preserve"> PAGEREF _Toc8116 \h </w:instrText>
      </w:r>
      <w:r>
        <w:rPr>
          <w:highlight w:val="none"/>
        </w:rPr>
        <w:fldChar w:fldCharType="separate"/>
      </w:r>
      <w:r>
        <w:rPr>
          <w:highlight w:val="none"/>
        </w:rPr>
        <w:t>1</w:t>
      </w:r>
      <w:r>
        <w:rPr>
          <w:rFonts w:hint="eastAsia"/>
          <w:highlight w:val="none"/>
          <w:lang w:val="en-US" w:eastAsia="zh-CN"/>
        </w:rPr>
        <w:t>7</w:t>
      </w:r>
      <w:r>
        <w:rPr>
          <w:highlight w:val="none"/>
        </w:rPr>
        <w:fldChar w:fldCharType="end"/>
      </w:r>
      <w:r>
        <w:rPr>
          <w:rFonts w:hint="eastAsia" w:ascii="宋体" w:hAnsi="宋体" w:cs="宋体"/>
          <w:i/>
          <w:caps/>
          <w:szCs w:val="24"/>
          <w:highlight w:val="none"/>
        </w:rPr>
        <w:fldChar w:fldCharType="end"/>
      </w:r>
    </w:p>
    <w:p w14:paraId="4FDD647A">
      <w:pPr>
        <w:pStyle w:val="12"/>
        <w:tabs>
          <w:tab w:val="right" w:leader="dot" w:pos="9071"/>
        </w:tabs>
        <w:rPr>
          <w:rFonts w:hint="default" w:eastAsia="宋体"/>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_Toc21399 </w:instrText>
      </w:r>
      <w:r>
        <w:rPr>
          <w:rFonts w:hint="eastAsia" w:ascii="宋体" w:hAnsi="宋体" w:cs="宋体"/>
          <w:i/>
          <w:caps/>
          <w:szCs w:val="24"/>
        </w:rPr>
        <w:fldChar w:fldCharType="separate"/>
      </w:r>
      <w:r>
        <w:rPr>
          <w:rFonts w:hint="eastAsia"/>
        </w:rPr>
        <w:t>第5章 评分标准</w:t>
      </w:r>
      <w:r>
        <w:tab/>
      </w:r>
      <w:r>
        <w:rPr>
          <w:rFonts w:hint="eastAsia" w:ascii="宋体" w:hAnsi="宋体" w:cs="宋体"/>
          <w:i/>
          <w:caps/>
          <w:szCs w:val="24"/>
        </w:rPr>
        <w:fldChar w:fldCharType="end"/>
      </w:r>
      <w:r>
        <w:rPr>
          <w:rFonts w:hint="eastAsia" w:ascii="宋体" w:hAnsi="宋体" w:cs="宋体"/>
          <w:i w:val="0"/>
          <w:iCs/>
          <w:caps/>
          <w:szCs w:val="24"/>
          <w:lang w:val="en-US" w:eastAsia="zh-CN"/>
        </w:rPr>
        <w:t>18</w:t>
      </w:r>
    </w:p>
    <w:p w14:paraId="2D93AC17">
      <w:pPr>
        <w:pStyle w:val="12"/>
        <w:tabs>
          <w:tab w:val="right" w:leader="dot" w:pos="9071"/>
        </w:tabs>
        <w:rPr>
          <w:rFonts w:hint="default" w:eastAsia="宋体"/>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_Toc17414 </w:instrText>
      </w:r>
      <w:r>
        <w:rPr>
          <w:rFonts w:hint="eastAsia" w:ascii="宋体" w:hAnsi="宋体" w:cs="宋体"/>
          <w:i/>
          <w:caps/>
          <w:szCs w:val="24"/>
        </w:rPr>
        <w:fldChar w:fldCharType="separate"/>
      </w:r>
      <w:r>
        <w:rPr>
          <w:rFonts w:hint="eastAsia"/>
        </w:rPr>
        <w:t>第</w:t>
      </w:r>
      <w:r>
        <w:rPr>
          <w:rFonts w:hint="eastAsia"/>
          <w:lang w:val="en-US" w:eastAsia="zh-CN"/>
        </w:rPr>
        <w:t>6</w:t>
      </w:r>
      <w:r>
        <w:rPr>
          <w:rFonts w:hint="eastAsia"/>
        </w:rPr>
        <w:t xml:space="preserve">章 </w:t>
      </w:r>
      <w:r>
        <w:rPr>
          <w:rFonts w:hint="eastAsia"/>
          <w:lang w:val="en-US" w:eastAsia="zh-CN"/>
        </w:rPr>
        <w:t>合同签订</w:t>
      </w:r>
      <w:r>
        <w:tab/>
      </w:r>
      <w:r>
        <w:rPr>
          <w:rFonts w:hint="eastAsia"/>
          <w:lang w:val="en-US" w:eastAsia="zh-CN"/>
        </w:rPr>
        <w:t>1</w:t>
      </w:r>
      <w:r>
        <w:rPr>
          <w:rFonts w:hint="eastAsia" w:ascii="宋体" w:hAnsi="宋体" w:cs="宋体"/>
          <w:i/>
          <w:caps/>
          <w:szCs w:val="24"/>
        </w:rPr>
        <w:fldChar w:fldCharType="end"/>
      </w:r>
      <w:r>
        <w:rPr>
          <w:rFonts w:hint="eastAsia" w:ascii="宋体" w:hAnsi="宋体" w:cs="宋体"/>
          <w:i w:val="0"/>
          <w:iCs/>
          <w:caps/>
          <w:szCs w:val="24"/>
          <w:lang w:val="en-US" w:eastAsia="zh-CN"/>
        </w:rPr>
        <w:t>8</w:t>
      </w:r>
    </w:p>
    <w:p w14:paraId="2885487E">
      <w:pPr>
        <w:pStyle w:val="12"/>
        <w:tabs>
          <w:tab w:val="right" w:leader="dot" w:pos="9071"/>
        </w:tabs>
        <w:rPr>
          <w:rFonts w:hint="default" w:eastAsia="宋体"/>
          <w:lang w:val="en-US" w:eastAsia="zh-CN"/>
        </w:rPr>
      </w:pPr>
      <w:r>
        <w:rPr>
          <w:rFonts w:hint="eastAsia" w:ascii="宋体" w:hAnsi="宋体" w:cs="宋体"/>
          <w:i/>
          <w:caps/>
          <w:szCs w:val="24"/>
        </w:rPr>
        <w:fldChar w:fldCharType="begin"/>
      </w:r>
      <w:r>
        <w:rPr>
          <w:rFonts w:hint="eastAsia" w:ascii="宋体" w:hAnsi="宋体" w:cs="宋体"/>
          <w:i/>
          <w:caps/>
          <w:szCs w:val="24"/>
        </w:rPr>
        <w:instrText xml:space="preserve"> HYPERLINK \l _Toc17414 </w:instrText>
      </w:r>
      <w:r>
        <w:rPr>
          <w:rFonts w:hint="eastAsia" w:ascii="宋体" w:hAnsi="宋体" w:cs="宋体"/>
          <w:i/>
          <w:caps/>
          <w:szCs w:val="24"/>
        </w:rPr>
        <w:fldChar w:fldCharType="separate"/>
      </w:r>
      <w:r>
        <w:rPr>
          <w:rFonts w:hint="eastAsia"/>
        </w:rPr>
        <w:t>第</w:t>
      </w:r>
      <w:r>
        <w:rPr>
          <w:rFonts w:hint="eastAsia"/>
          <w:lang w:val="en-US" w:eastAsia="zh-CN"/>
        </w:rPr>
        <w:t>7</w:t>
      </w:r>
      <w:r>
        <w:rPr>
          <w:rFonts w:hint="eastAsia"/>
        </w:rPr>
        <w:t>章 附件</w:t>
      </w:r>
      <w:r>
        <w:tab/>
      </w:r>
      <w:r>
        <w:rPr>
          <w:rFonts w:hint="eastAsia" w:ascii="宋体" w:hAnsi="宋体" w:cs="宋体"/>
          <w:i/>
          <w:caps/>
          <w:szCs w:val="24"/>
        </w:rPr>
        <w:fldChar w:fldCharType="end"/>
      </w:r>
      <w:r>
        <w:rPr>
          <w:rFonts w:hint="eastAsia" w:ascii="宋体" w:hAnsi="宋体" w:cs="宋体"/>
          <w:i w:val="0"/>
          <w:iCs/>
          <w:caps/>
          <w:szCs w:val="24"/>
          <w:lang w:val="en-US" w:eastAsia="zh-CN"/>
        </w:rPr>
        <w:t>19</w:t>
      </w:r>
    </w:p>
    <w:p w14:paraId="2BD2905F">
      <w:pPr>
        <w:pStyle w:val="13"/>
        <w:tabs>
          <w:tab w:val="right" w:leader="dot" w:pos="9071"/>
        </w:tabs>
      </w:pPr>
    </w:p>
    <w:p w14:paraId="50726CF3">
      <w:pPr>
        <w:pStyle w:val="2"/>
        <w:numPr>
          <w:ilvl w:val="0"/>
          <w:numId w:val="0"/>
        </w:numPr>
        <w:rPr>
          <w:rFonts w:ascii="宋体" w:hAnsi="宋体" w:cs="宋体"/>
          <w:i/>
          <w:caps/>
          <w:szCs w:val="24"/>
        </w:rPr>
        <w:sectPr>
          <w:headerReference r:id="rId3" w:type="default"/>
          <w:footerReference r:id="rId4" w:type="default"/>
          <w:pgSz w:w="11907" w:h="16840"/>
          <w:pgMar w:top="1025" w:right="1418" w:bottom="1418" w:left="1418" w:header="724" w:footer="851" w:gutter="0"/>
          <w:pgBorders>
            <w:top w:val="none" w:sz="0" w:space="0"/>
            <w:left w:val="none" w:sz="0" w:space="0"/>
            <w:bottom w:val="none" w:sz="0" w:space="0"/>
            <w:right w:val="none" w:sz="0" w:space="0"/>
          </w:pgBorders>
          <w:pgNumType w:start="1"/>
          <w:cols w:space="720" w:num="1"/>
          <w:docGrid w:linePitch="290" w:charSpace="-3931"/>
        </w:sectPr>
      </w:pPr>
      <w:r>
        <w:rPr>
          <w:rFonts w:hint="eastAsia" w:ascii="宋体" w:hAnsi="宋体" w:cs="宋体"/>
          <w:i/>
          <w:caps/>
          <w:szCs w:val="24"/>
        </w:rPr>
        <w:fldChar w:fldCharType="end"/>
      </w:r>
    </w:p>
    <w:p w14:paraId="12BAD758">
      <w:pPr>
        <w:pStyle w:val="15"/>
        <w:spacing w:line="360" w:lineRule="auto"/>
        <w:ind w:left="420"/>
      </w:pPr>
      <w:bookmarkStart w:id="0" w:name="_Toc25259"/>
      <w:bookmarkStart w:id="1" w:name="_Toc11033"/>
      <w:bookmarkStart w:id="2" w:name="_Toc31260"/>
      <w:bookmarkStart w:id="3" w:name="_Toc26651"/>
      <w:bookmarkStart w:id="4" w:name="_Toc131681868"/>
      <w:bookmarkStart w:id="5" w:name="_Toc12144"/>
      <w:bookmarkStart w:id="6" w:name="_Toc29758"/>
      <w:bookmarkStart w:id="7" w:name="_Toc2075"/>
      <w:r>
        <w:rPr>
          <w:rFonts w:hint="eastAsia"/>
        </w:rPr>
        <w:t>招标公告</w:t>
      </w:r>
      <w:bookmarkEnd w:id="0"/>
      <w:bookmarkEnd w:id="1"/>
      <w:bookmarkEnd w:id="2"/>
      <w:bookmarkEnd w:id="3"/>
      <w:bookmarkEnd w:id="4"/>
    </w:p>
    <w:p w14:paraId="1E23C0AB">
      <w:pPr>
        <w:pStyle w:val="20"/>
        <w:numPr>
          <w:ilvl w:val="0"/>
          <w:numId w:val="4"/>
        </w:numPr>
        <w:tabs>
          <w:tab w:val="right" w:leader="dot" w:pos="9061"/>
        </w:tabs>
        <w:spacing w:line="360" w:lineRule="auto"/>
        <w:ind w:firstLineChars="0"/>
        <w:jc w:val="center"/>
        <w:outlineLvl w:val="0"/>
        <w:rPr>
          <w:b/>
          <w:iCs/>
          <w:vanish/>
          <w:szCs w:val="20"/>
        </w:rPr>
      </w:pPr>
      <w:bookmarkStart w:id="8" w:name="_Toc129692714"/>
      <w:bookmarkEnd w:id="8"/>
      <w:bookmarkStart w:id="9" w:name="_Toc131681869"/>
      <w:bookmarkEnd w:id="9"/>
      <w:bookmarkStart w:id="10" w:name="_Toc142572964"/>
      <w:bookmarkEnd w:id="10"/>
      <w:bookmarkStart w:id="11" w:name="_Toc142573635"/>
      <w:bookmarkEnd w:id="11"/>
      <w:bookmarkStart w:id="12" w:name="_Toc129697415"/>
      <w:bookmarkEnd w:id="12"/>
      <w:bookmarkStart w:id="13" w:name="_Toc142573102"/>
      <w:bookmarkEnd w:id="13"/>
      <w:bookmarkStart w:id="14" w:name="_Toc129692777"/>
      <w:bookmarkEnd w:id="14"/>
      <w:bookmarkStart w:id="15" w:name="_Toc142573471"/>
      <w:bookmarkEnd w:id="15"/>
      <w:bookmarkStart w:id="16" w:name="_Toc129695594"/>
      <w:bookmarkEnd w:id="16"/>
      <w:bookmarkStart w:id="17" w:name="_Toc129692631"/>
      <w:bookmarkEnd w:id="17"/>
      <w:bookmarkStart w:id="18" w:name="_Toc142573010"/>
      <w:bookmarkEnd w:id="18"/>
      <w:bookmarkStart w:id="19" w:name="_Toc129693878"/>
      <w:bookmarkEnd w:id="19"/>
      <w:bookmarkStart w:id="20" w:name="_Toc129693362"/>
      <w:bookmarkEnd w:id="20"/>
      <w:bookmarkStart w:id="21" w:name="_Toc142572929"/>
      <w:bookmarkEnd w:id="21"/>
      <w:bookmarkStart w:id="22" w:name="_Toc129688947"/>
      <w:bookmarkEnd w:id="22"/>
    </w:p>
    <w:p w14:paraId="5048DBD1">
      <w:pPr>
        <w:pStyle w:val="3"/>
        <w:spacing w:before="0" w:beforeLines="0" w:line="360" w:lineRule="auto"/>
        <w:ind w:firstLine="482"/>
        <w:rPr>
          <w:rFonts w:hint="eastAsia" w:eastAsia="宋体"/>
          <w:sz w:val="28"/>
          <w:szCs w:val="28"/>
        </w:rPr>
      </w:pPr>
      <w:bookmarkStart w:id="23" w:name="_Toc20534"/>
      <w:bookmarkStart w:id="24" w:name="_Toc131681870"/>
      <w:bookmarkStart w:id="25" w:name="_Toc31025"/>
      <w:bookmarkStart w:id="26" w:name="_Toc27190"/>
      <w:r>
        <w:rPr>
          <w:rFonts w:hint="eastAsia" w:eastAsia="宋体"/>
          <w:sz w:val="28"/>
          <w:szCs w:val="28"/>
        </w:rPr>
        <w:t>项目名称及项目编号</w:t>
      </w:r>
      <w:bookmarkEnd w:id="23"/>
      <w:bookmarkEnd w:id="24"/>
      <w:bookmarkEnd w:id="25"/>
      <w:bookmarkEnd w:id="26"/>
    </w:p>
    <w:p w14:paraId="2174A7A4">
      <w:pPr>
        <w:spacing w:line="360" w:lineRule="auto"/>
        <w:ind w:firstLine="480" w:firstLineChars="200"/>
        <w:rPr>
          <w:rFonts w:hint="eastAsia" w:ascii="宋体" w:hAnsi="宋体" w:eastAsia="宋体" w:cs="宋体"/>
          <w:sz w:val="24"/>
          <w:szCs w:val="24"/>
          <w:u w:val="single"/>
          <w:lang w:eastAsia="zh-CN"/>
        </w:rPr>
      </w:pPr>
      <w:r>
        <w:rPr>
          <w:rFonts w:hint="eastAsia" w:ascii="宋体" w:hAnsi="宋体" w:cs="宋体"/>
          <w:sz w:val="24"/>
          <w:szCs w:val="24"/>
        </w:rPr>
        <w:t>项目名称：</w:t>
      </w:r>
      <w:r>
        <w:rPr>
          <w:rFonts w:hint="eastAsia" w:ascii="宋体" w:hAnsi="宋体" w:cs="宋体"/>
          <w:sz w:val="24"/>
          <w:szCs w:val="24"/>
          <w:u w:val="single"/>
          <w:lang w:eastAsia="zh-CN"/>
        </w:rPr>
        <w:t>中国重汽集团济南特种车有限公司2026年商品车运输及生产移库项目</w:t>
      </w:r>
    </w:p>
    <w:p w14:paraId="6489954F">
      <w:pPr>
        <w:spacing w:line="360" w:lineRule="auto"/>
        <w:ind w:firstLine="480" w:firstLineChars="200"/>
        <w:jc w:val="both"/>
        <w:rPr>
          <w:rFonts w:hint="eastAsia" w:ascii="宋体" w:hAnsi="宋体" w:eastAsia="宋体" w:cs="宋体"/>
          <w:kern w:val="2"/>
          <w:sz w:val="24"/>
          <w:szCs w:val="24"/>
          <w:highlight w:val="yellow"/>
          <w:lang w:val="en-US" w:eastAsia="zh-CN" w:bidi="ar-SA"/>
        </w:rPr>
      </w:pPr>
      <w:r>
        <w:rPr>
          <w:rFonts w:hint="eastAsia" w:ascii="宋体" w:hAnsi="宋体" w:eastAsia="宋体" w:cs="宋体"/>
          <w:kern w:val="2"/>
          <w:sz w:val="24"/>
          <w:szCs w:val="24"/>
          <w:lang w:val="en-US" w:eastAsia="zh-CN" w:bidi="ar-SA"/>
        </w:rPr>
        <w:t>项目编号：ZBGL2026100165</w:t>
      </w:r>
    </w:p>
    <w:p w14:paraId="4FF1775A">
      <w:pPr>
        <w:pStyle w:val="6"/>
        <w:spacing w:line="360" w:lineRule="auto"/>
        <w:ind w:firstLine="480"/>
        <w:jc w:val="left"/>
        <w:rPr>
          <w:rFonts w:hint="eastAsia" w:ascii="宋体" w:hAnsi="宋体" w:cs="宋体"/>
          <w:kern w:val="2"/>
          <w:sz w:val="24"/>
          <w:szCs w:val="24"/>
        </w:rPr>
      </w:pPr>
      <w:r>
        <w:rPr>
          <w:rFonts w:hint="eastAsia" w:ascii="宋体" w:hAnsi="宋体" w:cs="宋体"/>
          <w:kern w:val="2"/>
          <w:sz w:val="24"/>
          <w:szCs w:val="24"/>
        </w:rPr>
        <w:t>报名方式：</w:t>
      </w:r>
      <w:r>
        <w:rPr>
          <w:rFonts w:hint="eastAsia" w:ascii="宋体" w:hAnsi="宋体" w:cs="宋体"/>
          <w:kern w:val="2"/>
          <w:sz w:val="24"/>
          <w:szCs w:val="24"/>
          <w:highlight w:val="none"/>
        </w:rPr>
        <w:t>通过注册登陆“中国重汽e采通”进行投标。</w:t>
      </w:r>
    </w:p>
    <w:p w14:paraId="6DB2A08A">
      <w:pPr>
        <w:pStyle w:val="6"/>
        <w:spacing w:line="360" w:lineRule="auto"/>
        <w:ind w:left="0" w:leftChars="0" w:firstLine="480"/>
        <w:jc w:val="left"/>
        <w:rPr>
          <w:rStyle w:val="18"/>
          <w:rFonts w:hint="eastAsia" w:ascii="宋体" w:hAnsi="宋体" w:cs="宋体"/>
          <w:color w:val="auto"/>
          <w:kern w:val="2"/>
          <w:sz w:val="24"/>
          <w:szCs w:val="24"/>
          <w:highlight w:val="none"/>
        </w:rPr>
      </w:pPr>
      <w:r>
        <w:rPr>
          <w:rFonts w:hint="eastAsia" w:ascii="宋体" w:hAnsi="宋体" w:cs="宋体"/>
          <w:kern w:val="2"/>
          <w:sz w:val="24"/>
          <w:szCs w:val="24"/>
        </w:rPr>
        <w:t>登陆网址：</w:t>
      </w:r>
      <w:r>
        <w:rPr>
          <w:rFonts w:hint="eastAsia" w:ascii="宋体" w:hAnsi="宋体" w:cs="宋体"/>
          <w:kern w:val="2"/>
          <w:sz w:val="24"/>
          <w:szCs w:val="24"/>
          <w:highlight w:val="none"/>
        </w:rPr>
        <w:fldChar w:fldCharType="begin"/>
      </w:r>
      <w:r>
        <w:rPr>
          <w:rFonts w:hint="eastAsia" w:ascii="宋体" w:hAnsi="宋体" w:cs="宋体"/>
          <w:kern w:val="2"/>
          <w:sz w:val="24"/>
          <w:szCs w:val="24"/>
          <w:highlight w:val="none"/>
        </w:rPr>
        <w:instrText xml:space="preserve"> HYPERLINK "http://ecaitong.sinotruk.com:8012（投标人注册完成审批后，于2023年4月13日17:00前在" </w:instrText>
      </w:r>
      <w:r>
        <w:rPr>
          <w:rFonts w:hint="eastAsia" w:ascii="宋体" w:hAnsi="宋体" w:cs="宋体"/>
          <w:kern w:val="2"/>
          <w:sz w:val="24"/>
          <w:szCs w:val="24"/>
          <w:highlight w:val="none"/>
        </w:rPr>
        <w:fldChar w:fldCharType="separate"/>
      </w:r>
      <w:r>
        <w:rPr>
          <w:rFonts w:hint="eastAsia" w:asciiTheme="minorEastAsia" w:hAnsiTheme="minorEastAsia" w:eastAsiaTheme="minorEastAsia"/>
          <w:sz w:val="24"/>
          <w:szCs w:val="24"/>
          <w:highlight w:val="none"/>
        </w:rPr>
        <w:t>http</w:t>
      </w:r>
      <w:r>
        <w:rPr>
          <w:rFonts w:hint="eastAsia" w:asciiTheme="minorEastAsia" w:hAnsiTheme="minorEastAsia" w:eastAsiaTheme="minorEastAsia"/>
          <w:sz w:val="24"/>
          <w:szCs w:val="24"/>
          <w:highlight w:val="none"/>
          <w:lang w:val="en-US" w:eastAsia="zh-CN"/>
        </w:rPr>
        <w:t>s</w:t>
      </w:r>
      <w:r>
        <w:rPr>
          <w:rFonts w:hint="eastAsia" w:asciiTheme="minorEastAsia" w:hAnsiTheme="minorEastAsia" w:eastAsiaTheme="minorEastAsia"/>
          <w:sz w:val="24"/>
          <w:szCs w:val="24"/>
          <w:highlight w:val="none"/>
        </w:rPr>
        <w:t>://ecaitong.sinotruk.com:8012</w:t>
      </w:r>
      <w:r>
        <w:rPr>
          <w:rStyle w:val="18"/>
          <w:rFonts w:hint="eastAsia" w:ascii="宋体" w:hAnsi="宋体" w:cs="宋体"/>
          <w:color w:val="auto"/>
          <w:kern w:val="2"/>
          <w:sz w:val="24"/>
          <w:szCs w:val="24"/>
          <w:highlight w:val="none"/>
        </w:rPr>
        <w:t>（投标人注册完成审批后，于</w:t>
      </w:r>
      <w:r>
        <w:rPr>
          <w:rStyle w:val="18"/>
          <w:rFonts w:hint="eastAsia" w:ascii="宋体" w:hAnsi="宋体" w:cs="宋体"/>
          <w:color w:val="auto"/>
          <w:kern w:val="2"/>
          <w:sz w:val="24"/>
          <w:szCs w:val="24"/>
          <w:highlight w:val="none"/>
          <w:lang w:eastAsia="zh-CN"/>
        </w:rPr>
        <w:t>2026</w:t>
      </w:r>
      <w:r>
        <w:rPr>
          <w:rStyle w:val="18"/>
          <w:rFonts w:hint="eastAsia" w:ascii="宋体" w:hAnsi="宋体" w:cs="宋体"/>
          <w:color w:val="auto"/>
          <w:kern w:val="2"/>
          <w:sz w:val="24"/>
          <w:szCs w:val="24"/>
          <w:highlight w:val="none"/>
        </w:rPr>
        <w:t>年</w:t>
      </w:r>
      <w:r>
        <w:rPr>
          <w:rStyle w:val="18"/>
          <w:rFonts w:hint="eastAsia" w:ascii="宋体" w:hAnsi="宋体" w:cs="宋体"/>
          <w:color w:val="auto"/>
          <w:kern w:val="2"/>
          <w:sz w:val="24"/>
          <w:szCs w:val="24"/>
          <w:highlight w:val="yellow"/>
          <w:lang w:val="en-US" w:eastAsia="zh-CN"/>
        </w:rPr>
        <w:t>10</w:t>
      </w:r>
      <w:r>
        <w:rPr>
          <w:rFonts w:hint="eastAsia" w:ascii="宋体" w:hAnsi="宋体" w:cs="宋体"/>
          <w:kern w:val="2"/>
          <w:sz w:val="24"/>
          <w:szCs w:val="24"/>
          <w:highlight w:val="yellow"/>
          <w:lang w:eastAsia="zh-CN"/>
        </w:rPr>
        <w:t>月</w:t>
      </w:r>
      <w:r>
        <w:rPr>
          <w:rFonts w:hint="eastAsia" w:ascii="宋体" w:hAnsi="宋体" w:cs="宋体"/>
          <w:kern w:val="2"/>
          <w:sz w:val="24"/>
          <w:szCs w:val="24"/>
          <w:highlight w:val="yellow"/>
          <w:lang w:val="en-US" w:eastAsia="zh-CN"/>
        </w:rPr>
        <w:t>27</w:t>
      </w:r>
      <w:r>
        <w:rPr>
          <w:rFonts w:hint="eastAsia" w:ascii="宋体" w:hAnsi="宋体" w:cs="宋体"/>
          <w:kern w:val="2"/>
          <w:sz w:val="24"/>
          <w:szCs w:val="24"/>
          <w:highlight w:val="yellow"/>
        </w:rPr>
        <w:t>日</w:t>
      </w:r>
      <w:r>
        <w:rPr>
          <w:rFonts w:hint="eastAsia" w:ascii="宋体" w:hAnsi="宋体" w:cs="宋体"/>
          <w:kern w:val="2"/>
          <w:sz w:val="24"/>
          <w:szCs w:val="24"/>
          <w:highlight w:val="yellow"/>
          <w:lang w:val="en-US" w:eastAsia="zh-CN"/>
        </w:rPr>
        <w:t>17</w:t>
      </w:r>
      <w:r>
        <w:rPr>
          <w:rFonts w:hint="eastAsia" w:ascii="宋体" w:hAnsi="宋体" w:cs="宋体"/>
          <w:kern w:val="2"/>
          <w:sz w:val="24"/>
          <w:szCs w:val="24"/>
          <w:lang w:val="en-US" w:eastAsia="zh-CN"/>
        </w:rPr>
        <w:t>点</w:t>
      </w:r>
      <w:r>
        <w:rPr>
          <w:rStyle w:val="18"/>
          <w:rFonts w:hint="eastAsia" w:ascii="宋体" w:hAnsi="宋体" w:cs="宋体"/>
          <w:color w:val="auto"/>
          <w:kern w:val="2"/>
          <w:sz w:val="24"/>
          <w:szCs w:val="24"/>
          <w:highlight w:val="none"/>
        </w:rPr>
        <w:t>前在“中国重汽e采通”招投标中心非生产类招投标点击“供应商</w:t>
      </w:r>
      <w:r>
        <w:rPr>
          <w:rStyle w:val="18"/>
          <w:rFonts w:hint="eastAsia" w:ascii="宋体" w:hAnsi="宋体" w:cs="宋体"/>
          <w:color w:val="auto"/>
          <w:kern w:val="2"/>
          <w:sz w:val="24"/>
          <w:szCs w:val="24"/>
          <w:highlight w:val="yellow"/>
        </w:rPr>
        <w:t>应标</w:t>
      </w:r>
      <w:r>
        <w:rPr>
          <w:rStyle w:val="18"/>
          <w:rFonts w:hint="eastAsia" w:ascii="宋体" w:hAnsi="宋体" w:cs="宋体"/>
          <w:color w:val="auto"/>
          <w:kern w:val="2"/>
          <w:sz w:val="24"/>
          <w:szCs w:val="24"/>
          <w:highlight w:val="none"/>
        </w:rPr>
        <w:t>”，逾期系统自动关闭应标）。</w:t>
      </w:r>
      <w:r>
        <w:rPr>
          <w:rStyle w:val="18"/>
          <w:rFonts w:hint="eastAsia" w:ascii="宋体" w:hAnsi="宋体" w:cs="宋体"/>
          <w:color w:val="auto"/>
          <w:kern w:val="2"/>
          <w:sz w:val="24"/>
          <w:szCs w:val="24"/>
          <w:highlight w:val="none"/>
        </w:rPr>
        <w:fldChar w:fldCharType="end"/>
      </w:r>
    </w:p>
    <w:p w14:paraId="265C92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Times New Roman" w:asciiTheme="minorEastAsia" w:hAnsiTheme="minorEastAsia" w:eastAsiaTheme="minorEastAsia"/>
          <w:kern w:val="0"/>
          <w:sz w:val="24"/>
          <w:szCs w:val="24"/>
          <w:highlight w:val="none"/>
          <w:lang w:val="en-US" w:eastAsia="zh-CN" w:bidi="ar-SA"/>
        </w:rPr>
      </w:pPr>
      <w:r>
        <w:rPr>
          <w:rFonts w:hint="eastAsia" w:cs="Times New Roman" w:asciiTheme="minorEastAsia" w:hAnsiTheme="minorEastAsia" w:eastAsiaTheme="minorEastAsia"/>
          <w:kern w:val="0"/>
          <w:sz w:val="24"/>
          <w:szCs w:val="24"/>
          <w:highlight w:val="none"/>
          <w:lang w:val="en-US" w:eastAsia="zh-CN" w:bidi="ar-SA"/>
        </w:rPr>
        <w:t>项目的潜在投标人应在缴纳投标保证金（</w:t>
      </w:r>
      <w:r>
        <w:rPr>
          <w:rFonts w:hint="eastAsia" w:ascii="宋体" w:hAnsi="宋体" w:cs="宋体"/>
          <w:color w:val="000000"/>
          <w:sz w:val="24"/>
          <w:szCs w:val="24"/>
          <w:highlight w:val="none"/>
          <w:lang w:val="en-US" w:eastAsia="zh-CN"/>
        </w:rPr>
        <w:t>现供方上传投标保证金承诺函（附件6）</w:t>
      </w:r>
      <w:r>
        <w:rPr>
          <w:rFonts w:hint="eastAsia" w:cs="Times New Roman" w:asciiTheme="minorEastAsia" w:hAnsiTheme="minorEastAsia" w:eastAsiaTheme="minorEastAsia"/>
          <w:kern w:val="0"/>
          <w:sz w:val="24"/>
          <w:szCs w:val="24"/>
          <w:highlight w:val="none"/>
          <w:lang w:val="en-US" w:eastAsia="zh-CN" w:bidi="ar-SA"/>
        </w:rPr>
        <w:t>）后通过“中国重汽e采通”（https://ecaitong.sinotruk.com:8012）获取招标文件，于2026年</w:t>
      </w:r>
      <w:r>
        <w:rPr>
          <w:rFonts w:hint="eastAsia" w:cs="Times New Roman" w:asciiTheme="minorEastAsia" w:hAnsiTheme="minorEastAsia" w:eastAsiaTheme="minorEastAsia"/>
          <w:kern w:val="0"/>
          <w:sz w:val="24"/>
          <w:szCs w:val="24"/>
          <w:highlight w:val="yellow"/>
          <w:lang w:val="en-US" w:eastAsia="zh-CN" w:bidi="ar-SA"/>
        </w:rPr>
        <w:t>11月3日9点</w:t>
      </w:r>
      <w:r>
        <w:rPr>
          <w:rFonts w:hint="eastAsia" w:cs="Times New Roman" w:asciiTheme="minorEastAsia" w:hAnsiTheme="minorEastAsia" w:eastAsiaTheme="minorEastAsia"/>
          <w:kern w:val="0"/>
          <w:sz w:val="24"/>
          <w:szCs w:val="24"/>
          <w:highlight w:val="none"/>
          <w:lang w:val="en-US" w:eastAsia="zh-CN" w:bidi="ar-SA"/>
        </w:rPr>
        <w:t>（北京时间）前递交投标文件。</w:t>
      </w:r>
    </w:p>
    <w:p w14:paraId="282B5F77">
      <w:pPr>
        <w:spacing w:line="360" w:lineRule="auto"/>
        <w:ind w:firstLine="420" w:firstLineChars="200"/>
        <w:rPr>
          <w:rFonts w:hint="eastAsia" w:ascii="宋体" w:hAnsi="宋体" w:cs="宋体"/>
          <w:sz w:val="24"/>
          <w:szCs w:val="24"/>
          <w:highlight w:val="none"/>
        </w:rPr>
      </w:pPr>
      <w:r>
        <w:rPr>
          <w:rFonts w:hint="eastAsia"/>
          <w:highlight w:val="none"/>
        </w:rPr>
        <w:t xml:space="preserve"> </w:t>
      </w:r>
      <w:r>
        <w:rPr>
          <w:rFonts w:hint="eastAsia" w:ascii="宋体" w:hAnsi="宋体" w:cs="宋体"/>
          <w:sz w:val="24"/>
          <w:szCs w:val="24"/>
          <w:highlight w:val="none"/>
        </w:rPr>
        <w:t>供应商应标须上传资料：</w:t>
      </w:r>
    </w:p>
    <w:p w14:paraId="15102F5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①投标人公司成立时间（至报名截止日）需满3年，注册资金不少于</w:t>
      </w:r>
      <w:r>
        <w:rPr>
          <w:rFonts w:hint="eastAsia" w:ascii="宋体" w:hAnsi="宋体" w:cs="宋体"/>
          <w:sz w:val="24"/>
          <w:szCs w:val="24"/>
          <w:highlight w:val="none"/>
          <w:lang w:val="en-US" w:eastAsia="zh-CN"/>
        </w:rPr>
        <w:t>5</w:t>
      </w:r>
      <w:r>
        <w:rPr>
          <w:rFonts w:hint="eastAsia" w:ascii="宋体" w:hAnsi="宋体" w:cs="宋体"/>
          <w:sz w:val="24"/>
          <w:szCs w:val="24"/>
          <w:highlight w:val="none"/>
        </w:rPr>
        <w:t>00万，投标人须于投标时提供具有统一社会信用代码的营业执照副本原件、复印件及资产负债表(加盖公章)；</w:t>
      </w:r>
    </w:p>
    <w:p w14:paraId="75342EC6">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②法定代表人授权书；法定代表人参加投标的，提供法人身份证明文件即可；被授权人参加投标的，需提供法定代表人授权委托书（含法人身份证和被授权人身份证正反面复印件）和被授权人近6个月及以上在授权单位的社保缴纳证明。投标联系人及其联系方式；</w:t>
      </w:r>
    </w:p>
    <w:p w14:paraId="4352726A">
      <w:pPr>
        <w:spacing w:line="360" w:lineRule="auto"/>
        <w:ind w:firstLine="480" w:firstLineChars="200"/>
        <w:rPr>
          <w:rFonts w:hint="eastAsia" w:ascii="宋体" w:hAnsi="宋体" w:cs="宋体"/>
          <w:color w:val="000000"/>
          <w:sz w:val="24"/>
          <w:szCs w:val="24"/>
          <w:highlight w:val="none"/>
        </w:rPr>
      </w:pPr>
      <w:r>
        <w:rPr>
          <w:rFonts w:hint="eastAsia" w:ascii="宋体" w:hAnsi="宋体" w:cs="宋体"/>
          <w:sz w:val="24"/>
          <w:szCs w:val="24"/>
          <w:highlight w:val="none"/>
        </w:rPr>
        <w:t>③</w:t>
      </w:r>
      <w:r>
        <w:rPr>
          <w:rFonts w:hint="eastAsia" w:ascii="宋体" w:hAnsi="宋体" w:cs="宋体"/>
          <w:color w:val="000000"/>
          <w:sz w:val="24"/>
          <w:szCs w:val="24"/>
          <w:highlight w:val="none"/>
        </w:rPr>
        <w:t>《道路运输经营许可证》</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A包商品车运输项目投标人需同步提供大件运输资格许可）</w:t>
      </w:r>
      <w:r>
        <w:rPr>
          <w:rFonts w:hint="eastAsia" w:ascii="宋体" w:hAnsi="宋体" w:cs="宋体"/>
          <w:color w:val="000000"/>
          <w:sz w:val="24"/>
          <w:szCs w:val="24"/>
          <w:highlight w:val="none"/>
        </w:rPr>
        <w:t>原件及复印件(加盖公章)，并保证行政许可在有效期内；</w:t>
      </w:r>
    </w:p>
    <w:p w14:paraId="70471F8E">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④</w:t>
      </w:r>
      <w:r>
        <w:rPr>
          <w:rFonts w:hint="eastAsia" w:ascii="宋体" w:hAnsi="宋体" w:cs="宋体"/>
          <w:sz w:val="24"/>
          <w:szCs w:val="24"/>
          <w:highlight w:val="none"/>
        </w:rPr>
        <w:t>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2B17B2AA">
      <w:pPr>
        <w:widowControl w:val="0"/>
        <w:numPr>
          <w:ilvl w:val="0"/>
          <w:numId w:val="0"/>
        </w:numPr>
        <w:spacing w:line="360" w:lineRule="auto"/>
        <w:ind w:left="480" w:leftChars="0"/>
        <w:jc w:val="both"/>
        <w:rPr>
          <w:rFonts w:hint="eastAsia" w:ascii="宋体" w:hAnsi="宋体" w:eastAsia="宋体" w:cs="宋体"/>
          <w:kern w:val="2"/>
          <w:sz w:val="24"/>
          <w:szCs w:val="24"/>
          <w:highlight w:val="none"/>
        </w:rPr>
      </w:pPr>
      <w:r>
        <w:rPr>
          <w:rFonts w:hint="eastAsia" w:ascii="宋体" w:hAnsi="宋体" w:cs="宋体"/>
          <w:kern w:val="2"/>
          <w:sz w:val="24"/>
          <w:szCs w:val="24"/>
          <w:highlight w:val="none"/>
          <w:lang w:val="en-US" w:eastAsia="zh-CN"/>
        </w:rPr>
        <w:t>⑤</w:t>
      </w:r>
      <w:r>
        <w:rPr>
          <w:rFonts w:hint="eastAsia" w:ascii="宋体" w:hAnsi="宋体" w:eastAsia="宋体" w:cs="宋体"/>
          <w:kern w:val="2"/>
          <w:sz w:val="24"/>
          <w:szCs w:val="24"/>
          <w:highlight w:val="none"/>
        </w:rPr>
        <w:t xml:space="preserve">企业最近半年完税证明、信用证明材料（中国人民银行信用代码证+征信报告）； </w:t>
      </w:r>
    </w:p>
    <w:p w14:paraId="79C6037D">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hAnsi="宋体" w:cs="宋体"/>
          <w:kern w:val="2"/>
          <w:sz w:val="24"/>
          <w:szCs w:val="24"/>
          <w:highlight w:val="none"/>
          <w:lang w:val="en-US" w:eastAsia="zh-CN"/>
        </w:rPr>
        <w:t>⑥</w:t>
      </w:r>
      <w:r>
        <w:rPr>
          <w:rFonts w:hint="eastAsia" w:ascii="宋体" w:hAnsi="宋体" w:cs="宋体"/>
          <w:color w:val="000000"/>
          <w:sz w:val="24"/>
          <w:szCs w:val="24"/>
          <w:highlight w:val="none"/>
          <w:lang w:val="en-US" w:eastAsia="zh-CN"/>
        </w:rPr>
        <w:t xml:space="preserve">年度纳税信用评价信息（可从电子税务局查询截图，需加盖公章）； </w:t>
      </w:r>
    </w:p>
    <w:p w14:paraId="7F48BD1D">
      <w:pPr>
        <w:spacing w:line="360" w:lineRule="auto"/>
        <w:ind w:firstLine="480" w:firstLineChars="200"/>
        <w:rPr>
          <w:rFonts w:hint="eastAsia" w:ascii="宋体" w:hAnsi="宋体" w:cs="宋体"/>
          <w:sz w:val="24"/>
          <w:szCs w:val="24"/>
          <w:highlight w:val="none"/>
        </w:rPr>
      </w:pPr>
      <w:r>
        <w:rPr>
          <w:rFonts w:hint="eastAsia" w:ascii="宋体" w:hAnsi="宋体" w:cs="宋体"/>
          <w:kern w:val="2"/>
          <w:sz w:val="24"/>
          <w:szCs w:val="24"/>
          <w:highlight w:val="none"/>
          <w:lang w:val="en-US" w:eastAsia="zh-CN"/>
        </w:rPr>
        <w:t>⑦</w:t>
      </w:r>
      <w:r>
        <w:rPr>
          <w:rFonts w:hint="eastAsia" w:ascii="宋体" w:hAnsi="宋体" w:cs="宋体"/>
          <w:color w:val="000000"/>
          <w:sz w:val="24"/>
          <w:szCs w:val="24"/>
          <w:highlight w:val="none"/>
          <w:lang w:val="en-US" w:eastAsia="zh-CN"/>
        </w:rPr>
        <w:t>企业对外担保说明（写明贵单位对外有无对外担保和质押业务，需加盖公章）。</w:t>
      </w:r>
    </w:p>
    <w:p w14:paraId="3067471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⑧</w:t>
      </w:r>
      <w:r>
        <w:rPr>
          <w:rFonts w:hint="eastAsia" w:ascii="宋体" w:hAnsi="宋体" w:cs="宋体"/>
          <w:sz w:val="24"/>
          <w:szCs w:val="24"/>
          <w:highlight w:val="none"/>
        </w:rPr>
        <w:t>投标保证金缴纳凭证（现供方上传投标保证金承诺函）</w:t>
      </w:r>
    </w:p>
    <w:p w14:paraId="701403E3">
      <w:pPr>
        <w:spacing w:line="360" w:lineRule="auto"/>
        <w:ind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⑨</w:t>
      </w:r>
      <w:r>
        <w:rPr>
          <w:rFonts w:hint="eastAsia" w:ascii="宋体" w:hAnsi="宋体" w:cs="宋体"/>
          <w:sz w:val="24"/>
          <w:szCs w:val="24"/>
          <w:highlight w:val="none"/>
        </w:rPr>
        <w:t>投标人在近三年内或成立以来在经营活动中无重大违法、违规的不良记录; 在以往的招投标活动中没有违纪、违规、违约等不良行为，且没有列于山东重工黑名单企业；</w:t>
      </w:r>
      <w:r>
        <w:rPr>
          <w:rFonts w:hint="eastAsia" w:ascii="宋体" w:hAnsi="宋体" w:cs="宋体"/>
          <w:sz w:val="24"/>
          <w:szCs w:val="24"/>
          <w:highlight w:val="none"/>
          <w:lang w:val="en-US" w:eastAsia="zh-CN"/>
        </w:rPr>
        <w:t>不得列入国家企业信用信息公示系统经营异常名录信息、严重违法失信企业名单（黑名单），不得列入中国执行信息公开网失信被执行人名单。</w:t>
      </w:r>
    </w:p>
    <w:p w14:paraId="71326C6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⑩投标人应具备三年（2023年及以后）以来从事过商品车驾送的资质（以与主机厂直签合同为准），且没有在业务运营过程中出现重大违规、失信等情况。</w:t>
      </w:r>
      <w:r>
        <w:rPr>
          <w:rFonts w:hint="eastAsia" w:ascii="宋体" w:hAnsi="宋体" w:cs="宋体"/>
          <w:sz w:val="24"/>
          <w:szCs w:val="24"/>
          <w:highlight w:val="none"/>
        </w:rPr>
        <w:t>2023年以来与主机厂直签的商品车运输合同，须提供用户清单、采购合同复印件</w:t>
      </w:r>
      <w:r>
        <w:rPr>
          <w:rFonts w:hint="eastAsia" w:ascii="宋体" w:hAnsi="宋体" w:cs="宋体"/>
          <w:sz w:val="24"/>
          <w:szCs w:val="24"/>
          <w:highlight w:val="none"/>
          <w:lang w:eastAsia="zh-CN"/>
        </w:rPr>
        <w:t>。</w:t>
      </w:r>
    </w:p>
    <w:p w14:paraId="3E3B577F">
      <w:pPr>
        <w:pStyle w:val="3"/>
        <w:spacing w:before="0" w:beforeLines="0" w:line="360" w:lineRule="auto"/>
        <w:ind w:firstLine="482"/>
      </w:pPr>
      <w:bookmarkStart w:id="27" w:name="_Toc18096"/>
      <w:r>
        <w:rPr>
          <w:rFonts w:hint="eastAsia"/>
          <w:sz w:val="28"/>
          <w:szCs w:val="28"/>
        </w:rPr>
        <w:t>招标形式</w:t>
      </w:r>
      <w:r>
        <w:rPr>
          <w:rFonts w:hint="eastAsia"/>
          <w:sz w:val="28"/>
          <w:szCs w:val="28"/>
          <w:highlight w:val="none"/>
        </w:rPr>
        <w:t>：</w:t>
      </w:r>
      <w:bookmarkEnd w:id="27"/>
      <w:bookmarkStart w:id="28" w:name="_Toc131681872"/>
      <w:bookmarkStart w:id="29" w:name="_Toc7478"/>
      <w:bookmarkStart w:id="30" w:name="_Toc16079"/>
      <w:r>
        <w:rPr>
          <w:rFonts w:hint="eastAsia"/>
          <w:sz w:val="28"/>
          <w:szCs w:val="28"/>
          <w:highlight w:val="none"/>
          <w:lang w:val="en-US" w:eastAsia="zh-CN"/>
        </w:rPr>
        <w:t>公开招标</w:t>
      </w:r>
    </w:p>
    <w:p w14:paraId="0202CAA9">
      <w:pPr>
        <w:pStyle w:val="3"/>
        <w:spacing w:before="0" w:beforeLines="0" w:line="360" w:lineRule="auto"/>
        <w:ind w:firstLine="482"/>
        <w:rPr>
          <w:rFonts w:hint="default"/>
          <w:sz w:val="28"/>
          <w:szCs w:val="28"/>
          <w:lang w:val="en-US"/>
        </w:rPr>
      </w:pPr>
      <w:bookmarkStart w:id="31" w:name="_Toc10431"/>
      <w:r>
        <w:rPr>
          <w:rFonts w:hint="eastAsia"/>
          <w:sz w:val="28"/>
          <w:szCs w:val="28"/>
        </w:rPr>
        <w:t>投标人资格要求</w:t>
      </w:r>
      <w:bookmarkEnd w:id="28"/>
      <w:bookmarkEnd w:id="29"/>
      <w:bookmarkEnd w:id="30"/>
      <w:bookmarkEnd w:id="31"/>
    </w:p>
    <w:p w14:paraId="5713CCBF">
      <w:pPr>
        <w:spacing w:line="360" w:lineRule="auto"/>
        <w:ind w:firstLine="480" w:firstLineChars="200"/>
        <w:rPr>
          <w:rFonts w:ascii="宋体" w:hAnsi="宋体" w:cs="宋体"/>
          <w:sz w:val="24"/>
          <w:szCs w:val="24"/>
        </w:rPr>
      </w:pPr>
      <w:r>
        <w:rPr>
          <w:rFonts w:hint="eastAsia" w:ascii="宋体" w:hAnsi="宋体" w:cs="宋体"/>
          <w:color w:val="000000"/>
          <w:sz w:val="24"/>
          <w:szCs w:val="24"/>
        </w:rPr>
        <w:t>1</w:t>
      </w:r>
      <w:r>
        <w:rPr>
          <w:rFonts w:hint="eastAsia" w:ascii="宋体" w:hAnsi="宋体" w:cs="宋体"/>
          <w:sz w:val="24"/>
          <w:szCs w:val="24"/>
        </w:rPr>
        <w:t>.投标人</w:t>
      </w:r>
      <w:r>
        <w:rPr>
          <w:rFonts w:hint="eastAsia" w:ascii="宋体" w:hAnsi="宋体" w:cs="宋体"/>
          <w:sz w:val="24"/>
          <w:szCs w:val="24"/>
          <w:lang w:val="en-US" w:eastAsia="zh-CN"/>
        </w:rPr>
        <w:t>须具备以下条件方可</w:t>
      </w:r>
      <w:r>
        <w:rPr>
          <w:rFonts w:hint="eastAsia" w:ascii="宋体" w:hAnsi="宋体" w:cs="宋体"/>
          <w:sz w:val="24"/>
          <w:szCs w:val="24"/>
        </w:rPr>
        <w:t>具有参与</w:t>
      </w:r>
      <w:r>
        <w:rPr>
          <w:rFonts w:hint="eastAsia" w:ascii="宋体" w:hAnsi="宋体" w:cs="宋体"/>
          <w:sz w:val="24"/>
          <w:szCs w:val="24"/>
          <w:lang w:val="en-US" w:eastAsia="zh-CN"/>
        </w:rPr>
        <w:t>竞标</w:t>
      </w:r>
      <w:r>
        <w:rPr>
          <w:rFonts w:hint="eastAsia" w:ascii="宋体" w:hAnsi="宋体" w:cs="宋体"/>
          <w:sz w:val="24"/>
          <w:szCs w:val="24"/>
        </w:rPr>
        <w:t>的资格。</w:t>
      </w:r>
    </w:p>
    <w:p w14:paraId="7A71D7B8">
      <w:pPr>
        <w:spacing w:line="360" w:lineRule="auto"/>
        <w:ind w:firstLine="480" w:firstLineChars="200"/>
        <w:rPr>
          <w:rFonts w:ascii="宋体" w:hAnsi="宋体" w:cs="宋体"/>
          <w:sz w:val="24"/>
          <w:szCs w:val="24"/>
          <w:highlight w:val="none"/>
        </w:rPr>
      </w:pPr>
      <w:bookmarkStart w:id="32" w:name="_Toc129697429"/>
      <w:r>
        <w:rPr>
          <w:rFonts w:hint="eastAsia" w:ascii="宋体" w:hAnsi="宋体" w:cs="宋体"/>
          <w:color w:val="000000"/>
          <w:sz w:val="24"/>
          <w:szCs w:val="24"/>
        </w:rPr>
        <w:t>（1）投标人须遵守《中华人民共和国招标投标法》、《中华人民共和国民法典》及其它有关的法律和法规；为中华人民共和国境内注册的独立法人机构，具有独立承担民事责任的能力；经营范围满足竞价项目需求；</w:t>
      </w:r>
    </w:p>
    <w:p w14:paraId="577EA2DD">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投标人</w:t>
      </w:r>
      <w:r>
        <w:rPr>
          <w:rFonts w:ascii="宋体" w:hAnsi="宋体" w:eastAsia="宋体" w:cs="宋体"/>
          <w:sz w:val="24"/>
          <w:szCs w:val="24"/>
          <w:highlight w:val="none"/>
        </w:rPr>
        <w:t>公司成立时间（至报名截止日）</w:t>
      </w:r>
      <w:r>
        <w:rPr>
          <w:rFonts w:hint="eastAsia" w:ascii="宋体" w:hAnsi="宋体" w:cs="宋体"/>
          <w:sz w:val="24"/>
          <w:szCs w:val="24"/>
          <w:highlight w:val="none"/>
          <w:lang w:val="en-US" w:eastAsia="zh-CN"/>
        </w:rPr>
        <w:t>需</w:t>
      </w:r>
      <w:r>
        <w:rPr>
          <w:rFonts w:ascii="宋体" w:hAnsi="宋体" w:eastAsia="宋体" w:cs="宋体"/>
          <w:sz w:val="24"/>
          <w:szCs w:val="24"/>
          <w:highlight w:val="none"/>
        </w:rPr>
        <w:t>满</w:t>
      </w:r>
      <w:r>
        <w:rPr>
          <w:rFonts w:hint="eastAsia" w:ascii="宋体" w:hAnsi="宋体" w:eastAsia="宋体" w:cs="宋体"/>
          <w:sz w:val="24"/>
          <w:szCs w:val="24"/>
          <w:highlight w:val="none"/>
          <w:lang w:val="en-US" w:eastAsia="zh-CN"/>
        </w:rPr>
        <w:t>3</w:t>
      </w:r>
      <w:r>
        <w:rPr>
          <w:rFonts w:ascii="宋体" w:hAnsi="宋体" w:eastAsia="宋体" w:cs="宋体"/>
          <w:sz w:val="24"/>
          <w:szCs w:val="24"/>
          <w:highlight w:val="none"/>
        </w:rPr>
        <w:t>年</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rPr>
        <w:t>注册资金不少于</w:t>
      </w:r>
      <w:r>
        <w:rPr>
          <w:rFonts w:hint="eastAsia" w:ascii="宋体" w:hAnsi="宋体" w:cs="宋体"/>
          <w:color w:val="000000"/>
          <w:sz w:val="24"/>
          <w:szCs w:val="24"/>
          <w:highlight w:val="none"/>
          <w:lang w:val="en-US" w:eastAsia="zh-CN"/>
        </w:rPr>
        <w:t>500</w:t>
      </w:r>
      <w:r>
        <w:rPr>
          <w:rFonts w:hint="eastAsia" w:ascii="宋体" w:hAnsi="宋体" w:cs="宋体"/>
          <w:color w:val="000000"/>
          <w:sz w:val="24"/>
          <w:szCs w:val="24"/>
          <w:highlight w:val="none"/>
        </w:rPr>
        <w:t>万，投标人须于投标时提供具有统一社会信用代码的营业执照副本原件、复印件及资产负债表(加盖公章)；</w:t>
      </w:r>
    </w:p>
    <w:p w14:paraId="46D9429A">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rPr>
        <w:t>（3）投标人需提供</w:t>
      </w:r>
      <w:r>
        <w:rPr>
          <w:rFonts w:hint="eastAsia" w:ascii="宋体" w:hAnsi="宋体" w:cs="宋体"/>
          <w:color w:val="000000"/>
          <w:sz w:val="24"/>
          <w:szCs w:val="24"/>
          <w:lang w:eastAsia="zh-CN"/>
        </w:rPr>
        <w:t>：</w:t>
      </w:r>
    </w:p>
    <w:p w14:paraId="436FF6FE">
      <w:pPr>
        <w:spacing w:line="360" w:lineRule="auto"/>
        <w:ind w:firstLine="480" w:firstLineChars="200"/>
        <w:rPr>
          <w:rFonts w:hint="eastAsia" w:ascii="宋体" w:hAnsi="宋体" w:cs="宋体"/>
          <w:color w:val="000000"/>
          <w:sz w:val="24"/>
          <w:szCs w:val="24"/>
        </w:rPr>
      </w:pPr>
      <w:r>
        <w:rPr>
          <w:rFonts w:hint="eastAsia" w:ascii="宋体" w:hAnsi="宋体" w:eastAsia="宋体" w:cs="宋体"/>
          <w:color w:val="000000"/>
          <w:sz w:val="24"/>
          <w:szCs w:val="24"/>
          <w:lang w:val="en-US" w:eastAsia="zh-CN"/>
        </w:rPr>
        <w:t>①</w:t>
      </w:r>
      <w:r>
        <w:rPr>
          <w:rFonts w:hint="eastAsia" w:ascii="宋体" w:hAnsi="宋体" w:cs="宋体"/>
          <w:color w:val="000000"/>
          <w:sz w:val="24"/>
          <w:szCs w:val="24"/>
        </w:rPr>
        <w:t>《道路运输经营许可证》</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A包商品车运输投标人需同步提供大件运输资格许可）</w:t>
      </w:r>
      <w:r>
        <w:rPr>
          <w:rFonts w:hint="eastAsia" w:ascii="宋体" w:hAnsi="宋体" w:cs="宋体"/>
          <w:color w:val="000000"/>
          <w:sz w:val="24"/>
          <w:szCs w:val="24"/>
        </w:rPr>
        <w:t>原件及复印件(加盖公章)，并保证行政许可在有效期内；</w:t>
      </w:r>
    </w:p>
    <w:p w14:paraId="76516084">
      <w:pPr>
        <w:widowControl w:val="0"/>
        <w:numPr>
          <w:ilvl w:val="0"/>
          <w:numId w:val="0"/>
        </w:numPr>
        <w:spacing w:line="360" w:lineRule="auto"/>
        <w:ind w:left="480" w:leftChars="0"/>
        <w:jc w:val="both"/>
        <w:rPr>
          <w:rFonts w:hint="eastAsia" w:ascii="宋体" w:hAnsi="宋体" w:eastAsia="宋体" w:cs="宋体"/>
          <w:kern w:val="2"/>
          <w:sz w:val="24"/>
          <w:szCs w:val="24"/>
          <w:highlight w:val="none"/>
        </w:rPr>
      </w:pPr>
      <w:r>
        <w:rPr>
          <w:rFonts w:hint="eastAsia" w:ascii="宋体" w:hAnsi="宋体" w:cs="宋体"/>
          <w:kern w:val="2"/>
          <w:sz w:val="24"/>
          <w:szCs w:val="24"/>
          <w:highlight w:val="none"/>
          <w:lang w:val="en-US" w:eastAsia="zh-CN"/>
        </w:rPr>
        <w:t>②</w:t>
      </w:r>
      <w:r>
        <w:rPr>
          <w:rFonts w:hint="eastAsia" w:ascii="宋体" w:hAnsi="宋体" w:eastAsia="宋体" w:cs="宋体"/>
          <w:kern w:val="2"/>
          <w:sz w:val="24"/>
          <w:szCs w:val="24"/>
          <w:highlight w:val="none"/>
        </w:rPr>
        <w:t>应提供</w:t>
      </w:r>
      <w:r>
        <w:rPr>
          <w:rFonts w:hint="eastAsia" w:ascii="宋体" w:hAnsi="宋体" w:cs="宋体"/>
          <w:kern w:val="2"/>
          <w:sz w:val="24"/>
          <w:szCs w:val="24"/>
          <w:highlight w:val="none"/>
          <w:lang w:val="en-US" w:eastAsia="zh-CN"/>
        </w:rPr>
        <w:t>近三年</w:t>
      </w:r>
      <w:r>
        <w:rPr>
          <w:rFonts w:hint="eastAsia" w:ascii="宋体" w:hAnsi="宋体" w:eastAsia="宋体" w:cs="宋体"/>
          <w:kern w:val="2"/>
          <w:sz w:val="24"/>
          <w:szCs w:val="24"/>
          <w:highlight w:val="none"/>
        </w:rPr>
        <w:t xml:space="preserve">中文版本的审计报告或财务报表； </w:t>
      </w:r>
    </w:p>
    <w:p w14:paraId="65AD0AFB">
      <w:pPr>
        <w:widowControl w:val="0"/>
        <w:numPr>
          <w:ilvl w:val="0"/>
          <w:numId w:val="0"/>
        </w:numPr>
        <w:spacing w:line="360" w:lineRule="auto"/>
        <w:ind w:left="480" w:leftChars="0"/>
        <w:jc w:val="both"/>
        <w:rPr>
          <w:rFonts w:hint="eastAsia" w:ascii="宋体" w:hAnsi="宋体" w:eastAsia="宋体" w:cs="宋体"/>
          <w:kern w:val="2"/>
          <w:sz w:val="24"/>
          <w:szCs w:val="24"/>
          <w:highlight w:val="none"/>
        </w:rPr>
      </w:pPr>
      <w:r>
        <w:rPr>
          <w:rFonts w:hint="eastAsia" w:ascii="宋体" w:hAnsi="宋体" w:cs="宋体"/>
          <w:kern w:val="2"/>
          <w:sz w:val="24"/>
          <w:szCs w:val="24"/>
          <w:highlight w:val="none"/>
          <w:lang w:val="en-US" w:eastAsia="zh-CN"/>
        </w:rPr>
        <w:t>③</w:t>
      </w:r>
      <w:r>
        <w:rPr>
          <w:rFonts w:hint="eastAsia" w:ascii="宋体" w:hAnsi="宋体" w:eastAsia="宋体" w:cs="宋体"/>
          <w:kern w:val="2"/>
          <w:sz w:val="24"/>
          <w:szCs w:val="24"/>
          <w:highlight w:val="none"/>
        </w:rPr>
        <w:t xml:space="preserve">企业最近半年完税证明、信用证明材料（中国人民银行信用代码证+征信报告）； </w:t>
      </w:r>
    </w:p>
    <w:p w14:paraId="6EA37EC3">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hAnsi="宋体" w:cs="宋体"/>
          <w:kern w:val="2"/>
          <w:sz w:val="24"/>
          <w:szCs w:val="24"/>
          <w:highlight w:val="none"/>
          <w:lang w:val="en-US" w:eastAsia="zh-CN"/>
        </w:rPr>
        <w:t>④</w:t>
      </w:r>
      <w:r>
        <w:rPr>
          <w:rFonts w:hint="eastAsia" w:ascii="宋体" w:hAnsi="宋体" w:cs="宋体"/>
          <w:color w:val="000000"/>
          <w:sz w:val="24"/>
          <w:szCs w:val="24"/>
          <w:highlight w:val="none"/>
          <w:lang w:val="en-US" w:eastAsia="zh-CN"/>
        </w:rPr>
        <w:t xml:space="preserve">年度纳税信用评价信息（可从电子税务局查询截图，需加盖公章）； </w:t>
      </w:r>
    </w:p>
    <w:p w14:paraId="11652BA6">
      <w:pPr>
        <w:spacing w:line="360" w:lineRule="auto"/>
        <w:ind w:firstLine="480" w:firstLineChars="200"/>
        <w:rPr>
          <w:rFonts w:hint="eastAsia" w:ascii="宋体" w:hAnsi="宋体" w:cs="宋体"/>
          <w:color w:val="000000"/>
          <w:sz w:val="24"/>
          <w:szCs w:val="24"/>
        </w:rPr>
      </w:pPr>
      <w:r>
        <w:rPr>
          <w:rFonts w:hint="eastAsia" w:ascii="宋体" w:hAnsi="宋体" w:cs="宋体"/>
          <w:kern w:val="2"/>
          <w:sz w:val="24"/>
          <w:szCs w:val="24"/>
          <w:highlight w:val="none"/>
          <w:lang w:val="en-US" w:eastAsia="zh-CN"/>
        </w:rPr>
        <w:t>⑤</w:t>
      </w:r>
      <w:r>
        <w:rPr>
          <w:rFonts w:hint="eastAsia" w:ascii="宋体" w:hAnsi="宋体" w:cs="宋体"/>
          <w:color w:val="000000"/>
          <w:sz w:val="24"/>
          <w:szCs w:val="24"/>
          <w:highlight w:val="none"/>
          <w:lang w:val="en-US" w:eastAsia="zh-CN"/>
        </w:rPr>
        <w:t>企业对外担保说明（写明贵单位对外有无对外担保和质押业务，需加盖公章）。</w:t>
      </w:r>
    </w:p>
    <w:p w14:paraId="01146035">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（4）投标人在近三年内或成立以来在经营活动中无重大违法、违规的不良记录; 在以往的招投标活动中没有违纪、违规、违约等不良行为，且没有列于山东重工黑名单企业；</w:t>
      </w:r>
      <w:r>
        <w:rPr>
          <w:rFonts w:hint="eastAsia" w:ascii="宋体" w:hAnsi="宋体" w:cs="宋体"/>
          <w:color w:val="000000"/>
          <w:sz w:val="24"/>
          <w:szCs w:val="24"/>
          <w:lang w:val="en-US" w:eastAsia="zh-CN"/>
        </w:rPr>
        <w:t>不得列入国家企业信用信息公示系统经营异常名录信息、严重违法失信企业名单（黑名单），不得列入中国执行信息公开网失信被执行人名单；</w:t>
      </w:r>
    </w:p>
    <w:p w14:paraId="69388938">
      <w:pPr>
        <w:spacing w:line="360" w:lineRule="auto"/>
        <w:ind w:firstLine="480" w:firstLineChars="200"/>
        <w:rPr>
          <w:rFonts w:ascii="宋体" w:hAnsi="宋体" w:cs="宋体"/>
          <w:sz w:val="24"/>
          <w:szCs w:val="24"/>
        </w:rPr>
      </w:pPr>
      <w:r>
        <w:rPr>
          <w:rFonts w:hint="eastAsia" w:ascii="宋体" w:hAnsi="宋体" w:cs="宋体"/>
          <w:color w:val="000000"/>
          <w:sz w:val="24"/>
          <w:szCs w:val="24"/>
        </w:rPr>
        <w:t>（5）具有健全的财务会计制度，财务状况和市场行为良好。没有处于被有关机关吊销营业执照、吊销资质、停业整顿、取消投标资格以及财产被接管、冻结或进入破产程序等；</w:t>
      </w:r>
    </w:p>
    <w:p w14:paraId="5715AD70">
      <w:pPr>
        <w:spacing w:line="360" w:lineRule="auto"/>
        <w:ind w:firstLine="480" w:firstLineChars="200"/>
        <w:rPr>
          <w:rFonts w:ascii="宋体" w:hAnsi="宋体" w:cs="宋体"/>
          <w:sz w:val="24"/>
          <w:szCs w:val="24"/>
        </w:rPr>
      </w:pPr>
      <w:r>
        <w:rPr>
          <w:rFonts w:hint="eastAsia" w:ascii="宋体" w:hAnsi="宋体" w:cs="宋体"/>
          <w:color w:val="000000"/>
          <w:sz w:val="24"/>
          <w:szCs w:val="24"/>
        </w:rPr>
        <w:t>（6）投标人须提供法人授权委托书原件及投标单位的法定代表人或授权代表的身份证原件；</w:t>
      </w:r>
    </w:p>
    <w:p w14:paraId="48C265D9">
      <w:pPr>
        <w:spacing w:line="360" w:lineRule="auto"/>
        <w:ind w:firstLine="480" w:firstLineChars="200"/>
        <w:rPr>
          <w:rFonts w:ascii="宋体" w:hAnsi="宋体" w:cs="宋体"/>
          <w:sz w:val="24"/>
          <w:szCs w:val="24"/>
        </w:rPr>
      </w:pPr>
      <w:r>
        <w:rPr>
          <w:rFonts w:hint="eastAsia" w:ascii="宋体" w:hAnsi="宋体" w:cs="宋体"/>
          <w:color w:val="000000"/>
          <w:sz w:val="24"/>
          <w:szCs w:val="24"/>
        </w:rPr>
        <w:t>（7）投标人须具有履行合同所必须的设备、财务、技术、服务等方面的资质和能力；</w:t>
      </w:r>
    </w:p>
    <w:p w14:paraId="395EAB84">
      <w:pPr>
        <w:spacing w:line="360" w:lineRule="auto"/>
        <w:ind w:firstLine="480" w:firstLineChars="200"/>
        <w:rPr>
          <w:rFonts w:ascii="宋体" w:hAnsi="宋体" w:cs="宋体"/>
          <w:sz w:val="24"/>
          <w:szCs w:val="24"/>
        </w:rPr>
      </w:pPr>
      <w:r>
        <w:rPr>
          <w:rFonts w:hint="eastAsia" w:ascii="宋体" w:hAnsi="宋体" w:cs="宋体"/>
          <w:color w:val="000000"/>
          <w:sz w:val="24"/>
          <w:szCs w:val="24"/>
        </w:rPr>
        <w:t>（8）投标人须具有完全履行投标文件的所有要求的能力；认可业务单位的工作指令，包括节假日能正常开展工作的要求；</w:t>
      </w:r>
    </w:p>
    <w:p w14:paraId="2792941B">
      <w:pPr>
        <w:spacing w:line="360" w:lineRule="auto"/>
        <w:ind w:firstLine="480" w:firstLineChars="200"/>
        <w:rPr>
          <w:rFonts w:ascii="宋体" w:hAnsi="宋体" w:cs="宋体"/>
          <w:sz w:val="24"/>
          <w:szCs w:val="24"/>
          <w:highlight w:val="none"/>
        </w:rPr>
      </w:pP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）投标人必须是最终投标、签订合同的单位，不得以任何理由将已中标项目以任何形式转包、分包给其他单位；</w:t>
      </w:r>
    </w:p>
    <w:p w14:paraId="7D07EB2E">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w:t>
      </w:r>
      <w:r>
        <w:rPr>
          <w:rFonts w:hint="eastAsia" w:ascii="宋体" w:hAnsi="宋体" w:cs="宋体"/>
          <w:color w:val="000000"/>
          <w:sz w:val="24"/>
          <w:szCs w:val="24"/>
          <w:lang w:val="en-US" w:eastAsia="zh-CN"/>
        </w:rPr>
        <w:t>0</w:t>
      </w:r>
      <w:r>
        <w:rPr>
          <w:rFonts w:hint="eastAsia" w:ascii="宋体" w:hAnsi="宋体" w:cs="宋体"/>
          <w:color w:val="000000"/>
          <w:sz w:val="24"/>
          <w:szCs w:val="24"/>
        </w:rPr>
        <w:t>）本次招标项目不接受联合体投标</w:t>
      </w:r>
      <w:r>
        <w:rPr>
          <w:rFonts w:hint="eastAsia" w:ascii="宋体" w:hAnsi="宋体" w:cs="宋体"/>
          <w:color w:val="000000"/>
          <w:sz w:val="24"/>
          <w:szCs w:val="24"/>
          <w:lang w:val="en-US" w:eastAsia="zh-CN"/>
        </w:rPr>
        <w:t>及代理商投标</w:t>
      </w:r>
      <w:r>
        <w:rPr>
          <w:rFonts w:hint="eastAsia" w:ascii="宋体" w:hAnsi="宋体" w:cs="宋体"/>
          <w:color w:val="000000"/>
          <w:sz w:val="24"/>
          <w:szCs w:val="24"/>
        </w:rPr>
        <w:t>；</w:t>
      </w:r>
    </w:p>
    <w:p w14:paraId="3883F418">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w:t>
      </w:r>
      <w:r>
        <w:rPr>
          <w:rFonts w:hint="eastAsia" w:ascii="宋体" w:hAnsi="宋体" w:cs="宋体"/>
          <w:color w:val="000000"/>
          <w:sz w:val="24"/>
          <w:szCs w:val="24"/>
          <w:lang w:val="en-US" w:eastAsia="zh-CN"/>
        </w:rPr>
        <w:t>1</w:t>
      </w:r>
      <w:r>
        <w:rPr>
          <w:rFonts w:hint="eastAsia" w:ascii="宋体" w:hAnsi="宋体" w:cs="宋体"/>
          <w:color w:val="000000"/>
          <w:sz w:val="24"/>
          <w:szCs w:val="24"/>
        </w:rPr>
        <w:t>）法人授权委托书及被授权人的身份证；法人到场的提供法定代表人资格证明文件和身份证；</w:t>
      </w:r>
    </w:p>
    <w:p w14:paraId="20DC61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rPr>
        <w:t>（1</w:t>
      </w:r>
      <w:r>
        <w:rPr>
          <w:rFonts w:hint="eastAsia" w:ascii="宋体" w:hAnsi="宋体" w:cs="宋体"/>
          <w:color w:val="000000"/>
          <w:sz w:val="24"/>
          <w:szCs w:val="24"/>
          <w:lang w:val="en-US" w:eastAsia="zh-CN"/>
        </w:rPr>
        <w:t>2</w:t>
      </w:r>
      <w:r>
        <w:rPr>
          <w:rFonts w:hint="eastAsia" w:ascii="宋体" w:hAnsi="宋体" w:cs="宋体"/>
          <w:color w:val="000000"/>
          <w:sz w:val="24"/>
          <w:szCs w:val="24"/>
        </w:rPr>
        <w:t>）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7E95226C">
      <w:pPr>
        <w:spacing w:line="360" w:lineRule="auto"/>
        <w:ind w:firstLine="480" w:firstLineChars="200"/>
        <w:rPr>
          <w:rFonts w:ascii="宋体" w:hAnsi="宋体" w:cs="宋体"/>
          <w:sz w:val="24"/>
          <w:szCs w:val="24"/>
        </w:rPr>
      </w:pPr>
      <w:r>
        <w:rPr>
          <w:rFonts w:hint="eastAsia" w:ascii="宋体" w:hAnsi="宋体" w:cs="宋体"/>
          <w:color w:val="000000"/>
          <w:sz w:val="24"/>
          <w:szCs w:val="24"/>
        </w:rPr>
        <w:t>2.如出现因中标人漏报或少报而造成的一切经济后果，由中标人自行负责。</w:t>
      </w:r>
    </w:p>
    <w:p w14:paraId="48EB8A7D">
      <w:pPr>
        <w:spacing w:line="360" w:lineRule="auto"/>
        <w:ind w:firstLine="480" w:firstLineChars="200"/>
        <w:rPr>
          <w:rFonts w:ascii="宋体" w:hAnsi="宋体" w:cs="宋体"/>
          <w:sz w:val="24"/>
          <w:szCs w:val="24"/>
          <w:highlight w:val="none"/>
        </w:rPr>
      </w:pPr>
      <w:r>
        <w:rPr>
          <w:rFonts w:hint="eastAsia" w:ascii="宋体" w:hAnsi="宋体" w:cs="宋体"/>
          <w:color w:val="000000"/>
          <w:sz w:val="24"/>
          <w:szCs w:val="24"/>
          <w:highlight w:val="none"/>
        </w:rPr>
        <w:t>3.若中标人在签订合同时，坚持提出附加条件或不合理要求的，招标人有权取消其中标资格，由此产生的该中标人损失由该中标人自负，并且招标人有权</w:t>
      </w:r>
      <w:r>
        <w:rPr>
          <w:rFonts w:hint="eastAsia" w:ascii="宋体" w:hAnsi="宋体" w:cs="宋体"/>
          <w:color w:val="000000"/>
          <w:sz w:val="24"/>
          <w:szCs w:val="24"/>
          <w:highlight w:val="none"/>
          <w:lang w:val="en-US" w:eastAsia="zh-CN"/>
        </w:rPr>
        <w:t>扣除其投标保证金并</w:t>
      </w:r>
      <w:r>
        <w:rPr>
          <w:rFonts w:hint="eastAsia" w:ascii="宋体" w:hAnsi="宋体" w:cs="宋体"/>
          <w:color w:val="000000"/>
          <w:sz w:val="24"/>
          <w:szCs w:val="24"/>
          <w:highlight w:val="none"/>
        </w:rPr>
        <w:t>将由此产生的招标人损失（包括经济上的损失和工期上的损失）向该中标人索赔。</w:t>
      </w:r>
    </w:p>
    <w:p w14:paraId="46004370">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lang w:val="en-US" w:eastAsia="zh-CN"/>
        </w:rPr>
        <w:t>4</w:t>
      </w:r>
      <w:r>
        <w:rPr>
          <w:rFonts w:hint="eastAsia" w:ascii="宋体" w:hAnsi="宋体" w:cs="宋体"/>
          <w:color w:val="000000"/>
          <w:sz w:val="24"/>
          <w:szCs w:val="24"/>
        </w:rPr>
        <w:t>.投标人需具有流畅的信息沟通渠道，且具有（或承诺具有）临时存放商品车必要的、具备安全措施的仓储场地。</w:t>
      </w:r>
    </w:p>
    <w:p w14:paraId="61CC5106">
      <w:pPr>
        <w:spacing w:line="360" w:lineRule="auto"/>
        <w:ind w:firstLine="480" w:firstLineChars="200"/>
        <w:rPr>
          <w:rFonts w:ascii="宋体" w:hAnsi="宋体" w:cs="宋体"/>
          <w:sz w:val="24"/>
          <w:szCs w:val="24"/>
        </w:rPr>
      </w:pPr>
      <w:r>
        <w:rPr>
          <w:rFonts w:hint="eastAsia" w:ascii="宋体" w:hAnsi="宋体" w:cs="宋体"/>
          <w:color w:val="000000"/>
          <w:sz w:val="24"/>
          <w:szCs w:val="24"/>
          <w:lang w:val="en-US" w:eastAsia="zh-CN"/>
        </w:rPr>
        <w:t>5</w:t>
      </w:r>
      <w:r>
        <w:rPr>
          <w:rFonts w:hint="eastAsia" w:ascii="宋体" w:hAnsi="宋体" w:cs="宋体"/>
          <w:color w:val="000000"/>
          <w:sz w:val="24"/>
          <w:szCs w:val="24"/>
        </w:rPr>
        <w:t>.投标人应视需要至招标人处详细了解与本次招标项目有关的全部文件及制度</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所有附件</w:t>
      </w:r>
      <w:r>
        <w:rPr>
          <w:rFonts w:hint="eastAsia" w:ascii="宋体" w:hAnsi="宋体" w:cs="宋体"/>
          <w:color w:val="000000"/>
          <w:sz w:val="24"/>
          <w:szCs w:val="24"/>
          <w:lang w:eastAsia="zh-CN"/>
        </w:rPr>
        <w:t>）</w:t>
      </w:r>
      <w:r>
        <w:rPr>
          <w:rFonts w:hint="eastAsia" w:ascii="宋体" w:hAnsi="宋体" w:cs="宋体"/>
          <w:color w:val="000000"/>
          <w:sz w:val="24"/>
          <w:szCs w:val="24"/>
        </w:rPr>
        <w:t>，</w:t>
      </w:r>
      <w:r>
        <w:rPr>
          <w:rFonts w:hint="eastAsia" w:ascii="宋体" w:hAnsi="宋体" w:cs="宋体"/>
          <w:color w:val="000000"/>
          <w:sz w:val="24"/>
          <w:szCs w:val="24"/>
          <w:highlight w:val="none"/>
          <w:lang w:val="en-US" w:eastAsia="zh-CN"/>
        </w:rPr>
        <w:t>包括但不限于</w:t>
      </w:r>
      <w:r>
        <w:rPr>
          <w:rFonts w:hint="eastAsia" w:ascii="宋体" w:hAnsi="宋体" w:cs="宋体"/>
          <w:color w:val="000000"/>
          <w:sz w:val="24"/>
          <w:szCs w:val="24"/>
          <w:highlight w:val="none"/>
        </w:rPr>
        <w:t>《商品车运输合同》的全部内容，</w:t>
      </w:r>
      <w:r>
        <w:rPr>
          <w:rFonts w:hint="eastAsia" w:ascii="宋体" w:hAnsi="宋体" w:cs="宋体"/>
          <w:color w:val="000000"/>
          <w:sz w:val="24"/>
          <w:szCs w:val="24"/>
          <w:highlight w:val="none"/>
          <w:lang w:val="en-US" w:eastAsia="zh-CN"/>
        </w:rPr>
        <w:t>并同意全部文件及制度中的</w:t>
      </w:r>
      <w:r>
        <w:rPr>
          <w:rFonts w:hint="eastAsia" w:ascii="宋体" w:hAnsi="宋体" w:cs="宋体"/>
          <w:color w:val="000000"/>
          <w:sz w:val="24"/>
          <w:szCs w:val="24"/>
          <w:highlight w:val="none"/>
        </w:rPr>
        <w:t>各项条款。</w:t>
      </w:r>
      <w:r>
        <w:rPr>
          <w:rFonts w:hint="eastAsia" w:ascii="宋体" w:hAnsi="宋体" w:cs="宋体"/>
          <w:color w:val="000000"/>
          <w:sz w:val="24"/>
          <w:szCs w:val="24"/>
        </w:rPr>
        <w:t xml:space="preserve">            </w:t>
      </w:r>
    </w:p>
    <w:p w14:paraId="497D0071">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lang w:val="en-US" w:eastAsia="zh-CN"/>
        </w:rPr>
        <w:t>6</w:t>
      </w:r>
      <w:r>
        <w:rPr>
          <w:rFonts w:hint="eastAsia" w:ascii="宋体" w:hAnsi="宋体" w:cs="宋体"/>
          <w:color w:val="000000"/>
          <w:sz w:val="24"/>
          <w:szCs w:val="24"/>
        </w:rPr>
        <w:t>.投标人应承担其在投标准备、编制、递交投标文件和签订合同协议的整个过程的一切费用而不论其投标结果如何。</w:t>
      </w:r>
    </w:p>
    <w:p w14:paraId="6A48410C">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000000"/>
          <w:sz w:val="24"/>
          <w:szCs w:val="24"/>
          <w:highlight w:val="none"/>
          <w:lang w:val="en-US" w:eastAsia="zh-CN"/>
        </w:rPr>
        <w:t>7.投标人应具备三年（2023年及以后）以来从事过商品车驾送的资质（以与主机厂直签合同为准），且没有在业务运营过程中出现重大违规、失信等情况</w:t>
      </w:r>
      <w:r>
        <w:rPr>
          <w:rFonts w:hint="eastAsia" w:ascii="宋体" w:hAnsi="宋体" w:cs="宋体"/>
          <w:color w:val="auto"/>
          <w:sz w:val="24"/>
          <w:szCs w:val="24"/>
          <w:highlight w:val="none"/>
          <w:lang w:val="en-US" w:eastAsia="zh-CN"/>
        </w:rPr>
        <w:t>。</w:t>
      </w:r>
    </w:p>
    <w:p w14:paraId="1DE30A69">
      <w:pPr>
        <w:pStyle w:val="6"/>
        <w:spacing w:line="360" w:lineRule="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8783BD6">
      <w:pPr>
        <w:rPr>
          <w:rFonts w:hint="default"/>
          <w:lang w:val="en-US" w:eastAsia="zh-CN"/>
        </w:rPr>
      </w:pPr>
    </w:p>
    <w:bookmarkEnd w:id="32"/>
    <w:p w14:paraId="553A0204">
      <w:pPr>
        <w:pStyle w:val="3"/>
        <w:spacing w:before="0" w:beforeLines="0" w:line="360" w:lineRule="auto"/>
        <w:ind w:firstLine="482"/>
        <w:rPr>
          <w:sz w:val="28"/>
          <w:szCs w:val="28"/>
        </w:rPr>
      </w:pPr>
      <w:bookmarkStart w:id="33" w:name="_Toc131681873"/>
      <w:bookmarkStart w:id="34" w:name="_Toc3405"/>
      <w:bookmarkStart w:id="35" w:name="_Toc30539"/>
      <w:bookmarkStart w:id="36" w:name="_Toc21168"/>
      <w:r>
        <w:rPr>
          <w:rFonts w:hint="eastAsia"/>
          <w:sz w:val="28"/>
          <w:szCs w:val="28"/>
        </w:rPr>
        <w:t>招标文件的获取</w:t>
      </w:r>
      <w:bookmarkEnd w:id="33"/>
      <w:bookmarkEnd w:id="34"/>
      <w:bookmarkEnd w:id="35"/>
      <w:bookmarkEnd w:id="36"/>
    </w:p>
    <w:p w14:paraId="0821DC75">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rPr>
        <w:t>1、本次招标公告</w:t>
      </w:r>
      <w:r>
        <w:rPr>
          <w:rFonts w:hint="eastAsia" w:ascii="宋体" w:hAnsi="宋体" w:cs="宋体"/>
          <w:color w:val="000000"/>
          <w:sz w:val="24"/>
          <w:szCs w:val="24"/>
          <w:lang w:val="en-US" w:eastAsia="zh-CN"/>
        </w:rPr>
        <w:t>在</w:t>
      </w:r>
      <w:r>
        <w:rPr>
          <w:rFonts w:hint="eastAsia" w:ascii="宋体" w:hAnsi="宋体" w:cs="宋体"/>
          <w:color w:val="000000"/>
          <w:sz w:val="24"/>
          <w:szCs w:val="24"/>
          <w:highlight w:val="none"/>
        </w:rPr>
        <w:t>山东省阳光采购服务平台发布</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中国重汽官网</w:t>
      </w:r>
      <w:r>
        <w:rPr>
          <w:rFonts w:hint="eastAsia" w:ascii="宋体" w:hAnsi="宋体" w:cs="宋体"/>
          <w:color w:val="000000"/>
          <w:sz w:val="24"/>
          <w:szCs w:val="24"/>
          <w:highlight w:val="none"/>
        </w:rPr>
        <w:t>。</w:t>
      </w:r>
    </w:p>
    <w:p w14:paraId="18D2E13A">
      <w:pPr>
        <w:pStyle w:val="6"/>
        <w:spacing w:line="360" w:lineRule="auto"/>
        <w:ind w:firstLine="480"/>
        <w:jc w:val="left"/>
        <w:rPr>
          <w:rFonts w:ascii="宋体" w:hAnsi="宋体" w:cs="宋体"/>
          <w:color w:val="000000"/>
          <w:sz w:val="24"/>
          <w:szCs w:val="24"/>
        </w:rPr>
      </w:pPr>
      <w:bookmarkStart w:id="37" w:name="_Toc131681875"/>
      <w:bookmarkStart w:id="38" w:name="_Toc29960"/>
      <w:r>
        <w:rPr>
          <w:rFonts w:hint="eastAsia" w:ascii="宋体" w:hAnsi="宋体" w:cs="宋体"/>
          <w:color w:val="000000"/>
          <w:sz w:val="24"/>
          <w:szCs w:val="24"/>
        </w:rPr>
        <w:t>2、</w:t>
      </w:r>
      <w:bookmarkEnd w:id="37"/>
      <w:bookmarkEnd w:id="38"/>
      <w:r>
        <w:rPr>
          <w:rFonts w:hint="eastAsia" w:ascii="宋体" w:hAnsi="宋体" w:cs="宋体"/>
          <w:color w:val="000000"/>
          <w:sz w:val="24"/>
          <w:szCs w:val="24"/>
        </w:rPr>
        <w:t>招标文件获取方式：投标人报名</w:t>
      </w:r>
      <w:r>
        <w:rPr>
          <w:rFonts w:hint="eastAsia" w:ascii="宋体" w:hAnsi="宋体" w:cs="宋体"/>
          <w:color w:val="000000"/>
          <w:sz w:val="24"/>
          <w:szCs w:val="24"/>
          <w:lang w:val="en-US" w:eastAsia="zh-CN"/>
        </w:rPr>
        <w:t>应标成功后</w:t>
      </w:r>
      <w:r>
        <w:rPr>
          <w:rFonts w:hint="eastAsia" w:ascii="宋体" w:hAnsi="宋体" w:cs="宋体"/>
          <w:color w:val="000000"/>
          <w:sz w:val="24"/>
          <w:szCs w:val="24"/>
        </w:rPr>
        <w:t>通过</w:t>
      </w:r>
      <w:r>
        <w:rPr>
          <w:rFonts w:hint="eastAsia" w:ascii="宋体" w:hAnsi="宋体" w:cs="宋体"/>
          <w:sz w:val="24"/>
          <w:szCs w:val="24"/>
        </w:rPr>
        <w:t>中国重汽e采通</w:t>
      </w:r>
      <w:r>
        <w:rPr>
          <w:rFonts w:hint="eastAsia" w:ascii="宋体" w:hAnsi="宋体" w:cs="宋体"/>
          <w:color w:val="000000"/>
          <w:sz w:val="24"/>
          <w:szCs w:val="24"/>
        </w:rPr>
        <w:t>系统自行下载。</w:t>
      </w:r>
    </w:p>
    <w:p w14:paraId="179F7596">
      <w:pPr>
        <w:pStyle w:val="6"/>
        <w:spacing w:line="360" w:lineRule="auto"/>
        <w:ind w:firstLine="240" w:firstLineChars="100"/>
      </w:pPr>
      <w:r>
        <w:rPr>
          <w:rFonts w:hint="eastAsia" w:ascii="宋体" w:hAnsi="宋体" w:cs="宋体"/>
          <w:color w:val="000000"/>
          <w:sz w:val="24"/>
          <w:szCs w:val="24"/>
        </w:rPr>
        <w:t xml:space="preserve">  </w:t>
      </w:r>
      <w:r>
        <w:rPr>
          <w:rFonts w:hint="eastAsia" w:ascii="宋体" w:hAnsi="宋体" w:cs="宋体"/>
          <w:color w:val="000000"/>
          <w:kern w:val="2"/>
          <w:sz w:val="24"/>
          <w:szCs w:val="24"/>
        </w:rPr>
        <w:t>3、售价：￥0.0 元，本公告包含的招标文件售价总和。</w:t>
      </w:r>
    </w:p>
    <w:p w14:paraId="0F12AE6F">
      <w:pPr>
        <w:pStyle w:val="6"/>
        <w:spacing w:line="360" w:lineRule="auto"/>
        <w:ind w:firstLine="480"/>
        <w:jc w:val="left"/>
        <w:rPr>
          <w:rFonts w:hint="eastAsia" w:ascii="宋体" w:hAnsi="宋体" w:eastAsia="宋体" w:cs="宋体"/>
          <w:color w:val="000000"/>
          <w:kern w:val="2"/>
          <w:sz w:val="24"/>
          <w:szCs w:val="24"/>
        </w:rPr>
      </w:pPr>
      <w:bookmarkStart w:id="39" w:name="_Toc131681877"/>
      <w:bookmarkStart w:id="40" w:name="_Toc15411"/>
      <w:bookmarkStart w:id="41" w:name="_Toc15520"/>
      <w:r>
        <w:rPr>
          <w:rFonts w:hint="eastAsia" w:ascii="宋体" w:hAnsi="宋体" w:cs="宋体"/>
          <w:color w:val="000000"/>
          <w:kern w:val="2"/>
          <w:sz w:val="24"/>
          <w:szCs w:val="24"/>
        </w:rPr>
        <w:t>登陆网</w:t>
      </w:r>
      <w:r>
        <w:rPr>
          <w:rFonts w:hint="eastAsia" w:ascii="宋体" w:hAnsi="宋体" w:eastAsia="宋体" w:cs="宋体"/>
          <w:color w:val="000000"/>
          <w:kern w:val="2"/>
          <w:sz w:val="24"/>
          <w:szCs w:val="24"/>
        </w:rPr>
        <w:t>址：</w:t>
      </w:r>
      <w:r>
        <w:rPr>
          <w:rFonts w:hint="eastAsia" w:ascii="宋体" w:hAnsi="宋体" w:eastAsia="宋体" w:cs="宋体"/>
          <w:color w:val="000000"/>
          <w:kern w:val="2"/>
          <w:sz w:val="24"/>
          <w:szCs w:val="24"/>
        </w:rPr>
        <w:fldChar w:fldCharType="begin"/>
      </w:r>
      <w:r>
        <w:rPr>
          <w:rFonts w:hint="eastAsia" w:ascii="宋体" w:hAnsi="宋体" w:eastAsia="宋体" w:cs="宋体"/>
          <w:color w:val="000000"/>
          <w:kern w:val="2"/>
          <w:sz w:val="24"/>
          <w:szCs w:val="24"/>
        </w:rPr>
        <w:instrText xml:space="preserve"> HYPERLINK "http://ecaitong.sinotruk.com:8012（投标人注册完成审批后，于2023年4月13日17:00前在" </w:instrText>
      </w:r>
      <w:r>
        <w:rPr>
          <w:rFonts w:hint="eastAsia" w:ascii="宋体" w:hAnsi="宋体" w:eastAsia="宋体" w:cs="宋体"/>
          <w:color w:val="000000"/>
          <w:kern w:val="2"/>
          <w:sz w:val="24"/>
          <w:szCs w:val="24"/>
        </w:rPr>
        <w:fldChar w:fldCharType="separate"/>
      </w:r>
      <w:r>
        <w:rPr>
          <w:rFonts w:hint="eastAsia" w:ascii="宋体" w:hAnsi="宋体" w:eastAsia="宋体" w:cs="宋体"/>
          <w:color w:val="000000"/>
          <w:kern w:val="2"/>
          <w:sz w:val="24"/>
          <w:szCs w:val="24"/>
        </w:rPr>
        <w:t>http</w:t>
      </w:r>
      <w:r>
        <w:rPr>
          <w:rFonts w:hint="eastAsia" w:ascii="宋体" w:hAnsi="宋体" w:eastAsia="宋体" w:cs="宋体"/>
          <w:color w:val="000000"/>
          <w:kern w:val="2"/>
          <w:sz w:val="24"/>
          <w:szCs w:val="24"/>
          <w:lang w:val="en-US" w:eastAsia="zh-CN"/>
        </w:rPr>
        <w:t>s</w:t>
      </w:r>
      <w:r>
        <w:rPr>
          <w:rFonts w:hint="eastAsia" w:ascii="宋体" w:hAnsi="宋体" w:eastAsia="宋体" w:cs="宋体"/>
          <w:color w:val="000000"/>
          <w:kern w:val="2"/>
          <w:sz w:val="24"/>
          <w:szCs w:val="24"/>
        </w:rPr>
        <w:t>://ecaitong.sinotruk.com:8012（投标人注册完成审批后，</w:t>
      </w:r>
      <w:r>
        <w:rPr>
          <w:rFonts w:hint="eastAsia" w:ascii="宋体" w:hAnsi="宋体" w:eastAsia="宋体" w:cs="宋体"/>
          <w:color w:val="000000"/>
          <w:kern w:val="2"/>
          <w:sz w:val="24"/>
          <w:szCs w:val="24"/>
          <w:highlight w:val="none"/>
        </w:rPr>
        <w:t>于</w:t>
      </w:r>
      <w:r>
        <w:rPr>
          <w:rFonts w:hint="eastAsia" w:ascii="宋体" w:hAnsi="宋体" w:cs="宋体"/>
          <w:color w:val="000000"/>
          <w:kern w:val="2"/>
          <w:sz w:val="24"/>
          <w:szCs w:val="24"/>
          <w:highlight w:val="none"/>
          <w:lang w:eastAsia="zh-CN"/>
        </w:rPr>
        <w:t>2026</w:t>
      </w:r>
      <w:r>
        <w:rPr>
          <w:rFonts w:hint="eastAsia" w:ascii="宋体" w:hAnsi="宋体" w:eastAsia="宋体" w:cs="宋体"/>
          <w:color w:val="000000"/>
          <w:kern w:val="2"/>
          <w:sz w:val="24"/>
          <w:szCs w:val="24"/>
          <w:highlight w:val="none"/>
          <w:lang w:val="en-US" w:eastAsia="zh-CN"/>
        </w:rPr>
        <w:t xml:space="preserve">  </w:t>
      </w:r>
      <w:r>
        <w:rPr>
          <w:rFonts w:hint="eastAsia" w:ascii="宋体" w:hAnsi="宋体" w:eastAsia="宋体" w:cs="宋体"/>
          <w:color w:val="000000"/>
          <w:kern w:val="2"/>
          <w:sz w:val="24"/>
          <w:szCs w:val="24"/>
          <w:highlight w:val="none"/>
        </w:rPr>
        <w:t>年</w:t>
      </w:r>
      <w:r>
        <w:rPr>
          <w:rStyle w:val="18"/>
          <w:rFonts w:hint="eastAsia" w:ascii="宋体" w:hAnsi="宋体" w:cs="宋体"/>
          <w:color w:val="auto"/>
          <w:kern w:val="2"/>
          <w:sz w:val="24"/>
          <w:szCs w:val="24"/>
          <w:highlight w:val="yellow"/>
          <w:lang w:val="en-US" w:eastAsia="zh-CN"/>
        </w:rPr>
        <w:t>10</w:t>
      </w:r>
      <w:r>
        <w:rPr>
          <w:rFonts w:hint="eastAsia" w:ascii="宋体" w:hAnsi="宋体" w:cs="宋体"/>
          <w:kern w:val="2"/>
          <w:sz w:val="24"/>
          <w:szCs w:val="24"/>
          <w:highlight w:val="yellow"/>
          <w:lang w:eastAsia="zh-CN"/>
        </w:rPr>
        <w:t>月</w:t>
      </w:r>
      <w:r>
        <w:rPr>
          <w:rFonts w:hint="eastAsia" w:ascii="宋体" w:hAnsi="宋体" w:cs="宋体"/>
          <w:kern w:val="2"/>
          <w:sz w:val="24"/>
          <w:szCs w:val="24"/>
          <w:highlight w:val="yellow"/>
          <w:lang w:val="en-US" w:eastAsia="zh-CN"/>
        </w:rPr>
        <w:t>27</w:t>
      </w:r>
      <w:r>
        <w:rPr>
          <w:rFonts w:hint="eastAsia" w:ascii="宋体" w:hAnsi="宋体" w:cs="宋体"/>
          <w:kern w:val="2"/>
          <w:sz w:val="24"/>
          <w:szCs w:val="24"/>
          <w:highlight w:val="yellow"/>
        </w:rPr>
        <w:t>日</w:t>
      </w:r>
      <w:r>
        <w:rPr>
          <w:rFonts w:hint="eastAsia" w:ascii="宋体" w:hAnsi="宋体" w:cs="宋体"/>
          <w:kern w:val="2"/>
          <w:sz w:val="24"/>
          <w:szCs w:val="24"/>
          <w:highlight w:val="yellow"/>
          <w:lang w:val="en-US" w:eastAsia="zh-CN"/>
        </w:rPr>
        <w:t>17</w:t>
      </w:r>
      <w:r>
        <w:rPr>
          <w:rFonts w:hint="eastAsia" w:ascii="宋体" w:hAnsi="宋体" w:cs="宋体"/>
          <w:kern w:val="2"/>
          <w:sz w:val="24"/>
          <w:szCs w:val="24"/>
          <w:lang w:val="en-US" w:eastAsia="zh-CN"/>
        </w:rPr>
        <w:t>点</w:t>
      </w:r>
      <w:r>
        <w:rPr>
          <w:rFonts w:hint="eastAsia" w:ascii="宋体" w:hAnsi="宋体" w:eastAsia="宋体" w:cs="宋体"/>
          <w:color w:val="000000"/>
          <w:kern w:val="2"/>
          <w:sz w:val="24"/>
          <w:szCs w:val="24"/>
          <w:highlight w:val="none"/>
        </w:rPr>
        <w:t>前</w:t>
      </w:r>
      <w:r>
        <w:rPr>
          <w:rFonts w:hint="eastAsia" w:ascii="宋体" w:hAnsi="宋体" w:eastAsia="宋体" w:cs="宋体"/>
          <w:color w:val="000000"/>
          <w:kern w:val="2"/>
          <w:sz w:val="24"/>
          <w:szCs w:val="24"/>
        </w:rPr>
        <w:t>在“中国重汽e采通”招投标中心非生产类招投标点击“供应商应标”，逾期系统自动关闭应标）。</w:t>
      </w:r>
      <w:r>
        <w:rPr>
          <w:rFonts w:hint="eastAsia" w:ascii="宋体" w:hAnsi="宋体" w:eastAsia="宋体" w:cs="宋体"/>
          <w:color w:val="000000"/>
          <w:kern w:val="2"/>
          <w:sz w:val="24"/>
          <w:szCs w:val="24"/>
        </w:rPr>
        <w:fldChar w:fldCharType="end"/>
      </w:r>
    </w:p>
    <w:p w14:paraId="70F7B9E3">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rPr>
        <w:t>供应商应标须上传</w:t>
      </w:r>
      <w:r>
        <w:rPr>
          <w:rFonts w:hint="eastAsia" w:ascii="宋体" w:hAnsi="宋体" w:cs="宋体"/>
          <w:color w:val="000000"/>
          <w:sz w:val="24"/>
          <w:szCs w:val="24"/>
          <w:lang w:val="en-US" w:eastAsia="zh-CN"/>
        </w:rPr>
        <w:t>以下</w:t>
      </w:r>
      <w:r>
        <w:rPr>
          <w:rFonts w:hint="eastAsia" w:ascii="宋体" w:hAnsi="宋体" w:cs="宋体"/>
          <w:color w:val="000000"/>
          <w:sz w:val="24"/>
          <w:szCs w:val="24"/>
        </w:rPr>
        <w:t>资料：</w:t>
      </w:r>
    </w:p>
    <w:p w14:paraId="1A1E5E6C">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①投标人公司成立时间（至报名截止日）需满3年，注册资金不少于</w:t>
      </w:r>
      <w:r>
        <w:rPr>
          <w:rFonts w:hint="eastAsia" w:ascii="宋体" w:hAnsi="宋体" w:cs="宋体"/>
          <w:sz w:val="24"/>
          <w:szCs w:val="24"/>
          <w:highlight w:val="none"/>
          <w:lang w:val="en-US" w:eastAsia="zh-CN"/>
        </w:rPr>
        <w:t>5</w:t>
      </w:r>
      <w:r>
        <w:rPr>
          <w:rFonts w:hint="eastAsia" w:ascii="宋体" w:hAnsi="宋体" w:cs="宋体"/>
          <w:sz w:val="24"/>
          <w:szCs w:val="24"/>
          <w:highlight w:val="none"/>
        </w:rPr>
        <w:t>00万，投标人须于投标时提供具有统一社会信用代码的营业执照副本原件、复印件及资产负债表(加盖公章)；</w:t>
      </w:r>
    </w:p>
    <w:p w14:paraId="0BB8F597">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rPr>
        <w:t>②法定代表人授权书；法定代表人参加投标的，提供法人身份证明文件即可；被授权人参加投标的，需提供法定代表人授权委托书（含法人身份证和被授权人身份证正反面复印件）和被授权人近6个月及以上在授权单位的社保缴纳证明。投标联系人及其联系方式；</w:t>
      </w:r>
    </w:p>
    <w:p w14:paraId="66925E90">
      <w:pPr>
        <w:spacing w:line="360" w:lineRule="auto"/>
        <w:ind w:firstLine="480" w:firstLineChars="200"/>
        <w:rPr>
          <w:rFonts w:hint="eastAsia" w:ascii="宋体" w:hAnsi="宋体" w:cs="宋体"/>
          <w:color w:val="000000"/>
          <w:sz w:val="24"/>
          <w:szCs w:val="24"/>
          <w:highlight w:val="none"/>
        </w:rPr>
      </w:pPr>
      <w:r>
        <w:rPr>
          <w:rFonts w:hint="eastAsia" w:ascii="宋体" w:hAnsi="宋体" w:cs="宋体"/>
          <w:sz w:val="24"/>
          <w:szCs w:val="24"/>
          <w:highlight w:val="none"/>
        </w:rPr>
        <w:t>③</w:t>
      </w:r>
      <w:r>
        <w:rPr>
          <w:rFonts w:hint="eastAsia" w:ascii="宋体" w:hAnsi="宋体" w:cs="宋体"/>
          <w:color w:val="000000"/>
          <w:sz w:val="24"/>
          <w:szCs w:val="24"/>
          <w:highlight w:val="none"/>
        </w:rPr>
        <w:t>《道路运输经营许可证》</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板运投标人需同步提供大件运输资格许可）</w:t>
      </w:r>
      <w:r>
        <w:rPr>
          <w:rFonts w:hint="eastAsia" w:ascii="宋体" w:hAnsi="宋体" w:cs="宋体"/>
          <w:color w:val="000000"/>
          <w:sz w:val="24"/>
          <w:szCs w:val="24"/>
          <w:highlight w:val="none"/>
        </w:rPr>
        <w:t>原件及复印件(加盖公章)，并保证行政许可在有效期内；</w:t>
      </w:r>
    </w:p>
    <w:p w14:paraId="478C7950">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④</w:t>
      </w:r>
      <w:r>
        <w:rPr>
          <w:rFonts w:hint="eastAsia" w:ascii="宋体" w:hAnsi="宋体" w:cs="宋体"/>
          <w:sz w:val="24"/>
          <w:szCs w:val="24"/>
          <w:highlight w:val="none"/>
        </w:rPr>
        <w:t>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6A99AFB5">
      <w:pPr>
        <w:widowControl w:val="0"/>
        <w:numPr>
          <w:ilvl w:val="0"/>
          <w:numId w:val="0"/>
        </w:numPr>
        <w:spacing w:line="360" w:lineRule="auto"/>
        <w:ind w:left="480" w:leftChars="0"/>
        <w:jc w:val="both"/>
        <w:rPr>
          <w:rFonts w:hint="eastAsia" w:ascii="宋体" w:hAnsi="宋体" w:eastAsia="宋体" w:cs="宋体"/>
          <w:kern w:val="2"/>
          <w:sz w:val="24"/>
          <w:szCs w:val="24"/>
          <w:highlight w:val="none"/>
        </w:rPr>
      </w:pPr>
      <w:r>
        <w:rPr>
          <w:rFonts w:hint="eastAsia" w:ascii="宋体" w:hAnsi="宋体" w:cs="宋体"/>
          <w:kern w:val="2"/>
          <w:sz w:val="24"/>
          <w:szCs w:val="24"/>
          <w:highlight w:val="none"/>
          <w:lang w:val="en-US" w:eastAsia="zh-CN"/>
        </w:rPr>
        <w:t>⑤</w:t>
      </w:r>
      <w:r>
        <w:rPr>
          <w:rFonts w:hint="eastAsia" w:ascii="宋体" w:hAnsi="宋体" w:eastAsia="宋体" w:cs="宋体"/>
          <w:kern w:val="2"/>
          <w:sz w:val="24"/>
          <w:szCs w:val="24"/>
          <w:highlight w:val="none"/>
        </w:rPr>
        <w:t xml:space="preserve">企业最近半年完税证明、信用证明材料（中国人民银行信用代码证+征信报告）； </w:t>
      </w:r>
    </w:p>
    <w:p w14:paraId="388153EA">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hAnsi="宋体" w:cs="宋体"/>
          <w:kern w:val="2"/>
          <w:sz w:val="24"/>
          <w:szCs w:val="24"/>
          <w:highlight w:val="none"/>
          <w:lang w:val="en-US" w:eastAsia="zh-CN"/>
        </w:rPr>
        <w:t>⑥</w:t>
      </w:r>
      <w:r>
        <w:rPr>
          <w:rFonts w:hint="eastAsia" w:ascii="宋体" w:hAnsi="宋体" w:cs="宋体"/>
          <w:color w:val="000000"/>
          <w:sz w:val="24"/>
          <w:szCs w:val="24"/>
          <w:highlight w:val="none"/>
          <w:lang w:val="en-US" w:eastAsia="zh-CN"/>
        </w:rPr>
        <w:t xml:space="preserve">年度纳税信用评价信息（可从电子税务局查询截图，需加盖公章）； </w:t>
      </w:r>
    </w:p>
    <w:p w14:paraId="52E0DC54">
      <w:pPr>
        <w:spacing w:line="360" w:lineRule="auto"/>
        <w:ind w:firstLine="480" w:firstLineChars="200"/>
        <w:rPr>
          <w:rFonts w:hint="eastAsia" w:ascii="宋体" w:hAnsi="宋体" w:cs="宋体"/>
          <w:sz w:val="24"/>
          <w:szCs w:val="24"/>
          <w:highlight w:val="none"/>
        </w:rPr>
      </w:pPr>
      <w:r>
        <w:rPr>
          <w:rFonts w:hint="eastAsia" w:ascii="宋体" w:hAnsi="宋体" w:cs="宋体"/>
          <w:kern w:val="2"/>
          <w:sz w:val="24"/>
          <w:szCs w:val="24"/>
          <w:highlight w:val="none"/>
          <w:lang w:val="en-US" w:eastAsia="zh-CN"/>
        </w:rPr>
        <w:t>⑦</w:t>
      </w:r>
      <w:r>
        <w:rPr>
          <w:rFonts w:hint="eastAsia" w:ascii="宋体" w:hAnsi="宋体" w:cs="宋体"/>
          <w:color w:val="000000"/>
          <w:sz w:val="24"/>
          <w:szCs w:val="24"/>
          <w:highlight w:val="none"/>
          <w:lang w:val="en-US" w:eastAsia="zh-CN"/>
        </w:rPr>
        <w:t>企业对外担保说明（写明贵单位对外有无对外担保和质押业务，需加盖公章）。</w:t>
      </w:r>
    </w:p>
    <w:p w14:paraId="59BA3202">
      <w:pPr>
        <w:spacing w:line="360" w:lineRule="auto"/>
        <w:ind w:firstLine="480" w:firstLineChars="200"/>
        <w:rPr>
          <w:rFonts w:hint="eastAsia" w:ascii="宋体" w:hAnsi="宋体" w:cs="宋体"/>
          <w:sz w:val="24"/>
          <w:szCs w:val="24"/>
          <w:highlight w:val="none"/>
        </w:rPr>
      </w:pPr>
      <w:r>
        <w:rPr>
          <w:rFonts w:hint="eastAsia" w:ascii="宋体" w:hAnsi="宋体" w:cs="宋体"/>
          <w:sz w:val="24"/>
          <w:szCs w:val="24"/>
          <w:highlight w:val="none"/>
          <w:lang w:val="en-US" w:eastAsia="zh-CN"/>
        </w:rPr>
        <w:t>⑧</w:t>
      </w:r>
      <w:r>
        <w:rPr>
          <w:rFonts w:hint="eastAsia" w:ascii="宋体" w:hAnsi="宋体" w:cs="宋体"/>
          <w:sz w:val="24"/>
          <w:szCs w:val="24"/>
          <w:highlight w:val="none"/>
        </w:rPr>
        <w:t>投标保证金缴纳凭证（现供方上传投标保证金承诺函）</w:t>
      </w:r>
    </w:p>
    <w:p w14:paraId="315301DD">
      <w:pPr>
        <w:spacing w:line="360" w:lineRule="auto"/>
        <w:ind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⑨</w:t>
      </w:r>
      <w:r>
        <w:rPr>
          <w:rFonts w:hint="eastAsia" w:ascii="宋体" w:hAnsi="宋体" w:cs="宋体"/>
          <w:sz w:val="24"/>
          <w:szCs w:val="24"/>
          <w:highlight w:val="none"/>
        </w:rPr>
        <w:t>投标人在近三年内或成立以来在经营活动中无重大违法、违规的不良记录; 在以往的招投标活动中没有违纪、违规、违约等不良行为，且没有列于山东重工黑名单企业；</w:t>
      </w:r>
      <w:r>
        <w:rPr>
          <w:rFonts w:hint="eastAsia" w:ascii="宋体" w:hAnsi="宋体" w:cs="宋体"/>
          <w:sz w:val="24"/>
          <w:szCs w:val="24"/>
          <w:highlight w:val="none"/>
          <w:lang w:val="en-US" w:eastAsia="zh-CN"/>
        </w:rPr>
        <w:t>不得列入国家企业信用信息公示系统经营异常名录信息、严重违法失信企业名单（黑名单），不得列入中国执行信息公开网失信被执行人名单。</w:t>
      </w:r>
    </w:p>
    <w:p w14:paraId="6AB937BA">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⑩投标人应具备三年（2023年及以后）以来从事过商品车驾送的资质（以与主机厂直签合同为准），且没有在业务运营过程中出现重大违规、失信等情况。</w:t>
      </w:r>
      <w:r>
        <w:rPr>
          <w:rFonts w:hint="eastAsia" w:ascii="宋体" w:hAnsi="宋体" w:cs="宋体"/>
          <w:sz w:val="24"/>
          <w:szCs w:val="24"/>
          <w:highlight w:val="none"/>
        </w:rPr>
        <w:t>2023年以来与主机厂直签的商品车运输合同，须提供用户清单、采购合同复印件</w:t>
      </w:r>
      <w:r>
        <w:rPr>
          <w:rFonts w:hint="eastAsia" w:ascii="宋体" w:hAnsi="宋体" w:cs="宋体"/>
          <w:sz w:val="24"/>
          <w:szCs w:val="24"/>
          <w:highlight w:val="none"/>
          <w:lang w:eastAsia="zh-CN"/>
        </w:rPr>
        <w:t>。</w:t>
      </w:r>
    </w:p>
    <w:p w14:paraId="4C3574AD">
      <w:pPr>
        <w:pStyle w:val="6"/>
        <w:rPr>
          <w:rFonts w:hint="default"/>
          <w:lang w:val="en-US" w:eastAsia="zh-CN"/>
        </w:rPr>
      </w:pPr>
    </w:p>
    <w:p w14:paraId="18730130">
      <w:pPr>
        <w:pStyle w:val="3"/>
        <w:spacing w:before="0" w:beforeLines="0" w:line="360" w:lineRule="auto"/>
        <w:ind w:firstLine="482"/>
        <w:rPr>
          <w:sz w:val="28"/>
          <w:szCs w:val="28"/>
        </w:rPr>
      </w:pPr>
      <w:bookmarkStart w:id="42" w:name="_Toc28136"/>
      <w:r>
        <w:rPr>
          <w:rFonts w:hint="eastAsia"/>
          <w:sz w:val="28"/>
          <w:szCs w:val="28"/>
        </w:rPr>
        <w:t>投标文件的递交</w:t>
      </w:r>
      <w:bookmarkEnd w:id="39"/>
      <w:bookmarkEnd w:id="40"/>
      <w:bookmarkEnd w:id="41"/>
      <w:bookmarkEnd w:id="42"/>
    </w:p>
    <w:p w14:paraId="26119C3F">
      <w:pPr>
        <w:pStyle w:val="21"/>
        <w:spacing w:beforeLines="0" w:afterLines="0" w:line="360" w:lineRule="auto"/>
        <w:ind w:firstLineChars="0"/>
        <w:rPr>
          <w:highlight w:val="none"/>
        </w:rPr>
      </w:pPr>
      <w:bookmarkStart w:id="43" w:name="_Toc129697439"/>
      <w:r>
        <w:rPr>
          <w:rFonts w:hint="eastAsia"/>
        </w:rPr>
        <w:t>1、投标文件递交的截止时间：</w:t>
      </w:r>
      <w:r>
        <w:rPr>
          <w:rFonts w:hint="eastAsia"/>
          <w:u w:val="single"/>
        </w:rPr>
        <w:t xml:space="preserve"> </w:t>
      </w:r>
      <w:r>
        <w:rPr>
          <w:rFonts w:hint="eastAsia"/>
          <w:u w:val="single"/>
          <w:lang w:val="en-US" w:eastAsia="zh-CN"/>
        </w:rPr>
        <w:t>2026</w:t>
      </w:r>
      <w:r>
        <w:rPr>
          <w:rFonts w:hint="eastAsia"/>
          <w:highlight w:val="none"/>
          <w:u w:val="single"/>
          <w:lang w:val="en-US" w:eastAsia="zh-CN"/>
        </w:rPr>
        <w:t>年</w:t>
      </w:r>
      <w:r>
        <w:rPr>
          <w:rFonts w:hint="eastAsia"/>
          <w:highlight w:val="yellow"/>
          <w:u w:val="single"/>
          <w:lang w:val="en-US" w:eastAsia="zh-CN"/>
        </w:rPr>
        <w:t>11月3日</w:t>
      </w:r>
      <w:r>
        <w:rPr>
          <w:rFonts w:hint="eastAsia"/>
          <w:highlight w:val="none"/>
          <w:u w:val="single"/>
          <w:lang w:val="en-US" w:eastAsia="zh-CN"/>
        </w:rPr>
        <w:t>09：00</w:t>
      </w:r>
      <w:r>
        <w:rPr>
          <w:rFonts w:hint="eastAsia"/>
          <w:highlight w:val="none"/>
          <w:u w:val="single"/>
        </w:rPr>
        <w:t xml:space="preserve"> </w:t>
      </w:r>
    </w:p>
    <w:p w14:paraId="279DBEFB">
      <w:pPr>
        <w:wordWrap w:val="0"/>
        <w:spacing w:line="360" w:lineRule="auto"/>
        <w:ind w:firstLine="480" w:firstLineChars="200"/>
        <w:rPr>
          <w:highlight w:val="none"/>
        </w:rPr>
      </w:pPr>
      <w:r>
        <w:rPr>
          <w:rFonts w:hint="eastAsia"/>
          <w:kern w:val="0"/>
          <w:sz w:val="24"/>
          <w:szCs w:val="20"/>
          <w:highlight w:val="none"/>
        </w:rPr>
        <w:t xml:space="preserve">2、递交地点： </w:t>
      </w:r>
      <w:r>
        <w:rPr>
          <w:rFonts w:hint="eastAsia"/>
          <w:highlight w:val="none"/>
          <w:u w:val="single"/>
        </w:rPr>
        <w:t xml:space="preserve"> </w:t>
      </w:r>
      <w:r>
        <w:rPr>
          <w:rFonts w:hint="eastAsia" w:ascii="宋体" w:hAnsi="宋体" w:cs="宋体"/>
          <w:color w:val="000000"/>
          <w:sz w:val="24"/>
          <w:szCs w:val="24"/>
          <w:highlight w:val="none"/>
          <w:u w:val="single"/>
        </w:rPr>
        <w:t>线下</w:t>
      </w:r>
      <w:r>
        <w:rPr>
          <w:rFonts w:hint="eastAsia" w:ascii="宋体" w:hAnsi="宋体" w:cs="宋体"/>
          <w:color w:val="000000"/>
          <w:sz w:val="24"/>
          <w:szCs w:val="24"/>
          <w:highlight w:val="yellow"/>
          <w:u w:val="single"/>
          <w:lang w:val="en-US" w:eastAsia="zh-CN"/>
        </w:rPr>
        <w:t>中国重汽科技大厦</w:t>
      </w:r>
      <w:r>
        <w:rPr>
          <w:rFonts w:hint="eastAsia" w:ascii="宋体" w:hAnsi="宋体" w:cs="宋体"/>
          <w:color w:val="000000"/>
          <w:sz w:val="24"/>
          <w:szCs w:val="24"/>
          <w:highlight w:val="yellow"/>
          <w:u w:val="single"/>
        </w:rPr>
        <w:t>会议室</w:t>
      </w:r>
      <w:bookmarkEnd w:id="43"/>
      <w:r>
        <w:rPr>
          <w:rFonts w:hint="eastAsia" w:ascii="宋体" w:hAnsi="宋体" w:cs="宋体"/>
          <w:color w:val="000000"/>
          <w:sz w:val="24"/>
          <w:szCs w:val="24"/>
          <w:highlight w:val="none"/>
          <w:u w:val="single"/>
        </w:rPr>
        <w:t>，线上同步上传e采通</w:t>
      </w:r>
    </w:p>
    <w:p w14:paraId="0A974718">
      <w:pPr>
        <w:pStyle w:val="21"/>
        <w:spacing w:beforeLines="0" w:afterLines="0" w:line="360" w:lineRule="auto"/>
        <w:rPr>
          <w:rFonts w:hint="eastAsia"/>
        </w:rPr>
      </w:pPr>
      <w:bookmarkStart w:id="44" w:name="_Toc129697440"/>
      <w:r>
        <w:t>3</w:t>
      </w:r>
      <w:r>
        <w:rPr>
          <w:rFonts w:hint="eastAsia"/>
        </w:rPr>
        <w:t>、</w:t>
      </w:r>
      <w:bookmarkEnd w:id="44"/>
      <w:r>
        <w:rPr>
          <w:rFonts w:hint="eastAsia"/>
        </w:rPr>
        <w:t>若逾期未在中国重汽e采通平台上传电子标书，即便递交了纸质版投标文件，一律视为无效投标。</w:t>
      </w:r>
    </w:p>
    <w:p w14:paraId="78D3E995">
      <w:pPr>
        <w:pStyle w:val="3"/>
        <w:spacing w:before="0" w:beforeLines="0" w:line="360" w:lineRule="auto"/>
        <w:ind w:firstLine="482"/>
        <w:rPr>
          <w:sz w:val="28"/>
          <w:szCs w:val="28"/>
          <w:highlight w:val="none"/>
        </w:rPr>
      </w:pPr>
      <w:bookmarkStart w:id="45" w:name="_Toc22006"/>
      <w:r>
        <w:rPr>
          <w:rFonts w:hint="eastAsia"/>
          <w:sz w:val="28"/>
          <w:szCs w:val="28"/>
          <w:highlight w:val="none"/>
        </w:rPr>
        <w:t>开标时间和地点</w:t>
      </w:r>
      <w:bookmarkEnd w:id="45"/>
    </w:p>
    <w:p w14:paraId="7AE51A52">
      <w:pPr>
        <w:autoSpaceDE w:val="0"/>
        <w:autoSpaceDN w:val="0"/>
        <w:adjustRightInd w:val="0"/>
        <w:snapToGrid w:val="0"/>
        <w:spacing w:line="360" w:lineRule="auto"/>
        <w:ind w:firstLine="480" w:firstLineChars="200"/>
        <w:jc w:val="left"/>
        <w:rPr>
          <w:rFonts w:hint="default" w:ascii="宋体" w:hAnsi="宋体" w:cs="宋体"/>
          <w:sz w:val="24"/>
          <w:szCs w:val="24"/>
          <w:highlight w:val="none"/>
          <w:lang w:val="en-US" w:eastAsia="zh-CN"/>
        </w:rPr>
      </w:pPr>
      <w:r>
        <w:rPr>
          <w:rFonts w:ascii="宋体" w:hAnsi="宋体" w:cs="宋体"/>
          <w:sz w:val="24"/>
          <w:szCs w:val="24"/>
          <w:highlight w:val="none"/>
        </w:rPr>
        <w:t>1</w:t>
      </w:r>
      <w:r>
        <w:rPr>
          <w:rFonts w:hint="eastAsia" w:ascii="宋体" w:hAnsi="宋体" w:cs="宋体"/>
          <w:sz w:val="24"/>
          <w:szCs w:val="24"/>
          <w:highlight w:val="none"/>
        </w:rPr>
        <w:t>、开标时间：</w:t>
      </w:r>
      <w:r>
        <w:rPr>
          <w:rFonts w:hint="eastAsia" w:ascii="宋体" w:hAnsi="宋体" w:cs="宋体"/>
          <w:sz w:val="24"/>
          <w:szCs w:val="24"/>
          <w:highlight w:val="none"/>
          <w:lang w:eastAsia="zh-CN"/>
        </w:rPr>
        <w:t>2026</w:t>
      </w:r>
      <w:r>
        <w:rPr>
          <w:rFonts w:hint="eastAsia" w:ascii="宋体" w:hAnsi="宋体" w:cs="宋体"/>
          <w:sz w:val="24"/>
          <w:szCs w:val="24"/>
          <w:highlight w:val="none"/>
        </w:rPr>
        <w:t>年</w:t>
      </w:r>
      <w:r>
        <w:rPr>
          <w:rFonts w:hint="eastAsia" w:ascii="宋体" w:hAnsi="宋体" w:cs="宋体"/>
          <w:sz w:val="24"/>
          <w:szCs w:val="24"/>
          <w:highlight w:val="yellow"/>
          <w:lang w:val="en-US" w:eastAsia="zh-CN"/>
        </w:rPr>
        <w:t>11</w:t>
      </w:r>
      <w:r>
        <w:rPr>
          <w:rFonts w:hint="eastAsia" w:ascii="宋体" w:hAnsi="宋体" w:cs="宋体"/>
          <w:sz w:val="24"/>
          <w:szCs w:val="24"/>
          <w:highlight w:val="yellow"/>
          <w:lang w:eastAsia="zh-CN"/>
        </w:rPr>
        <w:t>月</w:t>
      </w:r>
      <w:r>
        <w:rPr>
          <w:rFonts w:hint="eastAsia" w:ascii="宋体" w:hAnsi="宋体" w:cs="宋体"/>
          <w:sz w:val="24"/>
          <w:szCs w:val="24"/>
          <w:highlight w:val="yellow"/>
          <w:lang w:val="en-US" w:eastAsia="zh-CN"/>
        </w:rPr>
        <w:t>3</w:t>
      </w:r>
      <w:r>
        <w:rPr>
          <w:rFonts w:hint="eastAsia" w:ascii="宋体" w:hAnsi="宋体" w:cs="宋体"/>
          <w:sz w:val="24"/>
          <w:szCs w:val="24"/>
          <w:highlight w:val="yellow"/>
          <w:lang w:eastAsia="zh-CN"/>
        </w:rPr>
        <w:t>日</w:t>
      </w:r>
      <w:r>
        <w:rPr>
          <w:rFonts w:hint="eastAsia" w:ascii="宋体" w:hAnsi="宋体" w:cs="宋体"/>
          <w:sz w:val="24"/>
          <w:szCs w:val="24"/>
          <w:highlight w:val="none"/>
          <w:lang w:eastAsia="zh-CN"/>
        </w:rPr>
        <w:t>上午</w:t>
      </w:r>
      <w:r>
        <w:rPr>
          <w:rFonts w:hint="eastAsia" w:ascii="宋体" w:hAnsi="宋体" w:cs="宋体"/>
          <w:sz w:val="24"/>
          <w:szCs w:val="24"/>
          <w:highlight w:val="none"/>
          <w:lang w:val="en-US" w:eastAsia="zh-CN"/>
        </w:rPr>
        <w:t xml:space="preserve">9：00     </w:t>
      </w:r>
    </w:p>
    <w:p w14:paraId="1319577D">
      <w:pPr>
        <w:autoSpaceDE w:val="0"/>
        <w:autoSpaceDN w:val="0"/>
        <w:adjustRightInd w:val="0"/>
        <w:snapToGrid w:val="0"/>
        <w:spacing w:line="360" w:lineRule="auto"/>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lang w:eastAsia="zh-CN"/>
        </w:rPr>
        <w:t>2、开标地点：</w:t>
      </w:r>
      <w:r>
        <w:rPr>
          <w:rFonts w:hint="eastAsia" w:ascii="宋体" w:hAnsi="宋体" w:cs="宋体"/>
          <w:color w:val="000000"/>
          <w:sz w:val="24"/>
          <w:szCs w:val="24"/>
          <w:highlight w:val="yellow"/>
          <w:u w:val="single"/>
          <w:lang w:val="en-US" w:eastAsia="zh-CN"/>
        </w:rPr>
        <w:t>中国重汽科技大厦</w:t>
      </w:r>
      <w:r>
        <w:rPr>
          <w:rFonts w:hint="eastAsia" w:ascii="宋体" w:hAnsi="宋体" w:cs="宋体"/>
          <w:color w:val="000000"/>
          <w:sz w:val="24"/>
          <w:szCs w:val="24"/>
          <w:highlight w:val="yellow"/>
          <w:u w:val="single"/>
        </w:rPr>
        <w:t>会议室</w:t>
      </w:r>
      <w:r>
        <w:rPr>
          <w:rFonts w:hint="eastAsia" w:ascii="宋体" w:hAnsi="宋体" w:cs="宋体"/>
          <w:sz w:val="24"/>
          <w:szCs w:val="24"/>
          <w:highlight w:val="none"/>
          <w:lang w:eastAsia="zh-CN"/>
        </w:rPr>
        <w:t>、e采通线</w:t>
      </w:r>
      <w:r>
        <w:rPr>
          <w:rFonts w:hint="eastAsia" w:ascii="宋体" w:hAnsi="宋体" w:cs="宋体"/>
          <w:sz w:val="24"/>
          <w:szCs w:val="24"/>
          <w:highlight w:val="none"/>
        </w:rPr>
        <w:t>上</w:t>
      </w:r>
    </w:p>
    <w:p w14:paraId="7BF9B20D">
      <w:pPr>
        <w:pStyle w:val="6"/>
        <w:rPr>
          <w:rFonts w:hint="eastAsia"/>
        </w:rPr>
      </w:pPr>
    </w:p>
    <w:p w14:paraId="056F9E0A">
      <w:pPr>
        <w:pStyle w:val="3"/>
        <w:spacing w:before="0" w:beforeLines="0" w:line="360" w:lineRule="auto"/>
        <w:ind w:firstLine="482"/>
        <w:rPr>
          <w:sz w:val="28"/>
          <w:szCs w:val="28"/>
        </w:rPr>
      </w:pPr>
      <w:bookmarkStart w:id="46" w:name="_Toc8732"/>
      <w:r>
        <w:rPr>
          <w:rFonts w:hint="eastAsia"/>
          <w:sz w:val="28"/>
          <w:szCs w:val="28"/>
        </w:rPr>
        <w:t>联系方式</w:t>
      </w:r>
      <w:bookmarkEnd w:id="46"/>
    </w:p>
    <w:p w14:paraId="512A3110">
      <w:pPr>
        <w:spacing w:line="360" w:lineRule="auto"/>
        <w:ind w:firstLine="480" w:firstLineChars="200"/>
      </w:pPr>
      <w:r>
        <w:rPr>
          <w:rFonts w:hint="eastAsia" w:ascii="宋体" w:hAnsi="宋体" w:cs="宋体"/>
          <w:color w:val="000000"/>
          <w:sz w:val="24"/>
          <w:szCs w:val="24"/>
        </w:rPr>
        <w:t>1、技术答疑</w:t>
      </w:r>
    </w:p>
    <w:p w14:paraId="07760D19">
      <w:pPr>
        <w:autoSpaceDE w:val="0"/>
        <w:autoSpaceDN w:val="0"/>
        <w:adjustRightInd w:val="0"/>
        <w:snapToGrid w:val="0"/>
        <w:spacing w:line="360" w:lineRule="auto"/>
        <w:ind w:firstLine="480" w:firstLineChars="200"/>
        <w:jc w:val="left"/>
        <w:rPr>
          <w:rFonts w:hint="default" w:ascii="宋体" w:hAnsi="宋体" w:eastAsia="宋体" w:cs="宋体"/>
          <w:sz w:val="24"/>
          <w:szCs w:val="24"/>
          <w:highlight w:val="none"/>
          <w:lang w:val="en-US" w:eastAsia="zh-CN"/>
        </w:rPr>
      </w:pPr>
      <w:r>
        <w:rPr>
          <w:rFonts w:hint="eastAsia" w:ascii="宋体" w:hAnsi="宋体" w:cs="宋体"/>
          <w:sz w:val="24"/>
          <w:szCs w:val="24"/>
        </w:rPr>
        <w:t>联 系 人</w:t>
      </w:r>
      <w:r>
        <w:rPr>
          <w:rFonts w:hint="eastAsia" w:ascii="宋体" w:hAnsi="宋体" w:cs="宋体"/>
          <w:sz w:val="24"/>
          <w:szCs w:val="24"/>
          <w:highlight w:val="none"/>
        </w:rPr>
        <w:t xml:space="preserve">： </w:t>
      </w:r>
      <w:r>
        <w:rPr>
          <w:rFonts w:hint="eastAsia" w:ascii="宋体" w:hAnsi="宋体" w:cs="宋体"/>
          <w:sz w:val="24"/>
          <w:szCs w:val="24"/>
          <w:highlight w:val="none"/>
          <w:lang w:val="en-US" w:eastAsia="zh-CN"/>
        </w:rPr>
        <w:t xml:space="preserve">  赵强            </w:t>
      </w:r>
    </w:p>
    <w:p w14:paraId="35A535EB">
      <w:pPr>
        <w:autoSpaceDE w:val="0"/>
        <w:autoSpaceDN w:val="0"/>
        <w:adjustRightInd w:val="0"/>
        <w:snapToGrid w:val="0"/>
        <w:spacing w:line="360" w:lineRule="auto"/>
        <w:ind w:firstLine="480" w:firstLineChars="200"/>
        <w:jc w:val="left"/>
        <w:rPr>
          <w:rFonts w:hint="default" w:ascii="宋体" w:hAnsi="宋体" w:cs="宋体"/>
          <w:sz w:val="24"/>
          <w:szCs w:val="24"/>
          <w:highlight w:val="none"/>
          <w:lang w:val="en-US" w:eastAsia="zh-CN"/>
        </w:rPr>
      </w:pPr>
      <w:r>
        <w:rPr>
          <w:rFonts w:hint="eastAsia" w:ascii="宋体" w:hAnsi="宋体" w:cs="宋体"/>
          <w:sz w:val="24"/>
          <w:szCs w:val="24"/>
          <w:highlight w:val="none"/>
        </w:rPr>
        <w:t xml:space="preserve">联系电话:  </w:t>
      </w:r>
      <w:r>
        <w:rPr>
          <w:rFonts w:hint="eastAsia" w:ascii="宋体" w:hAnsi="宋体" w:cs="宋体"/>
          <w:sz w:val="24"/>
          <w:szCs w:val="24"/>
          <w:highlight w:val="none"/>
          <w:lang w:val="en-US" w:eastAsia="zh-CN"/>
        </w:rPr>
        <w:t xml:space="preserve"> 15621364660</w:t>
      </w:r>
    </w:p>
    <w:p w14:paraId="5179733D">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cs="宋体"/>
          <w:color w:val="000000"/>
          <w:sz w:val="24"/>
          <w:szCs w:val="24"/>
          <w:highlight w:val="none"/>
        </w:rPr>
        <w:t>2、中国重汽e采通操作</w:t>
      </w:r>
      <w:r>
        <w:rPr>
          <w:rFonts w:hint="eastAsia" w:ascii="宋体" w:hAnsi="宋体" w:cs="宋体"/>
          <w:color w:val="000000"/>
          <w:sz w:val="24"/>
          <w:szCs w:val="24"/>
          <w:highlight w:val="none"/>
          <w:lang w:val="en-US" w:eastAsia="zh-CN"/>
        </w:rPr>
        <w:t>及商务</w:t>
      </w:r>
      <w:r>
        <w:rPr>
          <w:rFonts w:hint="eastAsia" w:ascii="宋体" w:hAnsi="宋体" w:cs="宋体"/>
          <w:color w:val="000000"/>
          <w:sz w:val="24"/>
          <w:szCs w:val="24"/>
          <w:highlight w:val="none"/>
        </w:rPr>
        <w:t>咨询</w:t>
      </w:r>
    </w:p>
    <w:p w14:paraId="29B1C85B">
      <w:pPr>
        <w:autoSpaceDE w:val="0"/>
        <w:autoSpaceDN w:val="0"/>
        <w:adjustRightInd w:val="0"/>
        <w:snapToGrid w:val="0"/>
        <w:spacing w:line="360" w:lineRule="auto"/>
        <w:ind w:firstLine="480" w:firstLineChars="200"/>
        <w:jc w:val="left"/>
        <w:rPr>
          <w:rFonts w:hint="default" w:ascii="宋体" w:hAnsi="宋体" w:eastAsia="宋体" w:cs="宋体"/>
          <w:sz w:val="24"/>
          <w:szCs w:val="24"/>
          <w:highlight w:val="yellow"/>
          <w:lang w:val="en-US" w:eastAsia="zh-CN"/>
        </w:rPr>
      </w:pPr>
      <w:r>
        <w:rPr>
          <w:rFonts w:hint="eastAsia" w:ascii="宋体" w:hAnsi="宋体" w:cs="宋体"/>
          <w:sz w:val="24"/>
          <w:szCs w:val="24"/>
          <w:highlight w:val="none"/>
        </w:rPr>
        <w:t>联系人：</w:t>
      </w:r>
      <w:r>
        <w:rPr>
          <w:rFonts w:hint="eastAsia" w:ascii="宋体" w:hAnsi="宋体" w:cs="宋体"/>
          <w:sz w:val="24"/>
          <w:szCs w:val="24"/>
          <w:highlight w:val="none"/>
          <w:lang w:val="en-US" w:eastAsia="zh-CN"/>
        </w:rPr>
        <w:t xml:space="preserve"> 李帅威    </w:t>
      </w:r>
      <w:r>
        <w:rPr>
          <w:rFonts w:hint="eastAsia" w:ascii="宋体" w:hAnsi="宋体" w:cs="宋体"/>
          <w:sz w:val="24"/>
          <w:szCs w:val="24"/>
          <w:highlight w:val="none"/>
        </w:rPr>
        <w:t xml:space="preserve">   联系电话：</w:t>
      </w:r>
      <w:r>
        <w:rPr>
          <w:rFonts w:hint="eastAsia" w:ascii="宋体" w:hAnsi="宋体" w:cs="宋体"/>
          <w:sz w:val="24"/>
          <w:szCs w:val="24"/>
          <w:highlight w:val="none"/>
          <w:lang w:val="en-US" w:eastAsia="zh-CN"/>
        </w:rPr>
        <w:t>17860605079</w:t>
      </w:r>
    </w:p>
    <w:p w14:paraId="79506BFA">
      <w:pPr>
        <w:pStyle w:val="6"/>
        <w:numPr>
          <w:ilvl w:val="0"/>
          <w:numId w:val="5"/>
        </w:numPr>
        <w:spacing w:line="360" w:lineRule="auto"/>
        <w:ind w:firstLine="480"/>
        <w:rPr>
          <w:rFonts w:hint="eastAsia" w:ascii="宋体" w:hAnsi="宋体" w:cs="宋体"/>
          <w:color w:val="000000"/>
          <w:sz w:val="24"/>
          <w:szCs w:val="24"/>
          <w:highlight w:val="none"/>
        </w:rPr>
      </w:pPr>
      <w:r>
        <w:rPr>
          <w:rFonts w:hint="eastAsia" w:ascii="宋体" w:hAnsi="宋体" w:cs="宋体"/>
          <w:sz w:val="24"/>
          <w:szCs w:val="24"/>
          <w:highlight w:val="none"/>
        </w:rPr>
        <w:t>报名参标网址：</w:t>
      </w:r>
      <w:r>
        <w:rPr>
          <w:rFonts w:hint="eastAsia" w:ascii="宋体" w:hAnsi="宋体" w:cs="宋体"/>
          <w:color w:val="000000"/>
          <w:sz w:val="24"/>
          <w:szCs w:val="24"/>
          <w:highlight w:val="none"/>
        </w:rPr>
        <w:fldChar w:fldCharType="begin"/>
      </w:r>
      <w:r>
        <w:rPr>
          <w:rFonts w:hint="eastAsia" w:ascii="宋体" w:hAnsi="宋体" w:cs="宋体"/>
          <w:color w:val="000000"/>
          <w:sz w:val="24"/>
          <w:szCs w:val="24"/>
          <w:highlight w:val="none"/>
        </w:rPr>
        <w:instrText xml:space="preserve"> HYPERLINK "https://ecaitong.sinotruk.com:8012" </w:instrText>
      </w:r>
      <w:r>
        <w:rPr>
          <w:rFonts w:hint="eastAsia" w:ascii="宋体" w:hAnsi="宋体" w:cs="宋体"/>
          <w:color w:val="000000"/>
          <w:sz w:val="24"/>
          <w:szCs w:val="24"/>
          <w:highlight w:val="none"/>
        </w:rPr>
        <w:fldChar w:fldCharType="separate"/>
      </w:r>
      <w:r>
        <w:rPr>
          <w:rStyle w:val="19"/>
          <w:rFonts w:hint="eastAsia" w:ascii="宋体" w:hAnsi="宋体" w:cs="宋体"/>
          <w:sz w:val="24"/>
          <w:szCs w:val="24"/>
          <w:highlight w:val="none"/>
        </w:rPr>
        <w:t>http</w:t>
      </w:r>
      <w:r>
        <w:rPr>
          <w:rStyle w:val="19"/>
          <w:rFonts w:hint="eastAsia" w:ascii="宋体" w:hAnsi="宋体" w:cs="宋体"/>
          <w:sz w:val="24"/>
          <w:szCs w:val="24"/>
          <w:highlight w:val="none"/>
          <w:lang w:val="en-US" w:eastAsia="zh-CN"/>
        </w:rPr>
        <w:t>s</w:t>
      </w:r>
      <w:r>
        <w:rPr>
          <w:rStyle w:val="19"/>
          <w:rFonts w:hint="eastAsia" w:ascii="宋体" w:hAnsi="宋体" w:cs="宋体"/>
          <w:sz w:val="24"/>
          <w:szCs w:val="24"/>
          <w:highlight w:val="none"/>
        </w:rPr>
        <w:t>://ecaitong.sinotruk.com:8012</w:t>
      </w:r>
      <w:r>
        <w:rPr>
          <w:rFonts w:hint="eastAsia" w:ascii="宋体" w:hAnsi="宋体" w:cs="宋体"/>
          <w:color w:val="000000"/>
          <w:sz w:val="24"/>
          <w:szCs w:val="24"/>
          <w:highlight w:val="none"/>
        </w:rPr>
        <w:fldChar w:fldCharType="end"/>
      </w:r>
    </w:p>
    <w:p w14:paraId="58863B5E">
      <w:pPr>
        <w:numPr>
          <w:ilvl w:val="0"/>
          <w:numId w:val="0"/>
        </w:numPr>
      </w:pPr>
    </w:p>
    <w:p w14:paraId="7067B8C9">
      <w:pPr>
        <w:pStyle w:val="3"/>
        <w:spacing w:before="0" w:beforeLines="0" w:line="360" w:lineRule="auto"/>
        <w:ind w:firstLine="482"/>
        <w:rPr>
          <w:sz w:val="28"/>
          <w:szCs w:val="28"/>
          <w:highlight w:val="none"/>
        </w:rPr>
      </w:pPr>
      <w:bookmarkStart w:id="47" w:name="_Toc2793"/>
      <w:r>
        <w:rPr>
          <w:rFonts w:hint="eastAsia"/>
          <w:sz w:val="28"/>
          <w:szCs w:val="28"/>
        </w:rPr>
        <w:t>保证金</w:t>
      </w:r>
      <w:bookmarkEnd w:id="47"/>
    </w:p>
    <w:p w14:paraId="28D6BFE4">
      <w:pPr>
        <w:numPr>
          <w:ilvl w:val="0"/>
          <w:numId w:val="0"/>
        </w:num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highlight w:val="none"/>
          <w:lang w:val="en-US" w:eastAsia="zh-CN"/>
        </w:rPr>
        <w:t>1.此次招标为公开招标，投标保证金为20万元</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贰拾</w:t>
      </w:r>
      <w:r>
        <w:rPr>
          <w:rFonts w:hint="eastAsia" w:ascii="宋体" w:hAnsi="宋体" w:cs="宋体"/>
          <w:color w:val="000000"/>
          <w:sz w:val="24"/>
          <w:szCs w:val="24"/>
          <w:highlight w:val="none"/>
        </w:rPr>
        <w:t>万元整）</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现有整车物流合作方</w:t>
      </w:r>
      <w:r>
        <w:rPr>
          <w:rFonts w:hint="eastAsia" w:ascii="宋体" w:hAnsi="宋体" w:cs="宋体"/>
          <w:color w:val="000000"/>
          <w:sz w:val="24"/>
          <w:szCs w:val="24"/>
          <w:highlight w:val="none"/>
          <w:lang w:val="en-US" w:eastAsia="zh-CN"/>
        </w:rPr>
        <w:t>需提供</w:t>
      </w:r>
      <w:r>
        <w:rPr>
          <w:rFonts w:hint="eastAsia" w:ascii="宋体" w:hAnsi="宋体" w:cs="宋体"/>
          <w:sz w:val="24"/>
          <w:szCs w:val="24"/>
          <w:highlight w:val="none"/>
          <w:lang w:val="en-US" w:eastAsia="zh-CN"/>
        </w:rPr>
        <w:t>投标保证金承诺函</w:t>
      </w:r>
      <w:r>
        <w:rPr>
          <w:rFonts w:hint="eastAsia" w:ascii="宋体" w:hAnsi="宋体" w:cs="宋体"/>
          <w:color w:val="000000"/>
          <w:sz w:val="24"/>
          <w:szCs w:val="24"/>
          <w:highlight w:val="none"/>
          <w:lang w:val="en-US" w:eastAsia="zh-CN"/>
        </w:rPr>
        <w:t>。投标单位</w:t>
      </w:r>
      <w:r>
        <w:rPr>
          <w:rFonts w:hint="eastAsia" w:ascii="宋体" w:hAnsi="宋体" w:cs="宋体"/>
          <w:sz w:val="24"/>
          <w:szCs w:val="24"/>
          <w:highlight w:val="none"/>
          <w:lang w:val="en-US" w:eastAsia="zh-CN"/>
        </w:rPr>
        <w:t>投标</w:t>
      </w:r>
      <w:r>
        <w:rPr>
          <w:rFonts w:hint="eastAsia" w:ascii="宋体" w:hAnsi="宋体" w:cs="宋体"/>
          <w:sz w:val="24"/>
          <w:szCs w:val="24"/>
          <w:lang w:val="en-US" w:eastAsia="zh-CN"/>
        </w:rPr>
        <w:t>保证金缴纳凭</w:t>
      </w:r>
      <w:r>
        <w:rPr>
          <w:rFonts w:hint="eastAsia" w:ascii="宋体" w:hAnsi="宋体" w:cs="宋体"/>
          <w:sz w:val="24"/>
          <w:szCs w:val="24"/>
          <w:highlight w:val="none"/>
          <w:lang w:val="en-US" w:eastAsia="zh-CN"/>
        </w:rPr>
        <w:t>证（现供方上传</w:t>
      </w:r>
      <w:r>
        <w:rPr>
          <w:rFonts w:hint="eastAsia" w:ascii="宋体" w:hAnsi="宋体" w:cs="宋体"/>
          <w:color w:val="000000"/>
          <w:sz w:val="24"/>
          <w:szCs w:val="24"/>
          <w:highlight w:val="none"/>
          <w:lang w:val="en-US" w:eastAsia="zh-CN"/>
        </w:rPr>
        <w:t xml:space="preserve">投标保证金承诺函）在报名和应标时在E采通上传，恶意竞标或中标后拒绝签约的扣除20万投标保证金并且列入黑名单，3年内不允许参与集团旗下任何招标项目。  </w:t>
      </w:r>
      <w:r>
        <w:rPr>
          <w:rFonts w:hint="eastAsia" w:ascii="宋体" w:hAnsi="宋体" w:cs="宋体"/>
          <w:color w:val="000000"/>
          <w:sz w:val="24"/>
          <w:szCs w:val="24"/>
          <w:lang w:val="en-US" w:eastAsia="zh-CN"/>
        </w:rPr>
        <w:t xml:space="preserve"> </w:t>
      </w:r>
    </w:p>
    <w:p w14:paraId="1C0248E5">
      <w:pPr>
        <w:spacing w:line="360" w:lineRule="auto"/>
        <w:ind w:firstLine="480" w:firstLineChars="200"/>
        <w:rPr>
          <w:rFonts w:ascii="宋体" w:hAnsi="宋体" w:cs="宋体"/>
          <w:sz w:val="24"/>
          <w:szCs w:val="24"/>
          <w:highlight w:val="none"/>
        </w:rPr>
      </w:pPr>
      <w:r>
        <w:rPr>
          <w:rFonts w:hint="eastAsia" w:ascii="宋体" w:hAnsi="宋体" w:cs="宋体"/>
          <w:color w:val="000000"/>
          <w:sz w:val="24"/>
          <w:szCs w:val="24"/>
          <w:highlight w:val="none"/>
        </w:rPr>
        <w:t>2.缴纳方式：基本账户转账。</w:t>
      </w:r>
    </w:p>
    <w:p w14:paraId="58833E1A">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3.接收单位：中国重汽集团济南动力有限公司 </w:t>
      </w:r>
    </w:p>
    <w:p w14:paraId="2414906F">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4.转账信息： </w:t>
      </w:r>
    </w:p>
    <w:p w14:paraId="594EB2B1">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银行账号：37001616508050150300 </w:t>
      </w:r>
    </w:p>
    <w:p w14:paraId="5C5BD25C">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账户名称：中国重汽集团济南动力有限公司  </w:t>
      </w:r>
    </w:p>
    <w:p w14:paraId="60AC4EC2">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开户行名称：中国建设银行济南市天桥区支行  </w:t>
      </w:r>
    </w:p>
    <w:p w14:paraId="193B430B">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开户行行号：105451000362  </w:t>
      </w:r>
    </w:p>
    <w:p w14:paraId="0FDCDD65">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应备注“</w:t>
      </w:r>
      <w:r>
        <w:rPr>
          <w:rFonts w:hint="eastAsia" w:ascii="宋体" w:hAnsi="宋体" w:cs="宋体"/>
          <w:color w:val="000000"/>
          <w:sz w:val="24"/>
          <w:szCs w:val="24"/>
          <w:highlight w:val="none"/>
          <w:lang w:val="en-US" w:eastAsia="zh-CN"/>
        </w:rPr>
        <w:t>2026年济南特种车公司商品车</w:t>
      </w:r>
      <w:r>
        <w:rPr>
          <w:rFonts w:hint="eastAsia" w:ascii="宋体" w:hAnsi="宋体" w:cs="宋体"/>
          <w:color w:val="000000"/>
          <w:sz w:val="24"/>
          <w:szCs w:val="24"/>
          <w:highlight w:val="none"/>
          <w:lang w:eastAsia="zh-CN"/>
        </w:rPr>
        <w:t>运输</w:t>
      </w:r>
      <w:r>
        <w:rPr>
          <w:rFonts w:hint="eastAsia" w:ascii="宋体" w:hAnsi="宋体" w:cs="宋体"/>
          <w:color w:val="000000"/>
          <w:sz w:val="24"/>
          <w:szCs w:val="24"/>
          <w:highlight w:val="none"/>
          <w:lang w:val="en-US" w:eastAsia="zh-CN"/>
        </w:rPr>
        <w:t>及生产移库</w:t>
      </w:r>
      <w:r>
        <w:rPr>
          <w:rFonts w:hint="eastAsia" w:ascii="宋体" w:hAnsi="宋体" w:cs="宋体"/>
          <w:color w:val="000000"/>
          <w:sz w:val="24"/>
          <w:szCs w:val="24"/>
          <w:highlight w:val="none"/>
          <w:lang w:eastAsia="zh-CN"/>
        </w:rPr>
        <w:t>项目投标保证金</w:t>
      </w:r>
      <w:r>
        <w:rPr>
          <w:rFonts w:hint="eastAsia" w:ascii="宋体" w:hAnsi="宋体" w:cs="宋体"/>
          <w:color w:val="000000"/>
          <w:sz w:val="24"/>
          <w:szCs w:val="24"/>
          <w:highlight w:val="none"/>
        </w:rPr>
        <w:t>”</w:t>
      </w:r>
    </w:p>
    <w:p w14:paraId="493AAE3F">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注：投标人应充分考虑银行信息交换时间，由此带来的保证金不能按时到帐的由投标人自行承担。</w:t>
      </w:r>
    </w:p>
    <w:p w14:paraId="6554BDA0">
      <w:pPr>
        <w:spacing w:line="360" w:lineRule="auto"/>
        <w:ind w:firstLine="480" w:firstLineChars="200"/>
        <w:rPr>
          <w:rFonts w:hint="eastAsia" w:ascii="宋体" w:hAnsi="宋体" w:eastAsia="宋体" w:cs="宋体"/>
          <w:color w:val="000000"/>
          <w:sz w:val="24"/>
          <w:szCs w:val="24"/>
          <w:highlight w:val="red"/>
          <w:shd w:val="clear" w:fill="FFFF00"/>
          <w:lang w:val="en-US" w:eastAsia="zh-CN"/>
        </w:rPr>
      </w:pPr>
      <w:r>
        <w:rPr>
          <w:rFonts w:hint="eastAsia" w:ascii="宋体" w:hAnsi="宋体" w:cs="宋体"/>
          <w:color w:val="000000"/>
          <w:sz w:val="24"/>
          <w:szCs w:val="24"/>
          <w:lang w:val="en-US" w:eastAsia="zh-CN"/>
        </w:rPr>
        <w:t>5</w:t>
      </w:r>
      <w:r>
        <w:rPr>
          <w:rFonts w:hint="eastAsia" w:ascii="宋体" w:hAnsi="宋体" w:cs="宋体"/>
          <w:color w:val="000000"/>
          <w:sz w:val="24"/>
          <w:szCs w:val="24"/>
        </w:rPr>
        <w:t>.履约保证金：</w:t>
      </w:r>
      <w:r>
        <w:rPr>
          <w:rFonts w:hint="eastAsia" w:ascii="宋体" w:hAnsi="宋体" w:cs="宋体"/>
          <w:color w:val="000000"/>
          <w:sz w:val="24"/>
          <w:szCs w:val="24"/>
          <w:highlight w:val="none"/>
          <w:lang w:val="en-US" w:eastAsia="zh-CN"/>
        </w:rPr>
        <w:t>A包100万/家，B包50万/家支付（无息）保证金，中标公司保证金上限1000 万。缴纳保证金后，合同生效；未及时缴纳保证金，视为弃标，扣除投标保证金，同时纳入黑名单；退还方式按照法务合规部法发布的合同模板执行；</w:t>
      </w:r>
    </w:p>
    <w:p w14:paraId="43B89CA1"/>
    <w:p w14:paraId="363D7DA9">
      <w:pPr>
        <w:pStyle w:val="6"/>
      </w:pPr>
    </w:p>
    <w:p w14:paraId="024D869F"/>
    <w:p w14:paraId="5CF56D47">
      <w:pPr>
        <w:pStyle w:val="6"/>
      </w:pPr>
    </w:p>
    <w:p w14:paraId="52D08FCE"/>
    <w:p w14:paraId="52047625">
      <w:pPr>
        <w:pStyle w:val="15"/>
        <w:ind w:left="420"/>
      </w:pPr>
      <w:bookmarkStart w:id="48" w:name="_Toc6713"/>
      <w:r>
        <w:rPr>
          <w:rFonts w:hint="eastAsia"/>
        </w:rPr>
        <w:t>投标人须知</w:t>
      </w:r>
      <w:bookmarkEnd w:id="5"/>
      <w:bookmarkEnd w:id="6"/>
      <w:bookmarkEnd w:id="7"/>
      <w:bookmarkEnd w:id="48"/>
      <w:bookmarkStart w:id="49" w:name="_Toc129685543"/>
      <w:bookmarkEnd w:id="49"/>
      <w:bookmarkStart w:id="50" w:name="_Toc129685544"/>
      <w:bookmarkEnd w:id="50"/>
    </w:p>
    <w:p w14:paraId="5B6ED7C4">
      <w:pPr>
        <w:pStyle w:val="20"/>
        <w:keepNext/>
        <w:keepLines/>
        <w:numPr>
          <w:ilvl w:val="0"/>
          <w:numId w:val="6"/>
        </w:numPr>
        <w:spacing w:line="360" w:lineRule="auto"/>
        <w:ind w:firstLineChars="0"/>
        <w:jc w:val="left"/>
        <w:outlineLvl w:val="1"/>
        <w:rPr>
          <w:b/>
          <w:vanish/>
          <w:kern w:val="0"/>
          <w:sz w:val="24"/>
          <w:szCs w:val="32"/>
        </w:rPr>
      </w:pPr>
      <w:bookmarkStart w:id="51" w:name="_Toc129693371"/>
      <w:bookmarkEnd w:id="51"/>
      <w:bookmarkStart w:id="52" w:name="_Toc129693887"/>
      <w:bookmarkEnd w:id="52"/>
      <w:bookmarkStart w:id="53" w:name="_Toc129692786"/>
      <w:bookmarkEnd w:id="53"/>
      <w:bookmarkStart w:id="54" w:name="_Toc142573645"/>
      <w:bookmarkEnd w:id="54"/>
      <w:bookmarkStart w:id="55" w:name="_Toc142573481"/>
      <w:bookmarkEnd w:id="55"/>
      <w:bookmarkStart w:id="56" w:name="_Toc129695603"/>
      <w:bookmarkEnd w:id="56"/>
      <w:bookmarkStart w:id="57" w:name="_Toc129697443"/>
      <w:bookmarkEnd w:id="57"/>
      <w:bookmarkStart w:id="58" w:name="_Toc142573112"/>
      <w:bookmarkEnd w:id="58"/>
      <w:bookmarkStart w:id="59" w:name="_Toc142572974"/>
      <w:bookmarkEnd w:id="59"/>
      <w:bookmarkStart w:id="60" w:name="_Toc142573020"/>
      <w:bookmarkEnd w:id="60"/>
      <w:bookmarkStart w:id="61" w:name="_Toc129692723"/>
      <w:bookmarkEnd w:id="61"/>
      <w:bookmarkStart w:id="62" w:name="_Toc142572939"/>
      <w:bookmarkEnd w:id="62"/>
      <w:bookmarkStart w:id="63" w:name="_Toc129692640"/>
      <w:bookmarkEnd w:id="63"/>
    </w:p>
    <w:p w14:paraId="4D626D22">
      <w:pPr>
        <w:pStyle w:val="20"/>
        <w:keepNext/>
        <w:keepLines/>
        <w:numPr>
          <w:ilvl w:val="0"/>
          <w:numId w:val="6"/>
        </w:numPr>
        <w:spacing w:line="360" w:lineRule="auto"/>
        <w:ind w:firstLineChars="0"/>
        <w:jc w:val="left"/>
        <w:outlineLvl w:val="1"/>
        <w:rPr>
          <w:b/>
          <w:vanish/>
          <w:kern w:val="0"/>
          <w:sz w:val="24"/>
          <w:szCs w:val="32"/>
        </w:rPr>
      </w:pPr>
      <w:bookmarkStart w:id="64" w:name="_Toc129697444"/>
      <w:bookmarkEnd w:id="64"/>
      <w:bookmarkStart w:id="65" w:name="_Toc142573482"/>
      <w:bookmarkEnd w:id="65"/>
      <w:bookmarkStart w:id="66" w:name="_Toc142573113"/>
      <w:bookmarkEnd w:id="66"/>
      <w:bookmarkStart w:id="67" w:name="_Toc142572940"/>
      <w:bookmarkEnd w:id="67"/>
      <w:bookmarkStart w:id="68" w:name="_Toc129693372"/>
      <w:bookmarkEnd w:id="68"/>
      <w:bookmarkStart w:id="69" w:name="_Toc142572975"/>
      <w:bookmarkEnd w:id="69"/>
      <w:bookmarkStart w:id="70" w:name="_Toc142573646"/>
      <w:bookmarkEnd w:id="70"/>
      <w:bookmarkStart w:id="71" w:name="_Toc129692787"/>
      <w:bookmarkEnd w:id="71"/>
      <w:bookmarkStart w:id="72" w:name="_Toc129693888"/>
      <w:bookmarkEnd w:id="72"/>
      <w:bookmarkStart w:id="73" w:name="_Toc129692641"/>
      <w:bookmarkEnd w:id="73"/>
      <w:bookmarkStart w:id="74" w:name="_Toc142573021"/>
      <w:bookmarkEnd w:id="74"/>
      <w:bookmarkStart w:id="75" w:name="_Toc129695604"/>
      <w:bookmarkEnd w:id="75"/>
      <w:bookmarkStart w:id="76" w:name="_Toc129692724"/>
      <w:bookmarkEnd w:id="76"/>
    </w:p>
    <w:p w14:paraId="02826491">
      <w:pPr>
        <w:pStyle w:val="3"/>
        <w:numPr>
          <w:ilvl w:val="1"/>
          <w:numId w:val="6"/>
        </w:numPr>
        <w:spacing w:before="0" w:beforeLines="0" w:line="360" w:lineRule="auto"/>
        <w:rPr>
          <w:sz w:val="28"/>
          <w:szCs w:val="28"/>
        </w:rPr>
      </w:pPr>
      <w:bookmarkStart w:id="77" w:name="_Toc15058"/>
      <w:bookmarkStart w:id="78" w:name="_Toc8123"/>
      <w:bookmarkStart w:id="79" w:name="_Toc14852"/>
      <w:r>
        <w:rPr>
          <w:rFonts w:hint="eastAsia"/>
          <w:sz w:val="28"/>
          <w:szCs w:val="28"/>
        </w:rPr>
        <w:t>投标人须知前附表</w:t>
      </w:r>
      <w:bookmarkEnd w:id="77"/>
      <w:bookmarkEnd w:id="78"/>
      <w:bookmarkEnd w:id="79"/>
    </w:p>
    <w:p w14:paraId="1D1D93EA">
      <w:pPr>
        <w:spacing w:line="360" w:lineRule="auto"/>
        <w:ind w:firstLine="480" w:firstLineChars="200"/>
        <w:rPr>
          <w:rFonts w:ascii="宋体" w:hAnsi="宋体"/>
          <w:sz w:val="24"/>
          <w:szCs w:val="24"/>
        </w:rPr>
      </w:pPr>
      <w:r>
        <w:rPr>
          <w:rFonts w:hint="eastAsia" w:ascii="宋体" w:hAnsi="宋体" w:cs="宋体"/>
          <w:sz w:val="24"/>
          <w:szCs w:val="24"/>
        </w:rPr>
        <w:t>本表是对“投标人须知”正文的具体补充和修改，如有不一致，以“前附表”为准。</w:t>
      </w:r>
    </w:p>
    <w:tbl>
      <w:tblPr>
        <w:tblStyle w:val="16"/>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653"/>
        <w:gridCol w:w="8305"/>
      </w:tblGrid>
      <w:tr w14:paraId="643732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tblHeader/>
          <w:jc w:val="center"/>
        </w:trPr>
        <w:tc>
          <w:tcPr>
            <w:tcW w:w="653" w:type="dxa"/>
            <w:tcBorders>
              <w:top w:val="single" w:color="auto" w:sz="2" w:space="0"/>
              <w:left w:val="single" w:color="auto" w:sz="2" w:space="0"/>
              <w:bottom w:val="single" w:color="auto" w:sz="2" w:space="0"/>
              <w:right w:val="single" w:color="auto" w:sz="2" w:space="0"/>
            </w:tcBorders>
            <w:vAlign w:val="center"/>
          </w:tcPr>
          <w:p w14:paraId="25E27224">
            <w:pPr>
              <w:spacing w:line="360" w:lineRule="auto"/>
              <w:jc w:val="center"/>
              <w:rPr>
                <w:rFonts w:ascii="宋体" w:hAnsi="宋体"/>
                <w:sz w:val="24"/>
                <w:szCs w:val="24"/>
              </w:rPr>
            </w:pPr>
            <w:bookmarkStart w:id="80" w:name="_Toc346372875"/>
            <w:r>
              <w:rPr>
                <w:rFonts w:hint="eastAsia" w:ascii="宋体" w:hAnsi="宋体" w:cs="宋体"/>
                <w:sz w:val="24"/>
              </w:rPr>
              <w:t>序号</w:t>
            </w:r>
          </w:p>
        </w:tc>
        <w:tc>
          <w:tcPr>
            <w:tcW w:w="8305" w:type="dxa"/>
            <w:tcBorders>
              <w:top w:val="single" w:color="auto" w:sz="2" w:space="0"/>
              <w:left w:val="single" w:color="auto" w:sz="2" w:space="0"/>
              <w:bottom w:val="single" w:color="auto" w:sz="2" w:space="0"/>
              <w:right w:val="single" w:color="auto" w:sz="2" w:space="0"/>
            </w:tcBorders>
            <w:vAlign w:val="center"/>
          </w:tcPr>
          <w:p w14:paraId="139FFE62">
            <w:pPr>
              <w:spacing w:line="360" w:lineRule="auto"/>
              <w:ind w:firstLine="3542" w:firstLineChars="1470"/>
              <w:rPr>
                <w:rFonts w:ascii="宋体" w:hAnsi="宋体"/>
                <w:b/>
                <w:bCs/>
                <w:sz w:val="24"/>
                <w:szCs w:val="24"/>
              </w:rPr>
            </w:pPr>
            <w:r>
              <w:rPr>
                <w:rFonts w:hint="eastAsia" w:ascii="宋体" w:hAnsi="宋体" w:cs="宋体"/>
                <w:b/>
                <w:bCs/>
                <w:sz w:val="24"/>
              </w:rPr>
              <w:t>内容</w:t>
            </w:r>
          </w:p>
        </w:tc>
      </w:tr>
      <w:tr w14:paraId="1A4164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3" w:hRule="atLeast"/>
          <w:jc w:val="center"/>
        </w:trPr>
        <w:tc>
          <w:tcPr>
            <w:tcW w:w="8958" w:type="dxa"/>
            <w:gridSpan w:val="2"/>
            <w:tcBorders>
              <w:top w:val="single" w:color="auto" w:sz="2" w:space="0"/>
              <w:left w:val="single" w:color="auto" w:sz="2" w:space="0"/>
              <w:bottom w:val="single" w:color="auto" w:sz="2" w:space="0"/>
              <w:right w:val="single" w:color="auto" w:sz="2" w:space="0"/>
            </w:tcBorders>
            <w:vAlign w:val="center"/>
          </w:tcPr>
          <w:p w14:paraId="56BF1E57">
            <w:pPr>
              <w:spacing w:line="360" w:lineRule="auto"/>
              <w:jc w:val="center"/>
              <w:rPr>
                <w:rFonts w:ascii="宋体" w:hAnsi="宋体"/>
                <w:b/>
                <w:bCs/>
                <w:sz w:val="24"/>
                <w:szCs w:val="24"/>
              </w:rPr>
            </w:pPr>
            <w:r>
              <w:rPr>
                <w:rFonts w:hint="eastAsia" w:ascii="宋体" w:hAnsi="宋体" w:cs="宋体"/>
                <w:b/>
                <w:bCs/>
                <w:sz w:val="24"/>
              </w:rPr>
              <w:t>说明</w:t>
            </w:r>
          </w:p>
        </w:tc>
      </w:tr>
      <w:tr w14:paraId="255684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36"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26B4F601">
            <w:pPr>
              <w:spacing w:line="360" w:lineRule="auto"/>
              <w:jc w:val="center"/>
              <w:rPr>
                <w:rFonts w:ascii="宋体" w:hAnsi="宋体"/>
                <w:sz w:val="24"/>
                <w:szCs w:val="24"/>
              </w:rPr>
            </w:pPr>
            <w:r>
              <w:rPr>
                <w:rFonts w:hint="eastAsia" w:ascii="宋体" w:hAnsi="宋体" w:cs="宋体"/>
                <w:sz w:val="24"/>
              </w:rPr>
              <w:t>1</w:t>
            </w:r>
          </w:p>
        </w:tc>
        <w:tc>
          <w:tcPr>
            <w:tcW w:w="8305" w:type="dxa"/>
            <w:tcBorders>
              <w:top w:val="single" w:color="auto" w:sz="2" w:space="0"/>
              <w:left w:val="single" w:color="auto" w:sz="2" w:space="0"/>
              <w:bottom w:val="single" w:color="auto" w:sz="2" w:space="0"/>
              <w:right w:val="single" w:color="auto" w:sz="2" w:space="0"/>
            </w:tcBorders>
            <w:vAlign w:val="center"/>
          </w:tcPr>
          <w:p w14:paraId="2A9B6B42">
            <w:pPr>
              <w:shd w:val="clea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rPr>
              <w:t>项目名称：</w:t>
            </w:r>
            <w:r>
              <w:rPr>
                <w:rFonts w:hint="eastAsia" w:ascii="宋体" w:hAnsi="宋体" w:cs="宋体"/>
                <w:color w:val="000000"/>
                <w:sz w:val="24"/>
                <w:szCs w:val="24"/>
                <w:highlight w:val="none"/>
                <w:lang w:eastAsia="zh-CN"/>
              </w:rPr>
              <w:t>中国重汽集团济南特种车有限公司2026年商品车运输及生产移库项目</w:t>
            </w:r>
          </w:p>
          <w:p w14:paraId="00233D5B">
            <w:pPr>
              <w:shd w:val="clear"/>
              <w:spacing w:line="360" w:lineRule="auto"/>
              <w:ind w:firstLine="420" w:firstLineChars="200"/>
              <w:rPr>
                <w:rFonts w:hint="default"/>
                <w:highlight w:val="none"/>
                <w:lang w:val="en-US" w:eastAsia="zh-CN"/>
              </w:rPr>
            </w:pPr>
            <w:r>
              <w:rPr>
                <w:rFonts w:hint="eastAsia"/>
                <w:highlight w:val="none"/>
              </w:rPr>
              <w:t xml:space="preserve"> </w:t>
            </w:r>
            <w:r>
              <w:rPr>
                <w:rFonts w:hint="eastAsia" w:hAnsi="宋体"/>
                <w:b/>
                <w:sz w:val="24"/>
                <w:szCs w:val="24"/>
                <w:highlight w:val="none"/>
              </w:rPr>
              <w:t>本次招标</w:t>
            </w:r>
            <w:r>
              <w:rPr>
                <w:rFonts w:hint="eastAsia" w:hAnsi="宋体"/>
                <w:b/>
                <w:sz w:val="24"/>
                <w:szCs w:val="24"/>
                <w:highlight w:val="none"/>
                <w:lang w:eastAsia="zh-CN"/>
              </w:rPr>
              <w:t>确定</w:t>
            </w:r>
            <w:r>
              <w:rPr>
                <w:rFonts w:hint="eastAsia" w:hAnsi="宋体"/>
                <w:b/>
                <w:sz w:val="24"/>
                <w:szCs w:val="24"/>
                <w:highlight w:val="none"/>
                <w:lang w:val="en-US" w:eastAsia="zh-CN"/>
              </w:rPr>
              <w:t>2026年12月1日</w:t>
            </w:r>
            <w:r>
              <w:rPr>
                <w:rFonts w:hint="eastAsia" w:hAnsi="宋体"/>
                <w:b/>
                <w:sz w:val="24"/>
                <w:szCs w:val="24"/>
                <w:highlight w:val="none"/>
              </w:rPr>
              <w:t>——</w:t>
            </w:r>
            <w:r>
              <w:rPr>
                <w:rFonts w:hint="eastAsia" w:hAnsi="宋体"/>
                <w:b/>
                <w:sz w:val="24"/>
                <w:szCs w:val="24"/>
                <w:highlight w:val="none"/>
                <w:lang w:val="en-US" w:eastAsia="zh-CN"/>
              </w:rPr>
              <w:t>2027</w:t>
            </w:r>
            <w:r>
              <w:rPr>
                <w:rFonts w:hint="eastAsia" w:hAnsi="宋体"/>
                <w:b/>
                <w:sz w:val="24"/>
                <w:szCs w:val="24"/>
                <w:highlight w:val="none"/>
              </w:rPr>
              <w:t>年</w:t>
            </w:r>
            <w:r>
              <w:rPr>
                <w:rFonts w:hint="eastAsia" w:hAnsi="宋体"/>
                <w:b/>
                <w:sz w:val="24"/>
                <w:szCs w:val="24"/>
                <w:highlight w:val="none"/>
                <w:lang w:val="en-US" w:eastAsia="zh-CN"/>
              </w:rPr>
              <w:t>6</w:t>
            </w:r>
            <w:r>
              <w:rPr>
                <w:rFonts w:hint="eastAsia" w:hAnsi="宋体"/>
                <w:b/>
                <w:sz w:val="24"/>
                <w:szCs w:val="24"/>
                <w:highlight w:val="none"/>
              </w:rPr>
              <w:t>月3</w:t>
            </w:r>
            <w:r>
              <w:rPr>
                <w:rFonts w:hint="eastAsia" w:hAnsi="宋体"/>
                <w:b/>
                <w:sz w:val="24"/>
                <w:szCs w:val="24"/>
                <w:highlight w:val="none"/>
                <w:lang w:val="en-US" w:eastAsia="zh-CN"/>
              </w:rPr>
              <w:t>0</w:t>
            </w:r>
            <w:r>
              <w:rPr>
                <w:rFonts w:hint="eastAsia" w:hAnsi="宋体"/>
                <w:b/>
                <w:sz w:val="24"/>
                <w:szCs w:val="24"/>
                <w:highlight w:val="none"/>
              </w:rPr>
              <w:t>日的合同期，各</w:t>
            </w:r>
            <w:r>
              <w:rPr>
                <w:rFonts w:hint="eastAsia" w:hAnsi="宋体"/>
                <w:b/>
                <w:sz w:val="24"/>
                <w:szCs w:val="24"/>
                <w:highlight w:val="none"/>
                <w:lang w:val="en-US" w:eastAsia="zh-CN"/>
              </w:rPr>
              <w:t>包次</w:t>
            </w:r>
            <w:r>
              <w:rPr>
                <w:rFonts w:hint="eastAsia" w:hAnsi="宋体"/>
                <w:b/>
                <w:sz w:val="24"/>
                <w:szCs w:val="24"/>
                <w:highlight w:val="none"/>
              </w:rPr>
              <w:t>确定</w:t>
            </w:r>
            <w:r>
              <w:rPr>
                <w:rFonts w:hint="eastAsia" w:hAnsi="宋体"/>
                <w:b/>
                <w:sz w:val="24"/>
                <w:szCs w:val="24"/>
                <w:highlight w:val="none"/>
                <w:lang w:val="en-US" w:eastAsia="zh-CN"/>
              </w:rPr>
              <w:t>两家中标单位及一家备选单位，当中标单位无法按照约定执行时，由备选方履约，价格执行中标单位价格</w:t>
            </w:r>
            <w:r>
              <w:rPr>
                <w:rFonts w:hint="eastAsia" w:hAnsi="宋体"/>
                <w:b/>
                <w:sz w:val="24"/>
                <w:szCs w:val="24"/>
                <w:highlight w:val="none"/>
                <w:lang w:eastAsia="zh-CN"/>
              </w:rPr>
              <w:t>。</w:t>
            </w:r>
          </w:p>
        </w:tc>
      </w:tr>
      <w:tr w14:paraId="06D440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263"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39E8F0F2">
            <w:pPr>
              <w:spacing w:line="360" w:lineRule="auto"/>
              <w:jc w:val="center"/>
              <w:rPr>
                <w:rFonts w:ascii="宋体" w:hAnsi="宋体"/>
                <w:sz w:val="24"/>
                <w:szCs w:val="24"/>
              </w:rPr>
            </w:pPr>
            <w:r>
              <w:rPr>
                <w:rFonts w:hint="eastAsia" w:ascii="宋体" w:hAnsi="宋体" w:cs="宋体"/>
                <w:sz w:val="24"/>
              </w:rPr>
              <w:t>2</w:t>
            </w:r>
          </w:p>
        </w:tc>
        <w:tc>
          <w:tcPr>
            <w:tcW w:w="8305" w:type="dxa"/>
            <w:tcBorders>
              <w:top w:val="single" w:color="auto" w:sz="2" w:space="0"/>
              <w:left w:val="single" w:color="auto" w:sz="2" w:space="0"/>
              <w:bottom w:val="single" w:color="auto" w:sz="2" w:space="0"/>
              <w:right w:val="single" w:color="auto" w:sz="2" w:space="0"/>
            </w:tcBorders>
            <w:vAlign w:val="center"/>
          </w:tcPr>
          <w:p w14:paraId="72BD1793">
            <w:pPr>
              <w:spacing w:line="360" w:lineRule="auto"/>
              <w:ind w:firstLine="480" w:firstLineChars="200"/>
              <w:rPr>
                <w:rFonts w:ascii="宋体" w:hAnsi="宋体"/>
                <w:bCs/>
                <w:snapToGrid w:val="0"/>
                <w:kern w:val="0"/>
                <w:sz w:val="24"/>
                <w:highlight w:val="none"/>
              </w:rPr>
            </w:pPr>
            <w:r>
              <w:rPr>
                <w:rFonts w:hint="eastAsia" w:ascii="宋体" w:hAnsi="宋体"/>
                <w:bCs/>
                <w:snapToGrid w:val="0"/>
                <w:kern w:val="0"/>
                <w:sz w:val="24"/>
                <w:highlight w:val="none"/>
              </w:rPr>
              <w:t>招标人名称：</w:t>
            </w:r>
            <w:r>
              <w:rPr>
                <w:rFonts w:hint="eastAsia" w:ascii="宋体" w:hAnsi="宋体" w:cs="宋体"/>
                <w:color w:val="000000"/>
                <w:sz w:val="24"/>
                <w:szCs w:val="24"/>
                <w:highlight w:val="none"/>
              </w:rPr>
              <w:t>中国</w:t>
            </w:r>
            <w:r>
              <w:rPr>
                <w:rFonts w:hint="eastAsia" w:ascii="宋体" w:hAnsi="宋体" w:cs="宋体"/>
                <w:color w:val="000000"/>
                <w:sz w:val="24"/>
                <w:szCs w:val="24"/>
                <w:highlight w:val="none"/>
                <w:lang w:val="en-US" w:eastAsia="zh-CN"/>
              </w:rPr>
              <w:t>重型汽车集团</w:t>
            </w:r>
            <w:r>
              <w:rPr>
                <w:rFonts w:hint="eastAsia" w:ascii="宋体" w:hAnsi="宋体" w:cs="宋体"/>
                <w:color w:val="000000"/>
                <w:sz w:val="24"/>
                <w:szCs w:val="24"/>
                <w:highlight w:val="none"/>
              </w:rPr>
              <w:t>有限公司</w:t>
            </w:r>
            <w:r>
              <w:rPr>
                <w:rFonts w:hint="eastAsia" w:ascii="宋体" w:hAnsi="宋体"/>
                <w:bCs/>
                <w:snapToGrid w:val="0"/>
                <w:kern w:val="0"/>
                <w:sz w:val="24"/>
                <w:highlight w:val="none"/>
              </w:rPr>
              <w:t xml:space="preserve"> </w:t>
            </w:r>
          </w:p>
          <w:p w14:paraId="0D95D532">
            <w:pPr>
              <w:spacing w:line="360" w:lineRule="auto"/>
              <w:ind w:firstLine="480" w:firstLineChars="200"/>
              <w:rPr>
                <w:rFonts w:hint="default" w:ascii="宋体" w:hAnsi="宋体"/>
                <w:bCs/>
                <w:snapToGrid w:val="0"/>
                <w:kern w:val="0"/>
                <w:sz w:val="24"/>
                <w:highlight w:val="none"/>
                <w:lang w:val="en-US" w:eastAsia="zh-CN"/>
              </w:rPr>
            </w:pPr>
            <w:r>
              <w:rPr>
                <w:rFonts w:hint="eastAsia" w:ascii="宋体" w:hAnsi="宋体"/>
                <w:bCs/>
                <w:snapToGrid w:val="0"/>
                <w:kern w:val="0"/>
                <w:sz w:val="24"/>
                <w:highlight w:val="none"/>
              </w:rPr>
              <w:t>联系人：</w:t>
            </w:r>
            <w:r>
              <w:rPr>
                <w:rFonts w:hint="eastAsia" w:ascii="宋体" w:hAnsi="宋体"/>
                <w:bCs/>
                <w:snapToGrid w:val="0"/>
                <w:kern w:val="0"/>
                <w:sz w:val="24"/>
                <w:highlight w:val="none"/>
                <w:lang w:val="en-US" w:eastAsia="zh-CN"/>
              </w:rPr>
              <w:t xml:space="preserve"> 黄家诚</w:t>
            </w:r>
          </w:p>
          <w:p w14:paraId="1C115755">
            <w:pPr>
              <w:spacing w:line="360" w:lineRule="auto"/>
              <w:ind w:firstLine="480" w:firstLineChars="200"/>
              <w:rPr>
                <w:rFonts w:hint="eastAsia" w:ascii="宋体" w:hAnsi="宋体"/>
                <w:bCs/>
                <w:snapToGrid w:val="0"/>
                <w:kern w:val="0"/>
                <w:sz w:val="24"/>
                <w:highlight w:val="none"/>
                <w:lang w:val="en-US" w:eastAsia="zh-CN"/>
              </w:rPr>
            </w:pPr>
            <w:r>
              <w:rPr>
                <w:rFonts w:hint="eastAsia" w:ascii="宋体" w:hAnsi="宋体"/>
                <w:bCs/>
                <w:snapToGrid w:val="0"/>
                <w:kern w:val="0"/>
                <w:sz w:val="24"/>
                <w:highlight w:val="none"/>
              </w:rPr>
              <w:t>电  话：13066009361</w:t>
            </w:r>
          </w:p>
          <w:p w14:paraId="50867BC9">
            <w:pPr>
              <w:spacing w:line="360" w:lineRule="auto"/>
              <w:ind w:firstLine="480" w:firstLineChars="200"/>
              <w:rPr>
                <w:rFonts w:hint="eastAsia" w:ascii="宋体" w:hAnsi="宋体" w:eastAsia="宋体"/>
                <w:b w:val="0"/>
                <w:bCs/>
                <w:snapToGrid w:val="0"/>
                <w:kern w:val="0"/>
                <w:sz w:val="24"/>
                <w:highlight w:val="yellow"/>
                <w:lang w:val="en-US" w:eastAsia="zh-CN"/>
              </w:rPr>
            </w:pPr>
            <w:r>
              <w:rPr>
                <w:rFonts w:hint="eastAsia" w:ascii="宋体" w:hAnsi="宋体"/>
                <w:b w:val="0"/>
                <w:bCs/>
                <w:snapToGrid w:val="0"/>
                <w:kern w:val="0"/>
                <w:sz w:val="24"/>
                <w:highlight w:val="yellow"/>
                <w:lang w:val="en-US" w:eastAsia="zh-CN"/>
              </w:rPr>
              <w:t>商务</w:t>
            </w:r>
            <w:r>
              <w:rPr>
                <w:rFonts w:hint="eastAsia" w:ascii="宋体" w:hAnsi="宋体"/>
                <w:b w:val="0"/>
                <w:bCs/>
                <w:snapToGrid w:val="0"/>
                <w:kern w:val="0"/>
                <w:sz w:val="24"/>
                <w:highlight w:val="yellow"/>
              </w:rPr>
              <w:t>联系人：</w:t>
            </w:r>
            <w:r>
              <w:rPr>
                <w:rFonts w:hint="eastAsia" w:ascii="宋体" w:hAnsi="宋体"/>
                <w:b w:val="0"/>
                <w:bCs/>
                <w:snapToGrid w:val="0"/>
                <w:kern w:val="0"/>
                <w:sz w:val="24"/>
                <w:highlight w:val="yellow"/>
                <w:lang w:val="en-US" w:eastAsia="zh-CN"/>
              </w:rPr>
              <w:t>李帅威</w:t>
            </w:r>
          </w:p>
          <w:p w14:paraId="051F2937">
            <w:pPr>
              <w:autoSpaceDE w:val="0"/>
              <w:autoSpaceDN w:val="0"/>
              <w:adjustRightInd w:val="0"/>
              <w:snapToGrid w:val="0"/>
              <w:spacing w:line="360" w:lineRule="auto"/>
              <w:ind w:firstLine="480" w:firstLineChars="200"/>
              <w:jc w:val="left"/>
              <w:rPr>
                <w:rFonts w:hint="default" w:eastAsia="宋体"/>
                <w:highlight w:val="none"/>
                <w:lang w:val="en-US" w:eastAsia="zh-CN"/>
              </w:rPr>
            </w:pPr>
            <w:r>
              <w:rPr>
                <w:rFonts w:hint="eastAsia" w:ascii="宋体" w:hAnsi="宋体"/>
                <w:bCs/>
                <w:snapToGrid w:val="0"/>
                <w:kern w:val="0"/>
                <w:sz w:val="24"/>
                <w:highlight w:val="none"/>
              </w:rPr>
              <w:t>电  话：</w:t>
            </w:r>
            <w:r>
              <w:rPr>
                <w:rFonts w:hint="eastAsia" w:ascii="宋体" w:hAnsi="宋体"/>
                <w:bCs/>
                <w:snapToGrid w:val="0"/>
                <w:kern w:val="0"/>
                <w:sz w:val="24"/>
                <w:highlight w:val="none"/>
                <w:lang w:val="en-US" w:eastAsia="zh-CN"/>
              </w:rPr>
              <w:t>17860605079</w:t>
            </w:r>
          </w:p>
          <w:p w14:paraId="4B306B2B">
            <w:pPr>
              <w:pStyle w:val="6"/>
              <w:rPr>
                <w:rFonts w:hint="default"/>
                <w:highlight w:val="none"/>
                <w:lang w:val="en-US" w:eastAsia="zh-CN"/>
              </w:rPr>
            </w:pPr>
          </w:p>
        </w:tc>
      </w:tr>
      <w:tr w14:paraId="63DD5B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0"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06BD7EAB">
            <w:pPr>
              <w:spacing w:line="360" w:lineRule="auto"/>
              <w:jc w:val="center"/>
              <w:rPr>
                <w:rFonts w:ascii="宋体" w:hAnsi="宋体"/>
                <w:sz w:val="24"/>
                <w:szCs w:val="24"/>
              </w:rPr>
            </w:pPr>
            <w:r>
              <w:rPr>
                <w:rFonts w:hint="eastAsia" w:ascii="宋体" w:hAnsi="宋体" w:cs="宋体"/>
                <w:sz w:val="24"/>
              </w:rPr>
              <w:t>3</w:t>
            </w:r>
          </w:p>
        </w:tc>
        <w:tc>
          <w:tcPr>
            <w:tcW w:w="8305" w:type="dxa"/>
            <w:tcBorders>
              <w:top w:val="single" w:color="auto" w:sz="2" w:space="0"/>
              <w:left w:val="single" w:color="auto" w:sz="2" w:space="0"/>
              <w:bottom w:val="single" w:color="auto" w:sz="2" w:space="0"/>
              <w:right w:val="single" w:color="auto" w:sz="2" w:space="0"/>
            </w:tcBorders>
            <w:vAlign w:val="center"/>
          </w:tcPr>
          <w:p w14:paraId="74D13DEF">
            <w:pPr>
              <w:spacing w:line="360" w:lineRule="auto"/>
              <w:ind w:firstLine="480" w:firstLineChars="200"/>
              <w:rPr>
                <w:rFonts w:ascii="宋体" w:hAnsi="宋体" w:cs="宋体"/>
                <w:sz w:val="24"/>
                <w:szCs w:val="24"/>
              </w:rPr>
            </w:pPr>
            <w:r>
              <w:rPr>
                <w:rFonts w:hint="eastAsia" w:ascii="宋体" w:hAnsi="宋体"/>
                <w:bCs/>
                <w:snapToGrid w:val="0"/>
                <w:kern w:val="0"/>
                <w:sz w:val="24"/>
              </w:rPr>
              <w:t>招标代理机构</w:t>
            </w:r>
            <w:r>
              <w:rPr>
                <w:rFonts w:hint="eastAsia" w:ascii="宋体" w:hAnsi="宋体"/>
                <w:sz w:val="24"/>
              </w:rPr>
              <w:t>：</w:t>
            </w:r>
            <w:r>
              <w:rPr>
                <w:rFonts w:ascii="宋体" w:hAnsi="宋体"/>
                <w:sz w:val="24"/>
              </w:rPr>
              <w:t xml:space="preserve"> </w:t>
            </w:r>
            <w:r>
              <w:rPr>
                <w:rFonts w:hint="eastAsia" w:ascii="宋体" w:hAnsi="宋体"/>
                <w:sz w:val="24"/>
              </w:rPr>
              <w:t>无</w:t>
            </w:r>
          </w:p>
        </w:tc>
      </w:tr>
      <w:tr w14:paraId="4C001B7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74"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5592089D">
            <w:pPr>
              <w:spacing w:line="360" w:lineRule="auto"/>
              <w:jc w:val="center"/>
              <w:rPr>
                <w:rFonts w:ascii="宋体" w:hAnsi="宋体"/>
                <w:sz w:val="24"/>
                <w:szCs w:val="24"/>
              </w:rPr>
            </w:pPr>
            <w:r>
              <w:rPr>
                <w:rFonts w:hint="eastAsia" w:ascii="宋体" w:hAnsi="宋体" w:cs="宋体"/>
                <w:sz w:val="24"/>
              </w:rPr>
              <w:t>4</w:t>
            </w:r>
          </w:p>
        </w:tc>
        <w:tc>
          <w:tcPr>
            <w:tcW w:w="8305" w:type="dxa"/>
            <w:tcBorders>
              <w:top w:val="single" w:color="auto" w:sz="2" w:space="0"/>
              <w:left w:val="single" w:color="auto" w:sz="2" w:space="0"/>
              <w:bottom w:val="single" w:color="auto" w:sz="2" w:space="0"/>
              <w:right w:val="single" w:color="auto" w:sz="2" w:space="0"/>
            </w:tcBorders>
            <w:vAlign w:val="center"/>
          </w:tcPr>
          <w:p w14:paraId="514090C9">
            <w:pPr>
              <w:spacing w:line="360" w:lineRule="auto"/>
              <w:ind w:firstLine="480" w:firstLineChars="200"/>
              <w:rPr>
                <w:rFonts w:ascii="宋体" w:hAnsi="宋体"/>
                <w:sz w:val="24"/>
                <w:szCs w:val="24"/>
              </w:rPr>
            </w:pPr>
            <w:r>
              <w:rPr>
                <w:rFonts w:hint="eastAsia" w:ascii="宋体" w:hAnsi="宋体" w:cs="宋体"/>
                <w:sz w:val="24"/>
              </w:rPr>
              <w:t>资金来源：</w:t>
            </w:r>
            <w:r>
              <w:rPr>
                <w:rFonts w:hint="eastAsia" w:ascii="宋体" w:hAnsi="宋体"/>
                <w:kern w:val="0"/>
                <w:sz w:val="24"/>
              </w:rPr>
              <w:t>企业自筹</w:t>
            </w:r>
          </w:p>
        </w:tc>
      </w:tr>
      <w:tr w14:paraId="4D21243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7BC6AAE7">
            <w:pPr>
              <w:spacing w:line="360" w:lineRule="auto"/>
              <w:jc w:val="center"/>
              <w:rPr>
                <w:rFonts w:ascii="宋体" w:hAnsi="宋体"/>
                <w:sz w:val="24"/>
                <w:szCs w:val="24"/>
              </w:rPr>
            </w:pPr>
            <w:r>
              <w:rPr>
                <w:rFonts w:hint="eastAsia" w:ascii="宋体" w:hAnsi="宋体" w:cs="宋体"/>
                <w:sz w:val="24"/>
              </w:rPr>
              <w:t>5</w:t>
            </w:r>
          </w:p>
        </w:tc>
        <w:tc>
          <w:tcPr>
            <w:tcW w:w="8305" w:type="dxa"/>
            <w:tcBorders>
              <w:top w:val="single" w:color="auto" w:sz="2" w:space="0"/>
              <w:left w:val="single" w:color="auto" w:sz="2" w:space="0"/>
              <w:bottom w:val="single" w:color="auto" w:sz="2" w:space="0"/>
              <w:right w:val="single" w:color="auto" w:sz="2" w:space="0"/>
            </w:tcBorders>
            <w:vAlign w:val="center"/>
          </w:tcPr>
          <w:p w14:paraId="5A0FC79B">
            <w:pPr>
              <w:pStyle w:val="7"/>
              <w:spacing w:after="0" w:line="360" w:lineRule="auto"/>
              <w:ind w:firstLine="480" w:firstLineChars="200"/>
              <w:rPr>
                <w:rFonts w:ascii="宋体" w:hAnsi="宋体"/>
                <w:sz w:val="24"/>
              </w:rPr>
            </w:pPr>
            <w:r>
              <w:rPr>
                <w:rFonts w:hint="eastAsia" w:ascii="宋体" w:hAnsi="宋体"/>
                <w:sz w:val="24"/>
              </w:rPr>
              <w:t>合格投标人：</w:t>
            </w:r>
          </w:p>
          <w:p w14:paraId="57171619">
            <w:pPr>
              <w:spacing w:line="360" w:lineRule="auto"/>
              <w:ind w:firstLine="480"/>
              <w:rPr>
                <w:rFonts w:ascii="宋体" w:hAnsi="宋体"/>
                <w:sz w:val="24"/>
              </w:rPr>
            </w:pPr>
            <w:r>
              <w:rPr>
                <w:rFonts w:hint="eastAsia" w:ascii="宋体" w:hAnsi="宋体"/>
                <w:sz w:val="24"/>
              </w:rPr>
              <w:t>同第一章招标公告第三条“投标人资格要求”</w:t>
            </w:r>
          </w:p>
        </w:tc>
      </w:tr>
      <w:tr w14:paraId="24A0A4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796099F">
            <w:pPr>
              <w:spacing w:line="360" w:lineRule="auto"/>
              <w:jc w:val="center"/>
              <w:rPr>
                <w:rFonts w:ascii="宋体" w:hAnsi="宋体"/>
                <w:b/>
                <w:bCs/>
                <w:sz w:val="24"/>
                <w:szCs w:val="24"/>
              </w:rPr>
            </w:pPr>
            <w:r>
              <w:rPr>
                <w:rFonts w:hint="eastAsia" w:ascii="宋体" w:hAnsi="宋体" w:cs="宋体"/>
                <w:b/>
                <w:bCs/>
                <w:sz w:val="24"/>
              </w:rPr>
              <w:t>招标文件的答疑、澄清和修改</w:t>
            </w:r>
          </w:p>
        </w:tc>
      </w:tr>
      <w:tr w14:paraId="11EE4E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0"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43A8F70D">
            <w:pPr>
              <w:spacing w:line="360" w:lineRule="auto"/>
              <w:jc w:val="center"/>
              <w:rPr>
                <w:rFonts w:ascii="宋体" w:hAnsi="宋体"/>
                <w:sz w:val="24"/>
                <w:szCs w:val="24"/>
              </w:rPr>
            </w:pPr>
            <w:r>
              <w:rPr>
                <w:rFonts w:hint="eastAsia" w:ascii="宋体" w:hAnsi="宋体" w:cs="宋体"/>
                <w:sz w:val="24"/>
              </w:rPr>
              <w:t>6</w:t>
            </w:r>
          </w:p>
        </w:tc>
        <w:tc>
          <w:tcPr>
            <w:tcW w:w="8305" w:type="dxa"/>
            <w:tcBorders>
              <w:top w:val="single" w:color="auto" w:sz="2" w:space="0"/>
              <w:left w:val="single" w:color="auto" w:sz="2" w:space="0"/>
              <w:bottom w:val="single" w:color="auto" w:sz="2" w:space="0"/>
              <w:right w:val="single" w:color="auto" w:sz="2" w:space="0"/>
            </w:tcBorders>
            <w:vAlign w:val="center"/>
          </w:tcPr>
          <w:p w14:paraId="191A0EAD">
            <w:pPr>
              <w:snapToGrid w:val="0"/>
              <w:spacing w:line="360" w:lineRule="auto"/>
              <w:ind w:firstLine="480" w:firstLineChars="200"/>
              <w:rPr>
                <w:rFonts w:ascii="宋体" w:hAnsi="宋体"/>
                <w:sz w:val="24"/>
                <w:szCs w:val="24"/>
                <w:highlight w:val="none"/>
              </w:rPr>
            </w:pPr>
            <w:r>
              <w:rPr>
                <w:rFonts w:hint="eastAsia" w:ascii="宋体" w:hAnsi="宋体" w:cs="宋体"/>
                <w:sz w:val="24"/>
              </w:rPr>
              <w:t>提</w:t>
            </w:r>
            <w:r>
              <w:rPr>
                <w:rFonts w:hint="eastAsia" w:ascii="宋体" w:hAnsi="宋体" w:cs="宋体"/>
                <w:sz w:val="24"/>
                <w:highlight w:val="none"/>
              </w:rPr>
              <w:t>交疑问时间：</w:t>
            </w:r>
            <w:r>
              <w:rPr>
                <w:rFonts w:hint="eastAsia"/>
                <w:b/>
                <w:sz w:val="24"/>
                <w:highlight w:val="none"/>
                <w:u w:val="single"/>
              </w:rPr>
              <w:t xml:space="preserve">  </w:t>
            </w:r>
            <w:r>
              <w:rPr>
                <w:rFonts w:hint="eastAsia"/>
                <w:b/>
                <w:sz w:val="24"/>
                <w:highlight w:val="none"/>
                <w:u w:val="single"/>
                <w:lang w:eastAsia="zh-CN"/>
              </w:rPr>
              <w:t>2026</w:t>
            </w:r>
            <w:r>
              <w:rPr>
                <w:rFonts w:hint="eastAsia"/>
                <w:b/>
                <w:sz w:val="24"/>
                <w:highlight w:val="none"/>
                <w:u w:val="single"/>
              </w:rPr>
              <w:t xml:space="preserve"> 年</w:t>
            </w:r>
            <w:r>
              <w:rPr>
                <w:rFonts w:hint="eastAsia"/>
                <w:b/>
                <w:sz w:val="24"/>
                <w:highlight w:val="yellow"/>
                <w:u w:val="single"/>
                <w:lang w:val="en-US" w:eastAsia="zh-CN"/>
              </w:rPr>
              <w:t>10</w:t>
            </w:r>
            <w:r>
              <w:rPr>
                <w:rFonts w:hint="eastAsia"/>
                <w:b/>
                <w:sz w:val="24"/>
                <w:highlight w:val="yellow"/>
                <w:u w:val="single"/>
                <w:lang w:eastAsia="zh-CN"/>
              </w:rPr>
              <w:t>月</w:t>
            </w:r>
            <w:r>
              <w:rPr>
                <w:rFonts w:hint="eastAsia"/>
                <w:b/>
                <w:sz w:val="24"/>
                <w:highlight w:val="yellow"/>
                <w:u w:val="single"/>
                <w:lang w:val="en-US" w:eastAsia="zh-CN"/>
              </w:rPr>
              <w:t>30</w:t>
            </w:r>
            <w:r>
              <w:rPr>
                <w:rFonts w:hint="eastAsia"/>
                <w:b/>
                <w:sz w:val="24"/>
                <w:highlight w:val="yellow"/>
                <w:u w:val="single"/>
                <w:lang w:eastAsia="zh-CN"/>
              </w:rPr>
              <w:t>日</w:t>
            </w:r>
            <w:r>
              <w:rPr>
                <w:rFonts w:hint="eastAsia"/>
                <w:b/>
                <w:sz w:val="24"/>
                <w:highlight w:val="none"/>
                <w:u w:val="single"/>
                <w:lang w:val="en-US" w:eastAsia="zh-CN"/>
              </w:rPr>
              <w:t>17时0分</w:t>
            </w:r>
            <w:r>
              <w:rPr>
                <w:rFonts w:hint="eastAsia"/>
                <w:b/>
                <w:sz w:val="24"/>
                <w:highlight w:val="none"/>
                <w:u w:val="single"/>
                <w:lang w:eastAsia="zh-CN"/>
              </w:rPr>
              <w:t>前。</w:t>
            </w:r>
          </w:p>
          <w:p w14:paraId="37CC8C68">
            <w:pPr>
              <w:snapToGrid w:val="0"/>
              <w:spacing w:line="360" w:lineRule="auto"/>
              <w:ind w:firstLine="480" w:firstLineChars="200"/>
              <w:jc w:val="left"/>
              <w:rPr>
                <w:rFonts w:ascii="宋体" w:hAnsi="宋体"/>
                <w:b/>
                <w:sz w:val="24"/>
                <w:u w:val="single"/>
              </w:rPr>
            </w:pPr>
            <w:r>
              <w:rPr>
                <w:rFonts w:hint="eastAsia" w:ascii="宋体" w:hAnsi="宋体" w:cs="宋体"/>
                <w:sz w:val="24"/>
                <w:highlight w:val="none"/>
              </w:rPr>
              <w:t>提交疑问方式：</w:t>
            </w:r>
            <w:r>
              <w:rPr>
                <w:highlight w:val="none"/>
              </w:rPr>
              <w:fldChar w:fldCharType="begin"/>
            </w:r>
            <w:r>
              <w:rPr>
                <w:highlight w:val="none"/>
              </w:rPr>
              <w:instrText xml:space="preserve"> HYPERLINK "mailto:将答疑问题发邮件至15762268551@139.com%20" </w:instrText>
            </w:r>
            <w:r>
              <w:rPr>
                <w:highlight w:val="none"/>
              </w:rPr>
              <w:fldChar w:fldCharType="separate"/>
            </w:r>
            <w:r>
              <w:rPr>
                <w:rFonts w:hint="eastAsia" w:ascii="宋体" w:hAnsi="宋体" w:cs="宋体"/>
                <w:sz w:val="24"/>
                <w:highlight w:val="none"/>
              </w:rPr>
              <w:t>将答疑问题发邮件至</w:t>
            </w:r>
            <w:r>
              <w:rPr>
                <w:rFonts w:hint="eastAsia" w:ascii="宋体" w:hAnsi="宋体" w:eastAsia="宋体" w:cs="宋体"/>
                <w:sz w:val="24"/>
                <w:szCs w:val="24"/>
                <w:highlight w:val="yellow"/>
              </w:rPr>
              <w:t>huangjiacheng@sinotruk.com</w:t>
            </w:r>
            <w:r>
              <w:rPr>
                <w:rFonts w:hint="eastAsia" w:ascii="宋体" w:hAnsi="宋体" w:cs="宋体"/>
                <w:sz w:val="24"/>
                <w:highlight w:val="none"/>
              </w:rPr>
              <w:fldChar w:fldCharType="end"/>
            </w:r>
            <w:r>
              <w:rPr>
                <w:rFonts w:hint="eastAsia" w:ascii="宋体" w:hAnsi="宋体" w:cs="宋体"/>
                <w:sz w:val="24"/>
                <w:highlight w:val="none"/>
              </w:rPr>
              <w:t xml:space="preserve">并电话通知招标人。 </w:t>
            </w:r>
            <w:r>
              <w:rPr>
                <w:rFonts w:hint="eastAsia" w:ascii="宋体" w:hAnsi="宋体"/>
                <w:b/>
                <w:sz w:val="24"/>
                <w:highlight w:val="none"/>
              </w:rPr>
              <w:t xml:space="preserve">      </w:t>
            </w:r>
            <w:r>
              <w:rPr>
                <w:rFonts w:hint="eastAsia" w:ascii="宋体" w:hAnsi="宋体"/>
                <w:b/>
                <w:sz w:val="24"/>
              </w:rPr>
              <w:t xml:space="preserve">                          </w:t>
            </w:r>
          </w:p>
        </w:tc>
      </w:tr>
      <w:tr w14:paraId="080832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3DD0D79D">
            <w:pPr>
              <w:spacing w:line="360" w:lineRule="auto"/>
              <w:jc w:val="center"/>
              <w:rPr>
                <w:rFonts w:ascii="宋体" w:hAnsi="宋体"/>
                <w:sz w:val="24"/>
                <w:szCs w:val="24"/>
              </w:rPr>
            </w:pPr>
            <w:r>
              <w:rPr>
                <w:rFonts w:hint="eastAsia" w:ascii="宋体" w:hAnsi="宋体" w:cs="宋体"/>
                <w:sz w:val="24"/>
              </w:rPr>
              <w:t>7</w:t>
            </w:r>
          </w:p>
        </w:tc>
        <w:tc>
          <w:tcPr>
            <w:tcW w:w="8305" w:type="dxa"/>
            <w:tcBorders>
              <w:top w:val="single" w:color="auto" w:sz="2" w:space="0"/>
              <w:left w:val="single" w:color="auto" w:sz="2" w:space="0"/>
              <w:bottom w:val="single" w:color="auto" w:sz="2" w:space="0"/>
              <w:right w:val="single" w:color="auto" w:sz="2" w:space="0"/>
            </w:tcBorders>
            <w:vAlign w:val="center"/>
          </w:tcPr>
          <w:p w14:paraId="43FC05AF">
            <w:pPr>
              <w:spacing w:line="360" w:lineRule="auto"/>
              <w:ind w:firstLine="480" w:firstLineChars="200"/>
              <w:rPr>
                <w:rFonts w:ascii="宋体" w:hAnsi="宋体"/>
                <w:sz w:val="24"/>
                <w:szCs w:val="24"/>
              </w:rPr>
            </w:pPr>
            <w:r>
              <w:rPr>
                <w:rFonts w:hint="eastAsia" w:ascii="宋体" w:hAnsi="宋体"/>
                <w:sz w:val="24"/>
              </w:rPr>
              <w:t>答疑、澄清和修改文件方式：招标人将以电子邮件的方式将招标文件的答疑澄清文件发送至投标报名时登记的电子邮箱</w:t>
            </w:r>
          </w:p>
        </w:tc>
      </w:tr>
      <w:tr w14:paraId="3F266E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CBCAE03">
            <w:pPr>
              <w:spacing w:line="360" w:lineRule="auto"/>
              <w:jc w:val="center"/>
              <w:rPr>
                <w:rFonts w:ascii="宋体" w:hAnsi="宋体"/>
                <w:b/>
                <w:bCs/>
                <w:sz w:val="24"/>
                <w:szCs w:val="24"/>
              </w:rPr>
            </w:pPr>
            <w:r>
              <w:rPr>
                <w:rFonts w:hint="eastAsia" w:ascii="宋体" w:hAnsi="宋体" w:cs="宋体"/>
                <w:b/>
                <w:bCs/>
                <w:sz w:val="24"/>
              </w:rPr>
              <w:t>投标文件</w:t>
            </w:r>
          </w:p>
        </w:tc>
      </w:tr>
      <w:tr w14:paraId="626313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5C0C58E5">
            <w:pPr>
              <w:spacing w:line="360" w:lineRule="auto"/>
              <w:jc w:val="center"/>
              <w:rPr>
                <w:rFonts w:ascii="宋体" w:hAnsi="宋体"/>
                <w:sz w:val="24"/>
                <w:szCs w:val="24"/>
              </w:rPr>
            </w:pPr>
            <w:r>
              <w:rPr>
                <w:rFonts w:hint="eastAsia" w:ascii="宋体" w:hAnsi="宋体" w:cs="宋体"/>
                <w:sz w:val="24"/>
              </w:rPr>
              <w:t>8</w:t>
            </w:r>
          </w:p>
        </w:tc>
        <w:tc>
          <w:tcPr>
            <w:tcW w:w="8305" w:type="dxa"/>
            <w:tcBorders>
              <w:top w:val="single" w:color="auto" w:sz="2" w:space="0"/>
              <w:left w:val="single" w:color="auto" w:sz="2" w:space="0"/>
              <w:bottom w:val="single" w:color="auto" w:sz="2" w:space="0"/>
              <w:right w:val="single" w:color="auto" w:sz="2" w:space="0"/>
            </w:tcBorders>
            <w:vAlign w:val="center"/>
          </w:tcPr>
          <w:p w14:paraId="3ED5005E">
            <w:pPr>
              <w:spacing w:line="360" w:lineRule="auto"/>
              <w:ind w:firstLine="480" w:firstLineChars="200"/>
              <w:rPr>
                <w:rFonts w:ascii="宋体" w:hAnsi="宋体"/>
                <w:sz w:val="24"/>
                <w:szCs w:val="24"/>
              </w:rPr>
            </w:pPr>
            <w:r>
              <w:rPr>
                <w:rFonts w:hint="eastAsia" w:ascii="宋体" w:hAnsi="宋体" w:cs="宋体"/>
                <w:sz w:val="24"/>
              </w:rPr>
              <w:t>“投标文件组成”详见“投标人须知”第9条。</w:t>
            </w:r>
          </w:p>
        </w:tc>
      </w:tr>
      <w:tr w14:paraId="654E0E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68B860D5">
            <w:pPr>
              <w:spacing w:line="360" w:lineRule="auto"/>
              <w:jc w:val="center"/>
              <w:rPr>
                <w:rFonts w:ascii="宋体" w:hAnsi="宋体"/>
                <w:sz w:val="24"/>
                <w:szCs w:val="24"/>
              </w:rPr>
            </w:pPr>
            <w:r>
              <w:rPr>
                <w:rFonts w:hint="eastAsia" w:ascii="宋体" w:hAnsi="宋体" w:cs="宋体"/>
                <w:sz w:val="24"/>
              </w:rPr>
              <w:t>9</w:t>
            </w:r>
          </w:p>
        </w:tc>
        <w:tc>
          <w:tcPr>
            <w:tcW w:w="8305" w:type="dxa"/>
            <w:tcBorders>
              <w:top w:val="single" w:color="auto" w:sz="2" w:space="0"/>
              <w:left w:val="single" w:color="auto" w:sz="2" w:space="0"/>
              <w:bottom w:val="single" w:color="auto" w:sz="2" w:space="0"/>
              <w:right w:val="single" w:color="auto" w:sz="2" w:space="0"/>
            </w:tcBorders>
            <w:vAlign w:val="center"/>
          </w:tcPr>
          <w:p w14:paraId="22A96724">
            <w:pPr>
              <w:pStyle w:val="8"/>
              <w:spacing w:after="0" w:line="360" w:lineRule="auto"/>
              <w:ind w:firstLine="480"/>
              <w:rPr>
                <w:rFonts w:ascii="宋体" w:hAnsi="宋体"/>
                <w:sz w:val="24"/>
                <w:szCs w:val="24"/>
              </w:rPr>
            </w:pPr>
            <w:r>
              <w:rPr>
                <w:rFonts w:hint="eastAsia" w:ascii="宋体" w:hAnsi="宋体" w:cs="宋体"/>
                <w:sz w:val="24"/>
              </w:rPr>
              <w:t>投标文件份数：</w:t>
            </w:r>
          </w:p>
          <w:p w14:paraId="6A8939F9">
            <w:pPr>
              <w:pStyle w:val="8"/>
              <w:numPr>
                <w:ilvl w:val="0"/>
                <w:numId w:val="7"/>
              </w:numPr>
              <w:spacing w:after="0" w:line="360" w:lineRule="auto"/>
              <w:ind w:firstLine="480"/>
              <w:rPr>
                <w:rFonts w:ascii="宋体" w:hAnsi="宋体" w:cs="宋体"/>
                <w:sz w:val="24"/>
              </w:rPr>
            </w:pPr>
            <w:r>
              <w:rPr>
                <w:rFonts w:hint="eastAsia" w:ascii="宋体" w:hAnsi="宋体" w:cs="宋体"/>
                <w:sz w:val="24"/>
              </w:rPr>
              <w:t>资格审查文件一份，单独密封；</w:t>
            </w:r>
          </w:p>
          <w:p w14:paraId="675C1C69">
            <w:pPr>
              <w:pStyle w:val="8"/>
              <w:numPr>
                <w:ilvl w:val="0"/>
                <w:numId w:val="7"/>
              </w:numPr>
              <w:spacing w:after="0" w:line="360" w:lineRule="auto"/>
              <w:ind w:firstLine="480"/>
              <w:rPr>
                <w:rFonts w:ascii="宋体" w:hAnsi="宋体" w:cs="宋体"/>
                <w:sz w:val="24"/>
              </w:rPr>
            </w:pPr>
            <w:r>
              <w:rPr>
                <w:rFonts w:hint="eastAsia" w:ascii="宋体" w:hAnsi="宋体" w:cs="宋体"/>
                <w:sz w:val="24"/>
              </w:rPr>
              <w:t>开标一览表纸质版加盖公章+USB设备存储的EXCEL电子版开标一览表一份，USB接口存储设备不退还</w:t>
            </w:r>
            <w:r>
              <w:rPr>
                <w:rFonts w:hint="eastAsia" w:ascii="宋体" w:hAnsi="宋体" w:cs="宋体"/>
                <w:b/>
                <w:sz w:val="24"/>
              </w:rPr>
              <w:t>。</w:t>
            </w:r>
          </w:p>
          <w:p w14:paraId="2739C097">
            <w:pPr>
              <w:pStyle w:val="8"/>
              <w:spacing w:after="0" w:line="360" w:lineRule="auto"/>
              <w:ind w:firstLine="480"/>
              <w:rPr>
                <w:rFonts w:hint="eastAsia" w:ascii="宋体" w:hAnsi="宋体" w:cs="宋体"/>
                <w:sz w:val="24"/>
              </w:rPr>
            </w:pPr>
            <w:r>
              <w:rPr>
                <w:rFonts w:hint="eastAsia" w:ascii="宋体" w:hAnsi="宋体" w:cs="宋体"/>
                <w:sz w:val="24"/>
              </w:rPr>
              <w:t>3、技术文件正本一份和副本</w:t>
            </w:r>
            <w:r>
              <w:rPr>
                <w:rFonts w:hint="eastAsia" w:ascii="宋体" w:hAnsi="宋体" w:cs="宋体"/>
                <w:sz w:val="24"/>
                <w:lang w:val="en-US" w:eastAsia="zh-CN"/>
              </w:rPr>
              <w:t>六</w:t>
            </w:r>
            <w:r>
              <w:rPr>
                <w:rFonts w:hint="eastAsia" w:ascii="宋体" w:hAnsi="宋体" w:cs="宋体"/>
                <w:sz w:val="24"/>
              </w:rPr>
              <w:t>份，正、副本密封在一起，正本在最上。</w:t>
            </w:r>
          </w:p>
          <w:p w14:paraId="06C21F09">
            <w:pPr>
              <w:pStyle w:val="8"/>
              <w:spacing w:after="0" w:line="360" w:lineRule="auto"/>
              <w:ind w:firstLine="480"/>
              <w:rPr>
                <w:rFonts w:ascii="宋体" w:hAnsi="宋体" w:cs="宋体"/>
                <w:sz w:val="24"/>
                <w:szCs w:val="24"/>
              </w:rPr>
            </w:pPr>
            <w:r>
              <w:rPr>
                <w:rFonts w:hint="eastAsia" w:ascii="宋体" w:hAnsi="宋体" w:cs="宋体"/>
                <w:sz w:val="24"/>
              </w:rPr>
              <w:t>4、商务文件正本一份和副本</w:t>
            </w:r>
            <w:r>
              <w:rPr>
                <w:rFonts w:hint="eastAsia" w:ascii="宋体" w:hAnsi="宋体" w:cs="宋体"/>
                <w:sz w:val="24"/>
                <w:lang w:val="en-US" w:eastAsia="zh-CN"/>
              </w:rPr>
              <w:t>六</w:t>
            </w:r>
            <w:r>
              <w:rPr>
                <w:rFonts w:hint="eastAsia" w:ascii="宋体" w:hAnsi="宋体" w:cs="宋体"/>
                <w:sz w:val="24"/>
              </w:rPr>
              <w:t>份，正</w:t>
            </w:r>
            <w:r>
              <w:rPr>
                <w:rFonts w:hint="eastAsia" w:ascii="宋体" w:hAnsi="宋体" w:cs="宋体"/>
                <w:sz w:val="24"/>
                <w:szCs w:val="24"/>
              </w:rPr>
              <w:t>、副本密封在一起，正本在最上。</w:t>
            </w:r>
          </w:p>
          <w:p w14:paraId="626F75C9">
            <w:pPr>
              <w:pStyle w:val="8"/>
              <w:spacing w:after="0" w:line="360" w:lineRule="auto"/>
              <w:ind w:firstLine="482"/>
              <w:rPr>
                <w:rFonts w:ascii="宋体" w:hAnsi="宋体"/>
                <w:sz w:val="24"/>
              </w:rPr>
            </w:pPr>
            <w:r>
              <w:rPr>
                <w:rFonts w:hint="eastAsia" w:ascii="宋体" w:hAnsi="宋体" w:cs="宋体"/>
                <w:b/>
                <w:bCs/>
                <w:sz w:val="24"/>
              </w:rPr>
              <w:t>（</w:t>
            </w:r>
            <w:r>
              <w:rPr>
                <w:rFonts w:hint="eastAsia" w:ascii="宋体" w:hAnsi="宋体" w:cs="宋体"/>
                <w:b/>
                <w:bCs/>
                <w:color w:val="FF0000"/>
                <w:sz w:val="24"/>
              </w:rPr>
              <w:t>上述1、2、3、4分别密封，不得在同一密封袋内</w:t>
            </w:r>
            <w:r>
              <w:rPr>
                <w:rFonts w:hint="eastAsia" w:ascii="宋体" w:hAnsi="宋体" w:cs="宋体"/>
                <w:sz w:val="24"/>
              </w:rPr>
              <w:t>）</w:t>
            </w:r>
          </w:p>
        </w:tc>
      </w:tr>
      <w:tr w14:paraId="3CF622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32"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6C65F71B">
            <w:pPr>
              <w:spacing w:line="360" w:lineRule="auto"/>
              <w:jc w:val="center"/>
              <w:rPr>
                <w:rFonts w:ascii="宋体" w:hAnsi="宋体"/>
                <w:sz w:val="24"/>
                <w:szCs w:val="24"/>
                <w:highlight w:val="none"/>
              </w:rPr>
            </w:pPr>
            <w:r>
              <w:rPr>
                <w:rFonts w:hint="eastAsia" w:ascii="宋体" w:hAnsi="宋体" w:cs="宋体"/>
                <w:sz w:val="24"/>
                <w:highlight w:val="none"/>
              </w:rPr>
              <w:t>10</w:t>
            </w:r>
          </w:p>
        </w:tc>
        <w:tc>
          <w:tcPr>
            <w:tcW w:w="8305" w:type="dxa"/>
            <w:tcBorders>
              <w:top w:val="single" w:color="auto" w:sz="2" w:space="0"/>
              <w:left w:val="single" w:color="auto" w:sz="2" w:space="0"/>
              <w:bottom w:val="single" w:color="auto" w:sz="2" w:space="0"/>
              <w:right w:val="single" w:color="auto" w:sz="2" w:space="0"/>
            </w:tcBorders>
            <w:vAlign w:val="center"/>
          </w:tcPr>
          <w:p w14:paraId="0A252593">
            <w:pPr>
              <w:spacing w:line="360" w:lineRule="auto"/>
              <w:ind w:firstLine="480" w:firstLineChars="200"/>
              <w:rPr>
                <w:rFonts w:ascii="宋体" w:hAnsi="宋体"/>
                <w:sz w:val="24"/>
                <w:szCs w:val="24"/>
                <w:highlight w:val="none"/>
              </w:rPr>
            </w:pPr>
            <w:r>
              <w:rPr>
                <w:rFonts w:hint="eastAsia" w:ascii="宋体" w:hAnsi="宋体" w:cs="宋体"/>
                <w:sz w:val="24"/>
                <w:highlight w:val="none"/>
              </w:rPr>
              <w:t>投标文件密封和标记：</w:t>
            </w:r>
          </w:p>
          <w:p w14:paraId="0873BC01">
            <w:pPr>
              <w:spacing w:line="360" w:lineRule="auto"/>
              <w:ind w:firstLine="480" w:firstLineChars="200"/>
              <w:rPr>
                <w:rFonts w:ascii="宋体" w:hAnsi="宋体" w:cs="宋体"/>
                <w:sz w:val="24"/>
                <w:highlight w:val="none"/>
              </w:rPr>
            </w:pPr>
            <w:r>
              <w:rPr>
                <w:rFonts w:hint="eastAsia" w:ascii="宋体" w:hAnsi="宋体" w:cs="宋体"/>
                <w:sz w:val="24"/>
                <w:highlight w:val="none"/>
              </w:rPr>
              <w:t>投标人应将上述1、2</w:t>
            </w:r>
            <w:r>
              <w:rPr>
                <w:rFonts w:hint="eastAsia" w:ascii="宋体" w:hAnsi="宋体" w:cs="宋体"/>
                <w:sz w:val="24"/>
                <w:highlight w:val="none"/>
                <w:lang w:eastAsia="zh-CN"/>
              </w:rPr>
              <w:t>、</w:t>
            </w:r>
            <w:r>
              <w:rPr>
                <w:rFonts w:hint="eastAsia" w:ascii="宋体" w:hAnsi="宋体" w:cs="宋体"/>
                <w:sz w:val="24"/>
                <w:highlight w:val="none"/>
                <w:lang w:val="en-US" w:eastAsia="zh-CN"/>
              </w:rPr>
              <w:t>3、4</w:t>
            </w:r>
            <w:r>
              <w:rPr>
                <w:rFonts w:hint="eastAsia" w:ascii="宋体" w:hAnsi="宋体" w:cs="宋体"/>
                <w:sz w:val="24"/>
                <w:highlight w:val="none"/>
              </w:rPr>
              <w:t>分别密封后再密封在一个包封内，并在封面明显处注明以下内容：</w:t>
            </w:r>
          </w:p>
          <w:p w14:paraId="1F90C15A">
            <w:pPr>
              <w:spacing w:line="360" w:lineRule="auto"/>
              <w:ind w:firstLine="480" w:firstLineChars="200"/>
              <w:rPr>
                <w:rFonts w:ascii="宋体" w:hAnsi="宋体"/>
                <w:sz w:val="24"/>
                <w:highlight w:val="none"/>
              </w:rPr>
            </w:pPr>
            <w:r>
              <w:rPr>
                <w:rFonts w:hint="eastAsia" w:ascii="宋体" w:hAnsi="宋体" w:cs="宋体"/>
                <w:sz w:val="24"/>
                <w:highlight w:val="none"/>
              </w:rPr>
              <w:t>1) 项目编号、项目名称</w:t>
            </w:r>
          </w:p>
          <w:p w14:paraId="0DE33BEC">
            <w:pPr>
              <w:spacing w:line="360" w:lineRule="auto"/>
              <w:ind w:firstLine="480" w:firstLineChars="200"/>
              <w:rPr>
                <w:rFonts w:ascii="宋体" w:hAnsi="宋体"/>
                <w:sz w:val="24"/>
                <w:highlight w:val="none"/>
              </w:rPr>
            </w:pPr>
            <w:r>
              <w:rPr>
                <w:rFonts w:hint="eastAsia" w:ascii="宋体" w:hAnsi="宋体" w:cs="宋体"/>
                <w:sz w:val="24"/>
                <w:highlight w:val="none"/>
              </w:rPr>
              <w:t>2) 招标文件正本和副本、电子版或开标一览表</w:t>
            </w:r>
          </w:p>
          <w:p w14:paraId="374E49BB">
            <w:pPr>
              <w:spacing w:line="360" w:lineRule="auto"/>
              <w:ind w:firstLine="480" w:firstLineChars="200"/>
              <w:rPr>
                <w:rFonts w:ascii="宋体" w:hAnsi="宋体"/>
                <w:sz w:val="24"/>
                <w:highlight w:val="none"/>
              </w:rPr>
            </w:pPr>
            <w:r>
              <w:rPr>
                <w:rFonts w:hint="eastAsia" w:ascii="宋体" w:hAnsi="宋体" w:cs="宋体"/>
                <w:sz w:val="24"/>
                <w:highlight w:val="none"/>
              </w:rPr>
              <w:t>3) 投标人名称（加盖公章）、地址、邮编、电话、传真</w:t>
            </w:r>
          </w:p>
          <w:p w14:paraId="1BD5A4EA">
            <w:pPr>
              <w:spacing w:line="360" w:lineRule="auto"/>
              <w:ind w:firstLine="480" w:firstLineChars="200"/>
              <w:rPr>
                <w:rFonts w:ascii="宋体" w:hAnsi="宋体" w:cs="宋体"/>
                <w:sz w:val="24"/>
                <w:highlight w:val="none"/>
              </w:rPr>
            </w:pPr>
            <w:r>
              <w:rPr>
                <w:rFonts w:hint="eastAsia" w:ascii="宋体" w:hAnsi="宋体" w:cs="宋体"/>
                <w:sz w:val="24"/>
                <w:highlight w:val="none"/>
              </w:rPr>
              <w:t>4）每一密封件在封口处注明“于</w:t>
            </w:r>
            <w:r>
              <w:rPr>
                <w:rFonts w:hint="eastAsia" w:ascii="宋体" w:hAnsi="宋体" w:cs="宋体"/>
                <w:sz w:val="24"/>
                <w:highlight w:val="none"/>
                <w:u w:val="single"/>
              </w:rPr>
              <w:t xml:space="preserve">  </w:t>
            </w:r>
            <w:r>
              <w:rPr>
                <w:rFonts w:hint="eastAsia" w:ascii="宋体" w:hAnsi="宋体" w:cs="宋体"/>
                <w:sz w:val="24"/>
                <w:highlight w:val="none"/>
                <w:u w:val="single"/>
                <w:lang w:eastAsia="zh-CN"/>
              </w:rPr>
              <w:t>2026</w:t>
            </w:r>
            <w:r>
              <w:rPr>
                <w:rFonts w:hint="eastAsia" w:ascii="宋体" w:hAnsi="宋体" w:cs="宋体"/>
                <w:sz w:val="24"/>
                <w:highlight w:val="none"/>
                <w:u w:val="single"/>
                <w:lang w:val="en-US" w:eastAsia="zh-CN"/>
              </w:rPr>
              <w:t xml:space="preserve"> </w:t>
            </w:r>
            <w:r>
              <w:rPr>
                <w:rFonts w:hint="eastAsia" w:ascii="宋体" w:hAnsi="宋体" w:cs="宋体"/>
                <w:sz w:val="24"/>
                <w:highlight w:val="none"/>
              </w:rPr>
              <w:t>年</w:t>
            </w:r>
            <w:r>
              <w:rPr>
                <w:rFonts w:hint="eastAsia" w:ascii="宋体" w:hAnsi="宋体" w:cs="宋体"/>
                <w:sz w:val="24"/>
                <w:highlight w:val="yellow"/>
                <w:u w:val="single"/>
                <w:lang w:val="en-US" w:eastAsia="zh-CN"/>
              </w:rPr>
              <w:t>11</w:t>
            </w:r>
            <w:r>
              <w:rPr>
                <w:rFonts w:hint="eastAsia" w:ascii="宋体" w:hAnsi="宋体" w:cs="宋体"/>
                <w:sz w:val="24"/>
                <w:highlight w:val="yellow"/>
              </w:rPr>
              <w:t>月</w:t>
            </w:r>
            <w:r>
              <w:rPr>
                <w:rFonts w:hint="eastAsia" w:ascii="宋体" w:hAnsi="宋体" w:cs="宋体"/>
                <w:sz w:val="24"/>
                <w:highlight w:val="yellow"/>
                <w:u w:val="single"/>
                <w:lang w:val="en-US" w:eastAsia="zh-CN"/>
              </w:rPr>
              <w:t>3</w:t>
            </w:r>
            <w:r>
              <w:rPr>
                <w:rFonts w:hint="eastAsia" w:ascii="宋体" w:hAnsi="宋体" w:cs="宋体"/>
                <w:sz w:val="24"/>
                <w:highlight w:val="yellow"/>
              </w:rPr>
              <w:t>日</w:t>
            </w:r>
            <w:r>
              <w:rPr>
                <w:rFonts w:hint="eastAsia" w:ascii="宋体" w:hAnsi="宋体" w:cs="宋体"/>
                <w:sz w:val="24"/>
                <w:highlight w:val="yellow"/>
                <w:u w:val="single"/>
                <w:lang w:val="en-US" w:eastAsia="zh-CN"/>
              </w:rPr>
              <w:t>9</w:t>
            </w:r>
            <w:r>
              <w:rPr>
                <w:rFonts w:hint="eastAsia" w:ascii="宋体" w:hAnsi="宋体" w:cs="宋体"/>
                <w:sz w:val="24"/>
                <w:highlight w:val="none"/>
              </w:rPr>
              <w:t>时</w:t>
            </w:r>
            <w:r>
              <w:rPr>
                <w:rFonts w:hint="eastAsia" w:ascii="宋体" w:hAnsi="宋体" w:cs="宋体"/>
                <w:sz w:val="24"/>
                <w:highlight w:val="none"/>
                <w:lang w:val="en-US" w:eastAsia="zh-CN"/>
              </w:rPr>
              <w:t>0</w:t>
            </w:r>
            <w:r>
              <w:rPr>
                <w:rFonts w:hint="eastAsia" w:ascii="宋体" w:hAnsi="宋体" w:cs="宋体"/>
                <w:sz w:val="24"/>
                <w:highlight w:val="none"/>
              </w:rPr>
              <w:t>分之前不准启封”字样。</w:t>
            </w:r>
          </w:p>
          <w:p w14:paraId="3EA4BADF">
            <w:pPr>
              <w:spacing w:line="360" w:lineRule="auto"/>
              <w:ind w:firstLine="480" w:firstLineChars="200"/>
              <w:rPr>
                <w:rFonts w:ascii="宋体" w:hAnsi="宋体"/>
                <w:sz w:val="24"/>
                <w:highlight w:val="none"/>
              </w:rPr>
            </w:pPr>
            <w:r>
              <w:rPr>
                <w:rFonts w:hint="eastAsia" w:ascii="宋体" w:hAnsi="宋体" w:cs="宋体"/>
                <w:sz w:val="24"/>
                <w:highlight w:val="none"/>
              </w:rPr>
              <w:t>注：未按以上要求密封和标记的按无效投标处理。</w:t>
            </w:r>
          </w:p>
        </w:tc>
      </w:tr>
      <w:tr w14:paraId="558542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348"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51444FBF">
            <w:pPr>
              <w:spacing w:line="360" w:lineRule="auto"/>
              <w:jc w:val="center"/>
              <w:rPr>
                <w:rFonts w:ascii="宋体" w:hAnsi="宋体"/>
                <w:sz w:val="24"/>
                <w:szCs w:val="24"/>
              </w:rPr>
            </w:pPr>
            <w:r>
              <w:rPr>
                <w:rFonts w:hint="eastAsia" w:ascii="宋体" w:hAnsi="宋体" w:cs="宋体"/>
                <w:sz w:val="24"/>
              </w:rPr>
              <w:t>11</w:t>
            </w:r>
          </w:p>
        </w:tc>
        <w:tc>
          <w:tcPr>
            <w:tcW w:w="8305" w:type="dxa"/>
            <w:tcBorders>
              <w:top w:val="single" w:color="auto" w:sz="2" w:space="0"/>
              <w:left w:val="single" w:color="auto" w:sz="2" w:space="0"/>
              <w:bottom w:val="single" w:color="auto" w:sz="2" w:space="0"/>
              <w:right w:val="single" w:color="auto" w:sz="2" w:space="0"/>
            </w:tcBorders>
            <w:vAlign w:val="center"/>
          </w:tcPr>
          <w:p w14:paraId="588F367B">
            <w:pPr>
              <w:pStyle w:val="8"/>
              <w:spacing w:after="0" w:line="360" w:lineRule="auto"/>
              <w:ind w:firstLine="0" w:firstLineChars="0"/>
              <w:rPr>
                <w:rFonts w:ascii="宋体" w:hAnsi="宋体" w:cs="宋体"/>
                <w:sz w:val="24"/>
              </w:rPr>
            </w:pPr>
            <w:r>
              <w:rPr>
                <w:rFonts w:hint="eastAsia" w:ascii="宋体" w:hAnsi="宋体" w:cs="宋体"/>
                <w:sz w:val="24"/>
              </w:rPr>
              <w:t>投标文件的装订：</w:t>
            </w:r>
          </w:p>
          <w:p w14:paraId="63957E46">
            <w:pPr>
              <w:pStyle w:val="8"/>
              <w:spacing w:after="0" w:line="360" w:lineRule="auto"/>
              <w:ind w:firstLine="480" w:firstLineChars="200"/>
              <w:rPr>
                <w:rFonts w:ascii="宋体" w:hAnsi="宋体"/>
                <w:kern w:val="2"/>
                <w:sz w:val="24"/>
              </w:rPr>
            </w:pPr>
            <w:r>
              <w:rPr>
                <w:rFonts w:hint="eastAsia" w:ascii="宋体" w:hAnsi="宋体" w:cs="宋体"/>
                <w:sz w:val="24"/>
              </w:rPr>
              <w:t>投标人必须将投标文件按照投标文件组成的顺序分别装订成册，并在首页编制“投标文件目录”。</w:t>
            </w:r>
          </w:p>
        </w:tc>
      </w:tr>
      <w:tr w14:paraId="09756E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A5586C4">
            <w:pPr>
              <w:spacing w:line="360" w:lineRule="auto"/>
              <w:jc w:val="center"/>
              <w:rPr>
                <w:rFonts w:ascii="宋体" w:hAnsi="宋体"/>
                <w:b/>
                <w:bCs/>
                <w:sz w:val="24"/>
                <w:szCs w:val="24"/>
              </w:rPr>
            </w:pPr>
            <w:r>
              <w:rPr>
                <w:rFonts w:hint="eastAsia" w:ascii="宋体" w:hAnsi="宋体" w:cs="宋体"/>
                <w:b/>
                <w:bCs/>
                <w:sz w:val="24"/>
              </w:rPr>
              <w:t>投标保证金及投标有效期</w:t>
            </w:r>
          </w:p>
        </w:tc>
      </w:tr>
      <w:tr w14:paraId="654BF89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318D9ED9">
            <w:pPr>
              <w:spacing w:line="360" w:lineRule="auto"/>
              <w:jc w:val="center"/>
              <w:rPr>
                <w:rFonts w:ascii="宋体" w:hAnsi="宋体"/>
                <w:sz w:val="24"/>
                <w:szCs w:val="24"/>
              </w:rPr>
            </w:pPr>
            <w:r>
              <w:rPr>
                <w:rFonts w:hint="eastAsia" w:ascii="宋体" w:hAnsi="宋体" w:cs="宋体"/>
                <w:sz w:val="24"/>
              </w:rPr>
              <w:t>12</w:t>
            </w:r>
          </w:p>
        </w:tc>
        <w:tc>
          <w:tcPr>
            <w:tcW w:w="8305" w:type="dxa"/>
            <w:tcBorders>
              <w:top w:val="single" w:color="auto" w:sz="2" w:space="0"/>
              <w:left w:val="single" w:color="auto" w:sz="2" w:space="0"/>
              <w:bottom w:val="single" w:color="auto" w:sz="2" w:space="0"/>
              <w:right w:val="single" w:color="auto" w:sz="2" w:space="0"/>
            </w:tcBorders>
            <w:vAlign w:val="center"/>
          </w:tcPr>
          <w:p w14:paraId="2AB7DD62">
            <w:pPr>
              <w:spacing w:line="360" w:lineRule="auto"/>
              <w:ind w:firstLine="480" w:firstLineChars="200"/>
              <w:rPr>
                <w:sz w:val="24"/>
                <w:highlight w:val="none"/>
              </w:rPr>
            </w:pPr>
            <w:r>
              <w:rPr>
                <w:sz w:val="24"/>
                <w:highlight w:val="none"/>
              </w:rPr>
              <w:t>1</w:t>
            </w:r>
            <w:r>
              <w:rPr>
                <w:rFonts w:hint="eastAsia"/>
                <w:sz w:val="24"/>
                <w:highlight w:val="none"/>
                <w:lang w:val="en-US" w:eastAsia="zh-CN"/>
              </w:rPr>
              <w:t>.</w:t>
            </w:r>
            <w:r>
              <w:rPr>
                <w:rFonts w:hint="eastAsia"/>
                <w:sz w:val="24"/>
                <w:highlight w:val="none"/>
              </w:rPr>
              <w:t>投标保证金的</w:t>
            </w:r>
            <w:r>
              <w:rPr>
                <w:rFonts w:hint="eastAsia"/>
                <w:sz w:val="24"/>
                <w:highlight w:val="none"/>
                <w:lang w:val="en-US" w:eastAsia="zh-CN"/>
              </w:rPr>
              <w:t>缴纳</w:t>
            </w:r>
            <w:r>
              <w:rPr>
                <w:rFonts w:hint="eastAsia"/>
                <w:sz w:val="24"/>
                <w:highlight w:val="none"/>
              </w:rPr>
              <w:t>形式：</w:t>
            </w:r>
            <w:r>
              <w:rPr>
                <w:rFonts w:hint="eastAsia" w:ascii="宋体" w:hAnsi="宋体" w:cs="宋体"/>
                <w:sz w:val="24"/>
                <w:highlight w:val="none"/>
              </w:rPr>
              <w:t>电汇或网银</w:t>
            </w:r>
          </w:p>
          <w:p w14:paraId="43540836">
            <w:pPr>
              <w:spacing w:line="360" w:lineRule="auto"/>
              <w:ind w:firstLine="480" w:firstLineChars="200"/>
              <w:rPr>
                <w:i/>
                <w:iCs/>
                <w:sz w:val="24"/>
                <w:highlight w:val="none"/>
              </w:rPr>
            </w:pPr>
            <w:r>
              <w:rPr>
                <w:sz w:val="24"/>
                <w:highlight w:val="none"/>
              </w:rPr>
              <w:t>2</w:t>
            </w:r>
            <w:r>
              <w:rPr>
                <w:rFonts w:hint="eastAsia"/>
                <w:sz w:val="24"/>
                <w:highlight w:val="none"/>
                <w:lang w:val="en-US" w:eastAsia="zh-CN"/>
              </w:rPr>
              <w:t>.</w:t>
            </w:r>
            <w:r>
              <w:rPr>
                <w:rFonts w:hint="eastAsia"/>
                <w:sz w:val="24"/>
                <w:highlight w:val="none"/>
              </w:rPr>
              <w:t>投标保证金的金额：</w:t>
            </w:r>
            <w:r>
              <w:rPr>
                <w:rFonts w:hint="eastAsia"/>
                <w:b/>
                <w:sz w:val="24"/>
                <w:highlight w:val="none"/>
              </w:rPr>
              <w:t>人民币</w:t>
            </w:r>
            <w:r>
              <w:rPr>
                <w:b/>
                <w:sz w:val="24"/>
                <w:highlight w:val="none"/>
                <w:u w:val="single"/>
              </w:rPr>
              <w:t xml:space="preserve"> </w:t>
            </w:r>
            <w:r>
              <w:rPr>
                <w:rFonts w:hint="eastAsia"/>
                <w:b/>
                <w:sz w:val="24"/>
                <w:highlight w:val="none"/>
                <w:u w:val="single"/>
                <w:lang w:val="en-US" w:eastAsia="zh-CN"/>
              </w:rPr>
              <w:t>20</w:t>
            </w:r>
            <w:r>
              <w:rPr>
                <w:rFonts w:hint="eastAsia"/>
                <w:b/>
                <w:sz w:val="24"/>
                <w:highlight w:val="none"/>
                <w:u w:val="single"/>
              </w:rPr>
              <w:t xml:space="preserve"> </w:t>
            </w:r>
            <w:r>
              <w:rPr>
                <w:rFonts w:hint="eastAsia"/>
                <w:b/>
                <w:sz w:val="24"/>
                <w:highlight w:val="none"/>
              </w:rPr>
              <w:t>万元（</w:t>
            </w:r>
            <w:r>
              <w:rPr>
                <w:rFonts w:hint="eastAsia"/>
                <w:b/>
                <w:sz w:val="24"/>
                <w:highlight w:val="none"/>
                <w:lang w:val="en-US" w:eastAsia="zh-CN"/>
              </w:rPr>
              <w:t>贰拾</w:t>
            </w:r>
            <w:r>
              <w:rPr>
                <w:rFonts w:hint="eastAsia"/>
                <w:b/>
                <w:sz w:val="24"/>
                <w:highlight w:val="none"/>
              </w:rPr>
              <w:t>万元整）</w:t>
            </w:r>
          </w:p>
          <w:p w14:paraId="0520A81A">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银行账号：37001616508050150300 </w:t>
            </w:r>
          </w:p>
          <w:p w14:paraId="57D0B866">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账户名称：中国重汽集团济南动力有限公司  </w:t>
            </w:r>
          </w:p>
          <w:p w14:paraId="6A6BC2F4">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开户行名称：中国建设银行济南市天桥区支行  </w:t>
            </w:r>
          </w:p>
          <w:p w14:paraId="61BCB364">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 xml:space="preserve">开户行行号：105451000362  </w:t>
            </w:r>
          </w:p>
          <w:p w14:paraId="75D31BD0">
            <w:pPr>
              <w:spacing w:line="360" w:lineRule="auto"/>
              <w:ind w:firstLine="480" w:firstLineChars="200"/>
              <w:rPr>
                <w:rFonts w:hint="eastAsia"/>
                <w:sz w:val="24"/>
                <w:highlight w:val="none"/>
                <w:lang w:eastAsia="zh-CN"/>
              </w:rPr>
            </w:pPr>
            <w:r>
              <w:rPr>
                <w:rFonts w:hint="eastAsia"/>
                <w:sz w:val="24"/>
                <w:highlight w:val="none"/>
              </w:rPr>
              <w:t>汇款备注：</w:t>
            </w:r>
            <w:r>
              <w:rPr>
                <w:rFonts w:hint="eastAsia"/>
                <w:sz w:val="24"/>
                <w:highlight w:val="none"/>
                <w:lang w:val="en-US" w:eastAsia="zh-CN"/>
              </w:rPr>
              <w:t>2026年济南特种车公司商品车运</w:t>
            </w:r>
            <w:r>
              <w:rPr>
                <w:rFonts w:hint="eastAsia"/>
                <w:sz w:val="24"/>
                <w:highlight w:val="none"/>
                <w:lang w:eastAsia="zh-CN"/>
              </w:rPr>
              <w:t>输</w:t>
            </w:r>
            <w:r>
              <w:rPr>
                <w:rFonts w:hint="eastAsia"/>
                <w:sz w:val="24"/>
                <w:highlight w:val="none"/>
                <w:lang w:val="en-US" w:eastAsia="zh-CN"/>
              </w:rPr>
              <w:t>及生产移库</w:t>
            </w:r>
            <w:r>
              <w:rPr>
                <w:rFonts w:hint="eastAsia"/>
                <w:sz w:val="24"/>
                <w:highlight w:val="none"/>
                <w:lang w:eastAsia="zh-CN"/>
              </w:rPr>
              <w:t>项目投标保证金</w:t>
            </w:r>
          </w:p>
          <w:p w14:paraId="44B3DEBA">
            <w:pPr>
              <w:spacing w:line="360" w:lineRule="auto"/>
              <w:ind w:firstLine="480" w:firstLineChars="200"/>
              <w:rPr>
                <w:sz w:val="24"/>
                <w:highlight w:val="yellow"/>
              </w:rPr>
            </w:pPr>
            <w:r>
              <w:rPr>
                <w:sz w:val="24"/>
                <w:highlight w:val="yellow"/>
              </w:rPr>
              <w:t>3</w:t>
            </w:r>
            <w:r>
              <w:rPr>
                <w:rFonts w:hint="eastAsia"/>
                <w:sz w:val="24"/>
                <w:highlight w:val="yellow"/>
                <w:lang w:val="en-US" w:eastAsia="zh-CN"/>
              </w:rPr>
              <w:t>.</w:t>
            </w:r>
            <w:r>
              <w:rPr>
                <w:rFonts w:hint="eastAsia"/>
                <w:sz w:val="24"/>
                <w:highlight w:val="yellow"/>
              </w:rPr>
              <w:t>保证金截止时间：</w:t>
            </w:r>
            <w:r>
              <w:rPr>
                <w:rFonts w:hint="eastAsia"/>
                <w:b/>
                <w:sz w:val="24"/>
                <w:highlight w:val="yellow"/>
                <w:u w:val="single"/>
                <w:lang w:eastAsia="zh-CN"/>
              </w:rPr>
              <w:t>2026</w:t>
            </w:r>
            <w:r>
              <w:rPr>
                <w:rFonts w:hint="eastAsia"/>
                <w:b/>
                <w:sz w:val="24"/>
                <w:highlight w:val="yellow"/>
                <w:u w:val="single"/>
              </w:rPr>
              <w:t>年</w:t>
            </w:r>
            <w:r>
              <w:rPr>
                <w:rFonts w:hint="eastAsia"/>
                <w:b/>
                <w:sz w:val="24"/>
                <w:highlight w:val="yellow"/>
                <w:u w:val="single"/>
                <w:lang w:val="en-US" w:eastAsia="zh-CN"/>
              </w:rPr>
              <w:t>11</w:t>
            </w:r>
            <w:r>
              <w:rPr>
                <w:rFonts w:hint="eastAsia"/>
                <w:b/>
                <w:sz w:val="24"/>
                <w:highlight w:val="yellow"/>
                <w:u w:val="single"/>
              </w:rPr>
              <w:t>月</w:t>
            </w:r>
            <w:r>
              <w:rPr>
                <w:rFonts w:hint="eastAsia"/>
                <w:b/>
                <w:sz w:val="24"/>
                <w:highlight w:val="yellow"/>
                <w:u w:val="single"/>
                <w:lang w:val="en-US" w:eastAsia="zh-CN"/>
              </w:rPr>
              <w:t>2</w:t>
            </w:r>
            <w:r>
              <w:rPr>
                <w:rFonts w:hint="eastAsia"/>
                <w:b/>
                <w:sz w:val="24"/>
                <w:highlight w:val="yellow"/>
                <w:u w:val="single"/>
              </w:rPr>
              <w:t>日</w:t>
            </w:r>
            <w:r>
              <w:rPr>
                <w:rFonts w:hint="eastAsia"/>
                <w:b/>
                <w:sz w:val="24"/>
                <w:highlight w:val="yellow"/>
                <w:u w:val="single"/>
                <w:lang w:val="en-US" w:eastAsia="zh-CN"/>
              </w:rPr>
              <w:t>24</w:t>
            </w:r>
            <w:r>
              <w:rPr>
                <w:rFonts w:hint="eastAsia"/>
                <w:b/>
                <w:sz w:val="24"/>
                <w:highlight w:val="yellow"/>
                <w:u w:val="single"/>
              </w:rPr>
              <w:t>时</w:t>
            </w:r>
            <w:r>
              <w:rPr>
                <w:b/>
                <w:sz w:val="24"/>
                <w:highlight w:val="yellow"/>
                <w:u w:val="single"/>
              </w:rPr>
              <w:t>00</w:t>
            </w:r>
            <w:r>
              <w:rPr>
                <w:rFonts w:hint="eastAsia"/>
                <w:b/>
                <w:sz w:val="24"/>
                <w:highlight w:val="yellow"/>
                <w:u w:val="single"/>
              </w:rPr>
              <w:t>分前</w:t>
            </w:r>
          </w:p>
          <w:p w14:paraId="3D41D94E">
            <w:pPr>
              <w:spacing w:line="360" w:lineRule="auto"/>
              <w:ind w:firstLine="480" w:firstLineChars="200"/>
              <w:rPr>
                <w:sz w:val="24"/>
                <w:highlight w:val="none"/>
              </w:rPr>
            </w:pPr>
            <w:r>
              <w:rPr>
                <w:sz w:val="24"/>
                <w:highlight w:val="none"/>
              </w:rPr>
              <w:t>4</w:t>
            </w:r>
            <w:r>
              <w:rPr>
                <w:rFonts w:hint="eastAsia"/>
                <w:sz w:val="24"/>
                <w:highlight w:val="none"/>
                <w:lang w:val="en-US" w:eastAsia="zh-CN"/>
              </w:rPr>
              <w:t>.</w:t>
            </w:r>
            <w:r>
              <w:rPr>
                <w:rFonts w:hint="eastAsia"/>
                <w:sz w:val="24"/>
                <w:highlight w:val="none"/>
              </w:rPr>
              <w:t>投标保证金应从投标人的基本账户转出至上述账户并到账，否则视为无效投标。</w:t>
            </w:r>
          </w:p>
          <w:p w14:paraId="37CD71F5">
            <w:pPr>
              <w:spacing w:line="360" w:lineRule="auto"/>
              <w:ind w:firstLine="480" w:firstLineChars="200"/>
              <w:rPr>
                <w:rFonts w:hint="eastAsia" w:ascii="宋体" w:hAnsi="宋体" w:cs="宋体"/>
                <w:sz w:val="24"/>
                <w:szCs w:val="24"/>
                <w:lang w:val="en-US" w:eastAsia="zh-CN"/>
              </w:rPr>
            </w:pPr>
            <w:r>
              <w:rPr>
                <w:rFonts w:hint="eastAsia"/>
                <w:bCs/>
                <w:sz w:val="24"/>
                <w:highlight w:val="none"/>
              </w:rPr>
              <w:t>5</w:t>
            </w:r>
            <w:r>
              <w:rPr>
                <w:rFonts w:hint="eastAsia"/>
                <w:bCs/>
                <w:sz w:val="24"/>
                <w:highlight w:val="none"/>
                <w:lang w:val="en-US" w:eastAsia="zh-CN"/>
              </w:rPr>
              <w:t>.</w:t>
            </w:r>
            <w:r>
              <w:rPr>
                <w:rFonts w:hint="eastAsia"/>
                <w:bCs/>
                <w:sz w:val="24"/>
                <w:highlight w:val="none"/>
              </w:rPr>
              <w:t>投标人应充分考虑银行信息交换时间，由此带来的保证金不能按时到帐的责任由投标人自行承担。</w:t>
            </w:r>
          </w:p>
          <w:p w14:paraId="394D90E9">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hAnsi="宋体" w:cs="宋体"/>
                <w:sz w:val="24"/>
                <w:szCs w:val="24"/>
                <w:lang w:val="en-US" w:eastAsia="zh-CN"/>
              </w:rPr>
              <w:t>6.投标保证金缴纳凭</w:t>
            </w:r>
            <w:r>
              <w:rPr>
                <w:rFonts w:hint="eastAsia" w:ascii="宋体" w:hAnsi="宋体" w:cs="宋体"/>
                <w:sz w:val="24"/>
                <w:szCs w:val="24"/>
                <w:highlight w:val="none"/>
                <w:lang w:val="en-US" w:eastAsia="zh-CN"/>
              </w:rPr>
              <w:t>证（现供方上传</w:t>
            </w:r>
            <w:r>
              <w:rPr>
                <w:rFonts w:hint="eastAsia" w:ascii="宋体" w:hAnsi="宋体" w:cs="宋体"/>
                <w:color w:val="000000"/>
                <w:sz w:val="24"/>
                <w:szCs w:val="24"/>
                <w:highlight w:val="none"/>
                <w:lang w:val="en-US" w:eastAsia="zh-CN"/>
              </w:rPr>
              <w:t>投标保证金承诺函）在报名和应标时在E采通上传</w:t>
            </w:r>
          </w:p>
          <w:p w14:paraId="408F41A4">
            <w:pPr>
              <w:spacing w:line="360" w:lineRule="auto"/>
              <w:ind w:firstLine="482" w:firstLineChars="200"/>
              <w:rPr>
                <w:rFonts w:hint="eastAsia" w:hAnsi="宋体"/>
                <w:b/>
                <w:sz w:val="24"/>
                <w:szCs w:val="24"/>
                <w:highlight w:val="none"/>
                <w:lang w:val="en-US" w:eastAsia="zh-CN"/>
              </w:rPr>
            </w:pPr>
            <w:r>
              <w:rPr>
                <w:rFonts w:hint="eastAsia" w:ascii="宋体" w:hAnsi="宋体" w:cs="宋体"/>
                <w:b/>
                <w:bCs/>
                <w:color w:val="000000"/>
                <w:sz w:val="24"/>
                <w:szCs w:val="24"/>
                <w:highlight w:val="none"/>
                <w:lang w:val="en-US" w:eastAsia="zh-CN"/>
              </w:rPr>
              <w:t>注：恶意竞标或</w:t>
            </w:r>
            <w:r>
              <w:rPr>
                <w:rFonts w:hint="eastAsia" w:hAnsi="宋体"/>
                <w:b/>
                <w:bCs/>
                <w:sz w:val="24"/>
                <w:szCs w:val="24"/>
                <w:highlight w:val="none"/>
              </w:rPr>
              <w:t>无</w:t>
            </w:r>
            <w:r>
              <w:rPr>
                <w:rFonts w:hint="eastAsia" w:hAnsi="宋体"/>
                <w:b/>
                <w:sz w:val="24"/>
                <w:szCs w:val="24"/>
                <w:highlight w:val="none"/>
              </w:rPr>
              <w:t>正当理由随意放弃投标、</w:t>
            </w:r>
            <w:r>
              <w:rPr>
                <w:rFonts w:hAnsi="宋体"/>
                <w:b/>
                <w:sz w:val="24"/>
                <w:szCs w:val="24"/>
                <w:highlight w:val="none"/>
              </w:rPr>
              <w:t>撤销投标文件</w:t>
            </w:r>
            <w:r>
              <w:rPr>
                <w:rFonts w:hint="eastAsia" w:hAnsi="宋体"/>
                <w:b/>
                <w:sz w:val="24"/>
                <w:szCs w:val="24"/>
                <w:highlight w:val="none"/>
              </w:rPr>
              <w:t>、</w:t>
            </w:r>
            <w:r>
              <w:rPr>
                <w:rFonts w:hAnsi="宋体"/>
                <w:b/>
                <w:sz w:val="24"/>
                <w:szCs w:val="24"/>
                <w:highlight w:val="none"/>
              </w:rPr>
              <w:t>中标后</w:t>
            </w:r>
            <w:r>
              <w:rPr>
                <w:rFonts w:hint="eastAsia" w:hAnsi="宋体"/>
                <w:b/>
                <w:sz w:val="24"/>
                <w:szCs w:val="24"/>
                <w:highlight w:val="none"/>
              </w:rPr>
              <w:t>无</w:t>
            </w:r>
            <w:r>
              <w:rPr>
                <w:rFonts w:hAnsi="宋体"/>
                <w:b/>
                <w:sz w:val="24"/>
                <w:szCs w:val="24"/>
                <w:highlight w:val="none"/>
              </w:rPr>
              <w:t>正当理由</w:t>
            </w:r>
            <w:r>
              <w:rPr>
                <w:rFonts w:hint="eastAsia" w:hAnsi="宋体"/>
                <w:b/>
                <w:sz w:val="24"/>
                <w:szCs w:val="24"/>
                <w:highlight w:val="none"/>
              </w:rPr>
              <w:t>拒签</w:t>
            </w:r>
            <w:r>
              <w:rPr>
                <w:rFonts w:hAnsi="宋体"/>
                <w:b/>
                <w:sz w:val="24"/>
                <w:szCs w:val="24"/>
                <w:highlight w:val="none"/>
              </w:rPr>
              <w:t>合同</w:t>
            </w:r>
            <w:r>
              <w:rPr>
                <w:rFonts w:hint="eastAsia" w:hAnsi="宋体"/>
                <w:b/>
                <w:sz w:val="24"/>
                <w:szCs w:val="24"/>
                <w:highlight w:val="none"/>
              </w:rPr>
              <w:t>、</w:t>
            </w:r>
            <w:r>
              <w:rPr>
                <w:rFonts w:hAnsi="宋体"/>
                <w:b/>
                <w:sz w:val="24"/>
                <w:szCs w:val="24"/>
                <w:highlight w:val="none"/>
              </w:rPr>
              <w:t>在签订合同时向招标</w:t>
            </w:r>
            <w:r>
              <w:rPr>
                <w:rFonts w:hint="eastAsia" w:hAnsi="宋体"/>
                <w:b/>
                <w:sz w:val="24"/>
                <w:szCs w:val="24"/>
                <w:highlight w:val="none"/>
              </w:rPr>
              <w:t>方</w:t>
            </w:r>
            <w:r>
              <w:rPr>
                <w:rFonts w:hAnsi="宋体"/>
                <w:b/>
                <w:sz w:val="24"/>
                <w:szCs w:val="24"/>
                <w:highlight w:val="none"/>
              </w:rPr>
              <w:t>提出</w:t>
            </w:r>
            <w:r>
              <w:rPr>
                <w:rFonts w:hint="eastAsia" w:hAnsi="宋体"/>
                <w:b/>
                <w:sz w:val="24"/>
                <w:szCs w:val="24"/>
                <w:highlight w:val="none"/>
              </w:rPr>
              <w:t>无理</w:t>
            </w:r>
            <w:r>
              <w:rPr>
                <w:rFonts w:hAnsi="宋体"/>
                <w:b/>
                <w:sz w:val="24"/>
                <w:szCs w:val="24"/>
                <w:highlight w:val="none"/>
              </w:rPr>
              <w:t>附加条件</w:t>
            </w:r>
            <w:r>
              <w:rPr>
                <w:rFonts w:hint="eastAsia" w:hAnsi="宋体"/>
                <w:b/>
                <w:sz w:val="24"/>
                <w:szCs w:val="24"/>
                <w:highlight w:val="none"/>
              </w:rPr>
              <w:t>的，</w:t>
            </w:r>
            <w:r>
              <w:rPr>
                <w:rFonts w:hAnsi="宋体"/>
                <w:b/>
                <w:sz w:val="24"/>
                <w:szCs w:val="24"/>
                <w:highlight w:val="none"/>
              </w:rPr>
              <w:t>投标保证金不予返还</w:t>
            </w:r>
            <w:r>
              <w:rPr>
                <w:rFonts w:hint="eastAsia" w:hAnsi="宋体"/>
                <w:b/>
                <w:sz w:val="24"/>
                <w:szCs w:val="24"/>
                <w:highlight w:val="none"/>
              </w:rPr>
              <w:t>，并取消该投标人的中标资格</w:t>
            </w:r>
            <w:r>
              <w:rPr>
                <w:rFonts w:hAnsi="宋体"/>
                <w:b/>
                <w:sz w:val="24"/>
                <w:szCs w:val="24"/>
                <w:highlight w:val="none"/>
              </w:rPr>
              <w:t>，</w:t>
            </w:r>
            <w:r>
              <w:rPr>
                <w:rFonts w:hint="eastAsia" w:hAnsi="宋体"/>
                <w:b/>
                <w:sz w:val="24"/>
                <w:szCs w:val="24"/>
                <w:highlight w:val="none"/>
                <w:lang w:val="en-US" w:eastAsia="zh-CN"/>
              </w:rPr>
              <w:t>并纳入甲方黑名单，三年内不允许参与此类招标。</w:t>
            </w:r>
          </w:p>
          <w:p w14:paraId="5BCFC74F">
            <w:pPr>
              <w:pStyle w:val="27"/>
              <w:keepNext w:val="0"/>
              <w:keepLines w:val="0"/>
              <w:pageBreakBefore w:val="0"/>
              <w:widowControl w:val="0"/>
              <w:numPr>
                <w:ilvl w:val="0"/>
                <w:numId w:val="8"/>
              </w:numPr>
              <w:kinsoku/>
              <w:wordWrap/>
              <w:overflowPunct/>
              <w:topLinePunct w:val="0"/>
              <w:autoSpaceDE/>
              <w:autoSpaceDN/>
              <w:bidi w:val="0"/>
              <w:adjustRightInd w:val="0"/>
              <w:snapToGrid w:val="0"/>
              <w:spacing w:before="120" w:beforeLines="50" w:after="120" w:afterLines="50" w:line="360" w:lineRule="auto"/>
              <w:ind w:firstLine="480" w:firstLineChars="200"/>
              <w:textAlignment w:val="auto"/>
              <w:outlineLvl w:val="2"/>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对于没有中标的投标人，投标保证金将于招标人内部完成中标人评审并确认最终中标人后一个付款周期予以原路返还（无息）；对于中标方，投标保证金将在签订合同后一个付款周期原路返还（无息）。</w:t>
            </w:r>
          </w:p>
          <w:p w14:paraId="433063BC">
            <w:pPr>
              <w:pStyle w:val="27"/>
              <w:keepNext w:val="0"/>
              <w:keepLines w:val="0"/>
              <w:pageBreakBefore w:val="0"/>
              <w:widowControl w:val="0"/>
              <w:numPr>
                <w:ilvl w:val="0"/>
                <w:numId w:val="8"/>
              </w:numPr>
              <w:kinsoku/>
              <w:wordWrap/>
              <w:overflowPunct/>
              <w:topLinePunct w:val="0"/>
              <w:autoSpaceDE/>
              <w:autoSpaceDN/>
              <w:bidi w:val="0"/>
              <w:adjustRightInd w:val="0"/>
              <w:snapToGrid w:val="0"/>
              <w:spacing w:before="120" w:beforeLines="50" w:after="120" w:afterLines="50" w:line="360" w:lineRule="auto"/>
              <w:ind w:firstLine="480" w:firstLineChars="200"/>
              <w:textAlignment w:val="auto"/>
              <w:outlineLvl w:val="2"/>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发生以下情况时，有权没收保证金：</w:t>
            </w:r>
          </w:p>
          <w:p w14:paraId="748D3B0F">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供应商在提交响应文件截止时间后撤回响应文件的；</w:t>
            </w:r>
          </w:p>
          <w:p w14:paraId="65405133">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供应商在响应文件中提供虚假材料的；</w:t>
            </w:r>
          </w:p>
          <w:p w14:paraId="413AFDDC">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除因不可抗力或谈判文件、询价通知书认可的情形以外，成交供应商不与采购人签订合同的；</w:t>
            </w:r>
          </w:p>
          <w:p w14:paraId="546B901E">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供应商与采购人、其他供应商或者采购代理机构恶意串通、围标、陪标的；</w:t>
            </w:r>
          </w:p>
          <w:p w14:paraId="40DFD797">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供应商有违约违规行为或被投诉、举报的，在调查处理期间，保证金暂不退还，待调查处理结束后按有关规定处理。</w:t>
            </w:r>
          </w:p>
          <w:p w14:paraId="40DCD5B7">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截至开标前3天，投标人无正当理由、未以书面形式向招标人递交说明而在投标截止日不来投标的。</w:t>
            </w:r>
          </w:p>
          <w:p w14:paraId="41182775">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自中标通知书发出之日起30日内，中标人无正当理由投标人无正当签订合同的；</w:t>
            </w:r>
          </w:p>
          <w:p w14:paraId="789DE6DA">
            <w:pPr>
              <w:pStyle w:val="28"/>
              <w:keepNext w:val="0"/>
              <w:keepLines w:val="0"/>
              <w:pageBreakBefore w:val="0"/>
              <w:widowControl w:val="0"/>
              <w:numPr>
                <w:ilvl w:val="1"/>
                <w:numId w:val="8"/>
              </w:numPr>
              <w:kinsoku/>
              <w:wordWrap/>
              <w:overflowPunct/>
              <w:topLinePunct w:val="0"/>
              <w:autoSpaceDE/>
              <w:autoSpaceDN/>
              <w:bidi w:val="0"/>
              <w:adjustRightInd w:val="0"/>
              <w:snapToGrid w:val="0"/>
              <w:spacing w:line="360" w:lineRule="auto"/>
              <w:ind w:firstLine="480" w:firstLineChars="200"/>
              <w:textAlignment w:val="auto"/>
              <w:rPr>
                <w:rFonts w:hint="eastAsia" w:asciiTheme="minorHAnsi" w:hAnsiTheme="minorHAnsi" w:eastAsiaTheme="minorEastAsia" w:cstheme="minorBidi"/>
                <w:b w:val="0"/>
                <w:bCs/>
                <w:kern w:val="2"/>
                <w:sz w:val="24"/>
                <w:szCs w:val="24"/>
                <w:highlight w:val="none"/>
                <w:lang w:val="en-US" w:eastAsia="zh-CN" w:bidi="ar-SA"/>
              </w:rPr>
            </w:pPr>
            <w:r>
              <w:rPr>
                <w:rFonts w:hint="eastAsia" w:asciiTheme="minorHAnsi" w:hAnsiTheme="minorHAnsi" w:eastAsiaTheme="minorEastAsia" w:cstheme="minorBidi"/>
                <w:b w:val="0"/>
                <w:bCs/>
                <w:kern w:val="2"/>
                <w:sz w:val="24"/>
                <w:szCs w:val="24"/>
                <w:highlight w:val="none"/>
                <w:lang w:val="en-US" w:eastAsia="zh-CN" w:bidi="ar-SA"/>
              </w:rPr>
              <w:t>采购文件规定的其他情形。</w:t>
            </w:r>
          </w:p>
          <w:p w14:paraId="39D08EAE">
            <w:pPr>
              <w:pStyle w:val="6"/>
              <w:ind w:left="0" w:leftChars="0" w:firstLine="0" w:firstLineChars="0"/>
              <w:rPr>
                <w:rFonts w:hint="default"/>
                <w:lang w:val="en-US" w:eastAsia="zh-CN"/>
              </w:rPr>
            </w:pPr>
          </w:p>
        </w:tc>
      </w:tr>
      <w:tr w14:paraId="0BB79C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5D21F745">
            <w:pPr>
              <w:spacing w:line="360" w:lineRule="auto"/>
              <w:jc w:val="center"/>
              <w:rPr>
                <w:rFonts w:ascii="宋体" w:hAnsi="宋体"/>
                <w:sz w:val="24"/>
                <w:szCs w:val="24"/>
              </w:rPr>
            </w:pPr>
            <w:r>
              <w:rPr>
                <w:rFonts w:hint="eastAsia" w:ascii="宋体" w:hAnsi="宋体" w:cs="宋体"/>
                <w:sz w:val="24"/>
              </w:rPr>
              <w:t>13</w:t>
            </w:r>
          </w:p>
        </w:tc>
        <w:tc>
          <w:tcPr>
            <w:tcW w:w="8305" w:type="dxa"/>
            <w:tcBorders>
              <w:top w:val="single" w:color="auto" w:sz="2" w:space="0"/>
              <w:left w:val="single" w:color="auto" w:sz="2" w:space="0"/>
              <w:bottom w:val="single" w:color="auto" w:sz="2" w:space="0"/>
              <w:right w:val="single" w:color="auto" w:sz="2" w:space="0"/>
            </w:tcBorders>
            <w:vAlign w:val="center"/>
          </w:tcPr>
          <w:p w14:paraId="68B98699">
            <w:pPr>
              <w:spacing w:line="360" w:lineRule="auto"/>
              <w:ind w:firstLine="523" w:firstLineChars="218"/>
              <w:rPr>
                <w:rFonts w:ascii="宋体" w:hAnsi="宋体"/>
                <w:sz w:val="24"/>
                <w:szCs w:val="24"/>
              </w:rPr>
            </w:pPr>
            <w:r>
              <w:rPr>
                <w:rFonts w:hint="eastAsia" w:ascii="宋体" w:hAnsi="宋体" w:cs="宋体"/>
                <w:sz w:val="24"/>
              </w:rPr>
              <w:t>投标有效期：自开标之日起</w:t>
            </w:r>
            <w:r>
              <w:rPr>
                <w:rFonts w:hint="eastAsia" w:ascii="宋体" w:hAnsi="宋体" w:cs="宋体"/>
                <w:sz w:val="24"/>
                <w:u w:val="single"/>
              </w:rPr>
              <w:t>90</w:t>
            </w:r>
            <w:r>
              <w:rPr>
                <w:rFonts w:hint="eastAsia" w:ascii="宋体" w:hAnsi="宋体" w:cs="宋体"/>
                <w:sz w:val="24"/>
              </w:rPr>
              <w:t>日历天</w:t>
            </w:r>
          </w:p>
        </w:tc>
      </w:tr>
      <w:tr w14:paraId="2D6D020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9" w:hRule="atLeast"/>
          <w:jc w:val="center"/>
        </w:trPr>
        <w:tc>
          <w:tcPr>
            <w:tcW w:w="8958" w:type="dxa"/>
            <w:gridSpan w:val="2"/>
            <w:tcBorders>
              <w:top w:val="single" w:color="auto" w:sz="2" w:space="0"/>
              <w:left w:val="single" w:color="auto" w:sz="2" w:space="0"/>
              <w:bottom w:val="single" w:color="auto" w:sz="2" w:space="0"/>
              <w:right w:val="single" w:color="auto" w:sz="2" w:space="0"/>
            </w:tcBorders>
            <w:vAlign w:val="center"/>
          </w:tcPr>
          <w:p w14:paraId="70793C2A">
            <w:pPr>
              <w:spacing w:line="360" w:lineRule="auto"/>
              <w:jc w:val="center"/>
              <w:rPr>
                <w:rFonts w:ascii="宋体" w:hAnsi="宋体"/>
                <w:b/>
                <w:bCs/>
                <w:sz w:val="24"/>
                <w:szCs w:val="24"/>
              </w:rPr>
            </w:pPr>
            <w:r>
              <w:rPr>
                <w:rFonts w:hint="eastAsia" w:ascii="宋体" w:hAnsi="宋体" w:cs="宋体"/>
                <w:b/>
                <w:bCs/>
                <w:sz w:val="24"/>
              </w:rPr>
              <w:t>投标文件的递交</w:t>
            </w:r>
          </w:p>
        </w:tc>
      </w:tr>
      <w:tr w14:paraId="1D08053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64" w:hRule="atLeast"/>
          <w:jc w:val="center"/>
        </w:trPr>
        <w:tc>
          <w:tcPr>
            <w:tcW w:w="653" w:type="dxa"/>
            <w:vMerge w:val="restart"/>
            <w:tcBorders>
              <w:top w:val="single" w:color="auto" w:sz="2" w:space="0"/>
              <w:left w:val="single" w:color="auto" w:sz="2" w:space="0"/>
              <w:bottom w:val="single" w:color="auto" w:sz="2" w:space="0"/>
              <w:right w:val="single" w:color="auto" w:sz="2" w:space="0"/>
            </w:tcBorders>
            <w:vAlign w:val="center"/>
          </w:tcPr>
          <w:p w14:paraId="7D45367B">
            <w:pPr>
              <w:spacing w:line="360" w:lineRule="auto"/>
              <w:jc w:val="center"/>
              <w:rPr>
                <w:rFonts w:ascii="宋体" w:hAnsi="宋体"/>
                <w:sz w:val="24"/>
                <w:szCs w:val="24"/>
              </w:rPr>
            </w:pPr>
            <w:r>
              <w:rPr>
                <w:rFonts w:hint="eastAsia" w:ascii="宋体" w:hAnsi="宋体" w:cs="宋体"/>
                <w:sz w:val="24"/>
              </w:rPr>
              <w:t>14</w:t>
            </w:r>
          </w:p>
        </w:tc>
        <w:tc>
          <w:tcPr>
            <w:tcW w:w="8305" w:type="dxa"/>
            <w:tcBorders>
              <w:top w:val="single" w:color="auto" w:sz="2" w:space="0"/>
              <w:left w:val="single" w:color="auto" w:sz="2" w:space="0"/>
              <w:bottom w:val="single" w:color="auto" w:sz="2" w:space="0"/>
              <w:right w:val="single" w:color="auto" w:sz="2" w:space="0"/>
            </w:tcBorders>
            <w:vAlign w:val="center"/>
          </w:tcPr>
          <w:p w14:paraId="7E4580E0">
            <w:pPr>
              <w:spacing w:line="360" w:lineRule="auto"/>
              <w:ind w:firstLine="480" w:firstLineChars="200"/>
              <w:rPr>
                <w:rFonts w:ascii="宋体" w:hAnsi="宋体"/>
                <w:sz w:val="24"/>
                <w:szCs w:val="24"/>
                <w:highlight w:val="none"/>
              </w:rPr>
            </w:pPr>
            <w:r>
              <w:rPr>
                <w:rFonts w:hint="eastAsia" w:ascii="宋体" w:hAnsi="宋体" w:cs="宋体"/>
                <w:sz w:val="24"/>
                <w:highlight w:val="none"/>
              </w:rPr>
              <w:t>投标文件递交截止时间：</w:t>
            </w:r>
            <w:r>
              <w:rPr>
                <w:rFonts w:hint="eastAsia" w:ascii="宋体" w:hAnsi="宋体" w:cs="宋体"/>
                <w:sz w:val="24"/>
                <w:highlight w:val="none"/>
                <w:u w:val="single"/>
                <w:lang w:eastAsia="zh-CN"/>
              </w:rPr>
              <w:t>2026</w:t>
            </w:r>
            <w:r>
              <w:rPr>
                <w:rFonts w:hint="eastAsia" w:ascii="宋体" w:hAnsi="宋体" w:cs="宋体"/>
                <w:sz w:val="24"/>
                <w:highlight w:val="none"/>
              </w:rPr>
              <w:t>年</w:t>
            </w:r>
            <w:r>
              <w:rPr>
                <w:rFonts w:hint="eastAsia" w:ascii="宋体" w:hAnsi="宋体" w:cs="宋体"/>
                <w:sz w:val="24"/>
                <w:highlight w:val="yellow"/>
                <w:u w:val="single"/>
                <w:lang w:val="en-US" w:eastAsia="zh-CN"/>
              </w:rPr>
              <w:t>11</w:t>
            </w:r>
            <w:r>
              <w:rPr>
                <w:rFonts w:hint="eastAsia" w:ascii="宋体" w:hAnsi="宋体" w:cs="宋体"/>
                <w:sz w:val="24"/>
                <w:highlight w:val="yellow"/>
                <w:u w:val="single"/>
                <w:lang w:eastAsia="zh-CN"/>
              </w:rPr>
              <w:t>月</w:t>
            </w:r>
            <w:r>
              <w:rPr>
                <w:rFonts w:hint="eastAsia" w:ascii="宋体" w:hAnsi="宋体" w:cs="宋体"/>
                <w:sz w:val="24"/>
                <w:highlight w:val="yellow"/>
                <w:u w:val="single"/>
                <w:lang w:val="en-US" w:eastAsia="zh-CN"/>
              </w:rPr>
              <w:t>3日</w:t>
            </w:r>
            <w:r>
              <w:rPr>
                <w:rFonts w:hint="eastAsia" w:ascii="宋体" w:hAnsi="宋体" w:cs="宋体"/>
                <w:sz w:val="24"/>
                <w:highlight w:val="none"/>
                <w:u w:val="single"/>
                <w:lang w:val="en-US" w:eastAsia="zh-CN"/>
              </w:rPr>
              <w:t>09时</w:t>
            </w:r>
            <w:r>
              <w:rPr>
                <w:rFonts w:hint="eastAsia" w:ascii="宋体" w:hAnsi="宋体" w:cs="宋体"/>
                <w:sz w:val="24"/>
                <w:highlight w:val="none"/>
                <w:u w:val="single"/>
                <w:lang w:eastAsia="zh-CN"/>
              </w:rPr>
              <w:t>前</w:t>
            </w:r>
            <w:r>
              <w:rPr>
                <w:rFonts w:hint="eastAsia" w:ascii="宋体" w:hAnsi="宋体" w:cs="宋体"/>
                <w:sz w:val="24"/>
                <w:highlight w:val="none"/>
              </w:rPr>
              <w:t>（北京时间）。</w:t>
            </w:r>
          </w:p>
        </w:tc>
      </w:tr>
      <w:tr w14:paraId="674761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302" w:hRule="atLeast"/>
          <w:jc w:val="center"/>
        </w:trPr>
        <w:tc>
          <w:tcPr>
            <w:tcW w:w="653" w:type="dxa"/>
            <w:vMerge w:val="continue"/>
            <w:tcBorders>
              <w:top w:val="single" w:color="auto" w:sz="2" w:space="0"/>
              <w:left w:val="single" w:color="auto" w:sz="2" w:space="0"/>
              <w:bottom w:val="single" w:color="auto" w:sz="2" w:space="0"/>
              <w:right w:val="single" w:color="auto" w:sz="2" w:space="0"/>
            </w:tcBorders>
            <w:vAlign w:val="center"/>
          </w:tcPr>
          <w:p w14:paraId="35786880">
            <w:pPr>
              <w:widowControl/>
              <w:spacing w:line="360" w:lineRule="auto"/>
              <w:jc w:val="center"/>
              <w:rPr>
                <w:rFonts w:ascii="宋体" w:hAnsi="宋体"/>
                <w:sz w:val="24"/>
                <w:szCs w:val="24"/>
              </w:rPr>
            </w:pPr>
          </w:p>
        </w:tc>
        <w:tc>
          <w:tcPr>
            <w:tcW w:w="8305" w:type="dxa"/>
            <w:tcBorders>
              <w:top w:val="single" w:color="auto" w:sz="2" w:space="0"/>
              <w:left w:val="single" w:color="auto" w:sz="2" w:space="0"/>
              <w:bottom w:val="single" w:color="auto" w:sz="2" w:space="0"/>
              <w:right w:val="single" w:color="auto" w:sz="2" w:space="0"/>
            </w:tcBorders>
            <w:vAlign w:val="center"/>
          </w:tcPr>
          <w:p w14:paraId="2A7A5DD4">
            <w:pPr>
              <w:spacing w:line="360" w:lineRule="auto"/>
              <w:ind w:firstLine="523" w:firstLineChars="218"/>
              <w:rPr>
                <w:rFonts w:hint="eastAsia" w:ascii="宋体" w:hAnsi="宋体" w:cs="宋体"/>
                <w:sz w:val="24"/>
                <w:highlight w:val="none"/>
              </w:rPr>
            </w:pPr>
            <w:r>
              <w:rPr>
                <w:rFonts w:hint="eastAsia" w:ascii="宋体" w:hAnsi="宋体" w:cs="宋体"/>
                <w:sz w:val="24"/>
                <w:highlight w:val="none"/>
              </w:rPr>
              <w:t>投标文件递交地点：</w:t>
            </w:r>
          </w:p>
          <w:p w14:paraId="3DCF99B7">
            <w:pPr>
              <w:spacing w:line="360" w:lineRule="auto"/>
              <w:ind w:firstLine="523" w:firstLineChars="218"/>
              <w:rPr>
                <w:rFonts w:ascii="宋体" w:hAnsi="宋体" w:cs="宋体"/>
                <w:sz w:val="24"/>
                <w:highlight w:val="none"/>
              </w:rPr>
            </w:pPr>
            <w:r>
              <w:rPr>
                <w:rFonts w:hint="eastAsia" w:ascii="宋体" w:hAnsi="宋体" w:cs="宋体"/>
                <w:sz w:val="24"/>
                <w:highlight w:val="none"/>
              </w:rPr>
              <w:t>线上：“中国重汽e采通（http</w:t>
            </w:r>
            <w:r>
              <w:rPr>
                <w:rFonts w:hint="eastAsia" w:ascii="宋体" w:hAnsi="宋体" w:cs="宋体"/>
                <w:sz w:val="24"/>
                <w:highlight w:val="none"/>
                <w:lang w:val="en-US" w:eastAsia="zh-CN"/>
              </w:rPr>
              <w:t>s</w:t>
            </w:r>
            <w:r>
              <w:rPr>
                <w:rFonts w:hint="eastAsia" w:ascii="宋体" w:hAnsi="宋体" w:cs="宋体"/>
                <w:sz w:val="24"/>
                <w:highlight w:val="none"/>
              </w:rPr>
              <w:t>://ecaitong.sinotruk.com:8012）；</w:t>
            </w:r>
          </w:p>
          <w:p w14:paraId="4855130B">
            <w:pPr>
              <w:spacing w:line="360" w:lineRule="auto"/>
              <w:ind w:firstLine="523" w:firstLineChars="218"/>
              <w:rPr>
                <w:rFonts w:ascii="宋体" w:hAnsi="宋体" w:cs="宋体"/>
                <w:sz w:val="24"/>
                <w:highlight w:val="none"/>
              </w:rPr>
            </w:pPr>
            <w:r>
              <w:rPr>
                <w:rFonts w:hint="eastAsia" w:ascii="宋体" w:hAnsi="宋体" w:cs="宋体"/>
                <w:sz w:val="24"/>
                <w:highlight w:val="none"/>
              </w:rPr>
              <w:t>线下地点：</w:t>
            </w:r>
            <w:r>
              <w:rPr>
                <w:rFonts w:hint="eastAsia" w:ascii="宋体" w:hAnsi="宋体" w:eastAsia="宋体" w:cs="宋体"/>
                <w:sz w:val="24"/>
                <w:szCs w:val="24"/>
                <w:highlight w:val="yellow"/>
                <w:lang w:val="en-US" w:eastAsia="zh-CN"/>
              </w:rPr>
              <w:t>中国重汽科技大厦</w:t>
            </w:r>
            <w:r>
              <w:rPr>
                <w:rFonts w:hint="eastAsia" w:ascii="宋体" w:hAnsi="宋体" w:cs="宋体"/>
                <w:sz w:val="24"/>
                <w:highlight w:val="yellow"/>
              </w:rPr>
              <w:t>会议室</w:t>
            </w:r>
            <w:r>
              <w:rPr>
                <w:rFonts w:hint="eastAsia" w:ascii="宋体" w:hAnsi="宋体" w:cs="宋体"/>
                <w:sz w:val="24"/>
                <w:highlight w:val="none"/>
              </w:rPr>
              <w:t>。</w:t>
            </w:r>
          </w:p>
          <w:p w14:paraId="4056C3B3">
            <w:pPr>
              <w:pStyle w:val="6"/>
              <w:ind w:firstLine="480"/>
              <w:rPr>
                <w:highlight w:val="none"/>
              </w:rPr>
            </w:pPr>
            <w:r>
              <w:rPr>
                <w:rFonts w:hint="eastAsia" w:ascii="宋体" w:hAnsi="宋体" w:cs="宋体"/>
                <w:kern w:val="2"/>
                <w:sz w:val="24"/>
                <w:highlight w:val="none"/>
              </w:rPr>
              <w:t xml:space="preserve"> 注：投标人须自备电脑和U盘。</w:t>
            </w:r>
          </w:p>
        </w:tc>
      </w:tr>
      <w:tr w14:paraId="28A4837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16" w:hRule="atLeast"/>
          <w:jc w:val="center"/>
        </w:trPr>
        <w:tc>
          <w:tcPr>
            <w:tcW w:w="8958" w:type="dxa"/>
            <w:gridSpan w:val="2"/>
            <w:tcBorders>
              <w:top w:val="single" w:color="auto" w:sz="2" w:space="0"/>
              <w:left w:val="single" w:color="auto" w:sz="2" w:space="0"/>
              <w:bottom w:val="single" w:color="auto" w:sz="2" w:space="0"/>
              <w:right w:val="single" w:color="auto" w:sz="2" w:space="0"/>
            </w:tcBorders>
            <w:vAlign w:val="center"/>
          </w:tcPr>
          <w:p w14:paraId="67BEE532">
            <w:pPr>
              <w:spacing w:line="360" w:lineRule="auto"/>
              <w:jc w:val="center"/>
              <w:rPr>
                <w:rFonts w:ascii="宋体" w:hAnsi="宋体"/>
                <w:b/>
                <w:bCs/>
                <w:sz w:val="24"/>
                <w:szCs w:val="24"/>
              </w:rPr>
            </w:pPr>
            <w:r>
              <w:rPr>
                <w:rFonts w:hint="eastAsia" w:ascii="宋体" w:hAnsi="宋体" w:cs="宋体"/>
                <w:b/>
                <w:bCs/>
                <w:sz w:val="24"/>
              </w:rPr>
              <w:t>开标</w:t>
            </w:r>
          </w:p>
        </w:tc>
      </w:tr>
      <w:tr w14:paraId="0440F8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913"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7B51517F">
            <w:pPr>
              <w:spacing w:line="360" w:lineRule="auto"/>
              <w:jc w:val="center"/>
              <w:rPr>
                <w:rFonts w:ascii="宋体" w:hAnsi="宋体"/>
                <w:sz w:val="24"/>
                <w:szCs w:val="24"/>
              </w:rPr>
            </w:pPr>
            <w:r>
              <w:rPr>
                <w:rFonts w:hint="eastAsia" w:ascii="宋体" w:hAnsi="宋体" w:cs="宋体"/>
                <w:sz w:val="24"/>
              </w:rPr>
              <w:t>15</w:t>
            </w:r>
          </w:p>
        </w:tc>
        <w:tc>
          <w:tcPr>
            <w:tcW w:w="8305" w:type="dxa"/>
            <w:tcBorders>
              <w:top w:val="single" w:color="auto" w:sz="2" w:space="0"/>
              <w:left w:val="single" w:color="auto" w:sz="2" w:space="0"/>
              <w:bottom w:val="single" w:color="auto" w:sz="2" w:space="0"/>
              <w:right w:val="single" w:color="auto" w:sz="2" w:space="0"/>
            </w:tcBorders>
            <w:vAlign w:val="center"/>
          </w:tcPr>
          <w:p w14:paraId="67BE7C13">
            <w:pPr>
              <w:spacing w:line="360" w:lineRule="auto"/>
              <w:ind w:firstLine="523" w:firstLineChars="218"/>
              <w:rPr>
                <w:rFonts w:ascii="宋体" w:hAnsi="宋体" w:cs="宋体"/>
                <w:sz w:val="24"/>
                <w:highlight w:val="none"/>
              </w:rPr>
            </w:pPr>
            <w:r>
              <w:rPr>
                <w:rFonts w:hint="eastAsia" w:ascii="宋体" w:hAnsi="宋体" w:cs="宋体"/>
                <w:sz w:val="24"/>
                <w:highlight w:val="none"/>
              </w:rPr>
              <w:t>开标时间：</w:t>
            </w:r>
            <w:r>
              <w:rPr>
                <w:rFonts w:hint="eastAsia" w:ascii="宋体" w:hAnsi="宋体" w:cs="宋体"/>
                <w:sz w:val="24"/>
                <w:highlight w:val="none"/>
                <w:lang w:eastAsia="zh-CN"/>
              </w:rPr>
              <w:t>2026</w:t>
            </w:r>
            <w:r>
              <w:rPr>
                <w:rFonts w:hint="eastAsia" w:ascii="宋体" w:hAnsi="宋体" w:cs="宋体"/>
                <w:sz w:val="24"/>
                <w:highlight w:val="none"/>
              </w:rPr>
              <w:t>年</w:t>
            </w:r>
            <w:r>
              <w:rPr>
                <w:rFonts w:hint="eastAsia" w:ascii="宋体" w:hAnsi="宋体" w:cs="宋体"/>
                <w:sz w:val="24"/>
                <w:highlight w:val="yellow"/>
                <w:lang w:val="en-US" w:eastAsia="zh-CN"/>
              </w:rPr>
              <w:t>11</w:t>
            </w:r>
            <w:r>
              <w:rPr>
                <w:rFonts w:hint="eastAsia" w:ascii="宋体" w:hAnsi="宋体" w:cs="宋体"/>
                <w:sz w:val="24"/>
                <w:highlight w:val="yellow"/>
                <w:lang w:eastAsia="zh-CN"/>
              </w:rPr>
              <w:t>月</w:t>
            </w:r>
            <w:r>
              <w:rPr>
                <w:rFonts w:hint="eastAsia" w:ascii="宋体" w:hAnsi="宋体" w:cs="宋体"/>
                <w:sz w:val="24"/>
                <w:highlight w:val="yellow"/>
                <w:lang w:val="en-US" w:eastAsia="zh-CN"/>
              </w:rPr>
              <w:t>3</w:t>
            </w:r>
            <w:r>
              <w:rPr>
                <w:rFonts w:hint="eastAsia" w:ascii="宋体" w:hAnsi="宋体" w:cs="宋体"/>
                <w:sz w:val="24"/>
                <w:highlight w:val="yellow"/>
                <w:lang w:eastAsia="zh-CN"/>
              </w:rPr>
              <w:t>日</w:t>
            </w:r>
            <w:r>
              <w:rPr>
                <w:rFonts w:hint="eastAsia" w:ascii="宋体" w:hAnsi="宋体" w:cs="宋体"/>
                <w:sz w:val="24"/>
                <w:highlight w:val="none"/>
                <w:lang w:val="en-US" w:eastAsia="zh-CN"/>
              </w:rPr>
              <w:t>9</w:t>
            </w:r>
            <w:r>
              <w:rPr>
                <w:rFonts w:hint="eastAsia" w:ascii="宋体" w:hAnsi="宋体" w:cs="宋体"/>
                <w:sz w:val="24"/>
                <w:highlight w:val="none"/>
                <w:lang w:eastAsia="zh-CN"/>
              </w:rPr>
              <w:t>点</w:t>
            </w:r>
            <w:r>
              <w:rPr>
                <w:rFonts w:hint="eastAsia" w:ascii="宋体" w:hAnsi="宋体" w:cs="宋体"/>
                <w:sz w:val="24"/>
                <w:highlight w:val="none"/>
                <w:lang w:val="en-US" w:eastAsia="zh-CN"/>
              </w:rPr>
              <w:t>0</w:t>
            </w:r>
            <w:r>
              <w:rPr>
                <w:rFonts w:hint="eastAsia" w:ascii="宋体" w:hAnsi="宋体" w:cs="宋体"/>
                <w:sz w:val="24"/>
                <w:highlight w:val="none"/>
                <w:lang w:eastAsia="zh-CN"/>
              </w:rPr>
              <w:t>分（</w:t>
            </w:r>
            <w:r>
              <w:rPr>
                <w:rFonts w:hint="eastAsia" w:ascii="宋体" w:hAnsi="宋体" w:cs="宋体"/>
                <w:sz w:val="24"/>
                <w:highlight w:val="none"/>
              </w:rPr>
              <w:t>北京时间）</w:t>
            </w:r>
          </w:p>
          <w:p w14:paraId="189D4693">
            <w:pPr>
              <w:spacing w:line="360" w:lineRule="auto"/>
              <w:ind w:firstLine="523" w:firstLineChars="218"/>
              <w:rPr>
                <w:rFonts w:ascii="宋体" w:hAnsi="宋体" w:cs="宋体"/>
                <w:sz w:val="24"/>
                <w:highlight w:val="none"/>
              </w:rPr>
            </w:pPr>
            <w:r>
              <w:rPr>
                <w:rFonts w:hint="eastAsia" w:ascii="宋体" w:hAnsi="宋体" w:cs="宋体"/>
                <w:sz w:val="24"/>
                <w:highlight w:val="none"/>
              </w:rPr>
              <w:t>开标地点：同投标文件递交地点。</w:t>
            </w:r>
          </w:p>
          <w:p w14:paraId="36DE0192">
            <w:pPr>
              <w:pStyle w:val="6"/>
              <w:rPr>
                <w:highlight w:val="none"/>
              </w:rPr>
            </w:pPr>
            <w:r>
              <w:rPr>
                <w:rFonts w:hint="eastAsia"/>
                <w:highlight w:val="none"/>
              </w:rPr>
              <w:t xml:space="preserve"> </w:t>
            </w:r>
            <w:r>
              <w:rPr>
                <w:rFonts w:hint="eastAsia" w:ascii="宋体" w:hAnsi="宋体" w:cs="宋体"/>
                <w:kern w:val="2"/>
                <w:sz w:val="24"/>
                <w:highlight w:val="none"/>
              </w:rPr>
              <w:t>开标方式：中国重汽e采通线上开标+线下商谈</w:t>
            </w:r>
          </w:p>
        </w:tc>
      </w:tr>
      <w:tr w14:paraId="16D16D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93"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267F5284">
            <w:pPr>
              <w:spacing w:line="360" w:lineRule="auto"/>
              <w:jc w:val="center"/>
              <w:rPr>
                <w:rFonts w:ascii="宋体" w:hAnsi="宋体"/>
                <w:sz w:val="24"/>
                <w:szCs w:val="24"/>
              </w:rPr>
            </w:pPr>
            <w:r>
              <w:rPr>
                <w:rFonts w:hint="eastAsia" w:ascii="宋体" w:hAnsi="宋体" w:cs="宋体"/>
                <w:sz w:val="24"/>
              </w:rPr>
              <w:t>16</w:t>
            </w:r>
          </w:p>
        </w:tc>
        <w:tc>
          <w:tcPr>
            <w:tcW w:w="8305" w:type="dxa"/>
            <w:tcBorders>
              <w:top w:val="single" w:color="auto" w:sz="2" w:space="0"/>
              <w:left w:val="single" w:color="auto" w:sz="2" w:space="0"/>
              <w:bottom w:val="single" w:color="auto" w:sz="2" w:space="0"/>
              <w:right w:val="single" w:color="auto" w:sz="2" w:space="0"/>
            </w:tcBorders>
            <w:vAlign w:val="center"/>
          </w:tcPr>
          <w:p w14:paraId="5243FFC9">
            <w:pPr>
              <w:spacing w:line="360" w:lineRule="auto"/>
              <w:ind w:firstLine="523" w:firstLineChars="218"/>
              <w:rPr>
                <w:rFonts w:ascii="宋体" w:hAnsi="宋体" w:cs="宋体"/>
                <w:b w:val="0"/>
                <w:bCs/>
                <w:sz w:val="24"/>
                <w:szCs w:val="24"/>
              </w:rPr>
            </w:pPr>
            <w:r>
              <w:rPr>
                <w:rFonts w:hint="eastAsia" w:ascii="宋体" w:hAnsi="宋体" w:cs="宋体"/>
                <w:b w:val="0"/>
                <w:bCs/>
                <w:sz w:val="24"/>
              </w:rPr>
              <w:t>开标资格审查资料：</w:t>
            </w:r>
          </w:p>
          <w:p w14:paraId="4F587EB8">
            <w:pPr>
              <w:spacing w:line="360" w:lineRule="auto"/>
              <w:ind w:firstLine="523" w:firstLineChars="218"/>
              <w:rPr>
                <w:rFonts w:ascii="宋体" w:hAnsi="宋体" w:cs="宋体"/>
                <w:b w:val="0"/>
                <w:bCs/>
                <w:sz w:val="24"/>
              </w:rPr>
            </w:pPr>
            <w:r>
              <w:rPr>
                <w:rFonts w:hint="eastAsia" w:ascii="宋体" w:hAnsi="宋体" w:cs="宋体"/>
                <w:b w:val="0"/>
                <w:bCs/>
                <w:sz w:val="24"/>
              </w:rPr>
              <w:t>开标时将核验投标人的以下资格证件：</w:t>
            </w:r>
          </w:p>
          <w:p w14:paraId="7B28DCB0">
            <w:pPr>
              <w:tabs>
                <w:tab w:val="left" w:pos="6313"/>
              </w:tabs>
              <w:spacing w:line="360" w:lineRule="auto"/>
              <w:ind w:firstLine="480" w:firstLineChars="200"/>
              <w:rPr>
                <w:rFonts w:ascii="宋体" w:hAnsi="宋体"/>
                <w:b w:val="0"/>
                <w:bCs/>
                <w:sz w:val="24"/>
              </w:rPr>
            </w:pPr>
            <w:r>
              <w:rPr>
                <w:rFonts w:hint="eastAsia" w:ascii="宋体" w:hAnsi="宋体"/>
                <w:b w:val="0"/>
                <w:bCs/>
                <w:sz w:val="24"/>
              </w:rPr>
              <w:t>营业执照副本原件、复印件（加盖公章），《道路运输经营许可证》原件及复印件(加盖公章)</w:t>
            </w:r>
            <w:r>
              <w:rPr>
                <w:rFonts w:hint="eastAsia" w:ascii="宋体" w:hAnsi="宋体"/>
                <w:b w:val="0"/>
                <w:bCs/>
                <w:sz w:val="24"/>
                <w:lang w:eastAsia="zh-CN"/>
              </w:rPr>
              <w:t>，</w:t>
            </w:r>
            <w:r>
              <w:rPr>
                <w:rFonts w:hint="eastAsia" w:ascii="宋体" w:hAnsi="宋体"/>
                <w:b w:val="0"/>
                <w:bCs/>
                <w:sz w:val="24"/>
                <w:lang w:val="en-US" w:eastAsia="zh-CN"/>
              </w:rPr>
              <w:t>大件运输资质许可</w:t>
            </w:r>
            <w:r>
              <w:rPr>
                <w:rFonts w:hint="eastAsia" w:ascii="宋体" w:hAnsi="宋体"/>
                <w:b w:val="0"/>
                <w:bCs/>
                <w:sz w:val="24"/>
              </w:rPr>
              <w:t>；</w:t>
            </w:r>
          </w:p>
          <w:p w14:paraId="6DB23641">
            <w:pPr>
              <w:tabs>
                <w:tab w:val="left" w:pos="6313"/>
              </w:tabs>
              <w:spacing w:line="360" w:lineRule="auto"/>
              <w:ind w:firstLine="480" w:firstLineChars="200"/>
              <w:rPr>
                <w:rFonts w:ascii="宋体" w:hAnsi="宋体"/>
                <w:b w:val="0"/>
                <w:bCs/>
                <w:sz w:val="24"/>
              </w:rPr>
            </w:pPr>
            <w:r>
              <w:rPr>
                <w:rFonts w:hint="eastAsia" w:ascii="宋体" w:hAnsi="宋体"/>
                <w:b w:val="0"/>
                <w:bCs/>
                <w:sz w:val="24"/>
              </w:rPr>
              <w:t>法定代表人身份证或法定代表人授权委托书原件（加盖公章）；</w:t>
            </w:r>
          </w:p>
          <w:p w14:paraId="1A40D8C9">
            <w:pPr>
              <w:tabs>
                <w:tab w:val="left" w:pos="6313"/>
              </w:tabs>
              <w:spacing w:line="360" w:lineRule="auto"/>
              <w:ind w:firstLine="480" w:firstLineChars="200"/>
              <w:rPr>
                <w:rFonts w:ascii="宋体" w:hAnsi="宋体"/>
                <w:b w:val="0"/>
                <w:bCs/>
                <w:sz w:val="24"/>
              </w:rPr>
            </w:pPr>
            <w:r>
              <w:rPr>
                <w:rFonts w:hint="eastAsia" w:ascii="宋体" w:hAnsi="宋体"/>
                <w:b w:val="0"/>
                <w:bCs/>
                <w:sz w:val="24"/>
              </w:rPr>
              <w:t>法人或授权代表身份证（复印件+原件）；</w:t>
            </w:r>
          </w:p>
          <w:p w14:paraId="2A45B472">
            <w:pPr>
              <w:tabs>
                <w:tab w:val="left" w:pos="6313"/>
              </w:tabs>
              <w:spacing w:line="360" w:lineRule="auto"/>
              <w:ind w:firstLine="480" w:firstLineChars="200"/>
              <w:rPr>
                <w:rFonts w:hint="eastAsia" w:ascii="宋体" w:hAnsi="宋体"/>
                <w:b w:val="0"/>
                <w:bCs/>
                <w:sz w:val="24"/>
              </w:rPr>
            </w:pPr>
            <w:r>
              <w:rPr>
                <w:rFonts w:hint="eastAsia" w:ascii="宋体" w:hAnsi="宋体"/>
                <w:b w:val="0"/>
                <w:bCs/>
                <w:sz w:val="24"/>
              </w:rPr>
              <w:t>信用中国截图（加盖公章）；</w:t>
            </w:r>
          </w:p>
          <w:p w14:paraId="7F8BBCBC">
            <w:pPr>
              <w:tabs>
                <w:tab w:val="left" w:pos="0"/>
              </w:tabs>
              <w:spacing w:line="360" w:lineRule="auto"/>
              <w:ind w:left="506" w:leftChars="241"/>
              <w:rPr>
                <w:rFonts w:hint="eastAsia" w:ascii="宋体" w:hAnsi="宋体"/>
                <w:b w:val="0"/>
                <w:bCs/>
                <w:sz w:val="24"/>
                <w:lang w:eastAsia="zh-CN"/>
              </w:rPr>
            </w:pPr>
            <w:r>
              <w:rPr>
                <w:rFonts w:hint="eastAsia" w:ascii="宋体" w:hAnsi="宋体"/>
                <w:b w:val="0"/>
                <w:bCs/>
                <w:sz w:val="24"/>
              </w:rPr>
              <w:t>投标人应提供企业最近半年完税证明、信用证明材料（征信报告）</w:t>
            </w:r>
            <w:r>
              <w:rPr>
                <w:rFonts w:hint="eastAsia" w:ascii="宋体" w:hAnsi="宋体"/>
                <w:b w:val="0"/>
                <w:bCs/>
                <w:sz w:val="24"/>
                <w:lang w:eastAsia="zh-CN"/>
              </w:rPr>
              <w:t>；</w:t>
            </w:r>
          </w:p>
          <w:p w14:paraId="0D965C7D">
            <w:pPr>
              <w:tabs>
                <w:tab w:val="left" w:pos="0"/>
              </w:tabs>
              <w:spacing w:line="360" w:lineRule="auto"/>
              <w:ind w:left="506" w:leftChars="241"/>
              <w:rPr>
                <w:rFonts w:ascii="宋体" w:hAnsi="宋体"/>
                <w:b w:val="0"/>
                <w:bCs/>
                <w:sz w:val="24"/>
              </w:rPr>
            </w:pPr>
            <w:r>
              <w:rPr>
                <w:rFonts w:hint="eastAsia" w:ascii="宋体" w:hAnsi="宋体"/>
                <w:b w:val="0"/>
                <w:bCs/>
                <w:sz w:val="24"/>
              </w:rPr>
              <w:t>投标人认为对其投标有利的其他资料。</w:t>
            </w:r>
          </w:p>
          <w:p w14:paraId="094BBD29">
            <w:pPr>
              <w:spacing w:line="360" w:lineRule="auto"/>
              <w:ind w:firstLine="525" w:firstLineChars="218"/>
              <w:rPr>
                <w:rFonts w:ascii="宋体" w:hAnsi="宋体" w:cs="宋体"/>
                <w:b/>
                <w:bCs/>
                <w:sz w:val="24"/>
                <w:szCs w:val="24"/>
              </w:rPr>
            </w:pPr>
            <w:r>
              <w:rPr>
                <w:rFonts w:hint="eastAsia" w:ascii="宋体" w:hAnsi="宋体" w:cs="宋体"/>
                <w:b/>
                <w:bCs/>
                <w:sz w:val="24"/>
              </w:rPr>
              <w:t>注：投标方资质文件不全的，招标人有权视情况要求补齐或者退出。</w:t>
            </w:r>
          </w:p>
        </w:tc>
      </w:tr>
      <w:tr w14:paraId="50962C6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0" w:hRule="atLeast"/>
          <w:jc w:val="center"/>
        </w:trPr>
        <w:tc>
          <w:tcPr>
            <w:tcW w:w="8958" w:type="dxa"/>
            <w:gridSpan w:val="2"/>
            <w:tcBorders>
              <w:top w:val="single" w:color="auto" w:sz="2" w:space="0"/>
              <w:left w:val="single" w:color="auto" w:sz="2" w:space="0"/>
              <w:bottom w:val="single" w:color="auto" w:sz="2" w:space="0"/>
              <w:right w:val="single" w:color="auto" w:sz="2" w:space="0"/>
            </w:tcBorders>
            <w:vAlign w:val="center"/>
          </w:tcPr>
          <w:p w14:paraId="1D86C469">
            <w:pPr>
              <w:spacing w:line="360" w:lineRule="auto"/>
              <w:jc w:val="center"/>
              <w:rPr>
                <w:rFonts w:ascii="宋体" w:hAnsi="宋体"/>
                <w:sz w:val="24"/>
                <w:szCs w:val="24"/>
              </w:rPr>
            </w:pPr>
            <w:r>
              <w:rPr>
                <w:rFonts w:hint="eastAsia" w:ascii="宋体" w:hAnsi="宋体" w:cs="宋体"/>
                <w:b/>
                <w:bCs/>
                <w:sz w:val="24"/>
              </w:rPr>
              <w:t>评标</w:t>
            </w:r>
          </w:p>
        </w:tc>
      </w:tr>
      <w:tr w14:paraId="36E4CB0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654D0474">
            <w:pPr>
              <w:spacing w:line="360" w:lineRule="auto"/>
              <w:jc w:val="center"/>
              <w:rPr>
                <w:rFonts w:ascii="宋体" w:hAnsi="宋体"/>
                <w:sz w:val="24"/>
                <w:szCs w:val="24"/>
              </w:rPr>
            </w:pPr>
            <w:r>
              <w:rPr>
                <w:rFonts w:hint="eastAsia" w:ascii="宋体" w:hAnsi="宋体" w:cs="宋体"/>
                <w:sz w:val="24"/>
              </w:rPr>
              <w:t>17</w:t>
            </w:r>
          </w:p>
        </w:tc>
        <w:tc>
          <w:tcPr>
            <w:tcW w:w="8305" w:type="dxa"/>
            <w:tcBorders>
              <w:top w:val="single" w:color="auto" w:sz="2" w:space="0"/>
              <w:left w:val="single" w:color="auto" w:sz="2" w:space="0"/>
              <w:bottom w:val="single" w:color="auto" w:sz="2" w:space="0"/>
              <w:right w:val="single" w:color="auto" w:sz="2" w:space="0"/>
            </w:tcBorders>
            <w:vAlign w:val="center"/>
          </w:tcPr>
          <w:p w14:paraId="56BA0338">
            <w:pPr>
              <w:spacing w:line="360" w:lineRule="auto"/>
              <w:ind w:firstLine="523" w:firstLineChars="218"/>
              <w:rPr>
                <w:rFonts w:ascii="宋体" w:hAnsi="宋体" w:cs="宋体"/>
                <w:sz w:val="24"/>
                <w:szCs w:val="24"/>
              </w:rPr>
            </w:pPr>
            <w:r>
              <w:rPr>
                <w:rFonts w:hint="eastAsia" w:ascii="宋体" w:hAnsi="宋体" w:cs="宋体"/>
                <w:sz w:val="24"/>
              </w:rPr>
              <w:t>评标委员会组成：招标人将根据本项目的特点组建评标委员会</w:t>
            </w:r>
            <w:r>
              <w:rPr>
                <w:rFonts w:hint="eastAsia" w:ascii="宋体" w:hAnsi="宋体" w:cs="宋体"/>
                <w:sz w:val="24"/>
                <w:lang w:eastAsia="zh-CN"/>
              </w:rPr>
              <w:t>，</w:t>
            </w:r>
            <w:r>
              <w:rPr>
                <w:rFonts w:hint="eastAsia" w:ascii="宋体" w:hAnsi="宋体" w:cs="宋体"/>
                <w:sz w:val="24"/>
              </w:rPr>
              <w:t>由五人或以上单数组成。</w:t>
            </w:r>
          </w:p>
        </w:tc>
      </w:tr>
      <w:tr w14:paraId="67651FD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543" w:hRule="atLeast"/>
          <w:jc w:val="center"/>
        </w:trPr>
        <w:tc>
          <w:tcPr>
            <w:tcW w:w="653" w:type="dxa"/>
            <w:tcBorders>
              <w:top w:val="single" w:color="auto" w:sz="2" w:space="0"/>
              <w:left w:val="single" w:color="auto" w:sz="2" w:space="0"/>
              <w:bottom w:val="single" w:color="auto" w:sz="2" w:space="0"/>
              <w:right w:val="single" w:color="auto" w:sz="2" w:space="0"/>
            </w:tcBorders>
            <w:vAlign w:val="center"/>
          </w:tcPr>
          <w:p w14:paraId="6F68202F">
            <w:pPr>
              <w:spacing w:line="360" w:lineRule="auto"/>
              <w:jc w:val="center"/>
              <w:rPr>
                <w:rFonts w:ascii="宋体" w:hAnsi="宋体"/>
                <w:sz w:val="24"/>
                <w:szCs w:val="24"/>
              </w:rPr>
            </w:pPr>
            <w:r>
              <w:rPr>
                <w:rFonts w:hint="eastAsia" w:ascii="宋体" w:hAnsi="宋体" w:cs="宋体"/>
                <w:sz w:val="24"/>
              </w:rPr>
              <w:t>18</w:t>
            </w:r>
          </w:p>
        </w:tc>
        <w:tc>
          <w:tcPr>
            <w:tcW w:w="8305" w:type="dxa"/>
            <w:tcBorders>
              <w:top w:val="single" w:color="auto" w:sz="2" w:space="0"/>
              <w:left w:val="single" w:color="auto" w:sz="2" w:space="0"/>
              <w:bottom w:val="single" w:color="auto" w:sz="2" w:space="0"/>
              <w:right w:val="single" w:color="auto" w:sz="2" w:space="0"/>
            </w:tcBorders>
            <w:vAlign w:val="center"/>
          </w:tcPr>
          <w:p w14:paraId="19B42493">
            <w:pPr>
              <w:pStyle w:val="7"/>
              <w:spacing w:after="0" w:line="360" w:lineRule="auto"/>
              <w:ind w:firstLine="480" w:firstLineChars="200"/>
              <w:rPr>
                <w:rFonts w:hint="default" w:ascii="宋体" w:hAnsi="宋体" w:eastAsia="宋体" w:cs="宋体"/>
                <w:kern w:val="2"/>
                <w:sz w:val="24"/>
                <w:lang w:val="en-US" w:eastAsia="zh-CN"/>
              </w:rPr>
            </w:pPr>
            <w:bookmarkStart w:id="81" w:name="OLE_LINK1"/>
            <w:r>
              <w:rPr>
                <w:rFonts w:hint="eastAsia" w:ascii="宋体" w:hAnsi="宋体" w:cs="宋体"/>
                <w:kern w:val="2"/>
                <w:sz w:val="24"/>
              </w:rPr>
              <w:t>本次评标采用资质审查、商务唱标、技术评标、商务</w:t>
            </w:r>
            <w:r>
              <w:rPr>
                <w:rFonts w:hint="eastAsia" w:ascii="宋体" w:hAnsi="宋体" w:cs="宋体"/>
                <w:kern w:val="2"/>
                <w:sz w:val="24"/>
                <w:lang w:val="en-US" w:eastAsia="zh-CN"/>
              </w:rPr>
              <w:t>竞价</w:t>
            </w:r>
            <w:r>
              <w:rPr>
                <w:rFonts w:hint="eastAsia" w:ascii="宋体" w:hAnsi="宋体" w:cs="宋体"/>
                <w:kern w:val="2"/>
                <w:sz w:val="24"/>
              </w:rPr>
              <w:t>四个阶段开标模式。首先进行资质审查，符合资质的投标方进入</w:t>
            </w:r>
            <w:r>
              <w:rPr>
                <w:rFonts w:hint="eastAsia" w:ascii="宋体" w:hAnsi="宋体" w:cs="宋体"/>
                <w:kern w:val="2"/>
                <w:sz w:val="24"/>
                <w:lang w:val="en-US" w:eastAsia="zh-CN"/>
              </w:rPr>
              <w:t>技术标评价</w:t>
            </w:r>
            <w:r>
              <w:rPr>
                <w:rFonts w:hint="eastAsia" w:ascii="宋体" w:hAnsi="宋体" w:cs="宋体"/>
                <w:kern w:val="2"/>
                <w:sz w:val="24"/>
              </w:rPr>
              <w:t>。</w:t>
            </w:r>
            <w:r>
              <w:rPr>
                <w:rFonts w:hint="eastAsia" w:ascii="宋体" w:hAnsi="宋体" w:cs="宋体"/>
                <w:kern w:val="2"/>
                <w:sz w:val="24"/>
                <w:highlight w:val="none"/>
              </w:rPr>
              <w:t>招标人根据项目情况，采取多轮评标模式，</w:t>
            </w:r>
            <w:bookmarkEnd w:id="81"/>
            <w:r>
              <w:rPr>
                <w:rFonts w:hint="eastAsia" w:ascii="宋体" w:hAnsi="宋体" w:cs="宋体"/>
                <w:kern w:val="2"/>
                <w:sz w:val="24"/>
                <w:highlight w:val="none"/>
              </w:rPr>
              <w:t>最终根据技术标+商务标整体得分评标法确定中标方和备用方。技术标满分100分，</w:t>
            </w:r>
            <w:r>
              <w:rPr>
                <w:rFonts w:hint="eastAsia" w:ascii="宋体" w:hAnsi="宋体" w:cs="宋体"/>
                <w:kern w:val="2"/>
                <w:sz w:val="24"/>
                <w:highlight w:val="none"/>
                <w:lang w:val="en-US" w:eastAsia="zh-CN"/>
              </w:rPr>
              <w:t>技术标达到</w:t>
            </w:r>
            <w:r>
              <w:rPr>
                <w:rFonts w:hint="eastAsia" w:ascii="宋体" w:hAnsi="宋体" w:cs="宋体"/>
                <w:kern w:val="2"/>
                <w:sz w:val="24"/>
                <w:highlight w:val="yellow"/>
                <w:lang w:val="en-US" w:eastAsia="zh-CN"/>
              </w:rPr>
              <w:t>60分</w:t>
            </w:r>
            <w:r>
              <w:rPr>
                <w:rFonts w:hint="eastAsia" w:ascii="宋体" w:hAnsi="宋体" w:cs="宋体"/>
                <w:kern w:val="2"/>
                <w:sz w:val="24"/>
                <w:highlight w:val="none"/>
                <w:lang w:val="en-US" w:eastAsia="zh-CN"/>
              </w:rPr>
              <w:t>以上方可入围，</w:t>
            </w:r>
            <w:r>
              <w:rPr>
                <w:rFonts w:hint="eastAsia" w:ascii="宋体" w:hAnsi="宋体" w:cs="宋体"/>
                <w:kern w:val="2"/>
                <w:sz w:val="24"/>
                <w:highlight w:val="none"/>
              </w:rPr>
              <w:t>评标专家组根据评标现场情况确定入围名单；</w:t>
            </w:r>
            <w:r>
              <w:rPr>
                <w:rFonts w:hint="eastAsia" w:ascii="宋体" w:hAnsi="宋体" w:cs="宋体"/>
                <w:kern w:val="2"/>
                <w:sz w:val="24"/>
                <w:highlight w:val="none"/>
                <w:lang w:val="en-US" w:eastAsia="zh-CN"/>
              </w:rPr>
              <w:t>商务标阶段每轮按照投标方的综合得分（</w:t>
            </w:r>
            <w:r>
              <w:rPr>
                <w:rFonts w:hint="eastAsia" w:ascii="宋体" w:hAnsi="宋体" w:cs="宋体"/>
                <w:kern w:val="2"/>
                <w:sz w:val="24"/>
                <w:highlight w:val="none"/>
              </w:rPr>
              <w:t>技术标（</w:t>
            </w:r>
            <w:r>
              <w:rPr>
                <w:rFonts w:hint="eastAsia" w:ascii="宋体" w:hAnsi="宋体" w:cs="宋体"/>
                <w:kern w:val="2"/>
                <w:sz w:val="24"/>
                <w:highlight w:val="none"/>
                <w:lang w:val="en-US" w:eastAsia="zh-CN"/>
              </w:rPr>
              <w:t>2</w:t>
            </w:r>
            <w:r>
              <w:rPr>
                <w:rFonts w:hint="eastAsia" w:ascii="宋体" w:hAnsi="宋体" w:cs="宋体"/>
                <w:kern w:val="2"/>
                <w:sz w:val="24"/>
                <w:highlight w:val="none"/>
              </w:rPr>
              <w:t>0%）+商务标（</w:t>
            </w:r>
            <w:r>
              <w:rPr>
                <w:rFonts w:hint="eastAsia" w:ascii="宋体" w:hAnsi="宋体" w:cs="宋体"/>
                <w:kern w:val="2"/>
                <w:sz w:val="24"/>
                <w:highlight w:val="none"/>
                <w:lang w:val="en-US" w:eastAsia="zh-CN"/>
              </w:rPr>
              <w:t>8</w:t>
            </w:r>
            <w:r>
              <w:rPr>
                <w:rFonts w:hint="eastAsia" w:ascii="宋体" w:hAnsi="宋体" w:cs="宋体"/>
                <w:kern w:val="2"/>
                <w:sz w:val="24"/>
                <w:highlight w:val="none"/>
              </w:rPr>
              <w:t>0%）</w:t>
            </w:r>
            <w:r>
              <w:rPr>
                <w:rFonts w:hint="eastAsia" w:ascii="宋体" w:hAnsi="宋体" w:cs="宋体"/>
                <w:kern w:val="2"/>
                <w:sz w:val="24"/>
                <w:highlight w:val="none"/>
                <w:lang w:val="en-US" w:eastAsia="zh-CN"/>
              </w:rPr>
              <w:t>）决定入围名单，</w:t>
            </w:r>
            <w:r>
              <w:rPr>
                <w:rFonts w:hint="eastAsia" w:ascii="宋体" w:hAnsi="宋体" w:cs="宋体"/>
                <w:kern w:val="2"/>
                <w:sz w:val="24"/>
                <w:highlight w:val="none"/>
              </w:rPr>
              <w:t>最终轮次，</w:t>
            </w:r>
            <w:r>
              <w:rPr>
                <w:rFonts w:hint="eastAsia" w:ascii="宋体" w:hAnsi="宋体" w:cs="宋体"/>
                <w:kern w:val="2"/>
                <w:sz w:val="24"/>
                <w:highlight w:val="none"/>
                <w:lang w:val="en-US" w:eastAsia="zh-CN"/>
              </w:rPr>
              <w:t>综合</w:t>
            </w:r>
            <w:r>
              <w:rPr>
                <w:rFonts w:hint="eastAsia" w:ascii="宋体" w:hAnsi="宋体" w:cs="宋体"/>
                <w:kern w:val="2"/>
                <w:sz w:val="24"/>
                <w:highlight w:val="none"/>
              </w:rPr>
              <w:t>得分</w:t>
            </w:r>
            <w:r>
              <w:rPr>
                <w:rFonts w:hint="eastAsia" w:ascii="宋体" w:hAnsi="宋体" w:cs="宋体"/>
                <w:kern w:val="2"/>
                <w:sz w:val="24"/>
                <w:highlight w:val="none"/>
                <w:lang w:val="en-US" w:eastAsia="zh-CN"/>
              </w:rPr>
              <w:t>前两名</w:t>
            </w:r>
            <w:r>
              <w:rPr>
                <w:rFonts w:hint="eastAsia" w:ascii="宋体" w:hAnsi="宋体" w:cs="宋体"/>
                <w:kern w:val="2"/>
                <w:sz w:val="24"/>
                <w:highlight w:val="none"/>
              </w:rPr>
              <w:t>中标（商务标计分方法：</w:t>
            </w:r>
            <w:r>
              <w:rPr>
                <w:rFonts w:hint="eastAsia" w:ascii="宋体" w:hAnsi="宋体" w:cs="宋体"/>
                <w:kern w:val="2"/>
                <w:sz w:val="24"/>
                <w:highlight w:val="none"/>
                <w:lang w:val="en-US" w:eastAsia="zh-CN"/>
              </w:rPr>
              <w:t>当前</w:t>
            </w:r>
            <w:r>
              <w:rPr>
                <w:rFonts w:hint="eastAsia" w:ascii="宋体" w:hAnsi="宋体" w:cs="宋体"/>
                <w:kern w:val="2"/>
                <w:sz w:val="24"/>
                <w:highlight w:val="none"/>
              </w:rPr>
              <w:t>最低价/投标单位当前报价*</w:t>
            </w:r>
            <w:r>
              <w:rPr>
                <w:rFonts w:hint="eastAsia" w:ascii="宋体" w:hAnsi="宋体" w:cs="宋体"/>
                <w:kern w:val="2"/>
                <w:sz w:val="24"/>
                <w:highlight w:val="none"/>
                <w:lang w:val="en-US" w:eastAsia="zh-CN"/>
              </w:rPr>
              <w:t>8</w:t>
            </w:r>
            <w:r>
              <w:rPr>
                <w:rFonts w:hint="eastAsia" w:ascii="宋体" w:hAnsi="宋体" w:cs="宋体"/>
                <w:kern w:val="2"/>
                <w:sz w:val="24"/>
                <w:highlight w:val="none"/>
              </w:rPr>
              <w:t>0）；</w:t>
            </w:r>
          </w:p>
        </w:tc>
      </w:tr>
      <w:bookmarkEnd w:id="80"/>
    </w:tbl>
    <w:p w14:paraId="59DC895C">
      <w:pPr>
        <w:pStyle w:val="3"/>
        <w:numPr>
          <w:ilvl w:val="1"/>
          <w:numId w:val="0"/>
        </w:numPr>
        <w:spacing w:before="0" w:beforeLines="0" w:line="360" w:lineRule="auto"/>
        <w:ind w:firstLine="562" w:firstLineChars="200"/>
        <w:rPr>
          <w:rFonts w:hint="eastAsia"/>
          <w:sz w:val="28"/>
          <w:szCs w:val="28"/>
          <w:lang w:val="en-US" w:eastAsia="zh-CN"/>
        </w:rPr>
      </w:pPr>
      <w:bookmarkStart w:id="82" w:name="_Toc14174"/>
      <w:bookmarkStart w:id="83" w:name="_Toc31420"/>
      <w:bookmarkStart w:id="84" w:name="_Toc10842"/>
    </w:p>
    <w:p w14:paraId="6ACD1498">
      <w:pPr>
        <w:pStyle w:val="3"/>
        <w:numPr>
          <w:ilvl w:val="1"/>
          <w:numId w:val="0"/>
        </w:numPr>
        <w:spacing w:before="0" w:beforeLines="0" w:line="360" w:lineRule="auto"/>
        <w:ind w:firstLine="562" w:firstLineChars="200"/>
        <w:rPr>
          <w:sz w:val="28"/>
          <w:szCs w:val="28"/>
        </w:rPr>
      </w:pPr>
      <w:r>
        <w:rPr>
          <w:rFonts w:hint="eastAsia"/>
          <w:sz w:val="28"/>
          <w:szCs w:val="28"/>
          <w:lang w:val="en-US" w:eastAsia="zh-CN"/>
        </w:rPr>
        <w:t>2.2</w:t>
      </w:r>
      <w:r>
        <w:rPr>
          <w:rFonts w:hint="eastAsia"/>
          <w:sz w:val="28"/>
          <w:szCs w:val="28"/>
        </w:rPr>
        <w:t>投标文件编写</w:t>
      </w:r>
      <w:bookmarkEnd w:id="82"/>
      <w:bookmarkEnd w:id="83"/>
      <w:bookmarkEnd w:id="84"/>
    </w:p>
    <w:p w14:paraId="15C9BB09">
      <w:pPr>
        <w:pStyle w:val="4"/>
        <w:numPr>
          <w:ilvl w:val="2"/>
          <w:numId w:val="0"/>
        </w:numPr>
        <w:ind w:leftChars="200"/>
      </w:pPr>
      <w:bookmarkStart w:id="85" w:name="_Toc92678113"/>
      <w:bookmarkStart w:id="86" w:name="_Toc212369512"/>
      <w:r>
        <w:rPr>
          <w:rFonts w:hint="eastAsia"/>
          <w:lang w:val="en-US" w:eastAsia="zh-CN"/>
        </w:rPr>
        <w:t>2.2.1</w:t>
      </w:r>
      <w:r>
        <w:rPr>
          <w:rFonts w:hint="eastAsia"/>
        </w:rPr>
        <w:t>投标报价语言及计量单位</w:t>
      </w:r>
      <w:bookmarkEnd w:id="85"/>
      <w:bookmarkEnd w:id="86"/>
    </w:p>
    <w:p w14:paraId="683BA02E">
      <w:pPr>
        <w:tabs>
          <w:tab w:val="left" w:pos="6313"/>
        </w:tabs>
        <w:spacing w:line="360" w:lineRule="auto"/>
        <w:ind w:firstLine="480" w:firstLineChars="200"/>
        <w:rPr>
          <w:rFonts w:ascii="宋体" w:hAnsi="宋体"/>
          <w:sz w:val="24"/>
        </w:rPr>
      </w:pPr>
      <w:r>
        <w:rPr>
          <w:rFonts w:ascii="宋体" w:hAnsi="宋体"/>
          <w:sz w:val="24"/>
        </w:rPr>
        <w:t>投标文件和与投标有关的所有文件均应使用</w:t>
      </w:r>
      <w:r>
        <w:rPr>
          <w:rFonts w:hint="eastAsia" w:ascii="宋体" w:hAnsi="宋体"/>
          <w:sz w:val="24"/>
        </w:rPr>
        <w:t>中文。</w:t>
      </w:r>
    </w:p>
    <w:p w14:paraId="07453607">
      <w:pPr>
        <w:tabs>
          <w:tab w:val="left" w:pos="6313"/>
        </w:tabs>
        <w:spacing w:line="360" w:lineRule="auto"/>
        <w:ind w:firstLine="480" w:firstLineChars="200"/>
        <w:rPr>
          <w:rFonts w:ascii="宋体" w:hAnsi="宋体"/>
          <w:sz w:val="24"/>
        </w:rPr>
      </w:pPr>
      <w:r>
        <w:rPr>
          <w:rFonts w:hint="eastAsia" w:ascii="宋体" w:hAnsi="宋体"/>
          <w:sz w:val="24"/>
        </w:rPr>
        <w:t>除投标文件的技术规格中另有规定外，投标文件中所使用的计量单位应为中华人民共和国法定计量单位。</w:t>
      </w:r>
    </w:p>
    <w:p w14:paraId="0160EE72">
      <w:pPr>
        <w:pStyle w:val="4"/>
        <w:numPr>
          <w:ilvl w:val="2"/>
          <w:numId w:val="0"/>
        </w:numPr>
        <w:ind w:leftChars="200"/>
      </w:pPr>
      <w:bookmarkStart w:id="87" w:name="_Toc92678114"/>
      <w:bookmarkStart w:id="88" w:name="_Toc212369513"/>
      <w:r>
        <w:rPr>
          <w:rFonts w:hint="eastAsia"/>
          <w:lang w:val="en-US" w:eastAsia="zh-CN"/>
        </w:rPr>
        <w:t>2.2.2</w:t>
      </w:r>
      <w:r>
        <w:rPr>
          <w:rFonts w:hint="eastAsia"/>
        </w:rPr>
        <w:t>投标文件组成</w:t>
      </w:r>
      <w:bookmarkEnd w:id="87"/>
      <w:bookmarkEnd w:id="88"/>
    </w:p>
    <w:p w14:paraId="081A13EE">
      <w:pPr>
        <w:spacing w:line="360" w:lineRule="auto"/>
        <w:ind w:firstLine="482" w:firstLineChars="200"/>
        <w:rPr>
          <w:rFonts w:hint="eastAsia" w:ascii="宋体" w:hAnsi="宋体" w:cs="宋体"/>
          <w:b/>
          <w:bCs/>
          <w:sz w:val="24"/>
          <w:lang w:eastAsia="zh-CN"/>
        </w:rPr>
      </w:pPr>
      <w:r>
        <w:rPr>
          <w:rFonts w:hint="eastAsia" w:ascii="宋体" w:hAnsi="宋体" w:cs="宋体"/>
          <w:b/>
          <w:bCs/>
          <w:sz w:val="24"/>
        </w:rPr>
        <w:t>投标人的投标文件由资格证明文件、商务标、开标一览表构成，如因投标文件混装、密封等问题造成的废标等后果均由投标方承担</w:t>
      </w:r>
      <w:r>
        <w:rPr>
          <w:rFonts w:hint="eastAsia" w:ascii="宋体" w:hAnsi="宋体" w:cs="宋体"/>
          <w:b/>
          <w:bCs/>
          <w:sz w:val="24"/>
          <w:lang w:eastAsia="zh-CN"/>
        </w:rPr>
        <w:t>。</w:t>
      </w:r>
    </w:p>
    <w:p w14:paraId="125A3CCD">
      <w:pPr>
        <w:keepNext w:val="0"/>
        <w:keepLines w:val="0"/>
        <w:widowControl/>
        <w:suppressLineNumbers w:val="0"/>
        <w:spacing w:line="360" w:lineRule="auto"/>
        <w:ind w:firstLine="480" w:firstLineChars="200"/>
        <w:jc w:val="left"/>
        <w:rPr>
          <w:rFonts w:hint="eastAsia" w:ascii="宋体" w:hAnsi="宋体" w:cs="宋体"/>
          <w:b w:val="0"/>
          <w:bCs w:val="0"/>
          <w:sz w:val="24"/>
          <w:highlight w:val="none"/>
          <w:lang w:eastAsia="zh-CN"/>
        </w:rPr>
      </w:pPr>
      <w:r>
        <w:rPr>
          <w:rFonts w:hint="eastAsia" w:ascii="宋体" w:hAnsi="宋体" w:cs="宋体"/>
          <w:b w:val="0"/>
          <w:bCs w:val="0"/>
          <w:sz w:val="24"/>
          <w:lang w:val="en-US" w:eastAsia="zh-CN"/>
        </w:rPr>
        <w:t>资质证明文件应包含</w:t>
      </w:r>
      <w:r>
        <w:rPr>
          <w:rFonts w:hint="eastAsia" w:ascii="宋体" w:hAnsi="宋体" w:cs="宋体"/>
          <w:b w:val="0"/>
          <w:bCs w:val="0"/>
          <w:sz w:val="24"/>
          <w:lang w:eastAsia="zh-CN"/>
        </w:rPr>
        <w:t>：</w:t>
      </w:r>
    </w:p>
    <w:p w14:paraId="66D8F592">
      <w:pPr>
        <w:tabs>
          <w:tab w:val="left" w:pos="6313"/>
        </w:tabs>
        <w:spacing w:line="360" w:lineRule="auto"/>
        <w:ind w:firstLine="480" w:firstLineChars="200"/>
        <w:rPr>
          <w:rFonts w:hint="eastAsia" w:ascii="宋体" w:hAnsi="宋体"/>
          <w:sz w:val="24"/>
          <w:highlight w:val="none"/>
        </w:rPr>
      </w:pPr>
      <w:bookmarkStart w:id="89" w:name="_Toc212369515"/>
      <w:r>
        <w:rPr>
          <w:rFonts w:hint="eastAsia" w:ascii="宋体" w:hAnsi="宋体"/>
          <w:sz w:val="24"/>
          <w:highlight w:val="none"/>
          <w:lang w:val="en-US" w:eastAsia="zh-CN"/>
        </w:rPr>
        <w:t>①投标人公司成立时间（至报名截止日）需满3年，注册资金不少于500万，投标人须于投标时提供具有统一社会信用代码的营业执照副本原件、复印件及资产负债表(加盖公章)；</w:t>
      </w:r>
    </w:p>
    <w:p w14:paraId="492F0DD2">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②法定代表人授权书；法定代表人参加投标的，提供法人身份证明文件即可；被授权人参加投标的，需提供法定代表人授权委托书（含法人身份证和被授权人身份证正反面复印件）和被授权人近6个月及以上在授权单位的社保缴纳证明。投标联系人及其联系方式；</w:t>
      </w:r>
    </w:p>
    <w:p w14:paraId="7758E621">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③《道路运输经营许可证》（板运投标人需同步提供大件运输资格许可）原件及复印件(加盖公章)，并保证行政许可在有效期内；</w:t>
      </w:r>
    </w:p>
    <w:p w14:paraId="0A873114">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④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w:t>
      </w:r>
    </w:p>
    <w:p w14:paraId="25B87AE6">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 xml:space="preserve">⑤企业最近半年完税证明、信用证明材料（中国人民银行信用代码证+征信报告）； </w:t>
      </w:r>
    </w:p>
    <w:p w14:paraId="46681F07">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 xml:space="preserve">⑥年度纳税信用评价信息（可从电子税务局查询截图，需加盖公章）； </w:t>
      </w:r>
    </w:p>
    <w:p w14:paraId="6A4DE3F5">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⑦企业对外担保说明（写明贵单位对外有无对外担保和质押业务，需加盖公章）。</w:t>
      </w:r>
    </w:p>
    <w:p w14:paraId="0EA49534">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⑧投标保证金缴纳凭证（现供方上传投标保证金承诺函）</w:t>
      </w:r>
    </w:p>
    <w:p w14:paraId="1244CC54">
      <w:pPr>
        <w:tabs>
          <w:tab w:val="left" w:pos="6313"/>
        </w:tabs>
        <w:spacing w:line="360" w:lineRule="auto"/>
        <w:ind w:firstLine="480" w:firstLineChars="200"/>
        <w:rPr>
          <w:rFonts w:hint="eastAsia" w:ascii="宋体" w:hAnsi="宋体"/>
          <w:sz w:val="24"/>
        </w:rPr>
      </w:pPr>
      <w:r>
        <w:rPr>
          <w:rFonts w:hint="eastAsia" w:ascii="宋体" w:hAnsi="宋体"/>
          <w:sz w:val="24"/>
          <w:lang w:val="en-US" w:eastAsia="zh-CN"/>
        </w:rPr>
        <w:t>⑨投标人在近三年内或成立以来在经营活动中无重大违法、违规的不良记录; 在以往的招投标活动中没有违纪、违规、违约等不良行为，且没有列于山东重工黑名单企业；不得列入国家企业信用信息公示系统经营异常名录信息、严重违法失信企业名单（黑名单），不得列入中国执行信息公开网失信被执行人名单。</w:t>
      </w:r>
    </w:p>
    <w:p w14:paraId="63004440">
      <w:pPr>
        <w:tabs>
          <w:tab w:val="left" w:pos="6313"/>
        </w:tabs>
        <w:spacing w:line="360" w:lineRule="auto"/>
        <w:ind w:firstLine="480" w:firstLineChars="200"/>
        <w:rPr>
          <w:rFonts w:hint="eastAsia" w:ascii="宋体" w:hAnsi="宋体" w:eastAsia="宋体" w:cs="宋体"/>
          <w:b w:val="0"/>
          <w:bCs w:val="0"/>
          <w:kern w:val="2"/>
          <w:sz w:val="24"/>
          <w:szCs w:val="24"/>
        </w:rPr>
      </w:pPr>
      <w:r>
        <w:rPr>
          <w:rFonts w:hint="eastAsia" w:ascii="宋体" w:hAnsi="宋体"/>
          <w:sz w:val="24"/>
        </w:rPr>
        <w:t>⑩投标人应具备三年（2023年及以后）以来从事过商品车驾送的资质（以与主机厂直签合同为准），且没有在业务运营过程中出现重大违规、失信等情况。2023年以来与主机厂直签的商品车运输合同，须提供用户清单、采购合同复印件。</w:t>
      </w:r>
    </w:p>
    <w:p w14:paraId="3DE870C7">
      <w:pPr>
        <w:pStyle w:val="4"/>
        <w:numPr>
          <w:ilvl w:val="2"/>
          <w:numId w:val="0"/>
        </w:numPr>
        <w:ind w:leftChars="200"/>
      </w:pPr>
      <w:r>
        <w:rPr>
          <w:rFonts w:hint="eastAsia"/>
          <w:lang w:val="en-US" w:eastAsia="zh-CN"/>
        </w:rPr>
        <w:t>2.2.3</w:t>
      </w:r>
      <w:r>
        <w:rPr>
          <w:rFonts w:hint="eastAsia"/>
        </w:rPr>
        <w:t>技术部分：</w:t>
      </w:r>
      <w:bookmarkEnd w:id="89"/>
      <w:r>
        <w:rPr>
          <w:rFonts w:hint="eastAsia"/>
        </w:rPr>
        <w:t>（顺序与评分办法一致）</w:t>
      </w:r>
    </w:p>
    <w:p w14:paraId="2EBCBBB3">
      <w:pPr>
        <w:spacing w:line="360" w:lineRule="auto"/>
        <w:ind w:firstLine="480" w:firstLineChars="200"/>
        <w:rPr>
          <w:rFonts w:hint="default" w:ascii="宋体" w:hAnsi="宋体" w:eastAsia="宋体" w:cs="宋体"/>
          <w:b/>
          <w:bCs/>
          <w:sz w:val="24"/>
          <w:lang w:val="en-US" w:eastAsia="zh-CN"/>
        </w:rPr>
      </w:pPr>
      <w:r>
        <w:rPr>
          <w:rFonts w:hint="eastAsia" w:ascii="宋体" w:hAnsi="宋体"/>
          <w:sz w:val="24"/>
        </w:rPr>
        <w:t>为提高评标效率，请投标人按照技术部分所列的资料清单内容及顺序编制技术部分投标文件，如投标人未按照以下内容及顺序编制招标文件技术部分，可能会影响技术部分得分，请各投标单位务必注意。</w:t>
      </w:r>
      <w:r>
        <w:rPr>
          <w:rFonts w:hint="eastAsia" w:ascii="宋体" w:hAnsi="宋体"/>
          <w:sz w:val="24"/>
          <w:lang w:eastAsia="zh-CN"/>
        </w:rPr>
        <w:t>（</w:t>
      </w:r>
      <w:r>
        <w:rPr>
          <w:rFonts w:hint="eastAsia" w:ascii="宋体" w:hAnsi="宋体"/>
          <w:sz w:val="24"/>
          <w:lang w:val="en-US" w:eastAsia="zh-CN"/>
        </w:rPr>
        <w:t>参考附件一：技术评分表）</w:t>
      </w:r>
    </w:p>
    <w:p w14:paraId="78C0314F">
      <w:pPr>
        <w:pStyle w:val="4"/>
        <w:numPr>
          <w:ilvl w:val="2"/>
          <w:numId w:val="0"/>
        </w:numPr>
        <w:ind w:leftChars="200"/>
      </w:pPr>
      <w:bookmarkStart w:id="90" w:name="_Toc212369514"/>
      <w:r>
        <w:rPr>
          <w:rFonts w:hint="eastAsia"/>
          <w:lang w:val="en-US" w:eastAsia="zh-CN"/>
        </w:rPr>
        <w:t>2.2.4</w:t>
      </w:r>
      <w:r>
        <w:rPr>
          <w:rFonts w:hint="eastAsia"/>
        </w:rPr>
        <w:t>商务部分：</w:t>
      </w:r>
      <w:bookmarkEnd w:id="90"/>
    </w:p>
    <w:p w14:paraId="759A786A">
      <w:pPr>
        <w:numPr>
          <w:ilvl w:val="0"/>
          <w:numId w:val="9"/>
        </w:numPr>
        <w:spacing w:line="360" w:lineRule="auto"/>
        <w:ind w:firstLine="578" w:firstLineChars="241"/>
        <w:rPr>
          <w:rFonts w:ascii="宋体" w:hAnsi="宋体"/>
          <w:sz w:val="24"/>
        </w:rPr>
      </w:pPr>
      <w:r>
        <w:rPr>
          <w:rFonts w:hint="eastAsia" w:ascii="宋体" w:hAnsi="宋体"/>
          <w:sz w:val="24"/>
        </w:rPr>
        <w:t>开标一览表；</w:t>
      </w:r>
    </w:p>
    <w:p w14:paraId="1E9D8197">
      <w:pPr>
        <w:numPr>
          <w:ilvl w:val="0"/>
          <w:numId w:val="9"/>
        </w:numPr>
        <w:spacing w:line="360" w:lineRule="auto"/>
        <w:ind w:firstLine="578" w:firstLineChars="241"/>
        <w:rPr>
          <w:rFonts w:ascii="宋体" w:hAnsi="宋体"/>
          <w:sz w:val="24"/>
        </w:rPr>
      </w:pPr>
      <w:r>
        <w:rPr>
          <w:rFonts w:hint="eastAsia" w:ascii="宋体" w:hAnsi="宋体"/>
          <w:sz w:val="24"/>
        </w:rPr>
        <w:t>投标函；</w:t>
      </w:r>
    </w:p>
    <w:p w14:paraId="01B2897B">
      <w:pPr>
        <w:numPr>
          <w:ilvl w:val="0"/>
          <w:numId w:val="9"/>
        </w:numPr>
        <w:spacing w:line="360" w:lineRule="auto"/>
        <w:ind w:firstLine="578" w:firstLineChars="241"/>
        <w:rPr>
          <w:rFonts w:ascii="宋体" w:hAnsi="宋体"/>
          <w:sz w:val="24"/>
        </w:rPr>
      </w:pPr>
      <w:r>
        <w:rPr>
          <w:rFonts w:hint="eastAsia" w:ascii="宋体" w:hAnsi="宋体"/>
          <w:sz w:val="24"/>
        </w:rPr>
        <w:t>承诺书；</w:t>
      </w:r>
    </w:p>
    <w:p w14:paraId="787B1E75">
      <w:pPr>
        <w:numPr>
          <w:ilvl w:val="0"/>
          <w:numId w:val="9"/>
        </w:numPr>
        <w:spacing w:line="360" w:lineRule="auto"/>
        <w:ind w:firstLine="578" w:firstLineChars="241"/>
        <w:rPr>
          <w:rFonts w:ascii="宋体" w:hAnsi="宋体"/>
          <w:sz w:val="24"/>
        </w:rPr>
      </w:pPr>
      <w:r>
        <w:rPr>
          <w:rFonts w:hint="eastAsia" w:ascii="宋体" w:hAnsi="宋体"/>
          <w:sz w:val="24"/>
        </w:rPr>
        <w:t>授权委托书；</w:t>
      </w:r>
    </w:p>
    <w:p w14:paraId="61D7D496">
      <w:pPr>
        <w:tabs>
          <w:tab w:val="left" w:pos="0"/>
        </w:tabs>
        <w:spacing w:line="360" w:lineRule="auto"/>
        <w:ind w:firstLine="480" w:firstLineChars="200"/>
        <w:rPr>
          <w:rFonts w:ascii="宋体" w:hAnsi="宋体"/>
          <w:color w:val="000000"/>
          <w:sz w:val="24"/>
        </w:rPr>
      </w:pPr>
      <w:r>
        <w:rPr>
          <w:rFonts w:hint="eastAsia" w:ascii="宋体" w:hAnsi="宋体"/>
          <w:color w:val="000000"/>
          <w:sz w:val="24"/>
        </w:rPr>
        <w:t>开标一览表</w:t>
      </w:r>
      <w:r>
        <w:rPr>
          <w:rFonts w:hint="eastAsia" w:ascii="宋体" w:hAnsi="宋体"/>
          <w:b/>
          <w:bCs/>
          <w:color w:val="000000"/>
          <w:sz w:val="24"/>
        </w:rPr>
        <w:t>（提供纸质版材料同时须附开标一览表EXCEL电子版，格式严格按照excel版本附件1：开标一览表填写，不准删减或更改行列！！！开标现场录入供应商电子版报价信息。因招标明细过多，电子版作为报价的唯一依据，纸质版作为辅助。）</w:t>
      </w:r>
    </w:p>
    <w:p w14:paraId="24EE7510">
      <w:pPr>
        <w:spacing w:line="360" w:lineRule="auto"/>
        <w:ind w:left="571"/>
        <w:rPr>
          <w:rFonts w:ascii="宋体" w:hAnsi="宋体"/>
          <w:b/>
          <w:sz w:val="24"/>
          <w:u w:val="single"/>
        </w:rPr>
      </w:pPr>
      <w:r>
        <w:rPr>
          <w:rFonts w:hint="eastAsia" w:ascii="宋体" w:hAnsi="宋体"/>
          <w:b/>
          <w:sz w:val="24"/>
          <w:u w:val="single"/>
        </w:rPr>
        <w:t>注：招标文件给定格式的按给定的格式填写，未给定格式的，由投标人自行编制，但需包含以上内容。</w:t>
      </w:r>
    </w:p>
    <w:p w14:paraId="5476B642">
      <w:pPr>
        <w:pStyle w:val="4"/>
        <w:numPr>
          <w:ilvl w:val="2"/>
          <w:numId w:val="0"/>
        </w:numPr>
        <w:ind w:leftChars="200"/>
      </w:pPr>
      <w:bookmarkStart w:id="91" w:name="_Toc212369518"/>
      <w:r>
        <w:rPr>
          <w:rFonts w:hint="eastAsia"/>
          <w:lang w:val="en-US" w:eastAsia="zh-CN"/>
        </w:rPr>
        <w:t>2.2.5</w:t>
      </w:r>
      <w:r>
        <w:rPr>
          <w:rFonts w:hint="eastAsia"/>
        </w:rPr>
        <w:t>投标内容填写说明</w:t>
      </w:r>
      <w:bookmarkEnd w:id="91"/>
    </w:p>
    <w:p w14:paraId="5ED96E3F">
      <w:pPr>
        <w:numPr>
          <w:ilvl w:val="0"/>
          <w:numId w:val="10"/>
        </w:numPr>
        <w:tabs>
          <w:tab w:val="left" w:pos="0"/>
        </w:tabs>
        <w:spacing w:line="360" w:lineRule="auto"/>
        <w:ind w:firstLine="480" w:firstLineChars="200"/>
        <w:rPr>
          <w:rFonts w:ascii="宋体" w:hAnsi="宋体"/>
          <w:sz w:val="24"/>
        </w:rPr>
      </w:pPr>
      <w:r>
        <w:rPr>
          <w:rFonts w:hint="eastAsia" w:ascii="宋体" w:hAnsi="宋体"/>
          <w:sz w:val="24"/>
        </w:rPr>
        <w:t>投标文件按统一格式填写，装订成册。</w:t>
      </w:r>
    </w:p>
    <w:p w14:paraId="0DD771BA">
      <w:pPr>
        <w:numPr>
          <w:ilvl w:val="0"/>
          <w:numId w:val="10"/>
        </w:numPr>
        <w:tabs>
          <w:tab w:val="left" w:pos="0"/>
        </w:tabs>
        <w:spacing w:line="360" w:lineRule="auto"/>
        <w:ind w:firstLine="480" w:firstLineChars="200"/>
        <w:rPr>
          <w:rFonts w:ascii="宋体" w:hAnsi="宋体"/>
          <w:b/>
          <w:sz w:val="24"/>
          <w:highlight w:val="none"/>
        </w:rPr>
      </w:pPr>
      <w:r>
        <w:rPr>
          <w:rFonts w:hint="eastAsia" w:ascii="宋体" w:hAnsi="宋体"/>
          <w:sz w:val="24"/>
        </w:rPr>
        <w:t>开标一览表为在开标仪式上唱标的内容，要求按格式填写、统一规范，不得自行增减</w:t>
      </w:r>
      <w:r>
        <w:rPr>
          <w:rFonts w:hint="eastAsia" w:ascii="宋体" w:hAnsi="宋体"/>
          <w:sz w:val="24"/>
          <w:highlight w:val="none"/>
        </w:rPr>
        <w:t>内容。</w:t>
      </w:r>
    </w:p>
    <w:p w14:paraId="5EF0E99D">
      <w:pPr>
        <w:pStyle w:val="6"/>
        <w:spacing w:line="360" w:lineRule="auto"/>
        <w:ind w:left="0" w:leftChars="0" w:firstLine="240" w:firstLineChars="100"/>
        <w:rPr>
          <w:rFonts w:hint="eastAsia" w:ascii="Times New Roman" w:hAnsi="Times New Roman" w:eastAsia="宋体" w:cs="Times New Roman"/>
          <w:bCs/>
          <w:kern w:val="0"/>
          <w:sz w:val="24"/>
          <w:szCs w:val="32"/>
          <w:highlight w:val="none"/>
          <w:lang w:val="en-US" w:eastAsia="zh-CN" w:bidi="ar-SA"/>
        </w:rPr>
      </w:pPr>
      <w:r>
        <w:rPr>
          <w:rFonts w:hint="eastAsia" w:ascii="宋体" w:hAnsi="宋体"/>
          <w:sz w:val="24"/>
          <w:highlight w:val="none"/>
        </w:rPr>
        <w:t>（3）</w:t>
      </w:r>
      <w:r>
        <w:rPr>
          <w:rFonts w:hint="eastAsia" w:ascii="Times New Roman" w:hAnsi="Times New Roman" w:eastAsia="宋体" w:cs="Times New Roman"/>
          <w:bCs/>
          <w:kern w:val="0"/>
          <w:sz w:val="24"/>
          <w:szCs w:val="32"/>
          <w:highlight w:val="none"/>
          <w:lang w:val="en-US" w:eastAsia="zh-CN" w:bidi="ar-SA"/>
        </w:rPr>
        <w:t>因采取线上开标+线下商谈，供应商自备电脑和U盘，便于上传文件进行报价。</w:t>
      </w:r>
    </w:p>
    <w:p w14:paraId="5CA2CD28">
      <w:pPr>
        <w:pStyle w:val="4"/>
        <w:numPr>
          <w:ilvl w:val="2"/>
          <w:numId w:val="0"/>
        </w:numPr>
        <w:ind w:leftChars="200"/>
        <w:rPr>
          <w:rFonts w:hint="eastAsia" w:ascii="Times New Roman" w:hAnsi="Times New Roman" w:eastAsia="宋体" w:cs="Times New Roman"/>
          <w:bCs/>
          <w:kern w:val="0"/>
          <w:sz w:val="24"/>
          <w:szCs w:val="32"/>
          <w:highlight w:val="none"/>
          <w:lang w:val="en-US" w:eastAsia="zh-CN" w:bidi="ar-SA"/>
        </w:rPr>
      </w:pPr>
      <w:bookmarkStart w:id="92" w:name="_Toc212369519"/>
      <w:r>
        <w:rPr>
          <w:rFonts w:hint="eastAsia" w:cs="Times New Roman"/>
          <w:bCs/>
          <w:kern w:val="0"/>
          <w:sz w:val="24"/>
          <w:szCs w:val="32"/>
          <w:highlight w:val="none"/>
          <w:lang w:val="en-US" w:eastAsia="zh-CN" w:bidi="ar-SA"/>
        </w:rPr>
        <w:t>2.2.6</w:t>
      </w:r>
      <w:r>
        <w:rPr>
          <w:rFonts w:hint="eastAsia" w:ascii="Times New Roman" w:hAnsi="Times New Roman" w:eastAsia="宋体" w:cs="Times New Roman"/>
          <w:bCs/>
          <w:kern w:val="0"/>
          <w:sz w:val="24"/>
          <w:szCs w:val="32"/>
          <w:highlight w:val="none"/>
          <w:lang w:val="en-US" w:eastAsia="zh-CN" w:bidi="ar-SA"/>
        </w:rPr>
        <w:t>投标报价</w:t>
      </w:r>
      <w:bookmarkEnd w:id="92"/>
    </w:p>
    <w:p w14:paraId="20C63A0A">
      <w:pPr>
        <w:tabs>
          <w:tab w:val="left" w:pos="0"/>
        </w:tabs>
        <w:spacing w:line="360" w:lineRule="auto"/>
        <w:ind w:firstLine="480" w:firstLineChars="200"/>
        <w:rPr>
          <w:rFonts w:hint="eastAsia" w:cs="Times New Roman"/>
          <w:bCs/>
          <w:kern w:val="0"/>
          <w:sz w:val="24"/>
          <w:szCs w:val="32"/>
          <w:highlight w:val="none"/>
          <w:lang w:val="en-US" w:eastAsia="zh-CN" w:bidi="ar-SA"/>
        </w:rPr>
      </w:pPr>
      <w:bookmarkStart w:id="93" w:name="_Toc352332865"/>
      <w:bookmarkStart w:id="94" w:name="_Toc346372891"/>
      <w:bookmarkStart w:id="95" w:name="_Toc346306744"/>
      <w:r>
        <w:rPr>
          <w:rFonts w:hint="eastAsia" w:ascii="Times New Roman" w:hAnsi="Times New Roman" w:eastAsia="宋体" w:cs="Times New Roman"/>
          <w:bCs/>
          <w:kern w:val="0"/>
          <w:sz w:val="24"/>
          <w:szCs w:val="32"/>
          <w:highlight w:val="none"/>
          <w:lang w:val="en-US" w:eastAsia="zh-CN" w:bidi="ar-SA"/>
        </w:rPr>
        <w:t>投标单位</w:t>
      </w:r>
      <w:r>
        <w:rPr>
          <w:rFonts w:hint="eastAsia" w:cs="Times New Roman"/>
          <w:bCs/>
          <w:kern w:val="0"/>
          <w:sz w:val="24"/>
          <w:szCs w:val="32"/>
          <w:highlight w:val="none"/>
          <w:lang w:val="en-US" w:eastAsia="zh-CN" w:bidi="ar-SA"/>
        </w:rPr>
        <w:t>可对单一包次或所有包次</w:t>
      </w:r>
      <w:r>
        <w:rPr>
          <w:rFonts w:hint="eastAsia" w:ascii="Times New Roman" w:hAnsi="Times New Roman" w:eastAsia="宋体" w:cs="Times New Roman"/>
          <w:bCs/>
          <w:kern w:val="0"/>
          <w:sz w:val="24"/>
          <w:szCs w:val="32"/>
          <w:highlight w:val="none"/>
          <w:lang w:val="en-US" w:eastAsia="zh-CN" w:bidi="ar-SA"/>
        </w:rPr>
        <w:t>进行报价</w:t>
      </w:r>
      <w:r>
        <w:rPr>
          <w:rFonts w:hint="eastAsia" w:cs="Times New Roman"/>
          <w:bCs/>
          <w:kern w:val="0"/>
          <w:sz w:val="24"/>
          <w:szCs w:val="32"/>
          <w:highlight w:val="none"/>
          <w:lang w:val="en-US" w:eastAsia="zh-CN" w:bidi="ar-SA"/>
        </w:rPr>
        <w:t>；</w:t>
      </w:r>
    </w:p>
    <w:p w14:paraId="346B4FB0">
      <w:pPr>
        <w:pStyle w:val="6"/>
        <w:spacing w:line="360" w:lineRule="auto"/>
        <w:rPr>
          <w:rFonts w:hint="default"/>
          <w:highlight w:val="none"/>
          <w:lang w:val="en-US" w:eastAsia="zh-CN"/>
        </w:rPr>
      </w:pPr>
      <w:r>
        <w:rPr>
          <w:rFonts w:hint="eastAsia" w:cs="Times New Roman"/>
          <w:bCs/>
          <w:kern w:val="0"/>
          <w:sz w:val="24"/>
          <w:szCs w:val="32"/>
          <w:highlight w:val="none"/>
          <w:lang w:val="en-US" w:eastAsia="zh-CN" w:bidi="ar-SA"/>
        </w:rPr>
        <w:t>同一实际控制人所属公司不得对同一包次同时进行报价；</w:t>
      </w:r>
    </w:p>
    <w:p w14:paraId="59800181">
      <w:pPr>
        <w:pStyle w:val="6"/>
        <w:spacing w:line="360" w:lineRule="auto"/>
        <w:rPr>
          <w:rFonts w:hint="default"/>
          <w:highlight w:val="none"/>
          <w:lang w:val="en-US" w:eastAsia="zh-CN"/>
        </w:rPr>
      </w:pPr>
      <w:r>
        <w:rPr>
          <w:rFonts w:hint="eastAsia" w:cs="Times New Roman"/>
          <w:bCs/>
          <w:kern w:val="0"/>
          <w:sz w:val="24"/>
          <w:szCs w:val="32"/>
          <w:highlight w:val="none"/>
          <w:lang w:val="en-US" w:eastAsia="zh-CN" w:bidi="ar-SA"/>
        </w:rPr>
        <w:t>A包次商品车运输项目投标方必须具备大件运输资质；</w:t>
      </w:r>
    </w:p>
    <w:p w14:paraId="00B8E1A0">
      <w:pPr>
        <w:pStyle w:val="4"/>
        <w:numPr>
          <w:ilvl w:val="2"/>
          <w:numId w:val="0"/>
        </w:numPr>
        <w:spacing w:line="360" w:lineRule="auto"/>
        <w:ind w:leftChars="200"/>
      </w:pPr>
      <w:r>
        <w:rPr>
          <w:rFonts w:hint="eastAsia"/>
          <w:lang w:val="en-US" w:eastAsia="zh-CN"/>
        </w:rPr>
        <w:t>2.2.7</w:t>
      </w:r>
      <w:r>
        <w:rPr>
          <w:rFonts w:hint="eastAsia"/>
        </w:rPr>
        <w:t>投标文件签署</w:t>
      </w:r>
      <w:bookmarkEnd w:id="93"/>
      <w:bookmarkEnd w:id="94"/>
      <w:bookmarkEnd w:id="95"/>
    </w:p>
    <w:p w14:paraId="7BB60636">
      <w:pPr>
        <w:numPr>
          <w:ilvl w:val="0"/>
          <w:numId w:val="11"/>
        </w:numPr>
        <w:tabs>
          <w:tab w:val="left" w:pos="0"/>
        </w:tabs>
        <w:spacing w:line="360" w:lineRule="auto"/>
        <w:ind w:firstLine="480" w:firstLineChars="200"/>
        <w:rPr>
          <w:rFonts w:ascii="宋体" w:hAnsi="宋体" w:cs="宋体"/>
          <w:sz w:val="24"/>
          <w:szCs w:val="24"/>
        </w:rPr>
      </w:pPr>
      <w:r>
        <w:rPr>
          <w:rFonts w:hint="eastAsia" w:ascii="宋体" w:hAnsi="宋体" w:cs="宋体"/>
          <w:sz w:val="24"/>
          <w:szCs w:val="24"/>
        </w:rPr>
        <w:t>投标文件应加盖投标人单位公章（不得使用其他形式如带有“专用章”等字样的印章）并经法定代表人或其委托代理人签字，</w:t>
      </w:r>
      <w:r>
        <w:rPr>
          <w:rFonts w:hint="eastAsia" w:ascii="宋体" w:hAnsi="宋体" w:cs="宋体"/>
          <w:b/>
          <w:bCs/>
          <w:sz w:val="24"/>
          <w:szCs w:val="24"/>
        </w:rPr>
        <w:t>签字须使用黑色或蓝色不可褪色签字笔，由投标单位法人或委托代理人亲自签署</w:t>
      </w:r>
      <w:r>
        <w:rPr>
          <w:rFonts w:hint="eastAsia" w:ascii="宋体" w:hAnsi="宋体" w:cs="宋体"/>
          <w:sz w:val="24"/>
          <w:szCs w:val="24"/>
        </w:rPr>
        <w:t>，由委托代理人签字的投标文件中须附授权委托书。投标人代表必须按招标文件的规定签署投标文件（正本、副本及各附件）。</w:t>
      </w:r>
      <w:r>
        <w:rPr>
          <w:rFonts w:hint="eastAsia" w:ascii="宋体" w:hAnsi="宋体" w:cs="宋体"/>
          <w:bCs/>
          <w:sz w:val="24"/>
          <w:szCs w:val="24"/>
        </w:rPr>
        <w:t>否则，其投标文件按无效投标处理</w:t>
      </w:r>
      <w:r>
        <w:rPr>
          <w:rFonts w:hint="eastAsia" w:ascii="宋体" w:hAnsi="宋体" w:cs="宋体"/>
          <w:sz w:val="24"/>
          <w:szCs w:val="24"/>
        </w:rPr>
        <w:t>。</w:t>
      </w:r>
    </w:p>
    <w:p w14:paraId="38DF299D">
      <w:pPr>
        <w:numPr>
          <w:ilvl w:val="0"/>
          <w:numId w:val="11"/>
        </w:numPr>
        <w:tabs>
          <w:tab w:val="left" w:pos="0"/>
        </w:tabs>
        <w:spacing w:line="360" w:lineRule="auto"/>
        <w:ind w:firstLine="480" w:firstLineChars="200"/>
        <w:rPr>
          <w:rFonts w:ascii="宋体" w:hAnsi="宋体" w:cs="宋体"/>
          <w:sz w:val="24"/>
          <w:szCs w:val="24"/>
        </w:rPr>
      </w:pPr>
      <w:r>
        <w:rPr>
          <w:rFonts w:hint="eastAsia" w:ascii="宋体" w:hAnsi="宋体" w:cs="宋体"/>
          <w:sz w:val="24"/>
          <w:szCs w:val="24"/>
        </w:rPr>
        <w:t>本招标文件提供的投标文件格式中，标注有盖公章、签字之处，应有投标人的盖章、委托代理人的签字或法定代表人的签字或盖章。</w:t>
      </w:r>
    </w:p>
    <w:p w14:paraId="79EF05BB">
      <w:pPr>
        <w:pStyle w:val="4"/>
        <w:numPr>
          <w:ilvl w:val="2"/>
          <w:numId w:val="0"/>
        </w:numPr>
        <w:ind w:leftChars="200"/>
      </w:pPr>
      <w:bookmarkStart w:id="96" w:name="_Toc346306745"/>
      <w:bookmarkStart w:id="97" w:name="_Toc346372892"/>
      <w:bookmarkStart w:id="98" w:name="_Toc352332866"/>
      <w:r>
        <w:rPr>
          <w:rFonts w:hint="eastAsia"/>
          <w:lang w:val="en-US" w:eastAsia="zh-CN"/>
        </w:rPr>
        <w:t>2.2.8</w:t>
      </w:r>
      <w:r>
        <w:rPr>
          <w:rFonts w:hint="eastAsia"/>
        </w:rPr>
        <w:t>投标文件密封和标记</w:t>
      </w:r>
      <w:bookmarkEnd w:id="96"/>
      <w:bookmarkEnd w:id="97"/>
      <w:bookmarkEnd w:id="98"/>
    </w:p>
    <w:p w14:paraId="30924D81">
      <w:pPr>
        <w:numPr>
          <w:ilvl w:val="0"/>
          <w:numId w:val="12"/>
        </w:numPr>
        <w:tabs>
          <w:tab w:val="left" w:pos="0"/>
        </w:tabs>
        <w:spacing w:line="360" w:lineRule="auto"/>
        <w:ind w:firstLine="480" w:firstLineChars="200"/>
        <w:rPr>
          <w:rFonts w:ascii="宋体" w:hAnsi="宋体"/>
          <w:sz w:val="24"/>
          <w:szCs w:val="24"/>
        </w:rPr>
      </w:pPr>
      <w:r>
        <w:rPr>
          <w:rFonts w:hint="eastAsia" w:ascii="宋体" w:hAnsi="宋体" w:cs="宋体"/>
          <w:sz w:val="24"/>
          <w:szCs w:val="24"/>
        </w:rPr>
        <w:t>投标人应准备的投标文件份数见投标人须知前附表第9项，投标人应在每一份投标文件上注明“正本”或“副本”字样。</w:t>
      </w:r>
    </w:p>
    <w:p w14:paraId="5459E671">
      <w:pPr>
        <w:numPr>
          <w:ilvl w:val="0"/>
          <w:numId w:val="12"/>
        </w:numPr>
        <w:tabs>
          <w:tab w:val="left" w:pos="0"/>
        </w:tabs>
        <w:spacing w:line="360" w:lineRule="auto"/>
        <w:ind w:firstLine="480" w:firstLineChars="200"/>
        <w:rPr>
          <w:rFonts w:ascii="宋体" w:hAnsi="宋体"/>
          <w:sz w:val="24"/>
          <w:szCs w:val="24"/>
        </w:rPr>
      </w:pPr>
      <w:r>
        <w:rPr>
          <w:rFonts w:hint="eastAsia" w:ascii="宋体" w:hAnsi="宋体" w:cs="宋体"/>
          <w:sz w:val="24"/>
          <w:szCs w:val="24"/>
        </w:rPr>
        <w:t>投标文件的密封和标记详见投标人须知前附表第10项。</w:t>
      </w:r>
    </w:p>
    <w:p w14:paraId="15BE489B">
      <w:pPr>
        <w:pStyle w:val="4"/>
        <w:numPr>
          <w:ilvl w:val="2"/>
          <w:numId w:val="0"/>
        </w:numPr>
        <w:bidi w:val="0"/>
        <w:ind w:leftChars="200"/>
        <w:rPr>
          <w:rFonts w:hint="eastAsia"/>
        </w:rPr>
      </w:pPr>
      <w:bookmarkStart w:id="99" w:name="_Toc346372893"/>
      <w:bookmarkStart w:id="100" w:name="_Toc346306746"/>
      <w:bookmarkStart w:id="101" w:name="_Toc352332867"/>
      <w:r>
        <w:rPr>
          <w:rFonts w:hint="eastAsia"/>
          <w:lang w:val="en-US" w:eastAsia="zh-CN"/>
        </w:rPr>
        <w:t xml:space="preserve">2.2.9 </w:t>
      </w:r>
      <w:r>
        <w:rPr>
          <w:rFonts w:hint="eastAsia"/>
        </w:rPr>
        <w:t>投标保证金</w:t>
      </w:r>
      <w:bookmarkEnd w:id="99"/>
      <w:bookmarkEnd w:id="100"/>
      <w:bookmarkEnd w:id="101"/>
    </w:p>
    <w:p w14:paraId="1BCAFB58">
      <w:pPr>
        <w:pStyle w:val="4"/>
        <w:numPr>
          <w:ilvl w:val="2"/>
          <w:numId w:val="0"/>
        </w:numPr>
        <w:bidi w:val="0"/>
        <w:rPr>
          <w:rFonts w:hint="default" w:eastAsia="宋体"/>
          <w:highlight w:val="none"/>
          <w:lang w:val="en-US" w:eastAsia="zh-CN"/>
        </w:rPr>
      </w:pPr>
      <w:r>
        <w:rPr>
          <w:rFonts w:hint="eastAsia"/>
          <w:highlight w:val="none"/>
          <w:lang w:val="en-US" w:eastAsia="zh-CN"/>
        </w:rPr>
        <w:t xml:space="preserve">    （1）新供方：</w:t>
      </w:r>
      <w:r>
        <w:rPr>
          <w:rFonts w:hint="eastAsia" w:ascii="宋体" w:hAnsi="宋体" w:cs="宋体"/>
          <w:color w:val="000000"/>
          <w:sz w:val="24"/>
          <w:szCs w:val="24"/>
          <w:highlight w:val="none"/>
        </w:rPr>
        <w:t>未中标</w:t>
      </w:r>
      <w:r>
        <w:rPr>
          <w:rFonts w:hint="eastAsia" w:ascii="宋体" w:hAnsi="宋体" w:cs="宋体"/>
          <w:color w:val="000000"/>
          <w:sz w:val="24"/>
          <w:szCs w:val="24"/>
          <w:highlight w:val="none"/>
          <w:lang w:val="en-US" w:eastAsia="zh-CN"/>
        </w:rPr>
        <w:t>单位</w:t>
      </w:r>
      <w:r>
        <w:rPr>
          <w:rFonts w:hint="eastAsia" w:ascii="宋体" w:hAnsi="宋体" w:cs="宋体"/>
          <w:color w:val="000000"/>
          <w:sz w:val="24"/>
          <w:szCs w:val="24"/>
          <w:highlight w:val="none"/>
        </w:rPr>
        <w:t>在中标通知书发出后</w:t>
      </w:r>
      <w:r>
        <w:rPr>
          <w:rFonts w:hint="eastAsia" w:ascii="宋体" w:hAnsi="宋体" w:cs="宋体"/>
          <w:color w:val="000000"/>
          <w:sz w:val="24"/>
          <w:szCs w:val="24"/>
          <w:highlight w:val="none"/>
          <w:lang w:val="en-US" w:eastAsia="zh-CN"/>
        </w:rPr>
        <w:t>次月底前</w:t>
      </w:r>
      <w:r>
        <w:rPr>
          <w:rFonts w:hint="eastAsia" w:ascii="宋体" w:hAnsi="宋体" w:cs="宋体"/>
          <w:color w:val="000000"/>
          <w:sz w:val="24"/>
          <w:szCs w:val="24"/>
          <w:highlight w:val="none"/>
        </w:rPr>
        <w:t>，退还投标保证金；中标</w:t>
      </w:r>
      <w:r>
        <w:rPr>
          <w:rFonts w:hint="eastAsia" w:ascii="宋体" w:hAnsi="宋体" w:cs="宋体"/>
          <w:color w:val="000000"/>
          <w:sz w:val="24"/>
          <w:szCs w:val="24"/>
          <w:highlight w:val="none"/>
          <w:lang w:val="en-US" w:eastAsia="zh-CN"/>
        </w:rPr>
        <w:t>单位</w:t>
      </w:r>
      <w:r>
        <w:rPr>
          <w:rFonts w:hint="eastAsia" w:ascii="宋体" w:hAnsi="宋体" w:cs="宋体"/>
          <w:color w:val="000000"/>
          <w:sz w:val="24"/>
          <w:szCs w:val="24"/>
          <w:highlight w:val="none"/>
        </w:rPr>
        <w:t>在采购合同签订后</w:t>
      </w:r>
      <w:r>
        <w:rPr>
          <w:rFonts w:hint="eastAsia" w:ascii="宋体" w:hAnsi="宋体" w:cs="宋体"/>
          <w:color w:val="000000"/>
          <w:sz w:val="24"/>
          <w:szCs w:val="24"/>
          <w:highlight w:val="none"/>
          <w:lang w:val="en-US" w:eastAsia="zh-CN"/>
        </w:rPr>
        <w:t>次月底前</w:t>
      </w:r>
      <w:r>
        <w:rPr>
          <w:rFonts w:hint="eastAsia" w:ascii="宋体" w:hAnsi="宋体" w:cs="宋体"/>
          <w:color w:val="000000"/>
          <w:sz w:val="24"/>
          <w:szCs w:val="24"/>
          <w:highlight w:val="none"/>
        </w:rPr>
        <w:t>退还投标保证金</w:t>
      </w:r>
      <w:r>
        <w:rPr>
          <w:rFonts w:hint="eastAsia"/>
          <w:highlight w:val="none"/>
          <w:lang w:val="en-US" w:eastAsia="zh-CN"/>
        </w:rPr>
        <w:t>；</w:t>
      </w:r>
    </w:p>
    <w:p w14:paraId="4ADCBAE4">
      <w:pPr>
        <w:pStyle w:val="8"/>
        <w:numPr>
          <w:ilvl w:val="-1"/>
          <w:numId w:val="0"/>
        </w:numPr>
        <w:spacing w:after="0" w:line="360" w:lineRule="auto"/>
        <w:ind w:left="0"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现供方：</w:t>
      </w:r>
      <w:r>
        <w:rPr>
          <w:rFonts w:hint="eastAsia" w:ascii="宋体" w:hAnsi="宋体" w:cs="宋体"/>
          <w:sz w:val="24"/>
          <w:szCs w:val="24"/>
          <w:highlight w:val="none"/>
        </w:rPr>
        <w:t>未中标</w:t>
      </w:r>
      <w:r>
        <w:rPr>
          <w:rFonts w:hint="eastAsia" w:ascii="宋体" w:hAnsi="宋体" w:cs="宋体"/>
          <w:sz w:val="24"/>
          <w:szCs w:val="24"/>
          <w:highlight w:val="none"/>
          <w:lang w:val="en-US" w:eastAsia="zh-CN"/>
        </w:rPr>
        <w:t>单位</w:t>
      </w:r>
      <w:r>
        <w:rPr>
          <w:rFonts w:hint="eastAsia" w:ascii="宋体" w:hAnsi="宋体" w:cs="宋体"/>
          <w:sz w:val="24"/>
          <w:szCs w:val="24"/>
          <w:highlight w:val="none"/>
        </w:rPr>
        <w:t>的保证金，</w:t>
      </w:r>
      <w:r>
        <w:rPr>
          <w:rFonts w:hint="eastAsia" w:ascii="宋体" w:hAnsi="宋体" w:cs="宋体"/>
          <w:sz w:val="24"/>
          <w:szCs w:val="24"/>
          <w:highlight w:val="none"/>
          <w:lang w:val="en-US" w:eastAsia="zh-CN"/>
        </w:rPr>
        <w:t>投标保证金承诺函自动失效</w:t>
      </w:r>
      <w:r>
        <w:rPr>
          <w:rFonts w:hint="eastAsia" w:ascii="宋体" w:hAnsi="宋体" w:cs="宋体"/>
          <w:sz w:val="24"/>
          <w:szCs w:val="24"/>
          <w:highlight w:val="none"/>
        </w:rPr>
        <w:t>；中标</w:t>
      </w:r>
      <w:r>
        <w:rPr>
          <w:rFonts w:hint="eastAsia" w:ascii="宋体" w:hAnsi="宋体" w:cs="宋体"/>
          <w:sz w:val="24"/>
          <w:szCs w:val="24"/>
          <w:highlight w:val="none"/>
          <w:lang w:val="en-US" w:eastAsia="zh-CN"/>
        </w:rPr>
        <w:t>单位</w:t>
      </w:r>
      <w:r>
        <w:rPr>
          <w:rFonts w:hint="eastAsia" w:ascii="宋体" w:hAnsi="宋体" w:cs="宋体"/>
          <w:sz w:val="24"/>
          <w:szCs w:val="24"/>
          <w:highlight w:val="none"/>
        </w:rPr>
        <w:t>的保证金</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投标保证金承诺函在签订合同并缴纳履约保证金后自动失效。</w:t>
      </w:r>
    </w:p>
    <w:p w14:paraId="4A20FCB0">
      <w:pPr>
        <w:pStyle w:val="3"/>
        <w:numPr>
          <w:ilvl w:val="1"/>
          <w:numId w:val="0"/>
        </w:numPr>
        <w:spacing w:before="0" w:beforeLines="0" w:line="360" w:lineRule="auto"/>
        <w:rPr>
          <w:rFonts w:hint="eastAsia"/>
          <w:sz w:val="28"/>
          <w:szCs w:val="28"/>
          <w:lang w:val="en-US" w:eastAsia="zh-CN"/>
        </w:rPr>
      </w:pPr>
      <w:bookmarkStart w:id="102" w:name="_Toc31358"/>
      <w:bookmarkStart w:id="103" w:name="_Toc28928"/>
      <w:bookmarkStart w:id="104" w:name="_Toc31423"/>
    </w:p>
    <w:p w14:paraId="5318B9E0">
      <w:pPr>
        <w:pStyle w:val="3"/>
        <w:numPr>
          <w:ilvl w:val="1"/>
          <w:numId w:val="0"/>
        </w:numPr>
        <w:spacing w:before="0" w:beforeLines="0" w:line="360" w:lineRule="auto"/>
        <w:ind w:firstLine="562" w:firstLineChars="200"/>
        <w:rPr>
          <w:sz w:val="28"/>
          <w:szCs w:val="28"/>
        </w:rPr>
      </w:pPr>
      <w:r>
        <w:rPr>
          <w:rFonts w:hint="eastAsia"/>
          <w:sz w:val="28"/>
          <w:szCs w:val="28"/>
          <w:lang w:val="en-US" w:eastAsia="zh-CN"/>
        </w:rPr>
        <w:t>2.3</w:t>
      </w:r>
      <w:r>
        <w:rPr>
          <w:rFonts w:hint="eastAsia"/>
          <w:sz w:val="28"/>
          <w:szCs w:val="28"/>
        </w:rPr>
        <w:t>开标与评标</w:t>
      </w:r>
      <w:bookmarkEnd w:id="102"/>
      <w:bookmarkEnd w:id="103"/>
      <w:bookmarkEnd w:id="104"/>
    </w:p>
    <w:p w14:paraId="55545FE5">
      <w:pPr>
        <w:pStyle w:val="21"/>
        <w:spacing w:beforeLines="0" w:afterLines="0"/>
      </w:pPr>
      <w:bookmarkStart w:id="105" w:name="_Toc129697466"/>
      <w:bookmarkStart w:id="106" w:name="_Toc212369527"/>
      <w:r>
        <w:rPr>
          <w:rFonts w:hint="eastAsia"/>
        </w:rPr>
        <w:t>2.3.1开标</w:t>
      </w:r>
      <w:bookmarkEnd w:id="105"/>
      <w:bookmarkEnd w:id="106"/>
    </w:p>
    <w:p w14:paraId="5B638846">
      <w:pPr>
        <w:pStyle w:val="21"/>
        <w:spacing w:beforeLines="0" w:afterLines="0"/>
      </w:pPr>
      <w:bookmarkStart w:id="107" w:name="_Toc129697467"/>
      <w:r>
        <w:rPr>
          <w:rFonts w:hint="eastAsia"/>
        </w:rPr>
        <w:t>本次招标的开标、评标由招标人依法组织实施。</w:t>
      </w:r>
      <w:bookmarkEnd w:id="107"/>
    </w:p>
    <w:p w14:paraId="7EECC018">
      <w:pPr>
        <w:pStyle w:val="21"/>
        <w:spacing w:beforeLines="0" w:afterLines="0"/>
      </w:pPr>
      <w:bookmarkStart w:id="108" w:name="_Toc129697468"/>
      <w:bookmarkStart w:id="109" w:name="_Toc24637"/>
      <w:bookmarkStart w:id="110" w:name="_Toc3413"/>
      <w:r>
        <w:rPr>
          <w:rFonts w:hint="eastAsia"/>
        </w:rPr>
        <w:t>2.3.2本项目开标时间和地点见投标人须知前附表。开标会议由招标人组织并主持。招标人邀请各投标人派员参加开标会议。投标人未参加开标的，视同认可开标结果。</w:t>
      </w:r>
      <w:bookmarkEnd w:id="108"/>
      <w:bookmarkEnd w:id="109"/>
      <w:bookmarkEnd w:id="110"/>
    </w:p>
    <w:p w14:paraId="1B5BD08F">
      <w:pPr>
        <w:pStyle w:val="21"/>
        <w:spacing w:beforeLines="0" w:afterLines="0"/>
      </w:pPr>
      <w:bookmarkStart w:id="111" w:name="_Toc15121"/>
      <w:bookmarkStart w:id="112" w:name="_Toc4395"/>
      <w:bookmarkStart w:id="113" w:name="_Toc129697469"/>
      <w:r>
        <w:rPr>
          <w:rFonts w:hint="eastAsia"/>
        </w:rPr>
        <w:t>2.3.3开标程序</w:t>
      </w:r>
      <w:bookmarkEnd w:id="111"/>
      <w:bookmarkEnd w:id="112"/>
      <w:bookmarkEnd w:id="113"/>
    </w:p>
    <w:p w14:paraId="3AA2DFDD">
      <w:pPr>
        <w:pStyle w:val="21"/>
        <w:spacing w:beforeLines="0" w:afterLines="0"/>
      </w:pPr>
      <w:r>
        <w:rPr>
          <w:rFonts w:hint="eastAsia"/>
        </w:rPr>
        <w:t>（1）宣布开标会议开始并宣读开标纪律。</w:t>
      </w:r>
    </w:p>
    <w:p w14:paraId="7F63A3B6">
      <w:pPr>
        <w:pStyle w:val="21"/>
        <w:spacing w:beforeLines="0" w:afterLines="0"/>
      </w:pPr>
      <w:r>
        <w:rPr>
          <w:rFonts w:hint="eastAsia"/>
        </w:rPr>
        <w:t>（2）介绍与会人员。</w:t>
      </w:r>
    </w:p>
    <w:p w14:paraId="5B95913F">
      <w:pPr>
        <w:pStyle w:val="21"/>
        <w:spacing w:beforeLines="0" w:afterLines="0"/>
        <w:rPr>
          <w:rFonts w:ascii="宋体" w:hAnsi="宋体"/>
          <w:color w:val="000000"/>
          <w:szCs w:val="24"/>
        </w:rPr>
      </w:pPr>
      <w:r>
        <w:rPr>
          <w:rFonts w:hint="eastAsia"/>
        </w:rPr>
        <w:t>（3）</w:t>
      </w:r>
      <w:r>
        <w:rPr>
          <w:rFonts w:hint="eastAsia" w:ascii="宋体" w:hAnsi="宋体"/>
          <w:color w:val="000000"/>
          <w:szCs w:val="24"/>
        </w:rPr>
        <w:t>核验投标人资格证件，内容详见投标人须知前附表。</w:t>
      </w:r>
    </w:p>
    <w:p w14:paraId="29910D1E">
      <w:pPr>
        <w:pStyle w:val="21"/>
        <w:spacing w:beforeLines="0" w:afterLines="0"/>
        <w:rPr>
          <w:rFonts w:ascii="宋体" w:hAnsi="宋体"/>
          <w:color w:val="000000"/>
          <w:szCs w:val="24"/>
        </w:rPr>
      </w:pPr>
      <w:r>
        <w:rPr>
          <w:rFonts w:hint="eastAsia" w:ascii="宋体" w:hAnsi="宋体"/>
          <w:color w:val="000000"/>
          <w:szCs w:val="24"/>
        </w:rPr>
        <w:t>（4）投标人或投标人推选的代表对投标文件密封情况进行检查（投标人未参加开标会议的，视同认可投标文件密封完好）。</w:t>
      </w:r>
    </w:p>
    <w:p w14:paraId="5DDD65DD">
      <w:pPr>
        <w:pStyle w:val="21"/>
        <w:spacing w:beforeLines="0" w:afterLines="0"/>
      </w:pPr>
      <w:r>
        <w:rPr>
          <w:rFonts w:hint="eastAsia" w:ascii="宋体" w:hAnsi="宋体"/>
          <w:color w:val="000000"/>
          <w:szCs w:val="24"/>
        </w:rPr>
        <w:t>（5）唱标结束后，由工作人员当众拆封技术标书，由评标专家组对所有投标方的技术标部分综合评定和打分，确定进入</w:t>
      </w:r>
      <w:r>
        <w:rPr>
          <w:rFonts w:hint="eastAsia"/>
        </w:rPr>
        <w:t>商务标评比资格的投标方。</w:t>
      </w:r>
    </w:p>
    <w:p w14:paraId="605C6AA3">
      <w:pPr>
        <w:pStyle w:val="21"/>
        <w:spacing w:beforeLines="0" w:afterLines="0"/>
        <w:rPr>
          <w:rFonts w:hint="eastAsia"/>
        </w:rPr>
      </w:pPr>
      <w:r>
        <w:rPr>
          <w:rFonts w:hint="eastAsia"/>
        </w:rPr>
        <w:t>（6）进行商务标的评标，招标人有权根据项目情况，采取多轮评标模式，确定中标人。</w:t>
      </w:r>
    </w:p>
    <w:p w14:paraId="6A221F91">
      <w:pPr>
        <w:pStyle w:val="21"/>
        <w:spacing w:beforeLines="0" w:afterLines="0"/>
        <w:rPr>
          <w:rFonts w:hint="eastAsia"/>
          <w:highlight w:val="none"/>
        </w:rPr>
      </w:pPr>
      <w:r>
        <w:rPr>
          <w:rFonts w:hint="eastAsia"/>
          <w:highlight w:val="none"/>
          <w:lang w:val="en-US" w:eastAsia="zh-CN"/>
        </w:rPr>
        <w:t>注：</w:t>
      </w:r>
      <w:r>
        <w:rPr>
          <w:rFonts w:hint="eastAsia"/>
          <w:highlight w:val="none"/>
        </w:rPr>
        <w:t>商务标评审采用多轮报价，除开标唱标为公开报价方式外，后续多轮澄清报价均为非公开的方式，在重汽e采通进行提报。商务标开标后，评审期间产生的商务价格澄清均由</w:t>
      </w:r>
      <w:r>
        <w:rPr>
          <w:rFonts w:hint="eastAsia"/>
          <w:highlight w:val="none"/>
          <w:lang w:val="en-US" w:eastAsia="zh-CN"/>
        </w:rPr>
        <w:t>投标人在</w:t>
      </w:r>
      <w:r>
        <w:rPr>
          <w:rFonts w:hint="eastAsia"/>
          <w:highlight w:val="none"/>
        </w:rPr>
        <w:t>重汽e采通平台内限时完成提交，根据招标人需求与投标人进行多轮竞价谈判，按照评标模式推荐中标人，</w:t>
      </w:r>
      <w:r>
        <w:rPr>
          <w:rFonts w:hint="eastAsia"/>
          <w:highlight w:val="none"/>
          <w:lang w:val="en-US" w:eastAsia="zh-CN"/>
        </w:rPr>
        <w:t>对</w:t>
      </w:r>
      <w:r>
        <w:rPr>
          <w:rFonts w:hint="eastAsia"/>
          <w:highlight w:val="none"/>
        </w:rPr>
        <w:t>未入围候选中标人不做任何解释。</w:t>
      </w:r>
    </w:p>
    <w:p w14:paraId="3C5ACE4B">
      <w:pPr>
        <w:pStyle w:val="21"/>
        <w:spacing w:beforeLines="0" w:afterLines="0"/>
        <w:rPr>
          <w:rFonts w:hint="eastAsia"/>
          <w:highlight w:val="none"/>
        </w:rPr>
      </w:pPr>
      <w:r>
        <w:rPr>
          <w:rFonts w:hint="eastAsia"/>
          <w:highlight w:val="none"/>
        </w:rPr>
        <w:t>注意：每一轮在重汽e采通提供澄清报价均有时间限制，未能在规定时间内提交澄清函及报价的视为放弃本次投标。</w:t>
      </w:r>
    </w:p>
    <w:p w14:paraId="183CF85B">
      <w:pPr>
        <w:pStyle w:val="21"/>
        <w:spacing w:beforeLines="0" w:afterLines="0"/>
      </w:pPr>
      <w:bookmarkStart w:id="114" w:name="_Toc212369528"/>
      <w:bookmarkStart w:id="115" w:name="_Toc129697471"/>
      <w:bookmarkStart w:id="116" w:name="_Toc32715"/>
      <w:bookmarkStart w:id="117" w:name="_Toc12777"/>
      <w:bookmarkStart w:id="118" w:name="_Toc92678128"/>
      <w:r>
        <w:rPr>
          <w:rFonts w:hint="eastAsia"/>
        </w:rPr>
        <w:t>2.3.</w:t>
      </w:r>
      <w:r>
        <w:rPr>
          <w:rFonts w:hint="eastAsia"/>
          <w:lang w:val="en-US" w:eastAsia="zh-CN"/>
        </w:rPr>
        <w:t>4</w:t>
      </w:r>
      <w:r>
        <w:rPr>
          <w:rFonts w:hint="eastAsia"/>
        </w:rPr>
        <w:t>评标原则</w:t>
      </w:r>
      <w:bookmarkEnd w:id="114"/>
      <w:bookmarkEnd w:id="115"/>
      <w:bookmarkEnd w:id="116"/>
      <w:bookmarkEnd w:id="117"/>
      <w:bookmarkEnd w:id="118"/>
    </w:p>
    <w:p w14:paraId="5FDDE0EE">
      <w:pPr>
        <w:spacing w:line="360" w:lineRule="auto"/>
        <w:ind w:firstLine="480" w:firstLineChars="200"/>
        <w:rPr>
          <w:rFonts w:ascii="宋体" w:hAnsi="宋体"/>
          <w:sz w:val="24"/>
        </w:rPr>
      </w:pPr>
      <w:bookmarkStart w:id="119" w:name="_Toc212369529"/>
      <w:r>
        <w:rPr>
          <w:rFonts w:hint="eastAsia" w:ascii="宋体" w:hAnsi="宋体"/>
          <w:sz w:val="24"/>
        </w:rPr>
        <w:t>“公平、公正、科学、择优”为本次评标的基本原则，评标委员会按照这一原则的要求，公正、平等地对待各投标人。同时，在评标过程中恪守以下原则：</w:t>
      </w:r>
      <w:bookmarkEnd w:id="119"/>
    </w:p>
    <w:p w14:paraId="028BDB9E">
      <w:pPr>
        <w:pStyle w:val="22"/>
        <w:numPr>
          <w:ilvl w:val="0"/>
          <w:numId w:val="13"/>
        </w:numPr>
        <w:ind w:left="0" w:firstLine="480"/>
      </w:pPr>
      <w:r>
        <w:rPr>
          <w:rFonts w:hint="eastAsia"/>
        </w:rPr>
        <w:t>客观性原则：评标委员会将严格按照招标文件要求的内容，对投标人的投标文件进行认真评审；评标委员会对投标文件的评审仅依据投标文件本身，而不依靠投标文件以外的任何因素；</w:t>
      </w:r>
    </w:p>
    <w:p w14:paraId="1D44EBD4">
      <w:pPr>
        <w:pStyle w:val="22"/>
        <w:numPr>
          <w:ilvl w:val="0"/>
          <w:numId w:val="13"/>
        </w:numPr>
        <w:ind w:left="0" w:firstLine="480"/>
      </w:pPr>
      <w:r>
        <w:rPr>
          <w:rFonts w:hint="eastAsia"/>
        </w:rPr>
        <w:t>统一性原则：评标委员会将按照统一的评标原则和评标办法，用同一标准进行评审。</w:t>
      </w:r>
    </w:p>
    <w:p w14:paraId="0716981E">
      <w:pPr>
        <w:pStyle w:val="22"/>
        <w:numPr>
          <w:ilvl w:val="0"/>
          <w:numId w:val="13"/>
        </w:numPr>
        <w:ind w:left="0" w:firstLine="480"/>
      </w:pPr>
      <w:r>
        <w:rPr>
          <w:rFonts w:hint="eastAsia"/>
        </w:rPr>
        <w:t>独立性原则：评标工作在评标委员会内部独立进行，不受外界任何因素的干扰和影响。评标委员会成员对出具的评审意见承担个人责任。</w:t>
      </w:r>
    </w:p>
    <w:p w14:paraId="5354B6A0">
      <w:pPr>
        <w:pStyle w:val="22"/>
        <w:numPr>
          <w:ilvl w:val="0"/>
          <w:numId w:val="13"/>
        </w:numPr>
        <w:ind w:left="0" w:firstLine="480"/>
      </w:pPr>
      <w:r>
        <w:rPr>
          <w:rFonts w:hint="eastAsia"/>
        </w:rPr>
        <w:t>保密性原则：招标人应当采取必要的措施，保证评标在严格保密的情况下进行。</w:t>
      </w:r>
    </w:p>
    <w:p w14:paraId="2C4E5046">
      <w:pPr>
        <w:pStyle w:val="21"/>
        <w:spacing w:beforeLines="0" w:afterLines="0"/>
      </w:pPr>
      <w:bookmarkStart w:id="120" w:name="_Toc26360"/>
      <w:bookmarkStart w:id="121" w:name="_Toc129697472"/>
      <w:bookmarkStart w:id="122" w:name="_Toc7868"/>
      <w:r>
        <w:rPr>
          <w:rFonts w:hint="eastAsia"/>
        </w:rPr>
        <w:t>2.3.</w:t>
      </w:r>
      <w:r>
        <w:rPr>
          <w:rFonts w:hint="eastAsia"/>
          <w:lang w:val="en-US" w:eastAsia="zh-CN"/>
        </w:rPr>
        <w:t>5</w:t>
      </w:r>
      <w:r>
        <w:rPr>
          <w:rFonts w:hint="eastAsia"/>
        </w:rPr>
        <w:t>出现下列情形之一，招标人有权否决所有投标人的投标，并终止招标</w:t>
      </w:r>
      <w:bookmarkEnd w:id="120"/>
      <w:bookmarkEnd w:id="121"/>
      <w:bookmarkEnd w:id="122"/>
    </w:p>
    <w:p w14:paraId="6203DE56">
      <w:pPr>
        <w:pStyle w:val="21"/>
        <w:spacing w:beforeLines="0" w:afterLines="0"/>
      </w:pPr>
      <w:bookmarkStart w:id="123" w:name="_Toc5950"/>
      <w:bookmarkStart w:id="124" w:name="_Toc129697473"/>
      <w:bookmarkStart w:id="125" w:name="_Toc27893"/>
      <w:r>
        <w:rPr>
          <w:rFonts w:hint="eastAsia"/>
        </w:rPr>
        <w:t>（1）符合条件的投标人或者对招标文件做实质响应的投标人不足三家的。</w:t>
      </w:r>
    </w:p>
    <w:p w14:paraId="74E42CB4">
      <w:pPr>
        <w:pStyle w:val="21"/>
        <w:spacing w:beforeLines="0" w:afterLines="0"/>
      </w:pPr>
      <w:r>
        <w:rPr>
          <w:rFonts w:hint="eastAsia"/>
        </w:rPr>
        <w:t>（2）出现影响采购公正的违法、违规行为的；</w:t>
      </w:r>
    </w:p>
    <w:p w14:paraId="466CC68D">
      <w:pPr>
        <w:pStyle w:val="21"/>
        <w:spacing w:beforeLines="0" w:afterLines="0"/>
      </w:pPr>
      <w:r>
        <w:rPr>
          <w:rFonts w:hint="eastAsia"/>
        </w:rPr>
        <w:t>（3）因重大变故，采购任务取消的；</w:t>
      </w:r>
    </w:p>
    <w:p w14:paraId="6D28D77D">
      <w:pPr>
        <w:pStyle w:val="21"/>
        <w:spacing w:beforeLines="0" w:afterLines="0"/>
      </w:pPr>
      <w:r>
        <w:rPr>
          <w:rFonts w:hint="eastAsia"/>
        </w:rPr>
        <w:t>（4）评标委员会经评审，认为所有投标都不符合招标文件要求的。</w:t>
      </w:r>
    </w:p>
    <w:p w14:paraId="51BB56A5">
      <w:pPr>
        <w:pStyle w:val="21"/>
        <w:spacing w:beforeLines="0" w:afterLines="0"/>
      </w:pPr>
      <w:r>
        <w:rPr>
          <w:rFonts w:hint="eastAsia"/>
        </w:rPr>
        <w:t>（5）招标人认为其他应终止招标的情形。</w:t>
      </w:r>
    </w:p>
    <w:p w14:paraId="73B65BD9">
      <w:pPr>
        <w:pStyle w:val="21"/>
        <w:spacing w:beforeLines="0" w:afterLines="0"/>
      </w:pPr>
      <w:r>
        <w:rPr>
          <w:rFonts w:hint="eastAsia"/>
        </w:rPr>
        <w:t>2.3.</w:t>
      </w:r>
      <w:r>
        <w:rPr>
          <w:rFonts w:hint="eastAsia"/>
          <w:lang w:val="en-US" w:eastAsia="zh-CN"/>
        </w:rPr>
        <w:t>6</w:t>
      </w:r>
      <w:r>
        <w:rPr>
          <w:rFonts w:hint="eastAsia"/>
        </w:rPr>
        <w:t>投标人有下列情形之一，其投标将被视为废标，招标人将严格按照《中华人民共和国招标投标法》及相关法律、法规及规章制度的规定行使权利。投标人给招标人造成损失的，招标人有索赔的权利，投标人应予以赔偿。</w:t>
      </w:r>
      <w:bookmarkEnd w:id="123"/>
      <w:bookmarkEnd w:id="124"/>
      <w:bookmarkEnd w:id="125"/>
    </w:p>
    <w:p w14:paraId="036A28F3">
      <w:pPr>
        <w:spacing w:line="360" w:lineRule="auto"/>
        <w:ind w:firstLine="480" w:firstLineChars="200"/>
        <w:rPr>
          <w:kern w:val="0"/>
          <w:sz w:val="24"/>
          <w:szCs w:val="20"/>
        </w:rPr>
      </w:pPr>
      <w:r>
        <w:rPr>
          <w:rFonts w:hint="eastAsia"/>
          <w:kern w:val="0"/>
          <w:sz w:val="24"/>
          <w:szCs w:val="20"/>
        </w:rPr>
        <w:t>（1）投标人提供的有关资格、资质证明文件不合格、不真实或提供虚假投标材料；</w:t>
      </w:r>
    </w:p>
    <w:p w14:paraId="7A6AF8C5">
      <w:pPr>
        <w:spacing w:line="360" w:lineRule="auto"/>
        <w:ind w:firstLine="480" w:firstLineChars="200"/>
        <w:rPr>
          <w:kern w:val="0"/>
          <w:sz w:val="24"/>
          <w:szCs w:val="20"/>
        </w:rPr>
      </w:pPr>
      <w:r>
        <w:rPr>
          <w:rFonts w:hint="eastAsia"/>
          <w:kern w:val="0"/>
          <w:sz w:val="24"/>
          <w:szCs w:val="20"/>
        </w:rPr>
        <w:t>（2）投标人在报价有效期内撤回投标；</w:t>
      </w:r>
    </w:p>
    <w:p w14:paraId="4B91D08F">
      <w:pPr>
        <w:spacing w:line="360" w:lineRule="auto"/>
        <w:ind w:firstLine="480" w:firstLineChars="200"/>
        <w:rPr>
          <w:kern w:val="0"/>
          <w:sz w:val="24"/>
          <w:szCs w:val="20"/>
        </w:rPr>
      </w:pPr>
      <w:r>
        <w:rPr>
          <w:rFonts w:hint="eastAsia"/>
          <w:kern w:val="0"/>
          <w:sz w:val="24"/>
          <w:szCs w:val="20"/>
        </w:rPr>
        <w:t>（3）在整个评标过程中，投标人有企图影响评标结果公正性的任何活动；</w:t>
      </w:r>
    </w:p>
    <w:p w14:paraId="52562691">
      <w:pPr>
        <w:spacing w:line="360" w:lineRule="auto"/>
        <w:ind w:firstLine="480" w:firstLineChars="200"/>
        <w:rPr>
          <w:kern w:val="0"/>
          <w:sz w:val="24"/>
          <w:szCs w:val="20"/>
        </w:rPr>
      </w:pPr>
      <w:r>
        <w:rPr>
          <w:rFonts w:hint="eastAsia"/>
          <w:kern w:val="0"/>
          <w:sz w:val="24"/>
          <w:szCs w:val="20"/>
        </w:rPr>
        <w:t>（4）投标人以任何方式诋毁其他投标人；</w:t>
      </w:r>
    </w:p>
    <w:p w14:paraId="389DBFDF">
      <w:pPr>
        <w:spacing w:line="360" w:lineRule="auto"/>
        <w:ind w:firstLine="480" w:firstLineChars="200"/>
        <w:rPr>
          <w:kern w:val="0"/>
          <w:sz w:val="24"/>
          <w:szCs w:val="20"/>
        </w:rPr>
      </w:pPr>
      <w:r>
        <w:rPr>
          <w:rFonts w:hint="eastAsia"/>
          <w:kern w:val="0"/>
          <w:sz w:val="24"/>
          <w:szCs w:val="20"/>
        </w:rPr>
        <w:t>（5）投标人串通投标；</w:t>
      </w:r>
    </w:p>
    <w:p w14:paraId="20C3FEB4">
      <w:pPr>
        <w:spacing w:line="360" w:lineRule="auto"/>
        <w:ind w:firstLine="480" w:firstLineChars="200"/>
        <w:rPr>
          <w:kern w:val="0"/>
          <w:sz w:val="24"/>
          <w:szCs w:val="20"/>
        </w:rPr>
      </w:pPr>
      <w:r>
        <w:rPr>
          <w:rFonts w:hint="eastAsia"/>
          <w:kern w:val="0"/>
          <w:sz w:val="24"/>
          <w:szCs w:val="20"/>
        </w:rPr>
        <w:t>（6）以他人名义投标或者以其他方式弄虚作假，骗取中标的；</w:t>
      </w:r>
    </w:p>
    <w:p w14:paraId="6E1663A2">
      <w:pPr>
        <w:spacing w:line="360" w:lineRule="auto"/>
        <w:ind w:firstLine="480" w:firstLineChars="200"/>
        <w:rPr>
          <w:kern w:val="0"/>
          <w:sz w:val="24"/>
          <w:szCs w:val="20"/>
        </w:rPr>
      </w:pPr>
      <w:r>
        <w:rPr>
          <w:rFonts w:hint="eastAsia"/>
          <w:kern w:val="0"/>
          <w:sz w:val="24"/>
          <w:szCs w:val="20"/>
        </w:rPr>
        <w:t>（7）中标人不按规定签订合同；</w:t>
      </w:r>
    </w:p>
    <w:p w14:paraId="48D8C9CB">
      <w:pPr>
        <w:spacing w:line="360" w:lineRule="auto"/>
        <w:ind w:firstLine="480" w:firstLineChars="200"/>
        <w:rPr>
          <w:kern w:val="0"/>
          <w:sz w:val="24"/>
          <w:szCs w:val="20"/>
        </w:rPr>
      </w:pPr>
      <w:r>
        <w:rPr>
          <w:rFonts w:hint="eastAsia"/>
          <w:kern w:val="0"/>
          <w:sz w:val="24"/>
          <w:szCs w:val="20"/>
        </w:rPr>
        <w:t>（8）不同投标单位负责人为同一人或存在管理关系的；</w:t>
      </w:r>
    </w:p>
    <w:p w14:paraId="4E787C0D">
      <w:pPr>
        <w:spacing w:line="360" w:lineRule="auto"/>
        <w:ind w:firstLine="480" w:firstLineChars="200"/>
        <w:rPr>
          <w:kern w:val="0"/>
          <w:sz w:val="24"/>
          <w:szCs w:val="20"/>
        </w:rPr>
      </w:pPr>
      <w:r>
        <w:rPr>
          <w:rFonts w:hint="eastAsia"/>
          <w:kern w:val="0"/>
          <w:sz w:val="24"/>
          <w:szCs w:val="20"/>
        </w:rPr>
        <w:t>（9）投标人被举报、检举，并经招标方查实无误的；</w:t>
      </w:r>
    </w:p>
    <w:p w14:paraId="489BA52B">
      <w:pPr>
        <w:pStyle w:val="6"/>
        <w:spacing w:line="360" w:lineRule="auto"/>
        <w:ind w:firstLine="480"/>
      </w:pPr>
      <w:r>
        <w:rPr>
          <w:rFonts w:hint="eastAsia"/>
          <w:sz w:val="24"/>
          <w:szCs w:val="20"/>
        </w:rPr>
        <w:t>（10）技术标出现报价的；</w:t>
      </w:r>
    </w:p>
    <w:p w14:paraId="520EC3DF">
      <w:pPr>
        <w:pStyle w:val="6"/>
        <w:spacing w:line="360" w:lineRule="auto"/>
        <w:ind w:firstLine="480"/>
        <w:rPr>
          <w:rFonts w:hint="eastAsia"/>
          <w:sz w:val="24"/>
          <w:szCs w:val="20"/>
        </w:rPr>
      </w:pPr>
      <w:r>
        <w:rPr>
          <w:rFonts w:hint="eastAsia"/>
          <w:sz w:val="24"/>
          <w:szCs w:val="20"/>
        </w:rPr>
        <w:t>（11）不同投标人投标文件异常一致或报价</w:t>
      </w:r>
      <w:r>
        <w:rPr>
          <w:rFonts w:hint="eastAsia"/>
          <w:sz w:val="24"/>
          <w:szCs w:val="20"/>
          <w:lang w:val="en-US" w:eastAsia="zh-CN"/>
        </w:rPr>
        <w:t>呈</w:t>
      </w:r>
      <w:r>
        <w:rPr>
          <w:rFonts w:hint="eastAsia"/>
          <w:sz w:val="24"/>
          <w:szCs w:val="20"/>
        </w:rPr>
        <w:t>差异性变化；</w:t>
      </w:r>
    </w:p>
    <w:p w14:paraId="1ABE1967">
      <w:pPr>
        <w:pStyle w:val="6"/>
        <w:spacing w:line="360" w:lineRule="auto"/>
        <w:ind w:firstLine="480"/>
        <w:rPr>
          <w:rFonts w:hint="default"/>
          <w:sz w:val="24"/>
          <w:szCs w:val="20"/>
          <w:highlight w:val="none"/>
          <w:lang w:val="en-US" w:eastAsia="zh-CN"/>
        </w:rPr>
      </w:pPr>
      <w:r>
        <w:rPr>
          <w:rFonts w:hint="eastAsia"/>
          <w:sz w:val="24"/>
          <w:szCs w:val="20"/>
          <w:lang w:val="en-US" w:eastAsia="zh-CN"/>
        </w:rPr>
        <w:t>（12）</w:t>
      </w:r>
      <w:r>
        <w:rPr>
          <w:rFonts w:hint="eastAsia"/>
          <w:sz w:val="24"/>
          <w:szCs w:val="20"/>
          <w:highlight w:val="none"/>
          <w:lang w:val="en-US" w:eastAsia="zh-CN"/>
        </w:rPr>
        <w:t>投标人每一轮商务标报价不得高于前一轮报价，</w:t>
      </w:r>
      <w:r>
        <w:rPr>
          <w:rFonts w:hint="eastAsia"/>
          <w:strike w:val="0"/>
          <w:dstrike w:val="0"/>
          <w:color w:val="auto"/>
          <w:sz w:val="24"/>
          <w:szCs w:val="20"/>
          <w:highlight w:val="none"/>
          <w:lang w:val="en-US" w:eastAsia="zh-CN"/>
        </w:rPr>
        <w:t>报价原则上不得高于基价</w:t>
      </w:r>
      <w:r>
        <w:rPr>
          <w:rFonts w:hint="eastAsia"/>
          <w:strike w:val="0"/>
          <w:color w:val="auto"/>
          <w:sz w:val="24"/>
          <w:szCs w:val="20"/>
          <w:highlight w:val="none"/>
          <w:lang w:val="en-US" w:eastAsia="zh-CN"/>
        </w:rPr>
        <w:t>；</w:t>
      </w:r>
    </w:p>
    <w:p w14:paraId="6DA50383">
      <w:pPr>
        <w:pStyle w:val="6"/>
        <w:spacing w:line="360" w:lineRule="auto"/>
        <w:ind w:firstLine="480"/>
        <w:rPr>
          <w:rFonts w:hint="eastAsia"/>
          <w:sz w:val="24"/>
          <w:szCs w:val="20"/>
          <w:highlight w:val="none"/>
        </w:rPr>
      </w:pPr>
      <w:r>
        <w:rPr>
          <w:rFonts w:hint="eastAsia"/>
          <w:sz w:val="24"/>
          <w:szCs w:val="20"/>
          <w:highlight w:val="none"/>
        </w:rPr>
        <w:t>（1</w:t>
      </w:r>
      <w:r>
        <w:rPr>
          <w:rFonts w:hint="eastAsia"/>
          <w:sz w:val="24"/>
          <w:szCs w:val="20"/>
          <w:highlight w:val="none"/>
          <w:lang w:val="en-US" w:eastAsia="zh-CN"/>
        </w:rPr>
        <w:t>3</w:t>
      </w:r>
      <w:r>
        <w:rPr>
          <w:rFonts w:hint="eastAsia"/>
          <w:sz w:val="24"/>
          <w:szCs w:val="20"/>
          <w:highlight w:val="none"/>
        </w:rPr>
        <w:t>）法律、法规规定的其他情况。</w:t>
      </w:r>
    </w:p>
    <w:p w14:paraId="16BD838C">
      <w:pPr>
        <w:spacing w:line="360" w:lineRule="auto"/>
        <w:ind w:firstLine="480" w:firstLineChars="200"/>
        <w:rPr>
          <w:rFonts w:hint="eastAsia"/>
          <w:kern w:val="0"/>
          <w:sz w:val="24"/>
          <w:szCs w:val="20"/>
          <w:highlight w:val="none"/>
          <w:lang w:val="en-US" w:eastAsia="zh-CN"/>
        </w:rPr>
      </w:pPr>
      <w:r>
        <w:rPr>
          <w:rFonts w:hint="eastAsia"/>
          <w:kern w:val="0"/>
          <w:sz w:val="24"/>
          <w:szCs w:val="20"/>
          <w:highlight w:val="none"/>
          <w:lang w:val="en-US" w:eastAsia="zh-CN"/>
        </w:rPr>
        <w:t>2.3.7本次投标共分两个包次：A包商品车运输项目两家单位中标，中标单位需承接所有区域的驾运及板运业务，且必须具备大件运输资质；B包生产移库项目两家中标单位，可与A包中标单位重复，无大件运输资质要求；</w:t>
      </w:r>
    </w:p>
    <w:p w14:paraId="6F111358">
      <w:pPr>
        <w:spacing w:line="360" w:lineRule="auto"/>
        <w:ind w:firstLine="480" w:firstLineChars="200"/>
        <w:rPr>
          <w:rFonts w:hint="eastAsia"/>
          <w:kern w:val="0"/>
          <w:sz w:val="24"/>
          <w:szCs w:val="20"/>
          <w:highlight w:val="none"/>
          <w:lang w:val="en-US" w:eastAsia="zh-CN"/>
        </w:rPr>
      </w:pPr>
    </w:p>
    <w:p w14:paraId="43EC9587">
      <w:pPr>
        <w:pStyle w:val="6"/>
      </w:pPr>
    </w:p>
    <w:p w14:paraId="4522F0AD">
      <w:pPr>
        <w:pStyle w:val="15"/>
        <w:ind w:left="420"/>
      </w:pPr>
      <w:bookmarkStart w:id="126" w:name="_Toc9606"/>
      <w:bookmarkStart w:id="127" w:name="_Toc17296"/>
      <w:bookmarkStart w:id="128" w:name="_Toc451"/>
      <w:bookmarkStart w:id="129" w:name="_Toc14379"/>
      <w:bookmarkStart w:id="130" w:name="_Toc500420293"/>
      <w:bookmarkStart w:id="131" w:name="_Toc500420375"/>
      <w:r>
        <w:rPr>
          <w:rFonts w:hint="eastAsia"/>
        </w:rPr>
        <w:t>招标项目内容及运输费用标准</w:t>
      </w:r>
      <w:bookmarkEnd w:id="126"/>
      <w:bookmarkEnd w:id="127"/>
      <w:bookmarkEnd w:id="128"/>
      <w:bookmarkEnd w:id="129"/>
    </w:p>
    <w:p w14:paraId="49C91F54">
      <w:pPr>
        <w:pStyle w:val="15"/>
        <w:numPr>
          <w:ilvl w:val="0"/>
          <w:numId w:val="0"/>
        </w:numPr>
        <w:ind w:leftChars="0"/>
        <w:jc w:val="both"/>
      </w:pPr>
    </w:p>
    <w:p w14:paraId="1A5BA31A">
      <w:pPr>
        <w:pStyle w:val="3"/>
        <w:numPr>
          <w:ilvl w:val="0"/>
          <w:numId w:val="0"/>
        </w:numPr>
        <w:spacing w:before="0" w:beforeLines="0" w:line="360" w:lineRule="auto"/>
        <w:ind w:left="0" w:leftChars="0" w:firstLine="562" w:firstLineChars="200"/>
        <w:rPr>
          <w:sz w:val="22"/>
          <w:szCs w:val="22"/>
        </w:rPr>
      </w:pPr>
      <w:bookmarkStart w:id="132" w:name="_Toc11209"/>
      <w:bookmarkStart w:id="133" w:name="_Toc32438"/>
      <w:bookmarkStart w:id="134" w:name="_Toc29707"/>
      <w:bookmarkStart w:id="135" w:name="_Toc12948"/>
      <w:r>
        <w:rPr>
          <w:rFonts w:hint="eastAsia"/>
          <w:sz w:val="28"/>
          <w:szCs w:val="28"/>
        </w:rPr>
        <w:t>3.1项目内容</w:t>
      </w:r>
      <w:bookmarkEnd w:id="132"/>
      <w:bookmarkEnd w:id="133"/>
      <w:bookmarkEnd w:id="134"/>
      <w:bookmarkEnd w:id="135"/>
    </w:p>
    <w:p w14:paraId="781D5FF5">
      <w:pPr>
        <w:spacing w:line="360" w:lineRule="auto"/>
        <w:ind w:firstLine="480" w:firstLineChars="200"/>
        <w:rPr>
          <w:rFonts w:hint="eastAsia" w:ascii="宋体" w:hAnsi="宋体" w:cs="宋体"/>
          <w:color w:val="000000"/>
          <w:sz w:val="24"/>
          <w:szCs w:val="24"/>
          <w:lang w:val="en-US" w:eastAsia="zh-CN"/>
        </w:rPr>
      </w:pPr>
      <w:r>
        <w:rPr>
          <w:rFonts w:hint="eastAsia" w:ascii="宋体" w:hAnsi="宋体" w:cs="宋体"/>
          <w:color w:val="000000"/>
          <w:sz w:val="24"/>
          <w:szCs w:val="24"/>
          <w:highlight w:val="none"/>
          <w:lang w:val="en-US" w:eastAsia="zh-CN"/>
        </w:rPr>
        <w:t>2026年12月1日至2027年6月30日期间，</w:t>
      </w:r>
      <w:r>
        <w:rPr>
          <w:rFonts w:hint="eastAsia" w:ascii="宋体" w:hAnsi="宋体" w:cs="宋体"/>
          <w:color w:val="000000"/>
          <w:sz w:val="24"/>
          <w:szCs w:val="24"/>
          <w:highlight w:val="none"/>
        </w:rPr>
        <w:t>中国重</w:t>
      </w:r>
      <w:r>
        <w:rPr>
          <w:rFonts w:hint="eastAsia" w:ascii="宋体" w:hAnsi="宋体" w:cs="宋体"/>
          <w:color w:val="000000"/>
          <w:sz w:val="24"/>
          <w:szCs w:val="24"/>
        </w:rPr>
        <w:t>汽集团</w:t>
      </w:r>
      <w:r>
        <w:rPr>
          <w:rFonts w:hint="eastAsia" w:ascii="宋体" w:hAnsi="宋体" w:cs="宋体"/>
          <w:color w:val="000000"/>
          <w:sz w:val="24"/>
          <w:szCs w:val="24"/>
          <w:lang w:val="en-US" w:eastAsia="zh-CN"/>
        </w:rPr>
        <w:t>济南特种车有限公司</w:t>
      </w:r>
      <w:r>
        <w:rPr>
          <w:rFonts w:hint="eastAsia" w:ascii="宋体" w:hAnsi="宋体" w:cs="宋体"/>
          <w:color w:val="000000"/>
          <w:sz w:val="24"/>
          <w:szCs w:val="24"/>
        </w:rPr>
        <w:t>销售的商品车运输；</w:t>
      </w:r>
      <w:r>
        <w:rPr>
          <w:rFonts w:hint="eastAsia" w:ascii="宋体" w:hAnsi="宋体" w:cs="宋体"/>
          <w:color w:val="000000"/>
          <w:sz w:val="24"/>
          <w:szCs w:val="24"/>
          <w:lang w:val="en-US" w:eastAsia="zh-CN"/>
        </w:rPr>
        <w:t>试验车、</w:t>
      </w:r>
      <w:r>
        <w:rPr>
          <w:rFonts w:hint="eastAsia" w:ascii="宋体" w:hAnsi="宋体" w:cs="宋体"/>
          <w:color w:val="000000"/>
          <w:sz w:val="24"/>
          <w:szCs w:val="24"/>
        </w:rPr>
        <w:t>公告申报车辆、展会参展车辆以及调拨车辆的运输</w:t>
      </w:r>
      <w:r>
        <w:rPr>
          <w:rFonts w:hint="eastAsia" w:ascii="宋体" w:hAnsi="宋体" w:cs="宋体"/>
          <w:color w:val="000000"/>
          <w:sz w:val="24"/>
          <w:szCs w:val="24"/>
          <w:lang w:eastAsia="zh-CN"/>
        </w:rPr>
        <w:t>；</w:t>
      </w:r>
      <w:r>
        <w:rPr>
          <w:rFonts w:hint="eastAsia" w:ascii="宋体" w:hAnsi="宋体" w:cs="宋体"/>
          <w:color w:val="000000"/>
          <w:sz w:val="24"/>
          <w:szCs w:val="24"/>
          <w:lang w:val="en-US" w:eastAsia="zh-CN"/>
        </w:rPr>
        <w:t>生产移库车辆的运输。</w:t>
      </w:r>
    </w:p>
    <w:p w14:paraId="296713EF">
      <w:pPr>
        <w:pStyle w:val="9"/>
        <w:rPr>
          <w:rFonts w:hint="default"/>
          <w:lang w:val="en-US" w:eastAsia="zh-CN"/>
        </w:rPr>
      </w:pPr>
    </w:p>
    <w:p w14:paraId="1F39169E">
      <w:pPr>
        <w:pStyle w:val="3"/>
        <w:numPr>
          <w:ilvl w:val="0"/>
          <w:numId w:val="0"/>
        </w:numPr>
        <w:spacing w:before="120" w:line="360" w:lineRule="auto"/>
        <w:ind w:firstLine="548" w:firstLineChars="195"/>
        <w:rPr>
          <w:rFonts w:hint="eastAsia" w:ascii="Times New Roman" w:hAnsi="Times New Roman" w:eastAsia="宋体" w:cs="Times New Roman"/>
          <w:b/>
          <w:kern w:val="2"/>
          <w:sz w:val="22"/>
          <w:szCs w:val="22"/>
          <w:lang w:val="en-US" w:eastAsia="zh-CN" w:bidi="ar-SA"/>
        </w:rPr>
      </w:pPr>
      <w:bookmarkStart w:id="136" w:name="_Toc9825"/>
      <w:bookmarkStart w:id="137" w:name="_Toc32191"/>
      <w:bookmarkStart w:id="138" w:name="_Toc13864"/>
      <w:bookmarkStart w:id="139" w:name="_Toc30575"/>
      <w:r>
        <w:rPr>
          <w:rFonts w:hint="eastAsia"/>
          <w:sz w:val="28"/>
          <w:szCs w:val="28"/>
        </w:rPr>
        <w:t>3.2</w:t>
      </w:r>
      <w:r>
        <w:rPr>
          <w:rFonts w:hint="eastAsia"/>
          <w:sz w:val="28"/>
          <w:szCs w:val="28"/>
          <w:lang w:val="en-US" w:eastAsia="zh-CN"/>
        </w:rPr>
        <w:t>包次</w:t>
      </w:r>
      <w:r>
        <w:rPr>
          <w:rFonts w:hint="eastAsia"/>
          <w:sz w:val="28"/>
          <w:szCs w:val="28"/>
        </w:rPr>
        <w:t>路线划分</w:t>
      </w:r>
      <w:bookmarkEnd w:id="136"/>
      <w:bookmarkEnd w:id="137"/>
      <w:bookmarkEnd w:id="138"/>
      <w:bookmarkEnd w:id="139"/>
    </w:p>
    <w:p w14:paraId="5F12ED42">
      <w:pPr>
        <w:pStyle w:val="6"/>
        <w:rPr>
          <w:rFonts w:hint="default"/>
          <w:lang w:val="en-US" w:eastAsia="zh-CN"/>
        </w:rPr>
      </w:pPr>
    </w:p>
    <w:tbl>
      <w:tblPr>
        <w:tblStyle w:val="1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3"/>
        <w:gridCol w:w="3169"/>
        <w:gridCol w:w="1659"/>
        <w:gridCol w:w="2942"/>
      </w:tblGrid>
      <w:tr w14:paraId="22D36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15" w:type="pct"/>
            <w:vAlign w:val="center"/>
          </w:tcPr>
          <w:p w14:paraId="21710AA4">
            <w:pPr>
              <w:spacing w:line="360" w:lineRule="auto"/>
              <w:jc w:val="center"/>
              <w:rPr>
                <w:rFonts w:hint="default" w:ascii="宋体" w:hAnsi="宋体" w:cs="宋体"/>
                <w:color w:val="000000"/>
                <w:sz w:val="24"/>
                <w:szCs w:val="24"/>
                <w:highlight w:val="none"/>
                <w:lang w:val="en-US" w:eastAsia="zh-CN"/>
              </w:rPr>
            </w:pPr>
            <w:bookmarkStart w:id="140" w:name="_Toc18109"/>
            <w:r>
              <w:rPr>
                <w:rFonts w:hint="eastAsia" w:ascii="宋体" w:hAnsi="宋体" w:cs="宋体"/>
                <w:color w:val="000000"/>
                <w:sz w:val="24"/>
                <w:szCs w:val="24"/>
                <w:highlight w:val="none"/>
                <w:lang w:val="en-US" w:eastAsia="zh-CN"/>
              </w:rPr>
              <w:t>包次</w:t>
            </w:r>
          </w:p>
        </w:tc>
        <w:tc>
          <w:tcPr>
            <w:tcW w:w="1706" w:type="pct"/>
            <w:vAlign w:val="bottom"/>
          </w:tcPr>
          <w:p w14:paraId="3FE5C669">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项目名称</w:t>
            </w:r>
          </w:p>
        </w:tc>
        <w:tc>
          <w:tcPr>
            <w:tcW w:w="893" w:type="pct"/>
            <w:vAlign w:val="bottom"/>
          </w:tcPr>
          <w:p w14:paraId="4810F08E">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数量（辆）</w:t>
            </w:r>
          </w:p>
        </w:tc>
        <w:tc>
          <w:tcPr>
            <w:tcW w:w="1584" w:type="pct"/>
            <w:vAlign w:val="bottom"/>
          </w:tcPr>
          <w:p w14:paraId="6AD2F373">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总预算</w:t>
            </w:r>
          </w:p>
        </w:tc>
      </w:tr>
      <w:tr w14:paraId="67402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15" w:type="pct"/>
            <w:vMerge w:val="restart"/>
            <w:vAlign w:val="center"/>
          </w:tcPr>
          <w:p w14:paraId="212050A8">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A包</w:t>
            </w:r>
          </w:p>
        </w:tc>
        <w:tc>
          <w:tcPr>
            <w:tcW w:w="1706" w:type="pct"/>
            <w:vAlign w:val="bottom"/>
          </w:tcPr>
          <w:p w14:paraId="7372A223">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驾运（军品）</w:t>
            </w:r>
          </w:p>
        </w:tc>
        <w:tc>
          <w:tcPr>
            <w:tcW w:w="893" w:type="pct"/>
            <w:vAlign w:val="bottom"/>
          </w:tcPr>
          <w:p w14:paraId="6C5F08F3">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600</w:t>
            </w:r>
          </w:p>
        </w:tc>
        <w:tc>
          <w:tcPr>
            <w:tcW w:w="1584" w:type="pct"/>
            <w:vAlign w:val="bottom"/>
          </w:tcPr>
          <w:p w14:paraId="028D1D91">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149.79万元</w:t>
            </w:r>
          </w:p>
        </w:tc>
      </w:tr>
      <w:tr w14:paraId="7A1E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15" w:type="pct"/>
            <w:vMerge w:val="continue"/>
            <w:vAlign w:val="center"/>
          </w:tcPr>
          <w:p w14:paraId="7473FA1B">
            <w:pPr>
              <w:spacing w:line="360" w:lineRule="auto"/>
              <w:ind w:firstLine="480" w:firstLineChars="200"/>
              <w:jc w:val="center"/>
              <w:rPr>
                <w:rFonts w:hint="default" w:ascii="宋体" w:hAnsi="宋体" w:cs="宋体"/>
                <w:color w:val="000000"/>
                <w:sz w:val="24"/>
                <w:szCs w:val="24"/>
                <w:highlight w:val="none"/>
                <w:lang w:val="en-US" w:eastAsia="zh-CN"/>
              </w:rPr>
            </w:pPr>
          </w:p>
        </w:tc>
        <w:tc>
          <w:tcPr>
            <w:tcW w:w="1706" w:type="pct"/>
            <w:vAlign w:val="bottom"/>
          </w:tcPr>
          <w:p w14:paraId="1F4EC806">
            <w:pPr>
              <w:spacing w:line="360" w:lineRule="auto"/>
              <w:jc w:val="center"/>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驾运（民品）</w:t>
            </w:r>
          </w:p>
        </w:tc>
        <w:tc>
          <w:tcPr>
            <w:tcW w:w="893" w:type="pct"/>
            <w:vAlign w:val="bottom"/>
          </w:tcPr>
          <w:p w14:paraId="7CB618BF">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900</w:t>
            </w:r>
          </w:p>
        </w:tc>
        <w:tc>
          <w:tcPr>
            <w:tcW w:w="1584" w:type="pct"/>
            <w:vAlign w:val="bottom"/>
          </w:tcPr>
          <w:p w14:paraId="72056372">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250.97万元</w:t>
            </w:r>
          </w:p>
        </w:tc>
      </w:tr>
      <w:tr w14:paraId="481A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15" w:type="pct"/>
            <w:vMerge w:val="continue"/>
            <w:vAlign w:val="center"/>
          </w:tcPr>
          <w:p w14:paraId="0B23D9FB">
            <w:pPr>
              <w:spacing w:line="360" w:lineRule="auto"/>
              <w:ind w:firstLine="480" w:firstLineChars="200"/>
              <w:jc w:val="center"/>
              <w:rPr>
                <w:rFonts w:hint="default" w:ascii="宋体" w:hAnsi="宋体" w:cs="宋体"/>
                <w:color w:val="000000"/>
                <w:sz w:val="24"/>
                <w:szCs w:val="24"/>
                <w:highlight w:val="none"/>
                <w:lang w:val="en-US" w:eastAsia="zh-CN"/>
              </w:rPr>
            </w:pPr>
          </w:p>
        </w:tc>
        <w:tc>
          <w:tcPr>
            <w:tcW w:w="1706" w:type="pct"/>
            <w:shd w:val="clear" w:color="auto" w:fill="auto"/>
            <w:vAlign w:val="bottom"/>
          </w:tcPr>
          <w:p w14:paraId="1A81A25A">
            <w:pPr>
              <w:spacing w:line="360" w:lineRule="auto"/>
              <w:jc w:val="cente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sz w:val="24"/>
                <w:szCs w:val="24"/>
                <w:highlight w:val="none"/>
                <w:lang w:val="en-US" w:eastAsia="zh-CN"/>
              </w:rPr>
              <w:t>板运（非超限）</w:t>
            </w:r>
          </w:p>
        </w:tc>
        <w:tc>
          <w:tcPr>
            <w:tcW w:w="893" w:type="pct"/>
            <w:shd w:val="clear" w:color="auto" w:fill="auto"/>
            <w:vAlign w:val="bottom"/>
          </w:tcPr>
          <w:p w14:paraId="5EF9782C">
            <w:pPr>
              <w:spacing w:line="360" w:lineRule="auto"/>
              <w:jc w:val="cente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sz w:val="24"/>
                <w:szCs w:val="24"/>
                <w:highlight w:val="none"/>
                <w:lang w:val="en-US" w:eastAsia="zh-CN"/>
              </w:rPr>
              <w:t>500</w:t>
            </w:r>
          </w:p>
        </w:tc>
        <w:tc>
          <w:tcPr>
            <w:tcW w:w="1584" w:type="pct"/>
            <w:shd w:val="clear" w:color="auto" w:fill="auto"/>
            <w:vAlign w:val="bottom"/>
          </w:tcPr>
          <w:p w14:paraId="226A7A18">
            <w:pPr>
              <w:spacing w:line="360" w:lineRule="auto"/>
              <w:jc w:val="cente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sz w:val="24"/>
                <w:szCs w:val="24"/>
                <w:highlight w:val="none"/>
                <w:lang w:val="en-US" w:eastAsia="zh-CN"/>
              </w:rPr>
              <w:t>243.81万元</w:t>
            </w:r>
          </w:p>
        </w:tc>
      </w:tr>
      <w:tr w14:paraId="61CD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15" w:type="pct"/>
            <w:vMerge w:val="continue"/>
            <w:vAlign w:val="center"/>
          </w:tcPr>
          <w:p w14:paraId="34E7C918">
            <w:pPr>
              <w:spacing w:line="360" w:lineRule="auto"/>
              <w:ind w:firstLine="480" w:firstLineChars="200"/>
              <w:jc w:val="center"/>
              <w:rPr>
                <w:rFonts w:hint="default" w:ascii="宋体" w:hAnsi="宋体" w:cs="宋体"/>
                <w:color w:val="000000"/>
                <w:sz w:val="24"/>
                <w:szCs w:val="24"/>
                <w:highlight w:val="none"/>
                <w:lang w:val="en-US" w:eastAsia="zh-CN"/>
              </w:rPr>
            </w:pPr>
          </w:p>
        </w:tc>
        <w:tc>
          <w:tcPr>
            <w:tcW w:w="1706" w:type="pct"/>
            <w:shd w:val="clear" w:color="auto" w:fill="auto"/>
            <w:vAlign w:val="bottom"/>
          </w:tcPr>
          <w:p w14:paraId="6154A4EC">
            <w:pPr>
              <w:spacing w:line="360" w:lineRule="auto"/>
              <w:jc w:val="cente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sz w:val="24"/>
                <w:szCs w:val="24"/>
                <w:highlight w:val="none"/>
                <w:lang w:val="en-US" w:eastAsia="zh-CN"/>
              </w:rPr>
              <w:t>板运（超限）</w:t>
            </w:r>
          </w:p>
        </w:tc>
        <w:tc>
          <w:tcPr>
            <w:tcW w:w="893" w:type="pct"/>
            <w:shd w:val="clear" w:color="auto" w:fill="auto"/>
            <w:vAlign w:val="bottom"/>
          </w:tcPr>
          <w:p w14:paraId="74F01F1A">
            <w:pPr>
              <w:spacing w:line="360" w:lineRule="auto"/>
              <w:jc w:val="cente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sz w:val="24"/>
                <w:szCs w:val="24"/>
                <w:highlight w:val="none"/>
                <w:lang w:val="en-US" w:eastAsia="zh-CN"/>
              </w:rPr>
              <w:t>500</w:t>
            </w:r>
          </w:p>
        </w:tc>
        <w:tc>
          <w:tcPr>
            <w:tcW w:w="1584" w:type="pct"/>
            <w:shd w:val="clear" w:color="auto" w:fill="auto"/>
            <w:vAlign w:val="bottom"/>
          </w:tcPr>
          <w:p w14:paraId="1F841585">
            <w:pPr>
              <w:spacing w:line="360" w:lineRule="auto"/>
              <w:jc w:val="center"/>
              <w:rPr>
                <w:rFonts w:hint="default" w:ascii="宋体" w:hAnsi="宋体" w:eastAsia="宋体" w:cs="宋体"/>
                <w:color w:val="000000"/>
                <w:kern w:val="2"/>
                <w:sz w:val="24"/>
                <w:szCs w:val="24"/>
                <w:highlight w:val="none"/>
                <w:lang w:val="en-US" w:eastAsia="zh-CN" w:bidi="ar-SA"/>
              </w:rPr>
            </w:pPr>
            <w:r>
              <w:rPr>
                <w:rFonts w:hint="eastAsia" w:ascii="宋体" w:hAnsi="宋体" w:cs="宋体"/>
                <w:color w:val="000000"/>
                <w:sz w:val="24"/>
                <w:szCs w:val="24"/>
                <w:highlight w:val="none"/>
                <w:lang w:val="en-US" w:eastAsia="zh-CN"/>
              </w:rPr>
              <w:t>944.29万元</w:t>
            </w:r>
          </w:p>
        </w:tc>
      </w:tr>
      <w:tr w14:paraId="0EC0B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815" w:type="pct"/>
            <w:vAlign w:val="center"/>
          </w:tcPr>
          <w:p w14:paraId="4EEB81A9">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B包</w:t>
            </w:r>
          </w:p>
        </w:tc>
        <w:tc>
          <w:tcPr>
            <w:tcW w:w="1706" w:type="pct"/>
            <w:vAlign w:val="bottom"/>
          </w:tcPr>
          <w:p w14:paraId="49C02EF4">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生产移库</w:t>
            </w:r>
          </w:p>
        </w:tc>
        <w:tc>
          <w:tcPr>
            <w:tcW w:w="893" w:type="pct"/>
            <w:vAlign w:val="bottom"/>
          </w:tcPr>
          <w:p w14:paraId="07EA1E58">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9000</w:t>
            </w:r>
          </w:p>
        </w:tc>
        <w:tc>
          <w:tcPr>
            <w:tcW w:w="1584" w:type="pct"/>
            <w:vAlign w:val="bottom"/>
          </w:tcPr>
          <w:p w14:paraId="29831263">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254.07万元</w:t>
            </w:r>
          </w:p>
        </w:tc>
      </w:tr>
      <w:tr w14:paraId="3EA5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15" w:type="pct"/>
            <w:vAlign w:val="center"/>
          </w:tcPr>
          <w:p w14:paraId="7BA598D9">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合计</w:t>
            </w:r>
          </w:p>
        </w:tc>
        <w:tc>
          <w:tcPr>
            <w:tcW w:w="1706" w:type="pct"/>
            <w:vAlign w:val="bottom"/>
          </w:tcPr>
          <w:p w14:paraId="4565A529">
            <w:pPr>
              <w:spacing w:line="360" w:lineRule="auto"/>
              <w:ind w:firstLine="480" w:firstLineChars="200"/>
              <w:jc w:val="center"/>
              <w:rPr>
                <w:rFonts w:hint="eastAsia" w:ascii="宋体" w:hAnsi="宋体" w:cs="宋体"/>
                <w:color w:val="000000"/>
                <w:sz w:val="24"/>
                <w:szCs w:val="24"/>
                <w:highlight w:val="none"/>
                <w:lang w:val="en-US" w:eastAsia="zh-CN"/>
              </w:rPr>
            </w:pPr>
          </w:p>
        </w:tc>
        <w:tc>
          <w:tcPr>
            <w:tcW w:w="893" w:type="pct"/>
            <w:vAlign w:val="bottom"/>
          </w:tcPr>
          <w:p w14:paraId="37D381F7">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11500</w:t>
            </w:r>
          </w:p>
        </w:tc>
        <w:tc>
          <w:tcPr>
            <w:tcW w:w="1584" w:type="pct"/>
            <w:vAlign w:val="bottom"/>
          </w:tcPr>
          <w:p w14:paraId="5D1B3473">
            <w:pPr>
              <w:spacing w:line="360" w:lineRule="auto"/>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1842.93万元</w:t>
            </w:r>
          </w:p>
        </w:tc>
      </w:tr>
    </w:tbl>
    <w:p w14:paraId="2F2706FD">
      <w:pPr>
        <w:rPr>
          <w:rFonts w:hint="default"/>
          <w:lang w:val="en-US" w:eastAsia="zh-CN"/>
        </w:rPr>
      </w:pPr>
    </w:p>
    <w:p w14:paraId="14EAEB6B">
      <w:pPr>
        <w:pStyle w:val="6"/>
        <w:spacing w:line="360" w:lineRule="auto"/>
        <w:ind w:firstLine="442"/>
        <w:rPr>
          <w:rFonts w:hint="eastAsia"/>
          <w:lang w:val="en-US" w:eastAsia="zh-CN"/>
        </w:rPr>
      </w:pPr>
      <w:r>
        <w:rPr>
          <w:rFonts w:hint="eastAsia"/>
          <w:b w:val="0"/>
          <w:bCs w:val="0"/>
          <w:sz w:val="22"/>
          <w:szCs w:val="22"/>
          <w:lang w:val="en-US" w:eastAsia="zh-CN"/>
        </w:rPr>
        <w:t>(以上发运计划为预估量，结算以实际发生为准）</w:t>
      </w:r>
    </w:p>
    <w:p w14:paraId="696C66DD">
      <w:pPr>
        <w:spacing w:line="360" w:lineRule="auto"/>
        <w:rPr>
          <w:rFonts w:hint="eastAsia"/>
          <w:highlight w:val="none"/>
          <w:lang w:val="en-US" w:eastAsia="zh-CN"/>
        </w:rPr>
      </w:pPr>
      <w:r>
        <w:rPr>
          <w:rFonts w:hint="eastAsia"/>
          <w:b w:val="0"/>
          <w:bCs w:val="0"/>
          <w:sz w:val="22"/>
          <w:szCs w:val="22"/>
          <w:lang w:val="en-US" w:eastAsia="zh-CN"/>
        </w:rPr>
        <w:t>备</w:t>
      </w:r>
      <w:r>
        <w:rPr>
          <w:rFonts w:hint="eastAsia"/>
          <w:b w:val="0"/>
          <w:bCs w:val="0"/>
          <w:sz w:val="22"/>
          <w:szCs w:val="22"/>
          <w:highlight w:val="none"/>
          <w:lang w:val="en-US" w:eastAsia="zh-CN"/>
        </w:rPr>
        <w:t>注：</w:t>
      </w:r>
      <w:r>
        <w:rPr>
          <w:rFonts w:hint="eastAsia" w:ascii="Times New Roman" w:hAnsi="Times New Roman" w:eastAsia="宋体" w:cs="Times New Roman"/>
          <w:b w:val="0"/>
          <w:bCs w:val="0"/>
          <w:kern w:val="0"/>
          <w:sz w:val="22"/>
          <w:szCs w:val="22"/>
          <w:highlight w:val="none"/>
          <w:lang w:val="en-US" w:eastAsia="zh-CN" w:bidi="ar-SA"/>
        </w:rPr>
        <w:t>特殊场景费用和春节政策以甲方最新颁布的政策为准；</w:t>
      </w:r>
    </w:p>
    <w:p w14:paraId="6085EFFE">
      <w:pPr>
        <w:rPr>
          <w:rFonts w:hint="default"/>
          <w:highlight w:val="none"/>
          <w:lang w:val="en-US" w:eastAsia="zh-CN"/>
        </w:rPr>
      </w:pPr>
    </w:p>
    <w:p w14:paraId="566020A1">
      <w:pPr>
        <w:pStyle w:val="9"/>
        <w:rPr>
          <w:rFonts w:hint="default"/>
          <w:highlight w:val="none"/>
          <w:lang w:val="en-US" w:eastAsia="zh-CN"/>
        </w:rPr>
      </w:pPr>
    </w:p>
    <w:p w14:paraId="5BDD5925">
      <w:pPr>
        <w:pStyle w:val="6"/>
        <w:rPr>
          <w:rFonts w:hint="default"/>
          <w:lang w:val="en-US" w:eastAsia="zh-CN"/>
        </w:rPr>
      </w:pPr>
    </w:p>
    <w:p w14:paraId="7AF8F758">
      <w:pPr>
        <w:pStyle w:val="3"/>
        <w:numPr>
          <w:ilvl w:val="0"/>
          <w:numId w:val="0"/>
        </w:numPr>
        <w:spacing w:before="0" w:beforeLines="0" w:line="360" w:lineRule="auto"/>
        <w:ind w:left="420" w:leftChars="200"/>
        <w:rPr>
          <w:sz w:val="24"/>
          <w:szCs w:val="24"/>
        </w:rPr>
      </w:pPr>
      <w:r>
        <w:rPr>
          <w:rFonts w:hint="eastAsia"/>
          <w:sz w:val="28"/>
          <w:szCs w:val="28"/>
        </w:rPr>
        <w:t>3.3限达时间</w:t>
      </w:r>
      <w:bookmarkEnd w:id="140"/>
    </w:p>
    <w:p w14:paraId="44CCDBCD">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送车里程/</w:t>
      </w:r>
      <w:r>
        <w:rPr>
          <w:rFonts w:hint="eastAsia" w:ascii="宋体" w:hAnsi="宋体" w:cs="宋体"/>
          <w:color w:val="000000"/>
          <w:sz w:val="24"/>
          <w:szCs w:val="24"/>
          <w:lang w:val="en-US" w:eastAsia="zh-CN"/>
        </w:rPr>
        <w:t>日行驶里程要求</w:t>
      </w:r>
      <w:r>
        <w:rPr>
          <w:rFonts w:hint="eastAsia" w:ascii="宋体" w:hAnsi="宋体" w:cs="宋体"/>
          <w:color w:val="000000"/>
          <w:sz w:val="24"/>
          <w:szCs w:val="24"/>
        </w:rPr>
        <w:t>+提车及办手续 2 日+异地提车坐车时间（每 1000 公里加 1 日），限达时间以出库扫描时间起算，出库扫描时间在 17：00 到次日早 8：30 的，按次日 8：30 起算。限达时间按以下规则计算：</w:t>
      </w:r>
    </w:p>
    <w:p w14:paraId="03A358A9">
      <w:pPr>
        <w:spacing w:line="360" w:lineRule="auto"/>
        <w:ind w:firstLine="480" w:firstLineChars="200"/>
        <w:rPr>
          <w:rFonts w:hint="eastAsia" w:ascii="宋体" w:hAnsi="宋体" w:cs="宋体"/>
          <w:b w:val="0"/>
          <w:bCs w:val="0"/>
          <w:color w:val="000000"/>
          <w:sz w:val="24"/>
          <w:szCs w:val="24"/>
          <w:highlight w:val="none"/>
          <w:lang w:val="en-US" w:eastAsia="zh-CN"/>
        </w:rPr>
      </w:pPr>
      <w:bookmarkStart w:id="141" w:name="_Toc8100"/>
      <w:bookmarkStart w:id="142" w:name="_Toc30775"/>
      <w:bookmarkStart w:id="143" w:name="_Toc21459"/>
      <w:r>
        <w:rPr>
          <w:rFonts w:hint="eastAsia" w:ascii="宋体" w:hAnsi="宋体" w:cs="宋体"/>
          <w:b w:val="0"/>
          <w:bCs w:val="0"/>
          <w:color w:val="000000"/>
          <w:sz w:val="24"/>
          <w:szCs w:val="24"/>
        </w:rPr>
        <w:t>牵引车按照每日行驶500公里计算限达时间（接车地点不足500公里的按1日计算）</w:t>
      </w:r>
      <w:r>
        <w:rPr>
          <w:rFonts w:hint="eastAsia" w:ascii="宋体" w:hAnsi="宋体" w:cs="宋体"/>
          <w:b w:val="0"/>
          <w:bCs w:val="0"/>
          <w:color w:val="000000"/>
          <w:sz w:val="24"/>
          <w:szCs w:val="24"/>
          <w:lang w:eastAsia="zh-CN"/>
        </w:rPr>
        <w:t>；</w:t>
      </w:r>
      <w:r>
        <w:rPr>
          <w:rFonts w:hint="eastAsia" w:ascii="宋体" w:hAnsi="宋体" w:cs="宋体"/>
          <w:b w:val="0"/>
          <w:bCs w:val="0"/>
          <w:color w:val="000000"/>
          <w:sz w:val="24"/>
          <w:szCs w:val="24"/>
        </w:rPr>
        <w:t>牵引车</w:t>
      </w:r>
      <w:r>
        <w:rPr>
          <w:rFonts w:hint="eastAsia" w:ascii="宋体" w:hAnsi="宋体" w:cs="宋体"/>
          <w:b w:val="0"/>
          <w:bCs w:val="0"/>
          <w:color w:val="000000"/>
          <w:sz w:val="24"/>
          <w:szCs w:val="24"/>
          <w:lang w:val="en-US" w:eastAsia="zh-CN"/>
        </w:rPr>
        <w:t>加急按照</w:t>
      </w:r>
      <w:r>
        <w:rPr>
          <w:rFonts w:hint="eastAsia" w:ascii="宋体" w:hAnsi="宋体" w:cs="宋体"/>
          <w:b w:val="0"/>
          <w:bCs w:val="0"/>
          <w:color w:val="000000"/>
          <w:sz w:val="24"/>
          <w:szCs w:val="24"/>
        </w:rPr>
        <w:t>每日行驶</w:t>
      </w:r>
      <w:r>
        <w:rPr>
          <w:rFonts w:hint="eastAsia" w:ascii="宋体" w:hAnsi="宋体" w:cs="宋体"/>
          <w:b w:val="0"/>
          <w:bCs w:val="0"/>
          <w:color w:val="000000"/>
          <w:sz w:val="24"/>
          <w:szCs w:val="24"/>
          <w:lang w:val="en-US" w:eastAsia="zh-CN"/>
        </w:rPr>
        <w:t>8</w:t>
      </w:r>
      <w:r>
        <w:rPr>
          <w:rFonts w:hint="eastAsia" w:ascii="宋体" w:hAnsi="宋体" w:cs="宋体"/>
          <w:b w:val="0"/>
          <w:bCs w:val="0"/>
          <w:color w:val="000000"/>
          <w:sz w:val="24"/>
          <w:szCs w:val="24"/>
        </w:rPr>
        <w:t>00公里计算限达时间</w:t>
      </w:r>
      <w:r>
        <w:rPr>
          <w:rFonts w:hint="eastAsia" w:ascii="宋体" w:hAnsi="宋体" w:cs="宋体"/>
          <w:b w:val="0"/>
          <w:bCs w:val="0"/>
          <w:color w:val="000000"/>
          <w:sz w:val="24"/>
          <w:szCs w:val="24"/>
          <w:lang w:eastAsia="zh-CN"/>
        </w:rPr>
        <w:t>；</w:t>
      </w:r>
      <w:r>
        <w:rPr>
          <w:rFonts w:hint="eastAsia" w:ascii="宋体" w:hAnsi="宋体" w:cs="宋体"/>
          <w:b w:val="0"/>
          <w:bCs w:val="0"/>
          <w:color w:val="000000"/>
          <w:sz w:val="24"/>
          <w:szCs w:val="24"/>
          <w:highlight w:val="none"/>
          <w:lang w:val="en-US" w:eastAsia="zh-CN"/>
        </w:rPr>
        <w:t>其他车型按400公里计算</w:t>
      </w:r>
      <w:r>
        <w:rPr>
          <w:rFonts w:hint="eastAsia" w:ascii="宋体" w:hAnsi="宋体" w:cs="宋体"/>
          <w:b w:val="0"/>
          <w:bCs w:val="0"/>
          <w:color w:val="000000"/>
          <w:sz w:val="24"/>
          <w:szCs w:val="24"/>
          <w:highlight w:val="none"/>
        </w:rPr>
        <w:t>限达时间</w:t>
      </w:r>
      <w:r>
        <w:rPr>
          <w:rFonts w:hint="eastAsia" w:ascii="宋体" w:hAnsi="宋体" w:cs="宋体"/>
          <w:b w:val="0"/>
          <w:bCs w:val="0"/>
          <w:color w:val="000000"/>
          <w:sz w:val="24"/>
          <w:szCs w:val="24"/>
          <w:highlight w:val="none"/>
          <w:lang w:eastAsia="zh-CN"/>
        </w:rPr>
        <w:t>，</w:t>
      </w:r>
      <w:r>
        <w:rPr>
          <w:rFonts w:hint="eastAsia" w:ascii="宋体" w:hAnsi="宋体" w:cs="宋体"/>
          <w:b w:val="0"/>
          <w:bCs w:val="0"/>
          <w:color w:val="000000"/>
          <w:sz w:val="24"/>
          <w:szCs w:val="24"/>
          <w:highlight w:val="none"/>
          <w:lang w:val="en-US" w:eastAsia="zh-CN"/>
        </w:rPr>
        <w:t>加急按照</w:t>
      </w:r>
      <w:r>
        <w:rPr>
          <w:rFonts w:hint="eastAsia" w:ascii="宋体" w:hAnsi="宋体" w:cs="宋体"/>
          <w:b w:val="0"/>
          <w:bCs w:val="0"/>
          <w:color w:val="000000"/>
          <w:sz w:val="24"/>
          <w:szCs w:val="24"/>
          <w:highlight w:val="none"/>
        </w:rPr>
        <w:t>每日行驶</w:t>
      </w:r>
      <w:r>
        <w:rPr>
          <w:rFonts w:hint="eastAsia" w:ascii="宋体" w:hAnsi="宋体" w:cs="宋体"/>
          <w:b w:val="0"/>
          <w:bCs w:val="0"/>
          <w:color w:val="000000"/>
          <w:sz w:val="24"/>
          <w:szCs w:val="24"/>
          <w:highlight w:val="none"/>
          <w:lang w:val="en-US" w:eastAsia="zh-CN"/>
        </w:rPr>
        <w:t>6</w:t>
      </w:r>
      <w:r>
        <w:rPr>
          <w:rFonts w:hint="eastAsia" w:ascii="宋体" w:hAnsi="宋体" w:cs="宋体"/>
          <w:b w:val="0"/>
          <w:bCs w:val="0"/>
          <w:color w:val="000000"/>
          <w:sz w:val="24"/>
          <w:szCs w:val="24"/>
          <w:highlight w:val="none"/>
        </w:rPr>
        <w:t>00公里计算限达时间</w:t>
      </w:r>
      <w:r>
        <w:rPr>
          <w:rFonts w:hint="eastAsia" w:ascii="宋体" w:hAnsi="宋体" w:cs="宋体"/>
          <w:b w:val="0"/>
          <w:bCs w:val="0"/>
          <w:color w:val="000000"/>
          <w:sz w:val="24"/>
          <w:szCs w:val="24"/>
          <w:highlight w:val="none"/>
          <w:lang w:eastAsia="zh-CN"/>
        </w:rPr>
        <w:t>；</w:t>
      </w:r>
      <w:r>
        <w:rPr>
          <w:rFonts w:hint="eastAsia" w:ascii="宋体" w:hAnsi="宋体" w:cs="宋体"/>
          <w:b w:val="0"/>
          <w:bCs w:val="0"/>
          <w:color w:val="000000"/>
          <w:sz w:val="24"/>
          <w:szCs w:val="24"/>
          <w:highlight w:val="none"/>
          <w:lang w:val="en-US" w:eastAsia="zh-CN"/>
        </w:rPr>
        <w:t>新能源车辆按照400公里计算限达时间，加急按照每日行驶550公里计算限达时间。</w:t>
      </w:r>
    </w:p>
    <w:p w14:paraId="710E3803">
      <w:pPr>
        <w:pStyle w:val="6"/>
        <w:spacing w:line="360" w:lineRule="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板运非超限车辆：满载板车及加急车辆按照“600公里/天+2天”（运距不足600公里，按照1天计算）；非满载板车，按照“600公里/天+2天+3天” （3天配货时间）；</w:t>
      </w:r>
    </w:p>
    <w:p w14:paraId="1F1698BA">
      <w:pPr>
        <w:pStyle w:val="6"/>
        <w:spacing w:line="360" w:lineRule="auto"/>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b w:val="0"/>
          <w:bCs w:val="0"/>
          <w:color w:val="000000"/>
          <w:kern w:val="2"/>
          <w:sz w:val="24"/>
          <w:szCs w:val="24"/>
          <w:highlight w:val="none"/>
          <w:lang w:val="en-US" w:eastAsia="zh-CN" w:bidi="ar-SA"/>
        </w:rPr>
        <w:t>板运超限车辆：按照“400公里/天+3工作日”（运距不足400公里，按照1天计算）。</w:t>
      </w:r>
    </w:p>
    <w:p w14:paraId="53A01792">
      <w:pPr>
        <w:pStyle w:val="6"/>
        <w:spacing w:line="360" w:lineRule="auto"/>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cs="宋体"/>
          <w:b w:val="0"/>
          <w:bCs w:val="0"/>
          <w:color w:val="000000"/>
          <w:kern w:val="2"/>
          <w:sz w:val="24"/>
          <w:szCs w:val="24"/>
          <w:highlight w:val="none"/>
          <w:lang w:val="en-US" w:eastAsia="zh-CN" w:bidi="ar-SA"/>
        </w:rPr>
        <w:t>板运</w:t>
      </w:r>
      <w:r>
        <w:rPr>
          <w:rFonts w:hint="eastAsia" w:ascii="宋体" w:hAnsi="宋体" w:eastAsia="宋体" w:cs="宋体"/>
          <w:b w:val="0"/>
          <w:bCs w:val="0"/>
          <w:color w:val="000000"/>
          <w:kern w:val="2"/>
          <w:sz w:val="24"/>
          <w:szCs w:val="24"/>
          <w:highlight w:val="none"/>
          <w:lang w:val="en-US" w:eastAsia="zh-CN" w:bidi="ar-SA"/>
        </w:rPr>
        <w:t>紧急发运车辆，运转单制单后24小时内发运，无办理手续及配货时间</w:t>
      </w:r>
      <w:r>
        <w:rPr>
          <w:rFonts w:hint="eastAsia" w:ascii="宋体" w:hAnsi="宋体" w:cs="宋体"/>
          <w:b w:val="0"/>
          <w:bCs w:val="0"/>
          <w:color w:val="000000"/>
          <w:kern w:val="2"/>
          <w:sz w:val="24"/>
          <w:szCs w:val="24"/>
          <w:highlight w:val="none"/>
          <w:lang w:val="en-US" w:eastAsia="zh-CN" w:bidi="ar-SA"/>
        </w:rPr>
        <w:t>，按照1000公里/天计算</w:t>
      </w:r>
      <w:r>
        <w:rPr>
          <w:rFonts w:hint="eastAsia" w:ascii="宋体" w:hAnsi="宋体" w:eastAsia="宋体" w:cs="宋体"/>
          <w:b w:val="0"/>
          <w:bCs w:val="0"/>
          <w:color w:val="000000"/>
          <w:kern w:val="2"/>
          <w:sz w:val="24"/>
          <w:szCs w:val="24"/>
          <w:highlight w:val="none"/>
          <w:lang w:val="en-US" w:eastAsia="zh-CN" w:bidi="ar-SA"/>
        </w:rPr>
        <w:t>。</w:t>
      </w:r>
    </w:p>
    <w:p w14:paraId="75044AFD">
      <w:pPr>
        <w:rPr>
          <w:rFonts w:hint="eastAsia"/>
        </w:rPr>
      </w:pPr>
    </w:p>
    <w:p w14:paraId="1A634027">
      <w:pPr>
        <w:pStyle w:val="3"/>
        <w:numPr>
          <w:ilvl w:val="0"/>
          <w:numId w:val="0"/>
        </w:numPr>
        <w:spacing w:before="0" w:beforeLines="0" w:line="360" w:lineRule="auto"/>
        <w:ind w:left="420" w:leftChars="200"/>
        <w:rPr>
          <w:sz w:val="28"/>
          <w:szCs w:val="28"/>
        </w:rPr>
      </w:pPr>
      <w:r>
        <w:rPr>
          <w:rFonts w:hint="eastAsia"/>
          <w:sz w:val="28"/>
          <w:szCs w:val="28"/>
        </w:rPr>
        <w:t>3.4</w:t>
      </w:r>
      <w:bookmarkEnd w:id="141"/>
      <w:bookmarkEnd w:id="142"/>
      <w:r>
        <w:rPr>
          <w:rFonts w:hint="eastAsia"/>
          <w:sz w:val="28"/>
          <w:szCs w:val="28"/>
          <w:lang w:val="en-US" w:eastAsia="zh-CN"/>
        </w:rPr>
        <w:t>送达</w:t>
      </w:r>
      <w:r>
        <w:rPr>
          <w:rFonts w:hint="eastAsia"/>
          <w:sz w:val="28"/>
          <w:szCs w:val="28"/>
        </w:rPr>
        <w:t>及时率</w:t>
      </w:r>
      <w:bookmarkEnd w:id="143"/>
    </w:p>
    <w:p w14:paraId="12EB92B0">
      <w:pPr>
        <w:spacing w:line="360" w:lineRule="auto"/>
        <w:ind w:firstLine="480" w:firstLineChars="200"/>
        <w:rPr>
          <w:rFonts w:ascii="宋体" w:hAnsi="宋体" w:cs="宋体"/>
          <w:color w:val="000000"/>
          <w:sz w:val="24"/>
          <w:szCs w:val="24"/>
        </w:rPr>
      </w:pPr>
      <w:bookmarkStart w:id="144" w:name="_Toc17024"/>
      <w:bookmarkStart w:id="145" w:name="_Toc3949"/>
      <w:bookmarkStart w:id="146" w:name="_Toc7831"/>
      <w:bookmarkStart w:id="147" w:name="_Toc21381"/>
      <w:r>
        <w:rPr>
          <w:rFonts w:hint="eastAsia" w:ascii="宋体" w:hAnsi="宋体" w:cs="宋体"/>
          <w:color w:val="000000"/>
          <w:sz w:val="24"/>
          <w:szCs w:val="24"/>
          <w:lang w:val="en-US" w:eastAsia="zh-CN"/>
        </w:rPr>
        <w:t>统计周期内</w:t>
      </w:r>
      <w:r>
        <w:rPr>
          <w:rFonts w:hint="eastAsia" w:ascii="宋体" w:hAnsi="宋体" w:cs="宋体"/>
          <w:color w:val="000000"/>
          <w:sz w:val="24"/>
          <w:szCs w:val="24"/>
        </w:rPr>
        <w:t>按</w:t>
      </w:r>
      <w:r>
        <w:rPr>
          <w:rFonts w:hint="eastAsia" w:ascii="宋体" w:hAnsi="宋体" w:cs="宋体"/>
          <w:color w:val="000000"/>
          <w:sz w:val="24"/>
          <w:szCs w:val="24"/>
          <w:lang w:val="en-US" w:eastAsia="zh-CN"/>
        </w:rPr>
        <w:t>时</w:t>
      </w:r>
      <w:r>
        <w:rPr>
          <w:rFonts w:hint="eastAsia" w:ascii="宋体" w:hAnsi="宋体" w:cs="宋体"/>
          <w:color w:val="000000"/>
          <w:sz w:val="24"/>
          <w:szCs w:val="24"/>
        </w:rPr>
        <w:t>送达</w:t>
      </w:r>
      <w:r>
        <w:rPr>
          <w:rFonts w:hint="eastAsia" w:ascii="宋体" w:hAnsi="宋体" w:cs="宋体"/>
          <w:color w:val="000000"/>
          <w:sz w:val="24"/>
          <w:szCs w:val="24"/>
          <w:lang w:val="en-US" w:eastAsia="zh-CN"/>
        </w:rPr>
        <w:t>车辆数</w:t>
      </w:r>
      <w:r>
        <w:rPr>
          <w:rFonts w:hint="eastAsia" w:ascii="宋体" w:hAnsi="宋体" w:cs="宋体"/>
          <w:color w:val="000000"/>
          <w:sz w:val="24"/>
          <w:szCs w:val="24"/>
        </w:rPr>
        <w:t>/</w:t>
      </w:r>
      <w:r>
        <w:rPr>
          <w:rFonts w:hint="eastAsia" w:ascii="宋体" w:hAnsi="宋体" w:cs="宋体"/>
          <w:color w:val="000000"/>
          <w:sz w:val="24"/>
          <w:szCs w:val="24"/>
          <w:lang w:val="en-US" w:eastAsia="zh-CN"/>
        </w:rPr>
        <w:t>统计周期内应</w:t>
      </w:r>
      <w:r>
        <w:rPr>
          <w:rFonts w:hint="eastAsia" w:ascii="宋体" w:hAnsi="宋体" w:cs="宋体"/>
          <w:color w:val="000000"/>
          <w:sz w:val="24"/>
          <w:szCs w:val="24"/>
        </w:rPr>
        <w:t>送达</w:t>
      </w:r>
      <w:r>
        <w:rPr>
          <w:rFonts w:hint="eastAsia" w:ascii="宋体" w:hAnsi="宋体" w:cs="宋体"/>
          <w:color w:val="000000"/>
          <w:sz w:val="24"/>
          <w:szCs w:val="24"/>
          <w:lang w:val="en-US" w:eastAsia="zh-CN"/>
        </w:rPr>
        <w:t>车辆</w:t>
      </w:r>
      <w:r>
        <w:rPr>
          <w:rFonts w:hint="eastAsia" w:ascii="宋体" w:hAnsi="宋体" w:cs="宋体"/>
          <w:color w:val="000000"/>
          <w:sz w:val="24"/>
          <w:szCs w:val="24"/>
        </w:rPr>
        <w:t>数*100%。</w:t>
      </w:r>
      <w:bookmarkEnd w:id="144"/>
      <w:bookmarkEnd w:id="145"/>
      <w:bookmarkEnd w:id="146"/>
      <w:bookmarkEnd w:id="147"/>
    </w:p>
    <w:p w14:paraId="0D4EE586">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发生事故经销商无法接车的最长买断周期为自发生事故起30个自然日内。</w:t>
      </w:r>
    </w:p>
    <w:p w14:paraId="18EABBDD">
      <w:pPr>
        <w:pStyle w:val="6"/>
      </w:pPr>
    </w:p>
    <w:p w14:paraId="5FD70E00">
      <w:pPr>
        <w:pStyle w:val="3"/>
        <w:numPr>
          <w:ilvl w:val="0"/>
          <w:numId w:val="0"/>
        </w:numPr>
        <w:spacing w:before="0" w:beforeLines="0" w:line="360" w:lineRule="auto"/>
        <w:ind w:left="420" w:leftChars="200"/>
        <w:rPr>
          <w:rFonts w:ascii="宋体" w:hAnsi="宋体" w:cs="宋体"/>
          <w:sz w:val="28"/>
          <w:szCs w:val="28"/>
        </w:rPr>
      </w:pPr>
      <w:bookmarkStart w:id="148" w:name="_Toc1774"/>
      <w:bookmarkStart w:id="149" w:name="_Toc25924"/>
      <w:bookmarkStart w:id="150" w:name="_Toc11639"/>
      <w:r>
        <w:rPr>
          <w:rFonts w:hint="eastAsia"/>
          <w:sz w:val="28"/>
          <w:szCs w:val="28"/>
        </w:rPr>
        <w:t>3.5项目运输费用标准</w:t>
      </w:r>
      <w:bookmarkEnd w:id="148"/>
      <w:bookmarkEnd w:id="149"/>
      <w:bookmarkEnd w:id="150"/>
    </w:p>
    <w:p w14:paraId="4076D2A5">
      <w:pPr>
        <w:spacing w:line="360" w:lineRule="auto"/>
        <w:ind w:firstLine="480" w:firstLineChars="200"/>
        <w:rPr>
          <w:rFonts w:hint="default" w:ascii="宋体" w:hAnsi="宋体" w:cs="宋体"/>
          <w:color w:val="000000"/>
          <w:sz w:val="24"/>
          <w:szCs w:val="24"/>
          <w:lang w:val="en-US" w:eastAsia="zh-CN"/>
        </w:rPr>
      </w:pPr>
      <w:r>
        <w:rPr>
          <w:rFonts w:hint="eastAsia" w:ascii="宋体" w:hAnsi="宋体" w:cs="宋体"/>
          <w:color w:val="000000"/>
          <w:sz w:val="24"/>
          <w:szCs w:val="24"/>
        </w:rPr>
        <w:t>3.5.1 运输费用指送车公司根据中国重汽集团的要求办理商品车临牌、商业险及商品车安全及时送达指定地点后，中国重汽支付给送车公司的费用，此费用不包含交强险费用。</w:t>
      </w:r>
    </w:p>
    <w:p w14:paraId="6E951946">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3.5.2运费釆取运价</w:t>
      </w:r>
      <w:r>
        <w:rPr>
          <w:rFonts w:hint="eastAsia" w:ascii="宋体" w:hAnsi="宋体" w:cs="宋体"/>
          <w:color w:val="000000"/>
          <w:sz w:val="24"/>
          <w:szCs w:val="24"/>
          <w:lang w:eastAsia="zh-CN"/>
        </w:rPr>
        <w:t>/</w:t>
      </w:r>
      <w:r>
        <w:rPr>
          <w:rFonts w:hint="eastAsia" w:ascii="宋体" w:hAnsi="宋体" w:cs="宋体"/>
          <w:color w:val="000000"/>
          <w:sz w:val="24"/>
          <w:szCs w:val="24"/>
        </w:rPr>
        <w:t>油价联动机制，以中国石化山东公司发布的柴油油价适时调整。</w:t>
      </w:r>
    </w:p>
    <w:p w14:paraId="57ED1D9F">
      <w:pPr>
        <w:spacing w:line="360" w:lineRule="auto"/>
        <w:ind w:firstLine="480" w:firstLineChars="20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3.5.3 LNG燃气车结合气价与油价的比例关系，按燃料成本占运价30%的比例关系计算燃气车运价，油价变动当日同步修订气价（气价按照两周内的山东地区LNG均价）;CNG运价按照燃油车执行。附：</w:t>
      </w:r>
    </w:p>
    <w:tbl>
      <w:tblPr>
        <w:tblStyle w:val="16"/>
        <w:tblpPr w:leftFromText="180" w:rightFromText="180" w:vertAnchor="text" w:horzAnchor="page" w:tblpX="1000" w:tblpY="183"/>
        <w:tblOverlap w:val="never"/>
        <w:tblW w:w="105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5"/>
        <w:gridCol w:w="1581"/>
        <w:gridCol w:w="490"/>
        <w:gridCol w:w="630"/>
        <w:gridCol w:w="850"/>
        <w:gridCol w:w="910"/>
        <w:gridCol w:w="1120"/>
        <w:gridCol w:w="1420"/>
        <w:gridCol w:w="1420"/>
        <w:gridCol w:w="1420"/>
      </w:tblGrid>
      <w:tr w14:paraId="26B49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5"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F00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6*4车型</w:t>
            </w:r>
          </w:p>
        </w:tc>
        <w:tc>
          <w:tcPr>
            <w:tcW w:w="2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4A01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百公里消耗量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ED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4E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百公里能耗费用</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1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能耗费用比例关系</w:t>
            </w:r>
          </w:p>
        </w:tc>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90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能耗在运价中的占比</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1F0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能耗费用反应在运价中的关系</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0D5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LNG</w:t>
            </w:r>
            <w:r>
              <w:rPr>
                <w:rFonts w:hint="eastAsia" w:ascii="宋体" w:hAnsi="宋体" w:eastAsia="宋体" w:cs="宋体"/>
                <w:i w:val="0"/>
                <w:iCs w:val="0"/>
                <w:color w:val="000000"/>
                <w:kern w:val="0"/>
                <w:sz w:val="24"/>
                <w:szCs w:val="24"/>
                <w:u w:val="none"/>
                <w:lang w:val="en-US" w:eastAsia="zh-CN" w:bidi="ar"/>
              </w:rPr>
              <w:t>燃气</w:t>
            </w:r>
            <w:r>
              <w:rPr>
                <w:rFonts w:hint="eastAsia" w:ascii="宋体" w:hAnsi="宋体" w:cs="宋体"/>
                <w:i w:val="0"/>
                <w:iCs w:val="0"/>
                <w:color w:val="000000"/>
                <w:kern w:val="0"/>
                <w:sz w:val="24"/>
                <w:szCs w:val="24"/>
                <w:u w:val="none"/>
                <w:lang w:val="en-US" w:eastAsia="zh-CN" w:bidi="ar"/>
              </w:rPr>
              <w:t>车</w:t>
            </w:r>
            <w:r>
              <w:rPr>
                <w:rFonts w:hint="eastAsia" w:ascii="宋体" w:hAnsi="宋体" w:eastAsia="宋体" w:cs="宋体"/>
                <w:i w:val="0"/>
                <w:iCs w:val="0"/>
                <w:color w:val="000000"/>
                <w:kern w:val="0"/>
                <w:sz w:val="24"/>
                <w:szCs w:val="24"/>
                <w:u w:val="none"/>
                <w:lang w:val="en-US" w:eastAsia="zh-CN" w:bidi="ar"/>
              </w:rPr>
              <w:t>和燃油</w:t>
            </w:r>
            <w:r>
              <w:rPr>
                <w:rFonts w:hint="eastAsia" w:ascii="宋体" w:hAnsi="宋体" w:cs="宋体"/>
                <w:i w:val="0"/>
                <w:iCs w:val="0"/>
                <w:color w:val="000000"/>
                <w:kern w:val="0"/>
                <w:sz w:val="24"/>
                <w:szCs w:val="24"/>
                <w:u w:val="none"/>
                <w:lang w:val="en-US" w:eastAsia="zh-CN" w:bidi="ar"/>
              </w:rPr>
              <w:t>车</w:t>
            </w:r>
            <w:r>
              <w:rPr>
                <w:rFonts w:hint="eastAsia" w:ascii="宋体" w:hAnsi="宋体" w:eastAsia="宋体" w:cs="宋体"/>
                <w:i w:val="0"/>
                <w:iCs w:val="0"/>
                <w:color w:val="000000"/>
                <w:kern w:val="0"/>
                <w:sz w:val="24"/>
                <w:szCs w:val="24"/>
                <w:u w:val="none"/>
                <w:lang w:val="en-US" w:eastAsia="zh-CN" w:bidi="ar"/>
              </w:rPr>
              <w:t>的运价关系</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1190">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调整常量</w:t>
            </w:r>
          </w:p>
        </w:tc>
      </w:tr>
      <w:tr w14:paraId="6E9EE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6"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1227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气耗</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FBC0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Fonts w:hint="eastAsia" w:ascii="宋体" w:hAnsi="宋体" w:cs="宋体"/>
                <w:i w:val="0"/>
                <w:iCs w:val="0"/>
                <w:color w:val="000000"/>
                <w:kern w:val="0"/>
                <w:sz w:val="24"/>
                <w:szCs w:val="24"/>
                <w:highlight w:val="none"/>
                <w:u w:val="none"/>
                <w:lang w:val="en-US" w:eastAsia="zh-CN" w:bidi="ar"/>
              </w:rPr>
              <w:t>7</w:t>
            </w:r>
            <w:r>
              <w:rPr>
                <w:rFonts w:hint="eastAsia" w:ascii="宋体" w:hAnsi="宋体" w:eastAsia="宋体" w:cs="宋体"/>
                <w:i w:val="0"/>
                <w:iCs w:val="0"/>
                <w:color w:val="000000"/>
                <w:kern w:val="0"/>
                <w:sz w:val="24"/>
                <w:szCs w:val="24"/>
                <w:highlight w:val="none"/>
                <w:u w:val="none"/>
                <w:lang w:val="en-US" w:eastAsia="zh-CN" w:bidi="ar"/>
              </w:rPr>
              <w:t>KG/百公里</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AA4D5">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w:t>
            </w:r>
            <w:r>
              <w:rPr>
                <w:rFonts w:hint="eastAsia" w:ascii="宋体" w:hAnsi="宋体" w:cs="宋体"/>
                <w:i w:val="0"/>
                <w:iCs w:val="0"/>
                <w:color w:val="000000"/>
                <w:kern w:val="0"/>
                <w:sz w:val="24"/>
                <w:szCs w:val="24"/>
                <w:highlight w:val="none"/>
                <w:u w:val="none"/>
                <w:lang w:val="en-US" w:eastAsia="zh-CN" w:bidi="ar"/>
              </w:rPr>
              <w:t>7</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94E0">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8B99">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cs="宋体"/>
                <w:i w:val="0"/>
                <w:iCs w:val="0"/>
                <w:color w:val="000000"/>
                <w:kern w:val="0"/>
                <w:sz w:val="24"/>
                <w:szCs w:val="24"/>
                <w:highlight w:val="none"/>
                <w:u w:val="none"/>
                <w:lang w:val="en-US" w:eastAsia="zh-CN" w:bidi="ar"/>
              </w:rPr>
              <w:t>76.5</w:t>
            </w:r>
          </w:p>
        </w:tc>
        <w:tc>
          <w:tcPr>
            <w:tcW w:w="9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A6BA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0.57 </w:t>
            </w:r>
          </w:p>
        </w:tc>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A95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0.3</w:t>
            </w:r>
          </w:p>
        </w:tc>
        <w:tc>
          <w:tcPr>
            <w:tcW w:w="14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72A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0.13 </w:t>
            </w:r>
          </w:p>
        </w:tc>
        <w:tc>
          <w:tcPr>
            <w:tcW w:w="142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970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0.87</w:t>
            </w:r>
          </w:p>
        </w:tc>
        <w:tc>
          <w:tcPr>
            <w:tcW w:w="1420" w:type="dxa"/>
            <w:vMerge w:val="restart"/>
            <w:tcBorders>
              <w:top w:val="single" w:color="000000" w:sz="4" w:space="0"/>
              <w:left w:val="single" w:color="000000" w:sz="4" w:space="0"/>
              <w:right w:val="single" w:color="000000" w:sz="4" w:space="0"/>
            </w:tcBorders>
            <w:shd w:val="clear" w:color="auto" w:fill="auto"/>
            <w:noWrap/>
            <w:vAlign w:val="center"/>
          </w:tcPr>
          <w:p w14:paraId="57066C4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0.03</w:t>
            </w:r>
          </w:p>
        </w:tc>
      </w:tr>
      <w:tr w14:paraId="6495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5" w:hRule="atLeast"/>
        </w:trPr>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87C1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油耗</w:t>
            </w:r>
          </w:p>
        </w:tc>
        <w:tc>
          <w:tcPr>
            <w:tcW w:w="15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5F1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Fonts w:hint="eastAsia" w:ascii="宋体" w:hAnsi="宋体" w:cs="宋体"/>
                <w:i w:val="0"/>
                <w:iCs w:val="0"/>
                <w:color w:val="000000"/>
                <w:kern w:val="0"/>
                <w:sz w:val="24"/>
                <w:szCs w:val="24"/>
                <w:highlight w:val="none"/>
                <w:u w:val="none"/>
                <w:lang w:val="en-US" w:eastAsia="zh-CN" w:bidi="ar"/>
              </w:rPr>
              <w:t>8</w:t>
            </w:r>
            <w:r>
              <w:rPr>
                <w:rFonts w:hint="eastAsia" w:ascii="宋体" w:hAnsi="宋体" w:eastAsia="宋体" w:cs="宋体"/>
                <w:i w:val="0"/>
                <w:iCs w:val="0"/>
                <w:color w:val="000000"/>
                <w:kern w:val="0"/>
                <w:sz w:val="24"/>
                <w:szCs w:val="24"/>
                <w:highlight w:val="none"/>
                <w:u w:val="none"/>
                <w:lang w:val="en-US" w:eastAsia="zh-CN" w:bidi="ar"/>
              </w:rPr>
              <w:t>L/百公里</w:t>
            </w:r>
          </w:p>
        </w:tc>
        <w:tc>
          <w:tcPr>
            <w:tcW w:w="4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F20D">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w:t>
            </w:r>
            <w:r>
              <w:rPr>
                <w:rFonts w:hint="eastAsia" w:ascii="宋体" w:hAnsi="宋体" w:cs="宋体"/>
                <w:i w:val="0"/>
                <w:iCs w:val="0"/>
                <w:color w:val="000000"/>
                <w:kern w:val="0"/>
                <w:sz w:val="24"/>
                <w:szCs w:val="24"/>
                <w:highlight w:val="none"/>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9A8C5">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76B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13</w:t>
            </w:r>
            <w:r>
              <w:rPr>
                <w:rFonts w:hint="eastAsia" w:ascii="宋体" w:hAnsi="宋体" w:eastAsia="宋体" w:cs="宋体"/>
                <w:i w:val="0"/>
                <w:iCs w:val="0"/>
                <w:color w:val="000000"/>
                <w:kern w:val="0"/>
                <w:sz w:val="24"/>
                <w:szCs w:val="24"/>
                <w:highlight w:val="none"/>
                <w:u w:val="none"/>
                <w:lang w:val="en-US" w:eastAsia="zh-CN" w:bidi="ar"/>
              </w:rPr>
              <w:t>5</w:t>
            </w:r>
          </w:p>
        </w:tc>
        <w:tc>
          <w:tcPr>
            <w:tcW w:w="9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241A8">
            <w:pPr>
              <w:jc w:val="center"/>
              <w:rPr>
                <w:rFonts w:hint="eastAsia" w:ascii="宋体" w:hAnsi="宋体" w:eastAsia="宋体" w:cs="宋体"/>
                <w:i w:val="0"/>
                <w:iCs w:val="0"/>
                <w:color w:val="000000"/>
                <w:sz w:val="24"/>
                <w:szCs w:val="24"/>
                <w:u w:val="none"/>
              </w:rPr>
            </w:pPr>
          </w:p>
        </w:tc>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A7CD5">
            <w:pPr>
              <w:jc w:val="center"/>
              <w:rPr>
                <w:rFonts w:hint="eastAsia" w:ascii="宋体" w:hAnsi="宋体" w:eastAsia="宋体" w:cs="宋体"/>
                <w:i w:val="0"/>
                <w:iCs w:val="0"/>
                <w:color w:val="000000"/>
                <w:sz w:val="24"/>
                <w:szCs w:val="24"/>
                <w:u w:val="none"/>
              </w:rPr>
            </w:pPr>
          </w:p>
        </w:tc>
        <w:tc>
          <w:tcPr>
            <w:tcW w:w="14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C9BBC">
            <w:pPr>
              <w:jc w:val="center"/>
              <w:rPr>
                <w:rFonts w:hint="eastAsia" w:ascii="宋体" w:hAnsi="宋体" w:eastAsia="宋体" w:cs="宋体"/>
                <w:i w:val="0"/>
                <w:iCs w:val="0"/>
                <w:color w:val="000000"/>
                <w:sz w:val="24"/>
                <w:szCs w:val="24"/>
                <w:u w:val="none"/>
              </w:rPr>
            </w:pPr>
          </w:p>
        </w:tc>
        <w:tc>
          <w:tcPr>
            <w:tcW w:w="142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4DDCA">
            <w:pPr>
              <w:jc w:val="center"/>
              <w:rPr>
                <w:rFonts w:hint="eastAsia" w:ascii="宋体" w:hAnsi="宋体" w:eastAsia="宋体" w:cs="宋体"/>
                <w:i w:val="0"/>
                <w:iCs w:val="0"/>
                <w:color w:val="000000"/>
                <w:sz w:val="24"/>
                <w:szCs w:val="24"/>
                <w:u w:val="none"/>
              </w:rPr>
            </w:pPr>
          </w:p>
        </w:tc>
        <w:tc>
          <w:tcPr>
            <w:tcW w:w="1420" w:type="dxa"/>
            <w:vMerge w:val="continue"/>
            <w:tcBorders>
              <w:left w:val="single" w:color="000000" w:sz="4" w:space="0"/>
              <w:bottom w:val="single" w:color="000000" w:sz="4" w:space="0"/>
              <w:right w:val="single" w:color="000000" w:sz="4" w:space="0"/>
            </w:tcBorders>
            <w:shd w:val="clear" w:color="auto" w:fill="auto"/>
            <w:noWrap/>
            <w:vAlign w:val="center"/>
          </w:tcPr>
          <w:p w14:paraId="7AF6D2E9">
            <w:pPr>
              <w:jc w:val="center"/>
              <w:rPr>
                <w:rFonts w:hint="eastAsia" w:ascii="宋体" w:hAnsi="宋体" w:eastAsia="宋体" w:cs="宋体"/>
                <w:i w:val="0"/>
                <w:iCs w:val="0"/>
                <w:color w:val="000000"/>
                <w:sz w:val="24"/>
                <w:szCs w:val="24"/>
                <w:u w:val="none"/>
              </w:rPr>
            </w:pPr>
          </w:p>
        </w:tc>
      </w:tr>
    </w:tbl>
    <w:p w14:paraId="2705581B">
      <w:pPr>
        <w:pStyle w:val="6"/>
        <w:ind w:left="0" w:leftChars="0" w:firstLine="0" w:firstLineChars="0"/>
        <w:rPr>
          <w:rFonts w:hint="default"/>
          <w:lang w:val="en-US" w:eastAsia="zh-CN"/>
        </w:rPr>
      </w:pPr>
    </w:p>
    <w:p w14:paraId="0F23A52D">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rPr>
        <w:t>3.5.</w:t>
      </w:r>
      <w:r>
        <w:rPr>
          <w:rFonts w:hint="eastAsia" w:ascii="宋体" w:hAnsi="宋体" w:cs="宋体"/>
          <w:color w:val="000000"/>
          <w:sz w:val="24"/>
          <w:szCs w:val="24"/>
          <w:lang w:val="en-US" w:eastAsia="zh-CN"/>
        </w:rPr>
        <w:t>4</w:t>
      </w:r>
      <w:r>
        <w:rPr>
          <w:rFonts w:hint="eastAsia" w:ascii="宋体" w:hAnsi="宋体" w:cs="宋体"/>
          <w:color w:val="000000"/>
          <w:sz w:val="24"/>
          <w:szCs w:val="24"/>
        </w:rPr>
        <w:t>因油价仅是运费单价中的一项成本因素，当油价低于运价基础表最低区间时，</w:t>
      </w:r>
      <w:r>
        <w:rPr>
          <w:rFonts w:hint="eastAsia" w:ascii="宋体" w:hAnsi="宋体" w:cs="宋体"/>
          <w:color w:val="000000"/>
          <w:sz w:val="24"/>
          <w:szCs w:val="24"/>
          <w:highlight w:val="none"/>
        </w:rPr>
        <w:t>运价按最低区间执行。</w:t>
      </w:r>
    </w:p>
    <w:p w14:paraId="1BE40A1B">
      <w:pPr>
        <w:spacing w:line="360" w:lineRule="auto"/>
        <w:ind w:firstLine="480" w:firstLineChars="200"/>
        <w:rPr>
          <w:rFonts w:hint="default" w:ascii="宋体" w:hAnsi="宋体" w:eastAsia="宋体" w:cs="宋体"/>
          <w:b w:val="0"/>
          <w:bCs w:val="0"/>
          <w:color w:val="auto"/>
          <w:sz w:val="24"/>
          <w:szCs w:val="24"/>
          <w:highlight w:val="none"/>
          <w:lang w:val="en-US" w:eastAsia="zh-CN"/>
        </w:rPr>
      </w:pPr>
      <w:r>
        <w:rPr>
          <w:rFonts w:hint="eastAsia" w:ascii="宋体" w:hAnsi="宋体" w:cs="宋体"/>
          <w:color w:val="000000"/>
          <w:sz w:val="24"/>
          <w:szCs w:val="24"/>
          <w:highlight w:val="none"/>
        </w:rPr>
        <w:t>3.5.</w:t>
      </w:r>
      <w:r>
        <w:rPr>
          <w:rFonts w:hint="eastAsia" w:ascii="宋体" w:hAnsi="宋体" w:cs="宋体"/>
          <w:color w:val="000000"/>
          <w:sz w:val="24"/>
          <w:szCs w:val="24"/>
          <w:highlight w:val="none"/>
          <w:lang w:val="en-US" w:eastAsia="zh-CN"/>
        </w:rPr>
        <w:t>5无公告车辆、</w:t>
      </w:r>
      <w:r>
        <w:rPr>
          <w:rFonts w:ascii="宋体" w:hAnsi="宋体" w:eastAsia="宋体" w:cs="宋体"/>
          <w:sz w:val="24"/>
          <w:szCs w:val="24"/>
          <w:highlight w:val="none"/>
        </w:rPr>
        <w:t>军车、右驾</w:t>
      </w:r>
      <w:r>
        <w:rPr>
          <w:rFonts w:hint="eastAsia" w:ascii="宋体" w:hAnsi="宋体" w:eastAsia="宋体" w:cs="宋体"/>
          <w:sz w:val="24"/>
          <w:szCs w:val="24"/>
          <w:highlight w:val="none"/>
          <w:lang w:val="en-US" w:eastAsia="zh-CN"/>
        </w:rPr>
        <w:t>车辆</w:t>
      </w:r>
      <w:r>
        <w:rPr>
          <w:rFonts w:ascii="宋体" w:hAnsi="宋体" w:eastAsia="宋体" w:cs="宋体"/>
          <w:sz w:val="24"/>
          <w:szCs w:val="24"/>
          <w:highlight w:val="none"/>
        </w:rPr>
        <w:t>，</w:t>
      </w:r>
      <w:r>
        <w:rPr>
          <w:rFonts w:hint="eastAsia" w:ascii="宋体" w:hAnsi="宋体" w:eastAsia="宋体" w:cs="宋体"/>
          <w:color w:val="000000"/>
          <w:sz w:val="24"/>
          <w:szCs w:val="24"/>
          <w:highlight w:val="none"/>
          <w:lang w:val="en-US" w:eastAsia="zh-CN"/>
        </w:rPr>
        <w:t>按照加急送车模式执行</w:t>
      </w:r>
      <w:r>
        <w:rPr>
          <w:rFonts w:hint="eastAsia" w:ascii="宋体" w:hAnsi="宋体" w:cs="宋体"/>
          <w:color w:val="000000"/>
          <w:sz w:val="24"/>
          <w:szCs w:val="24"/>
          <w:highlight w:val="none"/>
        </w:rPr>
        <w:t>；</w:t>
      </w:r>
      <w:r>
        <w:rPr>
          <w:rFonts w:ascii="宋体" w:hAnsi="宋体" w:eastAsia="宋体" w:cs="宋体"/>
          <w:sz w:val="24"/>
          <w:szCs w:val="24"/>
          <w:highlight w:val="none"/>
        </w:rPr>
        <w:t>二类底盘</w:t>
      </w:r>
      <w:r>
        <w:rPr>
          <w:rFonts w:hint="eastAsia" w:ascii="宋体" w:hAnsi="宋体" w:cs="宋体"/>
          <w:sz w:val="24"/>
          <w:szCs w:val="24"/>
          <w:highlight w:val="none"/>
          <w:lang w:val="en-US" w:eastAsia="zh-CN"/>
        </w:rPr>
        <w:t>等</w:t>
      </w:r>
      <w:r>
        <w:rPr>
          <w:rFonts w:ascii="宋体" w:hAnsi="宋体" w:eastAsia="宋体" w:cs="宋体"/>
          <w:sz w:val="24"/>
          <w:szCs w:val="24"/>
          <w:highlight w:val="none"/>
        </w:rPr>
        <w:t>无法办理临牌车辆</w:t>
      </w:r>
      <w:r>
        <w:rPr>
          <w:rFonts w:hint="eastAsia" w:ascii="宋体" w:hAnsi="宋体" w:cs="宋体"/>
          <w:sz w:val="24"/>
          <w:szCs w:val="24"/>
          <w:highlight w:val="none"/>
          <w:lang w:val="en-US" w:eastAsia="zh-CN"/>
        </w:rPr>
        <w:t>或</w:t>
      </w:r>
      <w:r>
        <w:rPr>
          <w:rFonts w:hint="eastAsia" w:ascii="宋体" w:hAnsi="宋体" w:cs="宋体"/>
          <w:color w:val="000000"/>
          <w:sz w:val="24"/>
          <w:szCs w:val="24"/>
          <w:highlight w:val="none"/>
        </w:rPr>
        <w:t>其他</w:t>
      </w:r>
      <w:r>
        <w:rPr>
          <w:rFonts w:hint="eastAsia" w:ascii="宋体" w:hAnsi="宋体" w:cs="宋体"/>
          <w:color w:val="000000"/>
          <w:sz w:val="24"/>
          <w:szCs w:val="24"/>
          <w:highlight w:val="none"/>
          <w:lang w:val="en-US" w:eastAsia="zh-CN"/>
        </w:rPr>
        <w:t>需采用加急送车模式</w:t>
      </w:r>
      <w:r>
        <w:rPr>
          <w:rFonts w:hint="eastAsia" w:ascii="宋体" w:hAnsi="宋体" w:cs="宋体"/>
          <w:color w:val="000000"/>
          <w:sz w:val="24"/>
          <w:szCs w:val="24"/>
          <w:highlight w:val="none"/>
        </w:rPr>
        <w:t>的业务，</w:t>
      </w:r>
      <w:r>
        <w:rPr>
          <w:rFonts w:hint="eastAsia" w:ascii="宋体" w:hAnsi="宋体" w:cs="宋体"/>
          <w:color w:val="000000"/>
          <w:sz w:val="24"/>
          <w:szCs w:val="24"/>
          <w:highlight w:val="none"/>
          <w:lang w:val="en-US" w:eastAsia="zh-CN"/>
        </w:rPr>
        <w:t>须按照流程审批后执行；</w:t>
      </w:r>
      <w:r>
        <w:rPr>
          <w:rFonts w:hint="eastAsia" w:ascii="宋体" w:hAnsi="宋体" w:cs="宋体"/>
          <w:b w:val="0"/>
          <w:bCs w:val="0"/>
          <w:color w:val="auto"/>
          <w:sz w:val="24"/>
          <w:szCs w:val="24"/>
          <w:highlight w:val="none"/>
          <w:lang w:val="en-US" w:eastAsia="zh-CN"/>
        </w:rPr>
        <w:t>费用按照加急发运政策执行。</w:t>
      </w:r>
    </w:p>
    <w:p w14:paraId="1AF53B69">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3.5.</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试验车司机租用(仅司机费用）</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rPr>
        <w:t xml:space="preserve"> </w:t>
      </w:r>
    </w:p>
    <w:p w14:paraId="12EA4BB6">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C 本 400 元/天、B 本 500 元/天、A 本 600 元/天</w:t>
      </w:r>
    </w:p>
    <w:p w14:paraId="15C25D4B">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rPr>
        <w:t>3.5.</w:t>
      </w:r>
      <w:r>
        <w:rPr>
          <w:rFonts w:hint="eastAsia" w:ascii="宋体" w:hAnsi="宋体" w:cs="宋体"/>
          <w:color w:val="000000"/>
          <w:sz w:val="24"/>
          <w:szCs w:val="24"/>
          <w:lang w:val="en-US" w:eastAsia="zh-CN"/>
        </w:rPr>
        <w:t>7</w:t>
      </w:r>
      <w:r>
        <w:rPr>
          <w:rFonts w:hint="eastAsia" w:ascii="宋体" w:hAnsi="宋体" w:cs="宋体"/>
          <w:color w:val="000000"/>
          <w:sz w:val="24"/>
          <w:szCs w:val="24"/>
        </w:rPr>
        <w:t>付款方式：当月挂账次月付款(电汇)。</w:t>
      </w:r>
      <w:r>
        <w:rPr>
          <w:rFonts w:hint="eastAsia" w:ascii="宋体" w:hAnsi="宋体" w:cs="宋体"/>
          <w:color w:val="000000"/>
          <w:sz w:val="24"/>
          <w:szCs w:val="24"/>
          <w:lang w:val="en-US" w:eastAsia="zh-CN"/>
        </w:rPr>
        <w:t>付款方式原则上不允许偏离；</w:t>
      </w:r>
    </w:p>
    <w:p w14:paraId="2EC847FD">
      <w:pPr>
        <w:spacing w:line="360" w:lineRule="auto"/>
        <w:ind w:firstLine="480" w:firstLineChars="200"/>
        <w:rPr>
          <w:rFonts w:hint="eastAsia" w:ascii="宋体" w:hAnsi="宋体" w:cs="宋体"/>
          <w:color w:val="000000"/>
          <w:sz w:val="24"/>
          <w:szCs w:val="24"/>
          <w:highlight w:val="none"/>
          <w:lang w:eastAsia="zh-CN"/>
        </w:rPr>
      </w:pPr>
      <w:r>
        <w:rPr>
          <w:rFonts w:hint="eastAsia" w:ascii="宋体" w:hAnsi="宋体" w:cs="宋体"/>
          <w:color w:val="000000"/>
          <w:sz w:val="24"/>
          <w:szCs w:val="24"/>
          <w:highlight w:val="none"/>
        </w:rPr>
        <w:t>3.5.</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基价表</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见附件10：2026年济南特种车公司商品车运输项目基价表</w:t>
      </w:r>
      <w:r>
        <w:rPr>
          <w:rFonts w:hint="eastAsia" w:ascii="宋体" w:hAnsi="宋体" w:cs="宋体"/>
          <w:color w:val="000000"/>
          <w:sz w:val="24"/>
          <w:szCs w:val="24"/>
          <w:highlight w:val="none"/>
          <w:lang w:eastAsia="zh-CN"/>
        </w:rPr>
        <w:t>）</w:t>
      </w:r>
    </w:p>
    <w:p w14:paraId="5D176E85">
      <w:pPr>
        <w:spacing w:line="360" w:lineRule="auto"/>
        <w:ind w:firstLine="480" w:firstLineChars="200"/>
        <w:rPr>
          <w:rFonts w:hint="eastAsia" w:ascii="宋体" w:hAnsi="宋体" w:cs="宋体"/>
          <w:color w:val="000000"/>
          <w:sz w:val="24"/>
          <w:szCs w:val="24"/>
          <w:highlight w:val="none"/>
          <w:lang w:eastAsia="zh-CN"/>
        </w:rPr>
      </w:pPr>
    </w:p>
    <w:p w14:paraId="258B4028">
      <w:pPr>
        <w:spacing w:line="360" w:lineRule="auto"/>
        <w:ind w:firstLine="480" w:firstLineChars="200"/>
        <w:rPr>
          <w:rFonts w:hint="eastAsia" w:ascii="宋体" w:hAnsi="宋体" w:cs="宋体"/>
          <w:color w:val="000000"/>
          <w:sz w:val="24"/>
          <w:szCs w:val="24"/>
          <w:highlight w:val="none"/>
          <w:lang w:eastAsia="zh-CN"/>
        </w:rPr>
      </w:pPr>
    </w:p>
    <w:p w14:paraId="235B2816">
      <w:pPr>
        <w:spacing w:line="360" w:lineRule="auto"/>
        <w:ind w:firstLine="480" w:firstLineChars="200"/>
        <w:rPr>
          <w:rFonts w:hint="eastAsia" w:ascii="宋体" w:hAnsi="宋体" w:cs="宋体"/>
          <w:color w:val="000000"/>
          <w:sz w:val="24"/>
          <w:szCs w:val="24"/>
          <w:highlight w:val="none"/>
          <w:lang w:eastAsia="zh-CN"/>
        </w:rPr>
      </w:pPr>
    </w:p>
    <w:p w14:paraId="42777083">
      <w:pPr>
        <w:spacing w:line="360" w:lineRule="auto"/>
        <w:ind w:firstLine="480" w:firstLineChars="200"/>
        <w:rPr>
          <w:rFonts w:hint="eastAsia" w:ascii="宋体" w:hAnsi="宋体" w:cs="宋体"/>
          <w:color w:val="000000"/>
          <w:sz w:val="24"/>
          <w:szCs w:val="24"/>
          <w:highlight w:val="none"/>
          <w:lang w:eastAsia="zh-CN"/>
        </w:rPr>
      </w:pPr>
    </w:p>
    <w:p w14:paraId="6BA73223">
      <w:pPr>
        <w:spacing w:line="360" w:lineRule="auto"/>
        <w:ind w:firstLine="480" w:firstLineChars="200"/>
        <w:rPr>
          <w:rFonts w:hint="eastAsia" w:ascii="宋体" w:hAnsi="宋体" w:cs="宋体"/>
          <w:color w:val="000000"/>
          <w:sz w:val="24"/>
          <w:szCs w:val="24"/>
          <w:highlight w:val="none"/>
          <w:lang w:eastAsia="zh-CN"/>
        </w:rPr>
      </w:pPr>
    </w:p>
    <w:p w14:paraId="00AA9101"/>
    <w:p w14:paraId="7EAC2547">
      <w:pPr>
        <w:pStyle w:val="15"/>
        <w:spacing w:line="360" w:lineRule="auto"/>
        <w:ind w:left="420"/>
      </w:pPr>
      <w:bookmarkStart w:id="151" w:name="_Toc31141"/>
      <w:bookmarkStart w:id="152" w:name="_Toc22956"/>
      <w:bookmarkStart w:id="153" w:name="_Toc26576"/>
      <w:bookmarkStart w:id="154" w:name="_Toc18885"/>
      <w:r>
        <w:rPr>
          <w:rFonts w:hint="eastAsia"/>
        </w:rPr>
        <w:t>报价及</w:t>
      </w:r>
      <w:r>
        <w:rPr>
          <w:rFonts w:hint="eastAsia"/>
          <w:lang w:val="en-US" w:eastAsia="zh-CN"/>
        </w:rPr>
        <w:t>管理履约</w:t>
      </w:r>
      <w:r>
        <w:rPr>
          <w:rFonts w:hint="eastAsia"/>
        </w:rPr>
        <w:t>要求</w:t>
      </w:r>
      <w:bookmarkEnd w:id="151"/>
      <w:bookmarkEnd w:id="152"/>
      <w:bookmarkEnd w:id="153"/>
      <w:bookmarkEnd w:id="154"/>
    </w:p>
    <w:p w14:paraId="3B943A0C">
      <w:pPr>
        <w:pStyle w:val="3"/>
        <w:numPr>
          <w:ilvl w:val="0"/>
          <w:numId w:val="0"/>
        </w:numPr>
        <w:spacing w:before="0" w:beforeLines="0" w:line="360" w:lineRule="auto"/>
        <w:ind w:left="420" w:leftChars="200"/>
        <w:rPr>
          <w:rFonts w:ascii="宋体" w:hAnsi="宋体" w:cs="宋体"/>
          <w:color w:val="000000"/>
          <w:sz w:val="24"/>
          <w:szCs w:val="32"/>
        </w:rPr>
      </w:pPr>
      <w:bookmarkStart w:id="155" w:name="_Toc9114"/>
      <w:bookmarkStart w:id="156" w:name="_Toc18679"/>
      <w:bookmarkStart w:id="157" w:name="_Toc9575"/>
      <w:r>
        <w:rPr>
          <w:rFonts w:hint="eastAsia"/>
          <w:sz w:val="28"/>
          <w:szCs w:val="28"/>
        </w:rPr>
        <w:t xml:space="preserve">4.1 </w:t>
      </w:r>
      <w:r>
        <w:rPr>
          <w:rFonts w:hint="eastAsia" w:ascii="宋体" w:hAnsi="宋体" w:cs="宋体"/>
          <w:color w:val="000000"/>
          <w:sz w:val="28"/>
          <w:szCs w:val="28"/>
        </w:rPr>
        <w:t>报价要求</w:t>
      </w:r>
      <w:bookmarkEnd w:id="155"/>
      <w:bookmarkEnd w:id="156"/>
      <w:bookmarkEnd w:id="157"/>
    </w:p>
    <w:p w14:paraId="5D47C732">
      <w:pPr>
        <w:spacing w:line="360" w:lineRule="auto"/>
        <w:ind w:firstLine="480" w:firstLineChars="200"/>
        <w:rPr>
          <w:rFonts w:hint="eastAsia" w:ascii="宋体" w:hAnsi="宋体" w:cs="宋体"/>
          <w:color w:val="000000"/>
          <w:sz w:val="24"/>
          <w:szCs w:val="24"/>
        </w:rPr>
      </w:pPr>
      <w:r>
        <w:rPr>
          <w:rFonts w:hint="eastAsia" w:ascii="宋体" w:hAnsi="宋体" w:cs="宋体"/>
          <w:color w:val="000000"/>
          <w:sz w:val="24"/>
          <w:szCs w:val="24"/>
        </w:rPr>
        <w:t>4.1.1 投标单位按照《开标一览表》</w:t>
      </w:r>
      <w:r>
        <w:rPr>
          <w:rFonts w:hint="eastAsia" w:ascii="宋体" w:hAnsi="宋体" w:cs="宋体"/>
          <w:b/>
          <w:bCs/>
          <w:color w:val="FF0000"/>
          <w:sz w:val="24"/>
          <w:szCs w:val="24"/>
        </w:rPr>
        <w:t>在</w:t>
      </w:r>
      <w:r>
        <w:rPr>
          <w:rFonts w:hint="eastAsia" w:ascii="宋体" w:hAnsi="宋体" w:cs="宋体"/>
          <w:b/>
          <w:bCs/>
          <w:color w:val="FF0000"/>
          <w:sz w:val="24"/>
          <w:szCs w:val="24"/>
          <w:lang w:val="en-US" w:eastAsia="zh-CN"/>
        </w:rPr>
        <w:t>基价表</w:t>
      </w:r>
      <w:r>
        <w:rPr>
          <w:rFonts w:hint="eastAsia" w:ascii="宋体" w:hAnsi="宋体" w:cs="宋体"/>
          <w:b/>
          <w:bCs/>
          <w:color w:val="FF0000"/>
          <w:sz w:val="24"/>
          <w:szCs w:val="24"/>
        </w:rPr>
        <w:t>价格基础上执行折扣（%）进行报价，不能直接报降幅</w:t>
      </w:r>
      <w:r>
        <w:rPr>
          <w:rFonts w:hint="eastAsia" w:ascii="宋体" w:hAnsi="宋体" w:cs="宋体"/>
          <w:color w:val="000000"/>
          <w:sz w:val="24"/>
          <w:szCs w:val="24"/>
        </w:rPr>
        <w:t xml:space="preserve">（百分比保留小数点后2位）。 </w:t>
      </w:r>
    </w:p>
    <w:p w14:paraId="5B7A91F9">
      <w:pPr>
        <w:spacing w:line="360" w:lineRule="auto"/>
        <w:ind w:firstLine="480" w:firstLineChars="200"/>
        <w:rPr>
          <w:rFonts w:ascii="宋体" w:hAnsi="宋体" w:cs="宋体"/>
          <w:color w:val="0070C0"/>
          <w:sz w:val="24"/>
          <w:szCs w:val="24"/>
        </w:rPr>
      </w:pPr>
      <w:r>
        <w:rPr>
          <w:rFonts w:hint="eastAsia" w:ascii="宋体" w:hAnsi="宋体" w:cs="宋体"/>
          <w:color w:val="000000"/>
          <w:sz w:val="24"/>
          <w:szCs w:val="24"/>
        </w:rPr>
        <w:t>4.</w:t>
      </w:r>
      <w:r>
        <w:rPr>
          <w:rFonts w:hint="eastAsia" w:ascii="宋体" w:hAnsi="宋体" w:cs="宋体"/>
          <w:color w:val="000000"/>
          <w:sz w:val="24"/>
          <w:szCs w:val="24"/>
          <w:lang w:val="en-US" w:eastAsia="zh-CN"/>
        </w:rPr>
        <w:t>1</w:t>
      </w:r>
      <w:r>
        <w:rPr>
          <w:rFonts w:hint="eastAsia" w:ascii="宋体" w:hAnsi="宋体" w:cs="宋体"/>
          <w:color w:val="000000"/>
          <w:sz w:val="24"/>
          <w:szCs w:val="24"/>
        </w:rPr>
        <w:t>.2 投标单位必须</w:t>
      </w:r>
      <w:r>
        <w:rPr>
          <w:rFonts w:hint="eastAsia" w:ascii="宋体" w:hAnsi="宋体" w:cs="宋体"/>
          <w:color w:val="000000"/>
          <w:sz w:val="24"/>
          <w:szCs w:val="24"/>
          <w:lang w:val="en-US" w:eastAsia="zh-CN"/>
        </w:rPr>
        <w:t>严格按照报价要求进行报价。</w:t>
      </w:r>
      <w:r>
        <w:rPr>
          <w:rFonts w:hint="eastAsia" w:ascii="宋体" w:hAnsi="宋体" w:cs="宋体"/>
          <w:color w:val="000000"/>
          <w:sz w:val="24"/>
          <w:szCs w:val="24"/>
        </w:rPr>
        <w:t xml:space="preserve">  </w:t>
      </w:r>
      <w:r>
        <w:rPr>
          <w:rFonts w:hint="eastAsia" w:ascii="宋体" w:hAnsi="宋体" w:cs="宋体"/>
          <w:color w:val="0070C0"/>
          <w:sz w:val="24"/>
          <w:szCs w:val="24"/>
        </w:rPr>
        <w:t xml:space="preserve">         </w:t>
      </w:r>
    </w:p>
    <w:p w14:paraId="03556469">
      <w:pPr>
        <w:spacing w:line="360" w:lineRule="auto"/>
        <w:ind w:firstLine="554" w:firstLineChars="231"/>
        <w:rPr>
          <w:rFonts w:hint="eastAsia" w:ascii="宋体" w:hAnsi="宋体" w:cs="宋体"/>
          <w:color w:val="000000"/>
          <w:sz w:val="24"/>
          <w:szCs w:val="24"/>
          <w:highlight w:val="none"/>
        </w:rPr>
      </w:pPr>
      <w:r>
        <w:rPr>
          <w:rFonts w:hint="eastAsia" w:ascii="宋体" w:hAnsi="宋体" w:cs="宋体"/>
          <w:color w:val="000000"/>
          <w:sz w:val="24"/>
          <w:szCs w:val="24"/>
        </w:rPr>
        <w:t>4.</w:t>
      </w:r>
      <w:r>
        <w:rPr>
          <w:rFonts w:hint="eastAsia" w:ascii="宋体" w:hAnsi="宋体" w:cs="宋体"/>
          <w:color w:val="000000"/>
          <w:sz w:val="24"/>
          <w:szCs w:val="24"/>
          <w:lang w:val="en-US" w:eastAsia="zh-CN"/>
        </w:rPr>
        <w:t>1</w:t>
      </w:r>
      <w:r>
        <w:rPr>
          <w:rFonts w:hint="eastAsia" w:ascii="宋体" w:hAnsi="宋体" w:cs="宋体"/>
          <w:color w:val="000000"/>
          <w:sz w:val="24"/>
          <w:szCs w:val="24"/>
        </w:rPr>
        <w:t>.</w:t>
      </w:r>
      <w:r>
        <w:rPr>
          <w:rFonts w:hint="eastAsia" w:ascii="宋体" w:hAnsi="宋体" w:cs="宋体"/>
          <w:color w:val="000000"/>
          <w:sz w:val="24"/>
          <w:szCs w:val="24"/>
          <w:lang w:val="en-US" w:eastAsia="zh-CN"/>
        </w:rPr>
        <w:t xml:space="preserve">3 </w:t>
      </w:r>
      <w:r>
        <w:rPr>
          <w:rFonts w:hint="eastAsia" w:ascii="宋体" w:hAnsi="宋体" w:cs="宋体"/>
          <w:color w:val="000000"/>
          <w:sz w:val="24"/>
          <w:szCs w:val="24"/>
        </w:rPr>
        <w:t>中标人根据招标人指令将商品车安全及时送达指定地点，招标人（下属的二级公司，下同）签约的接车单位接车后，将签收的运转单交回招标人处，</w:t>
      </w:r>
      <w:r>
        <w:rPr>
          <w:rFonts w:hint="eastAsia" w:ascii="宋体" w:hAnsi="宋体" w:cs="宋体"/>
          <w:color w:val="000000"/>
          <w:sz w:val="24"/>
          <w:szCs w:val="24"/>
          <w:highlight w:val="none"/>
        </w:rPr>
        <w:t>招标人按照合同</w:t>
      </w:r>
      <w:r>
        <w:rPr>
          <w:rFonts w:hint="eastAsia" w:ascii="宋体" w:hAnsi="宋体" w:cs="宋体"/>
          <w:color w:val="000000"/>
          <w:sz w:val="24"/>
          <w:szCs w:val="24"/>
          <w:highlight w:val="none"/>
          <w:lang w:val="en-US" w:eastAsia="zh-CN"/>
        </w:rPr>
        <w:t>约定结算费用</w:t>
      </w:r>
      <w:r>
        <w:rPr>
          <w:rFonts w:hint="eastAsia" w:ascii="宋体" w:hAnsi="宋体" w:cs="宋体"/>
          <w:color w:val="000000"/>
          <w:sz w:val="24"/>
          <w:szCs w:val="24"/>
          <w:highlight w:val="none"/>
          <w:lang w:eastAsia="zh-CN"/>
        </w:rPr>
        <w:t>。</w:t>
      </w:r>
    </w:p>
    <w:p w14:paraId="575B3D4F">
      <w:pPr>
        <w:spacing w:line="360" w:lineRule="auto"/>
        <w:ind w:firstLine="480" w:firstLineChars="200"/>
        <w:rPr>
          <w:rFonts w:hint="eastAsia" w:hAnsi="宋体"/>
          <w:b w:val="0"/>
          <w:bCs/>
          <w:sz w:val="24"/>
          <w:szCs w:val="24"/>
          <w:highlight w:val="none"/>
          <w:lang w:val="en-US" w:eastAsia="zh-CN"/>
        </w:rPr>
      </w:pPr>
      <w:r>
        <w:rPr>
          <w:rFonts w:hint="eastAsia" w:ascii="宋体" w:hAnsi="宋体" w:cs="宋体"/>
          <w:color w:val="000000"/>
          <w:sz w:val="24"/>
          <w:szCs w:val="24"/>
          <w:highlight w:val="none"/>
        </w:rPr>
        <w:t>4.</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 xml:space="preserve">4 </w:t>
      </w:r>
      <w:r>
        <w:rPr>
          <w:rFonts w:hint="eastAsia" w:ascii="宋体" w:hAnsi="宋体" w:cs="宋体"/>
          <w:color w:val="000000"/>
          <w:sz w:val="24"/>
          <w:szCs w:val="24"/>
          <w:highlight w:val="none"/>
        </w:rPr>
        <w:t>与招标人签署《商品车运输合同》，合同有效期</w:t>
      </w:r>
      <w:r>
        <w:rPr>
          <w:rFonts w:hint="eastAsia" w:ascii="宋体" w:hAnsi="宋体" w:cs="宋体"/>
          <w:color w:val="000000"/>
          <w:sz w:val="24"/>
          <w:szCs w:val="24"/>
          <w:highlight w:val="none"/>
          <w:lang w:val="en-US" w:eastAsia="zh-CN"/>
        </w:rPr>
        <w:t>自2026年12月1日</w:t>
      </w:r>
      <w:r>
        <w:rPr>
          <w:rFonts w:hint="eastAsia" w:ascii="宋体" w:hAnsi="宋体" w:cs="宋体"/>
          <w:color w:val="000000"/>
          <w:sz w:val="24"/>
          <w:szCs w:val="24"/>
          <w:highlight w:val="none"/>
        </w:rPr>
        <w:t>起至202</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年</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月3</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日。由于中标人的原因不能按规定签署或履行合同的，招标人将取消</w:t>
      </w:r>
      <w:r>
        <w:rPr>
          <w:rFonts w:hint="eastAsia" w:ascii="宋体" w:hAnsi="宋体" w:cs="宋体"/>
          <w:color w:val="000000"/>
          <w:sz w:val="24"/>
          <w:szCs w:val="24"/>
          <w:highlight w:val="none"/>
          <w:lang w:val="en-US" w:eastAsia="zh-CN"/>
        </w:rPr>
        <w:t>其</w:t>
      </w:r>
      <w:r>
        <w:rPr>
          <w:rFonts w:hint="eastAsia" w:ascii="宋体" w:hAnsi="宋体" w:cs="宋体"/>
          <w:color w:val="000000"/>
          <w:sz w:val="24"/>
          <w:szCs w:val="24"/>
          <w:highlight w:val="none"/>
        </w:rPr>
        <w:t>中标资格</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扣除全部</w:t>
      </w:r>
      <w:r>
        <w:rPr>
          <w:rFonts w:hAnsi="宋体"/>
          <w:b w:val="0"/>
          <w:bCs/>
          <w:sz w:val="24"/>
          <w:szCs w:val="24"/>
          <w:highlight w:val="none"/>
        </w:rPr>
        <w:t>投标保证金</w:t>
      </w:r>
      <w:r>
        <w:rPr>
          <w:rFonts w:hint="eastAsia" w:hAnsi="宋体"/>
          <w:b w:val="0"/>
          <w:bCs/>
          <w:sz w:val="24"/>
          <w:szCs w:val="24"/>
          <w:highlight w:val="none"/>
        </w:rPr>
        <w:t>，</w:t>
      </w:r>
      <w:r>
        <w:rPr>
          <w:rFonts w:hint="eastAsia" w:hAnsi="宋体"/>
          <w:b w:val="0"/>
          <w:bCs/>
          <w:sz w:val="24"/>
          <w:szCs w:val="24"/>
          <w:highlight w:val="none"/>
          <w:lang w:val="en-US" w:eastAsia="zh-CN"/>
        </w:rPr>
        <w:t>并纳入甲方黑名单，三年内不允许参与此类招标。</w:t>
      </w:r>
    </w:p>
    <w:p w14:paraId="1F988E23">
      <w:pPr>
        <w:spacing w:line="360" w:lineRule="auto"/>
        <w:ind w:firstLine="630"/>
        <w:rPr>
          <w:rFonts w:hint="eastAsia" w:ascii="宋体" w:hAnsi="宋体" w:cs="宋体"/>
          <w:sz w:val="24"/>
          <w:szCs w:val="24"/>
          <w:highlight w:val="none"/>
        </w:rPr>
      </w:pPr>
      <w:r>
        <w:rPr>
          <w:rFonts w:hint="eastAsia" w:ascii="宋体" w:hAnsi="宋体" w:cs="宋体"/>
          <w:color w:val="000000"/>
          <w:sz w:val="24"/>
          <w:szCs w:val="24"/>
          <w:highlight w:val="none"/>
        </w:rPr>
        <w:t>4.</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.本招标书涉及的</w:t>
      </w:r>
      <w:r>
        <w:rPr>
          <w:rFonts w:hint="eastAsia" w:ascii="宋体" w:hAnsi="宋体" w:cs="宋体"/>
          <w:color w:val="000000"/>
          <w:sz w:val="24"/>
          <w:szCs w:val="24"/>
          <w:highlight w:val="none"/>
          <w:lang w:val="en-US" w:eastAsia="zh-CN"/>
        </w:rPr>
        <w:t>基</w:t>
      </w:r>
      <w:r>
        <w:rPr>
          <w:rFonts w:hint="eastAsia" w:ascii="宋体" w:hAnsi="宋体" w:cs="宋体"/>
          <w:color w:val="000000"/>
          <w:sz w:val="24"/>
          <w:szCs w:val="24"/>
          <w:highlight w:val="none"/>
        </w:rPr>
        <w:t>价为</w:t>
      </w:r>
      <w:r>
        <w:rPr>
          <w:rFonts w:hint="eastAsia" w:ascii="宋体" w:hAnsi="宋体" w:cs="宋体"/>
          <w:color w:val="000000"/>
          <w:sz w:val="24"/>
          <w:szCs w:val="24"/>
          <w:highlight w:val="none"/>
          <w:lang w:val="en-US" w:eastAsia="zh-CN"/>
        </w:rPr>
        <w:t>不含税</w:t>
      </w:r>
      <w:r>
        <w:rPr>
          <w:rFonts w:hint="eastAsia" w:ascii="宋体" w:hAnsi="宋体" w:cs="宋体"/>
          <w:color w:val="000000"/>
          <w:sz w:val="24"/>
          <w:szCs w:val="24"/>
          <w:highlight w:val="none"/>
        </w:rPr>
        <w:t>9%的价格，</w:t>
      </w:r>
      <w:r>
        <w:rPr>
          <w:rFonts w:hint="eastAsia" w:ascii="宋体" w:hAnsi="宋体" w:cs="宋体"/>
          <w:color w:val="000000"/>
          <w:sz w:val="24"/>
          <w:szCs w:val="24"/>
          <w:highlight w:val="none"/>
          <w:lang w:val="en-US" w:eastAsia="zh-CN"/>
        </w:rPr>
        <w:t>特殊业务场景费用为含税9%的价格。</w:t>
      </w:r>
      <w:r>
        <w:rPr>
          <w:rFonts w:hint="eastAsia" w:ascii="宋体" w:hAnsi="宋体" w:cs="宋体"/>
          <w:color w:val="000000"/>
          <w:sz w:val="24"/>
          <w:szCs w:val="24"/>
          <w:highlight w:val="none"/>
        </w:rPr>
        <w:t>若遇国家增值税税率调整，应按调整后最新税率的金额调整相应的支付款项，</w:t>
      </w:r>
      <w:r>
        <w:rPr>
          <w:rFonts w:hint="eastAsia" w:ascii="宋体" w:hAnsi="宋体" w:cs="宋体"/>
          <w:sz w:val="24"/>
          <w:szCs w:val="24"/>
          <w:highlight w:val="none"/>
        </w:rPr>
        <w:t>即合同含税价格不受国家增值税税率调整的影响。</w:t>
      </w:r>
    </w:p>
    <w:p w14:paraId="09E86381">
      <w:pPr>
        <w:pStyle w:val="6"/>
        <w:rPr>
          <w:rFonts w:hint="eastAsia"/>
          <w:highlight w:val="none"/>
        </w:rPr>
      </w:pPr>
    </w:p>
    <w:p w14:paraId="1D3413EB">
      <w:pPr>
        <w:pStyle w:val="3"/>
        <w:numPr>
          <w:ilvl w:val="0"/>
          <w:numId w:val="0"/>
        </w:numPr>
        <w:spacing w:before="0" w:beforeLines="0" w:line="360" w:lineRule="auto"/>
        <w:ind w:left="420" w:leftChars="200"/>
        <w:rPr>
          <w:rFonts w:hint="default" w:ascii="宋体" w:hAnsi="宋体" w:eastAsia="宋体" w:cs="宋体"/>
          <w:color w:val="000000"/>
          <w:sz w:val="24"/>
          <w:szCs w:val="32"/>
          <w:highlight w:val="none"/>
          <w:lang w:val="en-US" w:eastAsia="zh-CN"/>
        </w:rPr>
      </w:pPr>
      <w:bookmarkStart w:id="158" w:name="_Toc8116"/>
      <w:r>
        <w:rPr>
          <w:rFonts w:hint="eastAsia"/>
          <w:sz w:val="28"/>
          <w:szCs w:val="28"/>
          <w:highlight w:val="none"/>
        </w:rPr>
        <w:t>4.</w:t>
      </w:r>
      <w:r>
        <w:rPr>
          <w:rFonts w:hint="eastAsia"/>
          <w:sz w:val="28"/>
          <w:szCs w:val="28"/>
          <w:highlight w:val="none"/>
          <w:lang w:val="en-US" w:eastAsia="zh-CN"/>
        </w:rPr>
        <w:t>2</w:t>
      </w:r>
      <w:r>
        <w:rPr>
          <w:rFonts w:hint="eastAsia" w:ascii="宋体" w:hAnsi="宋体" w:cs="宋体"/>
          <w:color w:val="000000"/>
          <w:sz w:val="28"/>
          <w:szCs w:val="28"/>
          <w:highlight w:val="none"/>
          <w:lang w:val="en-US" w:eastAsia="zh-CN"/>
        </w:rPr>
        <w:t>管理和履约</w:t>
      </w:r>
      <w:r>
        <w:rPr>
          <w:rFonts w:hint="eastAsia" w:ascii="宋体" w:hAnsi="宋体" w:cs="宋体"/>
          <w:color w:val="000000"/>
          <w:sz w:val="28"/>
          <w:szCs w:val="28"/>
          <w:highlight w:val="none"/>
        </w:rPr>
        <w:t>要求</w:t>
      </w:r>
      <w:bookmarkEnd w:id="158"/>
    </w:p>
    <w:p w14:paraId="4512785E">
      <w:pPr>
        <w:spacing w:line="360" w:lineRule="auto"/>
        <w:ind w:firstLine="63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当发运及时性明显无法满足时，</w:t>
      </w:r>
      <w:r>
        <w:rPr>
          <w:rFonts w:hint="eastAsia" w:ascii="宋体" w:hAnsi="宋体" w:cs="宋体"/>
          <w:color w:val="000000"/>
          <w:sz w:val="24"/>
          <w:szCs w:val="24"/>
          <w:highlight w:val="none"/>
          <w:lang w:val="en-US" w:eastAsia="zh-CN"/>
        </w:rPr>
        <w:t>招标人</w:t>
      </w:r>
      <w:r>
        <w:rPr>
          <w:rFonts w:hint="eastAsia" w:ascii="宋体" w:hAnsi="宋体" w:cs="宋体"/>
          <w:color w:val="000000"/>
          <w:sz w:val="24"/>
          <w:szCs w:val="24"/>
          <w:highlight w:val="none"/>
        </w:rPr>
        <w:t>有权将其线路车辆或部分车辆调剂给本年度供方或备选供方承运，按“</w:t>
      </w:r>
      <w:r>
        <w:rPr>
          <w:rFonts w:hint="eastAsia" w:ascii="宋体" w:hAnsi="宋体" w:cs="宋体"/>
          <w:color w:val="000000"/>
          <w:sz w:val="24"/>
          <w:szCs w:val="24"/>
          <w:highlight w:val="none"/>
          <w:lang w:val="en-US" w:eastAsia="zh-CN"/>
        </w:rPr>
        <w:t>基础运费+</w:t>
      </w:r>
      <w:r>
        <w:rPr>
          <w:rFonts w:hint="eastAsia" w:ascii="宋体" w:hAnsi="宋体" w:cs="宋体"/>
          <w:color w:val="000000"/>
          <w:sz w:val="24"/>
          <w:szCs w:val="24"/>
          <w:highlight w:val="none"/>
        </w:rPr>
        <w:t>加急发运”结算费用，增加的费用由原供方承担且可从应结运费或保证金中扣除。</w:t>
      </w:r>
    </w:p>
    <w:p w14:paraId="1E1B2258">
      <w:pPr>
        <w:spacing w:line="360" w:lineRule="auto"/>
        <w:ind w:firstLine="63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现供方累计三次以上无法满足发运及时性，被调剂车辆的，给予暂停一个月业务，该线路业务由本年度供方或备选供方承运，按“</w:t>
      </w:r>
      <w:r>
        <w:rPr>
          <w:rFonts w:hint="eastAsia" w:ascii="宋体" w:hAnsi="宋体" w:cs="宋体"/>
          <w:color w:val="000000"/>
          <w:sz w:val="24"/>
          <w:szCs w:val="24"/>
          <w:highlight w:val="none"/>
          <w:lang w:val="en-US" w:eastAsia="zh-CN"/>
        </w:rPr>
        <w:t>基础运费+</w:t>
      </w:r>
      <w:r>
        <w:rPr>
          <w:rFonts w:hint="eastAsia" w:ascii="宋体" w:hAnsi="宋体" w:cs="宋体"/>
          <w:color w:val="000000"/>
          <w:sz w:val="24"/>
          <w:szCs w:val="24"/>
          <w:highlight w:val="none"/>
        </w:rPr>
        <w:t>加急发运”结算费用，增加的费用由原供方承担且可从应结运费或保证金中扣除。</w:t>
      </w:r>
    </w:p>
    <w:p w14:paraId="4804849C">
      <w:pPr>
        <w:spacing w:line="360" w:lineRule="auto"/>
        <w:ind w:firstLine="630"/>
        <w:rPr>
          <w:rFonts w:hint="eastAsia" w:ascii="宋体" w:hAnsi="宋体" w:cs="宋体"/>
          <w:color w:val="000000"/>
          <w:sz w:val="24"/>
          <w:szCs w:val="24"/>
          <w:highlight w:val="none"/>
        </w:rPr>
      </w:pP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合同期内出现两次暂停业务的，第三次直接解除合同，并扣除全部履约保证金，该线路由备选供方承运。</w:t>
      </w:r>
    </w:p>
    <w:p w14:paraId="2199BFEA">
      <w:pPr>
        <w:pStyle w:val="3"/>
        <w:numPr>
          <w:ilvl w:val="0"/>
          <w:numId w:val="0"/>
        </w:numPr>
        <w:spacing w:before="0" w:beforeLines="0" w:line="360" w:lineRule="auto"/>
        <w:ind w:left="420" w:leftChars="200"/>
        <w:rPr>
          <w:rFonts w:hint="eastAsia" w:ascii="宋体" w:hAnsi="宋体" w:eastAsia="宋体" w:cs="宋体"/>
          <w:b w:val="0"/>
          <w:bCs/>
          <w:color w:val="000000"/>
          <w:kern w:val="2"/>
          <w:sz w:val="24"/>
          <w:szCs w:val="24"/>
          <w:highlight w:val="none"/>
          <w:lang w:val="en-US" w:eastAsia="zh-CN" w:bidi="ar-SA"/>
        </w:rPr>
      </w:pPr>
      <w:r>
        <w:rPr>
          <w:rFonts w:hint="eastAsia" w:ascii="宋体" w:hAnsi="宋体" w:cs="宋体"/>
          <w:b w:val="0"/>
          <w:bCs/>
          <w:color w:val="000000"/>
          <w:kern w:val="2"/>
          <w:sz w:val="24"/>
          <w:szCs w:val="24"/>
          <w:highlight w:val="none"/>
          <w:lang w:val="en-US" w:eastAsia="zh-CN" w:bidi="ar-SA"/>
        </w:rPr>
        <w:t>其它要求参考</w:t>
      </w:r>
      <w:r>
        <w:rPr>
          <w:rFonts w:hint="eastAsia" w:ascii="宋体" w:hAnsi="宋体" w:eastAsia="宋体" w:cs="宋体"/>
          <w:b w:val="0"/>
          <w:bCs/>
          <w:color w:val="000000"/>
          <w:kern w:val="2"/>
          <w:sz w:val="24"/>
          <w:szCs w:val="24"/>
          <w:highlight w:val="none"/>
          <w:lang w:val="en-US" w:eastAsia="zh-CN" w:bidi="ar-SA"/>
        </w:rPr>
        <w:t>附件《整车发运违约追责和评价管理办法》</w:t>
      </w:r>
    </w:p>
    <w:p w14:paraId="3D7A920F">
      <w:pPr>
        <w:rPr>
          <w:rFonts w:hint="eastAsia" w:ascii="宋体" w:hAnsi="宋体" w:eastAsia="宋体" w:cs="宋体"/>
          <w:b w:val="0"/>
          <w:bCs/>
          <w:color w:val="000000"/>
          <w:kern w:val="2"/>
          <w:sz w:val="24"/>
          <w:szCs w:val="24"/>
          <w:highlight w:val="none"/>
          <w:lang w:val="en-US" w:eastAsia="zh-CN" w:bidi="ar-SA"/>
        </w:rPr>
      </w:pPr>
    </w:p>
    <w:p w14:paraId="641C0EFB">
      <w:pPr>
        <w:rPr>
          <w:rFonts w:hint="eastAsia" w:ascii="宋体" w:hAnsi="宋体" w:eastAsia="宋体" w:cs="宋体"/>
          <w:b w:val="0"/>
          <w:bCs/>
          <w:color w:val="000000"/>
          <w:kern w:val="2"/>
          <w:sz w:val="24"/>
          <w:szCs w:val="24"/>
          <w:highlight w:val="yellow"/>
          <w:lang w:val="en-US" w:eastAsia="zh-CN" w:bidi="ar-SA"/>
        </w:rPr>
      </w:pPr>
    </w:p>
    <w:p w14:paraId="7550070A">
      <w:pPr>
        <w:rPr>
          <w:rFonts w:hint="eastAsia" w:ascii="宋体" w:hAnsi="宋体" w:eastAsia="宋体" w:cs="宋体"/>
          <w:b w:val="0"/>
          <w:bCs/>
          <w:color w:val="000000"/>
          <w:kern w:val="2"/>
          <w:sz w:val="24"/>
          <w:szCs w:val="24"/>
          <w:highlight w:val="yellow"/>
          <w:lang w:val="en-US" w:eastAsia="zh-CN" w:bidi="ar-SA"/>
        </w:rPr>
      </w:pPr>
    </w:p>
    <w:p w14:paraId="48CF0719">
      <w:pPr>
        <w:rPr>
          <w:rFonts w:hint="eastAsia" w:ascii="宋体" w:hAnsi="宋体" w:eastAsia="宋体" w:cs="宋体"/>
          <w:b w:val="0"/>
          <w:bCs/>
          <w:color w:val="000000"/>
          <w:kern w:val="2"/>
          <w:sz w:val="24"/>
          <w:szCs w:val="24"/>
          <w:highlight w:val="yellow"/>
          <w:lang w:val="en-US" w:eastAsia="zh-CN" w:bidi="ar-SA"/>
        </w:rPr>
      </w:pPr>
    </w:p>
    <w:p w14:paraId="01FAD1BD">
      <w:pPr>
        <w:rPr>
          <w:rFonts w:hint="eastAsia" w:ascii="宋体" w:hAnsi="宋体" w:eastAsia="宋体" w:cs="宋体"/>
          <w:b w:val="0"/>
          <w:bCs/>
          <w:color w:val="000000"/>
          <w:kern w:val="2"/>
          <w:sz w:val="24"/>
          <w:szCs w:val="24"/>
          <w:highlight w:val="yellow"/>
          <w:lang w:val="en-US" w:eastAsia="zh-CN" w:bidi="ar-SA"/>
        </w:rPr>
      </w:pPr>
    </w:p>
    <w:p w14:paraId="0801039F">
      <w:pPr>
        <w:rPr>
          <w:rFonts w:hint="eastAsia" w:ascii="宋体" w:hAnsi="宋体" w:eastAsia="宋体" w:cs="宋体"/>
          <w:b w:val="0"/>
          <w:bCs/>
          <w:color w:val="000000"/>
          <w:kern w:val="2"/>
          <w:sz w:val="24"/>
          <w:szCs w:val="24"/>
          <w:highlight w:val="yellow"/>
          <w:lang w:val="en-US" w:eastAsia="zh-CN" w:bidi="ar-SA"/>
        </w:rPr>
      </w:pPr>
    </w:p>
    <w:p w14:paraId="1B814ACC">
      <w:pPr>
        <w:pStyle w:val="6"/>
        <w:ind w:left="0" w:leftChars="0" w:firstLine="0" w:firstLineChars="0"/>
      </w:pPr>
    </w:p>
    <w:p w14:paraId="2D3B18B2">
      <w:pPr>
        <w:pStyle w:val="15"/>
        <w:spacing w:line="360" w:lineRule="auto"/>
        <w:ind w:left="420"/>
        <w:rPr>
          <w:rFonts w:hint="eastAsia"/>
        </w:rPr>
      </w:pPr>
      <w:bookmarkStart w:id="159" w:name="_Toc13602"/>
      <w:bookmarkStart w:id="160" w:name="_Toc5933"/>
      <w:bookmarkStart w:id="161" w:name="_Toc30089"/>
      <w:bookmarkStart w:id="162" w:name="_Toc21399"/>
      <w:r>
        <w:rPr>
          <w:rFonts w:hint="eastAsia"/>
        </w:rPr>
        <w:t>评分标准</w:t>
      </w:r>
      <w:bookmarkEnd w:id="159"/>
      <w:bookmarkEnd w:id="160"/>
      <w:bookmarkEnd w:id="161"/>
      <w:bookmarkEnd w:id="162"/>
    </w:p>
    <w:p w14:paraId="2814F3A7">
      <w:pPr>
        <w:spacing w:line="360" w:lineRule="auto"/>
        <w:ind w:firstLine="482"/>
        <w:rPr>
          <w:rFonts w:hint="eastAsia" w:ascii="宋体" w:hAnsi="宋体" w:cs="宋体"/>
          <w:kern w:val="2"/>
          <w:sz w:val="24"/>
          <w:highlight w:val="none"/>
        </w:rPr>
      </w:pPr>
      <w:r>
        <w:rPr>
          <w:rFonts w:hint="eastAsia" w:ascii="宋体" w:hAnsi="宋体" w:cs="宋体"/>
          <w:kern w:val="2"/>
          <w:sz w:val="24"/>
        </w:rPr>
        <w:t>本次评标采用资质审查、商务唱标、技术评标、商务</w:t>
      </w:r>
      <w:r>
        <w:rPr>
          <w:rFonts w:hint="eastAsia" w:ascii="宋体" w:hAnsi="宋体" w:cs="宋体"/>
          <w:kern w:val="2"/>
          <w:sz w:val="24"/>
          <w:lang w:val="en-US" w:eastAsia="zh-CN"/>
        </w:rPr>
        <w:t>竞价</w:t>
      </w:r>
      <w:r>
        <w:rPr>
          <w:rFonts w:hint="eastAsia" w:ascii="宋体" w:hAnsi="宋体" w:cs="宋体"/>
          <w:kern w:val="2"/>
          <w:sz w:val="24"/>
        </w:rPr>
        <w:t>四个阶段开标模式。首先进行资质审查，符合资质的投标方进入</w:t>
      </w:r>
      <w:r>
        <w:rPr>
          <w:rFonts w:hint="eastAsia" w:ascii="宋体" w:hAnsi="宋体" w:cs="宋体"/>
          <w:kern w:val="2"/>
          <w:sz w:val="24"/>
          <w:lang w:val="en-US" w:eastAsia="zh-CN"/>
        </w:rPr>
        <w:t>技术标评价</w:t>
      </w:r>
      <w:r>
        <w:rPr>
          <w:rFonts w:hint="eastAsia" w:ascii="宋体" w:hAnsi="宋体" w:cs="宋体"/>
          <w:kern w:val="2"/>
          <w:sz w:val="24"/>
        </w:rPr>
        <w:t>，技术标评审由技术评标专家组对所有投标方的技术标部分综合评定和打分</w:t>
      </w:r>
      <w:r>
        <w:rPr>
          <w:rFonts w:hint="eastAsia" w:ascii="宋体" w:hAnsi="宋体" w:cs="宋体"/>
          <w:kern w:val="2"/>
          <w:sz w:val="24"/>
          <w:lang w:val="en-US" w:eastAsia="zh-CN"/>
        </w:rPr>
        <w:t>；</w:t>
      </w:r>
      <w:r>
        <w:rPr>
          <w:rFonts w:hint="eastAsia" w:ascii="宋体" w:hAnsi="宋体" w:cs="宋体"/>
          <w:kern w:val="2"/>
          <w:sz w:val="24"/>
          <w:highlight w:val="none"/>
        </w:rPr>
        <w:t>招标人根据项目情况，采取多轮评标模式，最终根据技术标+商务标整体得分评标法确定中标方和备用方。技术标满分100分，技术标达到</w:t>
      </w:r>
      <w:r>
        <w:rPr>
          <w:rFonts w:hint="eastAsia" w:ascii="宋体" w:hAnsi="宋体" w:cs="宋体"/>
          <w:kern w:val="2"/>
          <w:sz w:val="24"/>
          <w:highlight w:val="none"/>
          <w:lang w:val="en-US" w:eastAsia="zh-CN"/>
        </w:rPr>
        <w:t>6</w:t>
      </w:r>
      <w:r>
        <w:rPr>
          <w:rFonts w:hint="eastAsia" w:ascii="宋体" w:hAnsi="宋体" w:cs="宋体"/>
          <w:kern w:val="2"/>
          <w:sz w:val="24"/>
          <w:highlight w:val="none"/>
        </w:rPr>
        <w:t>0分以上方可入围，评标专家组根据评标现场情况确定入围名单；</w:t>
      </w:r>
      <w:r>
        <w:rPr>
          <w:rFonts w:hint="eastAsia" w:ascii="宋体" w:hAnsi="宋体" w:cs="宋体"/>
          <w:kern w:val="2"/>
          <w:sz w:val="24"/>
          <w:highlight w:val="none"/>
          <w:lang w:val="en-US" w:eastAsia="zh-CN"/>
        </w:rPr>
        <w:t>商务标阶段每轮按照投标方的综合得分（</w:t>
      </w:r>
      <w:r>
        <w:rPr>
          <w:rFonts w:hint="eastAsia" w:ascii="宋体" w:hAnsi="宋体" w:cs="宋体"/>
          <w:kern w:val="2"/>
          <w:sz w:val="24"/>
          <w:highlight w:val="yellow"/>
        </w:rPr>
        <w:t>技术标（</w:t>
      </w:r>
      <w:r>
        <w:rPr>
          <w:rFonts w:hint="eastAsia" w:ascii="宋体" w:hAnsi="宋体" w:cs="宋体"/>
          <w:kern w:val="2"/>
          <w:sz w:val="24"/>
          <w:highlight w:val="yellow"/>
          <w:lang w:val="en-US" w:eastAsia="zh-CN"/>
        </w:rPr>
        <w:t>2</w:t>
      </w:r>
      <w:r>
        <w:rPr>
          <w:rFonts w:hint="eastAsia" w:ascii="宋体" w:hAnsi="宋体" w:cs="宋体"/>
          <w:kern w:val="2"/>
          <w:sz w:val="24"/>
          <w:highlight w:val="yellow"/>
        </w:rPr>
        <w:t>0%）+商务标（</w:t>
      </w:r>
      <w:r>
        <w:rPr>
          <w:rFonts w:hint="eastAsia" w:ascii="宋体" w:hAnsi="宋体" w:cs="宋体"/>
          <w:kern w:val="2"/>
          <w:sz w:val="24"/>
          <w:highlight w:val="yellow"/>
          <w:lang w:val="en-US" w:eastAsia="zh-CN"/>
        </w:rPr>
        <w:t>8</w:t>
      </w:r>
      <w:r>
        <w:rPr>
          <w:rFonts w:hint="eastAsia" w:ascii="宋体" w:hAnsi="宋体" w:cs="宋体"/>
          <w:kern w:val="2"/>
          <w:sz w:val="24"/>
          <w:highlight w:val="yellow"/>
        </w:rPr>
        <w:t>0%）</w:t>
      </w:r>
      <w:r>
        <w:rPr>
          <w:rFonts w:hint="eastAsia" w:ascii="宋体" w:hAnsi="宋体" w:cs="宋体"/>
          <w:kern w:val="2"/>
          <w:sz w:val="24"/>
          <w:highlight w:val="none"/>
          <w:lang w:val="en-US" w:eastAsia="zh-CN"/>
        </w:rPr>
        <w:t>）决定入围名单，</w:t>
      </w:r>
      <w:r>
        <w:rPr>
          <w:rFonts w:hint="eastAsia" w:ascii="宋体" w:hAnsi="宋体" w:cs="宋体"/>
          <w:kern w:val="2"/>
          <w:sz w:val="24"/>
          <w:highlight w:val="none"/>
        </w:rPr>
        <w:t>最终轮次，</w:t>
      </w:r>
      <w:r>
        <w:rPr>
          <w:rFonts w:hint="eastAsia" w:ascii="宋体" w:hAnsi="宋体" w:cs="宋体"/>
          <w:kern w:val="2"/>
          <w:sz w:val="24"/>
          <w:highlight w:val="none"/>
          <w:lang w:val="en-US" w:eastAsia="zh-CN"/>
        </w:rPr>
        <w:t>综合</w:t>
      </w:r>
      <w:r>
        <w:rPr>
          <w:rFonts w:hint="eastAsia" w:ascii="宋体" w:hAnsi="宋体" w:cs="宋体"/>
          <w:kern w:val="2"/>
          <w:sz w:val="24"/>
          <w:highlight w:val="none"/>
        </w:rPr>
        <w:t>得分最高者中标（商务标计分方法：</w:t>
      </w:r>
      <w:r>
        <w:rPr>
          <w:rFonts w:hint="eastAsia" w:ascii="宋体" w:hAnsi="宋体" w:cs="宋体"/>
          <w:kern w:val="2"/>
          <w:sz w:val="24"/>
          <w:highlight w:val="none"/>
          <w:lang w:val="en-US" w:eastAsia="zh-CN"/>
        </w:rPr>
        <w:t>当前</w:t>
      </w:r>
      <w:r>
        <w:rPr>
          <w:rFonts w:hint="eastAsia" w:ascii="宋体" w:hAnsi="宋体" w:cs="宋体"/>
          <w:kern w:val="2"/>
          <w:sz w:val="24"/>
          <w:highlight w:val="none"/>
        </w:rPr>
        <w:t>最低价/投标单位当前报价*</w:t>
      </w:r>
      <w:r>
        <w:rPr>
          <w:rFonts w:hint="eastAsia" w:ascii="宋体" w:hAnsi="宋体" w:cs="宋体"/>
          <w:kern w:val="2"/>
          <w:sz w:val="24"/>
          <w:highlight w:val="none"/>
          <w:lang w:val="en-US" w:eastAsia="zh-CN"/>
        </w:rPr>
        <w:t>8</w:t>
      </w:r>
      <w:r>
        <w:rPr>
          <w:rFonts w:hint="eastAsia" w:ascii="宋体" w:hAnsi="宋体" w:cs="宋体"/>
          <w:kern w:val="2"/>
          <w:sz w:val="24"/>
          <w:highlight w:val="none"/>
        </w:rPr>
        <w:t>0）；</w:t>
      </w:r>
    </w:p>
    <w:p w14:paraId="69911A3B">
      <w:pPr>
        <w:spacing w:line="360" w:lineRule="auto"/>
        <w:ind w:firstLine="482"/>
        <w:rPr>
          <w:rFonts w:hint="eastAsia"/>
          <w:sz w:val="24"/>
          <w:szCs w:val="24"/>
        </w:rPr>
      </w:pPr>
      <w:r>
        <w:rPr>
          <w:rFonts w:hint="eastAsia" w:ascii="宋体" w:hAnsi="宋体"/>
          <w:b/>
          <w:bCs/>
          <w:sz w:val="24"/>
          <w:szCs w:val="24"/>
        </w:rPr>
        <w:t>注：</w:t>
      </w:r>
      <w:r>
        <w:rPr>
          <w:rFonts w:hint="eastAsia"/>
          <w:sz w:val="24"/>
          <w:szCs w:val="24"/>
        </w:rPr>
        <w:t>本招标文件的最终解释权归招标人，当对一个问题有多种解释时以招标人的书面解释为准。招标文件未做须知明示，而又有相关法律、法规规定的，招标人对此所做解释以相关的法律、法规规定为依据。</w:t>
      </w:r>
    </w:p>
    <w:p w14:paraId="4A0FF45F">
      <w:pPr>
        <w:spacing w:line="360" w:lineRule="auto"/>
        <w:ind w:firstLine="482"/>
        <w:rPr>
          <w:rFonts w:hint="default" w:eastAsia="宋体"/>
          <w:sz w:val="24"/>
          <w:szCs w:val="24"/>
          <w:lang w:val="en-US" w:eastAsia="zh-CN"/>
        </w:rPr>
      </w:pPr>
      <w:r>
        <w:rPr>
          <w:rFonts w:hint="eastAsia"/>
          <w:sz w:val="24"/>
          <w:szCs w:val="24"/>
          <w:highlight w:val="yellow"/>
          <w:lang w:val="en-US" w:eastAsia="zh-CN"/>
        </w:rPr>
        <w:t>中标方确认规则</w:t>
      </w:r>
      <w:r>
        <w:rPr>
          <w:rFonts w:hint="eastAsia"/>
          <w:sz w:val="24"/>
          <w:szCs w:val="24"/>
          <w:lang w:val="en-US" w:eastAsia="zh-CN"/>
        </w:rPr>
        <w:t>：</w:t>
      </w:r>
      <w:r>
        <w:rPr>
          <w:rFonts w:hint="eastAsia"/>
          <w:sz w:val="24"/>
          <w:szCs w:val="24"/>
        </w:rPr>
        <w:t>A包，</w:t>
      </w:r>
      <w:r>
        <w:rPr>
          <w:rFonts w:hint="eastAsia"/>
          <w:sz w:val="24"/>
          <w:szCs w:val="24"/>
          <w:lang w:val="en-US" w:eastAsia="zh-CN"/>
        </w:rPr>
        <w:t>B</w:t>
      </w:r>
      <w:r>
        <w:rPr>
          <w:rFonts w:hint="eastAsia"/>
          <w:sz w:val="24"/>
          <w:szCs w:val="24"/>
        </w:rPr>
        <w:t>包各</w:t>
      </w:r>
      <w:r>
        <w:rPr>
          <w:rFonts w:hint="eastAsia"/>
          <w:sz w:val="24"/>
          <w:szCs w:val="24"/>
          <w:lang w:val="en-US" w:eastAsia="zh-CN"/>
        </w:rPr>
        <w:t>2</w:t>
      </w:r>
      <w:r>
        <w:rPr>
          <w:rFonts w:hint="eastAsia"/>
          <w:sz w:val="24"/>
          <w:szCs w:val="24"/>
        </w:rPr>
        <w:t>家中标方，</w:t>
      </w:r>
      <w:r>
        <w:rPr>
          <w:rFonts w:hint="eastAsia"/>
          <w:sz w:val="24"/>
          <w:szCs w:val="24"/>
          <w:lang w:val="en-US" w:eastAsia="zh-CN"/>
        </w:rPr>
        <w:t>A，B</w:t>
      </w:r>
      <w:r>
        <w:rPr>
          <w:rFonts w:hint="eastAsia"/>
          <w:sz w:val="24"/>
          <w:szCs w:val="24"/>
        </w:rPr>
        <w:t>分包的</w:t>
      </w:r>
      <w:r>
        <w:rPr>
          <w:rFonts w:hint="eastAsia"/>
          <w:sz w:val="24"/>
          <w:szCs w:val="24"/>
          <w:lang w:val="en-US" w:eastAsia="zh-CN"/>
        </w:rPr>
        <w:t>2</w:t>
      </w:r>
      <w:r>
        <w:rPr>
          <w:rFonts w:hint="eastAsia"/>
          <w:sz w:val="24"/>
          <w:szCs w:val="24"/>
        </w:rPr>
        <w:t>家中标方份额分别为50%</w:t>
      </w:r>
      <w:r>
        <w:rPr>
          <w:rFonts w:hint="eastAsia"/>
          <w:sz w:val="24"/>
          <w:szCs w:val="24"/>
          <w:lang w:eastAsia="zh-CN"/>
        </w:rPr>
        <w:t>，</w:t>
      </w:r>
      <w:r>
        <w:rPr>
          <w:rFonts w:hint="eastAsia"/>
          <w:sz w:val="24"/>
          <w:szCs w:val="24"/>
          <w:lang w:val="en-US" w:eastAsia="zh-CN"/>
        </w:rPr>
        <w:t>综合得分排名前两名的供方拟推荐为中标方。</w:t>
      </w:r>
    </w:p>
    <w:p w14:paraId="660E97D3">
      <w:pPr>
        <w:pStyle w:val="6"/>
      </w:pPr>
    </w:p>
    <w:p w14:paraId="6A538984"/>
    <w:bookmarkEnd w:id="130"/>
    <w:bookmarkEnd w:id="131"/>
    <w:p w14:paraId="1561D743">
      <w:pPr>
        <w:pStyle w:val="15"/>
        <w:spacing w:line="360" w:lineRule="auto"/>
        <w:ind w:left="420"/>
        <w:rPr>
          <w:rFonts w:hint="eastAsia"/>
        </w:rPr>
      </w:pPr>
      <w:bookmarkStart w:id="163" w:name="_Toc12492"/>
      <w:bookmarkStart w:id="164" w:name="_Toc142749695"/>
      <w:r>
        <w:rPr>
          <w:rFonts w:hint="eastAsia"/>
        </w:rPr>
        <w:t>合同签订</w:t>
      </w:r>
      <w:bookmarkEnd w:id="163"/>
      <w:bookmarkEnd w:id="164"/>
    </w:p>
    <w:p w14:paraId="6F4D460E">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1</w:t>
      </w:r>
      <w:r>
        <w:rPr>
          <w:rFonts w:hint="eastAsia" w:ascii="宋体" w:hAnsi="宋体" w:cs="宋体"/>
          <w:color w:val="000000"/>
          <w:sz w:val="24"/>
          <w:szCs w:val="24"/>
          <w:lang w:eastAsia="zh-CN"/>
        </w:rPr>
        <w:t>.</w:t>
      </w:r>
      <w:r>
        <w:rPr>
          <w:rFonts w:hint="eastAsia" w:ascii="宋体" w:hAnsi="宋体" w:cs="宋体"/>
          <w:color w:val="000000"/>
          <w:sz w:val="24"/>
          <w:szCs w:val="24"/>
        </w:rPr>
        <w:t>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003C2349">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2</w:t>
      </w:r>
      <w:r>
        <w:rPr>
          <w:rFonts w:hint="eastAsia" w:ascii="宋体" w:hAnsi="宋体" w:cs="宋体"/>
          <w:color w:val="000000"/>
          <w:sz w:val="24"/>
          <w:szCs w:val="24"/>
          <w:lang w:eastAsia="zh-CN"/>
        </w:rPr>
        <w:t>.</w:t>
      </w:r>
      <w:r>
        <w:rPr>
          <w:rFonts w:hint="eastAsia" w:ascii="宋体" w:hAnsi="宋体" w:cs="宋体"/>
          <w:color w:val="000000"/>
          <w:sz w:val="24"/>
          <w:szCs w:val="24"/>
        </w:rPr>
        <w:t>招标人发送《中标通知书》给中标人，中标人应及时与招标人联系，在招标人要求的时间内完成合同签订，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001D444F">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3</w:t>
      </w:r>
      <w:r>
        <w:rPr>
          <w:rFonts w:hint="eastAsia" w:ascii="宋体" w:hAnsi="宋体" w:cs="宋体"/>
          <w:color w:val="000000"/>
          <w:sz w:val="24"/>
          <w:szCs w:val="24"/>
          <w:lang w:eastAsia="zh-CN"/>
        </w:rPr>
        <w:t>.</w:t>
      </w:r>
      <w:r>
        <w:rPr>
          <w:rFonts w:hint="eastAsia" w:ascii="宋体" w:hAnsi="宋体" w:cs="宋体"/>
          <w:color w:val="000000"/>
          <w:sz w:val="24"/>
          <w:szCs w:val="24"/>
        </w:rPr>
        <w:t>中标人应当按照合同约定的履约责任，向招标人指定的合同签订单位缴纳履约保证金/万元（具体数额以合同约定为准），如中标人未按合同及其附件约定履行应承担的责任，招标人或招标人指定的合同签订单位有权扣除其履约保证金。</w:t>
      </w:r>
    </w:p>
    <w:p w14:paraId="76A17578">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4</w:t>
      </w:r>
      <w:r>
        <w:rPr>
          <w:rFonts w:hint="eastAsia" w:ascii="宋体" w:hAnsi="宋体" w:cs="宋体"/>
          <w:color w:val="000000"/>
          <w:sz w:val="24"/>
          <w:szCs w:val="24"/>
          <w:lang w:eastAsia="zh-CN"/>
        </w:rPr>
        <w:t>.</w:t>
      </w:r>
      <w:r>
        <w:rPr>
          <w:rFonts w:hint="eastAsia" w:ascii="宋体" w:hAnsi="宋体" w:cs="宋体"/>
          <w:color w:val="000000"/>
          <w:sz w:val="24"/>
          <w:szCs w:val="24"/>
        </w:rPr>
        <w:t>中标人应在保证质量的前提下完成中标项目，不得将中标项目转包或分包给他人，否则视为违约，招标人或相关单位有权解除合同。</w:t>
      </w:r>
    </w:p>
    <w:p w14:paraId="4157E8E9">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5</w:t>
      </w:r>
      <w:r>
        <w:rPr>
          <w:rFonts w:hint="eastAsia" w:ascii="宋体" w:hAnsi="宋体" w:cs="宋体"/>
          <w:color w:val="000000"/>
          <w:sz w:val="24"/>
          <w:szCs w:val="24"/>
          <w:lang w:eastAsia="zh-CN"/>
        </w:rPr>
        <w:t>.</w:t>
      </w:r>
      <w:r>
        <w:rPr>
          <w:rFonts w:hint="eastAsia" w:ascii="宋体" w:hAnsi="宋体" w:cs="宋体"/>
          <w:color w:val="000000"/>
          <w:sz w:val="24"/>
          <w:szCs w:val="24"/>
        </w:rPr>
        <w:t>中标人由于履行义务的能力或信用有严重缺陷，招标人有权取消其中标资格，招标人将从剩余投标人中依序重新确定中标人，或重新组织招标。</w:t>
      </w:r>
    </w:p>
    <w:p w14:paraId="682FB91A">
      <w:pPr>
        <w:spacing w:line="360" w:lineRule="auto"/>
        <w:ind w:firstLine="480" w:firstLineChars="200"/>
        <w:rPr>
          <w:rFonts w:ascii="宋体" w:hAnsi="宋体" w:cs="宋体"/>
          <w:color w:val="000000"/>
          <w:sz w:val="24"/>
          <w:szCs w:val="24"/>
        </w:rPr>
      </w:pPr>
      <w:r>
        <w:rPr>
          <w:rFonts w:hint="eastAsia" w:ascii="宋体" w:hAnsi="宋体" w:cs="宋体"/>
          <w:color w:val="000000"/>
          <w:sz w:val="24"/>
          <w:szCs w:val="24"/>
        </w:rPr>
        <w:t>6</w:t>
      </w:r>
      <w:r>
        <w:rPr>
          <w:rFonts w:hint="eastAsia" w:ascii="宋体" w:hAnsi="宋体" w:cs="宋体"/>
          <w:color w:val="000000"/>
          <w:sz w:val="24"/>
          <w:szCs w:val="24"/>
          <w:lang w:eastAsia="zh-CN"/>
        </w:rPr>
        <w:t>.</w:t>
      </w:r>
      <w:r>
        <w:rPr>
          <w:rFonts w:hint="eastAsia" w:ascii="宋体" w:hAnsi="宋体" w:cs="宋体"/>
          <w:color w:val="000000"/>
          <w:sz w:val="24"/>
          <w:szCs w:val="24"/>
        </w:rPr>
        <w:t>招标人有权指定招标人的关联单位作为合同签订人，与中标人签署相关合同，且具体权利义务以双方最终签署的合同为准。</w:t>
      </w:r>
    </w:p>
    <w:p w14:paraId="004BC045">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rPr>
        <w:t>7</w:t>
      </w:r>
      <w:r>
        <w:rPr>
          <w:rFonts w:hint="eastAsia" w:ascii="宋体" w:hAnsi="宋体" w:cs="宋体"/>
          <w:color w:val="000000"/>
          <w:sz w:val="24"/>
          <w:szCs w:val="24"/>
          <w:lang w:eastAsia="zh-CN"/>
        </w:rPr>
        <w:t>.</w:t>
      </w:r>
      <w:r>
        <w:rPr>
          <w:rFonts w:hint="eastAsia" w:ascii="宋体" w:hAnsi="宋体" w:cs="宋体"/>
          <w:color w:val="000000"/>
          <w:sz w:val="24"/>
          <w:szCs w:val="24"/>
          <w:highlight w:val="none"/>
        </w:rPr>
        <w:t>中标人须认可由于招标人上级集团公司政策变化引起的合同签订前终止项目的要求。</w:t>
      </w:r>
    </w:p>
    <w:p w14:paraId="0B53318B">
      <w:pPr>
        <w:rPr>
          <w:rFonts w:hint="eastAsia" w:ascii="宋体" w:hAnsi="宋体" w:cs="宋体"/>
          <w:color w:val="000000"/>
          <w:sz w:val="24"/>
          <w:szCs w:val="24"/>
          <w:highlight w:val="none"/>
        </w:rPr>
      </w:pPr>
    </w:p>
    <w:p w14:paraId="0C6C8388">
      <w:pPr>
        <w:pStyle w:val="6"/>
        <w:rPr>
          <w:rFonts w:hint="eastAsia"/>
        </w:rPr>
      </w:pPr>
    </w:p>
    <w:p w14:paraId="03FC3410">
      <w:pPr>
        <w:pStyle w:val="15"/>
        <w:numPr>
          <w:ilvl w:val="0"/>
          <w:numId w:val="0"/>
        </w:numPr>
        <w:ind w:firstLine="3534" w:firstLineChars="1100"/>
        <w:jc w:val="both"/>
        <w:rPr>
          <w:rFonts w:hint="eastAsia"/>
        </w:rPr>
      </w:pPr>
      <w:bookmarkStart w:id="165" w:name="_Toc17414"/>
      <w:r>
        <w:rPr>
          <w:rFonts w:hint="eastAsia"/>
        </w:rPr>
        <w:t>第</w:t>
      </w:r>
      <w:r>
        <w:rPr>
          <w:rFonts w:hint="eastAsia"/>
          <w:lang w:val="en-US" w:eastAsia="zh-CN"/>
        </w:rPr>
        <w:t>7</w:t>
      </w:r>
      <w:r>
        <w:rPr>
          <w:rFonts w:hint="eastAsia"/>
        </w:rPr>
        <w:t>章  附件</w:t>
      </w:r>
      <w:bookmarkEnd w:id="165"/>
    </w:p>
    <w:p w14:paraId="5952FC9F">
      <w:pPr>
        <w:pStyle w:val="13"/>
        <w:ind w:right="210" w:firstLine="480"/>
        <w:rPr>
          <w:rFonts w:hint="default" w:ascii="宋体" w:hAnsi="宋体"/>
          <w:highlight w:val="none"/>
          <w:lang w:val="en-US" w:eastAsia="zh-CN"/>
        </w:rPr>
      </w:pPr>
      <w:r>
        <w:rPr>
          <w:rFonts w:hint="eastAsia" w:ascii="宋体" w:hAnsi="宋体"/>
          <w:highlight w:val="none"/>
          <w:lang w:val="en-US" w:eastAsia="zh-CN"/>
        </w:rPr>
        <w:t>附件1：技术标评分表</w:t>
      </w:r>
    </w:p>
    <w:p w14:paraId="37B21F36">
      <w:pPr>
        <w:pStyle w:val="13"/>
        <w:ind w:right="210" w:firstLine="480"/>
        <w:rPr>
          <w:rFonts w:hint="default" w:ascii="宋体" w:hAnsi="宋体"/>
          <w:highlight w:val="none"/>
          <w:lang w:val="en-US" w:eastAsia="zh-CN"/>
        </w:rPr>
      </w:pPr>
      <w:r>
        <w:rPr>
          <w:rFonts w:hint="eastAsia" w:ascii="宋体" w:hAnsi="宋体"/>
          <w:highlight w:val="none"/>
          <w:lang w:val="en-US" w:eastAsia="zh-CN"/>
        </w:rPr>
        <w:t>附件2：2026年商品车运输项目里程数据</w:t>
      </w:r>
    </w:p>
    <w:p w14:paraId="1A9F4277">
      <w:pPr>
        <w:pStyle w:val="13"/>
        <w:ind w:right="210" w:firstLine="480"/>
        <w:rPr>
          <w:rFonts w:hint="eastAsia" w:ascii="宋体" w:hAnsi="宋体"/>
          <w:highlight w:val="none"/>
          <w:lang w:val="en-US" w:eastAsia="zh-CN"/>
        </w:rPr>
      </w:pPr>
      <w:r>
        <w:rPr>
          <w:rFonts w:hint="eastAsia" w:ascii="宋体" w:hAnsi="宋体"/>
          <w:highlight w:val="none"/>
          <w:lang w:val="en-US" w:eastAsia="zh-CN"/>
        </w:rPr>
        <w:t>附件3：特殊业务场景项目和费用标准</w:t>
      </w:r>
    </w:p>
    <w:p w14:paraId="6E240F85">
      <w:pPr>
        <w:pStyle w:val="13"/>
        <w:ind w:right="210" w:firstLine="480"/>
        <w:rPr>
          <w:rFonts w:hint="default" w:ascii="宋体" w:hAnsi="宋体"/>
          <w:highlight w:val="none"/>
          <w:lang w:val="en-US" w:eastAsia="zh-CN"/>
        </w:rPr>
      </w:pPr>
      <w:r>
        <w:rPr>
          <w:rFonts w:hint="eastAsia" w:ascii="宋体" w:hAnsi="宋体"/>
          <w:highlight w:val="none"/>
          <w:lang w:val="en-US" w:eastAsia="zh-CN"/>
        </w:rPr>
        <w:t>附件4：整车发运违约追责和评价管理办法</w:t>
      </w:r>
    </w:p>
    <w:p w14:paraId="3BCDB246">
      <w:pPr>
        <w:pStyle w:val="13"/>
        <w:ind w:right="210" w:firstLine="480"/>
        <w:rPr>
          <w:rFonts w:hint="eastAsia" w:ascii="宋体" w:hAnsi="宋体"/>
          <w:highlight w:val="none"/>
          <w:lang w:val="en-US" w:eastAsia="zh-CN"/>
        </w:rPr>
      </w:pPr>
      <w:r>
        <w:rPr>
          <w:rFonts w:hint="eastAsia" w:ascii="宋体" w:hAnsi="宋体"/>
          <w:highlight w:val="none"/>
          <w:lang w:val="en-US" w:eastAsia="zh-CN"/>
        </w:rPr>
        <w:t>附件5：开标一览表（单独下载，必须是EXCEL格式，各项内容和顺序不允许改动）</w:t>
      </w:r>
    </w:p>
    <w:p w14:paraId="665B3ECB">
      <w:pPr>
        <w:pStyle w:val="13"/>
        <w:ind w:right="210" w:firstLine="480"/>
        <w:rPr>
          <w:rFonts w:hint="eastAsia" w:ascii="宋体" w:hAnsi="宋体"/>
          <w:highlight w:val="none"/>
          <w:lang w:val="en-US" w:eastAsia="zh-CN"/>
        </w:rPr>
      </w:pPr>
      <w:r>
        <w:rPr>
          <w:rFonts w:hint="eastAsia" w:ascii="宋体" w:hAnsi="宋体"/>
          <w:highlight w:val="none"/>
          <w:lang w:val="en-US" w:eastAsia="zh-CN"/>
        </w:rPr>
        <w:t>附件6：投标保证金承诺函</w:t>
      </w:r>
    </w:p>
    <w:p w14:paraId="72447E33">
      <w:pPr>
        <w:pStyle w:val="13"/>
        <w:ind w:right="210" w:firstLine="480"/>
        <w:rPr>
          <w:rFonts w:hint="default" w:ascii="宋体" w:hAnsi="宋体"/>
          <w:highlight w:val="none"/>
          <w:lang w:val="en-US" w:eastAsia="zh-CN"/>
        </w:rPr>
      </w:pPr>
      <w:r>
        <w:rPr>
          <w:rFonts w:hint="eastAsia" w:ascii="宋体" w:hAnsi="宋体"/>
          <w:highlight w:val="none"/>
          <w:lang w:val="en-US" w:eastAsia="zh-CN"/>
        </w:rPr>
        <w:t>附件7：投标函</w:t>
      </w:r>
    </w:p>
    <w:p w14:paraId="702CA4DB">
      <w:pPr>
        <w:pStyle w:val="13"/>
        <w:ind w:right="210" w:firstLine="480"/>
        <w:rPr>
          <w:rFonts w:hint="eastAsia" w:ascii="宋体" w:hAnsi="宋体"/>
          <w:highlight w:val="none"/>
          <w:lang w:val="en-US" w:eastAsia="zh-CN"/>
        </w:rPr>
      </w:pPr>
      <w:r>
        <w:rPr>
          <w:rFonts w:hint="eastAsia" w:ascii="宋体" w:hAnsi="宋体"/>
          <w:highlight w:val="none"/>
          <w:lang w:val="en-US" w:eastAsia="zh-CN"/>
        </w:rPr>
        <w:t>附件8：授权委托书</w:t>
      </w:r>
    </w:p>
    <w:p w14:paraId="51E44ABF">
      <w:pPr>
        <w:pStyle w:val="13"/>
        <w:ind w:right="210" w:firstLine="480"/>
        <w:rPr>
          <w:rFonts w:hint="default" w:ascii="宋体" w:hAnsi="宋体"/>
          <w:highlight w:val="none"/>
          <w:lang w:val="en-US" w:eastAsia="zh-CN"/>
        </w:rPr>
      </w:pPr>
      <w:r>
        <w:rPr>
          <w:rFonts w:hint="eastAsia" w:ascii="宋体" w:hAnsi="宋体"/>
          <w:highlight w:val="none"/>
          <w:lang w:val="en-US" w:eastAsia="zh-CN"/>
        </w:rPr>
        <w:t>附件9：承诺函</w:t>
      </w:r>
    </w:p>
    <w:p w14:paraId="2030375C">
      <w:pPr>
        <w:pStyle w:val="13"/>
        <w:ind w:right="210" w:firstLine="480"/>
        <w:rPr>
          <w:rFonts w:hint="default" w:ascii="宋体" w:hAnsi="宋体"/>
          <w:highlight w:val="none"/>
          <w:lang w:val="en-US" w:eastAsia="zh-CN"/>
        </w:rPr>
      </w:pPr>
      <w:r>
        <w:rPr>
          <w:rFonts w:hint="eastAsia" w:ascii="宋体" w:hAnsi="宋体"/>
          <w:highlight w:val="none"/>
          <w:lang w:val="en-US" w:eastAsia="zh-CN"/>
        </w:rPr>
        <w:t>附件10：2026年济南特种车公司商品车运输项目基价表</w:t>
      </w:r>
    </w:p>
    <w:p w14:paraId="432570D8">
      <w:pPr>
        <w:pStyle w:val="13"/>
        <w:ind w:right="210" w:firstLine="480"/>
        <w:rPr>
          <w:rFonts w:hint="default" w:ascii="宋体" w:hAnsi="宋体"/>
          <w:lang w:val="en-US" w:eastAsia="zh-CN"/>
        </w:rPr>
      </w:pPr>
      <w:r>
        <w:rPr>
          <w:rFonts w:hint="eastAsia" w:ascii="宋体" w:hAnsi="宋体"/>
          <w:lang w:val="en-US" w:eastAsia="zh-CN"/>
        </w:rPr>
        <w:t xml:space="preserve"> </w:t>
      </w:r>
    </w:p>
    <w:p w14:paraId="71E46CAD"/>
    <w:p w14:paraId="0F4D963C">
      <w:pPr>
        <w:pStyle w:val="13"/>
        <w:ind w:right="210" w:firstLine="480"/>
        <w:rPr>
          <w:rFonts w:ascii="宋体" w:hAnsi="宋体"/>
        </w:rPr>
      </w:pPr>
      <w:r>
        <w:rPr>
          <w:rFonts w:hint="eastAsia" w:ascii="宋体" w:hAnsi="宋体"/>
        </w:rPr>
        <w:t>说明：</w:t>
      </w:r>
    </w:p>
    <w:p w14:paraId="4872C603">
      <w:pPr>
        <w:spacing w:line="360" w:lineRule="auto"/>
        <w:ind w:firstLine="480" w:firstLineChars="200"/>
        <w:rPr>
          <w:rFonts w:ascii="宋体" w:hAnsi="宋体"/>
          <w:sz w:val="24"/>
        </w:rPr>
      </w:pPr>
      <w:r>
        <w:rPr>
          <w:rFonts w:hint="eastAsia" w:ascii="宋体" w:hAnsi="宋体"/>
          <w:sz w:val="24"/>
        </w:rPr>
        <w:t>1、投标人须认真填写和提交本部分中的附件文件；</w:t>
      </w:r>
    </w:p>
    <w:p w14:paraId="7DBBC8DF">
      <w:pPr>
        <w:spacing w:line="360" w:lineRule="auto"/>
        <w:ind w:firstLine="480" w:firstLineChars="200"/>
        <w:rPr>
          <w:rFonts w:ascii="宋体" w:hAnsi="宋体"/>
          <w:sz w:val="24"/>
        </w:rPr>
      </w:pPr>
      <w:r>
        <w:rPr>
          <w:rFonts w:hint="eastAsia" w:ascii="宋体" w:hAnsi="宋体"/>
          <w:sz w:val="24"/>
        </w:rPr>
        <w:t>2、对附件文件中所要求的内容应给予明确的答复；</w:t>
      </w:r>
    </w:p>
    <w:p w14:paraId="1463A553">
      <w:pPr>
        <w:spacing w:line="360" w:lineRule="auto"/>
        <w:ind w:firstLine="480" w:firstLineChars="200"/>
        <w:rPr>
          <w:rFonts w:ascii="宋体" w:hAnsi="宋体"/>
          <w:sz w:val="24"/>
        </w:rPr>
      </w:pPr>
      <w:r>
        <w:rPr>
          <w:rFonts w:hint="eastAsia" w:ascii="宋体" w:hAnsi="宋体"/>
          <w:sz w:val="24"/>
        </w:rPr>
        <w:t>3、附件文件的签字人应保证其对一切问题的答复、所做的声明及出具的资格资质文件、资料等具有真实性和准确性；</w:t>
      </w:r>
    </w:p>
    <w:p w14:paraId="6E84E1A9">
      <w:pPr>
        <w:spacing w:line="360" w:lineRule="auto"/>
        <w:ind w:firstLine="480" w:firstLineChars="200"/>
        <w:rPr>
          <w:rFonts w:ascii="宋体" w:hAnsi="宋体"/>
          <w:sz w:val="24"/>
        </w:rPr>
      </w:pPr>
      <w:r>
        <w:rPr>
          <w:rFonts w:hint="eastAsia" w:ascii="宋体" w:hAnsi="宋体"/>
          <w:sz w:val="24"/>
        </w:rPr>
        <w:t>4、招标人将对投标人提交的文件、资料等内容予以保密，但不退还；</w:t>
      </w:r>
    </w:p>
    <w:p w14:paraId="13BCCDFF">
      <w:pPr>
        <w:spacing w:line="360" w:lineRule="auto"/>
        <w:ind w:firstLine="480" w:firstLineChars="200"/>
      </w:pPr>
      <w:r>
        <w:rPr>
          <w:rFonts w:hint="eastAsia" w:ascii="宋体" w:hAnsi="宋体"/>
          <w:sz w:val="24"/>
        </w:rPr>
        <w:t>5、所有附件文件应以中文书写，作为投标文件的组成部分。</w:t>
      </w:r>
    </w:p>
    <w:sectPr>
      <w:footerReference r:id="rId5" w:type="default"/>
      <w:pgSz w:w="11907" w:h="16840"/>
      <w:pgMar w:top="1025" w:right="1418" w:bottom="1418" w:left="1418" w:header="724" w:footer="851" w:gutter="0"/>
      <w:pgBorders>
        <w:top w:val="none" w:sz="0" w:space="0"/>
        <w:left w:val="none" w:sz="0" w:space="0"/>
        <w:bottom w:val="none" w:sz="0" w:space="0"/>
        <w:right w:val="none" w:sz="0" w:space="0"/>
      </w:pgBorders>
      <w:pgNumType w:fmt="decimal" w:start="1"/>
      <w:cols w:space="720" w:num="1"/>
      <w:docGrid w:linePitch="290" w:charSpace="-39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97E59">
    <w:pPr>
      <w:pStyle w:val="10"/>
      <w:jc w:val="center"/>
    </w:pPr>
  </w:p>
  <w:p w14:paraId="20A1E80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12597">
    <w:pPr>
      <w:pStyle w:val="10"/>
      <w:jc w:val="both"/>
      <w:rPr>
        <w:rFonts w:hint="default"/>
        <w:lang w:val="en-US"/>
      </w:rPr>
    </w:pPr>
  </w:p>
  <w:p w14:paraId="7AFEFFB9">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1C56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3B1C56B">
                    <w:pPr>
                      <w:pStyle w:val="10"/>
                    </w:pPr>
                    <w:r>
                      <w:fldChar w:fldCharType="begin"/>
                    </w:r>
                    <w:r>
                      <w:instrText xml:space="preserve"> PAGE  \* MERGEFORMAT </w:instrText>
                    </w:r>
                    <w:r>
                      <w:fldChar w:fldCharType="separate"/>
                    </w:r>
                    <w:r>
                      <w:t>1</w:t>
                    </w:r>
                    <w:r>
                      <w:fldChar w:fldCharType="end"/>
                    </w:r>
                  </w:p>
                </w:txbxContent>
              </v:textbox>
            </v:shape>
          </w:pict>
        </mc:Fallback>
      </mc:AlternateContent>
    </w:r>
    <w:sdt>
      <w:sdtPr>
        <w:rPr>
          <w:rFonts w:hint="default"/>
          <w:lang w:val="en-US"/>
        </w:rPr>
        <w:id w:val="147468749"/>
        <w:showingPlcHdr/>
        <w:docPartObj>
          <w:docPartGallery w:val="autotext"/>
        </w:docPartObj>
      </w:sdtPr>
      <w:sdtEndPr>
        <w:rPr>
          <w:rFonts w:hint="default"/>
          <w:lang w:val="en-US"/>
        </w:rPr>
      </w:sdtEndPr>
      <w:sdtContent/>
    </w:sdt>
  </w:p>
  <w:p w14:paraId="190615E7">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C041B">
    <w:pPr>
      <w:pStyle w:val="11"/>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0358B0"/>
    <w:multiLevelType w:val="singleLevel"/>
    <w:tmpl w:val="E60358B0"/>
    <w:lvl w:ilvl="0" w:tentative="0">
      <w:start w:val="1"/>
      <w:numFmt w:val="decimal"/>
      <w:suff w:val="nothing"/>
      <w:lvlText w:val="%1、"/>
      <w:lvlJc w:val="left"/>
    </w:lvl>
  </w:abstractNum>
  <w:abstractNum w:abstractNumId="1">
    <w:nsid w:val="047933AF"/>
    <w:multiLevelType w:val="multilevel"/>
    <w:tmpl w:val="047933AF"/>
    <w:lvl w:ilvl="0" w:tentative="0">
      <w:start w:val="1"/>
      <w:numFmt w:val="decimal"/>
      <w:pStyle w:val="15"/>
      <w:lvlText w:val="第%1章"/>
      <w:lvlJc w:val="left"/>
      <w:pPr>
        <w:ind w:left="5382"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A9816DF"/>
    <w:multiLevelType w:val="singleLevel"/>
    <w:tmpl w:val="0A9816DF"/>
    <w:lvl w:ilvl="0" w:tentative="0">
      <w:start w:val="3"/>
      <w:numFmt w:val="decimal"/>
      <w:suff w:val="nothing"/>
      <w:lvlText w:val="%1、"/>
      <w:lvlJc w:val="left"/>
    </w:lvl>
  </w:abstractNum>
  <w:abstractNum w:abstractNumId="3">
    <w:nsid w:val="199F58C0"/>
    <w:multiLevelType w:val="multilevel"/>
    <w:tmpl w:val="199F58C0"/>
    <w:lvl w:ilvl="0" w:tentative="0">
      <w:start w:val="1"/>
      <w:numFmt w:val="decimal"/>
      <w:suff w:val="nothing"/>
      <w:lvlText w:val="%1."/>
      <w:lvlJc w:val="left"/>
      <w:pPr>
        <w:ind w:left="0" w:firstLine="0"/>
      </w:pPr>
      <w:rPr>
        <w:rFonts w:hint="default"/>
      </w:rPr>
    </w:lvl>
    <w:lvl w:ilvl="1" w:tentative="0">
      <w:start w:val="1"/>
      <w:numFmt w:val="decimal"/>
      <w:suff w:val="nothing"/>
      <w:lvlText w:val="%1.%2."/>
      <w:lvlJc w:val="left"/>
      <w:pPr>
        <w:ind w:left="0" w:firstLine="0"/>
      </w:pPr>
      <w:rPr>
        <w:rFonts w:hint="default"/>
      </w:rPr>
    </w:lvl>
    <w:lvl w:ilvl="2" w:tentative="0">
      <w:start w:val="1"/>
      <w:numFmt w:val="decimal"/>
      <w:lvlText w:val="%1.%2.%3."/>
      <w:lvlJc w:val="left"/>
      <w:pPr>
        <w:ind w:left="1508" w:hanging="708"/>
      </w:pPr>
      <w:rPr>
        <w:rFonts w:hint="default"/>
      </w:rPr>
    </w:lvl>
    <w:lvl w:ilvl="3" w:tentative="0">
      <w:start w:val="1"/>
      <w:numFmt w:val="decimal"/>
      <w:lvlText w:val="%1.%2.%3.%4."/>
      <w:lvlJc w:val="left"/>
      <w:pPr>
        <w:ind w:left="2053" w:hanging="853"/>
      </w:pPr>
      <w:rPr>
        <w:rFonts w:hint="default"/>
      </w:rPr>
    </w:lvl>
    <w:lvl w:ilvl="4" w:tentative="0">
      <w:start w:val="1"/>
      <w:numFmt w:val="decimal"/>
      <w:lvlText w:val="%1.%2.%3.%4.%5."/>
      <w:lvlJc w:val="left"/>
      <w:pPr>
        <w:ind w:left="2495" w:hanging="895"/>
      </w:pPr>
      <w:rPr>
        <w:rFonts w:hint="default"/>
      </w:rPr>
    </w:lvl>
    <w:lvl w:ilvl="5" w:tentative="0">
      <w:start w:val="1"/>
      <w:numFmt w:val="decimal"/>
      <w:lvlText w:val="%1.%2.%3.%4.%5.%6."/>
      <w:lvlJc w:val="left"/>
      <w:pPr>
        <w:ind w:left="3136" w:hanging="1136"/>
      </w:pPr>
      <w:rPr>
        <w:rFonts w:hint="default"/>
      </w:rPr>
    </w:lvl>
    <w:lvl w:ilvl="6" w:tentative="0">
      <w:start w:val="1"/>
      <w:numFmt w:val="decimal"/>
      <w:lvlText w:val="%1.%2.%3.%4.%5.%6.%7."/>
      <w:lvlJc w:val="left"/>
      <w:pPr>
        <w:ind w:left="3673" w:hanging="1273"/>
      </w:pPr>
      <w:rPr>
        <w:rFonts w:hint="default"/>
      </w:rPr>
    </w:lvl>
    <w:lvl w:ilvl="7" w:tentative="0">
      <w:start w:val="1"/>
      <w:numFmt w:val="decimal"/>
      <w:lvlText w:val="%1.%2.%3.%4.%5.%6.%7.%8."/>
      <w:lvlJc w:val="left"/>
      <w:pPr>
        <w:ind w:left="4218" w:hanging="1418"/>
      </w:pPr>
      <w:rPr>
        <w:rFonts w:hint="default"/>
      </w:rPr>
    </w:lvl>
    <w:lvl w:ilvl="8" w:tentative="0">
      <w:start w:val="1"/>
      <w:numFmt w:val="decimal"/>
      <w:lvlText w:val="%1.%2.%3.%4.%5.%6.%7.%8.%9."/>
      <w:lvlJc w:val="left"/>
      <w:pPr>
        <w:ind w:left="4648" w:hanging="1448"/>
      </w:pPr>
      <w:rPr>
        <w:rFonts w:hint="default"/>
      </w:rPr>
    </w:lvl>
  </w:abstractNum>
  <w:abstractNum w:abstractNumId="4">
    <w:nsid w:val="26071288"/>
    <w:multiLevelType w:val="multilevel"/>
    <w:tmpl w:val="26071288"/>
    <w:lvl w:ilvl="0" w:tentative="0">
      <w:start w:val="1"/>
      <w:numFmt w:val="decimal"/>
      <w:lvlText w:val="%1"/>
      <w:lvlJc w:val="left"/>
      <w:pPr>
        <w:ind w:left="425" w:hanging="425"/>
      </w:pPr>
      <w:rPr>
        <w:rFonts w:hint="eastAsia"/>
      </w:rPr>
    </w:lvl>
    <w:lvl w:ilvl="1" w:tentative="0">
      <w:start w:val="1"/>
      <w:numFmt w:val="decimal"/>
      <w:lvlText w:val="%1.%2"/>
      <w:lvlJc w:val="left"/>
      <w:pPr>
        <w:ind w:left="992" w:hanging="567"/>
      </w:pPr>
      <w:rPr>
        <w:rFonts w:hint="default"/>
        <w:sz w:val="28"/>
        <w:szCs w:val="28"/>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28E554A9"/>
    <w:multiLevelType w:val="singleLevel"/>
    <w:tmpl w:val="28E554A9"/>
    <w:lvl w:ilvl="0" w:tentative="0">
      <w:start w:val="1"/>
      <w:numFmt w:val="decimal"/>
      <w:suff w:val="space"/>
      <w:lvlText w:val="(%1)"/>
      <w:lvlJc w:val="left"/>
      <w:pPr>
        <w:tabs>
          <w:tab w:val="left" w:pos="0"/>
        </w:tabs>
        <w:ind w:left="0" w:firstLine="0"/>
      </w:pPr>
      <w:rPr>
        <w:rFonts w:hint="default"/>
        <w:b w:val="0"/>
        <w:bCs/>
      </w:rPr>
    </w:lvl>
  </w:abstractNum>
  <w:abstractNum w:abstractNumId="6">
    <w:nsid w:val="32D71598"/>
    <w:multiLevelType w:val="multilevel"/>
    <w:tmpl w:val="32D71598"/>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rFonts w:hint="default"/>
        <w:i w:val="0"/>
        <w:iCs w:val="0"/>
        <w:sz w:val="28"/>
        <w:szCs w:val="28"/>
      </w:rPr>
    </w:lvl>
    <w:lvl w:ilvl="2" w:tentative="0">
      <w:start w:val="1"/>
      <w:numFmt w:val="decimal"/>
      <w:pStyle w:val="4"/>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7">
    <w:nsid w:val="5A023BC0"/>
    <w:multiLevelType w:val="multilevel"/>
    <w:tmpl w:val="5A023BC0"/>
    <w:lvl w:ilvl="0" w:tentative="0">
      <w:start w:val="1"/>
      <w:numFmt w:val="decimal"/>
      <w:suff w:val="space"/>
      <w:lvlText w:val="(%1)"/>
      <w:lvlJc w:val="left"/>
      <w:pPr>
        <w:ind w:left="0" w:firstLine="0"/>
      </w:pPr>
      <w:rPr>
        <w:rFonts w:hint="default"/>
        <w:b w:val="0"/>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56A6EAE"/>
    <w:multiLevelType w:val="multilevel"/>
    <w:tmpl w:val="656A6EAE"/>
    <w:lvl w:ilvl="0" w:tentative="0">
      <w:start w:val="1"/>
      <w:numFmt w:val="chineseCountingThousand"/>
      <w:pStyle w:val="27"/>
      <w:suff w:val="nothing"/>
      <w:lvlText w:val="%1、"/>
      <w:lvlJc w:val="left"/>
      <w:pPr>
        <w:ind w:left="420"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761A0A72"/>
    <w:multiLevelType w:val="multilevel"/>
    <w:tmpl w:val="761A0A72"/>
    <w:lvl w:ilvl="0" w:tentative="0">
      <w:start w:val="1"/>
      <w:numFmt w:val="decimal"/>
      <w:suff w:val="nothing"/>
      <w:lvlText w:val="(%1)"/>
      <w:lvlJc w:val="left"/>
      <w:pPr>
        <w:ind w:left="1696" w:hanging="420"/>
      </w:pPr>
      <w:rPr>
        <w:rFonts w:hint="default"/>
        <w:b w:val="0"/>
        <w:bCs/>
      </w:rPr>
    </w:lvl>
    <w:lvl w:ilvl="1" w:tentative="0">
      <w:start w:val="1"/>
      <w:numFmt w:val="lowerLetter"/>
      <w:lvlText w:val="%2)"/>
      <w:lvlJc w:val="left"/>
      <w:pPr>
        <w:ind w:left="2596" w:hanging="420"/>
      </w:pPr>
    </w:lvl>
    <w:lvl w:ilvl="2" w:tentative="0">
      <w:start w:val="1"/>
      <w:numFmt w:val="lowerRoman"/>
      <w:lvlText w:val="%3."/>
      <w:lvlJc w:val="right"/>
      <w:pPr>
        <w:ind w:left="3016" w:hanging="420"/>
      </w:pPr>
    </w:lvl>
    <w:lvl w:ilvl="3" w:tentative="0">
      <w:start w:val="1"/>
      <w:numFmt w:val="decimal"/>
      <w:lvlText w:val="%4."/>
      <w:lvlJc w:val="left"/>
      <w:pPr>
        <w:ind w:left="3436" w:hanging="420"/>
      </w:pPr>
    </w:lvl>
    <w:lvl w:ilvl="4" w:tentative="0">
      <w:start w:val="1"/>
      <w:numFmt w:val="lowerLetter"/>
      <w:lvlText w:val="%5)"/>
      <w:lvlJc w:val="left"/>
      <w:pPr>
        <w:ind w:left="3856" w:hanging="420"/>
      </w:pPr>
    </w:lvl>
    <w:lvl w:ilvl="5" w:tentative="0">
      <w:start w:val="1"/>
      <w:numFmt w:val="lowerRoman"/>
      <w:lvlText w:val="%6."/>
      <w:lvlJc w:val="right"/>
      <w:pPr>
        <w:ind w:left="4276" w:hanging="420"/>
      </w:pPr>
    </w:lvl>
    <w:lvl w:ilvl="6" w:tentative="0">
      <w:start w:val="1"/>
      <w:numFmt w:val="decimal"/>
      <w:lvlText w:val="%7."/>
      <w:lvlJc w:val="left"/>
      <w:pPr>
        <w:ind w:left="4696" w:hanging="420"/>
      </w:pPr>
    </w:lvl>
    <w:lvl w:ilvl="7" w:tentative="0">
      <w:start w:val="1"/>
      <w:numFmt w:val="lowerLetter"/>
      <w:lvlText w:val="%8)"/>
      <w:lvlJc w:val="left"/>
      <w:pPr>
        <w:ind w:left="5116" w:hanging="420"/>
      </w:pPr>
    </w:lvl>
    <w:lvl w:ilvl="8" w:tentative="0">
      <w:start w:val="1"/>
      <w:numFmt w:val="lowerRoman"/>
      <w:lvlText w:val="%9."/>
      <w:lvlJc w:val="right"/>
      <w:pPr>
        <w:ind w:left="5536" w:hanging="420"/>
      </w:pPr>
    </w:lvl>
  </w:abstractNum>
  <w:abstractNum w:abstractNumId="10">
    <w:nsid w:val="777478E6"/>
    <w:multiLevelType w:val="multilevel"/>
    <w:tmpl w:val="777478E6"/>
    <w:lvl w:ilvl="0" w:tentative="0">
      <w:start w:val="1"/>
      <w:numFmt w:val="decimal"/>
      <w:suff w:val="space"/>
      <w:lvlText w:val="(%1)"/>
      <w:lvlJc w:val="left"/>
      <w:pPr>
        <w:ind w:left="0" w:firstLine="0"/>
      </w:pPr>
      <w:rPr>
        <w:rFonts w:hint="default"/>
        <w:b w:val="0"/>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F982BE3"/>
    <w:multiLevelType w:val="multilevel"/>
    <w:tmpl w:val="7F982BE3"/>
    <w:lvl w:ilvl="0" w:tentative="0">
      <w:start w:val="1"/>
      <w:numFmt w:val="decimal"/>
      <w:suff w:val="space"/>
      <w:lvlText w:val="(%1)"/>
      <w:lvlJc w:val="left"/>
      <w:pPr>
        <w:ind w:left="0" w:firstLine="0"/>
      </w:pPr>
      <w:rPr>
        <w:rFonts w:hint="default"/>
        <w:b w:val="0"/>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1"/>
  </w:num>
  <w:num w:numId="3">
    <w:abstractNumId w:val="8"/>
  </w:num>
  <w:num w:numId="4">
    <w:abstractNumId w:val="4"/>
  </w:num>
  <w:num w:numId="5">
    <w:abstractNumId w:val="2"/>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3"/>
  </w:num>
  <w:num w:numId="9">
    <w:abstractNumId w:val="5"/>
  </w:num>
  <w:num w:numId="10">
    <w:abstractNumId w:val="11"/>
  </w:num>
  <w:num w:numId="11">
    <w:abstractNumId w:val="7"/>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hiNGI0YjIyZDU4ZDBiYmZlNGQ3ODcwMWU5NGJhMGQifQ=="/>
  </w:docVars>
  <w:rsids>
    <w:rsidRoot w:val="00172A27"/>
    <w:rsid w:val="007256D8"/>
    <w:rsid w:val="01273E3B"/>
    <w:rsid w:val="02411159"/>
    <w:rsid w:val="025B7E7E"/>
    <w:rsid w:val="026106C4"/>
    <w:rsid w:val="02BC6F2C"/>
    <w:rsid w:val="02F15A49"/>
    <w:rsid w:val="02F4124E"/>
    <w:rsid w:val="02F474A0"/>
    <w:rsid w:val="03025727"/>
    <w:rsid w:val="030376E3"/>
    <w:rsid w:val="03045CB8"/>
    <w:rsid w:val="033C405D"/>
    <w:rsid w:val="037F68E5"/>
    <w:rsid w:val="0385459C"/>
    <w:rsid w:val="039856CE"/>
    <w:rsid w:val="03DC2FB1"/>
    <w:rsid w:val="03F84D6E"/>
    <w:rsid w:val="045B44B4"/>
    <w:rsid w:val="046B474E"/>
    <w:rsid w:val="04A0155B"/>
    <w:rsid w:val="050634BB"/>
    <w:rsid w:val="05214592"/>
    <w:rsid w:val="05617B5A"/>
    <w:rsid w:val="059C373C"/>
    <w:rsid w:val="05BA70B7"/>
    <w:rsid w:val="05C649F8"/>
    <w:rsid w:val="05D728EE"/>
    <w:rsid w:val="05EB5EC4"/>
    <w:rsid w:val="05FB6F31"/>
    <w:rsid w:val="060B3570"/>
    <w:rsid w:val="061A6F88"/>
    <w:rsid w:val="06262826"/>
    <w:rsid w:val="069C136A"/>
    <w:rsid w:val="06B35987"/>
    <w:rsid w:val="06B74E72"/>
    <w:rsid w:val="06EE06AA"/>
    <w:rsid w:val="06F9344F"/>
    <w:rsid w:val="077302C8"/>
    <w:rsid w:val="079F5ED6"/>
    <w:rsid w:val="07CC1ED0"/>
    <w:rsid w:val="07DE24CD"/>
    <w:rsid w:val="07F863A6"/>
    <w:rsid w:val="08964B56"/>
    <w:rsid w:val="08A0788D"/>
    <w:rsid w:val="08DD4532"/>
    <w:rsid w:val="091837BC"/>
    <w:rsid w:val="091F1B36"/>
    <w:rsid w:val="0926237D"/>
    <w:rsid w:val="09A3577C"/>
    <w:rsid w:val="09EB5622"/>
    <w:rsid w:val="0A240CE5"/>
    <w:rsid w:val="0A243FB0"/>
    <w:rsid w:val="0A3864D3"/>
    <w:rsid w:val="0A553843"/>
    <w:rsid w:val="0A6855DF"/>
    <w:rsid w:val="0A851162"/>
    <w:rsid w:val="0AB8072D"/>
    <w:rsid w:val="0AD61B81"/>
    <w:rsid w:val="0AFD0EBC"/>
    <w:rsid w:val="0B124E21"/>
    <w:rsid w:val="0B3465A6"/>
    <w:rsid w:val="0B3D750A"/>
    <w:rsid w:val="0B64718D"/>
    <w:rsid w:val="0B8E7D66"/>
    <w:rsid w:val="0BB377CC"/>
    <w:rsid w:val="0BB9501C"/>
    <w:rsid w:val="0BD848FB"/>
    <w:rsid w:val="0C0F7F44"/>
    <w:rsid w:val="0C4219C8"/>
    <w:rsid w:val="0C594818"/>
    <w:rsid w:val="0C5F7F8E"/>
    <w:rsid w:val="0C6649C2"/>
    <w:rsid w:val="0C8A7DF1"/>
    <w:rsid w:val="0D25448A"/>
    <w:rsid w:val="0DB937C0"/>
    <w:rsid w:val="0DF108BC"/>
    <w:rsid w:val="0E596F18"/>
    <w:rsid w:val="0E9B0BEE"/>
    <w:rsid w:val="0F0C337B"/>
    <w:rsid w:val="0F4D5DDE"/>
    <w:rsid w:val="0F600071"/>
    <w:rsid w:val="0F7D4857"/>
    <w:rsid w:val="0F9C3FBF"/>
    <w:rsid w:val="0FDC2E8C"/>
    <w:rsid w:val="10702130"/>
    <w:rsid w:val="10C61D50"/>
    <w:rsid w:val="10F20D97"/>
    <w:rsid w:val="112C24FB"/>
    <w:rsid w:val="113F222E"/>
    <w:rsid w:val="118440E5"/>
    <w:rsid w:val="118934A9"/>
    <w:rsid w:val="11DA0292"/>
    <w:rsid w:val="11FB44A8"/>
    <w:rsid w:val="120506DE"/>
    <w:rsid w:val="120E5CA1"/>
    <w:rsid w:val="121F3E0E"/>
    <w:rsid w:val="124F64A1"/>
    <w:rsid w:val="12AC4556"/>
    <w:rsid w:val="12B94041"/>
    <w:rsid w:val="12BE787A"/>
    <w:rsid w:val="12DE6E2F"/>
    <w:rsid w:val="12ED0C16"/>
    <w:rsid w:val="130E3619"/>
    <w:rsid w:val="1339201A"/>
    <w:rsid w:val="13615C6C"/>
    <w:rsid w:val="13D8078E"/>
    <w:rsid w:val="14977C8B"/>
    <w:rsid w:val="14CD28D8"/>
    <w:rsid w:val="14F80546"/>
    <w:rsid w:val="1548169E"/>
    <w:rsid w:val="15973978"/>
    <w:rsid w:val="15A90C96"/>
    <w:rsid w:val="15B900D5"/>
    <w:rsid w:val="15D32442"/>
    <w:rsid w:val="165305B2"/>
    <w:rsid w:val="16546478"/>
    <w:rsid w:val="16FC29C4"/>
    <w:rsid w:val="179D39E1"/>
    <w:rsid w:val="17CB05F3"/>
    <w:rsid w:val="18073B86"/>
    <w:rsid w:val="18452129"/>
    <w:rsid w:val="1894253D"/>
    <w:rsid w:val="189C4C61"/>
    <w:rsid w:val="19C21C4E"/>
    <w:rsid w:val="1A085187"/>
    <w:rsid w:val="1A166F21"/>
    <w:rsid w:val="1A3366A8"/>
    <w:rsid w:val="1ADC2911"/>
    <w:rsid w:val="1B217337"/>
    <w:rsid w:val="1B9C19EA"/>
    <w:rsid w:val="1C36341E"/>
    <w:rsid w:val="1C436FCD"/>
    <w:rsid w:val="1CE47918"/>
    <w:rsid w:val="1D152095"/>
    <w:rsid w:val="1D206F2E"/>
    <w:rsid w:val="1DA022A7"/>
    <w:rsid w:val="1DE1641B"/>
    <w:rsid w:val="1EE066D3"/>
    <w:rsid w:val="1EF232D1"/>
    <w:rsid w:val="1EFA6159"/>
    <w:rsid w:val="1F0A2A78"/>
    <w:rsid w:val="1F195869"/>
    <w:rsid w:val="1F5B3666"/>
    <w:rsid w:val="1F6C01BD"/>
    <w:rsid w:val="1FA834FD"/>
    <w:rsid w:val="1FEE1FD4"/>
    <w:rsid w:val="2020181C"/>
    <w:rsid w:val="205D1405"/>
    <w:rsid w:val="207B3AED"/>
    <w:rsid w:val="208109CC"/>
    <w:rsid w:val="20A57A23"/>
    <w:rsid w:val="20D02E38"/>
    <w:rsid w:val="20F84C60"/>
    <w:rsid w:val="213F79BD"/>
    <w:rsid w:val="21CA5B44"/>
    <w:rsid w:val="21EF6C3A"/>
    <w:rsid w:val="223013B2"/>
    <w:rsid w:val="223D2DA4"/>
    <w:rsid w:val="227C4964"/>
    <w:rsid w:val="228A52D3"/>
    <w:rsid w:val="22A04AF7"/>
    <w:rsid w:val="22BB3C33"/>
    <w:rsid w:val="22C33DF0"/>
    <w:rsid w:val="22CF2015"/>
    <w:rsid w:val="22E208D9"/>
    <w:rsid w:val="22E869ED"/>
    <w:rsid w:val="22FA66EE"/>
    <w:rsid w:val="231D324D"/>
    <w:rsid w:val="23444F3A"/>
    <w:rsid w:val="23DD7177"/>
    <w:rsid w:val="24091EFB"/>
    <w:rsid w:val="24226A4A"/>
    <w:rsid w:val="243C084F"/>
    <w:rsid w:val="24726381"/>
    <w:rsid w:val="249105B7"/>
    <w:rsid w:val="2492221D"/>
    <w:rsid w:val="24F24FEE"/>
    <w:rsid w:val="2511775C"/>
    <w:rsid w:val="25551BC9"/>
    <w:rsid w:val="255E30DE"/>
    <w:rsid w:val="25711518"/>
    <w:rsid w:val="2673093B"/>
    <w:rsid w:val="26B96270"/>
    <w:rsid w:val="26C568DA"/>
    <w:rsid w:val="27EB2370"/>
    <w:rsid w:val="281D3443"/>
    <w:rsid w:val="285F2236"/>
    <w:rsid w:val="29894432"/>
    <w:rsid w:val="2A0B4F8D"/>
    <w:rsid w:val="2A0B61F2"/>
    <w:rsid w:val="2A202A0F"/>
    <w:rsid w:val="2A9C0A77"/>
    <w:rsid w:val="2AC0287F"/>
    <w:rsid w:val="2B0772DE"/>
    <w:rsid w:val="2B18774E"/>
    <w:rsid w:val="2BFF63EA"/>
    <w:rsid w:val="2C8E6CA9"/>
    <w:rsid w:val="2CCE31D2"/>
    <w:rsid w:val="2D066AAD"/>
    <w:rsid w:val="2D3227EF"/>
    <w:rsid w:val="2D660F0B"/>
    <w:rsid w:val="2D984D48"/>
    <w:rsid w:val="2DC07A83"/>
    <w:rsid w:val="2E141EF5"/>
    <w:rsid w:val="2E496043"/>
    <w:rsid w:val="2E6F0050"/>
    <w:rsid w:val="2E764972"/>
    <w:rsid w:val="2EEA2F03"/>
    <w:rsid w:val="2F2616D7"/>
    <w:rsid w:val="2F4F7441"/>
    <w:rsid w:val="2FAB43B4"/>
    <w:rsid w:val="2FB579C7"/>
    <w:rsid w:val="2FCE34B7"/>
    <w:rsid w:val="2FE3129F"/>
    <w:rsid w:val="3007589F"/>
    <w:rsid w:val="3013343D"/>
    <w:rsid w:val="304F63CF"/>
    <w:rsid w:val="30711881"/>
    <w:rsid w:val="30850E88"/>
    <w:rsid w:val="3104250D"/>
    <w:rsid w:val="310B6BF3"/>
    <w:rsid w:val="3148438F"/>
    <w:rsid w:val="3163258B"/>
    <w:rsid w:val="326B7E02"/>
    <w:rsid w:val="32FF4F22"/>
    <w:rsid w:val="3345384E"/>
    <w:rsid w:val="339C4E66"/>
    <w:rsid w:val="33A45A46"/>
    <w:rsid w:val="33D34C71"/>
    <w:rsid w:val="34545741"/>
    <w:rsid w:val="34777CE2"/>
    <w:rsid w:val="34A75871"/>
    <w:rsid w:val="34C46423"/>
    <w:rsid w:val="351E50D1"/>
    <w:rsid w:val="35251912"/>
    <w:rsid w:val="35771BC5"/>
    <w:rsid w:val="35814314"/>
    <w:rsid w:val="35BC70FA"/>
    <w:rsid w:val="35C42453"/>
    <w:rsid w:val="35DF54B7"/>
    <w:rsid w:val="36183502"/>
    <w:rsid w:val="36687282"/>
    <w:rsid w:val="37AA4C1A"/>
    <w:rsid w:val="37DD4921"/>
    <w:rsid w:val="37FF425B"/>
    <w:rsid w:val="384C25B1"/>
    <w:rsid w:val="38617CAB"/>
    <w:rsid w:val="38B93DC5"/>
    <w:rsid w:val="38BC1B10"/>
    <w:rsid w:val="38E16A91"/>
    <w:rsid w:val="39582E82"/>
    <w:rsid w:val="39EE64D0"/>
    <w:rsid w:val="39F4067D"/>
    <w:rsid w:val="39FF69C5"/>
    <w:rsid w:val="3A250F74"/>
    <w:rsid w:val="3A427935"/>
    <w:rsid w:val="3A86417A"/>
    <w:rsid w:val="3AFF6407"/>
    <w:rsid w:val="3B070FC8"/>
    <w:rsid w:val="3B134A1E"/>
    <w:rsid w:val="3B2B37AE"/>
    <w:rsid w:val="3B8F1FE2"/>
    <w:rsid w:val="3B9259C0"/>
    <w:rsid w:val="3BE6503C"/>
    <w:rsid w:val="3C1A6549"/>
    <w:rsid w:val="3C2F000E"/>
    <w:rsid w:val="3C594094"/>
    <w:rsid w:val="3CF43EAD"/>
    <w:rsid w:val="3D2869B6"/>
    <w:rsid w:val="3D2E7899"/>
    <w:rsid w:val="3D494544"/>
    <w:rsid w:val="3D497FDD"/>
    <w:rsid w:val="3D871201"/>
    <w:rsid w:val="3DAD1660"/>
    <w:rsid w:val="3DC90D6A"/>
    <w:rsid w:val="3DE75487"/>
    <w:rsid w:val="3DEB454B"/>
    <w:rsid w:val="3E0755D2"/>
    <w:rsid w:val="3E326533"/>
    <w:rsid w:val="3E655F10"/>
    <w:rsid w:val="3EBB63A3"/>
    <w:rsid w:val="3EF06066"/>
    <w:rsid w:val="3F1635AD"/>
    <w:rsid w:val="3F4F492A"/>
    <w:rsid w:val="3F8C20F5"/>
    <w:rsid w:val="3F993849"/>
    <w:rsid w:val="3FA3214E"/>
    <w:rsid w:val="3FC574F3"/>
    <w:rsid w:val="404A3387"/>
    <w:rsid w:val="409619DD"/>
    <w:rsid w:val="40FC7A22"/>
    <w:rsid w:val="41023096"/>
    <w:rsid w:val="41311798"/>
    <w:rsid w:val="416729BB"/>
    <w:rsid w:val="41807B75"/>
    <w:rsid w:val="41854851"/>
    <w:rsid w:val="4199716A"/>
    <w:rsid w:val="41AB385B"/>
    <w:rsid w:val="41BF5E34"/>
    <w:rsid w:val="42075BA1"/>
    <w:rsid w:val="421F113C"/>
    <w:rsid w:val="426052B1"/>
    <w:rsid w:val="42BC0C0E"/>
    <w:rsid w:val="42D57A4D"/>
    <w:rsid w:val="42F519CE"/>
    <w:rsid w:val="43274DD5"/>
    <w:rsid w:val="433F4FDC"/>
    <w:rsid w:val="434D1CD9"/>
    <w:rsid w:val="439D0AC1"/>
    <w:rsid w:val="4413072B"/>
    <w:rsid w:val="446742A9"/>
    <w:rsid w:val="44727FC9"/>
    <w:rsid w:val="447C5244"/>
    <w:rsid w:val="447D40A7"/>
    <w:rsid w:val="44846CF0"/>
    <w:rsid w:val="44AB6101"/>
    <w:rsid w:val="44CF4FA2"/>
    <w:rsid w:val="45534CCD"/>
    <w:rsid w:val="45773005"/>
    <w:rsid w:val="458B70C4"/>
    <w:rsid w:val="459667BD"/>
    <w:rsid w:val="45B778DE"/>
    <w:rsid w:val="45C523C0"/>
    <w:rsid w:val="463616F2"/>
    <w:rsid w:val="464E341B"/>
    <w:rsid w:val="46954459"/>
    <w:rsid w:val="46987301"/>
    <w:rsid w:val="46C93299"/>
    <w:rsid w:val="46F04E55"/>
    <w:rsid w:val="471B1570"/>
    <w:rsid w:val="479B5ECC"/>
    <w:rsid w:val="47BC567F"/>
    <w:rsid w:val="4832707C"/>
    <w:rsid w:val="484440CC"/>
    <w:rsid w:val="48835206"/>
    <w:rsid w:val="48A36315"/>
    <w:rsid w:val="48D93A13"/>
    <w:rsid w:val="48E1779E"/>
    <w:rsid w:val="49067070"/>
    <w:rsid w:val="49240008"/>
    <w:rsid w:val="493279A7"/>
    <w:rsid w:val="49730B30"/>
    <w:rsid w:val="49941F24"/>
    <w:rsid w:val="49BE1BBF"/>
    <w:rsid w:val="49ED38CE"/>
    <w:rsid w:val="4A412C94"/>
    <w:rsid w:val="4AC563A5"/>
    <w:rsid w:val="4AC76815"/>
    <w:rsid w:val="4AE40A60"/>
    <w:rsid w:val="4B2E2C21"/>
    <w:rsid w:val="4B4B41DB"/>
    <w:rsid w:val="4BA122D8"/>
    <w:rsid w:val="4BCC5D64"/>
    <w:rsid w:val="4BFD21B6"/>
    <w:rsid w:val="4C836430"/>
    <w:rsid w:val="4CBB28BC"/>
    <w:rsid w:val="4CBE26CD"/>
    <w:rsid w:val="4CEE2A3C"/>
    <w:rsid w:val="4CF74DF1"/>
    <w:rsid w:val="4D0549EA"/>
    <w:rsid w:val="4D163C3E"/>
    <w:rsid w:val="4D1D265B"/>
    <w:rsid w:val="4D7C105A"/>
    <w:rsid w:val="4DB304D7"/>
    <w:rsid w:val="4EA338D9"/>
    <w:rsid w:val="4EAC1FAA"/>
    <w:rsid w:val="4FAF0E71"/>
    <w:rsid w:val="50387A30"/>
    <w:rsid w:val="506765BF"/>
    <w:rsid w:val="50804CA1"/>
    <w:rsid w:val="508927CE"/>
    <w:rsid w:val="50BF52B7"/>
    <w:rsid w:val="50C96CF3"/>
    <w:rsid w:val="50E22C22"/>
    <w:rsid w:val="5151220A"/>
    <w:rsid w:val="51BC69A8"/>
    <w:rsid w:val="51E732F9"/>
    <w:rsid w:val="520143BB"/>
    <w:rsid w:val="525564B4"/>
    <w:rsid w:val="527A0B52"/>
    <w:rsid w:val="528767A6"/>
    <w:rsid w:val="529F7950"/>
    <w:rsid w:val="52D5496A"/>
    <w:rsid w:val="531B2103"/>
    <w:rsid w:val="5340520F"/>
    <w:rsid w:val="53635C0A"/>
    <w:rsid w:val="539B5198"/>
    <w:rsid w:val="543851AD"/>
    <w:rsid w:val="543A1E06"/>
    <w:rsid w:val="54496C01"/>
    <w:rsid w:val="54831E37"/>
    <w:rsid w:val="549F173E"/>
    <w:rsid w:val="550614EE"/>
    <w:rsid w:val="552A3C28"/>
    <w:rsid w:val="5536601F"/>
    <w:rsid w:val="55D168DE"/>
    <w:rsid w:val="55FF3167"/>
    <w:rsid w:val="560713A1"/>
    <w:rsid w:val="566E223B"/>
    <w:rsid w:val="56F91B04"/>
    <w:rsid w:val="570D0E8C"/>
    <w:rsid w:val="5729257C"/>
    <w:rsid w:val="57F71063"/>
    <w:rsid w:val="5815308E"/>
    <w:rsid w:val="581B0800"/>
    <w:rsid w:val="581E5EEA"/>
    <w:rsid w:val="58627B7D"/>
    <w:rsid w:val="587E07BE"/>
    <w:rsid w:val="588A01CF"/>
    <w:rsid w:val="589C4E3D"/>
    <w:rsid w:val="58D21DAF"/>
    <w:rsid w:val="58FC2CF1"/>
    <w:rsid w:val="591B548B"/>
    <w:rsid w:val="59354E6E"/>
    <w:rsid w:val="59637709"/>
    <w:rsid w:val="5990437C"/>
    <w:rsid w:val="5A114B53"/>
    <w:rsid w:val="5A2C3F9F"/>
    <w:rsid w:val="5A7A601D"/>
    <w:rsid w:val="5AAF7ED4"/>
    <w:rsid w:val="5AC671DB"/>
    <w:rsid w:val="5AE03F27"/>
    <w:rsid w:val="5AFB3C21"/>
    <w:rsid w:val="5B115748"/>
    <w:rsid w:val="5B2D7AB3"/>
    <w:rsid w:val="5B3F7D02"/>
    <w:rsid w:val="5B565B56"/>
    <w:rsid w:val="5C301AD8"/>
    <w:rsid w:val="5C5C0E94"/>
    <w:rsid w:val="5C5C1331"/>
    <w:rsid w:val="5C7211A8"/>
    <w:rsid w:val="5C90486B"/>
    <w:rsid w:val="5CA778E0"/>
    <w:rsid w:val="5CC934CD"/>
    <w:rsid w:val="5CE9174A"/>
    <w:rsid w:val="5D0B433F"/>
    <w:rsid w:val="5D79219C"/>
    <w:rsid w:val="5DAF73C1"/>
    <w:rsid w:val="5E1F1D96"/>
    <w:rsid w:val="5E2928CC"/>
    <w:rsid w:val="5ED12224"/>
    <w:rsid w:val="5ED2780B"/>
    <w:rsid w:val="5EE17A4E"/>
    <w:rsid w:val="5EE27322"/>
    <w:rsid w:val="5F0A624B"/>
    <w:rsid w:val="5F131BD1"/>
    <w:rsid w:val="5FDA23B9"/>
    <w:rsid w:val="604364E6"/>
    <w:rsid w:val="60726224"/>
    <w:rsid w:val="60BD1C95"/>
    <w:rsid w:val="60E43D80"/>
    <w:rsid w:val="60F872D1"/>
    <w:rsid w:val="61B20240"/>
    <w:rsid w:val="61D75732"/>
    <w:rsid w:val="61E139F4"/>
    <w:rsid w:val="620852FA"/>
    <w:rsid w:val="62486413"/>
    <w:rsid w:val="625A13EB"/>
    <w:rsid w:val="63520F1A"/>
    <w:rsid w:val="638135AD"/>
    <w:rsid w:val="63C274B8"/>
    <w:rsid w:val="63C72943"/>
    <w:rsid w:val="63CD67F3"/>
    <w:rsid w:val="63D456C1"/>
    <w:rsid w:val="649E4FF6"/>
    <w:rsid w:val="6563304C"/>
    <w:rsid w:val="656C5937"/>
    <w:rsid w:val="657B71B6"/>
    <w:rsid w:val="67B10EDE"/>
    <w:rsid w:val="67D62F48"/>
    <w:rsid w:val="680E1188"/>
    <w:rsid w:val="68201038"/>
    <w:rsid w:val="682E3B62"/>
    <w:rsid w:val="68D61B92"/>
    <w:rsid w:val="690D0A0C"/>
    <w:rsid w:val="69A01157"/>
    <w:rsid w:val="6A905939"/>
    <w:rsid w:val="6A974F0E"/>
    <w:rsid w:val="6A9C0CCD"/>
    <w:rsid w:val="6AAE53DB"/>
    <w:rsid w:val="6B064398"/>
    <w:rsid w:val="6B3E1D84"/>
    <w:rsid w:val="6BFB6DB8"/>
    <w:rsid w:val="6D6261FE"/>
    <w:rsid w:val="6DC96FAF"/>
    <w:rsid w:val="6E0127B0"/>
    <w:rsid w:val="6E222AF0"/>
    <w:rsid w:val="6E494CC8"/>
    <w:rsid w:val="6E631C92"/>
    <w:rsid w:val="6E795D9A"/>
    <w:rsid w:val="6E940155"/>
    <w:rsid w:val="6EC13D39"/>
    <w:rsid w:val="6F076528"/>
    <w:rsid w:val="6F3E1611"/>
    <w:rsid w:val="6F701FAE"/>
    <w:rsid w:val="6F810B92"/>
    <w:rsid w:val="6F854443"/>
    <w:rsid w:val="702267B1"/>
    <w:rsid w:val="702D7525"/>
    <w:rsid w:val="706743F9"/>
    <w:rsid w:val="708F01A5"/>
    <w:rsid w:val="70956D9D"/>
    <w:rsid w:val="70A46C08"/>
    <w:rsid w:val="71280976"/>
    <w:rsid w:val="71450956"/>
    <w:rsid w:val="71755DD4"/>
    <w:rsid w:val="718A18F9"/>
    <w:rsid w:val="7305449F"/>
    <w:rsid w:val="736519FB"/>
    <w:rsid w:val="74196D88"/>
    <w:rsid w:val="744639CC"/>
    <w:rsid w:val="748702F8"/>
    <w:rsid w:val="74B529DF"/>
    <w:rsid w:val="74BC3B37"/>
    <w:rsid w:val="750F4E6E"/>
    <w:rsid w:val="751468F4"/>
    <w:rsid w:val="7545009C"/>
    <w:rsid w:val="759904FE"/>
    <w:rsid w:val="75DF38FA"/>
    <w:rsid w:val="764B7DA3"/>
    <w:rsid w:val="76AD2208"/>
    <w:rsid w:val="76E06647"/>
    <w:rsid w:val="76E43A77"/>
    <w:rsid w:val="772571F2"/>
    <w:rsid w:val="77463171"/>
    <w:rsid w:val="77B001BE"/>
    <w:rsid w:val="77B91682"/>
    <w:rsid w:val="77BB478C"/>
    <w:rsid w:val="782013CC"/>
    <w:rsid w:val="78627CF8"/>
    <w:rsid w:val="78703A71"/>
    <w:rsid w:val="78AE5CFE"/>
    <w:rsid w:val="78CC5E92"/>
    <w:rsid w:val="78E9549E"/>
    <w:rsid w:val="78F4247E"/>
    <w:rsid w:val="79291C4C"/>
    <w:rsid w:val="79567828"/>
    <w:rsid w:val="79673F3D"/>
    <w:rsid w:val="79D85BD9"/>
    <w:rsid w:val="7A5E7D4D"/>
    <w:rsid w:val="7A613399"/>
    <w:rsid w:val="7A94376E"/>
    <w:rsid w:val="7B1759BF"/>
    <w:rsid w:val="7CF74440"/>
    <w:rsid w:val="7D3A102F"/>
    <w:rsid w:val="7D9F358B"/>
    <w:rsid w:val="7D9F4904"/>
    <w:rsid w:val="7E1F77F3"/>
    <w:rsid w:val="7E5C22A5"/>
    <w:rsid w:val="7E5D7B42"/>
    <w:rsid w:val="7E6478FC"/>
    <w:rsid w:val="7E7062A0"/>
    <w:rsid w:val="7E7A711F"/>
    <w:rsid w:val="7EB037B2"/>
    <w:rsid w:val="7ED33124"/>
    <w:rsid w:val="7EE03046"/>
    <w:rsid w:val="7F2F76E5"/>
    <w:rsid w:val="7F5C116A"/>
    <w:rsid w:val="7F670538"/>
    <w:rsid w:val="7FA112F3"/>
    <w:rsid w:val="7FCE01BF"/>
    <w:rsid w:val="7FE201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99"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99"/>
    <w:pPr>
      <w:numPr>
        <w:ilvl w:val="0"/>
        <w:numId w:val="1"/>
      </w:numPr>
      <w:tabs>
        <w:tab w:val="right" w:leader="dot" w:pos="9061"/>
      </w:tabs>
      <w:spacing w:line="360" w:lineRule="auto"/>
      <w:jc w:val="center"/>
      <w:outlineLvl w:val="0"/>
    </w:pPr>
    <w:rPr>
      <w:b/>
      <w:iCs/>
      <w:sz w:val="36"/>
      <w:szCs w:val="20"/>
    </w:rPr>
  </w:style>
  <w:style w:type="paragraph" w:styleId="3">
    <w:name w:val="heading 2"/>
    <w:basedOn w:val="1"/>
    <w:next w:val="1"/>
    <w:link w:val="23"/>
    <w:qFormat/>
    <w:uiPriority w:val="0"/>
    <w:pPr>
      <w:numPr>
        <w:ilvl w:val="1"/>
        <w:numId w:val="1"/>
      </w:numPr>
      <w:spacing w:before="50" w:beforeLines="50"/>
      <w:outlineLvl w:val="1"/>
    </w:pPr>
    <w:rPr>
      <w:b/>
    </w:rPr>
  </w:style>
  <w:style w:type="paragraph" w:styleId="4">
    <w:name w:val="heading 3"/>
    <w:basedOn w:val="1"/>
    <w:next w:val="1"/>
    <w:link w:val="26"/>
    <w:qFormat/>
    <w:uiPriority w:val="99"/>
    <w:pPr>
      <w:keepNext/>
      <w:keepLines/>
      <w:numPr>
        <w:ilvl w:val="2"/>
        <w:numId w:val="1"/>
      </w:numPr>
      <w:spacing w:line="360" w:lineRule="auto"/>
      <w:ind w:left="0" w:firstLine="200" w:firstLineChars="200"/>
      <w:jc w:val="left"/>
      <w:outlineLvl w:val="2"/>
    </w:pPr>
    <w:rPr>
      <w:bCs/>
      <w:kern w:val="0"/>
      <w:sz w:val="24"/>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List 3"/>
    <w:basedOn w:val="1"/>
    <w:qFormat/>
    <w:uiPriority w:val="99"/>
    <w:pPr>
      <w:ind w:left="100" w:leftChars="400" w:hanging="200" w:hangingChars="200"/>
    </w:pPr>
  </w:style>
  <w:style w:type="paragraph" w:styleId="6">
    <w:name w:val="Normal Indent"/>
    <w:basedOn w:val="1"/>
    <w:next w:val="1"/>
    <w:qFormat/>
    <w:uiPriority w:val="99"/>
    <w:pPr>
      <w:ind w:firstLine="420" w:firstLineChars="200"/>
    </w:pPr>
    <w:rPr>
      <w:kern w:val="0"/>
    </w:rPr>
  </w:style>
  <w:style w:type="paragraph" w:styleId="7">
    <w:name w:val="annotation text"/>
    <w:basedOn w:val="1"/>
    <w:qFormat/>
    <w:uiPriority w:val="99"/>
    <w:pPr>
      <w:spacing w:after="200" w:line="276" w:lineRule="auto"/>
      <w:jc w:val="left"/>
    </w:pPr>
    <w:rPr>
      <w:kern w:val="0"/>
    </w:rPr>
  </w:style>
  <w:style w:type="paragraph" w:styleId="8">
    <w:name w:val="Body Text"/>
    <w:basedOn w:val="1"/>
    <w:qFormat/>
    <w:uiPriority w:val="99"/>
    <w:pPr>
      <w:spacing w:after="120"/>
    </w:pPr>
    <w:rPr>
      <w:kern w:val="0"/>
    </w:rPr>
  </w:style>
  <w:style w:type="paragraph" w:styleId="9">
    <w:name w:val="Plain Text"/>
    <w:basedOn w:val="1"/>
    <w:qFormat/>
    <w:uiPriority w:val="0"/>
    <w:rPr>
      <w:rFonts w:ascii="宋体" w:hAnsi="Courier New"/>
      <w:kern w:val="0"/>
    </w:rPr>
  </w:style>
  <w:style w:type="paragraph" w:styleId="10">
    <w:name w:val="footer"/>
    <w:basedOn w:val="1"/>
    <w:qFormat/>
    <w:uiPriority w:val="99"/>
    <w:pPr>
      <w:tabs>
        <w:tab w:val="center" w:pos="4153"/>
        <w:tab w:val="right" w:pos="8306"/>
      </w:tabs>
      <w:snapToGrid w:val="0"/>
      <w:jc w:val="left"/>
    </w:pPr>
    <w:rPr>
      <w:kern w:val="0"/>
      <w:sz w:val="18"/>
      <w:szCs w:val="18"/>
    </w:rPr>
  </w:style>
  <w:style w:type="paragraph" w:styleId="11">
    <w:name w:val="header"/>
    <w:basedOn w:val="1"/>
    <w:qFormat/>
    <w:uiPriority w:val="99"/>
    <w:pPr>
      <w:pBdr>
        <w:bottom w:val="single" w:color="auto" w:sz="6" w:space="1"/>
      </w:pBdr>
      <w:tabs>
        <w:tab w:val="center" w:pos="4153"/>
        <w:tab w:val="right" w:pos="8306"/>
      </w:tabs>
      <w:snapToGrid w:val="0"/>
      <w:jc w:val="center"/>
    </w:pPr>
    <w:rPr>
      <w:kern w:val="0"/>
      <w:sz w:val="18"/>
      <w:szCs w:val="18"/>
    </w:rPr>
  </w:style>
  <w:style w:type="paragraph" w:styleId="12">
    <w:name w:val="toc 1"/>
    <w:basedOn w:val="1"/>
    <w:next w:val="1"/>
    <w:qFormat/>
    <w:uiPriority w:val="39"/>
    <w:pPr>
      <w:spacing w:before="120" w:after="120"/>
      <w:jc w:val="left"/>
    </w:pPr>
    <w:rPr>
      <w:b/>
      <w:bCs/>
      <w:caps/>
      <w:sz w:val="24"/>
      <w:szCs w:val="20"/>
    </w:rPr>
  </w:style>
  <w:style w:type="paragraph" w:styleId="13">
    <w:name w:val="toc 2"/>
    <w:basedOn w:val="1"/>
    <w:next w:val="1"/>
    <w:qFormat/>
    <w:uiPriority w:val="39"/>
    <w:pPr>
      <w:spacing w:line="360" w:lineRule="auto"/>
      <w:ind w:left="210"/>
      <w:jc w:val="left"/>
    </w:pPr>
    <w:rPr>
      <w:smallCaps/>
      <w:sz w:val="24"/>
      <w:szCs w:val="20"/>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Title"/>
    <w:basedOn w:val="1"/>
    <w:qFormat/>
    <w:uiPriority w:val="0"/>
    <w:pPr>
      <w:numPr>
        <w:ilvl w:val="0"/>
        <w:numId w:val="2"/>
      </w:numPr>
      <w:spacing w:before="240" w:after="60" w:line="276" w:lineRule="auto"/>
      <w:jc w:val="center"/>
      <w:outlineLvl w:val="0"/>
    </w:pPr>
    <w:rPr>
      <w:b/>
      <w:bCs/>
      <w:kern w:val="0"/>
      <w:sz w:val="32"/>
      <w:szCs w:val="32"/>
    </w:rPr>
  </w:style>
  <w:style w:type="table" w:styleId="17">
    <w:name w:val="Table Grid"/>
    <w:basedOn w:val="1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Hyperlink"/>
    <w:qFormat/>
    <w:uiPriority w:val="99"/>
    <w:rPr>
      <w:rFonts w:cs="Times New Roman"/>
      <w:color w:val="1F4F88"/>
      <w:u w:val="none"/>
    </w:rPr>
  </w:style>
  <w:style w:type="paragraph" w:styleId="20">
    <w:name w:val="List Paragraph"/>
    <w:basedOn w:val="1"/>
    <w:qFormat/>
    <w:uiPriority w:val="99"/>
    <w:pPr>
      <w:ind w:firstLine="420" w:firstLineChars="200"/>
    </w:pPr>
    <w:rPr>
      <w:szCs w:val="24"/>
    </w:rPr>
  </w:style>
  <w:style w:type="paragraph" w:customStyle="1" w:styleId="21">
    <w:name w:val="正文（缩进）"/>
    <w:basedOn w:val="1"/>
    <w:semiHidden/>
    <w:qFormat/>
    <w:uiPriority w:val="99"/>
    <w:pPr>
      <w:spacing w:beforeLines="50" w:afterLines="50" w:line="360" w:lineRule="auto"/>
      <w:ind w:firstLine="480" w:firstLineChars="200"/>
    </w:pPr>
    <w:rPr>
      <w:kern w:val="0"/>
      <w:sz w:val="24"/>
      <w:szCs w:val="20"/>
    </w:rPr>
  </w:style>
  <w:style w:type="paragraph" w:customStyle="1" w:styleId="22">
    <w:name w:val="标书正文格式"/>
    <w:basedOn w:val="9"/>
    <w:qFormat/>
    <w:uiPriority w:val="0"/>
    <w:pPr>
      <w:spacing w:line="360" w:lineRule="auto"/>
      <w:ind w:firstLine="200" w:firstLineChars="200"/>
    </w:pPr>
    <w:rPr>
      <w:rFonts w:hAnsi="宋体"/>
      <w:color w:val="000000"/>
      <w:sz w:val="24"/>
      <w:szCs w:val="24"/>
    </w:rPr>
  </w:style>
  <w:style w:type="character" w:customStyle="1" w:styleId="23">
    <w:name w:val="标题 2 字符"/>
    <w:link w:val="3"/>
    <w:qFormat/>
    <w:locked/>
    <w:uiPriority w:val="0"/>
    <w:rPr>
      <w:b/>
    </w:rPr>
  </w:style>
  <w:style w:type="character" w:customStyle="1" w:styleId="24">
    <w:name w:val="font11"/>
    <w:basedOn w:val="18"/>
    <w:qFormat/>
    <w:uiPriority w:val="0"/>
    <w:rPr>
      <w:rFonts w:hint="eastAsia" w:ascii="微软雅黑" w:hAnsi="微软雅黑" w:eastAsia="微软雅黑" w:cs="微软雅黑"/>
      <w:b/>
      <w:bCs/>
      <w:color w:val="000000"/>
      <w:sz w:val="21"/>
      <w:szCs w:val="21"/>
      <w:u w:val="none"/>
    </w:rPr>
  </w:style>
  <w:style w:type="character" w:customStyle="1" w:styleId="25">
    <w:name w:val="font21"/>
    <w:basedOn w:val="18"/>
    <w:qFormat/>
    <w:uiPriority w:val="0"/>
    <w:rPr>
      <w:rFonts w:hint="eastAsia" w:ascii="微软雅黑" w:hAnsi="微软雅黑" w:eastAsia="微软雅黑" w:cs="微软雅黑"/>
      <w:color w:val="000000"/>
      <w:sz w:val="21"/>
      <w:szCs w:val="21"/>
      <w:u w:val="none"/>
    </w:rPr>
  </w:style>
  <w:style w:type="character" w:customStyle="1" w:styleId="26">
    <w:name w:val="标题 3 Char"/>
    <w:link w:val="4"/>
    <w:qFormat/>
    <w:uiPriority w:val="99"/>
    <w:rPr>
      <w:bCs/>
      <w:kern w:val="0"/>
      <w:sz w:val="24"/>
      <w:szCs w:val="32"/>
    </w:rPr>
  </w:style>
  <w:style w:type="paragraph" w:customStyle="1" w:styleId="27">
    <w:name w:val="一级标题"/>
    <w:basedOn w:val="9"/>
    <w:qFormat/>
    <w:uiPriority w:val="0"/>
    <w:pPr>
      <w:numPr>
        <w:ilvl w:val="0"/>
        <w:numId w:val="3"/>
      </w:numPr>
      <w:spacing w:line="360" w:lineRule="auto"/>
      <w:ind w:left="2972"/>
      <w:outlineLvl w:val="1"/>
    </w:pPr>
    <w:rPr>
      <w:rFonts w:ascii="黑体" w:eastAsia="黑体"/>
      <w:b/>
      <w:bCs/>
      <w:sz w:val="28"/>
    </w:rPr>
  </w:style>
  <w:style w:type="paragraph" w:customStyle="1" w:styleId="28">
    <w:name w:val="标书正文"/>
    <w:basedOn w:val="9"/>
    <w:qFormat/>
    <w:uiPriority w:val="9"/>
    <w:pPr>
      <w:spacing w:line="360" w:lineRule="auto"/>
      <w:jc w:val="left"/>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13010</Words>
  <Characters>13892</Characters>
  <Lines>1</Lines>
  <Paragraphs>1</Paragraphs>
  <TotalTime>32</TotalTime>
  <ScaleCrop>false</ScaleCrop>
  <LinksUpToDate>false</LinksUpToDate>
  <CharactersWithSpaces>14184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2024-04-02T03:23:00Z</dcterms:created>
  <dc:creator>Lenovo</dc:creator>
  <cp:lastModifiedBy>李帅威</cp:lastModifiedBy>
  <dcterms:modified xsi:type="dcterms:W3CDTF">2026-10-21T08:47:24Z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072F1A43E9914137983F75DE106B83C2_13</vt:lpwstr>
  </property>
  <property fmtid="{D5CDD505-2E9C-101B-9397-08002B2CF9AE}" pid="4" name="KSOTemplateDocerSaveRecord">
    <vt:lpwstr>eyJoZGlkIjoiZDZiY2E3MTk3OWVkMDZmNDgwYmUwNDViMmIxMTA0OGYiLCJ1c2VySWQiOiIxNzY1NTM3NjAwIn0=</vt:lpwstr>
  </property>
</Properties>
</file>