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612B9">
      <w:pPr>
        <w:pStyle w:val="119"/>
      </w:pPr>
      <w:r>
        <w:rPr>
          <w:sz w:val="48"/>
          <w:szCs w:val="48"/>
        </w:rPr>
        <w:drawing>
          <wp:anchor distT="0" distB="0" distL="114300" distR="114300" simplePos="0" relativeHeight="251662336"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2061592B">
      <w:pPr>
        <w:ind w:right="280"/>
        <w:jc w:val="right"/>
        <w:rPr>
          <w:rFonts w:ascii="宋体" w:hAnsi="宋体"/>
          <w:sz w:val="48"/>
          <w:szCs w:val="48"/>
        </w:rPr>
      </w:pPr>
    </w:p>
    <w:p w14:paraId="44FE055E">
      <w:pPr>
        <w:ind w:right="280"/>
        <w:jc w:val="center"/>
        <w:rPr>
          <w:rFonts w:ascii="宋体" w:hAnsi="宋体"/>
          <w:sz w:val="48"/>
          <w:szCs w:val="48"/>
        </w:rPr>
      </w:pPr>
    </w:p>
    <w:p w14:paraId="1592649C">
      <w:pPr>
        <w:ind w:right="280"/>
        <w:jc w:val="center"/>
        <w:rPr>
          <w:rFonts w:ascii="宋体" w:hAnsi="宋体"/>
          <w:sz w:val="48"/>
          <w:szCs w:val="48"/>
        </w:rPr>
      </w:pPr>
    </w:p>
    <w:p w14:paraId="06EBFE9F">
      <w:pPr>
        <w:ind w:right="280"/>
        <w:jc w:val="center"/>
        <w:rPr>
          <w:rFonts w:ascii="宋体" w:hAnsi="宋体"/>
          <w:sz w:val="48"/>
          <w:szCs w:val="48"/>
        </w:rPr>
      </w:pPr>
    </w:p>
    <w:p w14:paraId="383EE9B9">
      <w:pPr>
        <w:ind w:right="280"/>
        <w:jc w:val="center"/>
        <w:rPr>
          <w:rFonts w:ascii="楷体_GB2312" w:hAnsi="宋体" w:eastAsia="楷体_GB2312"/>
          <w:sz w:val="52"/>
          <w:szCs w:val="52"/>
        </w:rPr>
      </w:pPr>
    </w:p>
    <w:p w14:paraId="77D19289">
      <w:pPr>
        <w:ind w:right="280"/>
        <w:jc w:val="center"/>
        <w:rPr>
          <w:rFonts w:ascii="宋体" w:hAnsi="宋体" w:cs="宋体"/>
          <w:sz w:val="48"/>
          <w:szCs w:val="48"/>
        </w:rPr>
      </w:pPr>
      <w:r>
        <w:rPr>
          <w:rFonts w:hint="eastAsia" w:ascii="宋体" w:hAnsi="宋体" w:cs="宋体"/>
          <w:sz w:val="48"/>
          <w:szCs w:val="48"/>
        </w:rPr>
        <w:t>中国重汽集团成都王牌商用车有限公司</w:t>
      </w:r>
    </w:p>
    <w:p w14:paraId="2FD45748">
      <w:pPr>
        <w:autoSpaceDE w:val="0"/>
        <w:autoSpaceDN w:val="0"/>
        <w:adjustRightInd w:val="0"/>
        <w:spacing w:line="400" w:lineRule="atLeast"/>
        <w:jc w:val="center"/>
        <w:rPr>
          <w:rFonts w:ascii="宋体" w:hAnsi="宋体" w:cs="宋体"/>
          <w:sz w:val="48"/>
          <w:szCs w:val="48"/>
        </w:rPr>
      </w:pPr>
      <w:r>
        <w:rPr>
          <w:rFonts w:hint="eastAsia" w:ascii="宋体" w:hAnsi="宋体" w:cs="宋体"/>
          <w:sz w:val="48"/>
          <w:szCs w:val="48"/>
        </w:rPr>
        <w:t>成都王牌新增上网行为管理设备项目</w:t>
      </w:r>
    </w:p>
    <w:p w14:paraId="1527E591">
      <w:pPr>
        <w:ind w:right="280"/>
        <w:jc w:val="center"/>
        <w:rPr>
          <w:sz w:val="48"/>
          <w:szCs w:val="48"/>
        </w:rPr>
      </w:pPr>
    </w:p>
    <w:p w14:paraId="6B22EEA1">
      <w:pPr>
        <w:jc w:val="center"/>
        <w:rPr>
          <w:rFonts w:ascii="宋体" w:hAnsi="宋体" w:cs="宋体"/>
          <w:sz w:val="72"/>
          <w:szCs w:val="72"/>
        </w:rPr>
      </w:pPr>
      <w:r>
        <w:rPr>
          <w:rFonts w:hint="eastAsia" w:ascii="宋体" w:hAnsi="宋体" w:cs="宋体"/>
          <w:sz w:val="72"/>
          <w:szCs w:val="72"/>
        </w:rPr>
        <w:t>招标文件</w:t>
      </w:r>
    </w:p>
    <w:p w14:paraId="0882EAC4">
      <w:pPr>
        <w:jc w:val="center"/>
        <w:rPr>
          <w:rFonts w:ascii="宋体" w:hAnsi="宋体"/>
          <w:sz w:val="48"/>
          <w:szCs w:val="48"/>
        </w:rPr>
      </w:pPr>
    </w:p>
    <w:p w14:paraId="1577C0D7">
      <w:pPr>
        <w:jc w:val="center"/>
        <w:rPr>
          <w:rFonts w:ascii="宋体" w:hAnsi="宋体"/>
          <w:sz w:val="48"/>
          <w:szCs w:val="48"/>
        </w:rPr>
      </w:pPr>
    </w:p>
    <w:p w14:paraId="4762B111">
      <w:pPr>
        <w:widowControl/>
        <w:spacing w:line="360" w:lineRule="auto"/>
        <w:jc w:val="center"/>
        <w:rPr>
          <w:rFonts w:ascii="宋体" w:hAnsi="宋体" w:cs="宋体"/>
          <w:b/>
          <w:bCs/>
          <w:kern w:val="0"/>
          <w:sz w:val="32"/>
          <w:szCs w:val="32"/>
        </w:rPr>
      </w:pPr>
      <w:r>
        <w:rPr>
          <w:rFonts w:hint="eastAsia" w:ascii="宋体" w:cs="宋体"/>
          <w:b/>
          <w:bCs/>
          <w:kern w:val="0"/>
          <w:sz w:val="32"/>
          <w:szCs w:val="32"/>
        </w:rPr>
        <w:t>项目编号</w:t>
      </w:r>
      <w:r>
        <w:rPr>
          <w:rFonts w:hint="eastAsia" w:ascii="宋体" w:cs="宋体"/>
          <w:b/>
          <w:bCs/>
          <w:kern w:val="0"/>
          <w:sz w:val="32"/>
          <w:szCs w:val="32"/>
          <w:lang w:val="zh-CN"/>
        </w:rPr>
        <w:t>：</w:t>
      </w:r>
      <w:r>
        <w:rPr>
          <w:rFonts w:hint="eastAsia" w:ascii="宋体" w:cs="宋体"/>
          <w:b/>
          <w:bCs/>
          <w:kern w:val="0"/>
          <w:sz w:val="32"/>
          <w:szCs w:val="32"/>
        </w:rPr>
        <w:t>ZBGL2026090198</w:t>
      </w:r>
    </w:p>
    <w:p w14:paraId="65CC4416">
      <w:pPr>
        <w:jc w:val="center"/>
        <w:rPr>
          <w:rFonts w:ascii="宋体" w:hAnsi="宋体"/>
          <w:sz w:val="28"/>
          <w:szCs w:val="28"/>
        </w:rPr>
      </w:pPr>
    </w:p>
    <w:p w14:paraId="149B5B06">
      <w:pPr>
        <w:jc w:val="center"/>
        <w:rPr>
          <w:rFonts w:ascii="宋体" w:hAnsi="宋体"/>
          <w:sz w:val="28"/>
          <w:szCs w:val="28"/>
        </w:rPr>
      </w:pPr>
    </w:p>
    <w:p w14:paraId="2B27E504">
      <w:pPr>
        <w:jc w:val="center"/>
        <w:rPr>
          <w:rFonts w:ascii="宋体" w:hAnsi="宋体"/>
          <w:sz w:val="28"/>
          <w:szCs w:val="28"/>
        </w:rPr>
      </w:pPr>
      <w:r>
        <w:rPr>
          <w:rFonts w:hint="eastAsia" w:ascii="宋体" w:hAnsi="宋体"/>
          <w:sz w:val="28"/>
          <w:szCs w:val="28"/>
        </w:rPr>
        <w:t>招 标 人：中国重汽集团成都王牌商用车有限公司</w:t>
      </w:r>
    </w:p>
    <w:p w14:paraId="53E5C451">
      <w:pPr>
        <w:jc w:val="center"/>
        <w:rPr>
          <w:rFonts w:ascii="宋体" w:hAnsi="宋体"/>
          <w:sz w:val="28"/>
          <w:szCs w:val="28"/>
        </w:rPr>
      </w:pPr>
    </w:p>
    <w:p w14:paraId="07B46803">
      <w:pPr>
        <w:spacing w:line="480" w:lineRule="auto"/>
        <w:jc w:val="center"/>
        <w:rPr>
          <w:rFonts w:ascii="宋体" w:hAnsi="宋体"/>
          <w:b/>
          <w:bCs/>
          <w:sz w:val="48"/>
          <w:szCs w:val="48"/>
        </w:rPr>
      </w:pPr>
      <w:r>
        <w:rPr>
          <w:rFonts w:hint="eastAsia" w:ascii="宋体" w:hAnsi="宋体"/>
          <w:sz w:val="28"/>
          <w:szCs w:val="28"/>
          <w:u w:val="single"/>
        </w:rPr>
        <w:t>202</w:t>
      </w:r>
      <w:r>
        <w:rPr>
          <w:rFonts w:ascii="宋体" w:hAnsi="宋体"/>
          <w:sz w:val="28"/>
          <w:szCs w:val="28"/>
          <w:u w:val="single"/>
        </w:rPr>
        <w:t>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71185F66">
      <w:pPr>
        <w:spacing w:line="480" w:lineRule="auto"/>
        <w:jc w:val="center"/>
        <w:rPr>
          <w:rFonts w:ascii="宋体" w:hAnsi="宋体"/>
          <w:b/>
          <w:bCs/>
          <w:sz w:val="48"/>
          <w:szCs w:val="48"/>
        </w:rPr>
        <w:sectPr>
          <w:headerReference r:id="rId5" w:type="first"/>
          <w:footerReference r:id="rId8" w:type="first"/>
          <w:headerReference r:id="rId3" w:type="default"/>
          <w:footerReference r:id="rId6" w:type="default"/>
          <w:headerReference r:id="rId4" w:type="even"/>
          <w:footerReference r:id="rId7"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58186A71">
          <w:pPr>
            <w:pStyle w:val="99"/>
            <w:jc w:val="center"/>
            <w:rPr>
              <w:rFonts w:ascii="黑体" w:hAnsi="黑体" w:eastAsia="黑体"/>
              <w:b/>
              <w:color w:val="auto"/>
              <w:sz w:val="44"/>
              <w:szCs w:val="44"/>
              <w:lang w:val="zh-CN"/>
            </w:rPr>
          </w:pPr>
          <w:r>
            <w:rPr>
              <w:rFonts w:ascii="黑体" w:hAnsi="黑体" w:eastAsia="黑体"/>
              <w:b/>
              <w:color w:val="auto"/>
              <w:sz w:val="44"/>
              <w:szCs w:val="44"/>
              <w:lang w:val="zh-CN"/>
            </w:rPr>
            <w:t>目    录</w:t>
          </w:r>
        </w:p>
        <w:p w14:paraId="57AB3300">
          <w:pPr>
            <w:pStyle w:val="32"/>
            <w:rPr>
              <w:rFonts w:asciiTheme="minorHAnsi" w:hAnsiTheme="minorHAnsi" w:eastAsiaTheme="minorEastAsia" w:cstheme="minorBidi"/>
              <w:b w:val="0"/>
              <w:caps w:val="0"/>
              <w:sz w:val="21"/>
              <w:szCs w:val="2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"_Toc216428601" </w:instrText>
          </w:r>
          <w:r>
            <w:fldChar w:fldCharType="separate"/>
          </w:r>
          <w:r>
            <w:rPr>
              <w:rStyle w:val="53"/>
              <w:color w:val="auto"/>
            </w:rPr>
            <w:t>第一部分  投标人须知</w:t>
          </w:r>
          <w:r>
            <w:tab/>
          </w:r>
          <w:r>
            <w:fldChar w:fldCharType="begin"/>
          </w:r>
          <w:r>
            <w:instrText xml:space="preserve"> PAGEREF _Toc216428601 \h </w:instrText>
          </w:r>
          <w:r>
            <w:fldChar w:fldCharType="separate"/>
          </w:r>
          <w:r>
            <w:t>2</w:t>
          </w:r>
          <w:r>
            <w:fldChar w:fldCharType="end"/>
          </w:r>
          <w:r>
            <w:fldChar w:fldCharType="end"/>
          </w:r>
        </w:p>
        <w:p w14:paraId="53CE675B">
          <w:pPr>
            <w:pStyle w:val="32"/>
            <w:rPr>
              <w:rFonts w:asciiTheme="minorHAnsi" w:hAnsiTheme="minorHAnsi" w:eastAsiaTheme="minorEastAsia" w:cstheme="minorBidi"/>
              <w:b w:val="0"/>
              <w:caps w:val="0"/>
              <w:sz w:val="21"/>
              <w:szCs w:val="22"/>
            </w:rPr>
          </w:pPr>
          <w:r>
            <w:fldChar w:fldCharType="begin"/>
          </w:r>
          <w:r>
            <w:instrText xml:space="preserve"> HYPERLINK \l "_Toc216428602" </w:instrText>
          </w:r>
          <w:r>
            <w:fldChar w:fldCharType="separate"/>
          </w:r>
          <w:r>
            <w:rPr>
              <w:rStyle w:val="53"/>
              <w:color w:val="auto"/>
            </w:rPr>
            <w:t>第二部分　技术标书</w:t>
          </w:r>
          <w:r>
            <w:tab/>
          </w:r>
          <w:r>
            <w:fldChar w:fldCharType="begin"/>
          </w:r>
          <w:r>
            <w:instrText xml:space="preserve"> PAGEREF _Toc216428602 \h </w:instrText>
          </w:r>
          <w:r>
            <w:fldChar w:fldCharType="separate"/>
          </w:r>
          <w:r>
            <w:t>11</w:t>
          </w:r>
          <w:r>
            <w:fldChar w:fldCharType="end"/>
          </w:r>
          <w:r>
            <w:fldChar w:fldCharType="end"/>
          </w:r>
        </w:p>
        <w:p w14:paraId="57DD3A20">
          <w:pPr>
            <w:pStyle w:val="32"/>
            <w:rPr>
              <w:rFonts w:asciiTheme="minorHAnsi" w:hAnsiTheme="minorHAnsi" w:eastAsiaTheme="minorEastAsia" w:cstheme="minorBidi"/>
              <w:b w:val="0"/>
              <w:caps w:val="0"/>
              <w:sz w:val="21"/>
              <w:szCs w:val="22"/>
            </w:rPr>
          </w:pPr>
          <w:r>
            <w:fldChar w:fldCharType="begin"/>
          </w:r>
          <w:r>
            <w:instrText xml:space="preserve"> HYPERLINK \l "_Toc216428603" </w:instrText>
          </w:r>
          <w:r>
            <w:fldChar w:fldCharType="separate"/>
          </w:r>
          <w:r>
            <w:rPr>
              <w:rStyle w:val="53"/>
              <w:color w:val="auto"/>
            </w:rPr>
            <w:t>第三部分  合同主要条款</w:t>
          </w:r>
          <w:r>
            <w:tab/>
          </w:r>
          <w:r>
            <w:t>26</w:t>
          </w:r>
          <w:r>
            <w:fldChar w:fldCharType="end"/>
          </w:r>
        </w:p>
        <w:p w14:paraId="69734B06">
          <w:pPr>
            <w:pStyle w:val="32"/>
            <w:rPr>
              <w:rFonts w:asciiTheme="minorHAnsi" w:hAnsiTheme="minorHAnsi" w:eastAsiaTheme="minorEastAsia" w:cstheme="minorBidi"/>
              <w:b w:val="0"/>
              <w:caps w:val="0"/>
              <w:sz w:val="21"/>
              <w:szCs w:val="22"/>
            </w:rPr>
          </w:pPr>
          <w:r>
            <w:fldChar w:fldCharType="begin"/>
          </w:r>
          <w:r>
            <w:instrText xml:space="preserve"> HYPERLINK \l "_Toc216428604" </w:instrText>
          </w:r>
          <w:r>
            <w:fldChar w:fldCharType="separate"/>
          </w:r>
          <w:r>
            <w:rPr>
              <w:rStyle w:val="53"/>
              <w:color w:val="auto"/>
            </w:rPr>
            <w:t>第四部分　投标文件附件</w:t>
          </w:r>
          <w:r>
            <w:tab/>
          </w:r>
          <w:r>
            <w:t>27</w:t>
          </w:r>
          <w:r>
            <w:fldChar w:fldCharType="end"/>
          </w:r>
        </w:p>
        <w:p w14:paraId="32CE4789">
          <w:pPr>
            <w:pStyle w:val="32"/>
          </w:pPr>
          <w:r>
            <w:rPr>
              <w:rFonts w:hint="eastAsia" w:ascii="Calibri" w:hAnsi="Calibri"/>
              <w:bCs/>
              <w:kern w:val="44"/>
              <w:szCs w:val="44"/>
            </w:rPr>
            <w:fldChar w:fldCharType="end"/>
          </w:r>
        </w:p>
      </w:sdtContent>
    </w:sdt>
    <w:p w14:paraId="5B7F2AF1">
      <w:pPr>
        <w:pStyle w:val="25"/>
        <w:tabs>
          <w:tab w:val="left" w:pos="2940"/>
        </w:tabs>
        <w:spacing w:line="360" w:lineRule="auto"/>
      </w:pPr>
      <w:r>
        <w:tab/>
      </w:r>
    </w:p>
    <w:p w14:paraId="6148C192">
      <w:pPr>
        <w:pStyle w:val="25"/>
        <w:spacing w:line="360" w:lineRule="auto"/>
        <w:jc w:val="center"/>
      </w:pPr>
    </w:p>
    <w:p w14:paraId="1BC22B58">
      <w:pPr>
        <w:pStyle w:val="25"/>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1923EB07">
      <w:pPr>
        <w:pStyle w:val="101"/>
      </w:pPr>
      <w:bookmarkStart w:id="0" w:name="_Toc47976595"/>
      <w:bookmarkStart w:id="1" w:name="_Toc216428601"/>
      <w:r>
        <w:rPr>
          <w:rFonts w:hint="eastAsia"/>
        </w:rPr>
        <w:t>第一部分  投标人须知</w:t>
      </w:r>
      <w:bookmarkEnd w:id="0"/>
      <w:bookmarkEnd w:id="1"/>
    </w:p>
    <w:p w14:paraId="1ED54364">
      <w:pPr>
        <w:pStyle w:val="102"/>
        <w:spacing w:beforeLines="100" w:afterLines="50" w:line="480" w:lineRule="exact"/>
        <w:ind w:left="0" w:firstLine="0"/>
      </w:pPr>
      <w:bookmarkStart w:id="2" w:name="_Toc47976596"/>
      <w:r>
        <w:rPr>
          <w:rFonts w:hint="eastAsia"/>
        </w:rPr>
        <w:t>项目介绍</w:t>
      </w:r>
      <w:bookmarkEnd w:id="2"/>
    </w:p>
    <w:p w14:paraId="1259A569">
      <w:pPr>
        <w:pStyle w:val="107"/>
        <w:numPr>
          <w:ilvl w:val="0"/>
          <w:numId w:val="13"/>
        </w:numPr>
        <w:spacing w:line="440" w:lineRule="exact"/>
      </w:pPr>
      <w:r>
        <w:rPr>
          <w:rFonts w:hint="eastAsia"/>
        </w:rPr>
        <w:t>项目名称：成都王牌新增上网行为管理设备项目</w:t>
      </w:r>
    </w:p>
    <w:p w14:paraId="7B481DA6">
      <w:pPr>
        <w:pStyle w:val="107"/>
        <w:numPr>
          <w:ilvl w:val="0"/>
          <w:numId w:val="13"/>
        </w:numPr>
        <w:spacing w:line="440" w:lineRule="exact"/>
      </w:pPr>
      <w:r>
        <w:rPr>
          <w:rFonts w:hint="eastAsia"/>
        </w:rPr>
        <w:t>项目编号：ZBGL2026090198</w:t>
      </w:r>
    </w:p>
    <w:p w14:paraId="75373391">
      <w:pPr>
        <w:pStyle w:val="107"/>
        <w:numPr>
          <w:ilvl w:val="0"/>
          <w:numId w:val="13"/>
        </w:numPr>
        <w:spacing w:line="440" w:lineRule="exact"/>
      </w:pPr>
      <w:r>
        <w:rPr>
          <w:rFonts w:hint="eastAsia"/>
        </w:rPr>
        <w:t>招标形式：</w:t>
      </w:r>
      <w:bookmarkStart w:id="3" w:name="_Toc47112482"/>
      <w:r>
        <w:rPr>
          <w:rFonts w:hint="eastAsia"/>
        </w:rPr>
        <w:t>公开招标</w:t>
      </w:r>
    </w:p>
    <w:p w14:paraId="40E04972">
      <w:pPr>
        <w:pStyle w:val="107"/>
        <w:numPr>
          <w:ilvl w:val="0"/>
          <w:numId w:val="13"/>
        </w:numPr>
        <w:spacing w:line="440" w:lineRule="exact"/>
      </w:pPr>
      <w:r>
        <w:rPr>
          <w:rFonts w:hint="eastAsia"/>
        </w:rPr>
        <w:t>项目概况：</w:t>
      </w:r>
    </w:p>
    <w:p w14:paraId="2C89C6F4">
      <w:pPr>
        <w:pStyle w:val="107"/>
        <w:spacing w:line="440" w:lineRule="exact"/>
        <w:ind w:firstLine="420" w:firstLineChars="200"/>
      </w:pPr>
      <w:r>
        <w:rPr>
          <w:rFonts w:hint="eastAsia"/>
        </w:rPr>
        <w:t>为落实网络安全与数据合规要求，防范内网违规上网、信息外泄、非业务流量占用带宽等风险，本次新增部署上网行为管理设备。通过对互联网访问行为管控、流量审计、违规策略拦截，规范员工上网行为，优化网络资源利用率，满足等保及企业内部安全管理需要，保障业务网络稳定安全运行。</w:t>
      </w:r>
      <w:r>
        <w:t>计划采购</w:t>
      </w:r>
      <w:r>
        <w:rPr>
          <w:rFonts w:hint="eastAsia"/>
        </w:rPr>
        <w:t>1台上网行为管理设备。招标内容具体要求详见《技术标书》。</w:t>
      </w:r>
    </w:p>
    <w:p w14:paraId="69865C10">
      <w:pPr>
        <w:pStyle w:val="107"/>
        <w:numPr>
          <w:ilvl w:val="0"/>
          <w:numId w:val="13"/>
        </w:numPr>
        <w:spacing w:line="440" w:lineRule="exact"/>
      </w:pPr>
      <w:r>
        <w:rPr>
          <w:rFonts w:hint="eastAsia"/>
        </w:rPr>
        <w:t>报价：</w:t>
      </w:r>
    </w:p>
    <w:p w14:paraId="0EAA0A20">
      <w:pPr>
        <w:pStyle w:val="107"/>
        <w:spacing w:line="440" w:lineRule="exact"/>
        <w:ind w:firstLine="420" w:firstLineChars="200"/>
      </w:pPr>
      <w:r>
        <w:rPr>
          <w:rFonts w:hint="eastAsia" w:hAnsi="宋体" w:cs="宋体"/>
          <w:szCs w:val="21"/>
          <w:shd w:val="clear" w:color="auto" w:fill="FFFFFF"/>
        </w:rPr>
        <w:t>本项目采用固定总价包干模式，投标人须提供明细报价，但是结算以总价为准。所有报价以人民币填报（应同时报含税价和不含税价，写明税率）。总报价即为完成本项目全部工作内容的最终结算价格，招标人不再支付任何其他费用。</w:t>
      </w:r>
    </w:p>
    <w:p w14:paraId="08CE4DA5">
      <w:pPr>
        <w:pStyle w:val="107"/>
        <w:spacing w:line="440" w:lineRule="exact"/>
      </w:pPr>
      <w:r>
        <w:rPr>
          <w:rFonts w:hint="eastAsia"/>
        </w:rPr>
        <w:t>6</w:t>
      </w:r>
      <w:r>
        <w:t>.资金来源：企业自筹，已落实。</w:t>
      </w:r>
    </w:p>
    <w:p w14:paraId="2A2A6F81">
      <w:pPr>
        <w:pStyle w:val="107"/>
        <w:spacing w:line="440" w:lineRule="exact"/>
      </w:pPr>
      <w:r>
        <w:rPr>
          <w:rFonts w:hint="eastAsia"/>
        </w:rPr>
        <w:t>7</w:t>
      </w:r>
      <w:r>
        <w:t>.</w:t>
      </w:r>
      <w:r>
        <w:rPr>
          <w:rFonts w:hint="eastAsia"/>
        </w:rPr>
        <w:t>招标人信息：</w:t>
      </w:r>
    </w:p>
    <w:p w14:paraId="59986242">
      <w:pPr>
        <w:spacing w:line="440" w:lineRule="exact"/>
        <w:ind w:firstLine="420" w:firstLineChars="200"/>
        <w:rPr>
          <w:rFonts w:ascii="宋体" w:hAnsi="Courier New"/>
        </w:rPr>
      </w:pPr>
      <w:r>
        <w:rPr>
          <w:rFonts w:hint="eastAsia" w:ascii="宋体" w:hAnsi="Courier New"/>
        </w:rPr>
        <w:t>招标人名称：中国重汽集团成都王牌商用车有限公司</w:t>
      </w:r>
    </w:p>
    <w:p w14:paraId="3069F04D">
      <w:pPr>
        <w:spacing w:line="440" w:lineRule="exact"/>
        <w:ind w:firstLine="420" w:firstLineChars="200"/>
        <w:rPr>
          <w:rFonts w:ascii="宋体" w:hAnsi="Courier New"/>
        </w:rPr>
      </w:pPr>
      <w:r>
        <w:rPr>
          <w:rFonts w:hint="eastAsia" w:ascii="宋体" w:hAnsi="Courier New"/>
        </w:rPr>
        <w:t xml:space="preserve">招标人地址：成都市青白江区弥牟镇中国重汽集团成都王牌商用车有限公司新厂西南门 </w:t>
      </w:r>
    </w:p>
    <w:p w14:paraId="07208FE2">
      <w:pPr>
        <w:spacing w:line="400" w:lineRule="exact"/>
        <w:ind w:firstLine="420" w:firstLineChars="200"/>
        <w:rPr>
          <w:rFonts w:ascii="宋体" w:hAnsi="Courier New"/>
        </w:rPr>
      </w:pPr>
      <w:r>
        <w:rPr>
          <w:rFonts w:hint="eastAsia" w:ascii="宋体" w:hAnsi="Courier New"/>
          <w:bCs/>
        </w:rPr>
        <w:t>联系人：杨帆18200575745</w:t>
      </w:r>
    </w:p>
    <w:p w14:paraId="06AD668E">
      <w:pPr>
        <w:spacing w:line="400" w:lineRule="exact"/>
        <w:ind w:firstLine="420" w:firstLineChars="200"/>
        <w:rPr>
          <w:rFonts w:ascii="宋体" w:hAnsi="Courier New"/>
        </w:rPr>
      </w:pPr>
      <w:r>
        <w:rPr>
          <w:rFonts w:hint="eastAsia" w:ascii="宋体" w:hAnsi="Courier New"/>
        </w:rPr>
        <w:t>邮箱：</w:t>
      </w:r>
      <w:r>
        <w:rPr>
          <w:rFonts w:hint="eastAsia" w:ascii="Helvetica" w:hAnsi="Helvetica" w:eastAsia="Helvetica" w:cs="Helvetica"/>
          <w:sz w:val="18"/>
          <w:szCs w:val="18"/>
          <w:shd w:val="clear" w:color="auto" w:fill="FFFFFF"/>
        </w:rPr>
        <w:t>yangfan@sinotruk.com</w:t>
      </w:r>
    </w:p>
    <w:bookmarkEnd w:id="3"/>
    <w:p w14:paraId="6CC42272">
      <w:pPr>
        <w:pStyle w:val="102"/>
        <w:spacing w:beforeLines="100" w:afterLines="50" w:line="480" w:lineRule="exact"/>
        <w:ind w:left="0" w:firstLine="0"/>
      </w:pPr>
      <w:bookmarkStart w:id="4" w:name="_Toc47976598"/>
      <w:r>
        <w:rPr>
          <w:rFonts w:hint="eastAsia"/>
        </w:rPr>
        <w:t>合格的投标人</w:t>
      </w:r>
      <w:bookmarkEnd w:id="4"/>
    </w:p>
    <w:p w14:paraId="70576B49">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拟标投人必须是在中华人民共和国境内注册的独立法人机构，具有独立承担民事责任能力；注册资金不少于10</w:t>
      </w:r>
      <w:r>
        <w:rPr>
          <w:rFonts w:hint="eastAsia" w:hAnsi="宋体" w:cs="宋体"/>
          <w:szCs w:val="21"/>
          <w:shd w:val="clear" w:color="auto" w:fill="FFFFFF"/>
        </w:rPr>
        <w:t>0</w:t>
      </w:r>
      <w:r>
        <w:rPr>
          <w:rFonts w:hAnsi="宋体" w:cs="宋体"/>
          <w:szCs w:val="21"/>
          <w:shd w:val="clear" w:color="auto" w:fill="FFFFFF"/>
        </w:rPr>
        <w:t>万人民币（或等值其他货币）；公司成立三年以上（以营业执照成立日期到开标当日满三年为准），且经营范围满足招标人需求；并在人员、设备、资金等方面具有承担本项目的能力</w:t>
      </w:r>
      <w:r>
        <w:rPr>
          <w:rFonts w:hint="eastAsia" w:hAnsi="宋体" w:cs="宋体"/>
          <w:szCs w:val="21"/>
          <w:shd w:val="clear" w:color="auto" w:fill="FFFFFF"/>
        </w:rPr>
        <w:t>。</w:t>
      </w:r>
    </w:p>
    <w:p w14:paraId="4ED34FEF">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拟投标人应提供营业执照副本原件和扫描件（需盖章）；</w:t>
      </w:r>
    </w:p>
    <w:p w14:paraId="3E1DB4C8">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拟投标人应提供法定代表人资格证明文件；</w:t>
      </w:r>
    </w:p>
    <w:p w14:paraId="3A53224E">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拟投标人在“国家企业信用信息公示系统”、“中国执行信息公开网”、“信用中国”、“天眼查”“裁判文书网”等信息平台中，无行政处罚及失信记录等信息；</w:t>
      </w:r>
    </w:p>
    <w:p w14:paraId="0233328F">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拟投标人不存在严重违规或被列入招标人“黑名单”的声明；</w:t>
      </w:r>
    </w:p>
    <w:p w14:paraId="7BE9CC9C">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w:t>
      </w:r>
      <w:r>
        <w:rPr>
          <w:rFonts w:hint="eastAsia" w:hAnsi="宋体" w:cs="宋体"/>
          <w:szCs w:val="21"/>
          <w:shd w:val="clear" w:color="auto" w:fill="FFFFFF"/>
        </w:rPr>
        <w:t>近三年</w:t>
      </w:r>
      <w:r>
        <w:rPr>
          <w:rFonts w:hAnsi="宋体" w:cs="宋体"/>
          <w:szCs w:val="21"/>
          <w:shd w:val="clear" w:color="auto" w:fill="FFFFFF"/>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5ADB0E49">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拟投标人有与本次招标内容相同或类似项目业绩，且近3年内无因服务不当而造成重大事故；</w:t>
      </w:r>
    </w:p>
    <w:p w14:paraId="0B545196">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拟投标人近三年内在经营活动中无与本项目有关的违法及重大违规情况；</w:t>
      </w:r>
    </w:p>
    <w:p w14:paraId="47E66487">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拟投标人须认可招标人的工作指令，包括节、假日能正常开展工作的要求；</w:t>
      </w:r>
    </w:p>
    <w:p w14:paraId="446867A2">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拟投标人最近半年纳税正常；</w:t>
      </w:r>
    </w:p>
    <w:p w14:paraId="15060E86">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拟投标人信用证明材料（征信中心出具的信用报告）未显示异常；</w:t>
      </w:r>
    </w:p>
    <w:p w14:paraId="1CFD13D5">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拟投标人的直接或间接股东、法定代表人、董事、监事、高管非重汽员工及其亲属；</w:t>
      </w:r>
    </w:p>
    <w:p w14:paraId="67D83DD3">
      <w:pPr>
        <w:pStyle w:val="107"/>
        <w:numPr>
          <w:ilvl w:val="3"/>
          <w:numId w:val="2"/>
        </w:numPr>
        <w:spacing w:line="440" w:lineRule="exact"/>
        <w:ind w:left="0" w:firstLine="567"/>
        <w:rPr>
          <w:rFonts w:hAnsi="宋体" w:cs="宋体"/>
          <w:szCs w:val="21"/>
          <w:shd w:val="clear" w:color="auto" w:fill="FFFFFF"/>
        </w:rPr>
      </w:pPr>
      <w:r>
        <w:rPr>
          <w:rFonts w:hAnsi="宋体" w:cs="宋体"/>
          <w:szCs w:val="21"/>
          <w:shd w:val="clear" w:color="auto" w:fill="FFFFFF"/>
        </w:rPr>
        <w:t>本项目不接受联合体投标，拟投标人必须是最终投标单位和签订合同单位，不得以任何理由将已中标项目以任何形式分包或转包给其他单位。</w:t>
      </w:r>
    </w:p>
    <w:p w14:paraId="04631BCC">
      <w:pPr>
        <w:pStyle w:val="107"/>
        <w:numPr>
          <w:ilvl w:val="3"/>
          <w:numId w:val="2"/>
        </w:numPr>
        <w:spacing w:line="440" w:lineRule="exact"/>
        <w:ind w:left="0" w:firstLine="567"/>
        <w:rPr>
          <w:rFonts w:hAnsi="宋体" w:cs="宋体"/>
          <w:szCs w:val="21"/>
          <w:shd w:val="clear" w:color="auto" w:fill="FFFFFF"/>
        </w:rPr>
      </w:pPr>
      <w:r>
        <w:rPr>
          <w:rFonts w:hint="eastAsia" w:hAnsi="宋体" w:cs="宋体"/>
          <w:szCs w:val="21"/>
          <w:shd w:val="clear" w:color="auto" w:fill="FFFFFF"/>
        </w:rPr>
        <w:t>若是代理商投标，需代理商与生产厂家共同出具承诺函，承诺代理商与生产厂家同责、同意增加尾款或保证金等方式，保障设备的安装、调试、使用及售后正常。</w:t>
      </w:r>
    </w:p>
    <w:p w14:paraId="0E0FF0A8">
      <w:pPr>
        <w:pStyle w:val="102"/>
        <w:spacing w:beforeLines="100" w:afterLines="50" w:line="480" w:lineRule="exact"/>
        <w:ind w:left="0" w:firstLine="0"/>
      </w:pPr>
      <w:r>
        <w:rPr>
          <w:rFonts w:hint="eastAsia"/>
        </w:rPr>
        <w:t>招标文件的领取、答疑、应标及投标报名</w:t>
      </w:r>
    </w:p>
    <w:p w14:paraId="38E8F8D4">
      <w:pPr>
        <w:pStyle w:val="107"/>
        <w:numPr>
          <w:ilvl w:val="0"/>
          <w:numId w:val="14"/>
        </w:numPr>
        <w:spacing w:line="440" w:lineRule="exact"/>
        <w:jc w:val="both"/>
        <w:outlineLvl w:val="2"/>
      </w:pPr>
      <w:r>
        <w:rPr>
          <w:rFonts w:hint="eastAsia"/>
        </w:rPr>
        <w:t>发标时间：</w:t>
      </w:r>
      <w:r>
        <w:rPr>
          <w:rFonts w:hint="eastAsia"/>
          <w:u w:val="single"/>
        </w:rPr>
        <w:t>202</w:t>
      </w:r>
      <w:r>
        <w:rPr>
          <w:u w:val="single"/>
        </w:rPr>
        <w:t>6</w:t>
      </w:r>
      <w:r>
        <w:rPr>
          <w:rFonts w:hint="eastAsia"/>
          <w:u w:val="single"/>
        </w:rPr>
        <w:t>年</w:t>
      </w:r>
      <w:r>
        <w:rPr>
          <w:rFonts w:hint="eastAsia"/>
          <w:u w:val="single"/>
          <w:lang w:val="en-US" w:eastAsia="zh-CN"/>
        </w:rPr>
        <w:t>10</w:t>
      </w:r>
      <w:r>
        <w:rPr>
          <w:rFonts w:hint="eastAsia"/>
          <w:u w:val="single"/>
        </w:rPr>
        <w:t>月</w:t>
      </w:r>
      <w:r>
        <w:rPr>
          <w:rFonts w:hint="eastAsia"/>
          <w:u w:val="single"/>
          <w:lang w:val="en-US" w:eastAsia="zh-CN"/>
        </w:rPr>
        <w:t>15</w:t>
      </w:r>
      <w:r>
        <w:rPr>
          <w:rFonts w:hint="eastAsia"/>
          <w:u w:val="single"/>
        </w:rPr>
        <w:t>日；</w:t>
      </w:r>
    </w:p>
    <w:p w14:paraId="6D82676F">
      <w:pPr>
        <w:pStyle w:val="107"/>
        <w:numPr>
          <w:ilvl w:val="0"/>
          <w:numId w:val="14"/>
        </w:numPr>
        <w:spacing w:line="440" w:lineRule="exact"/>
        <w:jc w:val="both"/>
        <w:outlineLvl w:val="2"/>
      </w:pPr>
      <w:r>
        <w:rPr>
          <w:rFonts w:hint="eastAsia"/>
        </w:rPr>
        <w:t>投标报名</w:t>
      </w:r>
    </w:p>
    <w:p w14:paraId="2939C993">
      <w:pPr>
        <w:pStyle w:val="107"/>
        <w:numPr>
          <w:ilvl w:val="1"/>
          <w:numId w:val="14"/>
        </w:numPr>
        <w:spacing w:line="440" w:lineRule="exact"/>
        <w:jc w:val="both"/>
      </w:pPr>
      <w:r>
        <w:rPr>
          <w:rFonts w:hint="eastAsia"/>
        </w:rPr>
        <w:t>应标截止时间：</w:t>
      </w:r>
      <w:r>
        <w:rPr>
          <w:rFonts w:hint="eastAsia" w:cs="宋体"/>
          <w:u w:val="single"/>
        </w:rPr>
        <w:t>202</w:t>
      </w:r>
      <w:r>
        <w:rPr>
          <w:rFonts w:cs="宋体"/>
          <w:u w:val="single"/>
        </w:rPr>
        <w:t>6</w:t>
      </w:r>
      <w:r>
        <w:rPr>
          <w:rFonts w:hint="eastAsia" w:cs="宋体"/>
          <w:u w:val="single"/>
        </w:rPr>
        <w:t>年10月</w:t>
      </w:r>
      <w:r>
        <w:rPr>
          <w:rFonts w:hint="eastAsia" w:cs="宋体"/>
          <w:u w:val="single"/>
          <w:lang w:val="en-US" w:eastAsia="zh-CN"/>
        </w:rPr>
        <w:t>21</w:t>
      </w:r>
      <w:r>
        <w:rPr>
          <w:rFonts w:hint="eastAsia" w:cs="宋体"/>
          <w:u w:val="single"/>
        </w:rPr>
        <w:t>日</w:t>
      </w:r>
      <w:r>
        <w:rPr>
          <w:rFonts w:hint="eastAsia" w:cs="宋体"/>
          <w:u w:val="single"/>
          <w:lang w:val="en-US" w:eastAsia="zh-CN"/>
        </w:rPr>
        <w:t>17</w:t>
      </w:r>
      <w:r>
        <w:rPr>
          <w:rFonts w:hint="eastAsia"/>
          <w:u w:val="single"/>
        </w:rPr>
        <w:t>:00:00</w:t>
      </w:r>
      <w:r>
        <w:rPr>
          <w:u w:val="single"/>
        </w:rPr>
        <w:t>（北京时间）</w:t>
      </w:r>
      <w:r>
        <w:rPr>
          <w:rFonts w:hint="eastAsia"/>
          <w:u w:val="single"/>
        </w:rPr>
        <w:t>；</w:t>
      </w:r>
    </w:p>
    <w:p w14:paraId="7CCF5EFE">
      <w:pPr>
        <w:pStyle w:val="107"/>
        <w:numPr>
          <w:ilvl w:val="1"/>
          <w:numId w:val="14"/>
        </w:numPr>
        <w:spacing w:line="440" w:lineRule="exact"/>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Cs/>
          <w:szCs w:val="21"/>
        </w:rPr>
        <w:t>“中国重汽e采通”</w:t>
      </w:r>
      <w:r>
        <w:rPr>
          <w:rFonts w:hint="eastAsia" w:cs="宋体"/>
          <w:szCs w:val="21"/>
        </w:rPr>
        <w:t>平台报名。具体流程如下：</w:t>
      </w:r>
    </w:p>
    <w:p w14:paraId="26BC4D7B">
      <w:pPr>
        <w:pStyle w:val="107"/>
        <w:spacing w:beforeLines="25" w:line="440" w:lineRule="exact"/>
        <w:ind w:left="420" w:leftChars="200" w:firstLine="420" w:firstLineChars="200"/>
        <w:jc w:val="both"/>
      </w:pPr>
      <w:r>
        <w:rPr>
          <w:rFonts w:hint="eastAsia" w:cs="宋体"/>
          <w:szCs w:val="21"/>
        </w:rPr>
        <w:t>①系统注册与信息维护</w:t>
      </w:r>
    </w:p>
    <w:p w14:paraId="3974D205">
      <w:pPr>
        <w:pStyle w:val="107"/>
        <w:numPr>
          <w:ilvl w:val="0"/>
          <w:numId w:val="15"/>
        </w:numPr>
        <w:spacing w:line="440" w:lineRule="exact"/>
        <w:ind w:leftChars="200" w:firstLine="420" w:firstLineChars="200"/>
        <w:jc w:val="both"/>
      </w:pPr>
      <w:r>
        <w:rPr>
          <w:rFonts w:hint="eastAsia"/>
          <w:bCs/>
        </w:rPr>
        <w:t>首次注册供应商：</w:t>
      </w:r>
      <w:r>
        <w:rPr>
          <w:rFonts w:hint="eastAsia"/>
        </w:rPr>
        <w:t>请根据《SRM非生产供应商注册手册》（附件9）完成平台账号注册。</w:t>
      </w:r>
    </w:p>
    <w:p w14:paraId="6F97988F">
      <w:pPr>
        <w:pStyle w:val="107"/>
        <w:numPr>
          <w:ilvl w:val="0"/>
          <w:numId w:val="15"/>
        </w:numPr>
        <w:spacing w:line="440" w:lineRule="exact"/>
        <w:ind w:leftChars="200" w:firstLine="420" w:firstLineChars="200"/>
        <w:jc w:val="both"/>
      </w:pPr>
      <w:r>
        <w:rPr>
          <w:rFonts w:hint="eastAsia"/>
          <w:bCs/>
        </w:rPr>
        <w:t>已注册供应商：</w:t>
      </w:r>
      <w:r>
        <w:rPr>
          <w:rFonts w:hint="eastAsia"/>
        </w:rPr>
        <w:t>请登录系统核对系统中</w:t>
      </w:r>
      <w:r>
        <w:rPr>
          <w:rFonts w:hint="eastAsia"/>
          <w:bCs/>
        </w:rPr>
        <w:t>202</w:t>
      </w:r>
      <w:r>
        <w:rPr>
          <w:bCs/>
        </w:rPr>
        <w:t>3</w:t>
      </w:r>
      <w:r>
        <w:rPr>
          <w:rFonts w:hint="eastAsia"/>
          <w:bCs/>
        </w:rPr>
        <w:t>-202</w:t>
      </w:r>
      <w:r>
        <w:rPr>
          <w:bCs/>
        </w:rPr>
        <w:t>5</w:t>
      </w:r>
      <w:r>
        <w:rPr>
          <w:rFonts w:hint="eastAsia"/>
          <w:bCs/>
        </w:rPr>
        <w:t>年度财务数据</w:t>
      </w:r>
      <w:r>
        <w:rPr>
          <w:rFonts w:hint="eastAsia"/>
        </w:rPr>
        <w:t>。</w:t>
      </w:r>
      <w:r>
        <w:t>如尚未填写或信息不全，请参照《SRM非生产供应商注册手册》（附件</w:t>
      </w:r>
      <w:r>
        <w:rPr>
          <w:rFonts w:hint="eastAsia"/>
        </w:rPr>
        <w:t>9</w:t>
      </w:r>
      <w:r>
        <w:t>）及时进行补充与更新，确保信息真实、完整。</w:t>
      </w:r>
    </w:p>
    <w:p w14:paraId="175855C0">
      <w:pPr>
        <w:pStyle w:val="107"/>
        <w:spacing w:beforeLines="25" w:line="440" w:lineRule="exact"/>
        <w:ind w:left="420" w:leftChars="200" w:firstLine="420" w:firstLineChars="200"/>
        <w:jc w:val="both"/>
      </w:pPr>
      <w:r>
        <w:rPr>
          <w:rFonts w:hint="eastAsia"/>
        </w:rPr>
        <w:t>②应标流程</w:t>
      </w:r>
    </w:p>
    <w:p w14:paraId="16671F8E">
      <w:pPr>
        <w:pStyle w:val="107"/>
        <w:spacing w:line="440" w:lineRule="exact"/>
        <w:ind w:left="420" w:leftChars="200" w:firstLine="420" w:firstLineChars="200"/>
        <w:jc w:val="both"/>
      </w:pPr>
      <w:r>
        <w:rPr>
          <w:rFonts w:hint="eastAsia"/>
        </w:rPr>
        <w:t>注册及财务数据维护完成后，参照《SRM系统供应商用户手册》（附件10）登录平台，进入“供应商应标”模块，选择对应项目点击“应标”，并按照</w:t>
      </w:r>
      <w:r>
        <w:rPr>
          <w:rFonts w:hint="eastAsia"/>
          <w:bCs/>
        </w:rPr>
        <w:t>“应标文件的编制”</w:t>
      </w:r>
      <w:r>
        <w:rPr>
          <w:rFonts w:hint="eastAsia"/>
        </w:rPr>
        <w:t>要求准备资料并上传。资质审查通过后，视为报名成功。</w:t>
      </w:r>
    </w:p>
    <w:p w14:paraId="4B75A41F">
      <w:pPr>
        <w:pStyle w:val="107"/>
        <w:spacing w:line="440" w:lineRule="exact"/>
        <w:ind w:left="420" w:leftChars="200" w:firstLine="420" w:firstLineChars="200"/>
        <w:jc w:val="both"/>
        <w:rPr>
          <w:bCs/>
        </w:rPr>
      </w:pPr>
      <w:r>
        <w:rPr>
          <w:rFonts w:hint="eastAsia"/>
        </w:rPr>
        <w:t>如资质文件被退回，请按审核意见修改后重新上传。请注意：</w:t>
      </w:r>
      <w:r>
        <w:rPr>
          <w:rFonts w:hint="eastAsia"/>
          <w:bCs/>
        </w:rPr>
        <w:t>应标截止时间后将无法再次上传或修改应标文件。</w:t>
      </w:r>
    </w:p>
    <w:p w14:paraId="00902BA7">
      <w:pPr>
        <w:pStyle w:val="107"/>
        <w:spacing w:beforeLines="50" w:line="440" w:lineRule="exact"/>
        <w:ind w:firstLine="420" w:firstLineChars="200"/>
        <w:jc w:val="both"/>
        <w:rPr>
          <w:rFonts w:cs="宋体"/>
          <w:bCs/>
        </w:rPr>
      </w:pPr>
      <w:r>
        <w:rPr>
          <w:rFonts w:hint="eastAsia" w:cs="宋体"/>
          <w:bCs/>
        </w:rPr>
        <w:t>注：请务必在应标截止时间前完成注册、财务数据变更及应标操作，注册审核需2-4日，财务数据变更审核需1-2日，应标截止时间精确到秒，逾期将无法应标。请自行掌握时间，避免无法应标。</w:t>
      </w:r>
    </w:p>
    <w:p w14:paraId="7167CEB1">
      <w:pPr>
        <w:pStyle w:val="107"/>
        <w:numPr>
          <w:ilvl w:val="1"/>
          <w:numId w:val="14"/>
        </w:numPr>
        <w:spacing w:line="440" w:lineRule="exact"/>
        <w:jc w:val="both"/>
        <w:rPr>
          <w:rFonts w:cs="宋体"/>
        </w:rPr>
      </w:pPr>
      <w:r>
        <w:rPr>
          <w:rFonts w:hint="eastAsia"/>
        </w:rPr>
        <w:t>应标文件的编制</w:t>
      </w:r>
    </w:p>
    <w:p w14:paraId="5A260894">
      <w:pPr>
        <w:pStyle w:val="107"/>
        <w:spacing w:line="440" w:lineRule="exact"/>
        <w:ind w:firstLine="420" w:firstLineChars="200"/>
        <w:jc w:val="both"/>
      </w:pPr>
      <w:r>
        <w:rPr>
          <w:rFonts w:hint="eastAsia"/>
        </w:rPr>
        <w:t>拟投标人须准备以下材料的盖章电子扫描件，并在应标时作为三个独立的PDF格式文件上传至“中国重汽e采通”平台，文件均以“公司简称+文件名称”格式命名：</w:t>
      </w:r>
    </w:p>
    <w:p w14:paraId="0D968FD2">
      <w:pPr>
        <w:pStyle w:val="107"/>
        <w:spacing w:line="440" w:lineRule="exact"/>
        <w:ind w:left="1050" w:leftChars="300" w:hanging="420" w:hangingChars="200"/>
        <w:jc w:val="both"/>
      </w:pPr>
      <w:r>
        <w:rPr>
          <w:rFonts w:hint="eastAsia"/>
        </w:rPr>
        <w:t>① 供方资质：按照</w:t>
      </w:r>
      <w:r>
        <w:rPr>
          <w:rFonts w:hint="eastAsia"/>
          <w:bCs/>
        </w:rPr>
        <w:t>第一章“投标文件的编制”资质文件中的1.1.1</w:t>
      </w:r>
      <w:r>
        <w:rPr>
          <w:bCs/>
        </w:rPr>
        <w:t>-</w:t>
      </w:r>
      <w:r>
        <w:rPr>
          <w:rFonts w:hint="eastAsia"/>
          <w:bCs/>
        </w:rPr>
        <w:t>1.1.9准备资料</w:t>
      </w:r>
      <w:r>
        <w:rPr>
          <w:rFonts w:hint="eastAsia"/>
        </w:rPr>
        <w:t>，须附目录，并在首页清晰列出公司名称、联系人、电话及邮箱</w:t>
      </w:r>
      <w:r>
        <w:t>；</w:t>
      </w:r>
    </w:p>
    <w:p w14:paraId="23C46602">
      <w:pPr>
        <w:pStyle w:val="107"/>
        <w:spacing w:line="440" w:lineRule="exact"/>
        <w:ind w:left="1050" w:leftChars="300" w:hanging="420" w:hangingChars="200"/>
        <w:jc w:val="both"/>
      </w:pPr>
      <w:r>
        <w:rPr>
          <w:rFonts w:hint="eastAsia"/>
        </w:rPr>
        <w:t>② 企业简介；</w:t>
      </w:r>
    </w:p>
    <w:p w14:paraId="0B995470">
      <w:pPr>
        <w:pStyle w:val="107"/>
        <w:spacing w:line="440" w:lineRule="exact"/>
        <w:ind w:left="1050" w:leftChars="300" w:hanging="420" w:hangingChars="200"/>
        <w:jc w:val="both"/>
        <w:rPr>
          <w:rFonts w:cs="宋体"/>
          <w:bCs/>
        </w:rPr>
      </w:pPr>
      <w:r>
        <w:rPr>
          <w:rFonts w:hint="eastAsia"/>
        </w:rPr>
        <w:t>③ 项目业绩：</w:t>
      </w:r>
      <w:r>
        <w:rPr>
          <w:rFonts w:hint="eastAsia"/>
          <w:bCs/>
        </w:rPr>
        <w:t>按照第一章“投标文件的编制”资质文件中的1.1.10、1.1.11准备资料</w:t>
      </w:r>
      <w:r>
        <w:rPr>
          <w:rFonts w:hint="eastAsia"/>
        </w:rPr>
        <w:t>。</w:t>
      </w:r>
    </w:p>
    <w:p w14:paraId="1BE23BB3">
      <w:pPr>
        <w:pStyle w:val="107"/>
        <w:numPr>
          <w:ilvl w:val="0"/>
          <w:numId w:val="14"/>
        </w:numPr>
        <w:spacing w:line="440" w:lineRule="exact"/>
        <w:jc w:val="both"/>
        <w:outlineLvl w:val="2"/>
      </w:pPr>
      <w:r>
        <w:rPr>
          <w:rFonts w:hint="eastAsia"/>
        </w:rPr>
        <w:t>招标文件获取</w:t>
      </w:r>
    </w:p>
    <w:p w14:paraId="62976818">
      <w:pPr>
        <w:pStyle w:val="107"/>
        <w:numPr>
          <w:ilvl w:val="1"/>
          <w:numId w:val="16"/>
        </w:numPr>
        <w:spacing w:line="440" w:lineRule="exact"/>
      </w:pPr>
      <w:r>
        <w:rPr>
          <w:rFonts w:hint="eastAsia"/>
        </w:rPr>
        <w:t>获取时间：报名成功后；</w:t>
      </w:r>
    </w:p>
    <w:p w14:paraId="415EF748">
      <w:pPr>
        <w:pStyle w:val="107"/>
        <w:numPr>
          <w:ilvl w:val="1"/>
          <w:numId w:val="16"/>
        </w:numPr>
        <w:spacing w:line="440" w:lineRule="exact"/>
      </w:pPr>
      <w:r>
        <w:rPr>
          <w:rFonts w:hint="eastAsia" w:cs="宋体"/>
          <w:szCs w:val="21"/>
        </w:rPr>
        <w:t>获取方式：</w:t>
      </w:r>
      <w:r>
        <w:rPr>
          <w:rFonts w:hint="eastAsia"/>
        </w:rPr>
        <w:t>报名成功后，可登录“中国重汽e采通”平台，在“供应商投标”模块下载招标文件。</w:t>
      </w:r>
    </w:p>
    <w:p w14:paraId="1ACA4A07">
      <w:pPr>
        <w:pStyle w:val="107"/>
        <w:numPr>
          <w:ilvl w:val="0"/>
          <w:numId w:val="14"/>
        </w:numPr>
        <w:spacing w:line="440" w:lineRule="exact"/>
        <w:jc w:val="both"/>
        <w:outlineLvl w:val="2"/>
      </w:pPr>
      <w:r>
        <w:rPr>
          <w:rFonts w:hint="eastAsia"/>
        </w:rPr>
        <w:t>疑问提交</w:t>
      </w:r>
    </w:p>
    <w:p w14:paraId="7111A24C">
      <w:pPr>
        <w:pStyle w:val="107"/>
        <w:numPr>
          <w:ilvl w:val="1"/>
          <w:numId w:val="17"/>
        </w:numPr>
        <w:spacing w:line="440" w:lineRule="exact"/>
      </w:pPr>
      <w:r>
        <w:rPr>
          <w:rFonts w:hint="eastAsia"/>
        </w:rPr>
        <w:t>提交截止时间：</w:t>
      </w:r>
      <w:r>
        <w:rPr>
          <w:rFonts w:hint="eastAsia"/>
          <w:u w:val="single"/>
        </w:rPr>
        <w:t>202</w:t>
      </w:r>
      <w:r>
        <w:rPr>
          <w:u w:val="single"/>
        </w:rPr>
        <w:t>6</w:t>
      </w:r>
      <w:r>
        <w:rPr>
          <w:rFonts w:hint="eastAsia"/>
          <w:u w:val="single"/>
        </w:rPr>
        <w:t>年10月</w:t>
      </w:r>
      <w:r>
        <w:rPr>
          <w:rFonts w:hint="eastAsia"/>
          <w:u w:val="single"/>
          <w:lang w:val="en-US" w:eastAsia="zh-CN"/>
        </w:rPr>
        <w:t>21</w:t>
      </w:r>
      <w:r>
        <w:rPr>
          <w:rFonts w:hint="eastAsia"/>
          <w:u w:val="single"/>
        </w:rPr>
        <w:t>日</w:t>
      </w:r>
      <w:r>
        <w:rPr>
          <w:u w:val="single"/>
        </w:rPr>
        <w:t>17</w:t>
      </w:r>
      <w:r>
        <w:rPr>
          <w:rFonts w:hint="eastAsia"/>
          <w:u w:val="single"/>
        </w:rPr>
        <w:t>:0</w:t>
      </w:r>
      <w:r>
        <w:rPr>
          <w:u w:val="single"/>
        </w:rPr>
        <w:t>0（北京时间）</w:t>
      </w:r>
      <w:r>
        <w:rPr>
          <w:rFonts w:hint="eastAsia"/>
          <w:u w:val="single"/>
        </w:rPr>
        <w:t>；</w:t>
      </w:r>
    </w:p>
    <w:p w14:paraId="196A5ECF">
      <w:pPr>
        <w:pStyle w:val="107"/>
        <w:numPr>
          <w:ilvl w:val="1"/>
          <w:numId w:val="17"/>
        </w:numPr>
        <w:spacing w:line="440" w:lineRule="exact"/>
      </w:pPr>
      <w:r>
        <w:rPr>
          <w:rFonts w:hint="eastAsia"/>
        </w:rPr>
        <w:t>提交方式：将答疑问题以word文件格式发送至联系人邮件内，并电话联系工作人员查收，</w:t>
      </w:r>
      <w:r>
        <w:rPr>
          <w:rFonts w:hint="eastAsia"/>
          <w:bCs/>
        </w:rPr>
        <w:t>邮件名格式为：XXX公司（五个字以内公司简称）XX项目答疑文件。同时必须在邮件中以文字方式提供投标人全称、投标授权人姓名、联系方式（固定电话、手机、电子邮箱），并提供附件1法定代表人授权委托书。</w:t>
      </w:r>
    </w:p>
    <w:p w14:paraId="52BFDAD4">
      <w:pPr>
        <w:pStyle w:val="107"/>
        <w:numPr>
          <w:ilvl w:val="0"/>
          <w:numId w:val="14"/>
        </w:numPr>
        <w:spacing w:line="440" w:lineRule="exact"/>
        <w:jc w:val="both"/>
        <w:outlineLvl w:val="2"/>
      </w:pPr>
      <w:r>
        <w:rPr>
          <w:rFonts w:hint="eastAsia"/>
        </w:rPr>
        <w:t>答疑、澄清和修改文件的获取</w:t>
      </w:r>
    </w:p>
    <w:p w14:paraId="70477996">
      <w:pPr>
        <w:pStyle w:val="107"/>
        <w:numPr>
          <w:ilvl w:val="1"/>
          <w:numId w:val="18"/>
        </w:numPr>
        <w:spacing w:line="440" w:lineRule="exact"/>
      </w:pPr>
      <w:r>
        <w:rPr>
          <w:rFonts w:hint="eastAsia"/>
        </w:rPr>
        <w:t>获取时间：</w:t>
      </w:r>
      <w:r>
        <w:rPr>
          <w:rFonts w:hint="eastAsia"/>
          <w:u w:val="single"/>
        </w:rPr>
        <w:t>202</w:t>
      </w:r>
      <w:r>
        <w:rPr>
          <w:u w:val="single"/>
        </w:rPr>
        <w:t>6</w:t>
      </w:r>
      <w:r>
        <w:rPr>
          <w:rFonts w:hint="eastAsia"/>
          <w:u w:val="single"/>
        </w:rPr>
        <w:t>年10月</w:t>
      </w:r>
      <w:r>
        <w:rPr>
          <w:rFonts w:hint="eastAsia"/>
          <w:u w:val="single"/>
          <w:lang w:val="en-US" w:eastAsia="zh-CN"/>
        </w:rPr>
        <w:t>21</w:t>
      </w:r>
      <w:r>
        <w:rPr>
          <w:rFonts w:hint="eastAsia"/>
          <w:u w:val="single"/>
        </w:rPr>
        <w:t>日1</w:t>
      </w:r>
      <w:r>
        <w:rPr>
          <w:u w:val="single"/>
        </w:rPr>
        <w:t>7</w:t>
      </w:r>
      <w:r>
        <w:rPr>
          <w:rFonts w:hint="eastAsia"/>
          <w:u w:val="single"/>
        </w:rPr>
        <w:t>:</w:t>
      </w:r>
      <w:r>
        <w:rPr>
          <w:u w:val="single"/>
        </w:rPr>
        <w:t>00</w:t>
      </w:r>
      <w:r>
        <w:rPr>
          <w:rFonts w:hint="eastAsia"/>
          <w:u w:val="single"/>
        </w:rPr>
        <w:t>前</w:t>
      </w:r>
      <w:r>
        <w:rPr>
          <w:u w:val="single"/>
        </w:rPr>
        <w:t>（北京时间）</w:t>
      </w:r>
      <w:r>
        <w:rPr>
          <w:rFonts w:hint="eastAsia"/>
          <w:u w:val="single"/>
        </w:rPr>
        <w:t>；</w:t>
      </w:r>
    </w:p>
    <w:p w14:paraId="204311DF">
      <w:pPr>
        <w:pStyle w:val="107"/>
        <w:numPr>
          <w:ilvl w:val="1"/>
          <w:numId w:val="18"/>
        </w:numPr>
        <w:spacing w:line="440" w:lineRule="exact"/>
      </w:pPr>
      <w:r>
        <w:rPr>
          <w:rFonts w:hint="eastAsia"/>
        </w:rPr>
        <w:t>获取方式：招标人将以电子邮件的方式将招标文件的答疑澄清文件发送至答疑文件提交时登记的电子邮箱。</w:t>
      </w:r>
    </w:p>
    <w:p w14:paraId="45D8745F">
      <w:pPr>
        <w:pStyle w:val="102"/>
        <w:spacing w:beforeLines="100" w:afterLines="50" w:line="480" w:lineRule="exact"/>
        <w:ind w:left="0" w:firstLine="0"/>
        <w:rPr>
          <w:rFonts w:ascii="宋体" w:eastAsia="宋体"/>
        </w:rPr>
      </w:pPr>
      <w:r>
        <w:rPr>
          <w:rFonts w:hint="eastAsia"/>
        </w:rPr>
        <w:t>投标文件编制</w:t>
      </w:r>
    </w:p>
    <w:p w14:paraId="71D340F2">
      <w:pPr>
        <w:pStyle w:val="102"/>
        <w:numPr>
          <w:ilvl w:val="0"/>
          <w:numId w:val="19"/>
        </w:numPr>
        <w:spacing w:beforeLines="50" w:afterLines="50" w:line="440" w:lineRule="exact"/>
        <w:outlineLvl w:val="2"/>
        <w:rPr>
          <w:rFonts w:hAnsi="黑体" w:cs="黑体"/>
          <w:b w:val="0"/>
          <w:sz w:val="24"/>
          <w:szCs w:val="24"/>
        </w:rPr>
      </w:pPr>
      <w:r>
        <w:rPr>
          <w:rFonts w:hint="eastAsia" w:hAnsi="黑体" w:cs="黑体"/>
          <w:b w:val="0"/>
          <w:sz w:val="24"/>
          <w:szCs w:val="24"/>
        </w:rPr>
        <w:t>投标文件的组成</w:t>
      </w:r>
    </w:p>
    <w:p w14:paraId="69E40647">
      <w:pPr>
        <w:pStyle w:val="107"/>
        <w:spacing w:line="440" w:lineRule="exact"/>
        <w:ind w:firstLine="420" w:firstLineChars="200"/>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电子版投标文件。投标人编写的投标文件由《投标文件（资质标）》、《投标文件（技术标）》和《投标文件（商务标）》文件组成，共计3个文件。所有文件应按“公司简称+文件名称”格式命名，并编制目录。</w:t>
      </w:r>
    </w:p>
    <w:p w14:paraId="0543752B">
      <w:pPr>
        <w:pStyle w:val="107"/>
        <w:numPr>
          <w:ilvl w:val="1"/>
          <w:numId w:val="20"/>
        </w:numPr>
        <w:spacing w:beforeLines="25" w:line="440" w:lineRule="exact"/>
        <w:outlineLvl w:val="3"/>
        <w:rPr>
          <w:rFonts w:ascii="Times New Roman" w:hAnsi="Times New Roman"/>
        </w:rPr>
      </w:pPr>
      <w:r>
        <w:rPr>
          <w:rFonts w:hint="eastAsia" w:ascii="黑体" w:hAnsi="黑体" w:eastAsia="黑体" w:cs="黑体"/>
          <w:bCs/>
          <w:szCs w:val="21"/>
        </w:rPr>
        <w:t xml:space="preserve">资质文件 </w:t>
      </w:r>
    </w:p>
    <w:p w14:paraId="347D3916">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04374B60">
      <w:pPr>
        <w:pStyle w:val="107"/>
        <w:numPr>
          <w:ilvl w:val="2"/>
          <w:numId w:val="20"/>
        </w:numPr>
        <w:spacing w:line="440" w:lineRule="exact"/>
        <w:ind w:firstLine="420" w:firstLineChars="200"/>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486586FB">
      <w:pPr>
        <w:pStyle w:val="107"/>
        <w:numPr>
          <w:ilvl w:val="2"/>
          <w:numId w:val="20"/>
        </w:numPr>
        <w:spacing w:line="440" w:lineRule="exact"/>
        <w:ind w:firstLine="420" w:firstLineChars="200"/>
        <w:rPr>
          <w:rFonts w:ascii="Times New Roman" w:hAnsi="Times New Roman"/>
        </w:rPr>
      </w:pPr>
      <w:r>
        <w:rPr>
          <w:rFonts w:ascii="Times New Roman" w:hAnsi="Times New Roman"/>
        </w:rPr>
        <w:t>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p>
    <w:p w14:paraId="4CF307CB">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拟投标人不存在严重违规或被列入招标人“黑名单”的声明；</w:t>
      </w:r>
    </w:p>
    <w:p w14:paraId="7290D2A1">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企业最近半年完税证明、信用证明材料（中国人民银行信用代码证+征信报告）；</w:t>
      </w:r>
    </w:p>
    <w:p w14:paraId="7691899A">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年度纳税信用评价信息（可从电子税务局查询截图，需加盖公章）；</w:t>
      </w:r>
    </w:p>
    <w:p w14:paraId="25E39EB6">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企业对外担保说明（写明贵单位对外有无对外担保和质押业务，需加盖公章）；</w:t>
      </w:r>
    </w:p>
    <w:p w14:paraId="7E34393A">
      <w:pPr>
        <w:pStyle w:val="107"/>
        <w:numPr>
          <w:ilvl w:val="2"/>
          <w:numId w:val="20"/>
        </w:numPr>
        <w:spacing w:line="440" w:lineRule="exact"/>
        <w:ind w:firstLine="420" w:firstLineChars="20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5AA83F7B">
      <w:pPr>
        <w:pStyle w:val="107"/>
        <w:numPr>
          <w:ilvl w:val="2"/>
          <w:numId w:val="20"/>
        </w:numPr>
        <w:spacing w:line="440" w:lineRule="exact"/>
        <w:ind w:firstLine="420" w:firstLineChars="200"/>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15D183B4">
      <w:pPr>
        <w:pStyle w:val="107"/>
        <w:numPr>
          <w:ilvl w:val="2"/>
          <w:numId w:val="20"/>
        </w:numPr>
        <w:spacing w:line="440" w:lineRule="exact"/>
        <w:ind w:firstLine="420" w:firstLineChars="200"/>
        <w:rPr>
          <w:rFonts w:ascii="Times New Roman" w:hAnsi="Times New Roman"/>
        </w:rPr>
      </w:pPr>
      <w:r>
        <w:rPr>
          <w:rFonts w:ascii="Times New Roman" w:hAnsi="Times New Roman"/>
        </w:rPr>
        <w:t>2023年1月1日至今，企业近三年同类项目业绩证明，须提供用户清单、采购合同复印件</w:t>
      </w:r>
      <w:r>
        <w:rPr>
          <w:rFonts w:hint="eastAsia"/>
        </w:rPr>
        <w:t>；</w:t>
      </w:r>
    </w:p>
    <w:p w14:paraId="31CD0CF8">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拟投标人近三年内在经营活动中无与本项目有关的违法及重大违规情况的声明；</w:t>
      </w:r>
    </w:p>
    <w:p w14:paraId="0F3285F9">
      <w:pPr>
        <w:pStyle w:val="107"/>
        <w:numPr>
          <w:ilvl w:val="2"/>
          <w:numId w:val="20"/>
        </w:numPr>
        <w:spacing w:line="440" w:lineRule="exact"/>
        <w:ind w:firstLine="420" w:firstLineChars="200"/>
        <w:rPr>
          <w:rFonts w:ascii="Times New Roman" w:hAnsi="Times New Roman"/>
        </w:rPr>
      </w:pPr>
      <w:r>
        <w:rPr>
          <w:rFonts w:hint="eastAsia" w:ascii="Times New Roman" w:hAnsi="Times New Roman"/>
        </w:rPr>
        <w:t>投标保证金缴纳凭证，同时正文描述付款账号、户名、开户行名称、开户行行号、保证金金额。</w:t>
      </w:r>
    </w:p>
    <w:p w14:paraId="16BC0935">
      <w:pPr>
        <w:pStyle w:val="107"/>
        <w:numPr>
          <w:ilvl w:val="0"/>
          <w:numId w:val="21"/>
        </w:numPr>
        <w:spacing w:line="440" w:lineRule="exact"/>
        <w:ind w:left="0" w:firstLine="420" w:firstLineChars="200"/>
        <w:rPr>
          <w:bCs/>
        </w:rPr>
      </w:pPr>
      <w:r>
        <w:rPr>
          <w:rFonts w:hint="eastAsia"/>
          <w:bCs/>
        </w:rPr>
        <w:t>对于投标人资质审核不通过的，招标人有权拒绝其投标。</w:t>
      </w:r>
    </w:p>
    <w:p w14:paraId="7DF24FBF">
      <w:pPr>
        <w:pStyle w:val="107"/>
        <w:numPr>
          <w:ilvl w:val="1"/>
          <w:numId w:val="20"/>
        </w:numPr>
        <w:spacing w:beforeLines="25" w:line="440" w:lineRule="exact"/>
        <w:outlineLvl w:val="3"/>
        <w:rPr>
          <w:rFonts w:ascii="黑体" w:hAnsi="黑体" w:eastAsia="黑体" w:cs="黑体"/>
          <w:bCs/>
          <w:szCs w:val="21"/>
        </w:rPr>
      </w:pPr>
      <w:r>
        <w:rPr>
          <w:rFonts w:hint="eastAsia" w:ascii="黑体" w:hAnsi="黑体" w:eastAsia="黑体" w:cs="黑体"/>
          <w:bCs/>
          <w:szCs w:val="21"/>
        </w:rPr>
        <w:t>技术标</w:t>
      </w:r>
    </w:p>
    <w:p w14:paraId="37F90EF1">
      <w:pPr>
        <w:pStyle w:val="107"/>
        <w:numPr>
          <w:ilvl w:val="2"/>
          <w:numId w:val="20"/>
        </w:numPr>
        <w:spacing w:line="440" w:lineRule="exact"/>
      </w:pPr>
      <w:r>
        <w:rPr>
          <w:rFonts w:hint="eastAsia"/>
        </w:rPr>
        <w:t>技术规格偏离表（附件</w:t>
      </w:r>
      <w:r>
        <w:t>4</w:t>
      </w:r>
      <w:r>
        <w:rPr>
          <w:rFonts w:hint="eastAsia"/>
        </w:rPr>
        <w:t>），必须先进行两列要求一一对照，不允许直接写无偏离；</w:t>
      </w:r>
    </w:p>
    <w:p w14:paraId="045E7FE2">
      <w:pPr>
        <w:pStyle w:val="107"/>
        <w:numPr>
          <w:ilvl w:val="2"/>
          <w:numId w:val="20"/>
        </w:numPr>
        <w:spacing w:line="440" w:lineRule="exact"/>
      </w:pPr>
      <w:r>
        <w:rPr>
          <w:rFonts w:hint="eastAsia"/>
        </w:rPr>
        <w:t>近三年同类项目业绩一览表（附件</w:t>
      </w:r>
      <w:r>
        <w:t>3</w:t>
      </w:r>
      <w:r>
        <w:rPr>
          <w:rFonts w:hint="eastAsia"/>
        </w:rPr>
        <w:t>）及有效合同复印件，若未提供相应业绩证明，根据技术标评分规则，将影响现场评标专家组对投标单位业绩判定打分；</w:t>
      </w:r>
    </w:p>
    <w:p w14:paraId="283DFC36">
      <w:pPr>
        <w:pStyle w:val="107"/>
        <w:numPr>
          <w:ilvl w:val="2"/>
          <w:numId w:val="20"/>
        </w:numPr>
        <w:spacing w:line="440" w:lineRule="exact"/>
      </w:pPr>
      <w:r>
        <w:rPr>
          <w:rFonts w:hint="eastAsia"/>
        </w:rPr>
        <w:t>供货期及保证措施；</w:t>
      </w:r>
    </w:p>
    <w:p w14:paraId="2DF29EA3">
      <w:pPr>
        <w:pStyle w:val="107"/>
        <w:numPr>
          <w:ilvl w:val="2"/>
          <w:numId w:val="20"/>
        </w:numPr>
        <w:spacing w:line="440" w:lineRule="exact"/>
      </w:pPr>
      <w:r>
        <w:rPr>
          <w:rFonts w:hint="eastAsia"/>
        </w:rPr>
        <w:t>产品的技术服务和售后服务内容及措施；</w:t>
      </w:r>
    </w:p>
    <w:p w14:paraId="6DCE95B9">
      <w:pPr>
        <w:pStyle w:val="107"/>
        <w:numPr>
          <w:ilvl w:val="2"/>
          <w:numId w:val="20"/>
        </w:numPr>
        <w:spacing w:line="440" w:lineRule="exact"/>
      </w:pPr>
      <w:r>
        <w:rPr>
          <w:rFonts w:hint="eastAsia"/>
        </w:rPr>
        <w:t>交货进度及计划；</w:t>
      </w:r>
    </w:p>
    <w:p w14:paraId="0002C88D">
      <w:pPr>
        <w:pStyle w:val="107"/>
        <w:numPr>
          <w:ilvl w:val="2"/>
          <w:numId w:val="20"/>
        </w:numPr>
        <w:spacing w:line="440" w:lineRule="exact"/>
      </w:pPr>
      <w:r>
        <w:rPr>
          <w:rFonts w:hint="eastAsia"/>
        </w:rPr>
        <w:t>投标产品技术支持材料；</w:t>
      </w:r>
    </w:p>
    <w:p w14:paraId="647B558F">
      <w:pPr>
        <w:pStyle w:val="107"/>
        <w:numPr>
          <w:ilvl w:val="2"/>
          <w:numId w:val="20"/>
        </w:numPr>
        <w:spacing w:line="440" w:lineRule="exact"/>
      </w:pPr>
      <w:r>
        <w:rPr>
          <w:rFonts w:hint="eastAsia"/>
        </w:rPr>
        <w:t>设备质量承诺函（附件</w:t>
      </w:r>
      <w:r>
        <w:t>5</w:t>
      </w:r>
      <w:r>
        <w:rPr>
          <w:rFonts w:hint="eastAsia"/>
        </w:rPr>
        <w:t>）；</w:t>
      </w:r>
    </w:p>
    <w:p w14:paraId="3DAF8044">
      <w:pPr>
        <w:pStyle w:val="107"/>
        <w:numPr>
          <w:ilvl w:val="2"/>
          <w:numId w:val="20"/>
        </w:numPr>
        <w:spacing w:line="440" w:lineRule="exact"/>
      </w:pPr>
      <w:r>
        <w:rPr>
          <w:rFonts w:hint="eastAsia"/>
        </w:rPr>
        <w:t>投标人需提交的其它资料。</w:t>
      </w:r>
    </w:p>
    <w:p w14:paraId="7B031939">
      <w:pPr>
        <w:pStyle w:val="107"/>
        <w:numPr>
          <w:ilvl w:val="1"/>
          <w:numId w:val="20"/>
        </w:numPr>
        <w:spacing w:beforeLines="25" w:line="440" w:lineRule="exact"/>
        <w:outlineLvl w:val="3"/>
        <w:rPr>
          <w:rFonts w:ascii="黑体" w:hAnsi="黑体" w:eastAsia="黑体" w:cs="黑体"/>
          <w:bCs/>
          <w:szCs w:val="21"/>
        </w:rPr>
      </w:pPr>
      <w:r>
        <w:rPr>
          <w:rFonts w:hint="eastAsia" w:ascii="黑体" w:hAnsi="黑体" w:eastAsia="黑体" w:cs="黑体"/>
          <w:bCs/>
          <w:szCs w:val="21"/>
        </w:rPr>
        <w:t>商务标</w:t>
      </w:r>
    </w:p>
    <w:p w14:paraId="493C02A4">
      <w:pPr>
        <w:pStyle w:val="107"/>
        <w:numPr>
          <w:ilvl w:val="2"/>
          <w:numId w:val="20"/>
        </w:numPr>
        <w:spacing w:line="440" w:lineRule="exact"/>
      </w:pPr>
      <w:r>
        <w:rPr>
          <w:rFonts w:hint="eastAsia"/>
        </w:rPr>
        <w:t>开标一览表（附件</w:t>
      </w:r>
      <w:r>
        <w:t>6</w:t>
      </w:r>
      <w:r>
        <w:rPr>
          <w:rFonts w:hint="eastAsia"/>
        </w:rPr>
        <w:t>）；</w:t>
      </w:r>
    </w:p>
    <w:p w14:paraId="5E6E6E24">
      <w:pPr>
        <w:pStyle w:val="107"/>
        <w:numPr>
          <w:ilvl w:val="2"/>
          <w:numId w:val="20"/>
        </w:numPr>
        <w:spacing w:line="440" w:lineRule="exact"/>
      </w:pPr>
      <w:r>
        <w:rPr>
          <w:rFonts w:hint="eastAsia"/>
        </w:rPr>
        <w:t>商务条款偏离表（附件7）</w:t>
      </w:r>
    </w:p>
    <w:p w14:paraId="2CB4C240">
      <w:pPr>
        <w:pStyle w:val="107"/>
        <w:numPr>
          <w:ilvl w:val="2"/>
          <w:numId w:val="20"/>
        </w:numPr>
        <w:spacing w:line="440" w:lineRule="exact"/>
      </w:pPr>
      <w:r>
        <w:rPr>
          <w:rFonts w:hint="eastAsia"/>
        </w:rPr>
        <w:t>分项报价表（附件8）；</w:t>
      </w:r>
    </w:p>
    <w:p w14:paraId="48182FD8">
      <w:pPr>
        <w:pStyle w:val="102"/>
        <w:numPr>
          <w:ilvl w:val="0"/>
          <w:numId w:val="19"/>
        </w:numPr>
        <w:spacing w:beforeLines="50" w:afterLines="50" w:line="440" w:lineRule="exact"/>
        <w:outlineLvl w:val="2"/>
        <w:rPr>
          <w:rFonts w:hAnsi="黑体" w:cs="黑体"/>
          <w:b w:val="0"/>
          <w:sz w:val="24"/>
          <w:szCs w:val="24"/>
        </w:rPr>
      </w:pPr>
      <w:r>
        <w:rPr>
          <w:rFonts w:hint="eastAsia" w:hAnsi="黑体" w:cs="黑体"/>
          <w:b w:val="0"/>
          <w:sz w:val="24"/>
          <w:szCs w:val="24"/>
        </w:rPr>
        <w:t>投标文件的投递</w:t>
      </w:r>
    </w:p>
    <w:p w14:paraId="07E1F12D">
      <w:pPr>
        <w:pStyle w:val="107"/>
        <w:numPr>
          <w:ilvl w:val="1"/>
          <w:numId w:val="19"/>
        </w:numPr>
        <w:spacing w:line="440" w:lineRule="exact"/>
        <w:outlineLvl w:val="3"/>
        <w:rPr>
          <w:rFonts w:ascii="Times New Roman" w:hAnsi="Times New Roman"/>
        </w:rPr>
      </w:pPr>
      <w:r>
        <w:rPr>
          <w:rFonts w:hint="eastAsia" w:ascii="Times New Roman" w:hAnsi="Times New Roman"/>
        </w:rPr>
        <w:t>投标方式</w:t>
      </w:r>
    </w:p>
    <w:p w14:paraId="753540B6">
      <w:pPr>
        <w:pStyle w:val="107"/>
        <w:spacing w:line="440" w:lineRule="exact"/>
        <w:ind w:firstLine="420" w:firstLineChars="200"/>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Cs/>
        </w:rPr>
        <w:t>若逾期未在中国重汽e采通平台上传电子标书，即便递交了纸质版投标文件，一律视为无效投标。</w:t>
      </w:r>
    </w:p>
    <w:p w14:paraId="4258087A">
      <w:pPr>
        <w:pStyle w:val="107"/>
        <w:numPr>
          <w:ilvl w:val="1"/>
          <w:numId w:val="19"/>
        </w:numPr>
        <w:spacing w:beforeLines="25" w:line="440" w:lineRule="exact"/>
        <w:outlineLvl w:val="3"/>
      </w:pPr>
      <w:r>
        <w:rPr>
          <w:rFonts w:hint="eastAsia"/>
        </w:rPr>
        <w:t>投标文件递交截止时间：</w:t>
      </w:r>
      <w:r>
        <w:rPr>
          <w:rFonts w:hint="eastAsia"/>
          <w:u w:val="single"/>
        </w:rPr>
        <w:t>202</w:t>
      </w:r>
      <w:r>
        <w:rPr>
          <w:u w:val="single"/>
        </w:rPr>
        <w:t>6</w:t>
      </w:r>
      <w:r>
        <w:rPr>
          <w:rFonts w:hint="eastAsia"/>
          <w:u w:val="single"/>
        </w:rPr>
        <w:t>年10月</w:t>
      </w:r>
      <w:r>
        <w:rPr>
          <w:rFonts w:hint="eastAsia"/>
          <w:u w:val="single"/>
          <w:lang w:val="en-US" w:eastAsia="zh-CN"/>
        </w:rPr>
        <w:t>22</w:t>
      </w:r>
      <w:r>
        <w:rPr>
          <w:rFonts w:hint="eastAsia"/>
          <w:u w:val="single"/>
        </w:rPr>
        <w:t>日9:00:00</w:t>
      </w:r>
      <w:r>
        <w:rPr>
          <w:u w:val="single"/>
        </w:rPr>
        <w:t>（北京时间）</w:t>
      </w:r>
    </w:p>
    <w:p w14:paraId="58D7D049">
      <w:pPr>
        <w:pStyle w:val="102"/>
        <w:spacing w:beforeLines="100" w:afterLines="50" w:line="480" w:lineRule="exact"/>
        <w:ind w:left="0" w:firstLine="0"/>
      </w:pPr>
      <w:bookmarkStart w:id="5" w:name="_Toc47976601"/>
      <w:r>
        <w:rPr>
          <w:rFonts w:hint="eastAsia"/>
        </w:rPr>
        <w:t>投标保证金收取、缴纳有效期及罚没</w:t>
      </w:r>
    </w:p>
    <w:p w14:paraId="7EFCE0F2">
      <w:pPr>
        <w:pStyle w:val="102"/>
        <w:numPr>
          <w:ilvl w:val="0"/>
          <w:numId w:val="22"/>
        </w:numPr>
        <w:spacing w:beforeLines="50" w:afterLines="50" w:line="440" w:lineRule="exact"/>
        <w:outlineLvl w:val="2"/>
        <w:rPr>
          <w:rFonts w:hAnsi="黑体" w:cs="黑体"/>
          <w:b w:val="0"/>
          <w:bCs w:val="0"/>
          <w:sz w:val="24"/>
          <w:szCs w:val="24"/>
          <w:u w:val="single"/>
        </w:rPr>
      </w:pPr>
      <w:r>
        <w:rPr>
          <w:rFonts w:hint="eastAsia" w:hAnsi="黑体" w:cs="黑体"/>
          <w:b w:val="0"/>
          <w:bCs w:val="0"/>
          <w:sz w:val="24"/>
          <w:szCs w:val="24"/>
        </w:rPr>
        <w:t>投标保证金的缴纳</w:t>
      </w:r>
    </w:p>
    <w:p w14:paraId="644F140F">
      <w:pPr>
        <w:pStyle w:val="107"/>
        <w:numPr>
          <w:ilvl w:val="1"/>
          <w:numId w:val="23"/>
        </w:numPr>
        <w:spacing w:line="440" w:lineRule="exact"/>
        <w:outlineLvl w:val="3"/>
        <w:rPr>
          <w:rFonts w:hAnsi="宋体" w:cs="宋体"/>
          <w:szCs w:val="21"/>
          <w:u w:val="single"/>
        </w:rPr>
      </w:pPr>
      <w:r>
        <w:rPr>
          <w:rFonts w:hint="eastAsia" w:hAnsi="宋体" w:cs="宋体"/>
          <w:szCs w:val="21"/>
        </w:rPr>
        <w:t>投标保证金的缴纳形式：</w:t>
      </w:r>
      <w:r>
        <w:rPr>
          <w:rFonts w:hint="eastAsia" w:hAnsi="宋体" w:cs="宋体"/>
          <w:szCs w:val="21"/>
          <w:u w:val="single"/>
        </w:rPr>
        <w:t>银行转账</w:t>
      </w:r>
    </w:p>
    <w:p w14:paraId="1370A37E">
      <w:pPr>
        <w:pStyle w:val="107"/>
        <w:spacing w:line="440" w:lineRule="exact"/>
        <w:ind w:firstLine="420" w:firstLineChars="200"/>
        <w:rPr>
          <w:rFonts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67029B8E">
      <w:pPr>
        <w:pStyle w:val="107"/>
        <w:numPr>
          <w:ilvl w:val="1"/>
          <w:numId w:val="23"/>
        </w:numPr>
        <w:spacing w:line="440" w:lineRule="exact"/>
        <w:outlineLvl w:val="3"/>
      </w:pPr>
      <w:r>
        <w:rPr>
          <w:rFonts w:hint="eastAsia"/>
        </w:rPr>
        <w:t>投标保证金的金额：人民币</w:t>
      </w:r>
      <w:r>
        <w:t>5000</w:t>
      </w:r>
      <w:r>
        <w:rPr>
          <w:rFonts w:hint="eastAsia"/>
        </w:rPr>
        <w:t>元</w:t>
      </w:r>
    </w:p>
    <w:p w14:paraId="30060E5E">
      <w:pPr>
        <w:tabs>
          <w:tab w:val="left" w:pos="932"/>
        </w:tabs>
        <w:spacing w:line="440" w:lineRule="exact"/>
        <w:ind w:firstLine="420" w:firstLineChars="200"/>
        <w:rPr>
          <w:rFonts w:ascii="宋体" w:hAnsi="宋体" w:cs="宋体"/>
          <w:szCs w:val="21"/>
        </w:rPr>
      </w:pPr>
      <w:r>
        <w:rPr>
          <w:rFonts w:hint="eastAsia" w:ascii="宋体" w:hAnsi="宋体" w:cs="宋体"/>
          <w:szCs w:val="21"/>
        </w:rPr>
        <w:t>账户名称：中国重汽集团成都王牌商用车有限公司</w:t>
      </w:r>
    </w:p>
    <w:p w14:paraId="0550D779">
      <w:pPr>
        <w:tabs>
          <w:tab w:val="left" w:pos="932"/>
        </w:tabs>
        <w:spacing w:line="440" w:lineRule="exact"/>
        <w:ind w:firstLine="420" w:firstLineChars="200"/>
        <w:rPr>
          <w:rFonts w:ascii="宋体" w:hAnsi="宋体" w:cs="宋体"/>
          <w:szCs w:val="21"/>
        </w:rPr>
      </w:pPr>
      <w:r>
        <w:rPr>
          <w:rFonts w:hint="eastAsia" w:ascii="宋体" w:hAnsi="宋体" w:cs="宋体"/>
          <w:szCs w:val="21"/>
        </w:rPr>
        <w:t>银行账号：22844401040000572</w:t>
      </w:r>
    </w:p>
    <w:p w14:paraId="1B78E43C">
      <w:pPr>
        <w:tabs>
          <w:tab w:val="left" w:pos="932"/>
        </w:tabs>
        <w:spacing w:line="440" w:lineRule="exact"/>
        <w:ind w:firstLine="420" w:firstLineChars="200"/>
        <w:rPr>
          <w:rFonts w:ascii="宋体" w:hAnsi="宋体" w:cs="宋体"/>
          <w:szCs w:val="21"/>
        </w:rPr>
      </w:pPr>
      <w:r>
        <w:rPr>
          <w:rFonts w:hint="eastAsia" w:ascii="宋体" w:hAnsi="宋体" w:cs="宋体"/>
          <w:szCs w:val="21"/>
        </w:rPr>
        <w:t>开户银行：中国农业银行股份有限公司青白江弥牟支行</w:t>
      </w:r>
    </w:p>
    <w:p w14:paraId="101CB6CB">
      <w:pPr>
        <w:tabs>
          <w:tab w:val="left" w:pos="932"/>
        </w:tabs>
        <w:spacing w:line="440" w:lineRule="exact"/>
        <w:ind w:firstLine="420" w:firstLineChars="200"/>
        <w:rPr>
          <w:rFonts w:ascii="宋体" w:hAnsi="宋体" w:cs="宋体"/>
          <w:szCs w:val="21"/>
        </w:rPr>
      </w:pPr>
      <w:r>
        <w:rPr>
          <w:rFonts w:hint="eastAsia" w:ascii="宋体" w:hAnsi="宋体" w:cs="宋体"/>
          <w:szCs w:val="21"/>
        </w:rPr>
        <w:t>联行号：103651084472</w:t>
      </w:r>
    </w:p>
    <w:p w14:paraId="1C664E86">
      <w:pPr>
        <w:pStyle w:val="107"/>
        <w:numPr>
          <w:ilvl w:val="0"/>
          <w:numId w:val="24"/>
        </w:numPr>
        <w:spacing w:line="440" w:lineRule="exact"/>
        <w:ind w:firstLine="420" w:firstLineChars="200"/>
        <w:rPr>
          <w:rFonts w:hAnsi="宋体" w:cs="宋体"/>
          <w:szCs w:val="21"/>
        </w:rPr>
      </w:pPr>
      <w:r>
        <w:rPr>
          <w:rFonts w:hint="eastAsia" w:hAnsi="宋体" w:cs="宋体"/>
          <w:szCs w:val="21"/>
        </w:rPr>
        <w:t>转账附言：公司名称+项目名称+投标保证金。</w:t>
      </w:r>
    </w:p>
    <w:p w14:paraId="53B89642">
      <w:pPr>
        <w:tabs>
          <w:tab w:val="left" w:pos="932"/>
        </w:tabs>
        <w:spacing w:line="440" w:lineRule="exact"/>
        <w:ind w:firstLine="420" w:firstLineChars="200"/>
        <w:rPr>
          <w:rFonts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23483635">
      <w:pPr>
        <w:tabs>
          <w:tab w:val="left" w:pos="932"/>
        </w:tabs>
        <w:spacing w:line="440" w:lineRule="exact"/>
        <w:ind w:firstLine="420" w:firstLineChars="200"/>
        <w:rPr>
          <w:rFonts w:ascii="宋体" w:hAnsi="宋体" w:cs="宋体"/>
          <w:szCs w:val="21"/>
        </w:rPr>
      </w:pPr>
      <w:r>
        <w:rPr>
          <w:rFonts w:hint="eastAsia" w:ascii="宋体" w:hAnsi="宋体" w:cs="宋体"/>
          <w:szCs w:val="21"/>
        </w:rPr>
        <w:t>交纳保证金之后请发送报名邮件至邮箱：</w:t>
      </w:r>
      <w:r>
        <w:rPr>
          <w:rFonts w:hint="eastAsia" w:ascii="Helvetica" w:hAnsi="Helvetica" w:eastAsia="Helvetica" w:cs="Helvetica"/>
          <w:sz w:val="18"/>
          <w:szCs w:val="18"/>
          <w:shd w:val="clear" w:color="auto" w:fill="FFFFFF"/>
        </w:rPr>
        <w:t>yangfan@sinotruk.com</w:t>
      </w:r>
      <w:r>
        <w:rPr>
          <w:rFonts w:hint="eastAsia" w:ascii="宋体" w:hAnsi="宋体" w:cs="宋体"/>
          <w:szCs w:val="21"/>
        </w:rPr>
        <w:t>。</w:t>
      </w:r>
    </w:p>
    <w:p w14:paraId="215E242F">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投标邮件主题：某单位授权某代表参与投标某项目+授权代表电话。</w:t>
      </w:r>
    </w:p>
    <w:p w14:paraId="68190723">
      <w:pPr>
        <w:tabs>
          <w:tab w:val="left" w:pos="932"/>
        </w:tabs>
        <w:spacing w:line="440" w:lineRule="exact"/>
        <w:ind w:firstLine="420" w:firstLineChars="200"/>
        <w:rPr>
          <w:rFonts w:ascii="宋体" w:hAnsi="宋体" w:cs="宋体"/>
          <w:szCs w:val="21"/>
        </w:rPr>
      </w:pPr>
      <w:r>
        <w:rPr>
          <w:rFonts w:hint="eastAsia" w:ascii="宋体" w:hAnsi="宋体" w:cs="宋体"/>
          <w:szCs w:val="21"/>
        </w:rPr>
        <w:t>报名提交资料：保证金回执</w:t>
      </w:r>
    </w:p>
    <w:p w14:paraId="0BD5C75F">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3DE792B8">
      <w:pPr>
        <w:tabs>
          <w:tab w:val="left" w:pos="932"/>
        </w:tabs>
        <w:spacing w:line="440" w:lineRule="exact"/>
        <w:ind w:firstLine="420" w:firstLineChars="200"/>
        <w:rPr>
          <w:rFonts w:ascii="宋体" w:hAnsi="宋体" w:cs="宋体"/>
          <w:szCs w:val="21"/>
        </w:rPr>
      </w:pPr>
      <w:r>
        <w:rPr>
          <w:rFonts w:ascii="宋体" w:hAnsi="宋体" w:cs="宋体"/>
          <w:szCs w:val="21"/>
        </w:rPr>
        <w:t>未按照本要求提供信息，导致保证金退回困难等事宜，由投标单位承担。</w:t>
      </w:r>
    </w:p>
    <w:p w14:paraId="4B906A54">
      <w:pPr>
        <w:pStyle w:val="107"/>
        <w:numPr>
          <w:ilvl w:val="1"/>
          <w:numId w:val="23"/>
        </w:numPr>
        <w:spacing w:line="440" w:lineRule="exact"/>
        <w:outlineLvl w:val="3"/>
        <w:rPr>
          <w:rFonts w:hAnsi="宋体" w:cs="宋体"/>
          <w:szCs w:val="21"/>
        </w:rPr>
      </w:pPr>
      <w:r>
        <w:rPr>
          <w:rFonts w:hint="eastAsia" w:hAnsi="宋体" w:cs="宋体"/>
          <w:szCs w:val="21"/>
        </w:rPr>
        <w:t>保证金缴纳</w:t>
      </w:r>
      <w:r>
        <w:rPr>
          <w:rFonts w:hint="eastAsia"/>
        </w:rPr>
        <w:t>截止</w:t>
      </w:r>
      <w:r>
        <w:rPr>
          <w:rFonts w:hint="eastAsia" w:hAnsi="宋体" w:cs="宋体"/>
          <w:szCs w:val="21"/>
        </w:rPr>
        <w:t>时间：</w:t>
      </w:r>
      <w:r>
        <w:rPr>
          <w:rFonts w:hint="eastAsia" w:hAnsi="宋体" w:cs="宋体"/>
          <w:szCs w:val="21"/>
          <w:u w:val="single"/>
        </w:rPr>
        <w:t>202</w:t>
      </w:r>
      <w:r>
        <w:rPr>
          <w:rFonts w:hAnsi="宋体" w:cs="宋体"/>
          <w:szCs w:val="21"/>
          <w:u w:val="single"/>
        </w:rPr>
        <w:t>6</w:t>
      </w:r>
      <w:r>
        <w:rPr>
          <w:rFonts w:hint="eastAsia" w:hAnsi="宋体" w:cs="宋体"/>
          <w:szCs w:val="21"/>
          <w:u w:val="single"/>
        </w:rPr>
        <w:t>年10月</w:t>
      </w:r>
      <w:r>
        <w:rPr>
          <w:rFonts w:hint="eastAsia" w:hAnsi="宋体" w:cs="宋体"/>
          <w:szCs w:val="21"/>
          <w:u w:val="single"/>
          <w:lang w:val="en-US" w:eastAsia="zh-CN"/>
        </w:rPr>
        <w:t>21</w:t>
      </w:r>
      <w:r>
        <w:rPr>
          <w:rFonts w:hint="eastAsia" w:hAnsi="宋体" w:cs="宋体"/>
          <w:szCs w:val="21"/>
          <w:u w:val="single"/>
        </w:rPr>
        <w:t>日</w:t>
      </w:r>
      <w:r>
        <w:rPr>
          <w:rFonts w:hAnsi="宋体" w:cs="宋体"/>
          <w:szCs w:val="21"/>
          <w:u w:val="single"/>
        </w:rPr>
        <w:t>17</w:t>
      </w:r>
      <w:r>
        <w:rPr>
          <w:rFonts w:hint="eastAsia"/>
          <w:u w:val="single"/>
        </w:rPr>
        <w:t>:00:00</w:t>
      </w:r>
      <w:r>
        <w:rPr>
          <w:u w:val="single"/>
        </w:rPr>
        <w:t>（北京时间）</w:t>
      </w:r>
    </w:p>
    <w:p w14:paraId="60AF376A">
      <w:pPr>
        <w:pStyle w:val="102"/>
        <w:numPr>
          <w:ilvl w:val="0"/>
          <w:numId w:val="22"/>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4CA9DCC6">
      <w:pPr>
        <w:pStyle w:val="102"/>
        <w:numPr>
          <w:ilvl w:val="0"/>
          <w:numId w:val="22"/>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发生以下情况时，有权没收保证金：</w:t>
      </w:r>
    </w:p>
    <w:p w14:paraId="0D90BD22">
      <w:pPr>
        <w:pStyle w:val="107"/>
        <w:numPr>
          <w:ilvl w:val="1"/>
          <w:numId w:val="22"/>
        </w:numPr>
        <w:spacing w:line="440" w:lineRule="exact"/>
      </w:pPr>
      <w:r>
        <w:rPr>
          <w:rFonts w:hint="eastAsia" w:hAnsi="宋体" w:cs="宋体"/>
          <w:szCs w:val="21"/>
        </w:rPr>
        <w:t>供</w:t>
      </w:r>
      <w:r>
        <w:rPr>
          <w:rFonts w:hint="eastAsia"/>
        </w:rPr>
        <w:t>应商在提交响应文件截止时间后撤回响应文件的；</w:t>
      </w:r>
    </w:p>
    <w:p w14:paraId="7C5C31D4">
      <w:pPr>
        <w:pStyle w:val="107"/>
        <w:numPr>
          <w:ilvl w:val="1"/>
          <w:numId w:val="22"/>
        </w:numPr>
        <w:spacing w:line="440" w:lineRule="exact"/>
      </w:pPr>
      <w:r>
        <w:rPr>
          <w:rFonts w:hint="eastAsia"/>
        </w:rPr>
        <w:t>供应商在响应文件中提供虚假材料的；</w:t>
      </w:r>
    </w:p>
    <w:p w14:paraId="54B749A3">
      <w:pPr>
        <w:pStyle w:val="107"/>
        <w:numPr>
          <w:ilvl w:val="1"/>
          <w:numId w:val="22"/>
        </w:numPr>
        <w:spacing w:line="440" w:lineRule="exact"/>
      </w:pPr>
      <w:r>
        <w:rPr>
          <w:rFonts w:hint="eastAsia"/>
        </w:rPr>
        <w:t>除因不可抗力或谈判文件、询价通知书认可的情形以外，成交供应商不与采购人签订合同的；</w:t>
      </w:r>
    </w:p>
    <w:p w14:paraId="236E2DE1">
      <w:pPr>
        <w:pStyle w:val="107"/>
        <w:numPr>
          <w:ilvl w:val="1"/>
          <w:numId w:val="22"/>
        </w:numPr>
        <w:spacing w:line="440" w:lineRule="exact"/>
      </w:pPr>
      <w:r>
        <w:rPr>
          <w:rFonts w:hint="eastAsia"/>
        </w:rPr>
        <w:t>供应商与采购人、其他供应商或者采购代理机构恶意串通、围标、陪标的；</w:t>
      </w:r>
    </w:p>
    <w:p w14:paraId="3707AAD3">
      <w:pPr>
        <w:pStyle w:val="107"/>
        <w:numPr>
          <w:ilvl w:val="1"/>
          <w:numId w:val="22"/>
        </w:numPr>
        <w:spacing w:line="440" w:lineRule="exact"/>
      </w:pPr>
      <w:r>
        <w:rPr>
          <w:rFonts w:hint="eastAsia"/>
        </w:rPr>
        <w:t>供应商有违约违规行为或被投诉、举报的，在调查处理期间，保证金暂不退还，待调查处理结束后按有关规定处理。</w:t>
      </w:r>
    </w:p>
    <w:p w14:paraId="679D56C2">
      <w:pPr>
        <w:pStyle w:val="107"/>
        <w:numPr>
          <w:ilvl w:val="1"/>
          <w:numId w:val="22"/>
        </w:numPr>
        <w:spacing w:line="440" w:lineRule="exact"/>
      </w:pPr>
      <w:r>
        <w:rPr>
          <w:rFonts w:hint="eastAsia"/>
        </w:rPr>
        <w:t>截至开标前3天，投标人无正当理由、未以书面形式向招标人递交说明而在投标截止日不来投标的。</w:t>
      </w:r>
    </w:p>
    <w:p w14:paraId="11AF1E3A">
      <w:pPr>
        <w:pStyle w:val="107"/>
        <w:numPr>
          <w:ilvl w:val="1"/>
          <w:numId w:val="22"/>
        </w:numPr>
        <w:spacing w:line="440" w:lineRule="exact"/>
      </w:pPr>
      <w:r>
        <w:rPr>
          <w:rFonts w:hint="eastAsia"/>
        </w:rPr>
        <w:t>自中标通知书发出之日起30日内，中标人无正当理由投标人无正当签订合同的；</w:t>
      </w:r>
    </w:p>
    <w:p w14:paraId="387E0F95">
      <w:pPr>
        <w:pStyle w:val="107"/>
        <w:numPr>
          <w:ilvl w:val="1"/>
          <w:numId w:val="22"/>
        </w:numPr>
        <w:spacing w:line="440" w:lineRule="exact"/>
        <w:rPr>
          <w:rFonts w:hAnsi="宋体" w:eastAsia="仿宋_GB2312" w:cs="宋体"/>
          <w:szCs w:val="24"/>
        </w:rPr>
      </w:pPr>
      <w:r>
        <w:rPr>
          <w:rFonts w:hint="eastAsia"/>
        </w:rPr>
        <w:t>采购文件规定</w:t>
      </w:r>
      <w:r>
        <w:rPr>
          <w:rFonts w:hint="eastAsia" w:hAnsi="宋体" w:cs="宋体"/>
          <w:szCs w:val="21"/>
        </w:rPr>
        <w:t>的其他情形。</w:t>
      </w:r>
    </w:p>
    <w:bookmarkEnd w:id="5"/>
    <w:p w14:paraId="02F627F8">
      <w:pPr>
        <w:pStyle w:val="102"/>
        <w:spacing w:beforeLines="100" w:afterLines="50" w:line="480" w:lineRule="exact"/>
        <w:ind w:left="0" w:firstLine="0"/>
      </w:pPr>
      <w:r>
        <w:rPr>
          <w:rFonts w:hint="eastAsia"/>
        </w:rPr>
        <w:t>开评标</w:t>
      </w:r>
    </w:p>
    <w:p w14:paraId="093889C3">
      <w:pPr>
        <w:pStyle w:val="102"/>
        <w:numPr>
          <w:ilvl w:val="0"/>
          <w:numId w:val="25"/>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开标时间和地点</w:t>
      </w:r>
    </w:p>
    <w:p w14:paraId="3CC84125">
      <w:pPr>
        <w:pStyle w:val="107"/>
        <w:numPr>
          <w:ilvl w:val="1"/>
          <w:numId w:val="26"/>
        </w:numPr>
        <w:spacing w:line="440" w:lineRule="exact"/>
        <w:rPr>
          <w:rFonts w:hAnsi="宋体" w:cs="宋体"/>
          <w:szCs w:val="21"/>
        </w:rPr>
      </w:pPr>
      <w:r>
        <w:rPr>
          <w:rFonts w:hint="eastAsia" w:hAnsi="宋体" w:cs="宋体"/>
          <w:szCs w:val="21"/>
        </w:rPr>
        <w:t>开标时间：</w:t>
      </w:r>
      <w:r>
        <w:rPr>
          <w:rFonts w:hint="eastAsia" w:hAnsi="宋体" w:cs="宋体"/>
          <w:szCs w:val="21"/>
          <w:u w:val="single"/>
        </w:rPr>
        <w:t>202</w:t>
      </w:r>
      <w:r>
        <w:rPr>
          <w:rFonts w:hAnsi="宋体" w:cs="宋体"/>
          <w:szCs w:val="21"/>
          <w:u w:val="single"/>
        </w:rPr>
        <w:t>6</w:t>
      </w:r>
      <w:r>
        <w:rPr>
          <w:rFonts w:hint="eastAsia" w:hAnsi="宋体" w:cs="宋体"/>
          <w:szCs w:val="21"/>
          <w:u w:val="single"/>
        </w:rPr>
        <w:t>年10月</w:t>
      </w:r>
      <w:r>
        <w:rPr>
          <w:rFonts w:hint="eastAsia" w:hAnsi="宋体" w:cs="宋体"/>
          <w:szCs w:val="21"/>
          <w:u w:val="single"/>
          <w:lang w:val="en-US" w:eastAsia="zh-CN"/>
        </w:rPr>
        <w:t>22</w:t>
      </w:r>
      <w:r>
        <w:rPr>
          <w:rFonts w:hint="eastAsia" w:hAnsi="宋体" w:cs="宋体"/>
          <w:szCs w:val="21"/>
          <w:u w:val="single"/>
        </w:rPr>
        <w:t>日9</w:t>
      </w:r>
      <w:r>
        <w:rPr>
          <w:rFonts w:hAnsi="宋体" w:cs="宋体"/>
          <w:szCs w:val="21"/>
          <w:u w:val="single"/>
        </w:rPr>
        <w:t>:</w:t>
      </w:r>
      <w:r>
        <w:rPr>
          <w:rFonts w:hint="eastAsia" w:hAnsi="宋体" w:cs="宋体"/>
          <w:szCs w:val="21"/>
          <w:u w:val="single"/>
        </w:rPr>
        <w:t>3</w:t>
      </w:r>
      <w:r>
        <w:rPr>
          <w:rFonts w:hAnsi="宋体" w:cs="宋体"/>
          <w:szCs w:val="21"/>
          <w:u w:val="single"/>
        </w:rPr>
        <w:t>0:00</w:t>
      </w:r>
      <w:r>
        <w:rPr>
          <w:rFonts w:hAnsi="宋体" w:cs="宋体"/>
          <w:szCs w:val="21"/>
        </w:rPr>
        <w:t>（北京时间）</w:t>
      </w:r>
      <w:r>
        <w:rPr>
          <w:rFonts w:hint="eastAsia" w:hAnsi="宋体" w:cs="宋体"/>
          <w:szCs w:val="21"/>
        </w:rPr>
        <w:t>，</w:t>
      </w:r>
      <w:r>
        <w:rPr>
          <w:rFonts w:hAnsi="宋体" w:cs="宋体"/>
          <w:szCs w:val="21"/>
        </w:rPr>
        <w:t>若有变动另行通知。</w:t>
      </w:r>
    </w:p>
    <w:p w14:paraId="43A9D5F8">
      <w:pPr>
        <w:pStyle w:val="107"/>
        <w:numPr>
          <w:ilvl w:val="1"/>
          <w:numId w:val="26"/>
        </w:numPr>
        <w:spacing w:line="440" w:lineRule="exact"/>
        <w:rPr>
          <w:rFonts w:hAnsi="宋体" w:cs="宋体"/>
          <w:szCs w:val="21"/>
        </w:rPr>
      </w:pPr>
      <w:r>
        <w:rPr>
          <w:rFonts w:hint="eastAsia" w:hAnsi="宋体" w:cs="宋体"/>
          <w:szCs w:val="21"/>
        </w:rPr>
        <w:t>开标地点：中国重汽集团成都王牌商用车有限公司新厂区西南门技术大楼</w:t>
      </w:r>
    </w:p>
    <w:p w14:paraId="23021EC2">
      <w:pPr>
        <w:pStyle w:val="107"/>
        <w:numPr>
          <w:ilvl w:val="1"/>
          <w:numId w:val="26"/>
        </w:numPr>
        <w:spacing w:line="440" w:lineRule="exact"/>
        <w:rPr>
          <w:rFonts w:hAnsi="宋体" w:cs="宋体"/>
          <w:szCs w:val="21"/>
        </w:rPr>
      </w:pPr>
      <w:r>
        <w:rPr>
          <w:rFonts w:hint="eastAsia" w:hAnsi="宋体" w:cs="宋体"/>
          <w:szCs w:val="21"/>
        </w:rPr>
        <w:t>开标方式：</w:t>
      </w:r>
      <w:r>
        <w:rPr>
          <w:rFonts w:hint="eastAsia"/>
          <w:u w:val="single"/>
        </w:rPr>
        <w:t>现场招标</w:t>
      </w:r>
      <w:bookmarkStart w:id="42" w:name="_GoBack"/>
      <w:bookmarkEnd w:id="42"/>
    </w:p>
    <w:p w14:paraId="4F5FF5D6">
      <w:pPr>
        <w:pStyle w:val="102"/>
        <w:numPr>
          <w:ilvl w:val="0"/>
          <w:numId w:val="25"/>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评标</w:t>
      </w:r>
    </w:p>
    <w:p w14:paraId="38CD9446">
      <w:pPr>
        <w:spacing w:line="440" w:lineRule="exact"/>
        <w:rPr>
          <w:rFonts w:ascii="宋体" w:hAnsi="宋体" w:cs="宋体"/>
          <w:bCs/>
          <w:szCs w:val="21"/>
        </w:rPr>
      </w:pPr>
      <w:r>
        <w:rPr>
          <w:rFonts w:hAnsi="黑体" w:cs="黑体"/>
          <w:szCs w:val="21"/>
        </w:rPr>
        <w:t>2.</w:t>
      </w:r>
      <w:r>
        <w:rPr>
          <w:rFonts w:hint="eastAsia" w:hAnsi="黑体" w:cs="黑体"/>
          <w:szCs w:val="21"/>
        </w:rPr>
        <w:t>1.</w:t>
      </w:r>
      <w:r>
        <w:rPr>
          <w:rFonts w:hint="eastAsia" w:ascii="宋体" w:hAnsi="宋体" w:cs="宋体"/>
          <w:bCs/>
          <w:szCs w:val="21"/>
        </w:rPr>
        <w:t>评标方法</w:t>
      </w:r>
    </w:p>
    <w:p w14:paraId="2FB0FBCB">
      <w:pPr>
        <w:pStyle w:val="25"/>
        <w:spacing w:line="360" w:lineRule="auto"/>
        <w:ind w:firstLine="420" w:firstLineChars="200"/>
        <w:rPr>
          <w:rFonts w:hAnsi="宋体" w:cs="宋体"/>
          <w:bCs/>
          <w:szCs w:val="21"/>
        </w:rPr>
      </w:pPr>
      <w:r>
        <w:rPr>
          <w:rFonts w:hint="eastAsia" w:hAnsi="宋体" w:cs="宋体"/>
          <w:bCs/>
          <w:szCs w:val="21"/>
        </w:rPr>
        <w:t>本次招投标为综合评分中标，招标人有权根据项目情况，采取多级评标模式。投标人自行勘察现场，进行合理报价。报价为投标总报价应包括全部费用、与其他专业配合及可预见的风险、以及其它不可预见的全部费用，并对各主要报价构成项列报价清单，供应商免费提供的项目，应先填写该项目的实际价格，并注明免费，此项不计入总报价。对未中标单位不做任何解释。招标人有权根据项目情况，采取多级评标模式，最终确定推荐中标人。</w:t>
      </w:r>
    </w:p>
    <w:p w14:paraId="4DC5C54B">
      <w:pPr>
        <w:spacing w:line="440" w:lineRule="exact"/>
        <w:rPr>
          <w:rFonts w:ascii="宋体" w:hAnsi="宋体" w:cs="宋体"/>
          <w:bCs/>
          <w:szCs w:val="21"/>
        </w:rPr>
      </w:pPr>
      <w:r>
        <w:rPr>
          <w:rFonts w:hint="eastAsia" w:ascii="宋体" w:hAnsi="宋体" w:cs="宋体"/>
          <w:bCs/>
          <w:szCs w:val="21"/>
        </w:rPr>
        <w:t>2.2评标流程：</w:t>
      </w:r>
    </w:p>
    <w:p w14:paraId="33A6E033">
      <w:pPr>
        <w:pStyle w:val="170"/>
        <w:numPr>
          <w:ilvl w:val="0"/>
          <w:numId w:val="27"/>
        </w:numPr>
        <w:ind w:firstLineChars="0"/>
        <w:rPr>
          <w:rFonts w:eastAsia="宋体" w:cs="宋体"/>
          <w:bCs/>
          <w:color w:val="auto"/>
          <w:sz w:val="21"/>
          <w:szCs w:val="21"/>
        </w:rPr>
      </w:pPr>
      <w:r>
        <w:rPr>
          <w:rFonts w:hint="eastAsia" w:eastAsia="宋体" w:cs="宋体"/>
          <w:bCs/>
          <w:color w:val="auto"/>
          <w:sz w:val="21"/>
          <w:szCs w:val="21"/>
        </w:rPr>
        <w:t>资质审核：投标文件组成全部资质证明文件审核；</w:t>
      </w:r>
    </w:p>
    <w:p w14:paraId="466BF315">
      <w:pPr>
        <w:pStyle w:val="170"/>
        <w:numPr>
          <w:ilvl w:val="0"/>
          <w:numId w:val="27"/>
        </w:numPr>
        <w:ind w:firstLineChars="0"/>
        <w:rPr>
          <w:rFonts w:eastAsia="宋体" w:cs="宋体"/>
          <w:bCs/>
          <w:color w:val="auto"/>
          <w:sz w:val="21"/>
          <w:szCs w:val="21"/>
        </w:rPr>
      </w:pPr>
      <w:r>
        <w:rPr>
          <w:rFonts w:hint="eastAsia" w:eastAsia="宋体" w:cs="宋体"/>
          <w:bCs/>
          <w:color w:val="auto"/>
          <w:sz w:val="21"/>
          <w:szCs w:val="21"/>
        </w:rPr>
        <w:t>通过资质审核的单位可以进入技术评议，没有通过的单位不能进入技术评议；</w:t>
      </w:r>
    </w:p>
    <w:p w14:paraId="32367B07">
      <w:pPr>
        <w:pStyle w:val="170"/>
        <w:numPr>
          <w:ilvl w:val="0"/>
          <w:numId w:val="27"/>
        </w:numPr>
        <w:ind w:firstLineChars="0"/>
        <w:rPr>
          <w:rFonts w:eastAsia="宋体" w:cs="宋体"/>
          <w:bCs/>
          <w:color w:val="auto"/>
          <w:sz w:val="21"/>
          <w:szCs w:val="21"/>
        </w:rPr>
      </w:pPr>
      <w:r>
        <w:rPr>
          <w:rFonts w:hint="eastAsia" w:eastAsia="宋体" w:cs="宋体"/>
          <w:bCs/>
          <w:color w:val="auto"/>
          <w:sz w:val="21"/>
          <w:szCs w:val="21"/>
        </w:rPr>
        <w:t>技术评议：</w:t>
      </w:r>
    </w:p>
    <w:p w14:paraId="67562AF0">
      <w:pPr>
        <w:numPr>
          <w:ilvl w:val="0"/>
          <w:numId w:val="28"/>
        </w:numPr>
        <w:tabs>
          <w:tab w:val="left" w:pos="1080"/>
        </w:tabs>
        <w:adjustRightInd w:val="0"/>
        <w:snapToGrid w:val="0"/>
        <w:spacing w:line="360" w:lineRule="auto"/>
        <w:rPr>
          <w:rFonts w:ascii="宋体" w:hAnsi="宋体" w:cs="宋体"/>
          <w:bCs/>
          <w:szCs w:val="21"/>
        </w:rPr>
      </w:pPr>
      <w:r>
        <w:rPr>
          <w:rFonts w:hint="eastAsia" w:ascii="宋体" w:hAnsi="宋体" w:cs="宋体"/>
          <w:bCs/>
          <w:szCs w:val="21"/>
        </w:rPr>
        <w:t>经技术专家组认定投标文件不满足或严重偏离招标技术文件关键条款或无证实性技术资料支持，达到1项（包含）及以上者。证实性技术资料以投标文件、投标人公开发布印刷资料或检测机构出具检测报告为准。若投标人公开发布印刷资料与检测机构出具检测报告相矛盾或不一致，以检测机构出具检测报告为准。</w:t>
      </w:r>
    </w:p>
    <w:p w14:paraId="2E15FEFF">
      <w:pPr>
        <w:numPr>
          <w:ilvl w:val="0"/>
          <w:numId w:val="28"/>
        </w:numPr>
        <w:tabs>
          <w:tab w:val="left" w:pos="1080"/>
        </w:tabs>
        <w:adjustRightInd w:val="0"/>
        <w:snapToGrid w:val="0"/>
        <w:spacing w:line="360" w:lineRule="auto"/>
        <w:rPr>
          <w:rFonts w:ascii="宋体" w:hAnsi="宋体" w:cs="宋体"/>
          <w:bCs/>
          <w:szCs w:val="21"/>
        </w:rPr>
      </w:pPr>
      <w:r>
        <w:rPr>
          <w:rFonts w:hint="eastAsia" w:ascii="宋体" w:hAnsi="宋体" w:cs="宋体"/>
          <w:bCs/>
          <w:szCs w:val="21"/>
        </w:rPr>
        <w:t>经技术专家组认定投标文件不满足或严重偏离招标技术文件重要条款或无证实性技术资料支持，达到3项（包含）及以上者。</w:t>
      </w:r>
    </w:p>
    <w:p w14:paraId="531B6A36">
      <w:pPr>
        <w:numPr>
          <w:ilvl w:val="0"/>
          <w:numId w:val="28"/>
        </w:numPr>
        <w:tabs>
          <w:tab w:val="left" w:pos="1080"/>
        </w:tabs>
        <w:adjustRightInd w:val="0"/>
        <w:snapToGrid w:val="0"/>
        <w:spacing w:line="360" w:lineRule="auto"/>
        <w:rPr>
          <w:rFonts w:ascii="宋体" w:hAnsi="宋体" w:cs="宋体"/>
          <w:bCs/>
          <w:szCs w:val="21"/>
        </w:rPr>
      </w:pPr>
      <w:r>
        <w:rPr>
          <w:rFonts w:hint="eastAsia" w:ascii="宋体" w:hAnsi="宋体" w:cs="宋体"/>
          <w:bCs/>
          <w:szCs w:val="21"/>
        </w:rPr>
        <w:t>投标文件技术规格书的响应与事实不符或虚假投标的。</w:t>
      </w:r>
    </w:p>
    <w:p w14:paraId="77CEDF62">
      <w:pPr>
        <w:numPr>
          <w:ilvl w:val="0"/>
          <w:numId w:val="28"/>
        </w:numPr>
        <w:tabs>
          <w:tab w:val="left" w:pos="1080"/>
        </w:tabs>
        <w:adjustRightInd w:val="0"/>
        <w:snapToGrid w:val="0"/>
        <w:spacing w:line="360" w:lineRule="auto"/>
        <w:rPr>
          <w:rFonts w:ascii="宋体" w:hAnsi="宋体" w:cs="宋体"/>
          <w:bCs/>
          <w:szCs w:val="21"/>
        </w:rPr>
      </w:pPr>
      <w:r>
        <w:rPr>
          <w:rFonts w:hint="eastAsia" w:ascii="宋体" w:hAnsi="宋体" w:cs="宋体"/>
          <w:bCs/>
          <w:szCs w:val="21"/>
        </w:rPr>
        <w:t>投标人复制招标文件的相关内容作为其投标文件内容，达到50%及以上者。</w:t>
      </w:r>
    </w:p>
    <w:p w14:paraId="0493198F">
      <w:pPr>
        <w:numPr>
          <w:ilvl w:val="0"/>
          <w:numId w:val="28"/>
        </w:numPr>
        <w:tabs>
          <w:tab w:val="left" w:pos="1080"/>
        </w:tabs>
        <w:adjustRightInd w:val="0"/>
        <w:snapToGrid w:val="0"/>
        <w:spacing w:line="360" w:lineRule="auto"/>
        <w:rPr>
          <w:rFonts w:ascii="宋体" w:hAnsi="宋体" w:cs="宋体"/>
          <w:bCs/>
          <w:szCs w:val="21"/>
        </w:rPr>
      </w:pPr>
      <w:r>
        <w:rPr>
          <w:rFonts w:hint="eastAsia" w:ascii="宋体" w:hAnsi="宋体" w:cs="宋体"/>
          <w:bCs/>
          <w:szCs w:val="21"/>
        </w:rPr>
        <w:t>投标文件符合招标文件中规定废标的其它技术条款。</w:t>
      </w:r>
    </w:p>
    <w:p w14:paraId="45E872D7">
      <w:pPr>
        <w:pStyle w:val="170"/>
        <w:numPr>
          <w:ilvl w:val="0"/>
          <w:numId w:val="27"/>
        </w:numPr>
        <w:ind w:firstLineChars="0"/>
        <w:rPr>
          <w:rFonts w:eastAsia="宋体" w:cs="宋体"/>
          <w:bCs/>
          <w:color w:val="auto"/>
          <w:sz w:val="21"/>
          <w:szCs w:val="21"/>
        </w:rPr>
      </w:pPr>
      <w:r>
        <w:rPr>
          <w:rFonts w:hint="eastAsia" w:eastAsia="宋体" w:cs="宋体"/>
          <w:bCs/>
          <w:color w:val="auto"/>
          <w:sz w:val="21"/>
          <w:szCs w:val="21"/>
        </w:rPr>
        <w:t>技术评议合格的单位可以进入商务评议环节，技术评议不合格的单位会面临淘汰。</w:t>
      </w:r>
    </w:p>
    <w:p w14:paraId="163A745C">
      <w:pPr>
        <w:pStyle w:val="170"/>
        <w:numPr>
          <w:ilvl w:val="0"/>
          <w:numId w:val="27"/>
        </w:numPr>
        <w:ind w:firstLineChars="0"/>
        <w:rPr>
          <w:rFonts w:eastAsia="宋体" w:cs="宋体"/>
          <w:bCs/>
          <w:color w:val="auto"/>
          <w:sz w:val="21"/>
          <w:szCs w:val="21"/>
        </w:rPr>
      </w:pPr>
      <w:r>
        <w:rPr>
          <w:rFonts w:hint="eastAsia" w:eastAsia="宋体" w:cs="宋体"/>
          <w:bCs/>
          <w:color w:val="auto"/>
          <w:sz w:val="21"/>
          <w:szCs w:val="21"/>
        </w:rPr>
        <w:t>商务评议：公开唱标→商务条款相应确认→商谈评议</w:t>
      </w:r>
      <w:r>
        <w:rPr>
          <w:rFonts w:hint="eastAsia" w:ascii="宋体" w:hAnsi="宋体" w:eastAsia="宋体" w:cs="宋体"/>
          <w:bCs/>
          <w:color w:val="auto"/>
          <w:sz w:val="21"/>
          <w:szCs w:val="21"/>
          <w:lang w:val="en-US" w:eastAsia="zh-CN"/>
        </w:rPr>
        <w:t>(</w:t>
      </w:r>
      <w:r>
        <w:rPr>
          <w:rFonts w:hint="eastAsia" w:ascii="宋体" w:hAnsi="宋体" w:eastAsia="宋体" w:cs="宋体"/>
          <w:bCs/>
          <w:color w:val="auto"/>
          <w:sz w:val="21"/>
          <w:szCs w:val="21"/>
        </w:rPr>
        <w:t>商务标开标后，双方共进行两轮澄清报价，最终以末次报价为准</w:t>
      </w:r>
      <w:r>
        <w:rPr>
          <w:rFonts w:hint="eastAsia" w:ascii="宋体" w:hAnsi="宋体" w:eastAsia="宋体" w:cs="宋体"/>
          <w:bCs/>
          <w:color w:val="auto"/>
          <w:sz w:val="21"/>
          <w:szCs w:val="21"/>
          <w:lang w:val="en-US" w:eastAsia="zh-CN"/>
        </w:rPr>
        <w:t>进行报价得分)</w:t>
      </w:r>
    </w:p>
    <w:p w14:paraId="6BECD8B9">
      <w:pPr>
        <w:pStyle w:val="170"/>
        <w:numPr>
          <w:ilvl w:val="0"/>
          <w:numId w:val="27"/>
        </w:numPr>
        <w:ind w:firstLineChars="0"/>
        <w:rPr>
          <w:rFonts w:eastAsia="宋体" w:cs="宋体"/>
          <w:bCs/>
          <w:color w:val="auto"/>
          <w:sz w:val="21"/>
          <w:szCs w:val="21"/>
        </w:rPr>
      </w:pPr>
      <w:r>
        <w:rPr>
          <w:rFonts w:hint="eastAsia" w:eastAsia="宋体" w:cs="宋体"/>
          <w:bCs/>
          <w:color w:val="auto"/>
          <w:sz w:val="21"/>
          <w:szCs w:val="21"/>
        </w:rPr>
        <w:t>推荐中标人：综合评分最高推荐中标</w:t>
      </w:r>
    </w:p>
    <w:p w14:paraId="4C692296">
      <w:pPr>
        <w:pStyle w:val="25"/>
        <w:spacing w:line="440" w:lineRule="exact"/>
        <w:ind w:firstLine="420" w:firstLineChars="200"/>
        <w:rPr>
          <w:rFonts w:hAnsi="宋体" w:cs="宋体"/>
          <w:bCs/>
          <w:szCs w:val="21"/>
        </w:rPr>
      </w:pPr>
      <w:r>
        <w:rPr>
          <w:rFonts w:hint="eastAsia" w:hAnsi="宋体" w:cs="宋体"/>
          <w:bCs/>
          <w:szCs w:val="21"/>
        </w:rPr>
        <w:t>满足技术标评标要求的投标方，将依据下述评分规则进行技术标评分，具体技术标评分标准见下表（满分1</w:t>
      </w:r>
      <w:r>
        <w:rPr>
          <w:rFonts w:hAnsi="宋体" w:cs="宋体"/>
          <w:bCs/>
          <w:szCs w:val="21"/>
        </w:rPr>
        <w:t>00</w:t>
      </w:r>
      <w:r>
        <w:rPr>
          <w:rFonts w:hint="eastAsia" w:hAnsi="宋体" w:cs="宋体"/>
          <w:bCs/>
          <w:szCs w:val="21"/>
        </w:rPr>
        <w:t>分）</w:t>
      </w:r>
    </w:p>
    <w:tbl>
      <w:tblPr>
        <w:tblStyle w:val="45"/>
        <w:tblW w:w="8860" w:type="dxa"/>
        <w:tblInd w:w="-5" w:type="dxa"/>
        <w:tblLayout w:type="autofit"/>
        <w:tblCellMar>
          <w:top w:w="0" w:type="dxa"/>
          <w:left w:w="108" w:type="dxa"/>
          <w:bottom w:w="0" w:type="dxa"/>
          <w:right w:w="108" w:type="dxa"/>
        </w:tblCellMar>
      </w:tblPr>
      <w:tblGrid>
        <w:gridCol w:w="860"/>
        <w:gridCol w:w="1600"/>
        <w:gridCol w:w="3160"/>
        <w:gridCol w:w="1080"/>
        <w:gridCol w:w="1080"/>
        <w:gridCol w:w="1080"/>
      </w:tblGrid>
      <w:tr w14:paraId="5DF0FCA3">
        <w:tblPrEx>
          <w:tblCellMar>
            <w:top w:w="0" w:type="dxa"/>
            <w:left w:w="108" w:type="dxa"/>
            <w:bottom w:w="0" w:type="dxa"/>
            <w:right w:w="108" w:type="dxa"/>
          </w:tblCellMar>
        </w:tblPrEx>
        <w:trPr>
          <w:trHeight w:val="285" w:hRule="atLeast"/>
        </w:trPr>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4AF7CCBE">
            <w:pPr>
              <w:widowControl/>
              <w:jc w:val="center"/>
              <w:rPr>
                <w:rFonts w:ascii="宋体" w:hAnsi="宋体" w:cs="宋体"/>
                <w:b/>
                <w:bCs/>
                <w:kern w:val="0"/>
                <w:szCs w:val="21"/>
              </w:rPr>
            </w:pPr>
            <w:r>
              <w:rPr>
                <w:rFonts w:hint="eastAsia" w:ascii="宋体" w:hAnsi="宋体" w:cs="宋体"/>
                <w:b/>
                <w:bCs/>
                <w:kern w:val="0"/>
                <w:szCs w:val="21"/>
              </w:rPr>
              <w:t>序号</w:t>
            </w:r>
          </w:p>
        </w:tc>
        <w:tc>
          <w:tcPr>
            <w:tcW w:w="1600" w:type="dxa"/>
            <w:tcBorders>
              <w:top w:val="single" w:color="auto" w:sz="4" w:space="0"/>
              <w:left w:val="nil"/>
              <w:bottom w:val="single" w:color="auto" w:sz="4" w:space="0"/>
              <w:right w:val="single" w:color="auto" w:sz="4" w:space="0"/>
            </w:tcBorders>
            <w:shd w:val="clear" w:color="auto" w:fill="auto"/>
            <w:vAlign w:val="center"/>
          </w:tcPr>
          <w:p w14:paraId="6A910CBF">
            <w:pPr>
              <w:widowControl/>
              <w:jc w:val="center"/>
              <w:rPr>
                <w:rFonts w:ascii="宋体" w:hAnsi="宋体" w:cs="宋体"/>
                <w:b/>
                <w:bCs/>
                <w:kern w:val="0"/>
                <w:szCs w:val="21"/>
              </w:rPr>
            </w:pPr>
            <w:r>
              <w:rPr>
                <w:rFonts w:hint="eastAsia" w:ascii="宋体" w:hAnsi="宋体" w:cs="宋体"/>
                <w:b/>
                <w:bCs/>
                <w:kern w:val="0"/>
                <w:szCs w:val="21"/>
              </w:rPr>
              <w:t>评审项目</w:t>
            </w:r>
          </w:p>
        </w:tc>
        <w:tc>
          <w:tcPr>
            <w:tcW w:w="3160" w:type="dxa"/>
            <w:tcBorders>
              <w:top w:val="single" w:color="auto" w:sz="4" w:space="0"/>
              <w:left w:val="nil"/>
              <w:bottom w:val="single" w:color="auto" w:sz="4" w:space="0"/>
              <w:right w:val="single" w:color="auto" w:sz="4" w:space="0"/>
            </w:tcBorders>
            <w:shd w:val="clear" w:color="auto" w:fill="auto"/>
            <w:vAlign w:val="center"/>
          </w:tcPr>
          <w:p w14:paraId="4D350B0E">
            <w:pPr>
              <w:widowControl/>
              <w:jc w:val="center"/>
              <w:rPr>
                <w:rFonts w:ascii="宋体" w:hAnsi="宋体" w:cs="宋体"/>
                <w:b/>
                <w:bCs/>
                <w:kern w:val="0"/>
                <w:szCs w:val="21"/>
              </w:rPr>
            </w:pPr>
            <w:r>
              <w:rPr>
                <w:rFonts w:hint="eastAsia" w:ascii="宋体" w:hAnsi="宋体" w:cs="宋体"/>
                <w:b/>
                <w:bCs/>
                <w:kern w:val="0"/>
                <w:szCs w:val="21"/>
              </w:rPr>
              <w:t>评审内容</w:t>
            </w:r>
          </w:p>
        </w:tc>
        <w:tc>
          <w:tcPr>
            <w:tcW w:w="1080" w:type="dxa"/>
            <w:tcBorders>
              <w:top w:val="single" w:color="auto" w:sz="4" w:space="0"/>
              <w:left w:val="nil"/>
              <w:bottom w:val="single" w:color="auto" w:sz="4" w:space="0"/>
              <w:right w:val="single" w:color="auto" w:sz="4" w:space="0"/>
            </w:tcBorders>
            <w:shd w:val="clear" w:color="auto" w:fill="auto"/>
            <w:vAlign w:val="center"/>
          </w:tcPr>
          <w:p w14:paraId="257F18EC">
            <w:pPr>
              <w:widowControl/>
              <w:jc w:val="center"/>
              <w:rPr>
                <w:rFonts w:ascii="宋体" w:hAnsi="宋体" w:cs="宋体"/>
                <w:b/>
                <w:bCs/>
                <w:kern w:val="0"/>
                <w:szCs w:val="21"/>
              </w:rPr>
            </w:pPr>
            <w:r>
              <w:rPr>
                <w:rFonts w:hint="eastAsia" w:ascii="宋体" w:hAnsi="宋体" w:cs="宋体"/>
                <w:b/>
                <w:bCs/>
                <w:kern w:val="0"/>
                <w:szCs w:val="21"/>
              </w:rPr>
              <w:t>分值</w:t>
            </w:r>
          </w:p>
        </w:tc>
        <w:tc>
          <w:tcPr>
            <w:tcW w:w="1080" w:type="dxa"/>
            <w:tcBorders>
              <w:top w:val="single" w:color="auto" w:sz="4" w:space="0"/>
              <w:left w:val="nil"/>
              <w:bottom w:val="single" w:color="auto" w:sz="4" w:space="0"/>
              <w:right w:val="single" w:color="auto" w:sz="4" w:space="0"/>
            </w:tcBorders>
            <w:shd w:val="clear" w:color="auto" w:fill="auto"/>
            <w:vAlign w:val="center"/>
          </w:tcPr>
          <w:p w14:paraId="7BA29C72">
            <w:pPr>
              <w:widowControl/>
              <w:jc w:val="center"/>
              <w:rPr>
                <w:rFonts w:ascii="宋体" w:hAnsi="宋体" w:cs="宋体"/>
                <w:b/>
                <w:bCs/>
                <w:kern w:val="0"/>
                <w:szCs w:val="21"/>
              </w:rPr>
            </w:pPr>
            <w:r>
              <w:rPr>
                <w:rFonts w:hint="eastAsia" w:ascii="宋体" w:hAnsi="宋体" w:cs="宋体"/>
                <w:b/>
                <w:bCs/>
                <w:kern w:val="0"/>
                <w:szCs w:val="21"/>
              </w:rPr>
              <w:t>得分</w:t>
            </w:r>
          </w:p>
        </w:tc>
        <w:tc>
          <w:tcPr>
            <w:tcW w:w="1080" w:type="dxa"/>
            <w:tcBorders>
              <w:top w:val="single" w:color="auto" w:sz="4" w:space="0"/>
              <w:left w:val="nil"/>
              <w:bottom w:val="single" w:color="auto" w:sz="4" w:space="0"/>
              <w:right w:val="single" w:color="auto" w:sz="4" w:space="0"/>
            </w:tcBorders>
            <w:shd w:val="clear" w:color="auto" w:fill="auto"/>
            <w:vAlign w:val="center"/>
          </w:tcPr>
          <w:p w14:paraId="1E4F908A">
            <w:pPr>
              <w:widowControl/>
              <w:jc w:val="center"/>
              <w:rPr>
                <w:rFonts w:ascii="宋体" w:hAnsi="宋体" w:cs="宋体"/>
                <w:b/>
                <w:bCs/>
                <w:kern w:val="0"/>
                <w:szCs w:val="21"/>
              </w:rPr>
            </w:pPr>
            <w:r>
              <w:rPr>
                <w:rFonts w:hint="eastAsia" w:ascii="宋体" w:hAnsi="宋体" w:cs="宋体"/>
                <w:b/>
                <w:bCs/>
                <w:kern w:val="0"/>
                <w:szCs w:val="21"/>
              </w:rPr>
              <w:t>备注</w:t>
            </w:r>
          </w:p>
        </w:tc>
      </w:tr>
      <w:tr w14:paraId="3A4F083F">
        <w:tblPrEx>
          <w:tblCellMar>
            <w:top w:w="0" w:type="dxa"/>
            <w:left w:w="108" w:type="dxa"/>
            <w:bottom w:w="0" w:type="dxa"/>
            <w:right w:w="108" w:type="dxa"/>
          </w:tblCellMar>
        </w:tblPrEx>
        <w:trPr>
          <w:trHeight w:val="90" w:hRule="atLeast"/>
        </w:trPr>
        <w:tc>
          <w:tcPr>
            <w:tcW w:w="860" w:type="dxa"/>
            <w:tcBorders>
              <w:top w:val="nil"/>
              <w:left w:val="single" w:color="auto" w:sz="4" w:space="0"/>
              <w:bottom w:val="single" w:color="auto" w:sz="4" w:space="0"/>
              <w:right w:val="single" w:color="auto" w:sz="4" w:space="0"/>
            </w:tcBorders>
            <w:shd w:val="clear" w:color="auto" w:fill="auto"/>
            <w:vAlign w:val="center"/>
          </w:tcPr>
          <w:p w14:paraId="23AD1EE8">
            <w:pPr>
              <w:widowControl/>
              <w:jc w:val="center"/>
              <w:rPr>
                <w:rFonts w:ascii="宋体" w:hAnsi="宋体" w:cs="宋体"/>
                <w:kern w:val="0"/>
                <w:szCs w:val="21"/>
              </w:rPr>
            </w:pPr>
            <w:r>
              <w:rPr>
                <w:rFonts w:hint="eastAsia" w:ascii="宋体" w:hAnsi="宋体" w:cs="宋体"/>
                <w:kern w:val="0"/>
                <w:szCs w:val="21"/>
              </w:rPr>
              <w:t>1</w:t>
            </w:r>
          </w:p>
        </w:tc>
        <w:tc>
          <w:tcPr>
            <w:tcW w:w="1600" w:type="dxa"/>
            <w:tcBorders>
              <w:top w:val="nil"/>
              <w:left w:val="nil"/>
              <w:bottom w:val="single" w:color="auto" w:sz="4" w:space="0"/>
              <w:right w:val="single" w:color="auto" w:sz="4" w:space="0"/>
            </w:tcBorders>
            <w:shd w:val="clear" w:color="auto" w:fill="auto"/>
            <w:vAlign w:val="center"/>
          </w:tcPr>
          <w:p w14:paraId="10155446">
            <w:pPr>
              <w:tabs>
                <w:tab w:val="left" w:pos="0"/>
              </w:tabs>
              <w:wordWrap w:val="0"/>
              <w:overflowPunct w:val="0"/>
              <w:topLinePunct/>
              <w:spacing w:line="360" w:lineRule="exact"/>
              <w:jc w:val="center"/>
              <w:rPr>
                <w:rFonts w:ascii="宋体" w:hAnsi="宋体" w:cs="宋体"/>
                <w:color w:val="000000" w:themeColor="text1"/>
                <w:szCs w:val="21"/>
              </w:rPr>
            </w:pPr>
            <w:r>
              <w:rPr>
                <w:rFonts w:hint="eastAsia" w:ascii="宋体" w:hAnsi="宋体" w:cs="宋体"/>
                <w:color w:val="000000" w:themeColor="text1"/>
                <w:szCs w:val="21"/>
              </w:rPr>
              <w:t>报价</w:t>
            </w:r>
          </w:p>
          <w:p w14:paraId="2A541F07">
            <w:pPr>
              <w:widowControl/>
              <w:jc w:val="center"/>
              <w:rPr>
                <w:rFonts w:ascii="宋体" w:hAnsi="宋体" w:cs="宋体"/>
                <w:kern w:val="0"/>
                <w:szCs w:val="21"/>
              </w:rPr>
            </w:pPr>
            <w:r>
              <w:rPr>
                <w:rFonts w:hint="eastAsia" w:ascii="宋体" w:hAnsi="宋体" w:cs="宋体"/>
                <w:color w:val="000000" w:themeColor="text1"/>
                <w:szCs w:val="21"/>
              </w:rPr>
              <w:t>30%</w:t>
            </w:r>
          </w:p>
        </w:tc>
        <w:tc>
          <w:tcPr>
            <w:tcW w:w="3160" w:type="dxa"/>
            <w:tcBorders>
              <w:top w:val="nil"/>
              <w:left w:val="nil"/>
              <w:bottom w:val="single" w:color="auto" w:sz="4" w:space="0"/>
              <w:right w:val="single" w:color="auto" w:sz="4" w:space="0"/>
            </w:tcBorders>
            <w:shd w:val="clear" w:color="auto" w:fill="auto"/>
            <w:vAlign w:val="center"/>
          </w:tcPr>
          <w:p w14:paraId="7C5B3E5E">
            <w:pPr>
              <w:pStyle w:val="212"/>
              <w:overflowPunct w:val="0"/>
              <w:ind w:left="21" w:leftChars="10"/>
              <w:rPr>
                <w:rFonts w:ascii="宋体" w:hAnsi="宋体" w:cs="宋体"/>
                <w:color w:val="000000" w:themeColor="text1"/>
                <w:szCs w:val="21"/>
              </w:rPr>
            </w:pPr>
            <w:r>
              <w:rPr>
                <w:rFonts w:hint="eastAsia" w:ascii="宋体" w:hAnsi="宋体" w:cs="宋体"/>
                <w:color w:val="000000" w:themeColor="text1"/>
                <w:szCs w:val="21"/>
              </w:rPr>
              <w:t>满足比选文件要求且参选价格最低的参选报价为评审基准价，其价格分为满分。其他比选申请人的价格分统一按照下列公式计算：</w:t>
            </w:r>
          </w:p>
          <w:p w14:paraId="7203563A">
            <w:pPr>
              <w:pStyle w:val="212"/>
              <w:overflowPunct w:val="0"/>
              <w:ind w:left="21" w:leftChars="10"/>
              <w:rPr>
                <w:rFonts w:ascii="宋体" w:hAnsi="宋体" w:cs="宋体"/>
                <w:color w:val="000000" w:themeColor="text1"/>
                <w:szCs w:val="21"/>
              </w:rPr>
            </w:pPr>
            <w:r>
              <w:rPr>
                <w:rFonts w:hint="eastAsia" w:ascii="宋体" w:hAnsi="宋体" w:cs="宋体"/>
                <w:color w:val="000000" w:themeColor="text1"/>
                <w:szCs w:val="21"/>
              </w:rPr>
              <w:t>参选报价得分=(评审基准价/参选报价)×30%×100。</w:t>
            </w:r>
          </w:p>
          <w:p w14:paraId="1881300A">
            <w:pPr>
              <w:widowControl/>
              <w:jc w:val="center"/>
              <w:rPr>
                <w:rFonts w:ascii="宋体" w:hAnsi="宋体" w:cs="宋体"/>
                <w:kern w:val="0"/>
                <w:szCs w:val="21"/>
              </w:rPr>
            </w:pPr>
            <w:r>
              <w:rPr>
                <w:rFonts w:hint="eastAsia" w:ascii="宋体" w:hAnsi="宋体" w:cs="宋体"/>
                <w:color w:val="000000" w:themeColor="text1"/>
                <w:szCs w:val="21"/>
              </w:rPr>
              <w:t>注：评审过程中，不得去掉报价中的最高报价和最低报价。</w:t>
            </w:r>
          </w:p>
        </w:tc>
        <w:tc>
          <w:tcPr>
            <w:tcW w:w="1080" w:type="dxa"/>
            <w:tcBorders>
              <w:top w:val="nil"/>
              <w:left w:val="nil"/>
              <w:bottom w:val="single" w:color="auto" w:sz="4" w:space="0"/>
              <w:right w:val="single" w:color="auto" w:sz="4" w:space="0"/>
            </w:tcBorders>
            <w:shd w:val="clear" w:color="auto" w:fill="auto"/>
            <w:vAlign w:val="center"/>
          </w:tcPr>
          <w:p w14:paraId="464D1103">
            <w:pPr>
              <w:widowControl/>
              <w:jc w:val="center"/>
              <w:rPr>
                <w:rFonts w:ascii="宋体" w:hAnsi="宋体" w:cs="宋体"/>
                <w:kern w:val="0"/>
                <w:szCs w:val="21"/>
              </w:rPr>
            </w:pPr>
            <w:r>
              <w:rPr>
                <w:rFonts w:hint="eastAsia" w:ascii="宋体" w:hAnsi="宋体" w:cs="宋体"/>
                <w:kern w:val="0"/>
                <w:szCs w:val="21"/>
              </w:rPr>
              <w:t>30</w:t>
            </w:r>
          </w:p>
        </w:tc>
        <w:tc>
          <w:tcPr>
            <w:tcW w:w="1080" w:type="dxa"/>
            <w:tcBorders>
              <w:top w:val="nil"/>
              <w:left w:val="nil"/>
              <w:bottom w:val="single" w:color="auto" w:sz="4" w:space="0"/>
              <w:right w:val="single" w:color="auto" w:sz="4" w:space="0"/>
            </w:tcBorders>
            <w:shd w:val="clear" w:color="auto" w:fill="auto"/>
            <w:noWrap/>
            <w:vAlign w:val="center"/>
          </w:tcPr>
          <w:p w14:paraId="674B99C0">
            <w:pPr>
              <w:widowControl/>
              <w:jc w:val="center"/>
              <w:rPr>
                <w:rFonts w:ascii="宋体" w:hAnsi="宋体" w:cs="宋体"/>
                <w:color w:val="000000" w:themeColor="text1"/>
                <w:szCs w:val="21"/>
              </w:rPr>
            </w:pPr>
          </w:p>
        </w:tc>
        <w:tc>
          <w:tcPr>
            <w:tcW w:w="1080" w:type="dxa"/>
            <w:tcBorders>
              <w:top w:val="nil"/>
              <w:left w:val="nil"/>
              <w:bottom w:val="single" w:color="auto" w:sz="4" w:space="0"/>
              <w:right w:val="single" w:color="auto" w:sz="4" w:space="0"/>
            </w:tcBorders>
            <w:shd w:val="clear" w:color="auto" w:fill="auto"/>
            <w:noWrap/>
            <w:vAlign w:val="center"/>
          </w:tcPr>
          <w:p w14:paraId="6E01043B">
            <w:pPr>
              <w:widowControl/>
              <w:jc w:val="center"/>
              <w:rPr>
                <w:rFonts w:ascii="等线" w:hAnsi="等线" w:eastAsia="等线" w:cs="宋体"/>
                <w:kern w:val="0"/>
                <w:sz w:val="22"/>
                <w:szCs w:val="22"/>
              </w:rPr>
            </w:pPr>
            <w:r>
              <w:rPr>
                <w:rFonts w:hint="eastAsia" w:ascii="宋体" w:hAnsi="宋体" w:cs="宋体"/>
                <w:color w:val="000000" w:themeColor="text1"/>
                <w:szCs w:val="21"/>
              </w:rPr>
              <w:t>共同评分因素</w:t>
            </w:r>
          </w:p>
        </w:tc>
      </w:tr>
      <w:tr w14:paraId="29AFE7FB">
        <w:tblPrEx>
          <w:tblCellMar>
            <w:top w:w="0" w:type="dxa"/>
            <w:left w:w="108" w:type="dxa"/>
            <w:bottom w:w="0" w:type="dxa"/>
            <w:right w:w="108" w:type="dxa"/>
          </w:tblCellMar>
        </w:tblPrEx>
        <w:trPr>
          <w:trHeight w:val="2796" w:hRule="atLeast"/>
        </w:trPr>
        <w:tc>
          <w:tcPr>
            <w:tcW w:w="860" w:type="dxa"/>
            <w:tcBorders>
              <w:top w:val="nil"/>
              <w:left w:val="single" w:color="auto" w:sz="4" w:space="0"/>
              <w:bottom w:val="single" w:color="auto" w:sz="4" w:space="0"/>
              <w:right w:val="single" w:color="auto" w:sz="4" w:space="0"/>
            </w:tcBorders>
            <w:shd w:val="clear" w:color="auto" w:fill="auto"/>
            <w:vAlign w:val="center"/>
          </w:tcPr>
          <w:p w14:paraId="72465FD7">
            <w:pPr>
              <w:widowControl/>
              <w:jc w:val="center"/>
              <w:rPr>
                <w:rFonts w:ascii="宋体" w:hAnsi="宋体" w:cs="宋体"/>
                <w:kern w:val="0"/>
                <w:szCs w:val="21"/>
              </w:rPr>
            </w:pPr>
            <w:r>
              <w:rPr>
                <w:rFonts w:hint="eastAsia" w:ascii="宋体" w:hAnsi="宋体" w:cs="宋体"/>
                <w:kern w:val="0"/>
                <w:szCs w:val="21"/>
              </w:rPr>
              <w:t>2</w:t>
            </w:r>
          </w:p>
        </w:tc>
        <w:tc>
          <w:tcPr>
            <w:tcW w:w="1600" w:type="dxa"/>
            <w:tcBorders>
              <w:top w:val="nil"/>
              <w:left w:val="nil"/>
              <w:bottom w:val="single" w:color="auto" w:sz="4" w:space="0"/>
              <w:right w:val="single" w:color="auto" w:sz="4" w:space="0"/>
            </w:tcBorders>
            <w:shd w:val="clear" w:color="auto" w:fill="auto"/>
            <w:vAlign w:val="center"/>
          </w:tcPr>
          <w:p w14:paraId="7FBA6616">
            <w:pPr>
              <w:tabs>
                <w:tab w:val="left" w:pos="0"/>
              </w:tabs>
              <w:wordWrap w:val="0"/>
              <w:spacing w:line="360" w:lineRule="exact"/>
              <w:jc w:val="center"/>
              <w:rPr>
                <w:rFonts w:ascii="宋体" w:hAnsi="宋体" w:cs="宋体"/>
                <w:color w:val="000000" w:themeColor="text1"/>
                <w:szCs w:val="21"/>
              </w:rPr>
            </w:pPr>
            <w:r>
              <w:rPr>
                <w:rFonts w:hint="eastAsia" w:ascii="宋体" w:hAnsi="宋体" w:cs="宋体"/>
                <w:color w:val="000000" w:themeColor="text1"/>
                <w:szCs w:val="21"/>
              </w:rPr>
              <w:t>功能要求响应</w:t>
            </w:r>
          </w:p>
          <w:p w14:paraId="1F13CE54">
            <w:pPr>
              <w:widowControl/>
              <w:jc w:val="center"/>
              <w:rPr>
                <w:rFonts w:ascii="宋体" w:hAnsi="宋体" w:cs="宋体"/>
                <w:kern w:val="0"/>
                <w:szCs w:val="21"/>
              </w:rPr>
            </w:pPr>
            <w:r>
              <w:rPr>
                <w:rFonts w:hint="eastAsia" w:ascii="宋体" w:hAnsi="宋体" w:cs="宋体"/>
                <w:color w:val="000000" w:themeColor="text1"/>
                <w:szCs w:val="21"/>
              </w:rPr>
              <w:t>40%</w:t>
            </w:r>
          </w:p>
        </w:tc>
        <w:tc>
          <w:tcPr>
            <w:tcW w:w="3160" w:type="dxa"/>
            <w:tcBorders>
              <w:top w:val="nil"/>
              <w:left w:val="nil"/>
              <w:bottom w:val="single" w:color="auto" w:sz="4" w:space="0"/>
              <w:right w:val="single" w:color="auto" w:sz="4" w:space="0"/>
            </w:tcBorders>
            <w:shd w:val="clear" w:color="auto" w:fill="auto"/>
            <w:vAlign w:val="center"/>
          </w:tcPr>
          <w:p w14:paraId="240F029D">
            <w:pPr>
              <w:widowControl/>
              <w:jc w:val="center"/>
              <w:rPr>
                <w:rFonts w:ascii="宋体" w:hAnsi="宋体" w:cs="宋体"/>
                <w:kern w:val="0"/>
                <w:szCs w:val="21"/>
              </w:rPr>
            </w:pPr>
            <w:r>
              <w:rPr>
                <w:rFonts w:ascii="宋体" w:hAnsi="宋体" w:cs="宋体"/>
                <w:color w:val="000000" w:themeColor="text1"/>
                <w:szCs w:val="21"/>
              </w:rPr>
              <w:t>满足招标文件全部技术指标得</w:t>
            </w:r>
            <w:r>
              <w:rPr>
                <w:rFonts w:hint="eastAsia" w:ascii="宋体" w:hAnsi="宋体" w:cs="宋体"/>
                <w:color w:val="000000" w:themeColor="text1"/>
                <w:szCs w:val="21"/>
              </w:rPr>
              <w:t>40</w:t>
            </w:r>
            <w:r>
              <w:rPr>
                <w:rFonts w:ascii="宋体" w:hAnsi="宋体" w:cs="宋体"/>
                <w:color w:val="000000" w:themeColor="text1"/>
                <w:szCs w:val="21"/>
              </w:rPr>
              <w:t>分。★标识代表实质性指标项，与该指标负偏离的将导致投标被拒绝。▲标识代表关键指标项</w:t>
            </w:r>
            <w:r>
              <w:rPr>
                <w:rFonts w:hint="eastAsia" w:ascii="宋体" w:hAnsi="宋体" w:cs="宋体"/>
                <w:color w:val="000000" w:themeColor="text1"/>
                <w:szCs w:val="21"/>
              </w:rPr>
              <w:t>共9项</w:t>
            </w:r>
            <w:r>
              <w:rPr>
                <w:rFonts w:ascii="宋体" w:hAnsi="宋体" w:cs="宋体"/>
                <w:color w:val="000000" w:themeColor="text1"/>
                <w:szCs w:val="21"/>
              </w:rPr>
              <w:t>，与该指标负偏离的每一项扣</w:t>
            </w:r>
            <w:r>
              <w:rPr>
                <w:rFonts w:hint="eastAsia" w:ascii="宋体" w:hAnsi="宋体" w:cs="宋体"/>
                <w:color w:val="000000" w:themeColor="text1"/>
                <w:szCs w:val="21"/>
              </w:rPr>
              <w:t>4</w:t>
            </w:r>
            <w:r>
              <w:rPr>
                <w:rFonts w:ascii="宋体" w:hAnsi="宋体" w:cs="宋体"/>
                <w:color w:val="000000" w:themeColor="text1"/>
                <w:szCs w:val="21"/>
              </w:rPr>
              <w:t>分，扣完为止。无标识代表一般指标项，与该指标负偏离的每一项扣</w:t>
            </w:r>
            <w:r>
              <w:rPr>
                <w:rFonts w:hint="eastAsia" w:ascii="宋体" w:hAnsi="宋体" w:cs="宋体"/>
                <w:color w:val="000000" w:themeColor="text1"/>
                <w:szCs w:val="21"/>
              </w:rPr>
              <w:t>0.5</w:t>
            </w:r>
            <w:r>
              <w:rPr>
                <w:rFonts w:ascii="宋体" w:hAnsi="宋体" w:cs="宋体"/>
                <w:color w:val="000000" w:themeColor="text1"/>
                <w:szCs w:val="21"/>
              </w:rPr>
              <w:t>分，扣完为止。</w:t>
            </w:r>
          </w:p>
        </w:tc>
        <w:tc>
          <w:tcPr>
            <w:tcW w:w="1080" w:type="dxa"/>
            <w:tcBorders>
              <w:top w:val="nil"/>
              <w:left w:val="nil"/>
              <w:bottom w:val="single" w:color="auto" w:sz="4" w:space="0"/>
              <w:right w:val="single" w:color="auto" w:sz="4" w:space="0"/>
            </w:tcBorders>
            <w:shd w:val="clear" w:color="auto" w:fill="auto"/>
            <w:vAlign w:val="center"/>
          </w:tcPr>
          <w:p w14:paraId="63B9A4EF">
            <w:pPr>
              <w:widowControl/>
              <w:jc w:val="center"/>
              <w:rPr>
                <w:rFonts w:ascii="宋体" w:hAnsi="宋体" w:cs="宋体"/>
                <w:kern w:val="0"/>
                <w:szCs w:val="21"/>
              </w:rPr>
            </w:pPr>
            <w:r>
              <w:rPr>
                <w:rFonts w:hint="eastAsia" w:ascii="宋体" w:hAnsi="宋体" w:cs="宋体"/>
                <w:kern w:val="0"/>
                <w:szCs w:val="21"/>
              </w:rPr>
              <w:t>40</w:t>
            </w:r>
          </w:p>
        </w:tc>
        <w:tc>
          <w:tcPr>
            <w:tcW w:w="1080" w:type="dxa"/>
            <w:tcBorders>
              <w:top w:val="nil"/>
              <w:left w:val="nil"/>
              <w:bottom w:val="single" w:color="auto" w:sz="4" w:space="0"/>
              <w:right w:val="single" w:color="auto" w:sz="4" w:space="0"/>
            </w:tcBorders>
            <w:shd w:val="clear" w:color="auto" w:fill="auto"/>
            <w:noWrap/>
            <w:vAlign w:val="center"/>
          </w:tcPr>
          <w:p w14:paraId="38873DB0">
            <w:pPr>
              <w:widowControl/>
              <w:jc w:val="center"/>
              <w:rPr>
                <w:rFonts w:ascii="宋体" w:hAnsi="宋体" w:cs="宋体"/>
                <w:color w:val="000000" w:themeColor="text1"/>
                <w:szCs w:val="21"/>
              </w:rPr>
            </w:pPr>
          </w:p>
        </w:tc>
        <w:tc>
          <w:tcPr>
            <w:tcW w:w="1080" w:type="dxa"/>
            <w:tcBorders>
              <w:top w:val="nil"/>
              <w:left w:val="nil"/>
              <w:bottom w:val="single" w:color="auto" w:sz="4" w:space="0"/>
              <w:right w:val="single" w:color="auto" w:sz="4" w:space="0"/>
            </w:tcBorders>
            <w:shd w:val="clear" w:color="auto" w:fill="auto"/>
            <w:noWrap/>
            <w:vAlign w:val="center"/>
          </w:tcPr>
          <w:p w14:paraId="303B17DC">
            <w:pPr>
              <w:tabs>
                <w:tab w:val="left" w:pos="0"/>
              </w:tabs>
              <w:wordWrap w:val="0"/>
              <w:spacing w:line="360" w:lineRule="exact"/>
              <w:jc w:val="center"/>
              <w:rPr>
                <w:rFonts w:ascii="宋体" w:hAnsi="宋体" w:cs="宋体"/>
                <w:szCs w:val="21"/>
              </w:rPr>
            </w:pPr>
            <w:r>
              <w:rPr>
                <w:rFonts w:hint="eastAsia" w:ascii="宋体" w:hAnsi="宋体" w:cs="宋体"/>
                <w:szCs w:val="21"/>
              </w:rPr>
              <w:t>技术类</w:t>
            </w:r>
          </w:p>
          <w:p w14:paraId="75CF8233">
            <w:pPr>
              <w:widowControl/>
              <w:jc w:val="center"/>
              <w:rPr>
                <w:rFonts w:ascii="等线" w:hAnsi="等线" w:eastAsia="等线" w:cs="宋体"/>
                <w:kern w:val="0"/>
                <w:sz w:val="22"/>
                <w:szCs w:val="22"/>
              </w:rPr>
            </w:pPr>
            <w:r>
              <w:rPr>
                <w:rFonts w:hint="eastAsia" w:ascii="宋体" w:hAnsi="宋体" w:cs="宋体"/>
                <w:szCs w:val="21"/>
              </w:rPr>
              <w:t>评分因素</w:t>
            </w:r>
          </w:p>
        </w:tc>
      </w:tr>
      <w:tr w14:paraId="16FEACE7">
        <w:tblPrEx>
          <w:tblCellMar>
            <w:top w:w="0" w:type="dxa"/>
            <w:left w:w="108" w:type="dxa"/>
            <w:bottom w:w="0" w:type="dxa"/>
            <w:right w:w="108" w:type="dxa"/>
          </w:tblCellMar>
        </w:tblPrEx>
        <w:trPr>
          <w:trHeight w:val="575" w:hRule="atLeast"/>
        </w:trPr>
        <w:tc>
          <w:tcPr>
            <w:tcW w:w="860" w:type="dxa"/>
            <w:tcBorders>
              <w:top w:val="nil"/>
              <w:left w:val="single" w:color="auto" w:sz="4" w:space="0"/>
              <w:bottom w:val="single" w:color="auto" w:sz="4" w:space="0"/>
              <w:right w:val="single" w:color="auto" w:sz="4" w:space="0"/>
            </w:tcBorders>
            <w:shd w:val="clear" w:color="auto" w:fill="auto"/>
            <w:vAlign w:val="center"/>
          </w:tcPr>
          <w:p w14:paraId="4FC5AEB9">
            <w:pPr>
              <w:widowControl/>
              <w:jc w:val="center"/>
              <w:rPr>
                <w:rFonts w:ascii="宋体" w:hAnsi="宋体" w:cs="宋体"/>
                <w:kern w:val="0"/>
                <w:szCs w:val="21"/>
              </w:rPr>
            </w:pPr>
            <w:r>
              <w:rPr>
                <w:rFonts w:hint="eastAsia" w:ascii="宋体" w:hAnsi="宋体" w:cs="宋体"/>
                <w:kern w:val="0"/>
                <w:szCs w:val="21"/>
              </w:rPr>
              <w:t>3</w:t>
            </w:r>
          </w:p>
        </w:tc>
        <w:tc>
          <w:tcPr>
            <w:tcW w:w="1600" w:type="dxa"/>
            <w:tcBorders>
              <w:top w:val="nil"/>
              <w:left w:val="nil"/>
              <w:bottom w:val="single" w:color="auto" w:sz="4" w:space="0"/>
              <w:right w:val="single" w:color="auto" w:sz="4" w:space="0"/>
            </w:tcBorders>
            <w:shd w:val="clear" w:color="auto" w:fill="auto"/>
            <w:vAlign w:val="center"/>
          </w:tcPr>
          <w:p w14:paraId="52CD474B">
            <w:pPr>
              <w:tabs>
                <w:tab w:val="left" w:pos="0"/>
              </w:tabs>
              <w:wordWrap w:val="0"/>
              <w:spacing w:line="360" w:lineRule="exact"/>
              <w:jc w:val="center"/>
              <w:rPr>
                <w:rFonts w:ascii="宋体" w:hAnsi="宋体" w:cs="宋体"/>
                <w:color w:val="000000" w:themeColor="text1"/>
                <w:szCs w:val="21"/>
              </w:rPr>
            </w:pPr>
            <w:r>
              <w:rPr>
                <w:rFonts w:hint="eastAsia" w:ascii="宋体" w:hAnsi="宋体" w:cs="宋体"/>
                <w:color w:val="000000" w:themeColor="text1"/>
                <w:szCs w:val="21"/>
              </w:rPr>
              <w:t>人员配置</w:t>
            </w:r>
          </w:p>
          <w:p w14:paraId="56120B43">
            <w:pPr>
              <w:widowControl/>
              <w:jc w:val="center"/>
              <w:rPr>
                <w:rFonts w:ascii="宋体" w:hAnsi="宋体" w:cs="宋体"/>
                <w:kern w:val="0"/>
                <w:szCs w:val="21"/>
              </w:rPr>
            </w:pPr>
            <w:r>
              <w:rPr>
                <w:rFonts w:hint="eastAsia" w:ascii="宋体" w:hAnsi="宋体" w:cs="宋体"/>
                <w:color w:val="000000" w:themeColor="text1"/>
                <w:szCs w:val="21"/>
              </w:rPr>
              <w:t>5％</w:t>
            </w:r>
          </w:p>
        </w:tc>
        <w:tc>
          <w:tcPr>
            <w:tcW w:w="3160" w:type="dxa"/>
            <w:tcBorders>
              <w:top w:val="nil"/>
              <w:left w:val="nil"/>
              <w:bottom w:val="single" w:color="auto" w:sz="4" w:space="0"/>
              <w:right w:val="single" w:color="auto" w:sz="4" w:space="0"/>
            </w:tcBorders>
            <w:shd w:val="clear" w:color="auto" w:fill="auto"/>
            <w:vAlign w:val="center"/>
          </w:tcPr>
          <w:p w14:paraId="6F9526B7">
            <w:pPr>
              <w:pStyle w:val="41"/>
              <w:rPr>
                <w:szCs w:val="21"/>
              </w:rPr>
            </w:pPr>
            <w:r>
              <w:rPr>
                <w:color w:val="000000" w:themeColor="text1"/>
                <w:kern w:val="2"/>
                <w:sz w:val="21"/>
                <w:szCs w:val="21"/>
              </w:rPr>
              <w:t>1、项目管理人员：投标人拟配备的服务团队需指定1名项目经理负责本次项目管理，项目经理具备需具备以下资质：信息系统项目管理师高级、信息安全保障人员（CISAW-安全集成专业级）认证、信息安全保障人员（CISAW-风险管理专业级）认证每提供1类证书得</w:t>
            </w:r>
            <w:r>
              <w:rPr>
                <w:rFonts w:hint="eastAsia"/>
                <w:color w:val="000000" w:themeColor="text1"/>
                <w:kern w:val="2"/>
                <w:sz w:val="21"/>
                <w:szCs w:val="21"/>
              </w:rPr>
              <w:t>1</w:t>
            </w:r>
            <w:r>
              <w:rPr>
                <w:color w:val="000000" w:themeColor="text1"/>
                <w:kern w:val="2"/>
                <w:sz w:val="21"/>
                <w:szCs w:val="21"/>
              </w:rPr>
              <w:t>分，最多得</w:t>
            </w:r>
            <w:r>
              <w:rPr>
                <w:rFonts w:hint="eastAsia"/>
                <w:color w:val="000000" w:themeColor="text1"/>
                <w:kern w:val="2"/>
                <w:sz w:val="21"/>
                <w:szCs w:val="21"/>
              </w:rPr>
              <w:t>3</w:t>
            </w:r>
            <w:r>
              <w:rPr>
                <w:color w:val="000000" w:themeColor="text1"/>
                <w:kern w:val="2"/>
                <w:sz w:val="21"/>
                <w:szCs w:val="21"/>
              </w:rPr>
              <w:t>分</w:t>
            </w:r>
            <w:r>
              <w:rPr>
                <w:rFonts w:hint="eastAsia"/>
                <w:color w:val="000000" w:themeColor="text1"/>
                <w:kern w:val="2"/>
                <w:sz w:val="21"/>
                <w:szCs w:val="21"/>
              </w:rPr>
              <w:t>。</w:t>
            </w:r>
            <w:r>
              <w:rPr>
                <w:rFonts w:hint="eastAsia"/>
                <w:color w:val="000000" w:themeColor="text1"/>
                <w:kern w:val="2"/>
                <w:sz w:val="21"/>
                <w:szCs w:val="21"/>
              </w:rPr>
              <w:br w:type="textWrapping"/>
            </w:r>
            <w:r>
              <w:rPr>
                <w:color w:val="000000" w:themeColor="text1"/>
                <w:kern w:val="2"/>
                <w:sz w:val="21"/>
                <w:szCs w:val="21"/>
              </w:rPr>
              <w:t>2、服务人员：投标人拟配备的服务团队成员（除项目经理外）需具备以下资质：</w:t>
            </w:r>
            <w:r>
              <w:rPr>
                <w:rFonts w:hint="eastAsia"/>
                <w:color w:val="000000" w:themeColor="text1"/>
                <w:kern w:val="2"/>
                <w:sz w:val="21"/>
                <w:szCs w:val="21"/>
              </w:rPr>
              <w:t>信息安全工程师或</w:t>
            </w:r>
            <w:r>
              <w:rPr>
                <w:color w:val="000000" w:themeColor="text1"/>
                <w:kern w:val="2"/>
                <w:sz w:val="21"/>
                <w:szCs w:val="21"/>
              </w:rPr>
              <w:t>国家注册渗透测试工程师（CISP-PTE）证书，每提供1类证书得</w:t>
            </w:r>
            <w:r>
              <w:rPr>
                <w:rFonts w:hint="eastAsia"/>
                <w:color w:val="000000" w:themeColor="text1"/>
                <w:kern w:val="2"/>
                <w:sz w:val="21"/>
                <w:szCs w:val="21"/>
              </w:rPr>
              <w:t>1</w:t>
            </w:r>
            <w:r>
              <w:rPr>
                <w:color w:val="000000" w:themeColor="text1"/>
                <w:kern w:val="2"/>
                <w:sz w:val="21"/>
                <w:szCs w:val="21"/>
              </w:rPr>
              <w:t>分，最多得</w:t>
            </w:r>
            <w:r>
              <w:rPr>
                <w:rFonts w:hint="eastAsia"/>
                <w:color w:val="000000" w:themeColor="text1"/>
                <w:kern w:val="2"/>
                <w:sz w:val="21"/>
                <w:szCs w:val="21"/>
              </w:rPr>
              <w:t>2</w:t>
            </w:r>
            <w:r>
              <w:rPr>
                <w:color w:val="000000" w:themeColor="text1"/>
                <w:kern w:val="2"/>
                <w:sz w:val="21"/>
                <w:szCs w:val="21"/>
              </w:rPr>
              <w:t>分。</w:t>
            </w:r>
          </w:p>
        </w:tc>
        <w:tc>
          <w:tcPr>
            <w:tcW w:w="1080" w:type="dxa"/>
            <w:tcBorders>
              <w:top w:val="nil"/>
              <w:left w:val="nil"/>
              <w:bottom w:val="single" w:color="auto" w:sz="4" w:space="0"/>
              <w:right w:val="single" w:color="auto" w:sz="4" w:space="0"/>
            </w:tcBorders>
            <w:shd w:val="clear" w:color="auto" w:fill="auto"/>
            <w:vAlign w:val="center"/>
          </w:tcPr>
          <w:p w14:paraId="4637EC93">
            <w:pPr>
              <w:widowControl/>
              <w:jc w:val="center"/>
              <w:rPr>
                <w:rFonts w:ascii="宋体" w:hAnsi="宋体" w:cs="宋体"/>
                <w:kern w:val="0"/>
                <w:szCs w:val="21"/>
              </w:rPr>
            </w:pPr>
            <w:r>
              <w:rPr>
                <w:rFonts w:hint="eastAsia" w:ascii="宋体" w:hAnsi="宋体" w:cs="宋体"/>
                <w:kern w:val="0"/>
                <w:szCs w:val="21"/>
              </w:rPr>
              <w:t>5</w:t>
            </w:r>
          </w:p>
        </w:tc>
        <w:tc>
          <w:tcPr>
            <w:tcW w:w="1080" w:type="dxa"/>
            <w:tcBorders>
              <w:top w:val="nil"/>
              <w:left w:val="nil"/>
              <w:bottom w:val="single" w:color="auto" w:sz="4" w:space="0"/>
              <w:right w:val="single" w:color="auto" w:sz="4" w:space="0"/>
            </w:tcBorders>
            <w:shd w:val="clear" w:color="auto" w:fill="auto"/>
            <w:noWrap/>
            <w:vAlign w:val="center"/>
          </w:tcPr>
          <w:p w14:paraId="2CD86DF8">
            <w:pPr>
              <w:widowControl/>
              <w:jc w:val="center"/>
              <w:rPr>
                <w:rFonts w:ascii="宋体" w:hAnsi="宋体" w:cs="宋体"/>
                <w:color w:val="000000" w:themeColor="text1"/>
                <w:szCs w:val="21"/>
              </w:rPr>
            </w:pPr>
          </w:p>
        </w:tc>
        <w:tc>
          <w:tcPr>
            <w:tcW w:w="1080" w:type="dxa"/>
            <w:tcBorders>
              <w:top w:val="nil"/>
              <w:left w:val="nil"/>
              <w:bottom w:val="single" w:color="auto" w:sz="4" w:space="0"/>
              <w:right w:val="single" w:color="auto" w:sz="4" w:space="0"/>
            </w:tcBorders>
            <w:shd w:val="clear" w:color="auto" w:fill="auto"/>
            <w:noWrap/>
            <w:vAlign w:val="center"/>
          </w:tcPr>
          <w:p w14:paraId="14C8B93E">
            <w:pPr>
              <w:widowControl/>
              <w:jc w:val="center"/>
              <w:rPr>
                <w:rFonts w:ascii="等线" w:hAnsi="等线" w:eastAsia="等线" w:cs="宋体"/>
                <w:kern w:val="0"/>
                <w:sz w:val="22"/>
                <w:szCs w:val="22"/>
              </w:rPr>
            </w:pPr>
            <w:r>
              <w:rPr>
                <w:rFonts w:hint="eastAsia" w:ascii="宋体" w:hAnsi="宋体" w:cs="宋体"/>
                <w:color w:val="000000" w:themeColor="text1"/>
                <w:szCs w:val="21"/>
              </w:rPr>
              <w:t>共同评分因素</w:t>
            </w:r>
          </w:p>
        </w:tc>
      </w:tr>
      <w:tr w14:paraId="3C0F078E">
        <w:tblPrEx>
          <w:tblCellMar>
            <w:top w:w="0" w:type="dxa"/>
            <w:left w:w="108" w:type="dxa"/>
            <w:bottom w:w="0" w:type="dxa"/>
            <w:right w:w="108" w:type="dxa"/>
          </w:tblCellMar>
        </w:tblPrEx>
        <w:trPr>
          <w:trHeight w:val="1185" w:hRule="atLeast"/>
        </w:trPr>
        <w:tc>
          <w:tcPr>
            <w:tcW w:w="860" w:type="dxa"/>
            <w:tcBorders>
              <w:top w:val="nil"/>
              <w:left w:val="single" w:color="auto" w:sz="4" w:space="0"/>
              <w:bottom w:val="single" w:color="auto" w:sz="4" w:space="0"/>
              <w:right w:val="single" w:color="auto" w:sz="4" w:space="0"/>
            </w:tcBorders>
            <w:shd w:val="clear" w:color="auto" w:fill="auto"/>
            <w:vAlign w:val="center"/>
          </w:tcPr>
          <w:p w14:paraId="2D409E88">
            <w:pPr>
              <w:widowControl/>
              <w:jc w:val="center"/>
              <w:rPr>
                <w:rFonts w:ascii="宋体" w:hAnsi="宋体" w:cs="宋体"/>
                <w:kern w:val="0"/>
                <w:szCs w:val="21"/>
              </w:rPr>
            </w:pPr>
            <w:r>
              <w:rPr>
                <w:rFonts w:hint="eastAsia" w:ascii="宋体" w:hAnsi="宋体" w:cs="宋体"/>
                <w:kern w:val="0"/>
                <w:szCs w:val="21"/>
              </w:rPr>
              <w:t>4</w:t>
            </w:r>
          </w:p>
        </w:tc>
        <w:tc>
          <w:tcPr>
            <w:tcW w:w="1600" w:type="dxa"/>
            <w:tcBorders>
              <w:top w:val="nil"/>
              <w:left w:val="nil"/>
              <w:bottom w:val="single" w:color="auto" w:sz="4" w:space="0"/>
              <w:right w:val="single" w:color="auto" w:sz="4" w:space="0"/>
            </w:tcBorders>
            <w:shd w:val="clear" w:color="auto" w:fill="auto"/>
            <w:vAlign w:val="center"/>
          </w:tcPr>
          <w:p w14:paraId="46DE63FE">
            <w:pPr>
              <w:tabs>
                <w:tab w:val="left" w:pos="0"/>
              </w:tabs>
              <w:wordWrap w:val="0"/>
              <w:spacing w:line="360" w:lineRule="exact"/>
              <w:jc w:val="center"/>
              <w:rPr>
                <w:rFonts w:ascii="宋体" w:hAnsi="宋体" w:cs="宋体"/>
                <w:color w:val="000000" w:themeColor="text1"/>
                <w:szCs w:val="21"/>
              </w:rPr>
            </w:pPr>
            <w:r>
              <w:rPr>
                <w:rFonts w:hint="eastAsia" w:ascii="宋体" w:hAnsi="宋体" w:cs="宋体"/>
                <w:color w:val="000000" w:themeColor="text1"/>
                <w:szCs w:val="21"/>
              </w:rPr>
              <w:t>履约经验</w:t>
            </w:r>
          </w:p>
          <w:p w14:paraId="3ADFBC66">
            <w:pPr>
              <w:widowControl/>
              <w:jc w:val="center"/>
              <w:rPr>
                <w:rFonts w:ascii="宋体" w:hAnsi="宋体" w:cs="宋体"/>
                <w:kern w:val="0"/>
                <w:szCs w:val="21"/>
              </w:rPr>
            </w:pPr>
            <w:r>
              <w:rPr>
                <w:rFonts w:hint="eastAsia" w:ascii="宋体" w:hAnsi="宋体" w:cs="宋体"/>
                <w:color w:val="000000" w:themeColor="text1"/>
                <w:szCs w:val="21"/>
              </w:rPr>
              <w:t>5%</w:t>
            </w:r>
          </w:p>
        </w:tc>
        <w:tc>
          <w:tcPr>
            <w:tcW w:w="3160" w:type="dxa"/>
            <w:tcBorders>
              <w:top w:val="nil"/>
              <w:left w:val="nil"/>
              <w:bottom w:val="single" w:color="auto" w:sz="4" w:space="0"/>
              <w:right w:val="single" w:color="auto" w:sz="4" w:space="0"/>
            </w:tcBorders>
            <w:shd w:val="clear" w:color="auto" w:fill="auto"/>
            <w:vAlign w:val="center"/>
          </w:tcPr>
          <w:p w14:paraId="24BD4E14">
            <w:pPr>
              <w:widowControl/>
              <w:jc w:val="center"/>
              <w:rPr>
                <w:rFonts w:ascii="宋体" w:hAnsi="宋体" w:cs="宋体"/>
                <w:kern w:val="0"/>
                <w:szCs w:val="21"/>
              </w:rPr>
            </w:pPr>
            <w:r>
              <w:rPr>
                <w:rFonts w:hint="eastAsia" w:ascii="宋体" w:hAnsi="宋体" w:cs="宋体"/>
                <w:color w:val="000000" w:themeColor="text1"/>
                <w:szCs w:val="21"/>
              </w:rPr>
              <w:t>供应商自2023年1月1日(含当日，以合同签订时间为准)以来，具有类似项目履约经验的，每提供1个项目的证明材料得2.5分，本项最多得5分，需提供合同复印件并加盖投标人公章；</w:t>
            </w:r>
          </w:p>
        </w:tc>
        <w:tc>
          <w:tcPr>
            <w:tcW w:w="1080" w:type="dxa"/>
            <w:tcBorders>
              <w:top w:val="nil"/>
              <w:left w:val="nil"/>
              <w:bottom w:val="single" w:color="auto" w:sz="4" w:space="0"/>
              <w:right w:val="single" w:color="auto" w:sz="4" w:space="0"/>
            </w:tcBorders>
            <w:shd w:val="clear" w:color="auto" w:fill="auto"/>
            <w:vAlign w:val="center"/>
          </w:tcPr>
          <w:p w14:paraId="1567D30C">
            <w:pPr>
              <w:widowControl/>
              <w:jc w:val="center"/>
              <w:rPr>
                <w:rFonts w:ascii="宋体" w:hAnsi="宋体" w:cs="宋体"/>
                <w:kern w:val="0"/>
                <w:szCs w:val="21"/>
              </w:rPr>
            </w:pPr>
            <w:r>
              <w:rPr>
                <w:rFonts w:hint="eastAsia" w:ascii="宋体" w:hAnsi="宋体" w:cs="宋体"/>
                <w:kern w:val="0"/>
                <w:szCs w:val="21"/>
              </w:rPr>
              <w:t>5</w:t>
            </w:r>
          </w:p>
        </w:tc>
        <w:tc>
          <w:tcPr>
            <w:tcW w:w="1080" w:type="dxa"/>
            <w:tcBorders>
              <w:top w:val="nil"/>
              <w:left w:val="nil"/>
              <w:bottom w:val="single" w:color="auto" w:sz="4" w:space="0"/>
              <w:right w:val="single" w:color="auto" w:sz="4" w:space="0"/>
            </w:tcBorders>
            <w:shd w:val="clear" w:color="auto" w:fill="auto"/>
            <w:noWrap/>
            <w:vAlign w:val="center"/>
          </w:tcPr>
          <w:p w14:paraId="62D2B2F0">
            <w:pPr>
              <w:widowControl/>
              <w:jc w:val="center"/>
              <w:rPr>
                <w:rFonts w:ascii="宋体" w:hAnsi="宋体" w:cs="宋体"/>
                <w:color w:val="000000" w:themeColor="text1"/>
                <w:szCs w:val="21"/>
              </w:rPr>
            </w:pPr>
          </w:p>
        </w:tc>
        <w:tc>
          <w:tcPr>
            <w:tcW w:w="1080" w:type="dxa"/>
            <w:tcBorders>
              <w:top w:val="nil"/>
              <w:left w:val="nil"/>
              <w:bottom w:val="single" w:color="auto" w:sz="4" w:space="0"/>
              <w:right w:val="single" w:color="auto" w:sz="4" w:space="0"/>
            </w:tcBorders>
            <w:shd w:val="clear" w:color="auto" w:fill="auto"/>
            <w:noWrap/>
            <w:vAlign w:val="center"/>
          </w:tcPr>
          <w:p w14:paraId="6BFBD8AD">
            <w:pPr>
              <w:widowControl/>
              <w:jc w:val="center"/>
              <w:rPr>
                <w:rFonts w:ascii="等线" w:hAnsi="等线" w:eastAsia="等线" w:cs="宋体"/>
                <w:kern w:val="0"/>
                <w:sz w:val="22"/>
                <w:szCs w:val="22"/>
              </w:rPr>
            </w:pPr>
            <w:r>
              <w:rPr>
                <w:rFonts w:hint="eastAsia" w:ascii="宋体" w:hAnsi="宋体" w:cs="宋体"/>
                <w:color w:val="000000" w:themeColor="text1"/>
                <w:szCs w:val="21"/>
              </w:rPr>
              <w:t>共同评分因素</w:t>
            </w:r>
          </w:p>
        </w:tc>
      </w:tr>
      <w:tr w14:paraId="44912A32">
        <w:tblPrEx>
          <w:tblCellMar>
            <w:top w:w="0" w:type="dxa"/>
            <w:left w:w="108" w:type="dxa"/>
            <w:bottom w:w="0" w:type="dxa"/>
            <w:right w:w="108" w:type="dxa"/>
          </w:tblCellMar>
        </w:tblPrEx>
        <w:trPr>
          <w:trHeight w:val="1200" w:hRule="atLeast"/>
        </w:trPr>
        <w:tc>
          <w:tcPr>
            <w:tcW w:w="860" w:type="dxa"/>
            <w:tcBorders>
              <w:top w:val="single" w:color="auto" w:sz="4" w:space="0"/>
              <w:left w:val="single" w:color="auto" w:sz="4" w:space="0"/>
              <w:bottom w:val="single" w:color="auto" w:sz="4" w:space="0"/>
              <w:right w:val="single" w:color="auto" w:sz="4" w:space="0"/>
            </w:tcBorders>
            <w:shd w:val="clear" w:color="auto" w:fill="auto"/>
            <w:vAlign w:val="center"/>
          </w:tcPr>
          <w:p w14:paraId="3F0D9A58">
            <w:pPr>
              <w:widowControl/>
              <w:jc w:val="center"/>
              <w:rPr>
                <w:rFonts w:ascii="宋体" w:hAnsi="宋体" w:cs="宋体"/>
                <w:kern w:val="0"/>
                <w:szCs w:val="21"/>
              </w:rPr>
            </w:pPr>
            <w:r>
              <w:rPr>
                <w:rFonts w:hint="eastAsia" w:ascii="宋体" w:hAnsi="宋体" w:cs="宋体"/>
                <w:kern w:val="0"/>
                <w:szCs w:val="21"/>
              </w:rPr>
              <w:t>5</w:t>
            </w:r>
          </w:p>
        </w:tc>
        <w:tc>
          <w:tcPr>
            <w:tcW w:w="1600" w:type="dxa"/>
            <w:tcBorders>
              <w:top w:val="single" w:color="auto" w:sz="4" w:space="0"/>
              <w:left w:val="nil"/>
              <w:bottom w:val="single" w:color="auto" w:sz="4" w:space="0"/>
              <w:right w:val="single" w:color="auto" w:sz="4" w:space="0"/>
            </w:tcBorders>
            <w:shd w:val="clear" w:color="auto" w:fill="auto"/>
            <w:vAlign w:val="center"/>
          </w:tcPr>
          <w:p w14:paraId="6D517D3E">
            <w:pPr>
              <w:tabs>
                <w:tab w:val="left" w:pos="0"/>
              </w:tabs>
              <w:wordWrap w:val="0"/>
              <w:overflowPunct w:val="0"/>
              <w:topLinePunct/>
              <w:spacing w:line="360" w:lineRule="exact"/>
              <w:jc w:val="center"/>
              <w:rPr>
                <w:rFonts w:ascii="宋体" w:hAnsi="宋体" w:cs="宋体"/>
                <w:color w:val="000000" w:themeColor="text1"/>
                <w:szCs w:val="21"/>
              </w:rPr>
            </w:pPr>
            <w:r>
              <w:rPr>
                <w:rFonts w:hint="eastAsia" w:ascii="宋体" w:hAnsi="宋体" w:cs="宋体"/>
                <w:color w:val="000000" w:themeColor="text1"/>
                <w:szCs w:val="21"/>
              </w:rPr>
              <w:t>实施方案</w:t>
            </w:r>
          </w:p>
          <w:p w14:paraId="1E12CB68">
            <w:pPr>
              <w:tabs>
                <w:tab w:val="left" w:pos="0"/>
              </w:tabs>
              <w:wordWrap w:val="0"/>
              <w:overflowPunct w:val="0"/>
              <w:topLinePunct/>
              <w:spacing w:line="360" w:lineRule="exact"/>
              <w:jc w:val="center"/>
              <w:rPr>
                <w:rFonts w:ascii="宋体" w:hAnsi="宋体" w:cs="宋体"/>
                <w:color w:val="000000" w:themeColor="text1"/>
                <w:szCs w:val="21"/>
              </w:rPr>
            </w:pPr>
            <w:r>
              <w:rPr>
                <w:rFonts w:hint="eastAsia" w:ascii="宋体" w:hAnsi="宋体" w:cs="宋体"/>
                <w:color w:val="000000" w:themeColor="text1"/>
                <w:szCs w:val="21"/>
              </w:rPr>
              <w:t>20%</w:t>
            </w:r>
          </w:p>
        </w:tc>
        <w:tc>
          <w:tcPr>
            <w:tcW w:w="3160" w:type="dxa"/>
            <w:tcBorders>
              <w:top w:val="single" w:color="auto" w:sz="4" w:space="0"/>
              <w:left w:val="nil"/>
              <w:bottom w:val="single" w:color="auto" w:sz="4" w:space="0"/>
              <w:right w:val="single" w:color="auto" w:sz="4" w:space="0"/>
            </w:tcBorders>
            <w:shd w:val="clear" w:color="auto" w:fill="auto"/>
            <w:vAlign w:val="center"/>
          </w:tcPr>
          <w:p w14:paraId="11FC5B8A">
            <w:pPr>
              <w:tabs>
                <w:tab w:val="left" w:pos="0"/>
              </w:tabs>
              <w:wordWrap w:val="0"/>
              <w:topLinePunct/>
              <w:spacing w:line="360" w:lineRule="exact"/>
              <w:rPr>
                <w:rFonts w:ascii="宋体" w:hAnsi="宋体" w:cs="宋体"/>
                <w:color w:val="000000" w:themeColor="text1"/>
                <w:szCs w:val="21"/>
              </w:rPr>
            </w:pPr>
            <w:r>
              <w:rPr>
                <w:rFonts w:hint="eastAsia" w:ascii="宋体" w:hAnsi="宋体" w:cs="宋体"/>
                <w:color w:val="000000" w:themeColor="text1"/>
                <w:szCs w:val="21"/>
              </w:rPr>
              <w:t>1供应商针对本项提供项目实施方案，包括：①项目实施团队；②计划安排；③产品安装、调试方案；④产品质量保证措施；⑤安全保障措施。</w:t>
            </w:r>
          </w:p>
          <w:p w14:paraId="08D7A25A">
            <w:pPr>
              <w:tabs>
                <w:tab w:val="left" w:pos="0"/>
              </w:tabs>
              <w:wordWrap w:val="0"/>
              <w:topLinePunct/>
              <w:spacing w:line="360" w:lineRule="exact"/>
              <w:rPr>
                <w:rFonts w:ascii="宋体" w:hAnsi="宋体" w:cs="宋体"/>
                <w:color w:val="000000" w:themeColor="text1"/>
                <w:szCs w:val="21"/>
              </w:rPr>
            </w:pPr>
            <w:r>
              <w:rPr>
                <w:rFonts w:hint="eastAsia" w:ascii="宋体" w:hAnsi="宋体" w:cs="宋体"/>
                <w:color w:val="000000" w:themeColor="text1"/>
                <w:szCs w:val="21"/>
              </w:rPr>
              <w:t>以上5项内容完全满足本项目要求的得20分，每缺少一项内容扣4分，内容存在一处缺陷或不足扣2分，扣完为止。</w:t>
            </w:r>
          </w:p>
          <w:p w14:paraId="7D0179FF">
            <w:pPr>
              <w:tabs>
                <w:tab w:val="left" w:pos="0"/>
              </w:tabs>
              <w:wordWrap w:val="0"/>
              <w:overflowPunct w:val="0"/>
              <w:topLinePunct/>
              <w:spacing w:line="360" w:lineRule="exact"/>
              <w:jc w:val="center"/>
              <w:rPr>
                <w:rFonts w:ascii="宋体" w:hAnsi="宋体" w:cs="宋体"/>
                <w:color w:val="000000" w:themeColor="text1"/>
                <w:szCs w:val="21"/>
              </w:rPr>
            </w:pPr>
            <w:r>
              <w:rPr>
                <w:rFonts w:hint="eastAsia" w:ascii="宋体" w:hAnsi="宋体" w:cs="宋体"/>
                <w:color w:val="000000" w:themeColor="text1"/>
                <w:szCs w:val="21"/>
              </w:rPr>
              <w:t>（注：以上缺陷或不足是指：内容套用其他项目方案；存在不适用项目实际情况的情形；阐述存在逻辑错误；引用的法律法规规范、标准或其他规范性文件错误；方案阐述脱离服务需求或照搬采购需求且未就采购需求做进一步描述；方案中存在内容与服务要求不符；仅有标题而无实质性内容等任意一种情形。）</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7D78669C">
            <w:pPr>
              <w:widowControl/>
              <w:jc w:val="center"/>
              <w:rPr>
                <w:rFonts w:ascii="等线" w:hAnsi="等线" w:eastAsia="等线" w:cs="宋体"/>
                <w:kern w:val="0"/>
                <w:sz w:val="22"/>
                <w:szCs w:val="22"/>
              </w:rPr>
            </w:pPr>
            <w:r>
              <w:rPr>
                <w:rFonts w:hint="eastAsia" w:ascii="等线" w:hAnsi="等线" w:eastAsia="等线" w:cs="宋体"/>
                <w:kern w:val="0"/>
                <w:sz w:val="22"/>
                <w:szCs w:val="22"/>
              </w:rPr>
              <w:t>20</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356F3416">
            <w:pPr>
              <w:widowControl/>
              <w:jc w:val="center"/>
              <w:rPr>
                <w:rFonts w:ascii="宋体" w:hAnsi="宋体" w:cs="宋体"/>
                <w:color w:val="000000" w:themeColor="text1"/>
                <w:szCs w:val="21"/>
              </w:rPr>
            </w:pP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2E556111">
            <w:pPr>
              <w:widowControl/>
              <w:jc w:val="center"/>
              <w:rPr>
                <w:rFonts w:ascii="等线" w:hAnsi="等线" w:eastAsia="等线" w:cs="宋体"/>
                <w:kern w:val="0"/>
                <w:sz w:val="22"/>
                <w:szCs w:val="22"/>
              </w:rPr>
            </w:pPr>
            <w:r>
              <w:rPr>
                <w:rFonts w:hint="eastAsia" w:ascii="宋体" w:hAnsi="宋体" w:cs="宋体"/>
                <w:color w:val="000000" w:themeColor="text1"/>
                <w:szCs w:val="21"/>
              </w:rPr>
              <w:t>共同评分因素</w:t>
            </w:r>
          </w:p>
        </w:tc>
      </w:tr>
    </w:tbl>
    <w:p w14:paraId="378DDD32">
      <w:pPr>
        <w:spacing w:line="440" w:lineRule="exact"/>
        <w:ind w:firstLine="420" w:firstLineChars="200"/>
        <w:rPr>
          <w:rFonts w:ascii="宋体" w:hAnsi="宋体" w:cs="宋体"/>
          <w:bCs/>
          <w:szCs w:val="21"/>
        </w:rPr>
      </w:pPr>
      <w:r>
        <w:rPr>
          <w:rFonts w:hint="eastAsia" w:ascii="宋体" w:hAnsi="宋体" w:cs="宋体"/>
          <w:bCs/>
          <w:szCs w:val="21"/>
        </w:rPr>
        <w:t>本项目只产生一个中标人。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4747ECB0">
      <w:pPr>
        <w:pStyle w:val="102"/>
        <w:numPr>
          <w:ilvl w:val="0"/>
          <w:numId w:val="0"/>
        </w:numPr>
        <w:spacing w:beforeLines="100" w:afterLines="50" w:line="480" w:lineRule="exact"/>
      </w:pPr>
      <w:r>
        <w:rPr>
          <w:rFonts w:hint="eastAsia"/>
        </w:rPr>
        <w:t>七、废标及终止招标</w:t>
      </w:r>
    </w:p>
    <w:p w14:paraId="2A7C24BD">
      <w:pPr>
        <w:pStyle w:val="102"/>
        <w:numPr>
          <w:ilvl w:val="0"/>
          <w:numId w:val="29"/>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57DD139">
      <w:pPr>
        <w:pStyle w:val="107"/>
        <w:numPr>
          <w:ilvl w:val="1"/>
          <w:numId w:val="30"/>
        </w:numPr>
        <w:spacing w:line="440" w:lineRule="exact"/>
      </w:pPr>
      <w:r>
        <w:rPr>
          <w:rFonts w:hint="eastAsia"/>
        </w:rPr>
        <w:t>投标人提供的有关资格、资质证明文件不合格、不真实或提供虚假投标材料；</w:t>
      </w:r>
    </w:p>
    <w:p w14:paraId="1E6EF37D">
      <w:pPr>
        <w:pStyle w:val="107"/>
        <w:numPr>
          <w:ilvl w:val="1"/>
          <w:numId w:val="30"/>
        </w:numPr>
        <w:spacing w:line="440" w:lineRule="exact"/>
      </w:pPr>
      <w:r>
        <w:rPr>
          <w:rFonts w:hint="eastAsia"/>
        </w:rPr>
        <w:t>投标人在报价有效期内撤回投标；</w:t>
      </w:r>
    </w:p>
    <w:p w14:paraId="61942176">
      <w:pPr>
        <w:pStyle w:val="107"/>
        <w:numPr>
          <w:ilvl w:val="1"/>
          <w:numId w:val="30"/>
        </w:numPr>
        <w:spacing w:line="440" w:lineRule="exact"/>
      </w:pPr>
      <w:r>
        <w:rPr>
          <w:rFonts w:hint="eastAsia"/>
        </w:rPr>
        <w:t>在整个评标过程中，投标人有企图影响评标结果公正性的任何活动；</w:t>
      </w:r>
    </w:p>
    <w:p w14:paraId="4A4B611A">
      <w:pPr>
        <w:pStyle w:val="107"/>
        <w:numPr>
          <w:ilvl w:val="1"/>
          <w:numId w:val="30"/>
        </w:numPr>
        <w:spacing w:line="440" w:lineRule="exact"/>
      </w:pPr>
      <w:r>
        <w:rPr>
          <w:rFonts w:hint="eastAsia"/>
        </w:rPr>
        <w:t>投标人以任何方式诋毁其他投标人；</w:t>
      </w:r>
    </w:p>
    <w:p w14:paraId="1B4087AB">
      <w:pPr>
        <w:pStyle w:val="107"/>
        <w:numPr>
          <w:ilvl w:val="1"/>
          <w:numId w:val="30"/>
        </w:numPr>
        <w:spacing w:line="440" w:lineRule="exact"/>
      </w:pPr>
      <w:r>
        <w:rPr>
          <w:rFonts w:hint="eastAsia"/>
        </w:rPr>
        <w:t>投标人串通投标；</w:t>
      </w:r>
    </w:p>
    <w:p w14:paraId="7100D460">
      <w:pPr>
        <w:pStyle w:val="107"/>
        <w:numPr>
          <w:ilvl w:val="1"/>
          <w:numId w:val="30"/>
        </w:numPr>
        <w:spacing w:line="440" w:lineRule="exact"/>
      </w:pPr>
      <w:r>
        <w:rPr>
          <w:rFonts w:hint="eastAsia"/>
        </w:rPr>
        <w:t>投标人被举报、检举，并经招标人查实无误的；</w:t>
      </w:r>
    </w:p>
    <w:p w14:paraId="748D3B11">
      <w:pPr>
        <w:pStyle w:val="107"/>
        <w:numPr>
          <w:ilvl w:val="1"/>
          <w:numId w:val="30"/>
        </w:numPr>
        <w:spacing w:line="440" w:lineRule="exact"/>
      </w:pPr>
      <w:r>
        <w:rPr>
          <w:rFonts w:hint="eastAsia"/>
        </w:rPr>
        <w:t>以他人名义投标或者以其他方式弄虚作假，骗取中标的；</w:t>
      </w:r>
    </w:p>
    <w:p w14:paraId="6C85D509">
      <w:pPr>
        <w:pStyle w:val="107"/>
        <w:numPr>
          <w:ilvl w:val="1"/>
          <w:numId w:val="30"/>
        </w:numPr>
        <w:spacing w:line="440" w:lineRule="exact"/>
      </w:pPr>
      <w:r>
        <w:rPr>
          <w:rFonts w:hint="eastAsia"/>
        </w:rPr>
        <w:t>投标人负责人为同一人或者存在控股、管理关系的不同单位；</w:t>
      </w:r>
    </w:p>
    <w:p w14:paraId="639DE544">
      <w:pPr>
        <w:pStyle w:val="107"/>
        <w:numPr>
          <w:ilvl w:val="1"/>
          <w:numId w:val="30"/>
        </w:numPr>
        <w:spacing w:line="440" w:lineRule="exact"/>
      </w:pPr>
      <w:r>
        <w:rPr>
          <w:rFonts w:hint="eastAsia"/>
        </w:rPr>
        <w:t>有效投标不足三家；</w:t>
      </w:r>
    </w:p>
    <w:p w14:paraId="30806971">
      <w:pPr>
        <w:pStyle w:val="107"/>
        <w:numPr>
          <w:ilvl w:val="1"/>
          <w:numId w:val="30"/>
        </w:numPr>
        <w:spacing w:line="440" w:lineRule="exact"/>
      </w:pPr>
      <w:r>
        <w:rPr>
          <w:rFonts w:hint="eastAsia"/>
        </w:rPr>
        <w:t>不同投标人的投标文件异常一致或者投标报价呈规律性差异的；</w:t>
      </w:r>
    </w:p>
    <w:p w14:paraId="3AB3441F">
      <w:pPr>
        <w:pStyle w:val="107"/>
        <w:numPr>
          <w:ilvl w:val="1"/>
          <w:numId w:val="30"/>
        </w:numPr>
        <w:spacing w:line="440" w:lineRule="exact"/>
      </w:pPr>
      <w:r>
        <w:rPr>
          <w:rFonts w:hint="eastAsia"/>
        </w:rPr>
        <w:t>未按要求填报商务报价资料，对招标开展造成较大影响；</w:t>
      </w:r>
    </w:p>
    <w:p w14:paraId="17D22C80">
      <w:pPr>
        <w:pStyle w:val="107"/>
        <w:numPr>
          <w:ilvl w:val="1"/>
          <w:numId w:val="30"/>
        </w:numPr>
        <w:spacing w:line="440" w:lineRule="exact"/>
      </w:pPr>
      <w:r>
        <w:rPr>
          <w:rFonts w:hint="eastAsia"/>
        </w:rPr>
        <w:t>未按照招标人规定的时间内在中国重汽e采通完成投标的；</w:t>
      </w:r>
    </w:p>
    <w:p w14:paraId="7FC49854">
      <w:pPr>
        <w:pStyle w:val="107"/>
        <w:numPr>
          <w:ilvl w:val="1"/>
          <w:numId w:val="30"/>
        </w:numPr>
        <w:spacing w:line="440" w:lineRule="exact"/>
      </w:pPr>
      <w:r>
        <w:rPr>
          <w:rFonts w:hint="eastAsia"/>
        </w:rPr>
        <w:t>法律、法规规定的其他情况。</w:t>
      </w:r>
    </w:p>
    <w:p w14:paraId="321FEC3E">
      <w:pPr>
        <w:pStyle w:val="102"/>
        <w:numPr>
          <w:ilvl w:val="0"/>
          <w:numId w:val="29"/>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14503296">
      <w:pPr>
        <w:numPr>
          <w:ilvl w:val="1"/>
          <w:numId w:val="29"/>
        </w:numPr>
        <w:spacing w:line="440" w:lineRule="exact"/>
        <w:rPr>
          <w:rFonts w:ascii="宋体" w:hAnsi="宋体" w:cs="宋体"/>
          <w:szCs w:val="21"/>
        </w:rPr>
      </w:pPr>
      <w:r>
        <w:rPr>
          <w:rFonts w:hint="eastAsia" w:ascii="宋体" w:hAnsi="宋体" w:cs="宋体"/>
          <w:szCs w:val="21"/>
        </w:rPr>
        <w:t>符合条件的投标人或者对招标文件做实质响应的投标人不足三家的；</w:t>
      </w:r>
    </w:p>
    <w:p w14:paraId="76587ECE">
      <w:pPr>
        <w:numPr>
          <w:ilvl w:val="1"/>
          <w:numId w:val="29"/>
        </w:numPr>
        <w:spacing w:line="440" w:lineRule="exact"/>
        <w:rPr>
          <w:rFonts w:ascii="宋体" w:hAnsi="宋体" w:cs="宋体"/>
          <w:szCs w:val="21"/>
        </w:rPr>
      </w:pPr>
      <w:r>
        <w:rPr>
          <w:rFonts w:hint="eastAsia" w:ascii="宋体" w:hAnsi="宋体" w:cs="宋体"/>
          <w:szCs w:val="21"/>
        </w:rPr>
        <w:t>出现影响采购公正的违法、违规行为的；</w:t>
      </w:r>
    </w:p>
    <w:p w14:paraId="2B23B307">
      <w:pPr>
        <w:numPr>
          <w:ilvl w:val="1"/>
          <w:numId w:val="29"/>
        </w:numPr>
        <w:spacing w:line="440" w:lineRule="exact"/>
        <w:rPr>
          <w:rFonts w:ascii="宋体" w:hAnsi="宋体" w:cs="宋体"/>
          <w:szCs w:val="21"/>
        </w:rPr>
      </w:pPr>
      <w:r>
        <w:rPr>
          <w:rFonts w:hint="eastAsia" w:ascii="宋体" w:hAnsi="宋体" w:cs="宋体"/>
          <w:szCs w:val="21"/>
        </w:rPr>
        <w:t>评标委员会经评审，认为所有投标都不符合招标文件要求的；</w:t>
      </w:r>
    </w:p>
    <w:p w14:paraId="17FBF830">
      <w:pPr>
        <w:numPr>
          <w:ilvl w:val="1"/>
          <w:numId w:val="29"/>
        </w:numPr>
        <w:spacing w:line="440" w:lineRule="exact"/>
        <w:rPr>
          <w:rFonts w:ascii="宋体" w:hAnsi="宋体" w:cs="宋体"/>
          <w:szCs w:val="21"/>
        </w:rPr>
      </w:pPr>
      <w:r>
        <w:rPr>
          <w:rFonts w:hint="eastAsia" w:ascii="宋体" w:hAnsi="宋体" w:cs="宋体"/>
          <w:szCs w:val="21"/>
        </w:rPr>
        <w:t>因重大变故，采购任务取消的</w:t>
      </w:r>
      <w:bookmarkStart w:id="6" w:name="OLE_LINK29"/>
      <w:bookmarkStart w:id="7" w:name="OLE_LINK26"/>
      <w:bookmarkStart w:id="8" w:name="OLE_LINK27"/>
      <w:bookmarkStart w:id="9" w:name="OLE_LINK28"/>
      <w:bookmarkStart w:id="10" w:name="OLE_LINK25"/>
      <w:r>
        <w:rPr>
          <w:rFonts w:hint="eastAsia" w:ascii="宋体" w:hAnsi="宋体" w:cs="宋体"/>
          <w:szCs w:val="21"/>
        </w:rPr>
        <w:t>；</w:t>
      </w:r>
      <w:bookmarkEnd w:id="6"/>
      <w:bookmarkEnd w:id="7"/>
      <w:bookmarkEnd w:id="8"/>
      <w:bookmarkEnd w:id="9"/>
      <w:bookmarkEnd w:id="10"/>
    </w:p>
    <w:p w14:paraId="7494D607">
      <w:pPr>
        <w:numPr>
          <w:ilvl w:val="1"/>
          <w:numId w:val="29"/>
        </w:numPr>
        <w:spacing w:line="440" w:lineRule="exact"/>
        <w:rPr>
          <w:rFonts w:ascii="宋体" w:hAnsi="宋体" w:cs="宋体"/>
          <w:szCs w:val="21"/>
        </w:rPr>
      </w:pPr>
      <w:r>
        <w:rPr>
          <w:rFonts w:hint="eastAsia" w:ascii="宋体" w:hAnsi="宋体" w:cs="宋体"/>
          <w:szCs w:val="21"/>
        </w:rPr>
        <w:t>招标人认为其他应终止招标的情形。</w:t>
      </w:r>
    </w:p>
    <w:p w14:paraId="49281536">
      <w:pPr>
        <w:pStyle w:val="102"/>
        <w:numPr>
          <w:ilvl w:val="0"/>
          <w:numId w:val="29"/>
        </w:numPr>
        <w:spacing w:beforeLines="50" w:afterLines="50" w:line="440" w:lineRule="exact"/>
        <w:outlineLvl w:val="2"/>
        <w:rPr>
          <w:rFonts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32B1776">
      <w:pPr>
        <w:pStyle w:val="102"/>
        <w:numPr>
          <w:ilvl w:val="0"/>
          <w:numId w:val="0"/>
        </w:numPr>
        <w:spacing w:beforeLines="100" w:afterLines="50" w:line="480" w:lineRule="exact"/>
      </w:pPr>
      <w:r>
        <w:rPr>
          <w:rFonts w:hint="eastAsia"/>
        </w:rPr>
        <w:t>八、合同签订</w:t>
      </w:r>
    </w:p>
    <w:p w14:paraId="6A7CE812">
      <w:pPr>
        <w:numPr>
          <w:ilvl w:val="0"/>
          <w:numId w:val="31"/>
        </w:numPr>
        <w:spacing w:line="360" w:lineRule="auto"/>
        <w:rPr>
          <w:rFonts w:ascii="宋体" w:hAnsi="宋体" w:cs="宋体"/>
          <w:szCs w:val="21"/>
        </w:rPr>
      </w:pPr>
      <w:r>
        <w:rPr>
          <w:rFonts w:hint="eastAsia" w:ascii="宋体" w:hAnsi="宋体" w:cs="宋体"/>
          <w:szCs w:val="21"/>
        </w:rPr>
        <w:t>招标人根据评标工作小组的评标结果确定中标人，在重汽e采通平台公布中标结果，并发送中标通知。</w:t>
      </w:r>
    </w:p>
    <w:p w14:paraId="79E6B784">
      <w:pPr>
        <w:numPr>
          <w:ilvl w:val="0"/>
          <w:numId w:val="31"/>
        </w:numPr>
        <w:spacing w:line="360" w:lineRule="auto"/>
        <w:rPr>
          <w:rFonts w:ascii="宋体" w:hAnsi="宋体" w:cs="宋体"/>
          <w:szCs w:val="21"/>
        </w:rPr>
      </w:pPr>
      <w:r>
        <w:rPr>
          <w:rFonts w:hint="eastAsia" w:ascii="宋体" w:hAnsi="宋体" w:cs="宋体"/>
          <w:szCs w:val="21"/>
        </w:rPr>
        <w:t>中标人应该在中标通知书规定的时间、地点与招标人签订采购合同，否则按照开标后撤回投标处理。</w:t>
      </w:r>
    </w:p>
    <w:p w14:paraId="6B7D52CD">
      <w:pPr>
        <w:numPr>
          <w:ilvl w:val="0"/>
          <w:numId w:val="31"/>
        </w:numPr>
        <w:spacing w:line="360" w:lineRule="auto"/>
        <w:rPr>
          <w:rFonts w:ascii="宋体" w:hAnsi="宋体" w:cs="宋体"/>
          <w:szCs w:val="21"/>
        </w:rPr>
      </w:pPr>
      <w:r>
        <w:rPr>
          <w:rFonts w:hint="eastAsia" w:ascii="宋体" w:hAnsi="宋体" w:cs="宋体"/>
          <w:szCs w:val="21"/>
        </w:rPr>
        <w:t>中标人应当按照合同约定的履约责任，在保证质量的前提下完成中标项目，不得将中标项目转包或分包给他人，否则视为违约，招标人有权解除合同。</w:t>
      </w:r>
    </w:p>
    <w:p w14:paraId="0C61FE8E">
      <w:pPr>
        <w:numPr>
          <w:ilvl w:val="0"/>
          <w:numId w:val="31"/>
        </w:numPr>
        <w:spacing w:line="360" w:lineRule="auto"/>
      </w:pPr>
      <w:r>
        <w:rPr>
          <w:rFonts w:hint="eastAsia" w:ascii="宋体" w:hAnsi="宋体" w:cs="宋体"/>
          <w:szCs w:val="21"/>
        </w:rPr>
        <w:t>招标人有权指定招标人的关联单位作为合同签订人，与中标人签署相关合同，且具体权利义务以中标人与招标人的关联公司最终签署的合同为准。</w:t>
      </w:r>
    </w:p>
    <w:p w14:paraId="1E36750D">
      <w:pPr>
        <w:numPr>
          <w:ilvl w:val="0"/>
          <w:numId w:val="31"/>
        </w:numPr>
        <w:spacing w:line="360" w:lineRule="auto"/>
        <w:rPr>
          <w:rFonts w:ascii="宋体" w:hAnsi="宋体" w:cs="宋体"/>
          <w:szCs w:val="21"/>
        </w:rPr>
      </w:pPr>
      <w:r>
        <w:rPr>
          <w:rFonts w:hint="eastAsia" w:ascii="宋体" w:hAnsi="宋体" w:cs="宋体"/>
          <w:szCs w:val="21"/>
        </w:rPr>
        <w:t>中标人由于履行义务的能力或信用有严重缺陷，招标人有权取消其中标资格，招标人将从中标候选单位中依序重新确定中标人，或重新组织招标；</w:t>
      </w:r>
    </w:p>
    <w:p w14:paraId="7CF5B342">
      <w:pPr>
        <w:numPr>
          <w:ilvl w:val="0"/>
          <w:numId w:val="31"/>
        </w:numPr>
        <w:spacing w:line="360" w:lineRule="auto"/>
        <w:rPr>
          <w:rFonts w:ascii="宋体" w:hAnsi="宋体" w:cs="宋体"/>
          <w:szCs w:val="21"/>
        </w:rPr>
      </w:pPr>
      <w:r>
        <w:rPr>
          <w:rFonts w:hint="eastAsia" w:ascii="宋体" w:hAnsi="宋体" w:cs="宋体"/>
          <w:szCs w:val="21"/>
        </w:rPr>
        <w:t>合同以双方最终签署的版本为准。</w:t>
      </w:r>
    </w:p>
    <w:p w14:paraId="381B5894">
      <w:pPr>
        <w:pStyle w:val="102"/>
        <w:numPr>
          <w:ilvl w:val="0"/>
          <w:numId w:val="32"/>
        </w:numPr>
        <w:spacing w:beforeLines="100" w:afterLines="50" w:line="480" w:lineRule="exact"/>
      </w:pPr>
      <w:r>
        <w:rPr>
          <w:rFonts w:hint="eastAsia"/>
        </w:rPr>
        <w:t>交货及付款</w:t>
      </w:r>
    </w:p>
    <w:p w14:paraId="3FA62289">
      <w:pPr>
        <w:spacing w:line="360" w:lineRule="auto"/>
        <w:rPr>
          <w:rFonts w:ascii="宋体" w:hAnsi="宋体" w:cs="宋体"/>
          <w:szCs w:val="21"/>
        </w:rPr>
      </w:pPr>
      <w:r>
        <w:rPr>
          <w:rFonts w:hint="eastAsia" w:ascii="宋体" w:hAnsi="宋体" w:cs="宋体"/>
          <w:szCs w:val="21"/>
        </w:rPr>
        <w:t>1</w:t>
      </w:r>
      <w:r>
        <w:rPr>
          <w:rFonts w:ascii="宋体" w:hAnsi="宋体" w:cs="宋体"/>
          <w:szCs w:val="21"/>
        </w:rPr>
        <w:t>.</w:t>
      </w:r>
      <w:r>
        <w:rPr>
          <w:rFonts w:hint="eastAsia" w:ascii="宋体" w:hAnsi="宋体" w:cs="宋体"/>
          <w:szCs w:val="21"/>
        </w:rPr>
        <w:t>交货期：自合同签定生效之日起，15个日历日之内交货至供货地点。接续</w:t>
      </w:r>
      <w:r>
        <w:rPr>
          <w:rFonts w:ascii="宋体" w:hAnsi="宋体" w:cs="宋体"/>
          <w:szCs w:val="21"/>
        </w:rPr>
        <w:t>5</w:t>
      </w:r>
      <w:r>
        <w:rPr>
          <w:rFonts w:hint="eastAsia" w:ascii="宋体" w:hAnsi="宋体" w:cs="宋体"/>
          <w:szCs w:val="21"/>
        </w:rPr>
        <w:t>个日历日之内安装调试完毕，并投入使用。接续</w:t>
      </w:r>
      <w:r>
        <w:rPr>
          <w:rFonts w:ascii="宋体" w:hAnsi="宋体" w:cs="宋体"/>
          <w:szCs w:val="21"/>
        </w:rPr>
        <w:t>30</w:t>
      </w:r>
      <w:r>
        <w:rPr>
          <w:rFonts w:hint="eastAsia" w:ascii="宋体" w:hAnsi="宋体" w:cs="宋体"/>
          <w:szCs w:val="21"/>
        </w:rPr>
        <w:t>个日历日之内完成终验收。安装调试时间或终验收时间超过规定时间的，投标人应当随标书提供详细的工期计划。</w:t>
      </w:r>
    </w:p>
    <w:p w14:paraId="11BED2EF">
      <w:pPr>
        <w:spacing w:line="360" w:lineRule="auto"/>
        <w:rPr>
          <w:rFonts w:ascii="宋体" w:hAnsi="宋体" w:cs="宋体"/>
          <w:szCs w:val="21"/>
        </w:rPr>
      </w:pPr>
      <w:r>
        <w:rPr>
          <w:rFonts w:ascii="宋体" w:hAnsi="宋体" w:cs="宋体"/>
          <w:szCs w:val="21"/>
        </w:rPr>
        <w:t>2</w:t>
      </w:r>
      <w:r>
        <w:rPr>
          <w:rFonts w:hint="eastAsia" w:ascii="宋体" w:hAnsi="宋体" w:cs="宋体"/>
          <w:szCs w:val="21"/>
        </w:rPr>
        <w:t>.付款方式：银行转账。付款条件：当月挂账后，立即到期。</w:t>
      </w:r>
    </w:p>
    <w:p w14:paraId="1D7BFEB7">
      <w:pPr>
        <w:spacing w:line="420" w:lineRule="exact"/>
        <w:ind w:firstLine="420" w:firstLineChars="200"/>
        <w:rPr>
          <w:rFonts w:ascii="宋体" w:hAnsi="宋体" w:cs="宋体"/>
          <w:sz w:val="24"/>
          <w:szCs w:val="24"/>
        </w:rPr>
      </w:pPr>
      <w:r>
        <w:rPr>
          <w:rFonts w:hint="eastAsia" w:ascii="宋体" w:hAnsi="宋体" w:cs="宋体"/>
          <w:szCs w:val="21"/>
        </w:rPr>
        <w:t>2.1设备交付完成并验收合格，中标人提交金额为合同价款90%的收据并提供合同价款100%的增值税专用发票。经招标人依照财务制度审核通过后支付同总价款的90%。</w:t>
      </w:r>
    </w:p>
    <w:p w14:paraId="3D0CCFE8">
      <w:pPr>
        <w:spacing w:line="360" w:lineRule="auto"/>
        <w:rPr>
          <w:rFonts w:ascii="宋体" w:hAnsi="宋体" w:cs="宋体"/>
          <w:sz w:val="24"/>
          <w:szCs w:val="24"/>
        </w:rPr>
      </w:pPr>
      <w:r>
        <w:rPr>
          <w:rFonts w:hint="eastAsia" w:ascii="宋体" w:hAnsi="宋体" w:cs="宋体"/>
          <w:szCs w:val="21"/>
        </w:rPr>
        <w:t>2.2合同总价款的10%作为合同约定服务质量保证金，自验收合格之日起满（12个月）质保期。质量保证金在质量保证期内不计利息。质保期届满后立即支付。</w:t>
      </w:r>
    </w:p>
    <w:p w14:paraId="05B0BB30">
      <w:pPr>
        <w:pStyle w:val="107"/>
        <w:spacing w:line="440" w:lineRule="exact"/>
        <w:ind w:firstLine="562" w:firstLineChars="200"/>
        <w:rPr>
          <w:b/>
          <w:sz w:val="28"/>
          <w:szCs w:val="28"/>
        </w:rPr>
      </w:pPr>
      <w:r>
        <w:rPr>
          <w:rFonts w:hint="eastAsia"/>
          <w:b/>
          <w:sz w:val="28"/>
          <w:szCs w:val="28"/>
        </w:rPr>
        <w:t>本次招标最终解释权归中国重汽集团成都王牌商用车有限公司。</w:t>
      </w:r>
    </w:p>
    <w:p w14:paraId="11E1115E">
      <w:pPr>
        <w:pStyle w:val="107"/>
        <w:spacing w:line="440" w:lineRule="exact"/>
        <w:ind w:firstLine="562" w:firstLineChars="200"/>
        <w:rPr>
          <w:b/>
          <w:sz w:val="28"/>
          <w:szCs w:val="28"/>
        </w:rPr>
      </w:pPr>
    </w:p>
    <w:p w14:paraId="44C2E318">
      <w:pPr>
        <w:pStyle w:val="107"/>
        <w:spacing w:line="440" w:lineRule="exact"/>
        <w:ind w:firstLine="562" w:firstLineChars="200"/>
        <w:rPr>
          <w:b/>
          <w:sz w:val="28"/>
          <w:szCs w:val="28"/>
        </w:rPr>
      </w:pPr>
    </w:p>
    <w:p w14:paraId="48133647">
      <w:pPr>
        <w:pStyle w:val="107"/>
        <w:rPr>
          <w:b/>
          <w:sz w:val="28"/>
          <w:szCs w:val="28"/>
        </w:rPr>
      </w:pPr>
    </w:p>
    <w:p w14:paraId="1E1E461D">
      <w:pPr>
        <w:pStyle w:val="107"/>
      </w:pPr>
    </w:p>
    <w:p w14:paraId="7B250F27">
      <w:bookmarkStart w:id="11" w:name="_Toc47976607"/>
    </w:p>
    <w:p w14:paraId="18B3EB9B">
      <w:pPr>
        <w:pStyle w:val="101"/>
      </w:pPr>
      <w:bookmarkStart w:id="12" w:name="_Toc216428602"/>
      <w:r>
        <w:rPr>
          <w:rFonts w:hint="eastAsia"/>
        </w:rPr>
        <w:t>第二部分　</w:t>
      </w:r>
      <w:bookmarkEnd w:id="11"/>
      <w:r>
        <w:rPr>
          <w:rFonts w:hint="eastAsia"/>
        </w:rPr>
        <w:t>技术标书</w:t>
      </w:r>
      <w:bookmarkEnd w:id="12"/>
    </w:p>
    <w:p w14:paraId="657FD9EF">
      <w:pPr>
        <w:keepNext/>
        <w:keepLines/>
        <w:spacing w:before="120" w:after="120" w:line="480" w:lineRule="exact"/>
        <w:jc w:val="center"/>
        <w:outlineLvl w:val="1"/>
        <w:rPr>
          <w:rFonts w:ascii="宋体" w:hAnsi="Calibri"/>
          <w:b/>
          <w:bCs/>
          <w:kern w:val="44"/>
          <w:sz w:val="28"/>
          <w:szCs w:val="28"/>
        </w:rPr>
      </w:pPr>
      <w:bookmarkStart w:id="13" w:name="_Toc169605877"/>
      <w:r>
        <w:rPr>
          <w:rFonts w:hint="eastAsia" w:ascii="宋体" w:hAnsi="宋体"/>
          <w:b/>
          <w:bCs/>
          <w:kern w:val="44"/>
          <w:sz w:val="28"/>
          <w:szCs w:val="28"/>
        </w:rPr>
        <w:t>第一章采购货物概况</w:t>
      </w:r>
    </w:p>
    <w:p w14:paraId="138544F7">
      <w:pPr>
        <w:keepNext/>
        <w:keepLines/>
        <w:spacing w:before="120" w:after="120" w:line="480" w:lineRule="exact"/>
        <w:jc w:val="center"/>
        <w:outlineLvl w:val="2"/>
        <w:rPr>
          <w:rFonts w:ascii="Arial" w:hAnsi="Arial"/>
          <w:b/>
          <w:bCs/>
          <w:sz w:val="24"/>
          <w:szCs w:val="24"/>
        </w:rPr>
      </w:pPr>
      <w:r>
        <w:rPr>
          <w:rFonts w:hint="eastAsia" w:ascii="Arial" w:hAnsi="Arial"/>
          <w:b/>
          <w:bCs/>
          <w:sz w:val="24"/>
          <w:szCs w:val="24"/>
        </w:rPr>
        <w:t>第一节使用环境</w:t>
      </w:r>
    </w:p>
    <w:p w14:paraId="29903752">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一、项目名称：</w:t>
      </w:r>
      <w:r>
        <w:rPr>
          <w:rFonts w:hint="eastAsia" w:ascii="宋体" w:hAnsi="宋体" w:cs="宋体"/>
          <w:sz w:val="24"/>
          <w:szCs w:val="24"/>
          <w:u w:val="single"/>
        </w:rPr>
        <w:t>成都王牌新增上网行为管理设备项目</w:t>
      </w:r>
    </w:p>
    <w:p w14:paraId="2543CEDD">
      <w:pPr>
        <w:spacing w:line="360" w:lineRule="auto"/>
        <w:outlineLvl w:val="3"/>
        <w:rPr>
          <w:rFonts w:ascii="宋体" w:hAnsi="宋体" w:cs="宋体"/>
          <w:sz w:val="24"/>
          <w:szCs w:val="24"/>
          <w:u w:val="single"/>
        </w:rPr>
      </w:pPr>
      <w:r>
        <w:rPr>
          <w:rFonts w:hint="eastAsia" w:ascii="宋体" w:hAnsi="宋体" w:cs="宋体"/>
          <w:sz w:val="24"/>
          <w:szCs w:val="24"/>
        </w:rPr>
        <w:t>二、建设地点：</w:t>
      </w:r>
      <w:r>
        <w:rPr>
          <w:rFonts w:hint="eastAsia" w:ascii="宋体" w:hAnsi="宋体" w:cs="宋体"/>
          <w:sz w:val="24"/>
          <w:szCs w:val="24"/>
          <w:u w:val="single"/>
        </w:rPr>
        <w:t>成都市青白江区弥牟镇中国重汽集团成都王牌商用车有限公司</w:t>
      </w:r>
    </w:p>
    <w:p w14:paraId="23FEF2A0">
      <w:pPr>
        <w:spacing w:line="360" w:lineRule="auto"/>
        <w:outlineLvl w:val="3"/>
        <w:rPr>
          <w:rFonts w:ascii="宋体" w:hAnsi="宋体" w:cs="宋体"/>
          <w:sz w:val="24"/>
          <w:szCs w:val="24"/>
        </w:rPr>
      </w:pPr>
      <w:r>
        <w:rPr>
          <w:rFonts w:hint="eastAsia" w:ascii="宋体" w:hAnsi="宋体" w:cs="宋体"/>
          <w:sz w:val="24"/>
          <w:szCs w:val="24"/>
        </w:rPr>
        <w:t>三、使用地点：</w:t>
      </w:r>
      <w:r>
        <w:rPr>
          <w:rFonts w:hint="eastAsia" w:ascii="宋体" w:hAnsi="宋体" w:cs="宋体"/>
          <w:sz w:val="24"/>
          <w:szCs w:val="24"/>
          <w:u w:val="single"/>
        </w:rPr>
        <w:t>成都市</w:t>
      </w:r>
    </w:p>
    <w:p w14:paraId="0ECAC78F">
      <w:pPr>
        <w:spacing w:line="360" w:lineRule="auto"/>
        <w:outlineLvl w:val="3"/>
        <w:rPr>
          <w:rFonts w:ascii="宋体" w:hAnsi="宋体" w:cs="宋体"/>
          <w:sz w:val="24"/>
          <w:szCs w:val="24"/>
        </w:rPr>
      </w:pPr>
      <w:r>
        <w:rPr>
          <w:rFonts w:hint="eastAsia" w:ascii="宋体" w:hAnsi="宋体" w:cs="宋体"/>
          <w:sz w:val="24"/>
          <w:szCs w:val="24"/>
        </w:rPr>
        <w:t>四、工作制度：全年工作≥</w:t>
      </w:r>
      <w:r>
        <w:rPr>
          <w:rFonts w:ascii="宋体" w:hAnsi="宋体" w:cs="宋体"/>
          <w:sz w:val="24"/>
          <w:szCs w:val="24"/>
        </w:rPr>
        <w:t>250</w:t>
      </w:r>
      <w:r>
        <w:rPr>
          <w:rFonts w:hint="eastAsia" w:ascii="宋体" w:hAnsi="宋体" w:cs="宋体"/>
          <w:sz w:val="24"/>
          <w:szCs w:val="24"/>
        </w:rPr>
        <w:t>天、设备年时基数</w:t>
      </w:r>
      <w:r>
        <w:rPr>
          <w:rFonts w:ascii="宋体" w:hAnsi="宋体" w:cs="宋体"/>
          <w:sz w:val="24"/>
          <w:szCs w:val="24"/>
          <w:u w:val="single"/>
        </w:rPr>
        <w:t>1440</w:t>
      </w:r>
      <w:r>
        <w:rPr>
          <w:rFonts w:hint="eastAsia" w:ascii="宋体" w:hAnsi="宋体" w:cs="宋体"/>
          <w:sz w:val="24"/>
          <w:szCs w:val="24"/>
        </w:rPr>
        <w:t>小时</w:t>
      </w:r>
    </w:p>
    <w:p w14:paraId="288EDBFE">
      <w:pPr>
        <w:spacing w:line="360" w:lineRule="auto"/>
        <w:outlineLvl w:val="3"/>
        <w:rPr>
          <w:rFonts w:ascii="宋体" w:hAnsi="宋体" w:cs="宋体"/>
          <w:sz w:val="24"/>
          <w:szCs w:val="24"/>
        </w:rPr>
      </w:pPr>
      <w:r>
        <w:rPr>
          <w:rFonts w:hint="eastAsia" w:ascii="宋体" w:hAnsi="宋体" w:cs="宋体"/>
          <w:sz w:val="24"/>
          <w:szCs w:val="24"/>
        </w:rPr>
        <w:t>五、使用地点区域自然环境：</w:t>
      </w:r>
    </w:p>
    <w:p w14:paraId="1A86176B">
      <w:pPr>
        <w:spacing w:line="360" w:lineRule="auto"/>
        <w:ind w:firstLine="480" w:firstLineChars="200"/>
        <w:rPr>
          <w:rFonts w:ascii="宋体" w:hAnsi="宋体" w:cs="宋体"/>
          <w:bCs/>
          <w:sz w:val="24"/>
          <w:szCs w:val="24"/>
        </w:rPr>
      </w:pPr>
      <w:r>
        <w:rPr>
          <w:rFonts w:hint="eastAsia" w:ascii="宋体" w:hAnsi="宋体" w:cs="宋体"/>
          <w:bCs/>
          <w:sz w:val="24"/>
          <w:szCs w:val="24"/>
        </w:rPr>
        <w:t>1.海拔高度：</w:t>
      </w:r>
      <w:r>
        <w:rPr>
          <w:rFonts w:ascii="宋体" w:hAnsi="宋体" w:cs="宋体"/>
          <w:bCs/>
          <w:sz w:val="24"/>
          <w:szCs w:val="24"/>
        </w:rPr>
        <w:t>1</w:t>
      </w:r>
      <w:r>
        <w:rPr>
          <w:rFonts w:hint="eastAsia" w:ascii="宋体" w:hAnsi="宋体" w:cs="宋体"/>
          <w:bCs/>
          <w:sz w:val="24"/>
          <w:szCs w:val="24"/>
        </w:rPr>
        <w:t>000m以下。</w:t>
      </w:r>
    </w:p>
    <w:p w14:paraId="77EA0746">
      <w:pPr>
        <w:spacing w:line="360" w:lineRule="auto"/>
        <w:ind w:firstLine="480" w:firstLineChars="200"/>
        <w:rPr>
          <w:rFonts w:ascii="宋体" w:hAnsi="宋体" w:cs="宋体"/>
          <w:bCs/>
          <w:sz w:val="24"/>
          <w:szCs w:val="24"/>
        </w:rPr>
      </w:pPr>
      <w:r>
        <w:rPr>
          <w:rFonts w:hint="eastAsia" w:ascii="宋体" w:hAnsi="宋体" w:cs="宋体"/>
          <w:bCs/>
          <w:sz w:val="24"/>
          <w:szCs w:val="24"/>
        </w:rPr>
        <w:t>2.环境温度：室外极端最低温度-</w:t>
      </w:r>
      <w:r>
        <w:rPr>
          <w:rFonts w:ascii="宋体" w:hAnsi="宋体" w:cs="宋体"/>
          <w:bCs/>
          <w:sz w:val="24"/>
          <w:szCs w:val="24"/>
        </w:rPr>
        <w:t>5</w:t>
      </w:r>
      <w:r>
        <w:rPr>
          <w:rFonts w:hint="eastAsia" w:ascii="宋体" w:hAnsi="宋体" w:cs="宋体"/>
          <w:bCs/>
          <w:sz w:val="24"/>
          <w:szCs w:val="24"/>
        </w:rPr>
        <w:t>℃、极端最高温度4</w:t>
      </w:r>
      <w:r>
        <w:rPr>
          <w:rFonts w:ascii="宋体" w:hAnsi="宋体" w:cs="宋体"/>
          <w:bCs/>
          <w:sz w:val="24"/>
          <w:szCs w:val="24"/>
        </w:rPr>
        <w:t>2</w:t>
      </w:r>
      <w:r>
        <w:rPr>
          <w:rFonts w:hint="eastAsia" w:ascii="宋体" w:hAnsi="宋体" w:cs="宋体"/>
          <w:bCs/>
          <w:sz w:val="24"/>
          <w:szCs w:val="24"/>
        </w:rPr>
        <w:t>℃，昼夜最大温差</w:t>
      </w:r>
      <w:r>
        <w:rPr>
          <w:rFonts w:ascii="宋体" w:hAnsi="宋体" w:cs="宋体"/>
          <w:bCs/>
          <w:sz w:val="24"/>
          <w:szCs w:val="24"/>
        </w:rPr>
        <w:t>20</w:t>
      </w:r>
      <w:r>
        <w:rPr>
          <w:rFonts w:hint="eastAsia" w:ascii="宋体" w:hAnsi="宋体" w:cs="宋体"/>
          <w:bCs/>
          <w:sz w:val="24"/>
          <w:szCs w:val="24"/>
        </w:rPr>
        <w:t>℃。</w:t>
      </w:r>
    </w:p>
    <w:p w14:paraId="38340861">
      <w:pPr>
        <w:spacing w:line="360" w:lineRule="auto"/>
        <w:ind w:firstLine="480" w:firstLineChars="200"/>
        <w:rPr>
          <w:rFonts w:ascii="宋体" w:hAnsi="宋体" w:cs="宋体"/>
          <w:bCs/>
          <w:sz w:val="24"/>
          <w:szCs w:val="24"/>
        </w:rPr>
      </w:pPr>
      <w:r>
        <w:rPr>
          <w:rFonts w:hint="eastAsia" w:ascii="宋体" w:hAnsi="宋体" w:cs="宋体"/>
          <w:bCs/>
          <w:sz w:val="24"/>
          <w:szCs w:val="24"/>
        </w:rPr>
        <w:t>3.相对湿度：年平均5</w:t>
      </w:r>
      <w:r>
        <w:rPr>
          <w:rFonts w:ascii="宋体" w:hAnsi="宋体" w:cs="宋体"/>
          <w:bCs/>
          <w:sz w:val="24"/>
          <w:szCs w:val="24"/>
        </w:rPr>
        <w:t>975%</w:t>
      </w:r>
      <w:r>
        <w:rPr>
          <w:rFonts w:hint="eastAsia" w:ascii="宋体" w:hAnsi="宋体" w:cs="宋体"/>
          <w:bCs/>
          <w:sz w:val="24"/>
          <w:szCs w:val="24"/>
        </w:rPr>
        <w:t>，最大95%、最小15</w:t>
      </w:r>
      <w:r>
        <w:rPr>
          <w:rFonts w:ascii="宋体" w:hAnsi="宋体" w:cs="宋体"/>
          <w:bCs/>
          <w:sz w:val="24"/>
          <w:szCs w:val="24"/>
        </w:rPr>
        <w:t>20</w:t>
      </w:r>
      <w:r>
        <w:rPr>
          <w:rFonts w:hint="eastAsia" w:ascii="宋体" w:hAnsi="宋体" w:cs="宋体"/>
          <w:bCs/>
          <w:sz w:val="24"/>
          <w:szCs w:val="24"/>
        </w:rPr>
        <w:t>%。</w:t>
      </w:r>
    </w:p>
    <w:p w14:paraId="2145D5C5">
      <w:pPr>
        <w:spacing w:line="360" w:lineRule="auto"/>
        <w:ind w:firstLine="480" w:firstLineChars="200"/>
        <w:outlineLvl w:val="3"/>
        <w:rPr>
          <w:rFonts w:ascii="宋体" w:hAnsi="宋体"/>
          <w:sz w:val="24"/>
          <w:szCs w:val="24"/>
        </w:rPr>
      </w:pPr>
      <w:r>
        <w:rPr>
          <w:rFonts w:hint="eastAsia" w:ascii="宋体" w:hAnsi="宋体"/>
          <w:sz w:val="24"/>
          <w:szCs w:val="24"/>
        </w:rPr>
        <w:t>4.降雨量：日最大降雨量</w:t>
      </w:r>
      <w:r>
        <w:rPr>
          <w:rFonts w:ascii="宋体" w:hAnsi="宋体"/>
          <w:sz w:val="24"/>
          <w:szCs w:val="24"/>
        </w:rPr>
        <w:t>200</w:t>
      </w:r>
      <w:r>
        <w:rPr>
          <w:rFonts w:hint="eastAsia" w:ascii="宋体" w:hAnsi="宋体"/>
          <w:sz w:val="24"/>
          <w:szCs w:val="24"/>
        </w:rPr>
        <w:t>mm、时最大降雨量</w:t>
      </w:r>
      <w:r>
        <w:rPr>
          <w:rFonts w:ascii="宋体" w:hAnsi="宋体"/>
          <w:sz w:val="24"/>
          <w:szCs w:val="24"/>
        </w:rPr>
        <w:t>80</w:t>
      </w:r>
      <w:r>
        <w:rPr>
          <w:rFonts w:hint="eastAsia" w:ascii="宋体" w:hAnsi="宋体"/>
          <w:sz w:val="24"/>
          <w:szCs w:val="24"/>
        </w:rPr>
        <w:t>mm。</w:t>
      </w:r>
    </w:p>
    <w:p w14:paraId="28D15209">
      <w:pPr>
        <w:pStyle w:val="25"/>
        <w:ind w:firstLine="480" w:firstLineChars="200"/>
      </w:pPr>
      <w:r>
        <w:rPr>
          <w:rFonts w:hint="eastAsia" w:hAnsi="宋体"/>
          <w:sz w:val="24"/>
          <w:szCs w:val="24"/>
        </w:rPr>
        <w:t>5</w:t>
      </w:r>
      <w:r>
        <w:rPr>
          <w:rFonts w:hAnsi="宋体"/>
          <w:sz w:val="24"/>
          <w:szCs w:val="24"/>
        </w:rPr>
        <w:t>.</w:t>
      </w:r>
      <w:r>
        <w:rPr>
          <w:rFonts w:hint="eastAsia" w:hAnsi="宋体"/>
          <w:sz w:val="24"/>
          <w:szCs w:val="24"/>
        </w:rPr>
        <w:t>最大风速：2</w:t>
      </w:r>
      <w:r>
        <w:rPr>
          <w:rFonts w:hAnsi="宋体"/>
          <w:sz w:val="24"/>
          <w:szCs w:val="24"/>
        </w:rPr>
        <w:t>5</w:t>
      </w:r>
      <w:r>
        <w:rPr>
          <w:rFonts w:hint="eastAsia" w:hAnsi="宋体"/>
          <w:sz w:val="24"/>
          <w:szCs w:val="24"/>
        </w:rPr>
        <w:t>m/s</w:t>
      </w:r>
    </w:p>
    <w:p w14:paraId="1829EA45">
      <w:pPr>
        <w:spacing w:line="360" w:lineRule="auto"/>
        <w:outlineLvl w:val="3"/>
        <w:rPr>
          <w:rFonts w:ascii="宋体" w:hAnsi="宋体" w:cs="宋体"/>
          <w:bCs/>
          <w:sz w:val="24"/>
          <w:szCs w:val="24"/>
        </w:rPr>
      </w:pPr>
      <w:r>
        <w:rPr>
          <w:rFonts w:hint="eastAsia" w:ascii="宋体" w:hAnsi="宋体" w:cs="宋体"/>
          <w:bCs/>
          <w:sz w:val="24"/>
          <w:szCs w:val="24"/>
        </w:rPr>
        <w:t>六、能源环境：</w:t>
      </w:r>
    </w:p>
    <w:p w14:paraId="0C122047">
      <w:pPr>
        <w:spacing w:line="360" w:lineRule="auto"/>
        <w:ind w:firstLine="480" w:firstLineChars="200"/>
        <w:rPr>
          <w:rFonts w:ascii="宋体" w:hAnsi="宋体" w:cs="宋体"/>
          <w:bCs/>
          <w:sz w:val="24"/>
          <w:szCs w:val="24"/>
        </w:rPr>
      </w:pPr>
      <w:bookmarkStart w:id="14" w:name="_Hlk195005990"/>
      <w:r>
        <w:rPr>
          <w:rFonts w:hint="eastAsia" w:ascii="宋体" w:hAnsi="宋体" w:cs="宋体"/>
          <w:bCs/>
          <w:sz w:val="24"/>
          <w:szCs w:val="24"/>
        </w:rPr>
        <w:t>1.电力：中国制式，供电电压220V±15%，供电频率50Hz±2%。</w:t>
      </w:r>
    </w:p>
    <w:bookmarkEnd w:id="14"/>
    <w:p w14:paraId="774557DD">
      <w:pPr>
        <w:spacing w:line="360" w:lineRule="auto"/>
        <w:ind w:firstLine="482" w:firstLineChars="200"/>
        <w:jc w:val="center"/>
        <w:rPr>
          <w:rFonts w:ascii="宋体" w:hAnsi="Arial"/>
          <w:b/>
          <w:bCs/>
          <w:sz w:val="24"/>
          <w:szCs w:val="24"/>
        </w:rPr>
      </w:pPr>
      <w:r>
        <w:rPr>
          <w:rFonts w:hint="eastAsia" w:ascii="宋体" w:hAnsi="宋体"/>
          <w:b/>
          <w:bCs/>
          <w:sz w:val="24"/>
          <w:szCs w:val="24"/>
        </w:rPr>
        <w:t>第二节采购货物概况</w:t>
      </w:r>
    </w:p>
    <w:p w14:paraId="26553673">
      <w:pPr>
        <w:spacing w:line="360" w:lineRule="auto"/>
        <w:outlineLvl w:val="3"/>
        <w:rPr>
          <w:rFonts w:ascii="宋体" w:hAnsi="宋体" w:cs="宋体"/>
          <w:sz w:val="24"/>
          <w:szCs w:val="24"/>
          <w:u w:val="single"/>
          <w:shd w:val="pct10" w:color="auto" w:fill="FFFFFF"/>
        </w:rPr>
      </w:pPr>
      <w:r>
        <w:rPr>
          <w:rFonts w:hint="eastAsia" w:ascii="宋体" w:hAnsi="宋体" w:cs="宋体"/>
          <w:b/>
          <w:sz w:val="24"/>
          <w:szCs w:val="24"/>
        </w:rPr>
        <w:t>一、货物名称：</w:t>
      </w:r>
      <w:r>
        <w:rPr>
          <w:rFonts w:hint="eastAsia" w:ascii="宋体" w:hAnsi="宋体" w:cs="宋体"/>
          <w:sz w:val="24"/>
          <w:szCs w:val="24"/>
          <w:u w:val="single"/>
        </w:rPr>
        <w:t>上网行为管理设备</w:t>
      </w:r>
      <w:r>
        <w:rPr>
          <w:rFonts w:hint="eastAsia" w:ascii="宋体" w:hAnsi="宋体" w:cs="宋体"/>
          <w:sz w:val="24"/>
          <w:szCs w:val="24"/>
        </w:rPr>
        <w:t>（详见下表）</w:t>
      </w:r>
    </w:p>
    <w:p w14:paraId="0D7010AF">
      <w:pPr>
        <w:spacing w:line="420" w:lineRule="exact"/>
        <w:outlineLvl w:val="3"/>
        <w:rPr>
          <w:rFonts w:ascii="宋体" w:hAnsi="宋体" w:cs="宋体"/>
          <w:sz w:val="24"/>
          <w:szCs w:val="24"/>
        </w:rPr>
      </w:pPr>
      <w:r>
        <w:rPr>
          <w:rFonts w:hint="eastAsia" w:ascii="宋体" w:hAnsi="宋体" w:cs="宋体"/>
          <w:b/>
          <w:sz w:val="24"/>
          <w:szCs w:val="24"/>
        </w:rPr>
        <w:t>二、货物数量：</w:t>
      </w:r>
      <w:r>
        <w:rPr>
          <w:rFonts w:hint="eastAsia" w:ascii="宋体" w:hAnsi="宋体" w:cs="宋体"/>
          <w:sz w:val="24"/>
          <w:szCs w:val="24"/>
          <w:u w:val="single"/>
        </w:rPr>
        <w:t>1台</w:t>
      </w:r>
      <w:r>
        <w:rPr>
          <w:rFonts w:hint="eastAsia" w:ascii="宋体" w:hAnsi="宋体" w:cs="宋体"/>
          <w:sz w:val="24"/>
          <w:szCs w:val="24"/>
        </w:rPr>
        <w:t>（详见下表）</w:t>
      </w:r>
    </w:p>
    <w:p w14:paraId="4DD6CE9D">
      <w:pPr>
        <w:spacing w:line="420" w:lineRule="exact"/>
        <w:outlineLvl w:val="3"/>
        <w:rPr>
          <w:rFonts w:ascii="宋体" w:hAnsi="宋体" w:cs="宋体"/>
          <w:b/>
          <w:sz w:val="24"/>
          <w:szCs w:val="24"/>
        </w:rPr>
      </w:pPr>
      <w:r>
        <w:rPr>
          <w:rFonts w:hint="eastAsia" w:ascii="宋体" w:hAnsi="宋体" w:cs="宋体"/>
          <w:b/>
          <w:sz w:val="24"/>
          <w:szCs w:val="24"/>
        </w:rPr>
        <w:t>三、分投分中：不允许</w:t>
      </w:r>
    </w:p>
    <w:p w14:paraId="6FBE255E">
      <w:pPr>
        <w:pStyle w:val="2"/>
        <w:ind w:left="420" w:firstLine="420"/>
      </w:pPr>
    </w:p>
    <w:p w14:paraId="7716C6F7">
      <w:pPr>
        <w:jc w:val="center"/>
        <w:rPr>
          <w:rFonts w:ascii="宋体" w:hAnsi="宋体" w:cs="宋体"/>
          <w:sz w:val="24"/>
          <w:szCs w:val="24"/>
        </w:rPr>
      </w:pPr>
      <w:r>
        <w:rPr>
          <w:rFonts w:hint="eastAsia" w:ascii="宋体" w:hAnsi="宋体" w:cs="宋体"/>
          <w:sz w:val="24"/>
          <w:szCs w:val="24"/>
        </w:rPr>
        <w:t>采购货物主要构成一览表：</w:t>
      </w:r>
    </w:p>
    <w:tbl>
      <w:tblPr>
        <w:tblStyle w:val="45"/>
        <w:tblW w:w="9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613"/>
        <w:gridCol w:w="6427"/>
        <w:gridCol w:w="442"/>
        <w:gridCol w:w="926"/>
      </w:tblGrid>
      <w:tr w14:paraId="7566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56" w:type="dxa"/>
            <w:tcBorders>
              <w:top w:val="single" w:color="auto" w:sz="4" w:space="0"/>
              <w:left w:val="single" w:color="auto" w:sz="4" w:space="0"/>
              <w:bottom w:val="single" w:color="auto" w:sz="4" w:space="0"/>
              <w:right w:val="single" w:color="auto" w:sz="4" w:space="0"/>
            </w:tcBorders>
            <w:shd w:val="clear" w:color="000000" w:fill="FFFFFF"/>
            <w:vAlign w:val="center"/>
          </w:tcPr>
          <w:p w14:paraId="2BE90104">
            <w:pPr>
              <w:spacing w:line="360" w:lineRule="exact"/>
              <w:jc w:val="center"/>
              <w:rPr>
                <w:rFonts w:ascii="宋体" w:hAnsi="宋体" w:cs="宋体"/>
                <w:sz w:val="24"/>
                <w:szCs w:val="24"/>
              </w:rPr>
            </w:pPr>
            <w:r>
              <w:rPr>
                <w:rFonts w:hint="eastAsia" w:ascii="宋体" w:hAnsi="宋体" w:cs="宋体"/>
                <w:sz w:val="24"/>
                <w:szCs w:val="24"/>
              </w:rPr>
              <w:t>序号</w:t>
            </w:r>
          </w:p>
        </w:tc>
        <w:tc>
          <w:tcPr>
            <w:tcW w:w="613" w:type="dxa"/>
            <w:tcBorders>
              <w:top w:val="single" w:color="auto" w:sz="4" w:space="0"/>
              <w:left w:val="single" w:color="auto" w:sz="4" w:space="0"/>
              <w:bottom w:val="single" w:color="auto" w:sz="4" w:space="0"/>
              <w:right w:val="single" w:color="auto" w:sz="4" w:space="0"/>
            </w:tcBorders>
            <w:shd w:val="clear" w:color="000000" w:fill="FFFFFF"/>
            <w:vAlign w:val="center"/>
          </w:tcPr>
          <w:p w14:paraId="39BE5E10">
            <w:pPr>
              <w:spacing w:line="360" w:lineRule="exact"/>
              <w:jc w:val="center"/>
              <w:rPr>
                <w:rFonts w:ascii="宋体" w:hAnsi="宋体" w:cs="宋体"/>
                <w:sz w:val="24"/>
                <w:szCs w:val="24"/>
              </w:rPr>
            </w:pPr>
            <w:r>
              <w:rPr>
                <w:rFonts w:hint="eastAsia" w:ascii="宋体" w:hAnsi="宋体" w:cs="宋体"/>
                <w:sz w:val="24"/>
                <w:szCs w:val="24"/>
              </w:rPr>
              <w:t>项目名称</w:t>
            </w:r>
          </w:p>
        </w:tc>
        <w:tc>
          <w:tcPr>
            <w:tcW w:w="6427" w:type="dxa"/>
            <w:tcBorders>
              <w:top w:val="single" w:color="auto" w:sz="4" w:space="0"/>
              <w:left w:val="single" w:color="auto" w:sz="4" w:space="0"/>
              <w:bottom w:val="single" w:color="auto" w:sz="4" w:space="0"/>
              <w:right w:val="single" w:color="auto" w:sz="4" w:space="0"/>
            </w:tcBorders>
            <w:shd w:val="clear" w:color="000000" w:fill="FFFFFF"/>
            <w:vAlign w:val="center"/>
          </w:tcPr>
          <w:p w14:paraId="0B54FC8C">
            <w:pPr>
              <w:spacing w:line="360" w:lineRule="exact"/>
              <w:jc w:val="center"/>
              <w:rPr>
                <w:rFonts w:ascii="宋体" w:hAnsi="宋体" w:cs="宋体"/>
                <w:sz w:val="24"/>
                <w:szCs w:val="24"/>
              </w:rPr>
            </w:pPr>
            <w:r>
              <w:rPr>
                <w:rFonts w:hint="eastAsia" w:ascii="宋体" w:hAnsi="宋体" w:cs="宋体"/>
                <w:sz w:val="24"/>
                <w:szCs w:val="24"/>
              </w:rPr>
              <w:t>性能参数功能要求</w:t>
            </w:r>
          </w:p>
        </w:tc>
        <w:tc>
          <w:tcPr>
            <w:tcW w:w="442" w:type="dxa"/>
            <w:tcBorders>
              <w:top w:val="single" w:color="auto" w:sz="4" w:space="0"/>
              <w:left w:val="single" w:color="auto" w:sz="4" w:space="0"/>
              <w:bottom w:val="single" w:color="auto" w:sz="4" w:space="0"/>
              <w:right w:val="single" w:color="auto" w:sz="4" w:space="0"/>
            </w:tcBorders>
            <w:shd w:val="clear" w:color="000000" w:fill="FFFFFF"/>
            <w:vAlign w:val="center"/>
          </w:tcPr>
          <w:p w14:paraId="7F2F9068">
            <w:pPr>
              <w:spacing w:line="360" w:lineRule="exact"/>
              <w:jc w:val="center"/>
              <w:rPr>
                <w:rFonts w:ascii="宋体" w:hAnsi="宋体" w:cs="宋体"/>
                <w:sz w:val="24"/>
                <w:szCs w:val="24"/>
              </w:rPr>
            </w:pPr>
            <w:r>
              <w:rPr>
                <w:rFonts w:hint="eastAsia" w:ascii="宋体" w:hAnsi="宋体" w:cs="宋体"/>
                <w:sz w:val="24"/>
                <w:szCs w:val="24"/>
              </w:rPr>
              <w:t>单位</w:t>
            </w:r>
          </w:p>
        </w:tc>
        <w:tc>
          <w:tcPr>
            <w:tcW w:w="926" w:type="dxa"/>
            <w:tcBorders>
              <w:top w:val="single" w:color="auto" w:sz="4" w:space="0"/>
              <w:left w:val="single" w:color="auto" w:sz="4" w:space="0"/>
              <w:bottom w:val="single" w:color="auto" w:sz="4" w:space="0"/>
              <w:right w:val="single" w:color="auto" w:sz="4" w:space="0"/>
            </w:tcBorders>
            <w:shd w:val="clear" w:color="000000" w:fill="FFFFFF"/>
            <w:vAlign w:val="center"/>
          </w:tcPr>
          <w:p w14:paraId="3FEBBBE1">
            <w:pPr>
              <w:spacing w:line="360" w:lineRule="exact"/>
              <w:jc w:val="center"/>
              <w:rPr>
                <w:rFonts w:ascii="宋体" w:hAnsi="宋体" w:cs="宋体"/>
                <w:sz w:val="24"/>
                <w:szCs w:val="24"/>
              </w:rPr>
            </w:pPr>
            <w:r>
              <w:rPr>
                <w:rFonts w:hint="eastAsia" w:ascii="宋体" w:hAnsi="宋体" w:cs="宋体"/>
                <w:sz w:val="24"/>
                <w:szCs w:val="24"/>
              </w:rPr>
              <w:t>数量</w:t>
            </w:r>
          </w:p>
        </w:tc>
      </w:tr>
      <w:tr w14:paraId="487D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4" w:hRule="atLeast"/>
        </w:trPr>
        <w:tc>
          <w:tcPr>
            <w:tcW w:w="656" w:type="dxa"/>
            <w:tcBorders>
              <w:top w:val="single" w:color="auto" w:sz="4" w:space="0"/>
              <w:left w:val="single" w:color="auto" w:sz="4" w:space="0"/>
              <w:bottom w:val="single" w:color="auto" w:sz="4" w:space="0"/>
              <w:right w:val="single" w:color="auto" w:sz="4" w:space="0"/>
            </w:tcBorders>
            <w:shd w:val="clear" w:color="000000" w:fill="FFFFFF"/>
            <w:vAlign w:val="center"/>
          </w:tcPr>
          <w:p w14:paraId="576472F4">
            <w:pPr>
              <w:spacing w:line="360" w:lineRule="exact"/>
              <w:jc w:val="center"/>
              <w:rPr>
                <w:rFonts w:ascii="宋体" w:hAnsi="宋体" w:cs="宋体"/>
                <w:sz w:val="24"/>
                <w:szCs w:val="24"/>
              </w:rPr>
            </w:pPr>
            <w:r>
              <w:rPr>
                <w:rFonts w:hint="eastAsia" w:ascii="宋体" w:hAnsi="宋体" w:cs="宋体"/>
                <w:sz w:val="24"/>
                <w:szCs w:val="24"/>
              </w:rPr>
              <w:t>1</w:t>
            </w:r>
          </w:p>
        </w:tc>
        <w:tc>
          <w:tcPr>
            <w:tcW w:w="613" w:type="dxa"/>
            <w:tcBorders>
              <w:top w:val="single" w:color="auto" w:sz="4" w:space="0"/>
              <w:left w:val="single" w:color="auto" w:sz="4" w:space="0"/>
              <w:bottom w:val="single" w:color="auto" w:sz="4" w:space="0"/>
              <w:right w:val="single" w:color="auto" w:sz="4" w:space="0"/>
            </w:tcBorders>
            <w:shd w:val="clear" w:color="000000" w:fill="FFFFFF"/>
            <w:vAlign w:val="center"/>
          </w:tcPr>
          <w:p w14:paraId="03C23A6F">
            <w:pPr>
              <w:spacing w:line="360" w:lineRule="exact"/>
              <w:jc w:val="center"/>
              <w:rPr>
                <w:rFonts w:ascii="宋体" w:hAnsi="宋体" w:cs="宋体"/>
                <w:sz w:val="24"/>
                <w:szCs w:val="24"/>
              </w:rPr>
            </w:pPr>
            <w:r>
              <w:rPr>
                <w:rFonts w:hint="eastAsia" w:ascii="宋体" w:hAnsi="宋体" w:cs="宋体"/>
                <w:sz w:val="24"/>
                <w:szCs w:val="24"/>
              </w:rPr>
              <w:t>成都王牌新增上网行为管理设备</w:t>
            </w:r>
          </w:p>
        </w:tc>
        <w:tc>
          <w:tcPr>
            <w:tcW w:w="6427" w:type="dxa"/>
            <w:tcBorders>
              <w:top w:val="single" w:color="auto" w:sz="4" w:space="0"/>
              <w:left w:val="single" w:color="auto" w:sz="4" w:space="0"/>
              <w:bottom w:val="single" w:color="auto" w:sz="4" w:space="0"/>
              <w:right w:val="single" w:color="auto" w:sz="4" w:space="0"/>
            </w:tcBorders>
            <w:shd w:val="clear" w:color="000000" w:fill="FFFFFF"/>
            <w:vAlign w:val="center"/>
          </w:tcPr>
          <w:p w14:paraId="0F1B328A">
            <w:pPr>
              <w:numPr>
                <w:ilvl w:val="0"/>
                <w:numId w:val="33"/>
              </w:numPr>
              <w:spacing w:line="360" w:lineRule="exact"/>
              <w:jc w:val="left"/>
              <w:rPr>
                <w:rFonts w:ascii="宋体" w:hAnsi="宋体" w:cs="宋体"/>
                <w:b/>
                <w:bCs/>
                <w:sz w:val="24"/>
                <w:szCs w:val="24"/>
              </w:rPr>
            </w:pPr>
            <w:r>
              <w:rPr>
                <w:rFonts w:hint="eastAsia" w:ascii="宋体" w:hAnsi="宋体" w:cs="宋体"/>
                <w:b/>
                <w:bCs/>
                <w:sz w:val="24"/>
                <w:szCs w:val="24"/>
              </w:rPr>
              <w:t>性能参数</w:t>
            </w:r>
          </w:p>
          <w:p w14:paraId="48F5843A">
            <w:pPr>
              <w:spacing w:line="360" w:lineRule="exact"/>
              <w:jc w:val="left"/>
              <w:rPr>
                <w:rFonts w:ascii="宋体" w:hAnsi="宋体" w:cs="宋体"/>
                <w:sz w:val="24"/>
                <w:szCs w:val="24"/>
              </w:rPr>
            </w:pPr>
            <w:r>
              <w:rPr>
                <w:rFonts w:hint="eastAsia" w:ascii="微软雅黑" w:hAnsi="微软雅黑" w:eastAsia="微软雅黑" w:cs="微软雅黑"/>
              </w:rPr>
              <w:t>★</w:t>
            </w:r>
            <w:r>
              <w:rPr>
                <w:rFonts w:hint="eastAsia" w:ascii="宋体" w:hAnsi="宋体" w:cs="宋体"/>
                <w:sz w:val="24"/>
                <w:szCs w:val="24"/>
              </w:rPr>
              <w:t>网络层吞吐量（大包）：≥5.8Gb，应用层吞吐量：≥750Mb，带宽性能：≥500Mb，IPSEC VPN加密性能（最高性能）：≥120Mb，支持准入用户数：≥1000，包转发率：90Kpps，每秒新建连接数：≥10000，最大并发连接数：≥500000。</w:t>
            </w:r>
          </w:p>
          <w:p w14:paraId="60407A27">
            <w:pPr>
              <w:spacing w:line="360" w:lineRule="exact"/>
              <w:jc w:val="left"/>
              <w:rPr>
                <w:rFonts w:ascii="宋体" w:hAnsi="宋体" w:cs="宋体"/>
                <w:sz w:val="24"/>
                <w:szCs w:val="24"/>
              </w:rPr>
            </w:pPr>
            <w:r>
              <w:rPr>
                <w:rFonts w:hint="eastAsia" w:ascii="微软雅黑" w:hAnsi="微软雅黑" w:eastAsia="微软雅黑" w:cs="微软雅黑"/>
              </w:rPr>
              <w:t>★</w:t>
            </w:r>
            <w:r>
              <w:rPr>
                <w:rFonts w:hint="eastAsia" w:ascii="宋体" w:hAnsi="宋体" w:cs="宋体"/>
                <w:sz w:val="24"/>
                <w:szCs w:val="24"/>
              </w:rPr>
              <w:t>硬件参数：规格：≥1U，内存大小：≥8G，硬盘容量：≥128GB+960G SSD，电源：单/双电源，接口：≥6千兆电口。</w:t>
            </w:r>
          </w:p>
          <w:p w14:paraId="51564298">
            <w:pPr>
              <w:pStyle w:val="21"/>
              <w:widowControl/>
              <w:jc w:val="left"/>
              <w:rPr>
                <w:rFonts w:ascii="微软雅黑" w:hAnsi="微软雅黑" w:eastAsia="微软雅黑" w:cs="微软雅黑"/>
                <w:sz w:val="24"/>
                <w:szCs w:val="24"/>
              </w:rPr>
            </w:pPr>
            <w:bookmarkStart w:id="15" w:name="_Toc18058"/>
            <w:bookmarkStart w:id="16" w:name="OLE_LINK2"/>
            <w:r>
              <w:rPr>
                <w:rFonts w:hint="eastAsia" w:ascii="微软雅黑" w:hAnsi="微软雅黑" w:eastAsia="微软雅黑" w:cs="微软雅黑"/>
                <w:sz w:val="24"/>
                <w:szCs w:val="24"/>
              </w:rPr>
              <w:t>实质性参数，不满足将否决其投标文件。</w:t>
            </w:r>
          </w:p>
          <w:bookmarkEnd w:id="15"/>
          <w:p w14:paraId="1A782D7A">
            <w:pPr>
              <w:pStyle w:val="21"/>
              <w:widowControl/>
              <w:jc w:val="left"/>
              <w:rPr>
                <w:rFonts w:ascii="宋体" w:hAnsi="宋体" w:eastAsia="宋体" w:cs="宋体"/>
                <w:b/>
                <w:bCs/>
                <w:sz w:val="24"/>
                <w:szCs w:val="24"/>
              </w:rPr>
            </w:pPr>
            <w:r>
              <w:rPr>
                <w:rFonts w:hint="eastAsia" w:ascii="宋体" w:hAnsi="宋体" w:eastAsia="宋体" w:cs="宋体"/>
                <w:b/>
                <w:bCs/>
                <w:sz w:val="24"/>
                <w:szCs w:val="24"/>
              </w:rPr>
              <w:t>2、上网行为管理系统功能要求</w:t>
            </w:r>
          </w:p>
          <w:p w14:paraId="5BCB347A">
            <w:pPr>
              <w:pStyle w:val="21"/>
              <w:widowControl/>
              <w:jc w:val="left"/>
              <w:rPr>
                <w:rFonts w:ascii="宋体" w:hAnsi="宋体" w:eastAsia="宋体" w:cs="宋体"/>
                <w:b/>
                <w:bCs/>
                <w:sz w:val="24"/>
                <w:szCs w:val="24"/>
              </w:rPr>
            </w:pPr>
            <w:r>
              <w:rPr>
                <w:rFonts w:hint="eastAsia" w:ascii="宋体" w:hAnsi="宋体" w:eastAsia="宋体" w:cs="宋体"/>
                <w:b/>
                <w:bCs/>
                <w:sz w:val="24"/>
                <w:szCs w:val="24"/>
              </w:rPr>
              <w:t>2.1流量管理与应用控制功能</w:t>
            </w:r>
          </w:p>
          <w:p w14:paraId="0273D52C">
            <w:pPr>
              <w:pStyle w:val="21"/>
              <w:widowControl/>
              <w:jc w:val="left"/>
              <w:rPr>
                <w:rFonts w:ascii="宋体" w:hAnsi="宋体" w:eastAsia="宋体" w:cs="宋体"/>
                <w:sz w:val="24"/>
                <w:szCs w:val="24"/>
              </w:rPr>
            </w:pPr>
            <w:r>
              <w:rPr>
                <w:rFonts w:hint="eastAsia" w:ascii="宋体" w:hAnsi="宋体" w:eastAsia="宋体" w:cs="宋体"/>
                <w:sz w:val="24"/>
                <w:szCs w:val="24"/>
              </w:rPr>
              <w:t>（1）支持动态流量调整，根据线路/通道空闲情况自动启停流控策略，提升带宽利用率；线路空闲值可自定义（需提供产品功能截图并加盖投标人公章)</w:t>
            </w:r>
          </w:p>
          <w:p w14:paraId="3E985028">
            <w:pPr>
              <w:pStyle w:val="21"/>
              <w:widowControl/>
              <w:jc w:val="left"/>
              <w:rPr>
                <w:rFonts w:ascii="宋体" w:hAnsi="宋体" w:eastAsia="宋体" w:cs="宋体"/>
                <w:sz w:val="24"/>
                <w:szCs w:val="24"/>
              </w:rPr>
            </w:pPr>
            <w:r>
              <w:rPr>
                <w:rFonts w:hint="eastAsia" w:ascii="宋体" w:hAnsi="宋体" w:eastAsia="宋体" w:cs="宋体"/>
                <w:sz w:val="24"/>
                <w:szCs w:val="24"/>
              </w:rPr>
              <w:t>（2）▲支持P2P智能流控，通过抑制P2P下行丢包减缓下行流量，解决出口流控后压力问题（需提供国家认可的第三方机构出具的检验/检测报告复印件并加盖投标人公章)</w:t>
            </w:r>
          </w:p>
          <w:p w14:paraId="7CD73015">
            <w:pPr>
              <w:pStyle w:val="21"/>
              <w:widowControl/>
              <w:jc w:val="left"/>
              <w:rPr>
                <w:rFonts w:ascii="宋体" w:hAnsi="宋体" w:eastAsia="宋体" w:cs="宋体"/>
                <w:sz w:val="24"/>
                <w:szCs w:val="24"/>
              </w:rPr>
            </w:pPr>
            <w:r>
              <w:rPr>
                <w:rFonts w:hint="eastAsia" w:ascii="宋体" w:hAnsi="宋体" w:eastAsia="宋体" w:cs="宋体"/>
                <w:sz w:val="24"/>
                <w:szCs w:val="24"/>
              </w:rPr>
              <w:t>（3）▲内置应用识别规则库≥10000种应用/规则，支持标签管理和SaaS应用分类支持应用控制功能，可识别控制即时通讯/文件传输/流媒体/P2P/网盘等应用，按应用设允许/阻断/限速（需提供国家认可的第三方机构出具的检验/检测报告复印件并加盖投标人公章)</w:t>
            </w:r>
          </w:p>
          <w:p w14:paraId="008C5103">
            <w:pPr>
              <w:pStyle w:val="21"/>
              <w:widowControl/>
              <w:jc w:val="left"/>
              <w:rPr>
                <w:rFonts w:ascii="宋体" w:hAnsi="宋体" w:eastAsia="宋体" w:cs="宋体"/>
                <w:sz w:val="24"/>
                <w:szCs w:val="24"/>
              </w:rPr>
            </w:pPr>
            <w:r>
              <w:rPr>
                <w:rFonts w:hint="eastAsia" w:ascii="宋体" w:hAnsi="宋体" w:eastAsia="宋体" w:cs="宋体"/>
                <w:sz w:val="24"/>
                <w:szCs w:val="24"/>
              </w:rPr>
              <w:t xml:space="preserve">（4）支持按用户/用户组/位置/终端类型设置日流量、月流量配额，支持实时使用量查询 </w:t>
            </w:r>
          </w:p>
          <w:p w14:paraId="5810C236">
            <w:pPr>
              <w:pStyle w:val="21"/>
              <w:widowControl/>
              <w:jc w:val="left"/>
              <w:rPr>
                <w:rFonts w:ascii="宋体" w:hAnsi="宋体" w:eastAsia="宋体" w:cs="宋体"/>
                <w:sz w:val="24"/>
                <w:szCs w:val="24"/>
              </w:rPr>
            </w:pPr>
            <w:r>
              <w:rPr>
                <w:rFonts w:hint="eastAsia" w:ascii="宋体" w:hAnsi="宋体" w:eastAsia="宋体" w:cs="宋体"/>
                <w:sz w:val="24"/>
                <w:szCs w:val="24"/>
              </w:rPr>
              <w:t>（5）支持首页分析显示接入用户人数、终端类型；带宽质量分析、实时流量排名；资产类型分布、新设备发现趋势、终端违规检查项排行、终端违规用户排行；</w:t>
            </w:r>
          </w:p>
          <w:p w14:paraId="3C85E415">
            <w:pPr>
              <w:pStyle w:val="21"/>
              <w:widowControl/>
              <w:jc w:val="left"/>
              <w:rPr>
                <w:rFonts w:ascii="宋体" w:hAnsi="宋体" w:eastAsia="宋体" w:cs="宋体"/>
                <w:b/>
                <w:bCs/>
                <w:sz w:val="24"/>
                <w:szCs w:val="24"/>
              </w:rPr>
            </w:pPr>
            <w:r>
              <w:rPr>
                <w:rFonts w:hint="eastAsia" w:ascii="宋体" w:hAnsi="宋体" w:eastAsia="宋体" w:cs="宋体"/>
                <w:b/>
                <w:bCs/>
                <w:sz w:val="24"/>
                <w:szCs w:val="24"/>
              </w:rPr>
              <w:t>2.2上网访问控制功能</w:t>
            </w:r>
          </w:p>
          <w:p w14:paraId="1B37347F">
            <w:pPr>
              <w:pStyle w:val="21"/>
              <w:widowControl/>
              <w:jc w:val="left"/>
              <w:rPr>
                <w:rFonts w:ascii="宋体" w:hAnsi="宋体" w:eastAsia="宋体" w:cs="宋体"/>
                <w:sz w:val="24"/>
                <w:szCs w:val="24"/>
              </w:rPr>
            </w:pPr>
            <w:r>
              <w:rPr>
                <w:rFonts w:hint="eastAsia" w:ascii="宋体" w:hAnsi="宋体" w:eastAsia="宋体" w:cs="宋体"/>
                <w:sz w:val="24"/>
                <w:szCs w:val="24"/>
              </w:rPr>
              <w:t>（1）支持URL类型识别和分类，主流URL区分"网站浏览/文件上传/其他上传/HTTPS"等细分行为并分别做权限控制</w:t>
            </w:r>
          </w:p>
          <w:p w14:paraId="01B5D362">
            <w:pPr>
              <w:pStyle w:val="21"/>
              <w:widowControl/>
              <w:jc w:val="left"/>
              <w:rPr>
                <w:rFonts w:ascii="宋体" w:hAnsi="宋体" w:eastAsia="宋体" w:cs="宋体"/>
                <w:sz w:val="24"/>
                <w:szCs w:val="24"/>
              </w:rPr>
            </w:pPr>
            <w:r>
              <w:rPr>
                <w:rFonts w:hint="eastAsia" w:ascii="宋体" w:hAnsi="宋体" w:eastAsia="宋体" w:cs="宋体"/>
                <w:sz w:val="24"/>
                <w:szCs w:val="24"/>
              </w:rPr>
              <w:t>（2）支持基于用户/用户组/IP地址/时间段等多维度访问控制策略配置，实现精细化权限管理（含工作时间/非工作时间差异化策略）</w:t>
            </w:r>
          </w:p>
          <w:p w14:paraId="644A8E83">
            <w:pPr>
              <w:pStyle w:val="21"/>
              <w:widowControl/>
              <w:jc w:val="left"/>
              <w:rPr>
                <w:rFonts w:ascii="宋体" w:hAnsi="宋体" w:eastAsia="宋体" w:cs="宋体"/>
                <w:sz w:val="24"/>
                <w:szCs w:val="24"/>
              </w:rPr>
            </w:pPr>
            <w:r>
              <w:rPr>
                <w:rFonts w:hint="eastAsia" w:ascii="宋体" w:hAnsi="宋体" w:eastAsia="宋体" w:cs="宋体"/>
                <w:sz w:val="24"/>
                <w:szCs w:val="24"/>
              </w:rPr>
              <w:t xml:space="preserve">（3）支持对违规网站访问行为阻断和告警，可按网站分类（赌博/色情/钓鱼等）自动阻断 </w:t>
            </w:r>
          </w:p>
          <w:p w14:paraId="5E592363">
            <w:pPr>
              <w:pStyle w:val="21"/>
              <w:widowControl/>
              <w:jc w:val="left"/>
              <w:rPr>
                <w:rFonts w:ascii="宋体" w:hAnsi="宋体" w:eastAsia="宋体" w:cs="宋体"/>
                <w:sz w:val="24"/>
                <w:szCs w:val="24"/>
              </w:rPr>
            </w:pPr>
            <w:r>
              <w:rPr>
                <w:rFonts w:hint="eastAsia" w:ascii="宋体" w:hAnsi="宋体" w:eastAsia="宋体" w:cs="宋体"/>
                <w:sz w:val="24"/>
                <w:szCs w:val="24"/>
              </w:rPr>
              <w:t>（4）支持对违规应用使用行为管控，可禁止或限制与工作无关应用</w:t>
            </w:r>
          </w:p>
          <w:p w14:paraId="671E511C">
            <w:pPr>
              <w:pStyle w:val="21"/>
              <w:widowControl/>
              <w:jc w:val="left"/>
              <w:rPr>
                <w:rFonts w:ascii="宋体" w:hAnsi="宋体" w:eastAsia="宋体" w:cs="宋体"/>
                <w:b/>
                <w:bCs/>
                <w:sz w:val="24"/>
                <w:szCs w:val="24"/>
              </w:rPr>
            </w:pPr>
            <w:r>
              <w:rPr>
                <w:rFonts w:hint="eastAsia" w:ascii="宋体" w:hAnsi="宋体" w:eastAsia="宋体" w:cs="宋体"/>
                <w:b/>
                <w:bCs/>
                <w:sz w:val="24"/>
                <w:szCs w:val="24"/>
              </w:rPr>
              <w:t>2.3SSL加密检测与行为审计溯源功能</w:t>
            </w:r>
          </w:p>
          <w:p w14:paraId="773E2F52">
            <w:pPr>
              <w:pStyle w:val="21"/>
              <w:widowControl/>
              <w:jc w:val="left"/>
              <w:rPr>
                <w:rFonts w:ascii="宋体" w:hAnsi="宋体" w:eastAsia="宋体" w:cs="宋体"/>
                <w:sz w:val="24"/>
                <w:szCs w:val="24"/>
              </w:rPr>
            </w:pPr>
            <w:r>
              <w:rPr>
                <w:rFonts w:hint="eastAsia" w:ascii="宋体" w:hAnsi="宋体" w:eastAsia="宋体" w:cs="宋体"/>
                <w:sz w:val="24"/>
                <w:szCs w:val="24"/>
              </w:rPr>
              <w:t>（1）支持SSL中间人解密和客户端解密，确保数据传输透明性与安全性（需提供国家认可的第三方机构出具的检验/检测报告复印件并加盖投标人公章)</w:t>
            </w:r>
          </w:p>
          <w:p w14:paraId="672A08CF">
            <w:pPr>
              <w:pStyle w:val="21"/>
              <w:widowControl/>
              <w:jc w:val="left"/>
              <w:rPr>
                <w:rFonts w:ascii="宋体" w:hAnsi="宋体" w:eastAsia="宋体" w:cs="宋体"/>
                <w:sz w:val="24"/>
                <w:szCs w:val="24"/>
              </w:rPr>
            </w:pPr>
            <w:r>
              <w:rPr>
                <w:rFonts w:hint="eastAsia" w:ascii="宋体" w:hAnsi="宋体" w:eastAsia="宋体" w:cs="宋体"/>
                <w:sz w:val="24"/>
                <w:szCs w:val="24"/>
              </w:rPr>
              <w:t>（2） 支持SSL加密网页内容检查，可解密识别过滤内容，针对加密钓鱼/非法网站对用户重定向告警</w:t>
            </w:r>
          </w:p>
          <w:p w14:paraId="17489BC3">
            <w:pPr>
              <w:pStyle w:val="21"/>
              <w:widowControl/>
              <w:jc w:val="left"/>
              <w:rPr>
                <w:rFonts w:ascii="宋体" w:hAnsi="宋体" w:eastAsia="宋体" w:cs="宋体"/>
                <w:sz w:val="24"/>
                <w:szCs w:val="24"/>
              </w:rPr>
            </w:pPr>
            <w:r>
              <w:rPr>
                <w:rFonts w:hint="eastAsia" w:ascii="宋体" w:hAnsi="宋体" w:eastAsia="宋体" w:cs="宋体"/>
                <w:sz w:val="24"/>
                <w:szCs w:val="24"/>
              </w:rPr>
              <w:t>（3）支持记录全部/指定类别URL、网页标题、网页内容，支持网页内容审计快照功能 （需提供国家认可的第三方机构出具的检验/检测报告复印件并加盖投标人公章)</w:t>
            </w:r>
          </w:p>
          <w:p w14:paraId="33087232">
            <w:pPr>
              <w:pStyle w:val="21"/>
              <w:widowControl/>
              <w:jc w:val="left"/>
              <w:rPr>
                <w:rFonts w:ascii="宋体" w:hAnsi="宋体" w:eastAsia="宋体" w:cs="宋体"/>
                <w:sz w:val="24"/>
                <w:szCs w:val="24"/>
              </w:rPr>
            </w:pPr>
            <w:r>
              <w:rPr>
                <w:rFonts w:hint="eastAsia" w:ascii="宋体" w:hAnsi="宋体" w:eastAsia="宋体" w:cs="宋体"/>
                <w:sz w:val="24"/>
                <w:szCs w:val="24"/>
              </w:rPr>
              <w:t xml:space="preserve">（4）支持精确用户身份识别，结合IP/MAC/账号认证等多种方式准确关联上网行为与用户身份 </w:t>
            </w:r>
          </w:p>
          <w:p w14:paraId="57B3BF2C">
            <w:pPr>
              <w:pStyle w:val="21"/>
              <w:widowControl/>
              <w:jc w:val="left"/>
              <w:rPr>
                <w:rFonts w:ascii="宋体" w:hAnsi="宋体" w:eastAsia="宋体" w:cs="宋体"/>
                <w:sz w:val="24"/>
                <w:szCs w:val="24"/>
              </w:rPr>
            </w:pPr>
            <w:r>
              <w:rPr>
                <w:rFonts w:hint="eastAsia" w:ascii="宋体" w:hAnsi="宋体" w:eastAsia="宋体" w:cs="宋体"/>
                <w:sz w:val="24"/>
                <w:szCs w:val="24"/>
              </w:rPr>
              <w:t>（5）▲可审计Google Chrome、Microsoft Edge、Firefox、搜狗、猎豹、QQ、遨游等浏览器的文件外发行为，可指定审计范围，只对特定URL的上传行为做审计（需提供国家认可的第三方机构出具的检验/检测报告复印件并加盖投标人公章)</w:t>
            </w:r>
          </w:p>
          <w:p w14:paraId="72D0EEDC">
            <w:pPr>
              <w:pStyle w:val="21"/>
              <w:widowControl/>
              <w:jc w:val="left"/>
              <w:rPr>
                <w:rFonts w:ascii="宋体" w:hAnsi="宋体" w:eastAsia="宋体" w:cs="宋体"/>
                <w:sz w:val="24"/>
                <w:szCs w:val="24"/>
              </w:rPr>
            </w:pPr>
            <w:r>
              <w:rPr>
                <w:rFonts w:hint="eastAsia" w:ascii="宋体" w:hAnsi="宋体" w:eastAsia="宋体" w:cs="宋体"/>
                <w:sz w:val="24"/>
                <w:szCs w:val="24"/>
              </w:rPr>
              <w:t>（6）支持SSL加密网页的内容检查，可对SSL加密网页进行解密并识别、过滤其内容，针对加密后的钓鱼网站、非法网站，可对用户进行重定向告警</w:t>
            </w:r>
          </w:p>
          <w:p w14:paraId="0AEEEC0F">
            <w:pPr>
              <w:pStyle w:val="21"/>
              <w:widowControl/>
              <w:jc w:val="left"/>
              <w:rPr>
                <w:rFonts w:ascii="宋体" w:hAnsi="宋体" w:eastAsia="宋体" w:cs="宋体"/>
                <w:sz w:val="24"/>
                <w:szCs w:val="24"/>
              </w:rPr>
            </w:pPr>
            <w:r>
              <w:rPr>
                <w:rFonts w:hint="eastAsia" w:ascii="宋体" w:hAnsi="宋体" w:eastAsia="宋体" w:cs="宋体"/>
                <w:sz w:val="24"/>
                <w:szCs w:val="24"/>
              </w:rPr>
              <w:t>2.4日志管理与合规功能</w:t>
            </w:r>
          </w:p>
          <w:p w14:paraId="2CB504BA">
            <w:pPr>
              <w:pStyle w:val="21"/>
              <w:widowControl/>
              <w:jc w:val="left"/>
              <w:rPr>
                <w:rFonts w:ascii="宋体" w:hAnsi="宋体" w:eastAsia="宋体" w:cs="宋体"/>
                <w:sz w:val="24"/>
                <w:szCs w:val="24"/>
              </w:rPr>
            </w:pPr>
            <w:r>
              <w:rPr>
                <w:rFonts w:hint="eastAsia" w:ascii="宋体" w:hAnsi="宋体" w:eastAsia="宋体" w:cs="宋体"/>
                <w:sz w:val="24"/>
                <w:szCs w:val="24"/>
              </w:rPr>
              <w:t>（1）网络日志留存时间不少于六个月，满足《网络安全法》要求</w:t>
            </w:r>
          </w:p>
          <w:p w14:paraId="0EE13832">
            <w:pPr>
              <w:pStyle w:val="21"/>
              <w:widowControl/>
              <w:jc w:val="left"/>
              <w:rPr>
                <w:rFonts w:ascii="宋体" w:hAnsi="宋体" w:eastAsia="宋体" w:cs="宋体"/>
                <w:sz w:val="24"/>
                <w:szCs w:val="24"/>
              </w:rPr>
            </w:pPr>
            <w:r>
              <w:rPr>
                <w:rFonts w:hint="eastAsia" w:ascii="宋体" w:hAnsi="宋体" w:eastAsia="宋体" w:cs="宋体"/>
                <w:sz w:val="24"/>
                <w:szCs w:val="24"/>
              </w:rPr>
              <w:t>（2）支持日志完整存储和高效检索，日志数据支持全量导出</w:t>
            </w:r>
          </w:p>
          <w:p w14:paraId="0DB185FF">
            <w:pPr>
              <w:pStyle w:val="21"/>
              <w:widowControl/>
              <w:jc w:val="left"/>
              <w:rPr>
                <w:rFonts w:ascii="宋体" w:hAnsi="宋体" w:eastAsia="宋体" w:cs="宋体"/>
                <w:sz w:val="24"/>
                <w:szCs w:val="24"/>
              </w:rPr>
            </w:pPr>
            <w:r>
              <w:rPr>
                <w:rFonts w:hint="eastAsia" w:ascii="宋体" w:hAnsi="宋体" w:eastAsia="宋体" w:cs="宋体"/>
                <w:sz w:val="24"/>
                <w:szCs w:val="24"/>
              </w:rPr>
              <w:t>（3）支持管理员审计功能，记录管理员操作行为（策略变更/日志查询/系统管理等）</w:t>
            </w:r>
          </w:p>
          <w:p w14:paraId="11A9EE33">
            <w:pPr>
              <w:pStyle w:val="21"/>
              <w:widowControl/>
              <w:jc w:val="left"/>
              <w:rPr>
                <w:rFonts w:ascii="宋体" w:hAnsi="宋体" w:eastAsia="宋体" w:cs="宋体"/>
                <w:sz w:val="24"/>
                <w:szCs w:val="24"/>
              </w:rPr>
            </w:pPr>
            <w:r>
              <w:rPr>
                <w:rFonts w:hint="eastAsia" w:ascii="宋体" w:hAnsi="宋体" w:eastAsia="宋体" w:cs="宋体"/>
                <w:sz w:val="24"/>
                <w:szCs w:val="24"/>
              </w:rPr>
              <w:t>（4）支持日志报表自动生成和定期推送，按日/周/月自动生成上网行为统计报表（含文件审计/邮件/访问网站/发帖等用户行为报表查询导出）</w:t>
            </w:r>
          </w:p>
          <w:p w14:paraId="3D75FB5F">
            <w:pPr>
              <w:pStyle w:val="21"/>
              <w:widowControl/>
              <w:jc w:val="left"/>
              <w:rPr>
                <w:rFonts w:ascii="宋体" w:hAnsi="宋体" w:eastAsia="宋体" w:cs="宋体"/>
                <w:b/>
                <w:bCs/>
                <w:sz w:val="24"/>
                <w:szCs w:val="24"/>
              </w:rPr>
            </w:pPr>
            <w:r>
              <w:rPr>
                <w:rFonts w:hint="eastAsia" w:ascii="宋体" w:hAnsi="宋体" w:eastAsia="宋体" w:cs="宋体"/>
                <w:b/>
                <w:bCs/>
                <w:sz w:val="24"/>
                <w:szCs w:val="24"/>
              </w:rPr>
              <w:t>2.5违规行为管控与告警功能</w:t>
            </w:r>
          </w:p>
          <w:p w14:paraId="32A96D6E">
            <w:pPr>
              <w:pStyle w:val="21"/>
              <w:widowControl/>
              <w:jc w:val="left"/>
              <w:rPr>
                <w:rFonts w:ascii="宋体" w:hAnsi="宋体" w:eastAsia="宋体" w:cs="宋体"/>
                <w:sz w:val="24"/>
                <w:szCs w:val="24"/>
              </w:rPr>
            </w:pPr>
            <w:r>
              <w:rPr>
                <w:rFonts w:hint="eastAsia" w:ascii="宋体" w:hAnsi="宋体" w:eastAsia="宋体" w:cs="宋体"/>
                <w:sz w:val="24"/>
                <w:szCs w:val="24"/>
              </w:rPr>
              <w:t>（1）支持代理控制功能，检测阻断HTTP/SOCKS代理行为，防止通过代理绕过上网管控</w:t>
            </w:r>
          </w:p>
          <w:p w14:paraId="2F45ECC8">
            <w:pPr>
              <w:pStyle w:val="21"/>
              <w:widowControl/>
              <w:jc w:val="left"/>
              <w:rPr>
                <w:rFonts w:ascii="宋体" w:hAnsi="宋体" w:eastAsia="宋体" w:cs="宋体"/>
                <w:sz w:val="24"/>
                <w:szCs w:val="24"/>
              </w:rPr>
            </w:pPr>
            <w:r>
              <w:rPr>
                <w:rFonts w:hint="eastAsia" w:ascii="宋体" w:hAnsi="宋体" w:eastAsia="宋体" w:cs="宋体"/>
                <w:sz w:val="24"/>
                <w:szCs w:val="24"/>
              </w:rPr>
              <w:t>（2）支持发现私接路由/共享软件共享网络行为，支持"仅统计电脑/统计所有终端"两种模式，自定义终端数量和冻结时间，支持信任列表和例外排除，可按IP/用户名统计趋势</w:t>
            </w:r>
          </w:p>
          <w:p w14:paraId="12516E2B">
            <w:pPr>
              <w:pStyle w:val="21"/>
              <w:widowControl/>
              <w:jc w:val="left"/>
              <w:rPr>
                <w:rFonts w:ascii="宋体" w:hAnsi="宋体" w:eastAsia="宋体" w:cs="宋体"/>
                <w:sz w:val="24"/>
                <w:szCs w:val="24"/>
              </w:rPr>
            </w:pPr>
            <w:r>
              <w:rPr>
                <w:rFonts w:hint="eastAsia" w:ascii="宋体" w:hAnsi="宋体" w:eastAsia="宋体" w:cs="宋体"/>
                <w:sz w:val="24"/>
                <w:szCs w:val="24"/>
              </w:rPr>
              <w:t>（3）对违规行为支持实时告警，并可自动执行断网等处置策略</w:t>
            </w:r>
          </w:p>
          <w:p w14:paraId="3F333AA5">
            <w:pPr>
              <w:pStyle w:val="21"/>
              <w:widowControl/>
              <w:jc w:val="left"/>
              <w:rPr>
                <w:rFonts w:ascii="宋体" w:hAnsi="宋体" w:eastAsia="宋体" w:cs="宋体"/>
                <w:sz w:val="24"/>
                <w:szCs w:val="24"/>
              </w:rPr>
            </w:pPr>
            <w:r>
              <w:rPr>
                <w:rFonts w:hint="eastAsia" w:ascii="宋体" w:hAnsi="宋体" w:eastAsia="宋体" w:cs="宋体"/>
                <w:sz w:val="24"/>
                <w:szCs w:val="24"/>
              </w:rPr>
              <w:t>（4）支持对违规行为生成告警通知，可通过邮件等方式及时通知管理员</w:t>
            </w:r>
          </w:p>
          <w:p w14:paraId="25E528C6">
            <w:pPr>
              <w:pStyle w:val="21"/>
              <w:widowControl/>
              <w:jc w:val="left"/>
              <w:rPr>
                <w:rFonts w:ascii="宋体" w:hAnsi="宋体" w:eastAsia="宋体" w:cs="宋体"/>
                <w:b/>
                <w:bCs/>
                <w:sz w:val="24"/>
                <w:szCs w:val="24"/>
              </w:rPr>
            </w:pPr>
            <w:r>
              <w:rPr>
                <w:rFonts w:hint="eastAsia" w:ascii="宋体" w:hAnsi="宋体" w:eastAsia="宋体" w:cs="宋体"/>
                <w:b/>
                <w:bCs/>
                <w:sz w:val="24"/>
                <w:szCs w:val="24"/>
              </w:rPr>
              <w:t>2.6综合运维监控类功能</w:t>
            </w:r>
          </w:p>
          <w:p w14:paraId="605FF162">
            <w:pPr>
              <w:pStyle w:val="21"/>
              <w:widowControl/>
              <w:jc w:val="left"/>
              <w:rPr>
                <w:rFonts w:ascii="宋体" w:hAnsi="宋体" w:eastAsia="宋体" w:cs="宋体"/>
                <w:sz w:val="24"/>
                <w:szCs w:val="24"/>
              </w:rPr>
            </w:pPr>
            <w:r>
              <w:rPr>
                <w:rFonts w:hint="eastAsia" w:ascii="宋体" w:hAnsi="宋体" w:eastAsia="宋体" w:cs="宋体"/>
                <w:sz w:val="24"/>
                <w:szCs w:val="24"/>
              </w:rPr>
              <w:t>（1）▲支持首页综合仪表盘，显示在线用户、流量分析、行为日志分析、应用流量排名、用户流量排名、资产类型分布、新设备发现趋势、TOP违规检查项、TOP违规用户、行为风险分析等（需提供国家认可的第三方机构出具的检验/检测报告复印件并加盖投标人公章)</w:t>
            </w:r>
          </w:p>
          <w:p w14:paraId="4E2989D3">
            <w:pPr>
              <w:pStyle w:val="21"/>
              <w:widowControl/>
              <w:jc w:val="left"/>
              <w:rPr>
                <w:rFonts w:ascii="宋体" w:hAnsi="宋体" w:eastAsia="宋体" w:cs="宋体"/>
                <w:sz w:val="24"/>
                <w:szCs w:val="24"/>
              </w:rPr>
            </w:pPr>
            <w:r>
              <w:rPr>
                <w:rFonts w:hint="eastAsia" w:ascii="宋体" w:hAnsi="宋体" w:eastAsia="宋体" w:cs="宋体"/>
                <w:sz w:val="24"/>
                <w:szCs w:val="24"/>
              </w:rPr>
              <w:t>（2）支持权限策略故障排查，可针对上网权限策略进行检测分析，查看各应用是否匹配相关策略</w:t>
            </w:r>
          </w:p>
          <w:p w14:paraId="041660E1">
            <w:pPr>
              <w:pStyle w:val="21"/>
              <w:widowControl/>
              <w:jc w:val="left"/>
              <w:rPr>
                <w:rFonts w:ascii="宋体" w:hAnsi="宋体" w:eastAsia="宋体" w:cs="宋体"/>
                <w:sz w:val="24"/>
                <w:szCs w:val="24"/>
              </w:rPr>
            </w:pPr>
            <w:r>
              <w:rPr>
                <w:rFonts w:hint="eastAsia" w:ascii="宋体" w:hAnsi="宋体" w:eastAsia="宋体" w:cs="宋体"/>
                <w:sz w:val="24"/>
                <w:szCs w:val="24"/>
              </w:rPr>
              <w:t>（3）支持Web访问质量检测，对内网用户web访问质量进行检测，提供整体网络质量评级。</w:t>
            </w:r>
          </w:p>
          <w:p w14:paraId="0E0C15E1">
            <w:pPr>
              <w:pStyle w:val="21"/>
              <w:widowControl/>
              <w:jc w:val="left"/>
              <w:rPr>
                <w:rFonts w:ascii="宋体" w:hAnsi="宋体" w:eastAsia="宋体" w:cs="宋体"/>
                <w:sz w:val="24"/>
                <w:szCs w:val="24"/>
              </w:rPr>
            </w:pPr>
            <w:r>
              <w:rPr>
                <w:rFonts w:hint="eastAsia" w:ascii="宋体" w:hAnsi="宋体" w:eastAsia="宋体" w:cs="宋体"/>
                <w:sz w:val="24"/>
                <w:szCs w:val="24"/>
              </w:rPr>
              <w:t>（4）支持图形化查看内网IP使用情况，减少人工维护IP表工作量</w:t>
            </w:r>
          </w:p>
          <w:p w14:paraId="7758DDD2">
            <w:pPr>
              <w:pStyle w:val="21"/>
              <w:widowControl/>
              <w:jc w:val="left"/>
              <w:rPr>
                <w:rFonts w:ascii="宋体" w:hAnsi="宋体" w:eastAsia="宋体" w:cs="宋体"/>
                <w:sz w:val="24"/>
                <w:szCs w:val="24"/>
              </w:rPr>
            </w:pPr>
            <w:r>
              <w:rPr>
                <w:rFonts w:hint="eastAsia" w:ascii="宋体" w:hAnsi="宋体" w:eastAsia="宋体" w:cs="宋体"/>
                <w:sz w:val="24"/>
                <w:szCs w:val="24"/>
              </w:rPr>
              <w:t>（5）支持自定义业务系统名称/描述，绑定IP地址端口或域名，以每个业务系统作为单独审计对象</w:t>
            </w:r>
          </w:p>
          <w:p w14:paraId="542CE08D">
            <w:pPr>
              <w:pStyle w:val="21"/>
              <w:widowControl/>
              <w:jc w:val="left"/>
              <w:rPr>
                <w:rFonts w:ascii="宋体" w:hAnsi="宋体" w:eastAsia="宋体" w:cs="宋体"/>
                <w:b/>
                <w:bCs/>
                <w:sz w:val="24"/>
                <w:szCs w:val="24"/>
              </w:rPr>
            </w:pPr>
            <w:r>
              <w:rPr>
                <w:rFonts w:hint="eastAsia" w:ascii="宋体" w:hAnsi="宋体" w:eastAsia="宋体" w:cs="宋体"/>
                <w:b/>
                <w:bCs/>
                <w:sz w:val="24"/>
                <w:szCs w:val="24"/>
              </w:rPr>
              <w:t>2.7入网前安全检查功能</w:t>
            </w:r>
          </w:p>
          <w:p w14:paraId="159F480E">
            <w:pPr>
              <w:pStyle w:val="21"/>
              <w:widowControl/>
              <w:jc w:val="left"/>
              <w:rPr>
                <w:rFonts w:ascii="宋体" w:hAnsi="宋体" w:eastAsia="宋体" w:cs="宋体"/>
                <w:sz w:val="24"/>
                <w:szCs w:val="24"/>
              </w:rPr>
            </w:pPr>
            <w:r>
              <w:rPr>
                <w:rFonts w:hint="eastAsia" w:ascii="宋体" w:hAnsi="宋体" w:eastAsia="宋体" w:cs="宋体"/>
                <w:sz w:val="24"/>
                <w:szCs w:val="24"/>
              </w:rPr>
              <w:t>实现办公终端入网前的安全合规检查，不合规设备及未安装安全管控软件的办公终端不得接入办公网，具体要求如下：</w:t>
            </w:r>
          </w:p>
          <w:p w14:paraId="3CBCEC5D">
            <w:pPr>
              <w:pStyle w:val="21"/>
              <w:widowControl/>
              <w:jc w:val="left"/>
              <w:rPr>
                <w:rFonts w:ascii="宋体" w:hAnsi="宋体" w:eastAsia="宋体" w:cs="宋体"/>
                <w:sz w:val="24"/>
                <w:szCs w:val="24"/>
              </w:rPr>
            </w:pPr>
            <w:r>
              <w:rPr>
                <w:rFonts w:hint="eastAsia" w:ascii="宋体" w:hAnsi="宋体" w:eastAsia="宋体" w:cs="宋体"/>
                <w:sz w:val="24"/>
                <w:szCs w:val="24"/>
              </w:rPr>
              <w:t>（1）支持Windows终端安全检查，包括：杀软检查、操作系统检查、进程检查、文件检查、注册表检查、登录域检查、补丁检查、Windows 管理员账号检查、软件安装检查，对不满足检查要求的终端可弹窗提示、禁止上网、违规修复；（需提供国家认可的第三方机构出具的检验/检测报告复印件并加盖投标人公章)</w:t>
            </w:r>
          </w:p>
          <w:p w14:paraId="5AD06ED3">
            <w:pPr>
              <w:pStyle w:val="21"/>
              <w:widowControl/>
              <w:jc w:val="left"/>
              <w:rPr>
                <w:rFonts w:ascii="宋体" w:hAnsi="宋体" w:eastAsia="宋体" w:cs="宋体"/>
                <w:sz w:val="24"/>
                <w:szCs w:val="24"/>
              </w:rPr>
            </w:pPr>
            <w:r>
              <w:rPr>
                <w:rFonts w:hint="eastAsia" w:ascii="宋体" w:hAnsi="宋体" w:eastAsia="宋体" w:cs="宋体"/>
                <w:sz w:val="24"/>
                <w:szCs w:val="24"/>
              </w:rPr>
              <w:t>（6）▲支持Windows终端是否安装指定软件，对不满足检查要求的终端可安装指定软件、弹窗提示、只记录结果、禁止上网。支持检查终端操作系统合规性，对不符合安全基线要求的终端（如未打补丁、存在高危漏洞等）拒绝接入或隔离至修复区；（需提供国家认可的第三方机构出具的检验/检测报告复印件并加盖投标人公章)</w:t>
            </w:r>
          </w:p>
          <w:p w14:paraId="3F5F9591">
            <w:pPr>
              <w:pStyle w:val="21"/>
              <w:widowControl/>
              <w:jc w:val="left"/>
              <w:rPr>
                <w:rFonts w:ascii="宋体" w:hAnsi="宋体" w:eastAsia="宋体" w:cs="宋体"/>
                <w:sz w:val="24"/>
                <w:szCs w:val="24"/>
              </w:rPr>
            </w:pPr>
            <w:r>
              <w:rPr>
                <w:rFonts w:hint="eastAsia" w:ascii="宋体" w:hAnsi="宋体" w:eastAsia="宋体" w:cs="宋体"/>
                <w:sz w:val="24"/>
                <w:szCs w:val="24"/>
              </w:rPr>
              <w:t>（2）▲支持通过流量状况检查主流杀毒软件的运行情况，对不满足检查要求的终端可重定向页面修复；（需提供国家认可的第三方机构出具的检验/检测报告复印件并加盖投标人公章)</w:t>
            </w:r>
          </w:p>
          <w:p w14:paraId="6A3B1E73">
            <w:pPr>
              <w:pStyle w:val="21"/>
              <w:widowControl/>
              <w:jc w:val="left"/>
              <w:rPr>
                <w:rFonts w:ascii="宋体" w:hAnsi="宋体" w:eastAsia="宋体" w:cs="宋体"/>
                <w:sz w:val="24"/>
                <w:szCs w:val="24"/>
              </w:rPr>
            </w:pPr>
            <w:r>
              <w:rPr>
                <w:rFonts w:hint="eastAsia" w:ascii="宋体" w:hAnsi="宋体" w:eastAsia="宋体" w:cs="宋体"/>
                <w:sz w:val="24"/>
                <w:szCs w:val="24"/>
              </w:rPr>
              <w:t>（3）支持Windows终端存储设备、网络设备、蓝牙设备、摄像头、打印机的使用管控；支持外设白名单，提供批量获取硬件ID的工具进行白名单配置；</w:t>
            </w:r>
          </w:p>
          <w:p w14:paraId="59F19EF3">
            <w:pPr>
              <w:pStyle w:val="21"/>
              <w:widowControl/>
              <w:jc w:val="left"/>
              <w:rPr>
                <w:rFonts w:ascii="宋体" w:hAnsi="宋体" w:eastAsia="宋体" w:cs="宋体"/>
                <w:sz w:val="24"/>
                <w:szCs w:val="24"/>
              </w:rPr>
            </w:pPr>
            <w:r>
              <w:rPr>
                <w:rFonts w:hint="eastAsia" w:ascii="宋体" w:hAnsi="宋体" w:eastAsia="宋体" w:cs="宋体"/>
                <w:sz w:val="24"/>
                <w:szCs w:val="24"/>
              </w:rPr>
              <w:t>（4）▲支持对windows终端U盘、移动硬盘设置可读写、拒绝、可读、告警；可对拷贝的文件内容以及插入和拔出行为的审计；（需提供国家认可的第三方机构出具的检验/检测报告复印件并加盖投标人公章)</w:t>
            </w:r>
          </w:p>
          <w:p w14:paraId="5B1AD6AE">
            <w:pPr>
              <w:pStyle w:val="21"/>
              <w:widowControl/>
              <w:jc w:val="left"/>
              <w:rPr>
                <w:rFonts w:ascii="宋体" w:hAnsi="宋体" w:eastAsia="宋体" w:cs="宋体"/>
                <w:sz w:val="24"/>
                <w:szCs w:val="24"/>
              </w:rPr>
            </w:pPr>
            <w:r>
              <w:rPr>
                <w:rFonts w:hint="eastAsia" w:ascii="宋体" w:hAnsi="宋体" w:eastAsia="宋体" w:cs="宋体"/>
                <w:sz w:val="24"/>
                <w:szCs w:val="24"/>
              </w:rPr>
              <w:t>（5）支持多种准入控制技术，包括但不限于802.1x认证、Portal认证等，适应不同网络环境；</w:t>
            </w:r>
          </w:p>
          <w:p w14:paraId="404C9138">
            <w:pPr>
              <w:pStyle w:val="21"/>
              <w:widowControl/>
              <w:jc w:val="left"/>
              <w:rPr>
                <w:rFonts w:ascii="宋体" w:hAnsi="宋体" w:eastAsia="宋体" w:cs="宋体"/>
                <w:sz w:val="24"/>
                <w:szCs w:val="24"/>
              </w:rPr>
            </w:pPr>
            <w:r>
              <w:rPr>
                <w:rFonts w:hint="eastAsia" w:ascii="宋体" w:hAnsi="宋体" w:eastAsia="宋体" w:cs="宋体"/>
                <w:sz w:val="24"/>
                <w:szCs w:val="24"/>
              </w:rPr>
              <w:t>（6）支持对Windows终端外联行为检查，包括：拨号行为、双网卡行为、有无线网卡行为、连接非法WIFI、4G网卡、使用非法网关，对不满足检查要求的终端强制断网，并弹窗提示用户；（需提供国家认可的第三方机构出具的检验/检测报告复印件并加盖投标人公章)</w:t>
            </w:r>
          </w:p>
          <w:p w14:paraId="089975EC">
            <w:pPr>
              <w:pStyle w:val="21"/>
              <w:widowControl/>
              <w:jc w:val="left"/>
              <w:rPr>
                <w:rFonts w:ascii="宋体" w:hAnsi="宋体" w:eastAsia="宋体" w:cs="宋体"/>
                <w:sz w:val="24"/>
                <w:szCs w:val="24"/>
              </w:rPr>
            </w:pPr>
            <w:r>
              <w:rPr>
                <w:rFonts w:hint="eastAsia" w:ascii="宋体" w:hAnsi="宋体" w:eastAsia="宋体" w:cs="宋体"/>
                <w:sz w:val="24"/>
                <w:szCs w:val="24"/>
              </w:rPr>
              <w:t>（7）支持对检查结果进行记录和统计，提供合规率报表和趋势分析。</w:t>
            </w:r>
          </w:p>
          <w:p w14:paraId="2F3D94D2">
            <w:pPr>
              <w:pStyle w:val="21"/>
              <w:widowControl/>
              <w:jc w:val="left"/>
              <w:rPr>
                <w:rFonts w:ascii="宋体" w:hAnsi="宋体" w:eastAsia="宋体" w:cs="宋体"/>
                <w:sz w:val="24"/>
                <w:szCs w:val="24"/>
              </w:rPr>
            </w:pPr>
            <w:r>
              <w:rPr>
                <w:rFonts w:hint="eastAsia" w:ascii="宋体" w:hAnsi="宋体" w:eastAsia="宋体" w:cs="宋体"/>
                <w:sz w:val="24"/>
                <w:szCs w:val="24"/>
              </w:rPr>
              <w:t>（8）▲支持对终端应用联网管控，可设置禁止或允许访问互联网，禁止或允许访问指定IP地址，离线时继续生效（需提供国家认可的第三方机构出具的检验/检测报告复印件并加盖投标人公章)</w:t>
            </w:r>
          </w:p>
          <w:p w14:paraId="20661820">
            <w:pPr>
              <w:pStyle w:val="21"/>
              <w:widowControl/>
              <w:jc w:val="left"/>
              <w:rPr>
                <w:rFonts w:ascii="宋体" w:hAnsi="宋体" w:eastAsia="宋体" w:cs="宋体"/>
                <w:b/>
                <w:bCs/>
                <w:sz w:val="24"/>
                <w:szCs w:val="24"/>
              </w:rPr>
            </w:pPr>
            <w:r>
              <w:rPr>
                <w:rFonts w:hint="eastAsia" w:ascii="宋体" w:hAnsi="宋体" w:eastAsia="宋体" w:cs="宋体"/>
                <w:b/>
                <w:bCs/>
                <w:sz w:val="24"/>
                <w:szCs w:val="24"/>
              </w:rPr>
              <w:t>2.8办公终端入网溯源功能</w:t>
            </w:r>
          </w:p>
          <w:p w14:paraId="6BC4242D">
            <w:pPr>
              <w:pStyle w:val="21"/>
              <w:widowControl/>
              <w:jc w:val="left"/>
              <w:rPr>
                <w:rFonts w:ascii="宋体" w:hAnsi="宋体" w:eastAsia="宋体" w:cs="宋体"/>
                <w:sz w:val="24"/>
                <w:szCs w:val="24"/>
              </w:rPr>
            </w:pPr>
            <w:r>
              <w:rPr>
                <w:rFonts w:hint="eastAsia" w:ascii="宋体" w:hAnsi="宋体" w:eastAsia="宋体" w:cs="宋体"/>
                <w:sz w:val="24"/>
                <w:szCs w:val="24"/>
              </w:rPr>
              <w:t>实现办公终端入网行为的全程记录和溯源，具体要求如下：</w:t>
            </w:r>
          </w:p>
          <w:p w14:paraId="02E31B41">
            <w:pPr>
              <w:pStyle w:val="21"/>
              <w:widowControl/>
              <w:jc w:val="left"/>
              <w:rPr>
                <w:rFonts w:ascii="宋体" w:hAnsi="宋体" w:eastAsia="宋体" w:cs="宋体"/>
                <w:sz w:val="24"/>
                <w:szCs w:val="24"/>
              </w:rPr>
            </w:pPr>
            <w:r>
              <w:rPr>
                <w:rFonts w:hint="eastAsia" w:ascii="宋体" w:hAnsi="宋体" w:eastAsia="宋体" w:cs="宋体"/>
                <w:sz w:val="24"/>
                <w:szCs w:val="24"/>
              </w:rPr>
              <w:t>（1）支持记录终端入网信息，包括终端IP地址、MAC地址、主机名、操作系统信息、接入时间、认证账号等；</w:t>
            </w:r>
          </w:p>
          <w:p w14:paraId="2D03F82B">
            <w:pPr>
              <w:pStyle w:val="21"/>
              <w:widowControl/>
              <w:jc w:val="left"/>
              <w:rPr>
                <w:rFonts w:ascii="宋体" w:hAnsi="宋体" w:eastAsia="宋体" w:cs="宋体"/>
                <w:sz w:val="24"/>
                <w:szCs w:val="24"/>
              </w:rPr>
            </w:pPr>
            <w:r>
              <w:rPr>
                <w:rFonts w:hint="eastAsia" w:ascii="宋体" w:hAnsi="宋体" w:eastAsia="宋体" w:cs="宋体"/>
                <w:sz w:val="24"/>
                <w:szCs w:val="24"/>
              </w:rPr>
              <w:t>（2）支持自动发现网络里面的终端，并获取IP、Mac、厂商、操作系统等信息，设备必须支持PC、移动设备、哑终端、专用设备的发现和型号识别：至少支持Windows、Linux、MAC、瘦客户机等PC；至少支持手机、平板等移动设备；</w:t>
            </w:r>
          </w:p>
          <w:p w14:paraId="4C2FF99C">
            <w:pPr>
              <w:pStyle w:val="21"/>
              <w:widowControl/>
              <w:jc w:val="left"/>
              <w:rPr>
                <w:rFonts w:ascii="宋体" w:hAnsi="宋体" w:eastAsia="宋体" w:cs="宋体"/>
                <w:sz w:val="24"/>
                <w:szCs w:val="24"/>
              </w:rPr>
            </w:pPr>
            <w:r>
              <w:rPr>
                <w:rFonts w:hint="eastAsia" w:ascii="宋体" w:hAnsi="宋体" w:eastAsia="宋体" w:cs="宋体"/>
                <w:sz w:val="24"/>
                <w:szCs w:val="24"/>
              </w:rPr>
              <w:t>（3）支持终端入网历史记录查询，可根据IP、MAC、账号、时间等维度快速检索终端入网历史；</w:t>
            </w:r>
          </w:p>
          <w:p w14:paraId="7F7D4E3D">
            <w:pPr>
              <w:pStyle w:val="21"/>
              <w:widowControl/>
              <w:jc w:val="left"/>
              <w:rPr>
                <w:rFonts w:ascii="宋体" w:hAnsi="宋体" w:eastAsia="宋体" w:cs="宋体"/>
                <w:sz w:val="24"/>
                <w:szCs w:val="24"/>
              </w:rPr>
            </w:pPr>
            <w:r>
              <w:rPr>
                <w:rFonts w:hint="eastAsia" w:ascii="宋体" w:hAnsi="宋体" w:eastAsia="宋体" w:cs="宋体"/>
                <w:sz w:val="24"/>
                <w:szCs w:val="24"/>
              </w:rPr>
              <w:t>（4）▲可审计文件打印行为，可设置免审计打印机列表，可审计ToDesk、向日葵、AnyDesk等远程工具的文件外发行为，可审计腾讯会议、小鱼易连等会议软件的文件外发行为，加强会议数据安全管理。（需提供国家认可的第三方机构出具的检验/检测报告复印件并加盖投标人公章)</w:t>
            </w:r>
          </w:p>
          <w:bookmarkEnd w:id="16"/>
          <w:p w14:paraId="769B56EA">
            <w:pPr>
              <w:pStyle w:val="2"/>
              <w:spacing w:line="360" w:lineRule="auto"/>
              <w:ind w:left="0" w:leftChars="0" w:firstLine="0" w:firstLineChars="0"/>
            </w:pPr>
            <w:r>
              <w:rPr>
                <w:rFonts w:hint="eastAsia" w:ascii="宋体" w:hAnsi="宋体" w:cs="宋体"/>
                <w:sz w:val="24"/>
                <w:szCs w:val="24"/>
              </w:rPr>
              <w:t>▲为重要评审项，投标需提供第三方权威机构出具的检测报告并加盖投标人公章。签订合同前，提供相关第三方权威机构出具的检测报告原件备查，在项目验收时作为核心依据进行逐条核对，提供或功能不符者，视为验收不合格。</w:t>
            </w:r>
          </w:p>
        </w:tc>
        <w:tc>
          <w:tcPr>
            <w:tcW w:w="442" w:type="dxa"/>
            <w:tcBorders>
              <w:top w:val="single" w:color="auto" w:sz="4" w:space="0"/>
              <w:left w:val="single" w:color="auto" w:sz="4" w:space="0"/>
              <w:bottom w:val="single" w:color="auto" w:sz="4" w:space="0"/>
              <w:right w:val="single" w:color="auto" w:sz="4" w:space="0"/>
            </w:tcBorders>
            <w:shd w:val="clear" w:color="000000" w:fill="FFFFFF"/>
            <w:vAlign w:val="center"/>
          </w:tcPr>
          <w:p w14:paraId="50BD47B6">
            <w:pPr>
              <w:spacing w:line="360" w:lineRule="exact"/>
              <w:jc w:val="center"/>
              <w:rPr>
                <w:rFonts w:ascii="宋体" w:hAnsi="宋体" w:cs="宋体"/>
                <w:sz w:val="24"/>
                <w:szCs w:val="24"/>
              </w:rPr>
            </w:pPr>
            <w:r>
              <w:rPr>
                <w:rFonts w:hint="eastAsia" w:ascii="宋体" w:hAnsi="宋体" w:cs="宋体"/>
                <w:sz w:val="24"/>
                <w:szCs w:val="24"/>
              </w:rPr>
              <w:t>台</w:t>
            </w:r>
          </w:p>
        </w:tc>
        <w:tc>
          <w:tcPr>
            <w:tcW w:w="926" w:type="dxa"/>
            <w:tcBorders>
              <w:top w:val="single" w:color="auto" w:sz="4" w:space="0"/>
              <w:left w:val="single" w:color="auto" w:sz="4" w:space="0"/>
              <w:bottom w:val="single" w:color="auto" w:sz="4" w:space="0"/>
              <w:right w:val="single" w:color="auto" w:sz="4" w:space="0"/>
            </w:tcBorders>
            <w:shd w:val="clear" w:color="000000" w:fill="FFFFFF"/>
            <w:vAlign w:val="center"/>
          </w:tcPr>
          <w:p w14:paraId="19D648A0">
            <w:pPr>
              <w:spacing w:line="360" w:lineRule="exact"/>
              <w:jc w:val="center"/>
              <w:rPr>
                <w:rFonts w:ascii="宋体" w:hAnsi="宋体" w:cs="宋体"/>
                <w:sz w:val="24"/>
                <w:szCs w:val="24"/>
              </w:rPr>
            </w:pPr>
            <w:r>
              <w:rPr>
                <w:rFonts w:hint="eastAsia" w:ascii="宋体" w:hAnsi="宋体" w:cs="宋体"/>
                <w:sz w:val="24"/>
                <w:szCs w:val="24"/>
              </w:rPr>
              <w:t>1</w:t>
            </w:r>
          </w:p>
        </w:tc>
      </w:tr>
    </w:tbl>
    <w:p w14:paraId="393D8B29">
      <w:pPr>
        <w:spacing w:line="360" w:lineRule="auto"/>
        <w:ind w:firstLine="480" w:firstLineChars="200"/>
        <w:rPr>
          <w:rFonts w:ascii="宋体" w:hAnsi="宋体" w:cs="宋体"/>
          <w:bCs/>
          <w:sz w:val="24"/>
          <w:szCs w:val="24"/>
        </w:rPr>
      </w:pPr>
      <w:r>
        <w:rPr>
          <w:rFonts w:hint="eastAsia" w:ascii="宋体" w:hAnsi="宋体" w:cs="宋体"/>
          <w:bCs/>
          <w:sz w:val="24"/>
          <w:szCs w:val="24"/>
        </w:rPr>
        <w:t>备注：1.本表所列采购货物仅为货物的主要构成部分，应配套供货以及招标人所列其它货物（或设备）和服务，请投标人认真阅读“供货范围”。若有异议，不管是多么微小，都应在投标文件“商务偏离”章节中予以详细说明。</w:t>
      </w:r>
    </w:p>
    <w:p w14:paraId="733D0CF9">
      <w:pPr>
        <w:spacing w:line="360" w:lineRule="auto"/>
        <w:ind w:firstLine="480" w:firstLineChars="200"/>
        <w:rPr>
          <w:rFonts w:ascii="宋体" w:hAnsi="宋体" w:cs="宋体"/>
          <w:bCs/>
          <w:sz w:val="24"/>
          <w:szCs w:val="24"/>
        </w:rPr>
      </w:pPr>
      <w:r>
        <w:rPr>
          <w:rFonts w:hint="eastAsia" w:ascii="宋体" w:hAnsi="宋体" w:cs="宋体"/>
          <w:bCs/>
          <w:sz w:val="24"/>
          <w:szCs w:val="24"/>
        </w:rPr>
        <w:t>2.本表“供货方式”指：交钥匙方式——设备供货、运输、旧机拆除、安装、调试、验收、现场清理及使用培训。</w:t>
      </w:r>
    </w:p>
    <w:p w14:paraId="4525F82F">
      <w:pPr>
        <w:pStyle w:val="25"/>
        <w:spacing w:line="360" w:lineRule="auto"/>
        <w:ind w:firstLine="480" w:firstLineChars="200"/>
        <w:rPr>
          <w:rFonts w:hAnsi="宋体" w:cs="宋体"/>
          <w:bCs/>
          <w:sz w:val="24"/>
          <w:szCs w:val="24"/>
        </w:rPr>
      </w:pPr>
      <w:r>
        <w:rPr>
          <w:rFonts w:hint="eastAsia" w:hAnsi="宋体" w:cs="宋体"/>
          <w:bCs/>
          <w:sz w:val="24"/>
          <w:szCs w:val="24"/>
        </w:rPr>
        <w:t>3</w:t>
      </w:r>
      <w:r>
        <w:rPr>
          <w:rFonts w:hAnsi="宋体" w:cs="宋体"/>
          <w:bCs/>
          <w:sz w:val="24"/>
          <w:szCs w:val="24"/>
        </w:rPr>
        <w:t>.</w:t>
      </w:r>
      <w:r>
        <w:rPr>
          <w:rFonts w:hint="eastAsia" w:hAnsi="宋体" w:cs="宋体"/>
          <w:bCs/>
          <w:sz w:val="24"/>
          <w:szCs w:val="24"/>
        </w:rPr>
        <w:t>以上内容仅对设备的基本功能进行了描述和建议，表中所列内容仅供参考，投标方投标前需对生产现场工艺环境进行充分调研与了解，确保投标方案满足工艺、产品、节拍、功能等要求，投标方对投标方案负责。</w:t>
      </w:r>
    </w:p>
    <w:p w14:paraId="72043BA1">
      <w:pPr>
        <w:spacing w:line="360" w:lineRule="auto"/>
        <w:ind w:firstLine="480" w:firstLineChars="200"/>
        <w:rPr>
          <w:rFonts w:ascii="宋体" w:hAnsi="宋体" w:cs="宋体"/>
          <w:bCs/>
          <w:sz w:val="24"/>
          <w:szCs w:val="24"/>
        </w:rPr>
      </w:pPr>
      <w:r>
        <w:rPr>
          <w:rFonts w:ascii="宋体" w:hAnsi="宋体" w:cs="宋体"/>
          <w:bCs/>
          <w:sz w:val="24"/>
          <w:szCs w:val="24"/>
        </w:rPr>
        <w:t>4.</w:t>
      </w:r>
      <w:r>
        <w:rPr>
          <w:rFonts w:hint="eastAsia" w:ascii="宋体" w:hAnsi="宋体" w:cs="宋体"/>
          <w:bCs/>
          <w:sz w:val="24"/>
          <w:szCs w:val="24"/>
        </w:rPr>
        <w:t>采购货物特别说明：招标人所列货物的名称和规格型号，如为某一供应商所特有，则该名称和规格型号可作参考，但要求投标人所提供的货物必须满足本技术标书实质性要求。</w:t>
      </w:r>
      <w:bookmarkEnd w:id="13"/>
      <w:r>
        <w:rPr>
          <w:rFonts w:asciiTheme="minorHAnsi" w:hAnsiTheme="minorHAnsi" w:eastAsiaTheme="minorEastAsia" w:cstheme="minorBidi"/>
          <w:szCs w:val="22"/>
        </w:rPr>
        <w:br w:type="page"/>
      </w:r>
    </w:p>
    <w:p w14:paraId="1A649BDF">
      <w:pPr>
        <w:keepNext/>
        <w:keepLines/>
        <w:spacing w:before="120" w:after="120" w:line="480" w:lineRule="exact"/>
        <w:jc w:val="center"/>
        <w:outlineLvl w:val="1"/>
        <w:rPr>
          <w:rFonts w:ascii="宋体" w:hAnsi="Calibri"/>
          <w:bCs/>
          <w:kern w:val="44"/>
          <w:sz w:val="28"/>
          <w:szCs w:val="28"/>
        </w:rPr>
      </w:pPr>
      <w:bookmarkStart w:id="17" w:name="_Toc169605880"/>
      <w:bookmarkStart w:id="18" w:name="_Toc169605881"/>
      <w:r>
        <w:rPr>
          <w:rFonts w:hint="eastAsia" w:ascii="宋体" w:hAnsi="宋体"/>
          <w:b/>
          <w:bCs/>
          <w:kern w:val="44"/>
          <w:sz w:val="28"/>
          <w:szCs w:val="28"/>
        </w:rPr>
        <w:t>第二章技术要求</w:t>
      </w:r>
      <w:bookmarkEnd w:id="17"/>
    </w:p>
    <w:p w14:paraId="5982D50F">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一、特别提示</w:t>
      </w:r>
    </w:p>
    <w:p w14:paraId="27B52935">
      <w:pPr>
        <w:spacing w:line="360" w:lineRule="auto"/>
        <w:rPr>
          <w:rFonts w:ascii="宋体" w:hAnsi="宋体"/>
          <w:sz w:val="24"/>
          <w:szCs w:val="24"/>
        </w:rPr>
      </w:pPr>
      <w:r>
        <w:rPr>
          <w:rFonts w:hint="eastAsia" w:ascii="宋体" w:hAnsi="宋体"/>
          <w:sz w:val="24"/>
          <w:szCs w:val="24"/>
        </w:rPr>
        <w:t xml:space="preserve">    1.本章技术要求，仅对功能、设计、结构、性能、安装和试验检验等方面，提出了最低和一般性的技术要求，并未对一切技术细节作出规定。</w:t>
      </w:r>
    </w:p>
    <w:p w14:paraId="19864327">
      <w:pPr>
        <w:spacing w:line="360" w:lineRule="auto"/>
        <w:rPr>
          <w:rFonts w:ascii="宋体" w:hAnsi="宋体"/>
          <w:sz w:val="24"/>
          <w:szCs w:val="24"/>
        </w:rPr>
      </w:pPr>
      <w:r>
        <w:rPr>
          <w:rFonts w:hint="eastAsia" w:ascii="宋体" w:hAnsi="宋体"/>
          <w:sz w:val="24"/>
          <w:szCs w:val="24"/>
        </w:rPr>
        <w:t xml:space="preserve">    2.本技术要求所使用的标准、规范等，如与投标人所执行的标准、规范不一致时，应按高于本技术要求所列的标准、规范执行。</w:t>
      </w:r>
    </w:p>
    <w:p w14:paraId="35C55A08">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.投标人认为所供货物必需由招标人配备、解决或提供的其它要求，如设备基础隔振和减振设施、软化水、洁净气源等，均应在投标文件“技术偏离”中予以充分说明。</w:t>
      </w:r>
    </w:p>
    <w:p w14:paraId="5CCDFCEF">
      <w:pPr>
        <w:spacing w:line="360" w:lineRule="auto"/>
        <w:ind w:firstLine="480" w:firstLineChars="200"/>
        <w:rPr>
          <w:rFonts w:ascii="宋体" w:hAnsi="Calibri"/>
          <w:sz w:val="24"/>
          <w:szCs w:val="24"/>
        </w:rPr>
      </w:pPr>
      <w:r>
        <w:rPr>
          <w:rFonts w:ascii="宋体" w:hAnsi="宋体"/>
          <w:bCs/>
          <w:sz w:val="24"/>
          <w:szCs w:val="24"/>
        </w:rPr>
        <w:t>4</w:t>
      </w:r>
      <w:r>
        <w:rPr>
          <w:rFonts w:hint="eastAsia" w:ascii="宋体" w:hAnsi="宋体"/>
          <w:bCs/>
          <w:sz w:val="24"/>
          <w:szCs w:val="24"/>
        </w:rPr>
        <w:t>.投标人应根据招投标货物具体要求，提出</w:t>
      </w:r>
      <w:r>
        <w:rPr>
          <w:rFonts w:hint="eastAsia" w:ascii="宋体" w:hAnsi="宋体"/>
          <w:sz w:val="24"/>
          <w:szCs w:val="24"/>
        </w:rPr>
        <w:t>对厂房、设备基础（或安装平台）、公用设施、消防、环保等超出招标文件、投标文件、答疑文件、技术交流文件、技术协议书和合同等规定的、有特殊需要的解释、说明和要求。</w:t>
      </w:r>
    </w:p>
    <w:p w14:paraId="37857D88">
      <w:pPr>
        <w:spacing w:line="360" w:lineRule="auto"/>
        <w:rPr>
          <w:rFonts w:ascii="宋体" w:hAnsi="Calibri"/>
          <w:sz w:val="24"/>
          <w:szCs w:val="24"/>
        </w:rPr>
      </w:pPr>
      <w:r>
        <w:rPr>
          <w:rFonts w:hint="eastAsia" w:ascii="宋体" w:hAnsi="宋体"/>
          <w:sz w:val="24"/>
          <w:szCs w:val="24"/>
        </w:rPr>
        <w:t xml:space="preserve">    5.无论是否有技术偏离，投标人均应在投标文件“技术偏离”中明确作出有无说明。若有异议，不管是多么微小，投标人必须予以明确和详细的说明或澄清。</w:t>
      </w:r>
    </w:p>
    <w:p w14:paraId="6F6E6851">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.为避免投标人优势在招标评审时漏项，质保期超出本技术标书要求的，应当在投标文件“技术偏离”中特别注明。</w:t>
      </w:r>
    </w:p>
    <w:p w14:paraId="09770353">
      <w:pPr>
        <w:tabs>
          <w:tab w:val="left" w:pos="312"/>
        </w:tabs>
        <w:adjustRightInd w:val="0"/>
        <w:snapToGrid w:val="0"/>
        <w:spacing w:line="360" w:lineRule="auto"/>
        <w:ind w:firstLine="480" w:firstLineChars="200"/>
        <w:rPr>
          <w:rFonts w:ascii="宋体" w:hAnsi="宋体"/>
          <w:sz w:val="24"/>
          <w:szCs w:val="24"/>
        </w:rPr>
      </w:pPr>
      <w:r>
        <w:rPr>
          <w:rFonts w:hint="eastAsia" w:ascii="宋体" w:hAnsi="宋体"/>
          <w:sz w:val="24"/>
          <w:szCs w:val="24"/>
        </w:rPr>
        <w:t>7.投标档中，针对“特别提示”条款所做的回应，将作为投标人能否中标的重要依据之一。</w:t>
      </w:r>
    </w:p>
    <w:p w14:paraId="3A97A644">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二、基本要求</w:t>
      </w:r>
    </w:p>
    <w:p w14:paraId="151D7878">
      <w:pPr>
        <w:spacing w:line="360" w:lineRule="auto"/>
        <w:ind w:firstLine="480" w:firstLineChars="200"/>
        <w:rPr>
          <w:rFonts w:ascii="宋体" w:hAnsi="Calibri"/>
          <w:sz w:val="24"/>
          <w:szCs w:val="24"/>
        </w:rPr>
      </w:pPr>
      <w:r>
        <w:rPr>
          <w:rFonts w:ascii="宋体" w:hAnsi="宋体"/>
          <w:sz w:val="24"/>
          <w:szCs w:val="24"/>
        </w:rPr>
        <w:t>1</w:t>
      </w:r>
      <w:r>
        <w:rPr>
          <w:rFonts w:hint="eastAsia" w:ascii="宋体" w:hAnsi="宋体"/>
          <w:sz w:val="24"/>
          <w:szCs w:val="24"/>
        </w:rPr>
        <w:t>.投标人所供的货物，必须符合中国最新版的法律、法规和相关标准、规范的要求，符合项目所在地政府有关特殊要求。</w:t>
      </w:r>
    </w:p>
    <w:p w14:paraId="7869FDC1">
      <w:pPr>
        <w:spacing w:line="360" w:lineRule="auto"/>
        <w:ind w:firstLine="480" w:firstLineChars="200"/>
        <w:rPr>
          <w:rFonts w:ascii="宋体" w:hAnsi="Calibri"/>
          <w:sz w:val="24"/>
          <w:szCs w:val="24"/>
        </w:rPr>
      </w:pPr>
      <w:r>
        <w:rPr>
          <w:rFonts w:ascii="宋体" w:hAnsi="宋体"/>
          <w:sz w:val="24"/>
          <w:szCs w:val="24"/>
        </w:rPr>
        <w:t>2</w:t>
      </w:r>
      <w:r>
        <w:rPr>
          <w:rFonts w:hint="eastAsia" w:ascii="宋体" w:hAnsi="宋体"/>
          <w:sz w:val="24"/>
          <w:szCs w:val="24"/>
        </w:rPr>
        <w:t>.投标人所供货物涉及的专利权技术以及知识产权保护的其它技术等，应保证招标人不因此受到任何侵权指控以及实际损失。</w:t>
      </w:r>
    </w:p>
    <w:p w14:paraId="25E330B6">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.投标人应保证所供货物的先进性、可靠性、经济性和实用性，并为全新货物（或设备）。</w:t>
      </w:r>
    </w:p>
    <w:p w14:paraId="6010EB34">
      <w:pPr>
        <w:spacing w:line="360" w:lineRule="auto"/>
        <w:ind w:firstLine="480" w:firstLineChars="200"/>
        <w:rPr>
          <w:rFonts w:ascii="宋体" w:hAnsi="Calibri"/>
          <w:sz w:val="24"/>
          <w:szCs w:val="24"/>
        </w:rPr>
      </w:pPr>
      <w:r>
        <w:rPr>
          <w:rFonts w:ascii="宋体" w:hAnsi="宋体"/>
          <w:sz w:val="24"/>
          <w:szCs w:val="24"/>
        </w:rPr>
        <w:t>4</w:t>
      </w:r>
      <w:r>
        <w:rPr>
          <w:rFonts w:hint="eastAsia" w:ascii="宋体" w:hAnsi="宋体"/>
          <w:sz w:val="24"/>
          <w:szCs w:val="24"/>
        </w:rPr>
        <w:t>.投标人应满足招标人提出的各项技术要求，必要时应当免费提供技术承诺或担保。</w:t>
      </w:r>
    </w:p>
    <w:p w14:paraId="6CDBC0D8">
      <w:pPr>
        <w:spacing w:line="360" w:lineRule="auto"/>
        <w:ind w:firstLine="480" w:firstLineChars="200"/>
        <w:rPr>
          <w:rFonts w:ascii="宋体" w:hAnsi="Calibri"/>
          <w:sz w:val="24"/>
          <w:szCs w:val="24"/>
        </w:rPr>
      </w:pPr>
      <w:r>
        <w:rPr>
          <w:rFonts w:ascii="宋体" w:hAnsi="宋体"/>
          <w:sz w:val="24"/>
          <w:szCs w:val="24"/>
        </w:rPr>
        <w:t>5</w:t>
      </w:r>
      <w:r>
        <w:rPr>
          <w:rFonts w:hint="eastAsia" w:ascii="宋体" w:hAnsi="宋体"/>
          <w:sz w:val="24"/>
          <w:szCs w:val="24"/>
        </w:rPr>
        <w:t>.投标人应保证所供货物（或设备）为中国政府指定或规定的主管部门公布的非淘汰货物（或设备），并尽力提供中国政府指定或规定的主管部门认可的环保型和节能型货物（或设备）。</w:t>
      </w:r>
    </w:p>
    <w:p w14:paraId="0D5500EE">
      <w:pPr>
        <w:spacing w:line="360" w:lineRule="auto"/>
        <w:ind w:firstLine="480" w:firstLineChars="200"/>
        <w:rPr>
          <w:rFonts w:ascii="宋体" w:hAnsi="Calibri"/>
          <w:sz w:val="24"/>
          <w:szCs w:val="24"/>
        </w:rPr>
      </w:pPr>
      <w:r>
        <w:rPr>
          <w:rFonts w:ascii="宋体" w:hAnsi="宋体"/>
          <w:sz w:val="24"/>
          <w:szCs w:val="24"/>
        </w:rPr>
        <w:t>6</w:t>
      </w:r>
      <w:r>
        <w:rPr>
          <w:rFonts w:hint="eastAsia" w:ascii="宋体" w:hAnsi="宋体"/>
          <w:sz w:val="24"/>
          <w:szCs w:val="24"/>
        </w:rPr>
        <w:t>.投标人应保证所供货物的完整性和成套性，能保证货物的正常运行、使用。</w:t>
      </w:r>
    </w:p>
    <w:p w14:paraId="74C8DA30">
      <w:pPr>
        <w:spacing w:line="360" w:lineRule="auto"/>
        <w:ind w:firstLine="480" w:firstLineChars="200"/>
        <w:rPr>
          <w:rFonts w:ascii="宋体" w:hAnsi="宋体"/>
          <w:sz w:val="24"/>
          <w:szCs w:val="24"/>
        </w:rPr>
      </w:pPr>
      <w:r>
        <w:rPr>
          <w:rFonts w:ascii="宋体" w:hAnsi="宋体"/>
          <w:sz w:val="24"/>
          <w:szCs w:val="24"/>
        </w:rPr>
        <w:t>7</w:t>
      </w:r>
      <w:r>
        <w:rPr>
          <w:rFonts w:hint="eastAsia" w:ascii="宋体" w:hAnsi="宋体"/>
          <w:sz w:val="24"/>
          <w:szCs w:val="24"/>
        </w:rPr>
        <w:t>.投标人应对招标人采购的货物所涉及的技术、产能等信息负有保密义务，招标人拥有追究投标人泄密责任的权利；招标人如有需要，投标人应无条件签署保密协议。</w:t>
      </w:r>
    </w:p>
    <w:p w14:paraId="18FF8365">
      <w:pPr>
        <w:spacing w:line="360" w:lineRule="auto"/>
        <w:ind w:firstLine="480" w:firstLineChars="200"/>
        <w:rPr>
          <w:rFonts w:ascii="宋体" w:hAnsi="宋体" w:cs="宋体"/>
          <w:sz w:val="24"/>
          <w:szCs w:val="24"/>
        </w:rPr>
      </w:pPr>
      <w:r>
        <w:rPr>
          <w:rFonts w:ascii="宋体" w:hAnsi="宋体" w:cs="宋体"/>
          <w:sz w:val="24"/>
          <w:szCs w:val="24"/>
        </w:rPr>
        <w:t>8</w:t>
      </w:r>
      <w:r>
        <w:rPr>
          <w:rFonts w:hint="eastAsia" w:ascii="宋体" w:hAnsi="宋体" w:cs="宋体"/>
          <w:sz w:val="24"/>
          <w:szCs w:val="24"/>
        </w:rPr>
        <w:t>.投标人提供的设备第三方检定校准报告，检定费用含在报价中。</w:t>
      </w:r>
    </w:p>
    <w:p w14:paraId="3144C061">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三、技术要求</w:t>
      </w:r>
    </w:p>
    <w:p w14:paraId="00E9817B">
      <w:pPr>
        <w:spacing w:line="360" w:lineRule="auto"/>
        <w:rPr>
          <w:sz w:val="24"/>
          <w:szCs w:val="24"/>
        </w:rPr>
      </w:pPr>
      <w:r>
        <w:rPr>
          <w:rFonts w:ascii="宋体" w:hAnsi="宋体"/>
          <w:sz w:val="24"/>
          <w:szCs w:val="24"/>
        </w:rPr>
        <w:t xml:space="preserve"> 1</w:t>
      </w:r>
      <w:r>
        <w:rPr>
          <w:rFonts w:hint="eastAsia" w:ascii="宋体" w:hAnsi="宋体"/>
          <w:sz w:val="24"/>
          <w:szCs w:val="24"/>
        </w:rPr>
        <w:t>.设备核心要求</w:t>
      </w:r>
    </w:p>
    <w:p w14:paraId="038BF8DB">
      <w:pPr>
        <w:spacing w:line="360" w:lineRule="auto"/>
        <w:ind w:firstLine="480" w:firstLineChars="200"/>
        <w:rPr>
          <w:rFonts w:ascii="宋体" w:hAnsi="宋体" w:cs="宋体"/>
          <w:sz w:val="24"/>
          <w:szCs w:val="24"/>
        </w:rPr>
      </w:pPr>
      <w:r>
        <w:rPr>
          <w:rFonts w:hint="eastAsia" w:ascii="宋体" w:hAnsi="宋体" w:cs="宋体"/>
          <w:sz w:val="24"/>
          <w:szCs w:val="24"/>
        </w:rPr>
        <w:t>应用识别：支持主流互联网应用、视频 / 娱乐 / 网盘 / IM 软件精准识别，可按用户、部门做访问阻断、限流策略。</w:t>
      </w:r>
    </w:p>
    <w:p w14:paraId="6715BCF4">
      <w:pPr>
        <w:spacing w:line="360" w:lineRule="auto"/>
        <w:ind w:firstLine="480" w:firstLineChars="200"/>
        <w:rPr>
          <w:rFonts w:ascii="宋体" w:hAnsi="宋体" w:cs="宋体"/>
          <w:sz w:val="24"/>
          <w:szCs w:val="24"/>
        </w:rPr>
      </w:pPr>
      <w:r>
        <w:rPr>
          <w:rFonts w:hint="eastAsia" w:ascii="宋体" w:hAnsi="宋体" w:cs="宋体"/>
          <w:sz w:val="24"/>
          <w:szCs w:val="24"/>
        </w:rPr>
        <w:t>上网审计：完整记录网页访问、外发文件、发帖、聊天行为，日志留存≥6 个月，支持检索、导出，满足等保审计要求。</w:t>
      </w:r>
    </w:p>
    <w:p w14:paraId="1C2CB7EF">
      <w:pPr>
        <w:spacing w:line="360" w:lineRule="auto"/>
        <w:ind w:firstLine="480" w:firstLineChars="200"/>
        <w:rPr>
          <w:rFonts w:ascii="宋体" w:hAnsi="宋体" w:cs="宋体"/>
          <w:sz w:val="24"/>
          <w:szCs w:val="24"/>
        </w:rPr>
      </w:pPr>
      <w:r>
        <w:rPr>
          <w:rFonts w:hint="eastAsia" w:ascii="宋体" w:hAnsi="宋体" w:cs="宋体"/>
          <w:sz w:val="24"/>
          <w:szCs w:val="24"/>
        </w:rPr>
        <w:t>流量管理：带宽划分、P2P / 大流量应用限流，保障业务优先，防止非业务流量挤占办公带宽。</w:t>
      </w:r>
    </w:p>
    <w:p w14:paraId="1931BB0B">
      <w:pPr>
        <w:spacing w:line="360" w:lineRule="auto"/>
        <w:ind w:firstLine="480" w:firstLineChars="200"/>
        <w:rPr>
          <w:rFonts w:ascii="宋体" w:hAnsi="宋体" w:cs="宋体"/>
          <w:sz w:val="24"/>
          <w:szCs w:val="24"/>
        </w:rPr>
      </w:pPr>
      <w:r>
        <w:rPr>
          <w:rFonts w:hint="eastAsia" w:ascii="宋体" w:hAnsi="宋体" w:cs="宋体"/>
          <w:sz w:val="24"/>
          <w:szCs w:val="24"/>
        </w:rPr>
        <w:t>身份认证：支持账号 / 密码、IP 绑定、AD 域对接，基于用户身份做策略下发。</w:t>
      </w:r>
    </w:p>
    <w:p w14:paraId="68BEE6BB">
      <w:pPr>
        <w:spacing w:line="360" w:lineRule="auto"/>
        <w:ind w:firstLine="480" w:firstLineChars="200"/>
        <w:rPr>
          <w:rFonts w:ascii="宋体" w:hAnsi="宋体" w:cs="宋体"/>
          <w:sz w:val="24"/>
          <w:szCs w:val="24"/>
        </w:rPr>
      </w:pPr>
      <w:r>
        <w:rPr>
          <w:rFonts w:hint="eastAsia" w:ascii="宋体" w:hAnsi="宋体" w:cs="宋体"/>
          <w:sz w:val="24"/>
          <w:szCs w:val="24"/>
        </w:rPr>
        <w:t>告警管控：违规行为实时告警，可配置阻断、提醒，识别高危访问行为。</w:t>
      </w:r>
    </w:p>
    <w:p w14:paraId="0EF488A4">
      <w:pPr>
        <w:spacing w:line="360" w:lineRule="auto"/>
        <w:ind w:firstLine="480" w:firstLineChars="200"/>
        <w:rPr>
          <w:rFonts w:ascii="宋体" w:hAnsi="宋体" w:cs="宋体"/>
          <w:sz w:val="24"/>
          <w:szCs w:val="24"/>
        </w:rPr>
      </w:pPr>
      <w:r>
        <w:rPr>
          <w:rFonts w:hint="eastAsia" w:ascii="宋体" w:hAnsi="宋体" w:cs="宋体"/>
          <w:sz w:val="24"/>
          <w:szCs w:val="24"/>
        </w:rPr>
        <w:t>部署兼容：支持旁路 / 网桥部署，不影响原有网络架构，割接影响小。</w:t>
      </w:r>
    </w:p>
    <w:p w14:paraId="765743C5">
      <w:pPr>
        <w:spacing w:line="360" w:lineRule="auto"/>
        <w:ind w:firstLine="480" w:firstLineChars="200"/>
        <w:rPr>
          <w:rFonts w:ascii="宋体" w:hAnsi="宋体" w:cs="宋体"/>
          <w:sz w:val="24"/>
          <w:szCs w:val="24"/>
        </w:rPr>
      </w:pPr>
      <w:r>
        <w:rPr>
          <w:rFonts w:hint="eastAsia" w:ascii="宋体" w:hAnsi="宋体" w:cs="宋体"/>
          <w:sz w:val="24"/>
          <w:szCs w:val="24"/>
        </w:rPr>
        <w:t>性能指标：吞吐量、并发会话满足现有内网规模，设备稳定无丢包。</w:t>
      </w:r>
    </w:p>
    <w:p w14:paraId="70BA2872">
      <w:pPr>
        <w:spacing w:line="360" w:lineRule="auto"/>
        <w:ind w:firstLine="480" w:firstLineChars="200"/>
        <w:rPr>
          <w:rFonts w:ascii="宋体" w:hAnsi="宋体" w:cs="宋体"/>
          <w:sz w:val="24"/>
          <w:szCs w:val="24"/>
        </w:rPr>
      </w:pPr>
      <w:r>
        <w:rPr>
          <w:rFonts w:hint="eastAsia" w:ascii="宋体" w:hAnsi="宋体" w:cs="宋体"/>
          <w:sz w:val="24"/>
          <w:szCs w:val="24"/>
        </w:rPr>
        <w:t>日志与报表：自动生成上网行为统计报表，便于安全自查、审计备查。</w:t>
      </w:r>
    </w:p>
    <w:p w14:paraId="5F4E8B28">
      <w:pPr>
        <w:numPr>
          <w:ilvl w:val="0"/>
          <w:numId w:val="30"/>
        </w:numPr>
        <w:spacing w:line="360" w:lineRule="auto"/>
        <w:rPr>
          <w:rFonts w:ascii="宋体" w:hAnsi="宋体"/>
          <w:sz w:val="24"/>
          <w:szCs w:val="24"/>
        </w:rPr>
      </w:pPr>
      <w:r>
        <w:rPr>
          <w:rFonts w:hint="eastAsia" w:ascii="宋体" w:hAnsi="宋体"/>
          <w:sz w:val="24"/>
          <w:szCs w:val="24"/>
        </w:rPr>
        <w:t>施工要求</w:t>
      </w:r>
    </w:p>
    <w:p w14:paraId="422B248B">
      <w:pPr>
        <w:spacing w:line="360" w:lineRule="auto"/>
        <w:ind w:firstLine="480" w:firstLineChars="200"/>
        <w:rPr>
          <w:sz w:val="24"/>
          <w:szCs w:val="24"/>
        </w:rPr>
      </w:pPr>
      <w:r>
        <w:rPr>
          <w:rFonts w:hint="eastAsia"/>
          <w:sz w:val="24"/>
          <w:szCs w:val="24"/>
        </w:rPr>
        <w:t>2.1</w:t>
      </w:r>
      <w:r>
        <w:rPr>
          <w:sz w:val="24"/>
          <w:szCs w:val="24"/>
        </w:rPr>
        <w:t>本次采购设备为专用硬件上网行为管理设备，非软件虚拟化版本，设备性能、功能需完全满足本单位现有网络规模及未来扩容需求，兼容现有网络架构，支持旁路、网桥等主流部署模式，部署过程不得改动现有核心网络结构，不影响原有业务正常运行。</w:t>
      </w:r>
    </w:p>
    <w:p w14:paraId="6A7E7061">
      <w:pPr>
        <w:spacing w:line="360" w:lineRule="auto"/>
        <w:ind w:firstLine="480" w:firstLineChars="200"/>
        <w:rPr>
          <w:sz w:val="24"/>
          <w:szCs w:val="24"/>
        </w:rPr>
      </w:pPr>
      <w:r>
        <w:rPr>
          <w:rFonts w:hint="eastAsia"/>
          <w:sz w:val="24"/>
          <w:szCs w:val="24"/>
        </w:rPr>
        <w:t>2.2</w:t>
      </w:r>
      <w:r>
        <w:rPr>
          <w:sz w:val="24"/>
          <w:szCs w:val="24"/>
        </w:rPr>
        <w:t xml:space="preserve"> 设备需符合国家网络安全等级保护相关规范要求，支持全网上网行为可视化管控、安全审计、流量优化、风险预警等核心能力，满足合规审计、日常运维、安全自查等工作需求。</w:t>
      </w:r>
    </w:p>
    <w:p w14:paraId="4EF9C0DD">
      <w:pPr>
        <w:spacing w:line="360" w:lineRule="auto"/>
        <w:ind w:firstLine="480" w:firstLineChars="200"/>
        <w:rPr>
          <w:sz w:val="24"/>
          <w:szCs w:val="24"/>
        </w:rPr>
      </w:pPr>
      <w:r>
        <w:rPr>
          <w:sz w:val="24"/>
          <w:szCs w:val="24"/>
        </w:rPr>
        <w:t>2.</w:t>
      </w:r>
      <w:r>
        <w:rPr>
          <w:rFonts w:hint="eastAsia"/>
          <w:sz w:val="24"/>
          <w:szCs w:val="24"/>
        </w:rPr>
        <w:t>3</w:t>
      </w:r>
      <w:r>
        <w:rPr>
          <w:rFonts w:hint="eastAsia" w:ascii="宋体" w:hAnsi="宋体"/>
          <w:sz w:val="24"/>
          <w:szCs w:val="24"/>
        </w:rPr>
        <w:t>.交付周期：自合同签订之日起，</w:t>
      </w:r>
      <w:r>
        <w:rPr>
          <w:rFonts w:hint="eastAsia"/>
          <w:sz w:val="24"/>
          <w:szCs w:val="24"/>
        </w:rPr>
        <w:t>15</w:t>
      </w:r>
      <w:r>
        <w:rPr>
          <w:rFonts w:hint="eastAsia" w:ascii="宋体" w:hAnsi="宋体"/>
          <w:sz w:val="24"/>
          <w:szCs w:val="24"/>
        </w:rPr>
        <w:t>个日历日到货。安装调试5日内。并投入正常使用。</w:t>
      </w:r>
    </w:p>
    <w:p w14:paraId="61C31B9B">
      <w:pPr>
        <w:pStyle w:val="25"/>
        <w:ind w:firstLine="480" w:firstLineChars="200"/>
      </w:pPr>
      <w:r>
        <w:rPr>
          <w:rFonts w:ascii="Times New Roman" w:hAnsi="Times New Roman"/>
          <w:sz w:val="24"/>
          <w:szCs w:val="24"/>
        </w:rPr>
        <w:t>2.</w:t>
      </w:r>
      <w:r>
        <w:rPr>
          <w:rFonts w:hint="eastAsia" w:ascii="Times New Roman" w:hAnsi="Times New Roman"/>
          <w:sz w:val="24"/>
          <w:szCs w:val="24"/>
        </w:rPr>
        <w:t>4</w:t>
      </w:r>
      <w:r>
        <w:rPr>
          <w:rFonts w:hint="eastAsia" w:hAnsi="宋体"/>
          <w:sz w:val="24"/>
          <w:szCs w:val="24"/>
        </w:rPr>
        <w:t>.产生的建筑垃圾由施工方负责清运。</w:t>
      </w:r>
    </w:p>
    <w:p w14:paraId="1ADA513A">
      <w:pPr>
        <w:spacing w:line="360" w:lineRule="auto"/>
        <w:ind w:firstLine="480" w:firstLineChars="200"/>
        <w:rPr>
          <w:sz w:val="24"/>
          <w:szCs w:val="24"/>
        </w:rPr>
      </w:pPr>
      <w:r>
        <w:rPr>
          <w:sz w:val="24"/>
          <w:szCs w:val="24"/>
        </w:rPr>
        <w:t>3.</w:t>
      </w:r>
      <w:r>
        <w:rPr>
          <w:rFonts w:hint="eastAsia" w:ascii="宋体" w:hAnsi="宋体"/>
          <w:sz w:val="24"/>
          <w:szCs w:val="24"/>
        </w:rPr>
        <w:t>安装施工：</w:t>
      </w:r>
    </w:p>
    <w:p w14:paraId="7BF4D437">
      <w:pPr>
        <w:spacing w:line="360" w:lineRule="auto"/>
        <w:ind w:firstLine="480" w:firstLineChars="200"/>
        <w:rPr>
          <w:rFonts w:ascii="宋体" w:hAnsi="宋体" w:cs="宋体"/>
          <w:sz w:val="24"/>
          <w:szCs w:val="24"/>
        </w:rPr>
      </w:pPr>
      <w:r>
        <w:rPr>
          <w:rFonts w:ascii="宋体" w:hAnsi="宋体" w:cs="宋体"/>
          <w:sz w:val="24"/>
          <w:szCs w:val="24"/>
        </w:rPr>
        <w:t>供方负责编制施工实施方案及应急回滚预案，在指定停机窗口完成设备上架、布线、部署调试，完成身份认证、上网管控、流量审计等策略配置。实施期间保障现有业务稳定，上线前后开展功能验证测试，异常情况及时回滚。项目完工交付全套技术资料，并对运维人员开展操作培训，配合完成项目现场验收。</w:t>
      </w:r>
    </w:p>
    <w:p w14:paraId="0342651E">
      <w:pPr>
        <w:spacing w:line="360" w:lineRule="auto"/>
        <w:ind w:firstLine="480" w:firstLineChars="200"/>
        <w:rPr>
          <w:rFonts w:ascii="等线" w:hAnsi="等线"/>
          <w:sz w:val="24"/>
          <w:szCs w:val="24"/>
        </w:rPr>
      </w:pPr>
      <w:r>
        <w:rPr>
          <w:sz w:val="24"/>
          <w:szCs w:val="24"/>
        </w:rPr>
        <w:t>4.</w:t>
      </w:r>
      <w:r>
        <w:rPr>
          <w:rFonts w:hint="eastAsia" w:ascii="宋体" w:hAnsi="宋体"/>
          <w:sz w:val="24"/>
          <w:szCs w:val="24"/>
        </w:rPr>
        <w:t>随机技术文档</w:t>
      </w:r>
    </w:p>
    <w:bookmarkEnd w:id="18"/>
    <w:p w14:paraId="3C796FB5">
      <w:pPr>
        <w:spacing w:line="360" w:lineRule="auto"/>
        <w:ind w:firstLine="480" w:firstLineChars="200"/>
        <w:rPr>
          <w:rFonts w:ascii="宋体" w:hAnsi="宋体" w:cs="宋体"/>
          <w:sz w:val="24"/>
          <w:szCs w:val="24"/>
        </w:rPr>
      </w:pPr>
      <w:r>
        <w:rPr>
          <w:rFonts w:ascii="宋体" w:hAnsi="宋体" w:cs="宋体"/>
          <w:sz w:val="24"/>
          <w:szCs w:val="24"/>
        </w:rPr>
        <w:t>备随机交付技术文档包含：硬件安装手册</w:t>
      </w:r>
      <w:r>
        <w:rPr>
          <w:rFonts w:hint="eastAsia" w:ascii="宋体" w:hAnsi="宋体" w:cs="宋体"/>
          <w:sz w:val="24"/>
          <w:szCs w:val="24"/>
        </w:rPr>
        <w:t>、</w:t>
      </w:r>
      <w:r>
        <w:rPr>
          <w:rFonts w:ascii="宋体" w:hAnsi="宋体" w:cs="宋体"/>
          <w:sz w:val="24"/>
          <w:szCs w:val="24"/>
        </w:rPr>
        <w:t>产品合格证、保修卡。</w:t>
      </w:r>
    </w:p>
    <w:p w14:paraId="550C0ABD">
      <w:pPr>
        <w:spacing w:line="360" w:lineRule="auto"/>
        <w:ind w:firstLine="480" w:firstLineChars="200"/>
        <w:rPr>
          <w:rFonts w:ascii="宋体" w:hAnsi="宋体" w:cs="宋体"/>
          <w:sz w:val="24"/>
          <w:szCs w:val="24"/>
        </w:rPr>
      </w:pPr>
    </w:p>
    <w:p w14:paraId="6B27034A">
      <w:pPr>
        <w:keepNext/>
        <w:keepLines/>
        <w:jc w:val="center"/>
        <w:outlineLvl w:val="1"/>
        <w:rPr>
          <w:rFonts w:ascii="Calibri" w:hAnsi="Calibri"/>
          <w:b/>
          <w:bCs/>
          <w:kern w:val="44"/>
          <w:sz w:val="28"/>
          <w:szCs w:val="28"/>
        </w:rPr>
      </w:pPr>
      <w:r>
        <w:rPr>
          <w:rFonts w:hint="eastAsia" w:ascii="Calibri" w:hAnsi="Calibri"/>
          <w:b/>
          <w:bCs/>
          <w:kern w:val="44"/>
          <w:sz w:val="28"/>
          <w:szCs w:val="28"/>
        </w:rPr>
        <w:t>第三章供货范围及供货方式</w:t>
      </w:r>
    </w:p>
    <w:p w14:paraId="717C527F"/>
    <w:p w14:paraId="38855252">
      <w:pPr>
        <w:keepNext/>
        <w:keepLines/>
        <w:spacing w:line="360" w:lineRule="auto"/>
        <w:jc w:val="center"/>
        <w:outlineLvl w:val="2"/>
        <w:rPr>
          <w:rFonts w:ascii="宋体" w:hAnsi="宋体" w:cs="宋体"/>
          <w:b/>
          <w:bCs/>
          <w:sz w:val="24"/>
          <w:szCs w:val="32"/>
        </w:rPr>
      </w:pPr>
      <w:bookmarkStart w:id="19" w:name="_Toc169605882"/>
      <w:r>
        <w:rPr>
          <w:rFonts w:hint="eastAsia" w:ascii="宋体" w:hAnsi="宋体" w:cs="宋体"/>
          <w:b/>
          <w:bCs/>
          <w:sz w:val="24"/>
          <w:szCs w:val="32"/>
        </w:rPr>
        <w:t>第一节  供货范围</w:t>
      </w:r>
      <w:bookmarkEnd w:id="19"/>
    </w:p>
    <w:p w14:paraId="3D3767D1">
      <w:pPr>
        <w:spacing w:line="420" w:lineRule="exact"/>
        <w:ind w:firstLine="482" w:firstLineChars="200"/>
        <w:outlineLvl w:val="3"/>
        <w:rPr>
          <w:rFonts w:ascii="宋体" w:hAnsi="宋体" w:cs="宋体"/>
          <w:b/>
          <w:bCs/>
          <w:sz w:val="24"/>
          <w:szCs w:val="24"/>
        </w:rPr>
      </w:pPr>
      <w:r>
        <w:rPr>
          <w:rFonts w:hint="eastAsia" w:ascii="宋体" w:hAnsi="宋体" w:cs="宋体"/>
          <w:b/>
          <w:bCs/>
          <w:sz w:val="24"/>
          <w:szCs w:val="24"/>
        </w:rPr>
        <w:t>一、供货范围</w:t>
      </w:r>
    </w:p>
    <w:tbl>
      <w:tblPr>
        <w:tblStyle w:val="45"/>
        <w:tblW w:w="90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54"/>
        <w:gridCol w:w="4516"/>
        <w:gridCol w:w="1134"/>
        <w:gridCol w:w="1161"/>
      </w:tblGrid>
      <w:tr w14:paraId="168B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9" w:type="dxa"/>
            <w:tcBorders>
              <w:top w:val="single" w:color="auto" w:sz="4" w:space="0"/>
              <w:left w:val="single" w:color="auto" w:sz="4" w:space="0"/>
              <w:bottom w:val="single" w:color="auto" w:sz="4" w:space="0"/>
              <w:right w:val="single" w:color="auto" w:sz="4" w:space="0"/>
            </w:tcBorders>
            <w:shd w:val="clear" w:color="000000" w:fill="FFFFFF"/>
            <w:vAlign w:val="center"/>
          </w:tcPr>
          <w:p w14:paraId="0840AF60">
            <w:pPr>
              <w:jc w:val="center"/>
              <w:textAlignment w:val="center"/>
              <w:rPr>
                <w:rFonts w:ascii="宋体" w:hAnsi="宋体" w:cs="宋体"/>
                <w:sz w:val="24"/>
                <w:szCs w:val="24"/>
              </w:rPr>
            </w:pPr>
            <w:r>
              <w:rPr>
                <w:rFonts w:hint="eastAsia" w:ascii="宋体" w:hAnsi="宋体" w:cs="宋体"/>
                <w:sz w:val="24"/>
                <w:szCs w:val="24"/>
              </w:rPr>
              <w:t>序号</w:t>
            </w:r>
          </w:p>
        </w:tc>
        <w:tc>
          <w:tcPr>
            <w:tcW w:w="1154" w:type="dxa"/>
            <w:tcBorders>
              <w:top w:val="single" w:color="auto" w:sz="4" w:space="0"/>
              <w:left w:val="single" w:color="auto" w:sz="4" w:space="0"/>
              <w:bottom w:val="single" w:color="auto" w:sz="4" w:space="0"/>
              <w:right w:val="single" w:color="auto" w:sz="4" w:space="0"/>
            </w:tcBorders>
            <w:shd w:val="clear" w:color="000000" w:fill="FFFFFF"/>
            <w:vAlign w:val="center"/>
          </w:tcPr>
          <w:p w14:paraId="4A401B57">
            <w:pPr>
              <w:jc w:val="center"/>
              <w:textAlignment w:val="center"/>
              <w:rPr>
                <w:rFonts w:ascii="宋体" w:hAnsi="宋体" w:cs="宋体"/>
                <w:sz w:val="24"/>
                <w:szCs w:val="24"/>
              </w:rPr>
            </w:pPr>
            <w:r>
              <w:rPr>
                <w:rFonts w:hint="eastAsia" w:ascii="宋体" w:hAnsi="宋体" w:cs="宋体"/>
                <w:sz w:val="24"/>
                <w:szCs w:val="24"/>
              </w:rPr>
              <w:t>项目名称</w:t>
            </w:r>
          </w:p>
        </w:tc>
        <w:tc>
          <w:tcPr>
            <w:tcW w:w="4516" w:type="dxa"/>
            <w:tcBorders>
              <w:top w:val="single" w:color="auto" w:sz="4" w:space="0"/>
              <w:left w:val="single" w:color="auto" w:sz="4" w:space="0"/>
              <w:bottom w:val="single" w:color="auto" w:sz="4" w:space="0"/>
              <w:right w:val="single" w:color="auto" w:sz="4" w:space="0"/>
            </w:tcBorders>
            <w:shd w:val="clear" w:color="000000" w:fill="FFFFFF"/>
            <w:vAlign w:val="center"/>
          </w:tcPr>
          <w:p w14:paraId="4701E386">
            <w:pPr>
              <w:jc w:val="center"/>
              <w:textAlignment w:val="center"/>
              <w:rPr>
                <w:rFonts w:ascii="宋体" w:hAnsi="宋体" w:cs="宋体"/>
                <w:sz w:val="24"/>
                <w:szCs w:val="24"/>
              </w:rPr>
            </w:pPr>
            <w:r>
              <w:rPr>
                <w:rFonts w:hint="eastAsia" w:ascii="宋体" w:hAnsi="宋体" w:cs="宋体"/>
                <w:sz w:val="24"/>
                <w:szCs w:val="24"/>
              </w:rPr>
              <w:t>项目特征</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14:paraId="2DB7EE66">
            <w:pPr>
              <w:jc w:val="center"/>
              <w:textAlignment w:val="center"/>
              <w:rPr>
                <w:rFonts w:ascii="宋体" w:hAnsi="宋体" w:cs="宋体"/>
                <w:sz w:val="24"/>
                <w:szCs w:val="24"/>
              </w:rPr>
            </w:pPr>
            <w:r>
              <w:rPr>
                <w:rFonts w:hint="eastAsia" w:ascii="宋体" w:hAnsi="宋体" w:cs="宋体"/>
                <w:sz w:val="24"/>
                <w:szCs w:val="24"/>
              </w:rPr>
              <w:t>单位</w:t>
            </w:r>
          </w:p>
        </w:tc>
        <w:tc>
          <w:tcPr>
            <w:tcW w:w="1161" w:type="dxa"/>
            <w:tcBorders>
              <w:top w:val="single" w:color="auto" w:sz="4" w:space="0"/>
              <w:left w:val="single" w:color="auto" w:sz="4" w:space="0"/>
              <w:bottom w:val="single" w:color="auto" w:sz="4" w:space="0"/>
              <w:right w:val="single" w:color="auto" w:sz="4" w:space="0"/>
            </w:tcBorders>
            <w:shd w:val="clear" w:color="000000" w:fill="FFFFFF"/>
            <w:vAlign w:val="center"/>
          </w:tcPr>
          <w:p w14:paraId="098EDA84">
            <w:pPr>
              <w:jc w:val="center"/>
              <w:textAlignment w:val="center"/>
              <w:rPr>
                <w:rFonts w:ascii="宋体" w:hAnsi="宋体" w:cs="宋体"/>
                <w:sz w:val="24"/>
                <w:szCs w:val="24"/>
              </w:rPr>
            </w:pPr>
            <w:r>
              <w:rPr>
                <w:rFonts w:hint="eastAsia" w:ascii="宋体" w:hAnsi="宋体" w:cs="宋体"/>
                <w:sz w:val="24"/>
                <w:szCs w:val="24"/>
              </w:rPr>
              <w:t>数量</w:t>
            </w:r>
          </w:p>
        </w:tc>
      </w:tr>
      <w:tr w14:paraId="5B52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9" w:type="dxa"/>
            <w:tcBorders>
              <w:top w:val="single" w:color="auto" w:sz="4" w:space="0"/>
              <w:left w:val="single" w:color="auto" w:sz="4" w:space="0"/>
              <w:bottom w:val="single" w:color="auto" w:sz="4" w:space="0"/>
              <w:right w:val="single" w:color="auto" w:sz="4" w:space="0"/>
            </w:tcBorders>
            <w:shd w:val="clear" w:color="000000" w:fill="FFFFFF"/>
            <w:vAlign w:val="center"/>
          </w:tcPr>
          <w:p w14:paraId="30518FD2">
            <w:pPr>
              <w:jc w:val="center"/>
              <w:textAlignment w:val="center"/>
              <w:rPr>
                <w:rFonts w:ascii="宋体" w:hAnsi="宋体" w:cs="宋体"/>
                <w:sz w:val="24"/>
                <w:szCs w:val="24"/>
              </w:rPr>
            </w:pPr>
            <w:r>
              <w:rPr>
                <w:rFonts w:hint="eastAsia" w:ascii="宋体" w:hAnsi="宋体" w:cs="宋体"/>
                <w:sz w:val="24"/>
                <w:szCs w:val="24"/>
              </w:rPr>
              <w:t>1</w:t>
            </w:r>
          </w:p>
        </w:tc>
        <w:tc>
          <w:tcPr>
            <w:tcW w:w="1154" w:type="dxa"/>
            <w:tcBorders>
              <w:top w:val="single" w:color="auto" w:sz="4" w:space="0"/>
              <w:left w:val="single" w:color="auto" w:sz="4" w:space="0"/>
              <w:bottom w:val="single" w:color="auto" w:sz="4" w:space="0"/>
              <w:right w:val="single" w:color="auto" w:sz="4" w:space="0"/>
            </w:tcBorders>
            <w:shd w:val="clear" w:color="000000" w:fill="FFFFFF"/>
            <w:vAlign w:val="center"/>
          </w:tcPr>
          <w:p w14:paraId="74FC5CD3">
            <w:pPr>
              <w:spacing w:line="360" w:lineRule="exact"/>
              <w:jc w:val="center"/>
              <w:rPr>
                <w:rFonts w:ascii="宋体" w:hAnsi="宋体" w:cs="宋体"/>
                <w:sz w:val="24"/>
                <w:szCs w:val="24"/>
              </w:rPr>
            </w:pPr>
            <w:r>
              <w:rPr>
                <w:rFonts w:hint="eastAsia" w:ascii="宋体" w:hAnsi="宋体" w:cs="宋体"/>
                <w:sz w:val="24"/>
                <w:szCs w:val="24"/>
              </w:rPr>
              <w:t>成都王牌新增上网行为管理设备</w:t>
            </w:r>
          </w:p>
        </w:tc>
        <w:tc>
          <w:tcPr>
            <w:tcW w:w="4516" w:type="dxa"/>
            <w:tcBorders>
              <w:top w:val="single" w:color="auto" w:sz="4" w:space="0"/>
              <w:left w:val="single" w:color="auto" w:sz="4" w:space="0"/>
              <w:bottom w:val="single" w:color="auto" w:sz="4" w:space="0"/>
              <w:right w:val="single" w:color="auto" w:sz="4" w:space="0"/>
            </w:tcBorders>
            <w:shd w:val="clear" w:color="000000" w:fill="FFFFFF"/>
            <w:vAlign w:val="center"/>
          </w:tcPr>
          <w:p w14:paraId="2671FE61">
            <w:pPr>
              <w:numPr>
                <w:ilvl w:val="0"/>
                <w:numId w:val="34"/>
              </w:numPr>
              <w:spacing w:line="360" w:lineRule="exact"/>
              <w:jc w:val="left"/>
              <w:rPr>
                <w:rFonts w:ascii="宋体" w:hAnsi="宋体" w:cs="宋体"/>
                <w:b/>
                <w:bCs/>
                <w:sz w:val="24"/>
                <w:szCs w:val="24"/>
              </w:rPr>
            </w:pPr>
            <w:r>
              <w:rPr>
                <w:rFonts w:hint="eastAsia" w:ascii="宋体" w:hAnsi="宋体" w:cs="宋体"/>
                <w:b/>
                <w:bCs/>
                <w:sz w:val="24"/>
                <w:szCs w:val="24"/>
              </w:rPr>
              <w:t>性能参数</w:t>
            </w:r>
          </w:p>
          <w:p w14:paraId="03C8A190">
            <w:pPr>
              <w:spacing w:line="360" w:lineRule="exact"/>
              <w:jc w:val="left"/>
              <w:rPr>
                <w:rFonts w:ascii="宋体" w:hAnsi="宋体" w:cs="宋体"/>
                <w:sz w:val="24"/>
                <w:szCs w:val="24"/>
              </w:rPr>
            </w:pPr>
            <w:r>
              <w:rPr>
                <w:rFonts w:hint="eastAsia" w:ascii="微软雅黑" w:hAnsi="微软雅黑" w:eastAsia="微软雅黑" w:cs="微软雅黑"/>
              </w:rPr>
              <w:t>★</w:t>
            </w:r>
            <w:r>
              <w:rPr>
                <w:rFonts w:hint="eastAsia" w:ascii="宋体" w:hAnsi="宋体" w:cs="宋体"/>
                <w:sz w:val="24"/>
                <w:szCs w:val="24"/>
              </w:rPr>
              <w:t>网络层吞吐量（大包）：≥5.8Gb，应用层吞吐量：≥750Mb，带宽性能：≥500Mb，IPSEC VPN加密性能（最高性能）：≥120Mb，支持准入用户数：≥1000，包转发率：90Kpps，每秒新建连接数：≥10000，最大并发连接数：≥500000。</w:t>
            </w:r>
          </w:p>
          <w:p w14:paraId="2A428C66">
            <w:pPr>
              <w:spacing w:line="360" w:lineRule="exact"/>
              <w:jc w:val="left"/>
              <w:rPr>
                <w:rFonts w:ascii="宋体" w:hAnsi="宋体" w:cs="宋体"/>
                <w:sz w:val="24"/>
                <w:szCs w:val="24"/>
              </w:rPr>
            </w:pPr>
            <w:r>
              <w:rPr>
                <w:rFonts w:hint="eastAsia" w:ascii="微软雅黑" w:hAnsi="微软雅黑" w:eastAsia="微软雅黑" w:cs="微软雅黑"/>
              </w:rPr>
              <w:t>★</w:t>
            </w:r>
            <w:r>
              <w:rPr>
                <w:rFonts w:hint="eastAsia" w:ascii="宋体" w:hAnsi="宋体" w:cs="宋体"/>
                <w:sz w:val="24"/>
                <w:szCs w:val="24"/>
              </w:rPr>
              <w:t>硬件参数：规格：≥1U，内存大小：≥8G，硬盘容量：≥128GB+960G SSD，电源：单/双电源，接口：≥6千兆电口。</w:t>
            </w:r>
          </w:p>
          <w:p w14:paraId="748831D3">
            <w:pPr>
              <w:pStyle w:val="21"/>
              <w:widowControl/>
              <w:jc w:val="left"/>
              <w:rPr>
                <w:rFonts w:ascii="宋体" w:hAnsi="宋体" w:eastAsia="宋体" w:cs="宋体"/>
                <w:sz w:val="24"/>
                <w:szCs w:val="24"/>
              </w:rPr>
            </w:pPr>
            <w:r>
              <w:rPr>
                <w:rFonts w:hint="eastAsia" w:ascii="宋体" w:hAnsi="宋体" w:eastAsia="宋体" w:cs="宋体"/>
                <w:sz w:val="24"/>
                <w:szCs w:val="24"/>
              </w:rPr>
              <w:t>网络日志留存时间不少于六个月，满足《网络安全法》。</w:t>
            </w:r>
          </w:p>
          <w:p w14:paraId="271B3B34">
            <w:pPr>
              <w:pStyle w:val="21"/>
              <w:widowControl/>
              <w:jc w:val="left"/>
              <w:rPr>
                <w:rFonts w:ascii="微软雅黑" w:hAnsi="微软雅黑" w:eastAsia="微软雅黑" w:cs="微软雅黑"/>
                <w:sz w:val="24"/>
                <w:szCs w:val="24"/>
              </w:rPr>
            </w:pPr>
            <w:r>
              <w:rPr>
                <w:rFonts w:hint="eastAsia" w:ascii="微软雅黑" w:hAnsi="微软雅黑" w:eastAsia="微软雅黑" w:cs="微软雅黑"/>
                <w:sz w:val="24"/>
                <w:szCs w:val="24"/>
              </w:rPr>
              <w:t>实质性参数，不满足将否决其投标文件。</w:t>
            </w:r>
          </w:p>
          <w:p w14:paraId="4E4D0E39">
            <w:pPr>
              <w:pStyle w:val="21"/>
              <w:widowControl/>
              <w:numPr>
                <w:ilvl w:val="0"/>
                <w:numId w:val="34"/>
              </w:numPr>
              <w:jc w:val="left"/>
              <w:rPr>
                <w:rFonts w:ascii="宋体" w:hAnsi="宋体" w:eastAsia="宋体" w:cs="宋体"/>
                <w:b/>
                <w:bCs/>
                <w:sz w:val="24"/>
                <w:szCs w:val="24"/>
              </w:rPr>
            </w:pPr>
            <w:r>
              <w:rPr>
                <w:rFonts w:hint="eastAsia" w:ascii="宋体" w:hAnsi="宋体" w:eastAsia="宋体" w:cs="宋体"/>
                <w:b/>
                <w:bCs/>
                <w:sz w:val="24"/>
                <w:szCs w:val="24"/>
              </w:rPr>
              <w:t>上网行为管理系统功能要求</w:t>
            </w:r>
          </w:p>
          <w:p w14:paraId="530037DF">
            <w:pPr>
              <w:pStyle w:val="21"/>
              <w:widowControl/>
              <w:ind w:firstLine="240" w:firstLineChars="100"/>
              <w:jc w:val="left"/>
              <w:rPr>
                <w:rFonts w:ascii="宋体" w:hAnsi="宋体" w:cs="宋体"/>
                <w:b/>
                <w:bCs/>
                <w:sz w:val="24"/>
                <w:szCs w:val="24"/>
              </w:rPr>
            </w:pPr>
            <w:r>
              <w:rPr>
                <w:rFonts w:hint="eastAsia" w:ascii="宋体" w:hAnsi="宋体" w:cs="宋体"/>
                <w:sz w:val="24"/>
                <w:szCs w:val="24"/>
              </w:rPr>
              <w:t>《采购货物主要构成一览表》性能参数功能要求。</w:t>
            </w:r>
          </w:p>
          <w:p w14:paraId="08BE9358">
            <w:pPr>
              <w:spacing w:line="3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14:paraId="2C41C584">
            <w:pPr>
              <w:jc w:val="center"/>
              <w:textAlignment w:val="center"/>
              <w:rPr>
                <w:rFonts w:ascii="宋体" w:hAnsi="宋体" w:cs="宋体"/>
                <w:sz w:val="24"/>
                <w:szCs w:val="24"/>
              </w:rPr>
            </w:pPr>
            <w:r>
              <w:rPr>
                <w:rFonts w:hint="eastAsia" w:ascii="宋体" w:hAnsi="宋体" w:cs="宋体"/>
                <w:sz w:val="24"/>
                <w:szCs w:val="24"/>
              </w:rPr>
              <w:t>台</w:t>
            </w:r>
          </w:p>
        </w:tc>
        <w:tc>
          <w:tcPr>
            <w:tcW w:w="1161" w:type="dxa"/>
            <w:tcBorders>
              <w:top w:val="single" w:color="auto" w:sz="4" w:space="0"/>
              <w:left w:val="single" w:color="auto" w:sz="4" w:space="0"/>
              <w:bottom w:val="single" w:color="auto" w:sz="4" w:space="0"/>
              <w:right w:val="single" w:color="auto" w:sz="4" w:space="0"/>
            </w:tcBorders>
            <w:shd w:val="clear" w:color="000000" w:fill="FFFFFF"/>
            <w:vAlign w:val="center"/>
          </w:tcPr>
          <w:p w14:paraId="6B478FDD">
            <w:pPr>
              <w:jc w:val="center"/>
              <w:textAlignment w:val="center"/>
              <w:rPr>
                <w:rFonts w:ascii="宋体" w:hAnsi="宋体" w:cs="宋体"/>
                <w:sz w:val="24"/>
                <w:szCs w:val="24"/>
              </w:rPr>
            </w:pPr>
            <w:r>
              <w:rPr>
                <w:rFonts w:hint="eastAsia" w:ascii="宋体" w:hAnsi="宋体" w:cs="宋体"/>
                <w:sz w:val="24"/>
                <w:szCs w:val="24"/>
              </w:rPr>
              <w:t>1</w:t>
            </w:r>
          </w:p>
        </w:tc>
      </w:tr>
    </w:tbl>
    <w:p w14:paraId="1A4358A1">
      <w:pPr>
        <w:spacing w:line="360" w:lineRule="auto"/>
        <w:ind w:firstLine="482" w:firstLineChars="200"/>
        <w:rPr>
          <w:rFonts w:ascii="宋体" w:hAnsi="宋体" w:cs="宋体"/>
          <w:b/>
          <w:sz w:val="24"/>
          <w:szCs w:val="24"/>
        </w:rPr>
      </w:pPr>
      <w:r>
        <w:rPr>
          <w:rFonts w:hint="eastAsia" w:ascii="宋体" w:hAnsi="宋体" w:cs="宋体"/>
          <w:b/>
          <w:sz w:val="24"/>
          <w:szCs w:val="24"/>
        </w:rPr>
        <w:t>（一）一般界定</w:t>
      </w:r>
    </w:p>
    <w:p w14:paraId="4EA8D89E">
      <w:pPr>
        <w:spacing w:line="360" w:lineRule="auto"/>
        <w:ind w:firstLine="480" w:firstLineChars="200"/>
        <w:rPr>
          <w:rFonts w:ascii="宋体" w:hAnsi="宋体" w:cs="宋体"/>
          <w:sz w:val="24"/>
          <w:szCs w:val="24"/>
        </w:rPr>
      </w:pPr>
      <w:r>
        <w:rPr>
          <w:rFonts w:hint="eastAsia" w:ascii="宋体" w:hAnsi="宋体" w:cs="宋体"/>
          <w:sz w:val="24"/>
          <w:szCs w:val="24"/>
        </w:rPr>
        <w:t>1.包括本技术标书所列明的主要货物以及货物正常运行所必需的全套连线设备、材料等。如货物端联接法兰外端面之内的、电气系统接口压线板（插座等）之内的设备、材料、联接螺栓、垫片等。</w:t>
      </w:r>
    </w:p>
    <w:p w14:paraId="606D9A8B">
      <w:pPr>
        <w:spacing w:line="360" w:lineRule="auto"/>
        <w:ind w:firstLine="480" w:firstLineChars="200"/>
        <w:rPr>
          <w:rFonts w:ascii="宋体" w:hAnsi="宋体" w:cs="宋体"/>
          <w:sz w:val="24"/>
          <w:szCs w:val="24"/>
        </w:rPr>
      </w:pPr>
      <w:r>
        <w:rPr>
          <w:rFonts w:hint="eastAsia" w:ascii="宋体" w:hAnsi="宋体" w:cs="宋体"/>
          <w:sz w:val="24"/>
          <w:szCs w:val="24"/>
        </w:rPr>
        <w:t>2.包括为保证货物正常安装、调试和验收完成及以前所必需的整套配件、附件及材料、油料、控制软件及程序或指令等。</w:t>
      </w:r>
    </w:p>
    <w:p w14:paraId="0F8C5212">
      <w:pPr>
        <w:spacing w:line="360" w:lineRule="auto"/>
        <w:ind w:firstLine="480" w:firstLineChars="200"/>
        <w:rPr>
          <w:rFonts w:ascii="宋体" w:hAnsi="宋体" w:cs="宋体"/>
          <w:sz w:val="24"/>
          <w:szCs w:val="24"/>
        </w:rPr>
      </w:pPr>
      <w:r>
        <w:rPr>
          <w:rFonts w:hint="eastAsia" w:ascii="宋体" w:hAnsi="宋体" w:cs="宋体"/>
          <w:sz w:val="24"/>
          <w:szCs w:val="24"/>
        </w:rPr>
        <w:t>如果终验收完成后，投标人有需要收回的配件、附件、材料、油料等，应当在投标文件的技术偏离条款中，予以详细说明；否则视同包括在供货范围之内。</w:t>
      </w:r>
    </w:p>
    <w:p w14:paraId="10054720">
      <w:pPr>
        <w:spacing w:line="360" w:lineRule="auto"/>
        <w:ind w:firstLine="480" w:firstLineChars="200"/>
        <w:rPr>
          <w:rFonts w:ascii="宋体" w:hAnsi="宋体" w:cs="宋体"/>
          <w:sz w:val="24"/>
          <w:szCs w:val="24"/>
        </w:rPr>
      </w:pPr>
      <w:r>
        <w:rPr>
          <w:rFonts w:hint="eastAsia" w:ascii="宋体" w:hAnsi="宋体" w:cs="宋体"/>
          <w:sz w:val="24"/>
          <w:szCs w:val="24"/>
        </w:rPr>
        <w:t>3.包括货物维护维修所必需的专用工具。</w:t>
      </w:r>
    </w:p>
    <w:p w14:paraId="212F7844">
      <w:pPr>
        <w:spacing w:line="360" w:lineRule="auto"/>
        <w:ind w:firstLine="480" w:firstLineChars="200"/>
        <w:rPr>
          <w:rFonts w:ascii="宋体" w:hAnsi="宋体" w:cs="宋体"/>
          <w:sz w:val="24"/>
          <w:szCs w:val="24"/>
        </w:rPr>
      </w:pPr>
      <w:r>
        <w:rPr>
          <w:rFonts w:hint="eastAsia" w:ascii="宋体" w:hAnsi="宋体" w:cs="宋体"/>
          <w:sz w:val="24"/>
          <w:szCs w:val="24"/>
        </w:rPr>
        <w:t>如投标人难以提供或无优势提供以及属于选用配置的，则应当在投标文件的技术偏离条款中，予以详细说明并注明投标报价未包含该部分的货值。</w:t>
      </w:r>
    </w:p>
    <w:p w14:paraId="14503640">
      <w:pPr>
        <w:spacing w:line="360" w:lineRule="auto"/>
        <w:ind w:firstLine="482" w:firstLineChars="200"/>
        <w:rPr>
          <w:rFonts w:ascii="宋体" w:hAnsi="宋体" w:cs="宋体"/>
          <w:b/>
          <w:sz w:val="24"/>
          <w:szCs w:val="24"/>
        </w:rPr>
      </w:pPr>
      <w:r>
        <w:rPr>
          <w:rFonts w:hint="eastAsia" w:ascii="宋体" w:hAnsi="宋体" w:cs="宋体"/>
          <w:b/>
          <w:sz w:val="24"/>
          <w:szCs w:val="24"/>
        </w:rPr>
        <w:t>（二）供货范围边界界定</w:t>
      </w:r>
    </w:p>
    <w:p w14:paraId="2EFAA564">
      <w:pPr>
        <w:spacing w:line="360" w:lineRule="auto"/>
        <w:ind w:firstLine="480" w:firstLineChars="200"/>
        <w:rPr>
          <w:rFonts w:ascii="宋体" w:hAnsi="宋体" w:cs="宋体"/>
          <w:sz w:val="24"/>
          <w:szCs w:val="24"/>
        </w:rPr>
      </w:pPr>
      <w:r>
        <w:rPr>
          <w:rFonts w:hint="eastAsia" w:ascii="宋体" w:hAnsi="宋体" w:cs="宋体"/>
          <w:sz w:val="24"/>
          <w:szCs w:val="24"/>
        </w:rPr>
        <w:t>对于招标文件中无明确具体要求而投标方认为必须具备的其它货物，投标方必须将该部分货物单独报价。</w:t>
      </w:r>
    </w:p>
    <w:p w14:paraId="6A9A559A">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二、备品备件、易损件和专用耗材供货范围</w:t>
      </w:r>
    </w:p>
    <w:p w14:paraId="5D8D6AA7">
      <w:pPr>
        <w:spacing w:line="360" w:lineRule="auto"/>
        <w:ind w:firstLine="480" w:firstLineChars="200"/>
        <w:rPr>
          <w:rFonts w:ascii="宋体" w:hAnsi="宋体" w:cs="宋体"/>
          <w:sz w:val="24"/>
          <w:szCs w:val="24"/>
        </w:rPr>
      </w:pPr>
      <w:r>
        <w:rPr>
          <w:rFonts w:hint="eastAsia" w:ascii="宋体" w:hAnsi="宋体" w:cs="宋体"/>
          <w:sz w:val="24"/>
          <w:szCs w:val="24"/>
        </w:rPr>
        <w:t>1.备品备件、易损件和专用耗材是招标人为保证货物质保期之后正常运行一年所自备自用的备品备件、易损件和专用耗材。</w:t>
      </w:r>
    </w:p>
    <w:p w14:paraId="271DD985">
      <w:pPr>
        <w:spacing w:line="360" w:lineRule="auto"/>
        <w:ind w:firstLine="480" w:firstLineChars="200"/>
        <w:rPr>
          <w:rFonts w:ascii="宋体" w:hAnsi="宋体" w:cs="宋体"/>
          <w:sz w:val="24"/>
          <w:szCs w:val="24"/>
        </w:rPr>
      </w:pPr>
      <w:r>
        <w:rPr>
          <w:rFonts w:hint="eastAsia" w:ascii="宋体" w:hAnsi="宋体" w:cs="宋体"/>
          <w:sz w:val="24"/>
          <w:szCs w:val="24"/>
        </w:rPr>
        <w:t>质保期之内正常需要的备品备件、易损件和专用耗材全部包括在供货范围之内而不属于本条款界定的范围（应有明细）。</w:t>
      </w:r>
    </w:p>
    <w:p w14:paraId="3221F782">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三、技术资料供货范围</w:t>
      </w:r>
    </w:p>
    <w:p w14:paraId="37ADA4E2">
      <w:pPr>
        <w:spacing w:line="360" w:lineRule="auto"/>
        <w:ind w:firstLine="480" w:firstLineChars="200"/>
        <w:rPr>
          <w:rFonts w:ascii="宋体" w:hAnsi="宋体" w:cs="宋体"/>
          <w:sz w:val="24"/>
          <w:szCs w:val="24"/>
        </w:rPr>
      </w:pPr>
      <w:r>
        <w:rPr>
          <w:rFonts w:hint="eastAsia" w:ascii="宋体" w:hAnsi="宋体" w:cs="宋体"/>
          <w:sz w:val="24"/>
          <w:szCs w:val="24"/>
        </w:rPr>
        <w:t>技术资料供货范围包括：</w:t>
      </w:r>
    </w:p>
    <w:p w14:paraId="20B96891">
      <w:pPr>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.在终验收前，提供包括不限于货物及材料质量证明文件、隐蔽与试验记录、调试试运行记录、分部分项验收资料、竣工图纸、质保及备件清单。</w:t>
      </w:r>
    </w:p>
    <w:p w14:paraId="2E911675">
      <w:pPr>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.本条款所列要求，如招标人认为投标人提供的资料不能满足要求时，有权要求投标人免费补充或增加。</w:t>
      </w:r>
    </w:p>
    <w:p w14:paraId="533A3FB7">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四、供货范围特别提示</w:t>
      </w:r>
    </w:p>
    <w:p w14:paraId="7A2D8E90">
      <w:pPr>
        <w:spacing w:line="360" w:lineRule="auto"/>
        <w:ind w:firstLine="480" w:firstLineChars="200"/>
        <w:rPr>
          <w:rFonts w:ascii="宋体" w:hAnsi="宋体" w:cs="宋体"/>
          <w:sz w:val="24"/>
          <w:szCs w:val="24"/>
        </w:rPr>
      </w:pPr>
      <w:r>
        <w:rPr>
          <w:rFonts w:hint="eastAsia" w:ascii="宋体" w:hAnsi="宋体" w:cs="宋体"/>
          <w:sz w:val="24"/>
          <w:szCs w:val="24"/>
        </w:rPr>
        <w:t>如果投标人认为本节所列的供货范围难以满足，则仍需要按照本要求提供，但该部分货物应当在投标报价中单独列明货物名称及品质、货值。</w:t>
      </w:r>
      <w:bookmarkStart w:id="20" w:name="_Toc169605883"/>
    </w:p>
    <w:p w14:paraId="7489C507">
      <w:pPr>
        <w:pStyle w:val="25"/>
        <w:spacing w:line="360" w:lineRule="auto"/>
      </w:pPr>
    </w:p>
    <w:p w14:paraId="3FC912A3">
      <w:pPr>
        <w:keepNext/>
        <w:keepLines/>
        <w:spacing w:line="360" w:lineRule="auto"/>
        <w:jc w:val="center"/>
        <w:outlineLvl w:val="2"/>
        <w:rPr>
          <w:rFonts w:ascii="宋体" w:hAnsi="宋体" w:cs="宋体"/>
          <w:b/>
          <w:bCs/>
          <w:sz w:val="24"/>
          <w:szCs w:val="32"/>
        </w:rPr>
      </w:pPr>
      <w:r>
        <w:rPr>
          <w:rFonts w:hint="eastAsia" w:ascii="宋体" w:hAnsi="宋体" w:cs="宋体"/>
          <w:b/>
          <w:bCs/>
          <w:sz w:val="24"/>
          <w:szCs w:val="32"/>
        </w:rPr>
        <w:t>第二节  供货方式</w:t>
      </w:r>
      <w:bookmarkEnd w:id="20"/>
    </w:p>
    <w:p w14:paraId="1115AD28">
      <w:pPr>
        <w:spacing w:line="360" w:lineRule="auto"/>
        <w:ind w:firstLine="482" w:firstLineChars="200"/>
        <w:outlineLvl w:val="3"/>
        <w:rPr>
          <w:rFonts w:ascii="宋体" w:hAnsi="宋体" w:cs="宋体"/>
          <w:sz w:val="24"/>
          <w:szCs w:val="24"/>
        </w:rPr>
      </w:pPr>
      <w:r>
        <w:rPr>
          <w:rFonts w:hint="eastAsia" w:ascii="宋体" w:hAnsi="宋体" w:cs="宋体"/>
          <w:b/>
          <w:sz w:val="24"/>
          <w:szCs w:val="24"/>
        </w:rPr>
        <w:t>一、供货方式</w:t>
      </w:r>
    </w:p>
    <w:p w14:paraId="24EDDD37">
      <w:pPr>
        <w:spacing w:line="360" w:lineRule="auto"/>
        <w:ind w:firstLine="480" w:firstLineChars="200"/>
        <w:rPr>
          <w:rFonts w:ascii="宋体" w:hAnsi="宋体" w:cs="宋体"/>
          <w:b/>
          <w:i/>
          <w:sz w:val="24"/>
          <w:szCs w:val="24"/>
        </w:rPr>
      </w:pPr>
      <w:r>
        <w:rPr>
          <w:rFonts w:hint="eastAsia" w:ascii="宋体" w:hAnsi="宋体" w:cs="宋体"/>
          <w:sz w:val="24"/>
          <w:szCs w:val="24"/>
        </w:rPr>
        <w:t>完全交钥匙方式</w:t>
      </w:r>
    </w:p>
    <w:p w14:paraId="564486C5">
      <w:pPr>
        <w:spacing w:line="360" w:lineRule="auto"/>
        <w:ind w:firstLine="482" w:firstLineChars="200"/>
        <w:outlineLvl w:val="3"/>
        <w:rPr>
          <w:rFonts w:ascii="宋体" w:hAnsi="宋体" w:cs="宋体"/>
          <w:sz w:val="24"/>
          <w:szCs w:val="24"/>
          <w:u w:val="single"/>
          <w:shd w:val="pct10" w:color="auto" w:fill="FFFFFF"/>
        </w:rPr>
      </w:pPr>
      <w:r>
        <w:rPr>
          <w:rFonts w:hint="eastAsia" w:ascii="宋体" w:hAnsi="宋体" w:cs="宋体"/>
          <w:b/>
          <w:bCs/>
          <w:sz w:val="24"/>
          <w:szCs w:val="24"/>
        </w:rPr>
        <w:t>二、供货地点：</w:t>
      </w:r>
      <w:r>
        <w:rPr>
          <w:rFonts w:hint="eastAsia" w:ascii="宋体" w:hAnsi="宋体" w:cs="宋体"/>
          <w:sz w:val="24"/>
          <w:szCs w:val="24"/>
          <w:u w:val="single"/>
        </w:rPr>
        <w:t>成都市青白江区弥牟镇中国重汽集团成都王牌商用车有限公司新厂区</w:t>
      </w:r>
    </w:p>
    <w:p w14:paraId="23D892DF">
      <w:pPr>
        <w:spacing w:line="360" w:lineRule="auto"/>
        <w:ind w:firstLine="482" w:firstLineChars="200"/>
        <w:jc w:val="left"/>
        <w:outlineLvl w:val="3"/>
        <w:rPr>
          <w:rFonts w:ascii="宋体" w:hAnsi="宋体" w:cs="宋体"/>
          <w:b/>
          <w:bCs/>
          <w:sz w:val="24"/>
          <w:szCs w:val="24"/>
        </w:rPr>
      </w:pPr>
      <w:r>
        <w:rPr>
          <w:rFonts w:hint="eastAsia" w:ascii="宋体" w:hAnsi="宋体" w:cs="宋体"/>
          <w:b/>
          <w:bCs/>
          <w:sz w:val="24"/>
          <w:szCs w:val="24"/>
        </w:rPr>
        <w:t>三、供货时间</w:t>
      </w:r>
    </w:p>
    <w:p w14:paraId="3FB4261B">
      <w:pPr>
        <w:spacing w:line="360" w:lineRule="auto"/>
        <w:ind w:firstLine="480" w:firstLineChars="200"/>
        <w:jc w:val="left"/>
        <w:rPr>
          <w:rFonts w:ascii="宋体" w:hAnsi="宋体" w:cs="宋体"/>
          <w:sz w:val="24"/>
          <w:szCs w:val="24"/>
        </w:rPr>
      </w:pPr>
      <w:r>
        <w:rPr>
          <w:rFonts w:hint="eastAsia" w:ascii="宋体" w:hAnsi="宋体" w:cs="宋体"/>
          <w:sz w:val="24"/>
          <w:szCs w:val="24"/>
        </w:rPr>
        <w:t>1.自合同签定生效之日起，</w:t>
      </w:r>
      <w:r>
        <w:rPr>
          <w:rFonts w:hint="eastAsia" w:ascii="宋体" w:hAnsi="宋体" w:cs="宋体"/>
          <w:sz w:val="24"/>
          <w:szCs w:val="24"/>
          <w:u w:val="single"/>
        </w:rPr>
        <w:t>15</w:t>
      </w:r>
      <w:r>
        <w:rPr>
          <w:rFonts w:hint="eastAsia" w:ascii="宋体" w:hAnsi="宋体" w:cs="宋体"/>
          <w:sz w:val="24"/>
          <w:szCs w:val="24"/>
        </w:rPr>
        <w:t>个日历日之内交货至供货地点</w:t>
      </w:r>
      <w:r>
        <w:rPr>
          <w:rFonts w:ascii="宋体" w:hAnsi="宋体" w:cs="宋体"/>
          <w:sz w:val="24"/>
          <w:szCs w:val="24"/>
        </w:rPr>
        <w:t>。</w:t>
      </w:r>
    </w:p>
    <w:p w14:paraId="4A0301DD">
      <w:pPr>
        <w:spacing w:line="360" w:lineRule="auto"/>
        <w:ind w:firstLine="480" w:firstLineChars="200"/>
        <w:jc w:val="left"/>
        <w:rPr>
          <w:rFonts w:ascii="宋体" w:hAnsi="宋体" w:cs="宋体"/>
          <w:sz w:val="24"/>
          <w:szCs w:val="24"/>
        </w:rPr>
      </w:pPr>
      <w:r>
        <w:rPr>
          <w:rFonts w:hint="eastAsia" w:ascii="宋体" w:hAnsi="宋体" w:cs="宋体"/>
          <w:sz w:val="24"/>
          <w:szCs w:val="24"/>
        </w:rPr>
        <w:t>2.接续</w:t>
      </w:r>
      <w:r>
        <w:rPr>
          <w:rFonts w:ascii="宋体" w:hAnsi="宋体" w:cs="宋体"/>
          <w:sz w:val="24"/>
          <w:szCs w:val="24"/>
          <w:u w:val="single"/>
          <w:shd w:val="clear" w:color="auto" w:fill="FFFFFF"/>
        </w:rPr>
        <w:t>5</w:t>
      </w:r>
      <w:r>
        <w:rPr>
          <w:rFonts w:hint="eastAsia" w:ascii="宋体" w:hAnsi="宋体" w:cs="宋体"/>
          <w:sz w:val="24"/>
          <w:szCs w:val="24"/>
        </w:rPr>
        <w:t>个日历日之内安装调试完毕。</w:t>
      </w:r>
    </w:p>
    <w:p w14:paraId="7A04B9B1">
      <w:pPr>
        <w:spacing w:line="360" w:lineRule="auto"/>
        <w:ind w:firstLine="480" w:firstLineChars="200"/>
        <w:jc w:val="left"/>
        <w:rPr>
          <w:rFonts w:ascii="宋体" w:hAnsi="宋体" w:cs="宋体"/>
          <w:sz w:val="24"/>
          <w:szCs w:val="24"/>
        </w:rPr>
      </w:pPr>
      <w:r>
        <w:rPr>
          <w:rFonts w:hint="eastAsia" w:ascii="宋体" w:hAnsi="宋体" w:cs="宋体"/>
          <w:sz w:val="24"/>
          <w:szCs w:val="24"/>
        </w:rPr>
        <w:t>3.接续</w:t>
      </w:r>
      <w:r>
        <w:rPr>
          <w:rFonts w:ascii="宋体" w:hAnsi="宋体" w:cs="宋体"/>
          <w:sz w:val="24"/>
          <w:szCs w:val="24"/>
          <w:u w:val="single"/>
        </w:rPr>
        <w:t>30</w:t>
      </w:r>
      <w:r>
        <w:rPr>
          <w:rFonts w:hint="eastAsia" w:ascii="宋体" w:hAnsi="宋体" w:cs="宋体"/>
          <w:sz w:val="24"/>
          <w:szCs w:val="24"/>
        </w:rPr>
        <w:t>个日历日之内完成终验收。</w:t>
      </w:r>
    </w:p>
    <w:p w14:paraId="10D40F5C">
      <w:pPr>
        <w:spacing w:line="360" w:lineRule="auto"/>
        <w:ind w:firstLine="480" w:firstLineChars="200"/>
        <w:jc w:val="left"/>
        <w:rPr>
          <w:rFonts w:ascii="宋体" w:hAnsi="宋体" w:cs="宋体"/>
          <w:sz w:val="24"/>
          <w:szCs w:val="24"/>
        </w:rPr>
      </w:pPr>
      <w:r>
        <w:rPr>
          <w:rFonts w:hint="eastAsia" w:ascii="宋体" w:hAnsi="宋体" w:cs="宋体"/>
          <w:sz w:val="24"/>
          <w:szCs w:val="24"/>
        </w:rPr>
        <w:t>安装调试时间或终验收时间超过规定时间的，投标人应当随标书提供详细的工期计划。</w:t>
      </w:r>
    </w:p>
    <w:p w14:paraId="1247A77A">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四、包装</w:t>
      </w:r>
    </w:p>
    <w:p w14:paraId="7445714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1.所提供货物（或设备）的包装，应遵照国家标准和有关包装、包皮的技术条件，或按照最好的商业惯例进行包装。</w:t>
      </w:r>
    </w:p>
    <w:p w14:paraId="0438953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2.包装应能满足所需要采取的运输方式（船运、汽运或铁路运输）、多次吊装卸装、卸货以及长期露天堆放要求，应能防止雨淋、受潮、生锈、腐蚀、受振、受磁以及机械和化学因素等引起的损坏。</w:t>
      </w:r>
    </w:p>
    <w:p w14:paraId="733E811E">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3.所提供货物（或设备）的包装，应能防止其一般性被窃或受外力破坏；一般不得采用有大缝隙的板条包装。</w:t>
      </w:r>
    </w:p>
    <w:p w14:paraId="31A5F62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4.应对包装件做必要的加固和固定，以防止运输可能造成的损坏。</w:t>
      </w:r>
    </w:p>
    <w:p w14:paraId="15561B9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5.每个包装件应有装箱单，并至少标明名称、型号规格、数量、净重和毛重、投标人（或供货商）名称和制造日期等相关内容。</w:t>
      </w:r>
    </w:p>
    <w:p w14:paraId="7FD48C0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6.每个包装箱应有明显标志，并具有中文书写的合同号、装运标志、发货和到货地点名称、发货人和收货人名称、货物名称和项目号、箱号和外型尺寸等内容。</w:t>
      </w:r>
    </w:p>
    <w:p w14:paraId="65541A2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7.应按照不同的装运要求在包装箱上标明“小心轻放”、“箭头向上”、“防潮”、“防磁”、“不准平放”等标志，以及其它适用的国标通用标志。</w:t>
      </w:r>
    </w:p>
    <w:p w14:paraId="36AB4A9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8.包装箱应连续编号，不应出现重复编号。</w:t>
      </w:r>
    </w:p>
    <w:p w14:paraId="7CC078C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9.在不受到外界破坏情况下，包装应保证自交货日起一年内货物（或设备）完好无损。</w:t>
      </w:r>
    </w:p>
    <w:p w14:paraId="115594AE">
      <w:pPr>
        <w:adjustRightInd w:val="0"/>
        <w:snapToGrid w:val="0"/>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五、运输</w:t>
      </w:r>
    </w:p>
    <w:p w14:paraId="5E509B62">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1.应负责将货物（或设备）运到目的地，并必须做到货物（或设备）在任何运输过程中不受损坏和遗失。</w:t>
      </w:r>
    </w:p>
    <w:p w14:paraId="47AD013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2.同批货物（或设备）应统一包装、编号运输。</w:t>
      </w:r>
    </w:p>
    <w:p w14:paraId="1798B7B2">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3.一般情况下，经由铁路、公路运输的包装件尺寸和重量不应超过国家所规定的尺寸限制，特殊情况应予以说明。</w:t>
      </w:r>
    </w:p>
    <w:p w14:paraId="43362C19">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4.在每批货物（或设备）发出后，应立即通知买方；通知中应指明：合同号、货运单号、件数、重量和货物（或设备）发出日期等相关内容。</w:t>
      </w:r>
    </w:p>
    <w:p w14:paraId="7AA17DBF">
      <w:pPr>
        <w:adjustRightInd w:val="0"/>
        <w:snapToGrid w:val="0"/>
        <w:spacing w:line="420" w:lineRule="exact"/>
        <w:ind w:firstLine="480" w:firstLineChars="200"/>
        <w:rPr>
          <w:rFonts w:ascii="宋体" w:hAnsi="Calibri"/>
        </w:rPr>
      </w:pPr>
      <w:r>
        <w:rPr>
          <w:rFonts w:hint="eastAsia" w:ascii="宋体" w:hAnsi="宋体" w:cs="宋体"/>
          <w:sz w:val="24"/>
          <w:szCs w:val="24"/>
        </w:rPr>
        <w:t>5.货物（或设备）运抵交货地点后，应负责货物（或设备）的卸货、搬运、保管等事宜，或按照合同约定。</w:t>
      </w:r>
    </w:p>
    <w:p w14:paraId="59950E32">
      <w:pPr>
        <w:widowControl/>
        <w:jc w:val="left"/>
        <w:rPr>
          <w:rFonts w:ascii="宋体" w:hAnsi="Calibri"/>
        </w:rPr>
      </w:pPr>
      <w:r>
        <w:rPr>
          <w:rFonts w:ascii="宋体" w:hAnsi="Calibri"/>
        </w:rPr>
        <w:br w:type="page"/>
      </w:r>
    </w:p>
    <w:p w14:paraId="7E8CE992">
      <w:pPr>
        <w:keepNext/>
        <w:keepLines/>
        <w:spacing w:line="360" w:lineRule="auto"/>
        <w:jc w:val="center"/>
        <w:outlineLvl w:val="1"/>
        <w:rPr>
          <w:rFonts w:ascii="Calibri" w:hAnsi="Calibri"/>
          <w:b/>
          <w:bCs/>
          <w:kern w:val="44"/>
          <w:sz w:val="28"/>
          <w:szCs w:val="28"/>
        </w:rPr>
      </w:pPr>
      <w:bookmarkStart w:id="21" w:name="_Toc169605884"/>
      <w:r>
        <w:rPr>
          <w:rFonts w:hint="eastAsia" w:ascii="Calibri" w:hAnsi="Calibri"/>
          <w:b/>
          <w:bCs/>
          <w:kern w:val="44"/>
          <w:sz w:val="28"/>
          <w:szCs w:val="28"/>
        </w:rPr>
        <w:t>第四章质保期及售后服务</w:t>
      </w:r>
      <w:bookmarkEnd w:id="21"/>
    </w:p>
    <w:p w14:paraId="30201EEB">
      <w:pPr>
        <w:keepNext/>
        <w:keepLines/>
        <w:spacing w:line="360" w:lineRule="auto"/>
        <w:ind w:firstLine="482" w:firstLineChars="200"/>
        <w:outlineLvl w:val="2"/>
        <w:rPr>
          <w:b/>
          <w:bCs/>
          <w:sz w:val="24"/>
          <w:szCs w:val="24"/>
        </w:rPr>
      </w:pPr>
      <w:r>
        <w:rPr>
          <w:rFonts w:hint="eastAsia"/>
          <w:b/>
          <w:bCs/>
          <w:sz w:val="24"/>
          <w:szCs w:val="24"/>
        </w:rPr>
        <w:t>一、质保期及质保要求</w:t>
      </w:r>
    </w:p>
    <w:p w14:paraId="68858E26">
      <w:pPr>
        <w:spacing w:line="420" w:lineRule="exact"/>
        <w:ind w:firstLine="480" w:firstLineChars="200"/>
        <w:jc w:val="left"/>
        <w:rPr>
          <w:bCs/>
          <w:sz w:val="24"/>
        </w:rPr>
      </w:pPr>
      <w:r>
        <w:rPr>
          <w:bCs/>
          <w:sz w:val="24"/>
        </w:rPr>
        <w:t>1、全部供货范围内的设备、材料、零配件和工器具等，除合同特别约定外，其质保期均自终验收签字生效之日起</w:t>
      </w:r>
      <w:r>
        <w:rPr>
          <w:rFonts w:hint="eastAsia"/>
          <w:bCs/>
          <w:sz w:val="24"/>
          <w:u w:val="single"/>
        </w:rPr>
        <w:t>36</w:t>
      </w:r>
      <w:r>
        <w:rPr>
          <w:bCs/>
          <w:sz w:val="24"/>
        </w:rPr>
        <w:t>个月。</w:t>
      </w:r>
    </w:p>
    <w:p w14:paraId="1CC0CD2C">
      <w:pPr>
        <w:spacing w:line="420" w:lineRule="exact"/>
        <w:ind w:firstLine="480" w:firstLineChars="200"/>
        <w:jc w:val="left"/>
        <w:rPr>
          <w:sz w:val="24"/>
        </w:rPr>
      </w:pPr>
      <w:r>
        <w:rPr>
          <w:sz w:val="24"/>
        </w:rPr>
        <w:t>投标货物或涉及的关键总成和零件，如果有更长时间质保期，允许更改并说明，此将有利于投标方。</w:t>
      </w:r>
    </w:p>
    <w:p w14:paraId="3D328557">
      <w:pPr>
        <w:spacing w:line="420" w:lineRule="exact"/>
        <w:ind w:firstLine="480" w:firstLineChars="200"/>
        <w:jc w:val="left"/>
        <w:rPr>
          <w:sz w:val="24"/>
        </w:rPr>
      </w:pPr>
      <w:r>
        <w:rPr>
          <w:sz w:val="24"/>
        </w:rPr>
        <w:t>设计使用寿命短于质保期的易损件除外，但属于易损件的，应当有明确说明。</w:t>
      </w:r>
    </w:p>
    <w:p w14:paraId="23D33C73">
      <w:pPr>
        <w:spacing w:line="420" w:lineRule="exact"/>
        <w:ind w:firstLine="480" w:firstLineChars="200"/>
        <w:jc w:val="left"/>
        <w:rPr>
          <w:sz w:val="24"/>
        </w:rPr>
      </w:pPr>
      <w:r>
        <w:rPr>
          <w:sz w:val="24"/>
        </w:rPr>
        <w:t>2、质保期之内，如果货物出现设备、总成、关键零部件或者多处一般零部件的二次以上的更换或维修行为，则质保期自更换或维修行为结束、货物重新正常运行使用之日起重新计算。</w:t>
      </w:r>
    </w:p>
    <w:p w14:paraId="6BC688B0">
      <w:pPr>
        <w:spacing w:line="420" w:lineRule="exact"/>
        <w:ind w:firstLine="480" w:firstLineChars="200"/>
        <w:jc w:val="left"/>
        <w:rPr>
          <w:sz w:val="24"/>
        </w:rPr>
      </w:pPr>
      <w:r>
        <w:rPr>
          <w:sz w:val="24"/>
        </w:rPr>
        <w:t>3、质保期内免费提供零部件和及时有效的服务。质保期内因货物本身缺陷造成的各种故障，卖方应负责免费维修和服务。</w:t>
      </w:r>
    </w:p>
    <w:p w14:paraId="020762BC">
      <w:pPr>
        <w:spacing w:line="360" w:lineRule="auto"/>
        <w:ind w:firstLine="480" w:firstLineChars="200"/>
        <w:jc w:val="left"/>
        <w:rPr>
          <w:sz w:val="24"/>
        </w:rPr>
      </w:pPr>
      <w:r>
        <w:rPr>
          <w:sz w:val="24"/>
        </w:rPr>
        <w:t>4、质保期终止之日起一年内重复出现的质保期之内出现的故障，仍属质保范围而且应当免费。</w:t>
      </w:r>
    </w:p>
    <w:p w14:paraId="3D0B93C3">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二、安装调试及验收服务</w:t>
      </w:r>
    </w:p>
    <w:p w14:paraId="2AC88770">
      <w:pPr>
        <w:adjustRightInd w:val="0"/>
        <w:snapToGrid w:val="0"/>
        <w:spacing w:line="420" w:lineRule="exact"/>
        <w:ind w:firstLine="480" w:firstLineChars="200"/>
        <w:rPr>
          <w:sz w:val="24"/>
        </w:rPr>
      </w:pPr>
      <w:r>
        <w:rPr>
          <w:sz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1FB3897E">
      <w:pPr>
        <w:adjustRightInd w:val="0"/>
        <w:snapToGrid w:val="0"/>
        <w:spacing w:line="420" w:lineRule="exact"/>
        <w:ind w:firstLine="480" w:firstLineChars="200"/>
        <w:rPr>
          <w:sz w:val="24"/>
        </w:rPr>
      </w:pPr>
      <w:r>
        <w:rPr>
          <w:sz w:val="24"/>
        </w:rPr>
        <w:t>2、卖方应当向买方提供货物试验、验收的有关标准、规范和方法。</w:t>
      </w:r>
    </w:p>
    <w:p w14:paraId="2829396E">
      <w:pPr>
        <w:adjustRightInd w:val="0"/>
        <w:snapToGrid w:val="0"/>
        <w:spacing w:line="420" w:lineRule="exact"/>
        <w:ind w:firstLine="480" w:firstLineChars="200"/>
        <w:rPr>
          <w:sz w:val="24"/>
        </w:rPr>
      </w:pPr>
      <w:r>
        <w:rPr>
          <w:sz w:val="24"/>
        </w:rPr>
        <w:t>3、服务缺陷视同货物缺陷和履约延期。</w:t>
      </w:r>
    </w:p>
    <w:p w14:paraId="7EC74523">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三、售后服务</w:t>
      </w:r>
    </w:p>
    <w:p w14:paraId="38B3A3DF">
      <w:pPr>
        <w:adjustRightInd w:val="0"/>
        <w:snapToGrid w:val="0"/>
        <w:spacing w:line="420" w:lineRule="exact"/>
        <w:ind w:firstLine="480" w:firstLineChars="200"/>
        <w:rPr>
          <w:sz w:val="24"/>
        </w:rPr>
      </w:pPr>
      <w:r>
        <w:rPr>
          <w:sz w:val="24"/>
        </w:rPr>
        <w:t>1、卖方提供的货物涉及的所有售后服务均由卖方负责。如果发生问题并且收到通知，卖方应当在2小时内予以答复。</w:t>
      </w:r>
    </w:p>
    <w:p w14:paraId="7A055965">
      <w:pPr>
        <w:adjustRightInd w:val="0"/>
        <w:snapToGrid w:val="0"/>
        <w:spacing w:line="420" w:lineRule="exact"/>
        <w:ind w:firstLine="480" w:firstLineChars="200"/>
        <w:rPr>
          <w:sz w:val="24"/>
        </w:rPr>
      </w:pPr>
      <w:r>
        <w:rPr>
          <w:sz w:val="24"/>
        </w:rPr>
        <w:t>2、</w:t>
      </w:r>
      <w:r>
        <w:rPr>
          <w:rFonts w:hint="eastAsia"/>
          <w:sz w:val="24"/>
        </w:rPr>
        <w:t>终验收合格后，在质保期内，在正常运行的情况下，系统出现故障，在接到通知后2小时以内予以答复，并在24小时以内派出服务人员，无偿维修；在质保期满后，投标方在接到通知后2小时以内予以答复，并在24小时以内派出服务人员</w:t>
      </w:r>
      <w:r>
        <w:rPr>
          <w:sz w:val="24"/>
        </w:rPr>
        <w:t>。</w:t>
      </w:r>
    </w:p>
    <w:p w14:paraId="68D7860D">
      <w:pPr>
        <w:keepNext/>
        <w:keepLines/>
        <w:spacing w:line="360" w:lineRule="auto"/>
        <w:ind w:firstLine="480" w:firstLineChars="200"/>
        <w:outlineLvl w:val="2"/>
        <w:rPr>
          <w:sz w:val="24"/>
        </w:rPr>
      </w:pPr>
      <w:r>
        <w:rPr>
          <w:sz w:val="24"/>
        </w:rPr>
        <w:t>3、卖方派往买方使用现场的人员，应具有较高的业务素质；现场解决问题时，不得无故拖延或推迟，应为买方提供最佳的服务。</w:t>
      </w:r>
    </w:p>
    <w:p w14:paraId="0CEB4613">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四、其它服务</w:t>
      </w:r>
    </w:p>
    <w:p w14:paraId="0F928EDD">
      <w:pPr>
        <w:adjustRightInd w:val="0"/>
        <w:snapToGrid w:val="0"/>
        <w:spacing w:line="360" w:lineRule="auto"/>
        <w:ind w:firstLine="480" w:firstLineChars="200"/>
        <w:rPr>
          <w:rFonts w:ascii="宋体" w:hAnsi="宋体" w:cs="宋体"/>
          <w:sz w:val="24"/>
          <w:szCs w:val="24"/>
        </w:rPr>
      </w:pPr>
      <w:bookmarkStart w:id="22" w:name="_Hlk215479420"/>
      <w:r>
        <w:rPr>
          <w:rFonts w:hint="eastAsia" w:ascii="宋体" w:hAnsi="宋体" w:cs="宋体"/>
          <w:sz w:val="24"/>
          <w:szCs w:val="24"/>
        </w:rPr>
        <w:t>1.本章节条款所列“免费”，并非指定不可收费，而是指招标文件、投标文件、答疑文件、技术交流文件、技术标书和合同等范围之外，投标人不可另行收取的费用。</w:t>
      </w:r>
    </w:p>
    <w:bookmarkEnd w:id="22"/>
    <w:p w14:paraId="1044FDFC">
      <w:pPr>
        <w:jc w:val="center"/>
        <w:rPr>
          <w:rFonts w:ascii="Calibri" w:hAnsi="Calibri"/>
          <w:b/>
          <w:bCs/>
          <w:kern w:val="44"/>
          <w:sz w:val="28"/>
          <w:szCs w:val="28"/>
        </w:rPr>
      </w:pPr>
      <w:r>
        <w:rPr>
          <w:rFonts w:hAnsi="Courier New" w:cs="Courier New" w:asciiTheme="minorEastAsia"/>
          <w:szCs w:val="22"/>
        </w:rPr>
        <w:br w:type="page"/>
      </w:r>
      <w:bookmarkStart w:id="23" w:name="_Toc465187646"/>
      <w:bookmarkStart w:id="24" w:name="_Hlk215479460"/>
      <w:bookmarkStart w:id="25" w:name="_Toc465187647"/>
      <w:r>
        <w:rPr>
          <w:rFonts w:hint="eastAsia" w:ascii="Calibri" w:hAnsi="Calibri"/>
          <w:b/>
          <w:bCs/>
          <w:kern w:val="44"/>
          <w:sz w:val="28"/>
          <w:szCs w:val="28"/>
        </w:rPr>
        <w:t>第五章  终验收</w:t>
      </w:r>
      <w:bookmarkEnd w:id="23"/>
    </w:p>
    <w:p w14:paraId="4966B94B">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一、验收依据和验收标准</w:t>
      </w:r>
    </w:p>
    <w:p w14:paraId="2F8B1151">
      <w:pPr>
        <w:spacing w:line="360" w:lineRule="auto"/>
        <w:ind w:firstLine="480" w:firstLineChars="200"/>
        <w:rPr>
          <w:rFonts w:ascii="宋体" w:hAnsi="宋体" w:cs="宋体"/>
          <w:sz w:val="24"/>
          <w:szCs w:val="24"/>
        </w:rPr>
      </w:pPr>
      <w:r>
        <w:rPr>
          <w:rFonts w:hint="eastAsia" w:ascii="宋体" w:hAnsi="宋体" w:cs="宋体"/>
          <w:sz w:val="24"/>
          <w:szCs w:val="24"/>
        </w:rPr>
        <w:t>1.验收标准一般以技术标书和合同规定验收。无论技术标书和合同，是否全部并准确列明验收所涉及的相关标准，均作为验收标准之一。</w:t>
      </w:r>
    </w:p>
    <w:p w14:paraId="2BC5A08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2.如果验收过程中，发现招标文件、投标文件、答疑文件、技术交流文件等与技术标书、合同存在差异，原则上以涉及条款中对招标人最有利条款为验收依据。</w:t>
      </w:r>
    </w:p>
    <w:p w14:paraId="1E38CF6E">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二、检验</w:t>
      </w:r>
    </w:p>
    <w:p w14:paraId="6CE118A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7E4FA79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国产货物的检验一般由买卖双方共同进行或按照合同要求进行。</w:t>
      </w:r>
    </w:p>
    <w:p w14:paraId="6517AB67">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三、验收基本条件</w:t>
      </w:r>
    </w:p>
    <w:p w14:paraId="539C68FE">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验收为终验收，即在安装调试完成及试运行后的招标人现场进行。</w:t>
      </w:r>
    </w:p>
    <w:p w14:paraId="57206DDA">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买卖双方按照合同约定执行了合同，同时货物完成了试运行并经检验合格，则具备验收条件。</w:t>
      </w:r>
    </w:p>
    <w:p w14:paraId="10CCBEA7">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.终验收一般条件</w:t>
      </w:r>
    </w:p>
    <w:p w14:paraId="333AC67F">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.1 货物安装调试完毕，经过了验收要求的负荷试运行，满足终验收条款。</w:t>
      </w:r>
    </w:p>
    <w:p w14:paraId="6978DC8D">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 xml:space="preserve"> 货物正常运行无故障。</w:t>
      </w:r>
    </w:p>
    <w:p w14:paraId="68CEED9D">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 xml:space="preserve"> 试运行期间或之后无维修等行为（特殊情况除外）。</w:t>
      </w:r>
    </w:p>
    <w:p w14:paraId="0908F9C3">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 xml:space="preserve"> 货物质量、技术性能等，达到签定的技术标书和合同规定的终验收标准。</w:t>
      </w:r>
    </w:p>
    <w:p w14:paraId="7533D517">
      <w:pPr>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.终验收基本要求</w:t>
      </w:r>
    </w:p>
    <w:p w14:paraId="25350421">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.1 货物参数应满足招标书中的技术要求。</w:t>
      </w:r>
    </w:p>
    <w:p w14:paraId="3A4A7CB2">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.2 出现下列问题之一，视作验收失败：</w:t>
      </w:r>
    </w:p>
    <w:p w14:paraId="16F6C084">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.2.1 在整个验收过程中发生关键零部件损坏或重大故障；</w:t>
      </w:r>
    </w:p>
    <w:p w14:paraId="365F5438">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.2.2 一般性故障超过</w:t>
      </w:r>
      <w:r>
        <w:rPr>
          <w:rFonts w:hint="eastAsia" w:ascii="宋体" w:hAnsi="宋体" w:cs="宋体"/>
          <w:sz w:val="24"/>
          <w:szCs w:val="24"/>
          <w:u w:val="single"/>
          <w:shd w:val="pct10" w:color="auto" w:fill="FFFFFF"/>
        </w:rPr>
        <w:t>2</w:t>
      </w:r>
      <w:r>
        <w:rPr>
          <w:rFonts w:hint="eastAsia" w:ascii="宋体" w:hAnsi="宋体" w:cs="宋体"/>
          <w:sz w:val="24"/>
          <w:szCs w:val="24"/>
        </w:rPr>
        <w:t>次；</w:t>
      </w:r>
    </w:p>
    <w:p w14:paraId="07FF298E">
      <w:pPr>
        <w:adjustRightInd w:val="0"/>
        <w:snapToGrid w:val="0"/>
        <w:spacing w:line="360" w:lineRule="auto"/>
        <w:ind w:firstLine="480" w:firstLineChars="200"/>
        <w:rPr>
          <w:rFonts w:ascii="宋体" w:hAnsi="宋体" w:cs="宋体"/>
          <w:sz w:val="24"/>
          <w:szCs w:val="24"/>
          <w:highlight w:val="yellow"/>
        </w:rPr>
      </w:pPr>
      <w:r>
        <w:rPr>
          <w:rFonts w:ascii="宋体" w:hAnsi="宋体" w:cs="宋体"/>
          <w:sz w:val="24"/>
          <w:szCs w:val="24"/>
        </w:rPr>
        <w:t>2</w:t>
      </w:r>
      <w:r>
        <w:rPr>
          <w:rFonts w:hint="eastAsia" w:ascii="宋体" w:hAnsi="宋体" w:cs="宋体"/>
          <w:sz w:val="24"/>
          <w:szCs w:val="24"/>
        </w:rPr>
        <w:t>.2.3 更换的零部件货值超过总货值的</w:t>
      </w:r>
      <w:r>
        <w:rPr>
          <w:rFonts w:hint="eastAsia" w:ascii="宋体" w:hAnsi="宋体" w:cs="宋体"/>
          <w:sz w:val="24"/>
          <w:szCs w:val="24"/>
          <w:u w:val="single"/>
          <w:shd w:val="pct10" w:color="auto" w:fill="FFFFFF"/>
        </w:rPr>
        <w:t>1</w:t>
      </w:r>
      <w:r>
        <w:rPr>
          <w:rFonts w:hint="eastAsia" w:ascii="宋体" w:hAnsi="宋体" w:cs="宋体"/>
          <w:sz w:val="24"/>
          <w:szCs w:val="24"/>
        </w:rPr>
        <w:t>%。</w:t>
      </w:r>
    </w:p>
    <w:p w14:paraId="37ECD4D3">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.3 累计运行实际性能（或生产率）达不到合同规定；</w:t>
      </w:r>
    </w:p>
    <w:p w14:paraId="3B50BCE1">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.4 终验收原则上要求一次完成。若一次验收不成功，最多允许两次；如果出现第三次验收失败，重新作价或退货。</w:t>
      </w:r>
    </w:p>
    <w:p w14:paraId="69914165">
      <w:pPr>
        <w:adjustRightInd w:val="0"/>
        <w:snapToGrid w:val="0"/>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.5 终验收通过后买卖双方共同签署终验收报告，并移交、核对全部供货范围内物品。</w:t>
      </w:r>
      <w:bookmarkEnd w:id="24"/>
    </w:p>
    <w:p w14:paraId="31331038">
      <w:pPr>
        <w:keepNext/>
        <w:keepLines/>
        <w:spacing w:line="360" w:lineRule="auto"/>
        <w:jc w:val="center"/>
        <w:outlineLvl w:val="1"/>
        <w:rPr>
          <w:rFonts w:asciiTheme="minorHAnsi" w:hAnsiTheme="minorHAnsi" w:cstheme="minorBidi"/>
          <w:b/>
          <w:iCs/>
          <w:kern w:val="44"/>
          <w:sz w:val="28"/>
          <w:szCs w:val="24"/>
        </w:rPr>
      </w:pPr>
      <w:bookmarkStart w:id="26" w:name="_Hlk215479562"/>
      <w:r>
        <w:rPr>
          <w:rFonts w:asciiTheme="minorHAnsi" w:hAnsiTheme="minorHAnsi" w:cstheme="minorBidi"/>
          <w:b/>
          <w:iCs/>
          <w:kern w:val="44"/>
          <w:sz w:val="28"/>
          <w:szCs w:val="24"/>
        </w:rPr>
        <w:t>第六章  投标技术文件一般要求</w:t>
      </w:r>
      <w:bookmarkEnd w:id="25"/>
    </w:p>
    <w:p w14:paraId="0899C2A0">
      <w:pPr>
        <w:keepNext/>
        <w:keepLines/>
        <w:spacing w:line="360" w:lineRule="auto"/>
        <w:ind w:firstLine="482" w:firstLineChars="200"/>
        <w:outlineLvl w:val="2"/>
        <w:rPr>
          <w:b/>
          <w:bCs/>
          <w:sz w:val="24"/>
          <w:szCs w:val="24"/>
        </w:rPr>
      </w:pPr>
      <w:r>
        <w:rPr>
          <w:b/>
          <w:bCs/>
          <w:sz w:val="24"/>
          <w:szCs w:val="24"/>
        </w:rPr>
        <w:t>一、技术文件一般内容要求</w:t>
      </w:r>
    </w:p>
    <w:p w14:paraId="78D1F4C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1.投标人应认真阅读招标文件和本技术标书，并按要求编写投标技术文件。</w:t>
      </w:r>
    </w:p>
    <w:p w14:paraId="55CF805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2.投标技术文件至少应对投标货物的功能用途、技术性能、质量标准、技术参数等作出详细说明。</w:t>
      </w:r>
    </w:p>
    <w:p w14:paraId="6C3392AA">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3.投标技术文件至少应根据投标货物的关键设备、总成、零部件或系统作出满足或优于招标文件要求的详细说明。</w:t>
      </w:r>
    </w:p>
    <w:p w14:paraId="6196C244">
      <w:pPr>
        <w:spacing w:line="360" w:lineRule="auto"/>
        <w:ind w:firstLine="480" w:firstLineChars="200"/>
        <w:rPr>
          <w:rFonts w:ascii="宋体" w:hAnsi="宋体" w:cs="宋体"/>
          <w:sz w:val="24"/>
          <w:szCs w:val="24"/>
        </w:rPr>
      </w:pPr>
      <w:r>
        <w:rPr>
          <w:rFonts w:hint="eastAsia" w:ascii="宋体" w:hAnsi="宋体" w:cs="宋体"/>
          <w:sz w:val="24"/>
          <w:szCs w:val="24"/>
        </w:rPr>
        <w:t>4.投标技术文件至少应按照招标文件要求（或投标人建议）列明备品备件、易损件和专用耗材明细。</w:t>
      </w:r>
    </w:p>
    <w:p w14:paraId="4F5ACB6F">
      <w:pPr>
        <w:spacing w:line="360" w:lineRule="auto"/>
        <w:ind w:firstLine="480" w:firstLineChars="200"/>
        <w:rPr>
          <w:rFonts w:ascii="宋体" w:hAnsi="宋体" w:cs="宋体"/>
          <w:sz w:val="24"/>
          <w:szCs w:val="24"/>
        </w:rPr>
      </w:pPr>
      <w:r>
        <w:rPr>
          <w:rFonts w:hint="eastAsia" w:ascii="宋体" w:hAnsi="宋体" w:cs="宋体"/>
          <w:sz w:val="24"/>
          <w:szCs w:val="24"/>
        </w:rPr>
        <w:t>5.投标人应当而且必须分别说明所列备品备件、易损件和专用耗材的使用寿命（以有效工作小时数说明）。</w:t>
      </w:r>
    </w:p>
    <w:p w14:paraId="7788FBA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6.投标的货物，应当根据其配置和备品备件、易损件、专用耗材情况，尽可能详细且分类填入下表：</w:t>
      </w:r>
    </w:p>
    <w:p w14:paraId="62A548F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6.1备品备件、易损件和专用耗材明细表：</w:t>
      </w:r>
    </w:p>
    <w:p w14:paraId="2A0D7600">
      <w:pPr>
        <w:adjustRightInd w:val="0"/>
        <w:snapToGrid w:val="0"/>
        <w:spacing w:line="360" w:lineRule="auto"/>
        <w:ind w:firstLine="1890" w:firstLineChars="900"/>
        <w:rPr>
          <w:rFonts w:ascii="宋体" w:hAnsi="宋体" w:cs="宋体"/>
          <w:szCs w:val="22"/>
        </w:rPr>
      </w:pPr>
      <w:r>
        <w:rPr>
          <w:rFonts w:hint="eastAsia" w:ascii="宋体" w:hAnsi="宋体" w:cs="宋体"/>
          <w:szCs w:val="22"/>
        </w:rPr>
        <w:t>备品备件、易损件和专用耗材明细表             单位：元</w:t>
      </w:r>
    </w:p>
    <w:tbl>
      <w:tblPr>
        <w:tblStyle w:val="45"/>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3770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7A649BF">
            <w:pPr>
              <w:adjustRightInd w:val="0"/>
              <w:snapToGrid w:val="0"/>
              <w:spacing w:line="360" w:lineRule="auto"/>
              <w:jc w:val="center"/>
              <w:rPr>
                <w:rFonts w:ascii="宋体" w:hAnsi="宋体" w:cs="宋体"/>
                <w:szCs w:val="22"/>
              </w:rPr>
            </w:pPr>
            <w:r>
              <w:rPr>
                <w:rFonts w:hint="eastAsia" w:ascii="宋体" w:hAnsi="宋体" w:cs="宋体"/>
                <w:szCs w:val="22"/>
              </w:rPr>
              <w:t>序号</w:t>
            </w:r>
          </w:p>
        </w:tc>
        <w:tc>
          <w:tcPr>
            <w:tcW w:w="1924" w:type="dxa"/>
            <w:vAlign w:val="center"/>
          </w:tcPr>
          <w:p w14:paraId="18DB2D50">
            <w:pPr>
              <w:adjustRightInd w:val="0"/>
              <w:snapToGrid w:val="0"/>
              <w:spacing w:line="360" w:lineRule="auto"/>
              <w:jc w:val="center"/>
              <w:rPr>
                <w:rFonts w:ascii="宋体" w:hAnsi="宋体" w:cs="宋体"/>
                <w:szCs w:val="22"/>
              </w:rPr>
            </w:pPr>
            <w:r>
              <w:rPr>
                <w:rFonts w:hint="eastAsia" w:ascii="宋体" w:hAnsi="宋体" w:cs="宋体"/>
                <w:szCs w:val="22"/>
              </w:rPr>
              <w:t>名称</w:t>
            </w:r>
          </w:p>
        </w:tc>
        <w:tc>
          <w:tcPr>
            <w:tcW w:w="1236" w:type="dxa"/>
            <w:vAlign w:val="center"/>
          </w:tcPr>
          <w:p w14:paraId="27B210DE">
            <w:pPr>
              <w:adjustRightInd w:val="0"/>
              <w:snapToGrid w:val="0"/>
              <w:spacing w:line="360" w:lineRule="auto"/>
              <w:jc w:val="center"/>
              <w:rPr>
                <w:rFonts w:ascii="宋体" w:hAnsi="宋体" w:cs="宋体"/>
                <w:szCs w:val="22"/>
              </w:rPr>
            </w:pPr>
            <w:r>
              <w:rPr>
                <w:rFonts w:hint="eastAsia" w:ascii="宋体" w:hAnsi="宋体" w:cs="宋体"/>
                <w:szCs w:val="22"/>
              </w:rPr>
              <w:t>型号规格</w:t>
            </w:r>
          </w:p>
        </w:tc>
        <w:tc>
          <w:tcPr>
            <w:tcW w:w="720" w:type="dxa"/>
            <w:vAlign w:val="center"/>
          </w:tcPr>
          <w:p w14:paraId="0B0B1FCD">
            <w:pPr>
              <w:adjustRightInd w:val="0"/>
              <w:snapToGrid w:val="0"/>
              <w:spacing w:line="360" w:lineRule="auto"/>
              <w:jc w:val="center"/>
              <w:rPr>
                <w:rFonts w:ascii="宋体" w:hAnsi="宋体" w:cs="宋体"/>
                <w:szCs w:val="22"/>
              </w:rPr>
            </w:pPr>
            <w:r>
              <w:rPr>
                <w:rFonts w:hint="eastAsia" w:ascii="宋体" w:hAnsi="宋体" w:cs="宋体"/>
                <w:szCs w:val="22"/>
              </w:rPr>
              <w:t>单位</w:t>
            </w:r>
          </w:p>
        </w:tc>
        <w:tc>
          <w:tcPr>
            <w:tcW w:w="720" w:type="dxa"/>
            <w:vAlign w:val="center"/>
          </w:tcPr>
          <w:p w14:paraId="69293EBA">
            <w:pPr>
              <w:adjustRightInd w:val="0"/>
              <w:snapToGrid w:val="0"/>
              <w:spacing w:line="360" w:lineRule="auto"/>
              <w:jc w:val="center"/>
              <w:rPr>
                <w:rFonts w:ascii="宋体" w:hAnsi="宋体" w:cs="宋体"/>
                <w:szCs w:val="22"/>
              </w:rPr>
            </w:pPr>
            <w:r>
              <w:rPr>
                <w:rFonts w:hint="eastAsia" w:ascii="宋体" w:hAnsi="宋体" w:cs="宋体"/>
                <w:szCs w:val="22"/>
              </w:rPr>
              <w:t>数量</w:t>
            </w:r>
          </w:p>
        </w:tc>
        <w:tc>
          <w:tcPr>
            <w:tcW w:w="720" w:type="dxa"/>
            <w:vAlign w:val="center"/>
          </w:tcPr>
          <w:p w14:paraId="22D66A05">
            <w:pPr>
              <w:adjustRightInd w:val="0"/>
              <w:snapToGrid w:val="0"/>
              <w:spacing w:line="360" w:lineRule="auto"/>
              <w:jc w:val="center"/>
              <w:rPr>
                <w:rFonts w:ascii="宋体" w:hAnsi="宋体" w:cs="宋体"/>
                <w:szCs w:val="22"/>
              </w:rPr>
            </w:pPr>
            <w:r>
              <w:rPr>
                <w:rFonts w:hint="eastAsia" w:ascii="宋体" w:hAnsi="宋体" w:cs="宋体"/>
                <w:szCs w:val="22"/>
              </w:rPr>
              <w:t>单价</w:t>
            </w:r>
          </w:p>
        </w:tc>
        <w:tc>
          <w:tcPr>
            <w:tcW w:w="720" w:type="dxa"/>
            <w:vAlign w:val="center"/>
          </w:tcPr>
          <w:p w14:paraId="0A2AED61">
            <w:pPr>
              <w:adjustRightInd w:val="0"/>
              <w:snapToGrid w:val="0"/>
              <w:spacing w:line="360" w:lineRule="auto"/>
              <w:jc w:val="center"/>
              <w:rPr>
                <w:rFonts w:ascii="宋体" w:hAnsi="宋体" w:cs="宋体"/>
                <w:szCs w:val="22"/>
              </w:rPr>
            </w:pPr>
            <w:r>
              <w:rPr>
                <w:rFonts w:hint="eastAsia" w:ascii="宋体" w:hAnsi="宋体" w:cs="宋体"/>
                <w:szCs w:val="22"/>
              </w:rPr>
              <w:t>总价</w:t>
            </w:r>
          </w:p>
        </w:tc>
        <w:tc>
          <w:tcPr>
            <w:tcW w:w="2235" w:type="dxa"/>
            <w:vAlign w:val="center"/>
          </w:tcPr>
          <w:p w14:paraId="30A954ED">
            <w:pPr>
              <w:adjustRightInd w:val="0"/>
              <w:snapToGrid w:val="0"/>
              <w:spacing w:line="360" w:lineRule="auto"/>
              <w:jc w:val="center"/>
              <w:rPr>
                <w:rFonts w:ascii="宋体" w:hAnsi="宋体" w:cs="宋体"/>
                <w:szCs w:val="22"/>
              </w:rPr>
            </w:pPr>
            <w:r>
              <w:rPr>
                <w:rFonts w:hint="eastAsia" w:ascii="宋体" w:hAnsi="宋体" w:cs="宋体"/>
                <w:szCs w:val="22"/>
              </w:rPr>
              <w:t>制造商</w:t>
            </w:r>
          </w:p>
        </w:tc>
      </w:tr>
      <w:tr w14:paraId="4337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CFD077B">
            <w:pPr>
              <w:adjustRightInd w:val="0"/>
              <w:snapToGrid w:val="0"/>
              <w:spacing w:line="360" w:lineRule="auto"/>
              <w:jc w:val="center"/>
              <w:rPr>
                <w:rFonts w:ascii="宋体" w:hAnsi="宋体" w:cs="宋体"/>
                <w:szCs w:val="22"/>
              </w:rPr>
            </w:pPr>
          </w:p>
        </w:tc>
        <w:tc>
          <w:tcPr>
            <w:tcW w:w="1924" w:type="dxa"/>
          </w:tcPr>
          <w:p w14:paraId="126A56BE">
            <w:pPr>
              <w:adjustRightInd w:val="0"/>
              <w:snapToGrid w:val="0"/>
              <w:spacing w:line="360" w:lineRule="auto"/>
              <w:rPr>
                <w:rFonts w:ascii="宋体" w:hAnsi="宋体" w:cs="宋体"/>
                <w:szCs w:val="22"/>
              </w:rPr>
            </w:pPr>
          </w:p>
        </w:tc>
        <w:tc>
          <w:tcPr>
            <w:tcW w:w="1236" w:type="dxa"/>
          </w:tcPr>
          <w:p w14:paraId="27D34360">
            <w:pPr>
              <w:adjustRightInd w:val="0"/>
              <w:snapToGrid w:val="0"/>
              <w:spacing w:line="360" w:lineRule="auto"/>
              <w:rPr>
                <w:rFonts w:ascii="宋体" w:hAnsi="宋体" w:cs="宋体"/>
                <w:szCs w:val="22"/>
              </w:rPr>
            </w:pPr>
          </w:p>
        </w:tc>
        <w:tc>
          <w:tcPr>
            <w:tcW w:w="720" w:type="dxa"/>
          </w:tcPr>
          <w:p w14:paraId="2380BF8A">
            <w:pPr>
              <w:adjustRightInd w:val="0"/>
              <w:snapToGrid w:val="0"/>
              <w:spacing w:line="360" w:lineRule="auto"/>
              <w:jc w:val="center"/>
              <w:rPr>
                <w:rFonts w:ascii="宋体" w:hAnsi="宋体" w:cs="宋体"/>
                <w:szCs w:val="22"/>
              </w:rPr>
            </w:pPr>
          </w:p>
        </w:tc>
        <w:tc>
          <w:tcPr>
            <w:tcW w:w="720" w:type="dxa"/>
          </w:tcPr>
          <w:p w14:paraId="6B6D6C86">
            <w:pPr>
              <w:adjustRightInd w:val="0"/>
              <w:snapToGrid w:val="0"/>
              <w:spacing w:line="360" w:lineRule="auto"/>
              <w:jc w:val="center"/>
              <w:rPr>
                <w:rFonts w:ascii="宋体" w:hAnsi="宋体" w:cs="宋体"/>
                <w:szCs w:val="22"/>
              </w:rPr>
            </w:pPr>
          </w:p>
        </w:tc>
        <w:tc>
          <w:tcPr>
            <w:tcW w:w="720" w:type="dxa"/>
          </w:tcPr>
          <w:p w14:paraId="07E5F7C2">
            <w:pPr>
              <w:adjustRightInd w:val="0"/>
              <w:snapToGrid w:val="0"/>
              <w:spacing w:line="360" w:lineRule="auto"/>
              <w:jc w:val="center"/>
              <w:rPr>
                <w:rFonts w:ascii="宋体" w:hAnsi="宋体" w:cs="宋体"/>
                <w:szCs w:val="22"/>
              </w:rPr>
            </w:pPr>
          </w:p>
        </w:tc>
        <w:tc>
          <w:tcPr>
            <w:tcW w:w="720" w:type="dxa"/>
          </w:tcPr>
          <w:p w14:paraId="3EA0FC70">
            <w:pPr>
              <w:adjustRightInd w:val="0"/>
              <w:snapToGrid w:val="0"/>
              <w:spacing w:line="360" w:lineRule="auto"/>
              <w:jc w:val="center"/>
              <w:rPr>
                <w:rFonts w:ascii="宋体" w:hAnsi="宋体" w:cs="宋体"/>
                <w:szCs w:val="22"/>
              </w:rPr>
            </w:pPr>
          </w:p>
        </w:tc>
        <w:tc>
          <w:tcPr>
            <w:tcW w:w="2235" w:type="dxa"/>
          </w:tcPr>
          <w:p w14:paraId="56F9D918">
            <w:pPr>
              <w:adjustRightInd w:val="0"/>
              <w:snapToGrid w:val="0"/>
              <w:spacing w:line="360" w:lineRule="auto"/>
              <w:rPr>
                <w:rFonts w:ascii="宋体" w:hAnsi="宋体" w:cs="宋体"/>
                <w:szCs w:val="22"/>
              </w:rPr>
            </w:pPr>
          </w:p>
        </w:tc>
      </w:tr>
      <w:tr w14:paraId="7665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6AF2AE02">
            <w:pPr>
              <w:adjustRightInd w:val="0"/>
              <w:snapToGrid w:val="0"/>
              <w:spacing w:line="360" w:lineRule="auto"/>
              <w:jc w:val="center"/>
              <w:rPr>
                <w:rFonts w:ascii="宋体" w:hAnsi="宋体" w:cs="宋体"/>
                <w:szCs w:val="22"/>
              </w:rPr>
            </w:pPr>
          </w:p>
        </w:tc>
        <w:tc>
          <w:tcPr>
            <w:tcW w:w="1924" w:type="dxa"/>
          </w:tcPr>
          <w:p w14:paraId="4C1893F7">
            <w:pPr>
              <w:adjustRightInd w:val="0"/>
              <w:snapToGrid w:val="0"/>
              <w:spacing w:line="360" w:lineRule="auto"/>
              <w:rPr>
                <w:rFonts w:ascii="宋体" w:hAnsi="宋体" w:cs="宋体"/>
                <w:szCs w:val="22"/>
              </w:rPr>
            </w:pPr>
          </w:p>
        </w:tc>
        <w:tc>
          <w:tcPr>
            <w:tcW w:w="1236" w:type="dxa"/>
          </w:tcPr>
          <w:p w14:paraId="79F105AD">
            <w:pPr>
              <w:adjustRightInd w:val="0"/>
              <w:snapToGrid w:val="0"/>
              <w:spacing w:line="360" w:lineRule="auto"/>
              <w:rPr>
                <w:rFonts w:ascii="宋体" w:hAnsi="宋体" w:cs="宋体"/>
                <w:szCs w:val="22"/>
              </w:rPr>
            </w:pPr>
          </w:p>
        </w:tc>
        <w:tc>
          <w:tcPr>
            <w:tcW w:w="720" w:type="dxa"/>
          </w:tcPr>
          <w:p w14:paraId="489903BD">
            <w:pPr>
              <w:adjustRightInd w:val="0"/>
              <w:snapToGrid w:val="0"/>
              <w:spacing w:line="360" w:lineRule="auto"/>
              <w:jc w:val="center"/>
              <w:rPr>
                <w:rFonts w:ascii="宋体" w:hAnsi="宋体" w:cs="宋体"/>
                <w:szCs w:val="22"/>
              </w:rPr>
            </w:pPr>
          </w:p>
        </w:tc>
        <w:tc>
          <w:tcPr>
            <w:tcW w:w="720" w:type="dxa"/>
          </w:tcPr>
          <w:p w14:paraId="7381C141">
            <w:pPr>
              <w:adjustRightInd w:val="0"/>
              <w:snapToGrid w:val="0"/>
              <w:spacing w:line="360" w:lineRule="auto"/>
              <w:jc w:val="center"/>
              <w:rPr>
                <w:rFonts w:ascii="宋体" w:hAnsi="宋体" w:cs="宋体"/>
                <w:szCs w:val="22"/>
              </w:rPr>
            </w:pPr>
          </w:p>
        </w:tc>
        <w:tc>
          <w:tcPr>
            <w:tcW w:w="720" w:type="dxa"/>
          </w:tcPr>
          <w:p w14:paraId="40782745">
            <w:pPr>
              <w:adjustRightInd w:val="0"/>
              <w:snapToGrid w:val="0"/>
              <w:spacing w:line="360" w:lineRule="auto"/>
              <w:jc w:val="center"/>
              <w:rPr>
                <w:rFonts w:ascii="宋体" w:hAnsi="宋体" w:cs="宋体"/>
                <w:szCs w:val="22"/>
              </w:rPr>
            </w:pPr>
          </w:p>
        </w:tc>
        <w:tc>
          <w:tcPr>
            <w:tcW w:w="720" w:type="dxa"/>
          </w:tcPr>
          <w:p w14:paraId="1AF1B4CC">
            <w:pPr>
              <w:adjustRightInd w:val="0"/>
              <w:snapToGrid w:val="0"/>
              <w:spacing w:line="360" w:lineRule="auto"/>
              <w:jc w:val="center"/>
              <w:rPr>
                <w:rFonts w:ascii="宋体" w:hAnsi="宋体" w:cs="宋体"/>
                <w:szCs w:val="22"/>
              </w:rPr>
            </w:pPr>
          </w:p>
        </w:tc>
        <w:tc>
          <w:tcPr>
            <w:tcW w:w="2235" w:type="dxa"/>
          </w:tcPr>
          <w:p w14:paraId="39E64681">
            <w:pPr>
              <w:adjustRightInd w:val="0"/>
              <w:snapToGrid w:val="0"/>
              <w:spacing w:line="360" w:lineRule="auto"/>
              <w:rPr>
                <w:rFonts w:ascii="宋体" w:hAnsi="宋体" w:cs="宋体"/>
                <w:szCs w:val="22"/>
              </w:rPr>
            </w:pPr>
          </w:p>
        </w:tc>
      </w:tr>
      <w:tr w14:paraId="78B1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3A552DEC">
            <w:pPr>
              <w:adjustRightInd w:val="0"/>
              <w:snapToGrid w:val="0"/>
              <w:spacing w:line="360" w:lineRule="auto"/>
              <w:jc w:val="center"/>
              <w:rPr>
                <w:rFonts w:ascii="宋体" w:hAnsi="宋体" w:cs="宋体"/>
                <w:szCs w:val="22"/>
              </w:rPr>
            </w:pPr>
          </w:p>
        </w:tc>
        <w:tc>
          <w:tcPr>
            <w:tcW w:w="1924" w:type="dxa"/>
          </w:tcPr>
          <w:p w14:paraId="23598A33">
            <w:pPr>
              <w:adjustRightInd w:val="0"/>
              <w:snapToGrid w:val="0"/>
              <w:spacing w:line="360" w:lineRule="auto"/>
              <w:rPr>
                <w:rFonts w:ascii="宋体" w:hAnsi="宋体" w:cs="宋体"/>
                <w:szCs w:val="22"/>
              </w:rPr>
            </w:pPr>
          </w:p>
        </w:tc>
        <w:tc>
          <w:tcPr>
            <w:tcW w:w="1236" w:type="dxa"/>
          </w:tcPr>
          <w:p w14:paraId="6A28C21F">
            <w:pPr>
              <w:adjustRightInd w:val="0"/>
              <w:snapToGrid w:val="0"/>
              <w:spacing w:line="360" w:lineRule="auto"/>
              <w:rPr>
                <w:rFonts w:ascii="宋体" w:hAnsi="宋体" w:cs="宋体"/>
                <w:szCs w:val="22"/>
              </w:rPr>
            </w:pPr>
          </w:p>
        </w:tc>
        <w:tc>
          <w:tcPr>
            <w:tcW w:w="720" w:type="dxa"/>
          </w:tcPr>
          <w:p w14:paraId="492D3829">
            <w:pPr>
              <w:adjustRightInd w:val="0"/>
              <w:snapToGrid w:val="0"/>
              <w:spacing w:line="360" w:lineRule="auto"/>
              <w:jc w:val="center"/>
              <w:rPr>
                <w:rFonts w:ascii="宋体" w:hAnsi="宋体" w:cs="宋体"/>
                <w:szCs w:val="22"/>
              </w:rPr>
            </w:pPr>
          </w:p>
        </w:tc>
        <w:tc>
          <w:tcPr>
            <w:tcW w:w="720" w:type="dxa"/>
          </w:tcPr>
          <w:p w14:paraId="6E568F0B">
            <w:pPr>
              <w:adjustRightInd w:val="0"/>
              <w:snapToGrid w:val="0"/>
              <w:spacing w:line="360" w:lineRule="auto"/>
              <w:jc w:val="center"/>
              <w:rPr>
                <w:rFonts w:ascii="宋体" w:hAnsi="宋体" w:cs="宋体"/>
                <w:szCs w:val="22"/>
              </w:rPr>
            </w:pPr>
          </w:p>
        </w:tc>
        <w:tc>
          <w:tcPr>
            <w:tcW w:w="720" w:type="dxa"/>
          </w:tcPr>
          <w:p w14:paraId="734D0FC1">
            <w:pPr>
              <w:adjustRightInd w:val="0"/>
              <w:snapToGrid w:val="0"/>
              <w:spacing w:line="360" w:lineRule="auto"/>
              <w:jc w:val="center"/>
              <w:rPr>
                <w:rFonts w:ascii="宋体" w:hAnsi="宋体" w:cs="宋体"/>
                <w:szCs w:val="22"/>
              </w:rPr>
            </w:pPr>
          </w:p>
        </w:tc>
        <w:tc>
          <w:tcPr>
            <w:tcW w:w="720" w:type="dxa"/>
          </w:tcPr>
          <w:p w14:paraId="5CABDD7E">
            <w:pPr>
              <w:adjustRightInd w:val="0"/>
              <w:snapToGrid w:val="0"/>
              <w:spacing w:line="360" w:lineRule="auto"/>
              <w:jc w:val="center"/>
              <w:rPr>
                <w:rFonts w:ascii="宋体" w:hAnsi="宋体" w:cs="宋体"/>
                <w:szCs w:val="22"/>
              </w:rPr>
            </w:pPr>
          </w:p>
        </w:tc>
        <w:tc>
          <w:tcPr>
            <w:tcW w:w="2235" w:type="dxa"/>
          </w:tcPr>
          <w:p w14:paraId="21C372FA">
            <w:pPr>
              <w:adjustRightInd w:val="0"/>
              <w:snapToGrid w:val="0"/>
              <w:spacing w:line="360" w:lineRule="auto"/>
              <w:rPr>
                <w:rFonts w:ascii="宋体" w:hAnsi="宋体" w:cs="宋体"/>
                <w:szCs w:val="22"/>
              </w:rPr>
            </w:pPr>
          </w:p>
        </w:tc>
      </w:tr>
      <w:tr w14:paraId="2E74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A72C1EE">
            <w:pPr>
              <w:adjustRightInd w:val="0"/>
              <w:snapToGrid w:val="0"/>
              <w:spacing w:line="360" w:lineRule="auto"/>
              <w:jc w:val="center"/>
              <w:rPr>
                <w:rFonts w:ascii="宋体" w:hAnsi="宋体" w:cs="宋体"/>
                <w:szCs w:val="22"/>
              </w:rPr>
            </w:pPr>
          </w:p>
        </w:tc>
        <w:tc>
          <w:tcPr>
            <w:tcW w:w="1924" w:type="dxa"/>
          </w:tcPr>
          <w:p w14:paraId="6C75D746">
            <w:pPr>
              <w:adjustRightInd w:val="0"/>
              <w:snapToGrid w:val="0"/>
              <w:spacing w:line="360" w:lineRule="auto"/>
              <w:rPr>
                <w:rFonts w:ascii="宋体" w:hAnsi="宋体" w:cs="宋体"/>
                <w:szCs w:val="22"/>
              </w:rPr>
            </w:pPr>
          </w:p>
        </w:tc>
        <w:tc>
          <w:tcPr>
            <w:tcW w:w="1236" w:type="dxa"/>
          </w:tcPr>
          <w:p w14:paraId="226F9870">
            <w:pPr>
              <w:adjustRightInd w:val="0"/>
              <w:snapToGrid w:val="0"/>
              <w:spacing w:line="360" w:lineRule="auto"/>
              <w:rPr>
                <w:rFonts w:ascii="宋体" w:hAnsi="宋体" w:cs="宋体"/>
                <w:szCs w:val="22"/>
              </w:rPr>
            </w:pPr>
          </w:p>
        </w:tc>
        <w:tc>
          <w:tcPr>
            <w:tcW w:w="720" w:type="dxa"/>
          </w:tcPr>
          <w:p w14:paraId="7A4CA2C9">
            <w:pPr>
              <w:adjustRightInd w:val="0"/>
              <w:snapToGrid w:val="0"/>
              <w:spacing w:line="360" w:lineRule="auto"/>
              <w:jc w:val="center"/>
              <w:rPr>
                <w:rFonts w:ascii="宋体" w:hAnsi="宋体" w:cs="宋体"/>
                <w:szCs w:val="22"/>
              </w:rPr>
            </w:pPr>
          </w:p>
        </w:tc>
        <w:tc>
          <w:tcPr>
            <w:tcW w:w="720" w:type="dxa"/>
          </w:tcPr>
          <w:p w14:paraId="6FBA1657">
            <w:pPr>
              <w:adjustRightInd w:val="0"/>
              <w:snapToGrid w:val="0"/>
              <w:spacing w:line="360" w:lineRule="auto"/>
              <w:jc w:val="center"/>
              <w:rPr>
                <w:rFonts w:ascii="宋体" w:hAnsi="宋体" w:cs="宋体"/>
                <w:szCs w:val="22"/>
              </w:rPr>
            </w:pPr>
          </w:p>
        </w:tc>
        <w:tc>
          <w:tcPr>
            <w:tcW w:w="720" w:type="dxa"/>
          </w:tcPr>
          <w:p w14:paraId="25893AF5">
            <w:pPr>
              <w:adjustRightInd w:val="0"/>
              <w:snapToGrid w:val="0"/>
              <w:spacing w:line="360" w:lineRule="auto"/>
              <w:jc w:val="center"/>
              <w:rPr>
                <w:rFonts w:ascii="宋体" w:hAnsi="宋体" w:cs="宋体"/>
                <w:szCs w:val="22"/>
              </w:rPr>
            </w:pPr>
          </w:p>
        </w:tc>
        <w:tc>
          <w:tcPr>
            <w:tcW w:w="720" w:type="dxa"/>
          </w:tcPr>
          <w:p w14:paraId="1FC93CB1">
            <w:pPr>
              <w:adjustRightInd w:val="0"/>
              <w:snapToGrid w:val="0"/>
              <w:spacing w:line="360" w:lineRule="auto"/>
              <w:jc w:val="center"/>
              <w:rPr>
                <w:rFonts w:ascii="宋体" w:hAnsi="宋体" w:cs="宋体"/>
                <w:szCs w:val="22"/>
              </w:rPr>
            </w:pPr>
          </w:p>
        </w:tc>
        <w:tc>
          <w:tcPr>
            <w:tcW w:w="2235" w:type="dxa"/>
          </w:tcPr>
          <w:p w14:paraId="42634A2A">
            <w:pPr>
              <w:adjustRightInd w:val="0"/>
              <w:snapToGrid w:val="0"/>
              <w:spacing w:line="360" w:lineRule="auto"/>
              <w:rPr>
                <w:rFonts w:ascii="宋体" w:hAnsi="宋体" w:cs="宋体"/>
                <w:szCs w:val="22"/>
              </w:rPr>
            </w:pPr>
          </w:p>
        </w:tc>
      </w:tr>
      <w:tr w14:paraId="2642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4AB654F">
            <w:pPr>
              <w:adjustRightInd w:val="0"/>
              <w:snapToGrid w:val="0"/>
              <w:spacing w:line="360" w:lineRule="auto"/>
              <w:jc w:val="center"/>
              <w:rPr>
                <w:rFonts w:ascii="宋体" w:hAnsi="宋体" w:cs="宋体"/>
                <w:szCs w:val="22"/>
              </w:rPr>
            </w:pPr>
          </w:p>
        </w:tc>
        <w:tc>
          <w:tcPr>
            <w:tcW w:w="1924" w:type="dxa"/>
          </w:tcPr>
          <w:p w14:paraId="19829D78">
            <w:pPr>
              <w:adjustRightInd w:val="0"/>
              <w:snapToGrid w:val="0"/>
              <w:spacing w:line="360" w:lineRule="auto"/>
              <w:rPr>
                <w:rFonts w:ascii="宋体" w:hAnsi="宋体" w:cs="宋体"/>
                <w:szCs w:val="22"/>
              </w:rPr>
            </w:pPr>
          </w:p>
        </w:tc>
        <w:tc>
          <w:tcPr>
            <w:tcW w:w="1236" w:type="dxa"/>
          </w:tcPr>
          <w:p w14:paraId="298BD694">
            <w:pPr>
              <w:adjustRightInd w:val="0"/>
              <w:snapToGrid w:val="0"/>
              <w:spacing w:line="360" w:lineRule="auto"/>
              <w:rPr>
                <w:rFonts w:ascii="宋体" w:hAnsi="宋体" w:cs="宋体"/>
                <w:szCs w:val="22"/>
              </w:rPr>
            </w:pPr>
          </w:p>
        </w:tc>
        <w:tc>
          <w:tcPr>
            <w:tcW w:w="720" w:type="dxa"/>
          </w:tcPr>
          <w:p w14:paraId="04A58093">
            <w:pPr>
              <w:adjustRightInd w:val="0"/>
              <w:snapToGrid w:val="0"/>
              <w:spacing w:line="360" w:lineRule="auto"/>
              <w:jc w:val="center"/>
              <w:rPr>
                <w:rFonts w:ascii="宋体" w:hAnsi="宋体" w:cs="宋体"/>
                <w:szCs w:val="22"/>
              </w:rPr>
            </w:pPr>
          </w:p>
        </w:tc>
        <w:tc>
          <w:tcPr>
            <w:tcW w:w="720" w:type="dxa"/>
          </w:tcPr>
          <w:p w14:paraId="6F02DDA0">
            <w:pPr>
              <w:adjustRightInd w:val="0"/>
              <w:snapToGrid w:val="0"/>
              <w:spacing w:line="360" w:lineRule="auto"/>
              <w:jc w:val="center"/>
              <w:rPr>
                <w:rFonts w:ascii="宋体" w:hAnsi="宋体" w:cs="宋体"/>
                <w:szCs w:val="22"/>
              </w:rPr>
            </w:pPr>
          </w:p>
        </w:tc>
        <w:tc>
          <w:tcPr>
            <w:tcW w:w="720" w:type="dxa"/>
          </w:tcPr>
          <w:p w14:paraId="4EB354A2">
            <w:pPr>
              <w:adjustRightInd w:val="0"/>
              <w:snapToGrid w:val="0"/>
              <w:spacing w:line="360" w:lineRule="auto"/>
              <w:jc w:val="center"/>
              <w:rPr>
                <w:rFonts w:ascii="宋体" w:hAnsi="宋体" w:cs="宋体"/>
                <w:szCs w:val="22"/>
              </w:rPr>
            </w:pPr>
          </w:p>
        </w:tc>
        <w:tc>
          <w:tcPr>
            <w:tcW w:w="720" w:type="dxa"/>
          </w:tcPr>
          <w:p w14:paraId="0CFABB29">
            <w:pPr>
              <w:adjustRightInd w:val="0"/>
              <w:snapToGrid w:val="0"/>
              <w:spacing w:line="360" w:lineRule="auto"/>
              <w:jc w:val="center"/>
              <w:rPr>
                <w:rFonts w:ascii="宋体" w:hAnsi="宋体" w:cs="宋体"/>
                <w:szCs w:val="22"/>
              </w:rPr>
            </w:pPr>
          </w:p>
        </w:tc>
        <w:tc>
          <w:tcPr>
            <w:tcW w:w="2235" w:type="dxa"/>
          </w:tcPr>
          <w:p w14:paraId="133FE6C7">
            <w:pPr>
              <w:adjustRightInd w:val="0"/>
              <w:snapToGrid w:val="0"/>
              <w:spacing w:line="360" w:lineRule="auto"/>
              <w:rPr>
                <w:rFonts w:ascii="宋体" w:hAnsi="宋体" w:cs="宋体"/>
                <w:szCs w:val="22"/>
              </w:rPr>
            </w:pPr>
          </w:p>
        </w:tc>
      </w:tr>
      <w:tr w14:paraId="489E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6C71D298">
            <w:pPr>
              <w:adjustRightInd w:val="0"/>
              <w:snapToGrid w:val="0"/>
              <w:spacing w:line="360" w:lineRule="auto"/>
              <w:jc w:val="center"/>
              <w:rPr>
                <w:rFonts w:ascii="宋体" w:hAnsi="宋体" w:cs="宋体"/>
                <w:szCs w:val="22"/>
              </w:rPr>
            </w:pPr>
          </w:p>
        </w:tc>
        <w:tc>
          <w:tcPr>
            <w:tcW w:w="1924" w:type="dxa"/>
          </w:tcPr>
          <w:p w14:paraId="2EEEA57F">
            <w:pPr>
              <w:adjustRightInd w:val="0"/>
              <w:snapToGrid w:val="0"/>
              <w:spacing w:line="360" w:lineRule="auto"/>
              <w:rPr>
                <w:rFonts w:ascii="宋体" w:hAnsi="宋体" w:cs="宋体"/>
                <w:szCs w:val="22"/>
              </w:rPr>
            </w:pPr>
          </w:p>
        </w:tc>
        <w:tc>
          <w:tcPr>
            <w:tcW w:w="1236" w:type="dxa"/>
          </w:tcPr>
          <w:p w14:paraId="543DAC73">
            <w:pPr>
              <w:adjustRightInd w:val="0"/>
              <w:snapToGrid w:val="0"/>
              <w:spacing w:line="360" w:lineRule="auto"/>
              <w:rPr>
                <w:rFonts w:ascii="宋体" w:hAnsi="宋体" w:cs="宋体"/>
                <w:szCs w:val="22"/>
              </w:rPr>
            </w:pPr>
          </w:p>
        </w:tc>
        <w:tc>
          <w:tcPr>
            <w:tcW w:w="720" w:type="dxa"/>
          </w:tcPr>
          <w:p w14:paraId="35A8DF76">
            <w:pPr>
              <w:adjustRightInd w:val="0"/>
              <w:snapToGrid w:val="0"/>
              <w:spacing w:line="360" w:lineRule="auto"/>
              <w:jc w:val="center"/>
              <w:rPr>
                <w:rFonts w:ascii="宋体" w:hAnsi="宋体" w:cs="宋体"/>
                <w:szCs w:val="22"/>
              </w:rPr>
            </w:pPr>
          </w:p>
        </w:tc>
        <w:tc>
          <w:tcPr>
            <w:tcW w:w="720" w:type="dxa"/>
          </w:tcPr>
          <w:p w14:paraId="66D9D644">
            <w:pPr>
              <w:adjustRightInd w:val="0"/>
              <w:snapToGrid w:val="0"/>
              <w:spacing w:line="360" w:lineRule="auto"/>
              <w:jc w:val="center"/>
              <w:rPr>
                <w:rFonts w:ascii="宋体" w:hAnsi="宋体" w:cs="宋体"/>
                <w:szCs w:val="22"/>
              </w:rPr>
            </w:pPr>
          </w:p>
        </w:tc>
        <w:tc>
          <w:tcPr>
            <w:tcW w:w="720" w:type="dxa"/>
          </w:tcPr>
          <w:p w14:paraId="184CF53A">
            <w:pPr>
              <w:adjustRightInd w:val="0"/>
              <w:snapToGrid w:val="0"/>
              <w:spacing w:line="360" w:lineRule="auto"/>
              <w:jc w:val="center"/>
              <w:rPr>
                <w:rFonts w:ascii="宋体" w:hAnsi="宋体" w:cs="宋体"/>
                <w:szCs w:val="22"/>
              </w:rPr>
            </w:pPr>
          </w:p>
        </w:tc>
        <w:tc>
          <w:tcPr>
            <w:tcW w:w="720" w:type="dxa"/>
          </w:tcPr>
          <w:p w14:paraId="01310B98">
            <w:pPr>
              <w:adjustRightInd w:val="0"/>
              <w:snapToGrid w:val="0"/>
              <w:spacing w:line="360" w:lineRule="auto"/>
              <w:jc w:val="center"/>
              <w:rPr>
                <w:rFonts w:ascii="宋体" w:hAnsi="宋体" w:cs="宋体"/>
                <w:szCs w:val="22"/>
              </w:rPr>
            </w:pPr>
          </w:p>
        </w:tc>
        <w:tc>
          <w:tcPr>
            <w:tcW w:w="2235" w:type="dxa"/>
          </w:tcPr>
          <w:p w14:paraId="4A866F4D">
            <w:pPr>
              <w:adjustRightInd w:val="0"/>
              <w:snapToGrid w:val="0"/>
              <w:spacing w:line="360" w:lineRule="auto"/>
              <w:rPr>
                <w:rFonts w:ascii="宋体" w:hAnsi="宋体" w:cs="宋体"/>
                <w:szCs w:val="22"/>
              </w:rPr>
            </w:pPr>
          </w:p>
        </w:tc>
      </w:tr>
    </w:tbl>
    <w:p w14:paraId="537F7D87">
      <w:pPr>
        <w:spacing w:line="360" w:lineRule="auto"/>
        <w:ind w:firstLine="480" w:firstLineChars="200"/>
        <w:rPr>
          <w:rFonts w:ascii="宋体" w:hAnsi="宋体" w:cs="宋体"/>
          <w:sz w:val="24"/>
          <w:szCs w:val="24"/>
        </w:rPr>
      </w:pPr>
      <w:r>
        <w:rPr>
          <w:rFonts w:hint="eastAsia" w:ascii="宋体" w:hAnsi="宋体" w:cs="宋体"/>
          <w:sz w:val="24"/>
          <w:szCs w:val="24"/>
        </w:rPr>
        <w:t>6.2“开标一览表”和“明细表”仅作为投标人编制投标技术文件的一般格式。其中序号编写应当便于招标人了解分类或分项货物之间的所属关系，如1、1.1、1.2；</w:t>
      </w:r>
    </w:p>
    <w:p w14:paraId="56427EBA">
      <w:pPr>
        <w:spacing w:line="360" w:lineRule="auto"/>
        <w:ind w:firstLine="480" w:firstLineChars="200"/>
        <w:rPr>
          <w:rFonts w:ascii="宋体" w:hAnsi="宋体" w:cs="宋体"/>
          <w:sz w:val="24"/>
          <w:szCs w:val="24"/>
        </w:rPr>
      </w:pPr>
      <w:r>
        <w:rPr>
          <w:rFonts w:hint="eastAsia" w:ascii="宋体" w:hAnsi="宋体" w:cs="宋体"/>
          <w:sz w:val="24"/>
          <w:szCs w:val="24"/>
        </w:rPr>
        <w:t>6.3应当尽可能将货物的配置列全、列细，这将有助于投标人胜出；</w:t>
      </w:r>
    </w:p>
    <w:p w14:paraId="74AD18D9">
      <w:pPr>
        <w:spacing w:line="360" w:lineRule="auto"/>
        <w:ind w:firstLine="480" w:firstLineChars="200"/>
        <w:rPr>
          <w:rFonts w:ascii="宋体" w:hAnsi="宋体" w:cs="宋体"/>
          <w:sz w:val="24"/>
          <w:szCs w:val="24"/>
        </w:rPr>
      </w:pPr>
      <w:r>
        <w:rPr>
          <w:rFonts w:hint="eastAsia" w:ascii="宋体" w:hAnsi="宋体" w:cs="宋体"/>
          <w:sz w:val="24"/>
          <w:szCs w:val="24"/>
        </w:rPr>
        <w:t>6.4单价与总价之间、总价与分类小计价之间、分类小计价与合计价之间数据应当齐全而且准确；</w:t>
      </w:r>
    </w:p>
    <w:p w14:paraId="28C68412">
      <w:pPr>
        <w:spacing w:line="360" w:lineRule="auto"/>
        <w:ind w:firstLine="480" w:firstLineChars="200"/>
        <w:rPr>
          <w:rFonts w:ascii="宋体" w:hAnsi="宋体" w:cs="宋体"/>
          <w:sz w:val="24"/>
          <w:szCs w:val="24"/>
        </w:rPr>
      </w:pPr>
      <w:r>
        <w:rPr>
          <w:rFonts w:hint="eastAsia" w:ascii="宋体" w:hAnsi="宋体" w:cs="宋体"/>
          <w:sz w:val="24"/>
          <w:szCs w:val="24"/>
        </w:rPr>
        <w:t>6.5  本条款表格中的制造商，应当为全称或公认的简称。</w:t>
      </w:r>
    </w:p>
    <w:p w14:paraId="156FB4DD">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二、技术文件中货物报价格式要求</w:t>
      </w:r>
    </w:p>
    <w:p w14:paraId="23FA380F">
      <w:pPr>
        <w:spacing w:line="360" w:lineRule="auto"/>
        <w:ind w:firstLine="480" w:firstLineChars="200"/>
        <w:rPr>
          <w:rFonts w:ascii="宋体" w:hAnsi="宋体" w:cs="宋体"/>
          <w:sz w:val="24"/>
          <w:szCs w:val="24"/>
        </w:rPr>
      </w:pPr>
      <w:r>
        <w:rPr>
          <w:rFonts w:hint="eastAsia" w:ascii="宋体" w:hAnsi="宋体" w:cs="宋体"/>
          <w:sz w:val="24"/>
          <w:szCs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2B71848B">
      <w:pPr>
        <w:spacing w:line="360" w:lineRule="auto"/>
        <w:ind w:firstLine="480" w:firstLineChars="200"/>
        <w:rPr>
          <w:rFonts w:ascii="宋体" w:hAnsi="宋体" w:cs="宋体"/>
          <w:sz w:val="24"/>
          <w:szCs w:val="24"/>
        </w:rPr>
      </w:pPr>
      <w:r>
        <w:rPr>
          <w:rFonts w:hint="eastAsia" w:ascii="宋体" w:hAnsi="宋体" w:cs="宋体"/>
          <w:sz w:val="24"/>
          <w:szCs w:val="24"/>
        </w:rPr>
        <w:t>2.如果投标总报价与其它价格出现错误或不一致，将有可能导致废标。</w:t>
      </w:r>
    </w:p>
    <w:p w14:paraId="7E7CEF82">
      <w:pPr>
        <w:spacing w:line="360" w:lineRule="auto"/>
        <w:ind w:firstLine="480" w:firstLineChars="200"/>
        <w:rPr>
          <w:rFonts w:ascii="宋体" w:hAnsi="宋体" w:cs="宋体"/>
          <w:sz w:val="24"/>
          <w:szCs w:val="24"/>
        </w:rPr>
      </w:pPr>
      <w:r>
        <w:rPr>
          <w:rFonts w:hint="eastAsia" w:ascii="宋体" w:hAnsi="宋体" w:cs="宋体"/>
          <w:sz w:val="24"/>
          <w:szCs w:val="24"/>
        </w:rPr>
        <w:t>3.投标总报价为自合同签定生效至合同无异议执行完毕涉及的买方需要支付的全部费用。如投标人认为本招标及投标货物涉及特需或专门的设计，应当单独列明设计费。</w:t>
      </w:r>
    </w:p>
    <w:p w14:paraId="249FCF50">
      <w:pPr>
        <w:spacing w:line="360" w:lineRule="auto"/>
        <w:ind w:firstLine="480" w:firstLineChars="200"/>
        <w:rPr>
          <w:rFonts w:ascii="宋体" w:hAnsi="宋体" w:cs="宋体"/>
          <w:sz w:val="24"/>
          <w:szCs w:val="24"/>
        </w:rPr>
      </w:pPr>
      <w:r>
        <w:rPr>
          <w:rFonts w:hint="eastAsia" w:ascii="宋体" w:hAnsi="宋体" w:cs="宋体"/>
          <w:sz w:val="24"/>
          <w:szCs w:val="24"/>
        </w:rPr>
        <w:t>4.备品备件、易损件和专用耗材，招标人将可能与投标人按照投标价格另行签署供货合同。</w:t>
      </w:r>
    </w:p>
    <w:p w14:paraId="011C5F3D">
      <w:pPr>
        <w:spacing w:line="360" w:lineRule="auto"/>
        <w:ind w:firstLine="480" w:firstLineChars="200"/>
        <w:rPr>
          <w:rFonts w:ascii="宋体" w:hAnsi="宋体" w:cs="宋体"/>
          <w:sz w:val="24"/>
          <w:szCs w:val="24"/>
        </w:rPr>
      </w:pPr>
      <w:r>
        <w:rPr>
          <w:rFonts w:hint="eastAsia" w:ascii="宋体" w:hAnsi="宋体" w:cs="宋体"/>
          <w:sz w:val="24"/>
          <w:szCs w:val="24"/>
        </w:rPr>
        <w:t>5.要求投标总报价、分项报价、明细报价之间应当具有相互间对应关系以及填报分项和明细报价，仅为便于评标而不妨碍投标人以最合适的形式签署合同。</w:t>
      </w:r>
    </w:p>
    <w:p w14:paraId="2CCEF39C">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三、验收标准及内容要求</w:t>
      </w:r>
    </w:p>
    <w:p w14:paraId="34BDD559">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除招标文件明确的验收标准或内容之外，投标人应当在投标文件中提供预验收（必要时）和终验收的标准以及规程；在合同签定之前，经投标人和招标人双方洽谈确认并签署，以作为验收标准执行。</w:t>
      </w:r>
    </w:p>
    <w:p w14:paraId="2AC52D8B">
      <w:pPr>
        <w:adjustRightInd w:val="0"/>
        <w:snapToGrid w:val="0"/>
        <w:spacing w:before="120" w:after="120" w:line="360" w:lineRule="auto"/>
        <w:ind w:firstLine="480" w:firstLineChars="200"/>
        <w:jc w:val="center"/>
        <w:rPr>
          <w:rFonts w:ascii="宋体" w:hAnsi="宋体" w:cs="宋体"/>
          <w:sz w:val="24"/>
          <w:szCs w:val="24"/>
        </w:rPr>
      </w:pPr>
      <w:bookmarkStart w:id="27" w:name="_Toc465187648"/>
    </w:p>
    <w:p w14:paraId="5582DD87">
      <w:pPr>
        <w:pStyle w:val="25"/>
        <w:sectPr>
          <w:footerReference r:id="rId10" w:type="first"/>
          <w:footerReference r:id="rId9" w:type="default"/>
          <w:pgSz w:w="11906" w:h="16838"/>
          <w:pgMar w:top="1588" w:right="1418" w:bottom="1134" w:left="1418" w:header="851" w:footer="992" w:gutter="0"/>
          <w:pgNumType w:fmt="numberInDash"/>
          <w:cols w:space="720" w:num="1"/>
          <w:titlePg/>
          <w:docGrid w:type="lines" w:linePitch="312" w:charSpace="0"/>
        </w:sectPr>
      </w:pPr>
    </w:p>
    <w:p w14:paraId="086663CD">
      <w:pPr>
        <w:keepNext/>
        <w:keepLines/>
        <w:jc w:val="center"/>
        <w:outlineLvl w:val="1"/>
        <w:rPr>
          <w:rFonts w:ascii="宋体" w:hAnsi="宋体" w:cs="宋体"/>
          <w:b/>
          <w:iCs/>
          <w:kern w:val="44"/>
          <w:sz w:val="28"/>
          <w:szCs w:val="22"/>
        </w:rPr>
      </w:pPr>
      <w:r>
        <w:rPr>
          <w:rFonts w:hint="eastAsia" w:ascii="宋体" w:hAnsi="宋体" w:cs="宋体"/>
          <w:b/>
          <w:iCs/>
          <w:kern w:val="44"/>
          <w:sz w:val="28"/>
          <w:szCs w:val="22"/>
        </w:rPr>
        <w:t>第七章  其它要求及说明</w:t>
      </w:r>
      <w:bookmarkEnd w:id="27"/>
    </w:p>
    <w:p w14:paraId="34EC3E2E">
      <w:pPr>
        <w:keepNext/>
        <w:keepLines/>
        <w:ind w:firstLine="482" w:firstLineChars="200"/>
        <w:outlineLvl w:val="2"/>
        <w:rPr>
          <w:rFonts w:ascii="宋体" w:hAnsi="宋体" w:cs="宋体"/>
          <w:b/>
          <w:bCs/>
          <w:sz w:val="24"/>
          <w:szCs w:val="24"/>
        </w:rPr>
      </w:pPr>
      <w:r>
        <w:rPr>
          <w:rFonts w:hint="eastAsia" w:ascii="宋体" w:hAnsi="宋体" w:cs="宋体"/>
          <w:b/>
          <w:bCs/>
          <w:sz w:val="24"/>
          <w:szCs w:val="24"/>
        </w:rPr>
        <w:t>一、要求</w:t>
      </w:r>
    </w:p>
    <w:p w14:paraId="5B0332A4">
      <w:pPr>
        <w:spacing w:after="120" w:line="420" w:lineRule="exact"/>
        <w:ind w:left="420" w:leftChars="200"/>
        <w:rPr>
          <w:rFonts w:ascii="宋体" w:hAnsi="宋体" w:cs="宋体"/>
          <w:sz w:val="24"/>
          <w:szCs w:val="24"/>
        </w:rPr>
      </w:pPr>
      <w:r>
        <w:rPr>
          <w:rFonts w:hint="eastAsia" w:ascii="宋体" w:hAnsi="宋体" w:cs="宋体"/>
          <w:sz w:val="24"/>
          <w:szCs w:val="24"/>
        </w:rPr>
        <w:t>为保证本技术标书所列采购货物的质量以及先进性、可靠性、经济性和实用性，要求投标人在投标文件中，至少应具备以下资格证明文件或资料：</w:t>
      </w:r>
    </w:p>
    <w:p w14:paraId="18B49C74">
      <w:pPr>
        <w:spacing w:line="420" w:lineRule="exact"/>
        <w:ind w:firstLine="477" w:firstLineChars="199"/>
        <w:rPr>
          <w:rFonts w:ascii="宋体" w:hAnsi="宋体" w:cs="宋体"/>
          <w:sz w:val="24"/>
          <w:szCs w:val="24"/>
        </w:rPr>
      </w:pPr>
      <w:r>
        <w:rPr>
          <w:rFonts w:hint="eastAsia" w:ascii="宋体" w:hAnsi="宋体" w:cs="宋体"/>
          <w:sz w:val="24"/>
          <w:szCs w:val="24"/>
        </w:rPr>
        <w:t>1.投标人应是独立法人或得到法人授权的机构。应当在投标文件中提供法人营业执照（复印件）、税务登记证以及组织机构代码证（国际供应商参考该要求提供有效证明文件），并保证其真实性和有效性。</w:t>
      </w:r>
    </w:p>
    <w:p w14:paraId="1E4751E3">
      <w:pPr>
        <w:spacing w:line="420" w:lineRule="exact"/>
        <w:ind w:firstLine="477" w:firstLineChars="199"/>
        <w:rPr>
          <w:rFonts w:ascii="宋体" w:hAnsi="宋体" w:cs="宋体"/>
          <w:sz w:val="24"/>
          <w:szCs w:val="24"/>
        </w:rPr>
      </w:pPr>
      <w:r>
        <w:rPr>
          <w:rFonts w:hint="eastAsia" w:ascii="宋体" w:hAnsi="宋体" w:cs="宋体"/>
          <w:sz w:val="24"/>
          <w:szCs w:val="24"/>
        </w:rPr>
        <w:t>2.投标人应当是通过有关资格认证的法人。</w:t>
      </w:r>
    </w:p>
    <w:p w14:paraId="303ADA8B">
      <w:pPr>
        <w:spacing w:line="420" w:lineRule="exact"/>
        <w:ind w:firstLine="477" w:firstLineChars="199"/>
        <w:rPr>
          <w:rFonts w:ascii="宋体" w:hAnsi="宋体" w:cs="宋体"/>
          <w:sz w:val="24"/>
          <w:szCs w:val="24"/>
        </w:rPr>
      </w:pPr>
      <w:r>
        <w:rPr>
          <w:rFonts w:hint="eastAsia" w:ascii="宋体" w:hAnsi="宋体" w:cs="宋体"/>
          <w:sz w:val="24"/>
          <w:szCs w:val="24"/>
        </w:rPr>
        <w:t>3.国产设备应附有采购货物（或设备）涉及的由“中国质量认证中心”颁发的《中国国家强制性产品认证证书》（CCC证书）。</w:t>
      </w:r>
    </w:p>
    <w:p w14:paraId="6C4C78C1">
      <w:pPr>
        <w:spacing w:line="420" w:lineRule="exact"/>
        <w:ind w:firstLine="477" w:firstLineChars="199"/>
        <w:rPr>
          <w:rFonts w:ascii="宋体" w:hAnsi="宋体" w:cs="宋体"/>
          <w:sz w:val="24"/>
          <w:szCs w:val="24"/>
        </w:rPr>
      </w:pPr>
      <w:r>
        <w:rPr>
          <w:rFonts w:hint="eastAsia" w:ascii="宋体" w:hAnsi="宋体" w:cs="宋体"/>
          <w:sz w:val="24"/>
          <w:szCs w:val="24"/>
        </w:rPr>
        <w:t>4.应附有其它与投标单位、采购货物有关的荣誉证书或资料。</w:t>
      </w:r>
    </w:p>
    <w:p w14:paraId="4C2880AB">
      <w:pPr>
        <w:spacing w:line="420" w:lineRule="exact"/>
        <w:ind w:firstLine="477" w:firstLineChars="199"/>
        <w:rPr>
          <w:rFonts w:ascii="宋体" w:hAnsi="宋体" w:cs="宋体"/>
          <w:sz w:val="24"/>
          <w:szCs w:val="24"/>
        </w:rPr>
      </w:pPr>
      <w:r>
        <w:rPr>
          <w:rFonts w:hint="eastAsia" w:ascii="宋体" w:hAnsi="宋体" w:cs="宋体"/>
          <w:sz w:val="24"/>
          <w:szCs w:val="24"/>
        </w:rPr>
        <w:t>5.必须附有投标货物涉及产品要求的、国家或行业管理规定要求的、或者投标人认为能够体现其投标货物合法性及先进性的最高级别的证明材料（投标货物不涉及的除外）：</w:t>
      </w:r>
    </w:p>
    <w:p w14:paraId="3E86D8CC">
      <w:pPr>
        <w:spacing w:line="420" w:lineRule="exact"/>
        <w:ind w:firstLine="477" w:firstLineChars="199"/>
        <w:rPr>
          <w:rFonts w:ascii="宋体" w:hAnsi="宋体" w:cs="宋体"/>
          <w:sz w:val="24"/>
          <w:szCs w:val="24"/>
        </w:rPr>
      </w:pPr>
      <w:r>
        <w:rPr>
          <w:rFonts w:hint="eastAsia" w:ascii="宋体" w:hAnsi="宋体" w:cs="宋体"/>
          <w:sz w:val="24"/>
          <w:szCs w:val="24"/>
        </w:rPr>
        <w:t>5.1国家相关机构颁发的有效期之内所必需的《生产许可证》；</w:t>
      </w:r>
    </w:p>
    <w:p w14:paraId="310F7AE9">
      <w:pPr>
        <w:spacing w:line="420" w:lineRule="exact"/>
        <w:ind w:firstLine="477" w:firstLineChars="199"/>
        <w:rPr>
          <w:rFonts w:ascii="宋体" w:hAnsi="宋体" w:cs="宋体"/>
          <w:sz w:val="24"/>
          <w:szCs w:val="24"/>
        </w:rPr>
      </w:pPr>
      <w:r>
        <w:rPr>
          <w:rFonts w:hint="eastAsia" w:ascii="宋体" w:hAnsi="宋体" w:cs="宋体"/>
          <w:sz w:val="24"/>
          <w:szCs w:val="24"/>
        </w:rPr>
        <w:t>5.2产品（或技术）鉴定报告/证书、专利证书或专利许可证书、新技术成果证书等；</w:t>
      </w:r>
    </w:p>
    <w:p w14:paraId="698A01F0">
      <w:pPr>
        <w:spacing w:line="420" w:lineRule="exact"/>
        <w:ind w:firstLine="477" w:firstLineChars="199"/>
        <w:rPr>
          <w:rFonts w:ascii="宋体" w:hAnsi="宋体" w:cs="宋体"/>
          <w:sz w:val="24"/>
          <w:szCs w:val="24"/>
        </w:rPr>
      </w:pPr>
      <w:r>
        <w:rPr>
          <w:rFonts w:hint="eastAsia" w:ascii="宋体" w:hAnsi="宋体" w:cs="宋体"/>
          <w:sz w:val="24"/>
          <w:szCs w:val="24"/>
        </w:rPr>
        <w:t>5.3产品相关检验、试验报告，如：型式试验检验报告、安全试验检验报告、电弧效应试验报告、噪声检测报告等；</w:t>
      </w:r>
    </w:p>
    <w:p w14:paraId="44CB998C">
      <w:pPr>
        <w:spacing w:line="420" w:lineRule="exact"/>
        <w:ind w:firstLine="477" w:firstLineChars="199"/>
        <w:rPr>
          <w:rFonts w:ascii="宋体" w:hAnsi="宋体" w:cs="宋体"/>
          <w:sz w:val="24"/>
          <w:szCs w:val="24"/>
        </w:rPr>
      </w:pPr>
      <w:r>
        <w:rPr>
          <w:rFonts w:hint="eastAsia" w:ascii="宋体" w:hAnsi="宋体" w:cs="宋体"/>
          <w:sz w:val="24"/>
          <w:szCs w:val="24"/>
        </w:rPr>
        <w:t>5.4其它能够证明所供货物的质量水平、技术水平、安全性水平、节能性水平、环保性水平等相关的其它证明文件或资料、报告等；</w:t>
      </w:r>
    </w:p>
    <w:p w14:paraId="19070E05">
      <w:pPr>
        <w:spacing w:line="420" w:lineRule="exact"/>
        <w:ind w:firstLine="477" w:firstLineChars="199"/>
        <w:rPr>
          <w:rFonts w:ascii="宋体" w:hAnsi="宋体" w:cs="宋体"/>
          <w:sz w:val="24"/>
          <w:szCs w:val="24"/>
        </w:rPr>
      </w:pPr>
      <w:r>
        <w:rPr>
          <w:rFonts w:hint="eastAsia" w:ascii="宋体" w:hAnsi="宋体" w:cs="宋体"/>
          <w:sz w:val="24"/>
          <w:szCs w:val="24"/>
        </w:rPr>
        <w:t>5.5该类报告或证明材料对于投标人胜出乃至中标极为重要！</w:t>
      </w:r>
    </w:p>
    <w:p w14:paraId="12B1B622">
      <w:pPr>
        <w:numPr>
          <w:ilvl w:val="255"/>
          <w:numId w:val="0"/>
        </w:numPr>
        <w:spacing w:line="420" w:lineRule="exact"/>
        <w:ind w:firstLine="482" w:firstLineChars="200"/>
        <w:rPr>
          <w:rFonts w:ascii="宋体" w:hAnsi="宋体" w:cs="宋体"/>
          <w:sz w:val="24"/>
          <w:szCs w:val="24"/>
        </w:rPr>
      </w:pPr>
      <w:r>
        <w:rPr>
          <w:rFonts w:hint="eastAsia" w:ascii="宋体" w:hAnsi="宋体" w:cs="宋体"/>
          <w:b/>
          <w:sz w:val="24"/>
          <w:szCs w:val="24"/>
        </w:rPr>
        <w:t>6.必须附有：</w:t>
      </w:r>
      <w:r>
        <w:rPr>
          <w:rFonts w:hint="eastAsia" w:ascii="宋体" w:hAnsi="宋体" w:cs="宋体"/>
          <w:sz w:val="24"/>
          <w:szCs w:val="24"/>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6F43DB57">
      <w:pPr>
        <w:keepNext/>
        <w:keepLines/>
        <w:ind w:firstLine="482" w:firstLineChars="200"/>
        <w:outlineLvl w:val="2"/>
        <w:rPr>
          <w:b/>
          <w:bCs/>
          <w:szCs w:val="22"/>
        </w:rPr>
      </w:pPr>
      <w:r>
        <w:rPr>
          <w:rFonts w:hint="eastAsia" w:ascii="宋体" w:hAnsi="宋体" w:cs="宋体"/>
          <w:b/>
          <w:bCs/>
          <w:sz w:val="24"/>
          <w:szCs w:val="24"/>
        </w:rPr>
        <w:t>二、说明</w:t>
      </w:r>
    </w:p>
    <w:p w14:paraId="2CC80472">
      <w:pPr>
        <w:spacing w:line="420" w:lineRule="exact"/>
        <w:ind w:firstLine="480" w:firstLineChars="200"/>
        <w:rPr>
          <w:rFonts w:ascii="宋体" w:hAnsi="宋体" w:cs="宋体"/>
          <w:sz w:val="24"/>
          <w:szCs w:val="24"/>
        </w:rPr>
      </w:pPr>
      <w:r>
        <w:rPr>
          <w:rFonts w:hint="eastAsia" w:ascii="宋体" w:hAnsi="宋体" w:cs="宋体"/>
          <w:sz w:val="24"/>
          <w:szCs w:val="24"/>
        </w:rPr>
        <w:t>1.投标人可以根据自身的技术、经验等优势以及对招标文件和本技术标书的理解，写明对招标人所采购货物的优化方案或建议意见。投标人的这些努力，招标人表示感谢，并将有助于投标人优先胜出。</w:t>
      </w:r>
    </w:p>
    <w:p w14:paraId="030C2875">
      <w:pPr>
        <w:spacing w:line="420" w:lineRule="exact"/>
        <w:ind w:firstLine="480" w:firstLineChars="200"/>
        <w:rPr>
          <w:rFonts w:ascii="宋体" w:hAnsi="宋体" w:cs="宋体"/>
          <w:sz w:val="24"/>
          <w:szCs w:val="24"/>
        </w:rPr>
      </w:pPr>
      <w:r>
        <w:rPr>
          <w:rFonts w:hint="eastAsia" w:ascii="宋体" w:hAnsi="宋体" w:cs="宋体"/>
          <w:sz w:val="24"/>
          <w:szCs w:val="24"/>
        </w:rPr>
        <w:t>2.即使有建议意见或建议方案，仍应依据招标文件和本技术标书要求，编写符合要求的投标文件。建议方案或建议意见，应以单独篇章或文件，予以说明和报价。</w:t>
      </w:r>
    </w:p>
    <w:p w14:paraId="503F96B4">
      <w:pPr>
        <w:spacing w:line="420" w:lineRule="exact"/>
        <w:ind w:firstLine="480" w:firstLineChars="200"/>
        <w:rPr>
          <w:rFonts w:ascii="宋体" w:hAnsi="宋体" w:cs="宋体"/>
          <w:sz w:val="24"/>
          <w:szCs w:val="24"/>
        </w:rPr>
      </w:pPr>
      <w:r>
        <w:rPr>
          <w:rFonts w:hint="eastAsia" w:ascii="宋体" w:hAnsi="宋体" w:cs="宋体"/>
          <w:sz w:val="24"/>
          <w:szCs w:val="24"/>
        </w:rPr>
        <w:t>3.请投标人仔细阅读“采购货物概况”章节内说明，针对允许分投分中的货物，招标人有权利选择其中优秀设备或服务，作为投标人合同供货范围中的指定选用设备或服务（替代投标人分投而未中标部分）。</w:t>
      </w:r>
    </w:p>
    <w:p w14:paraId="2D179587">
      <w:pPr>
        <w:spacing w:line="420" w:lineRule="exact"/>
        <w:ind w:firstLine="480" w:firstLineChars="200"/>
        <w:rPr>
          <w:rFonts w:ascii="宋体" w:hAnsi="宋体" w:cs="宋体"/>
          <w:sz w:val="24"/>
          <w:szCs w:val="24"/>
        </w:rPr>
      </w:pPr>
      <w:r>
        <w:rPr>
          <w:rFonts w:hint="eastAsia" w:ascii="宋体" w:hAnsi="宋体" w:cs="宋体"/>
          <w:sz w:val="24"/>
          <w:szCs w:val="24"/>
        </w:rPr>
        <w:t>4.招标文件、投标文件、答疑文件、技术交流文件、技术标书等，在采购过程全部为有效文件，如有差异，以对招标人最有利的条款为准。</w:t>
      </w:r>
    </w:p>
    <w:p w14:paraId="171FF95C">
      <w:pPr>
        <w:spacing w:line="420" w:lineRule="exact"/>
        <w:ind w:firstLine="480" w:firstLineChars="200"/>
        <w:rPr>
          <w:rFonts w:ascii="宋体" w:hAnsi="宋体" w:cs="宋体"/>
          <w:sz w:val="24"/>
          <w:szCs w:val="24"/>
        </w:rPr>
        <w:sectPr>
          <w:pgSz w:w="11907" w:h="16840"/>
          <w:pgMar w:top="1304" w:right="1418" w:bottom="1304" w:left="1418" w:header="724" w:footer="851" w:gutter="0"/>
          <w:cols w:space="720" w:num="1"/>
          <w:docGrid w:linePitch="290" w:charSpace="-3931"/>
        </w:sectPr>
      </w:pPr>
      <w:r>
        <w:rPr>
          <w:rFonts w:hint="eastAsia" w:ascii="宋体" w:hAnsi="宋体" w:cs="宋体"/>
          <w:sz w:val="24"/>
          <w:szCs w:val="24"/>
        </w:rPr>
        <w:t>5.为避免歧义，本技术标书涉及招投标环节的条款，均将潜在的卖方称为投标人、将买方称为招标人；定标后合同签署环节以及后续的合同执行环节条款，招标人称为买方、投标人中的中标方称为卖方。</w:t>
      </w:r>
    </w:p>
    <w:bookmarkEnd w:id="26"/>
    <w:p w14:paraId="5BDC37E6">
      <w:pPr>
        <w:pStyle w:val="101"/>
        <w:numPr>
          <w:ilvl w:val="0"/>
          <w:numId w:val="35"/>
        </w:numPr>
      </w:pPr>
      <w:bookmarkStart w:id="28" w:name="_Toc47976609"/>
      <w:bookmarkStart w:id="29" w:name="_Toc216428603"/>
      <w:r>
        <w:rPr>
          <w:rFonts w:hint="eastAsia"/>
        </w:rPr>
        <w:t>合同主要条款</w:t>
      </w:r>
      <w:bookmarkEnd w:id="28"/>
      <w:bookmarkEnd w:id="29"/>
    </w:p>
    <w:p w14:paraId="5BF4FCFB">
      <w:pPr>
        <w:adjustRightInd w:val="0"/>
        <w:snapToGrid w:val="0"/>
        <w:spacing w:line="360" w:lineRule="auto"/>
        <w:rPr>
          <w:rFonts w:ascii="宋体" w:hAnsi="宋体"/>
          <w:b/>
          <w:sz w:val="28"/>
          <w:szCs w:val="28"/>
        </w:rPr>
      </w:pPr>
    </w:p>
    <w:p w14:paraId="674BF610">
      <w:pPr>
        <w:pStyle w:val="102"/>
        <w:numPr>
          <w:ilvl w:val="0"/>
          <w:numId w:val="0"/>
        </w:numPr>
        <w:rPr>
          <w:b w:val="0"/>
        </w:rPr>
      </w:pPr>
      <w:bookmarkStart w:id="30" w:name="_Toc47976610"/>
      <w:bookmarkStart w:id="31" w:name="_Toc47976615"/>
      <w:r>
        <w:rPr>
          <w:rFonts w:hint="eastAsia"/>
          <w:b w:val="0"/>
        </w:rPr>
        <w:t>一、标的、数量、交货期</w:t>
      </w:r>
      <w:bookmarkEnd w:id="30"/>
    </w:p>
    <w:p w14:paraId="473BBDD8">
      <w:pPr>
        <w:pStyle w:val="102"/>
        <w:numPr>
          <w:ilvl w:val="0"/>
          <w:numId w:val="0"/>
        </w:numPr>
        <w:rPr>
          <w:b w:val="0"/>
        </w:rPr>
      </w:pPr>
      <w:bookmarkStart w:id="32" w:name="_Toc47976611"/>
      <w:r>
        <w:rPr>
          <w:rFonts w:hint="eastAsia"/>
          <w:b w:val="0"/>
        </w:rPr>
        <w:t>二、交货地点</w:t>
      </w:r>
      <w:bookmarkEnd w:id="32"/>
    </w:p>
    <w:p w14:paraId="04BBFEA6">
      <w:pPr>
        <w:pStyle w:val="102"/>
        <w:numPr>
          <w:ilvl w:val="0"/>
          <w:numId w:val="0"/>
        </w:numPr>
        <w:rPr>
          <w:b w:val="0"/>
        </w:rPr>
      </w:pPr>
      <w:bookmarkStart w:id="33" w:name="_Toc47976612"/>
      <w:r>
        <w:rPr>
          <w:rFonts w:hint="eastAsia"/>
          <w:b w:val="0"/>
        </w:rPr>
        <w:t>三、价款及付款方式</w:t>
      </w:r>
      <w:bookmarkEnd w:id="33"/>
    </w:p>
    <w:p w14:paraId="28D8B993">
      <w:pPr>
        <w:pStyle w:val="102"/>
        <w:numPr>
          <w:ilvl w:val="0"/>
          <w:numId w:val="0"/>
        </w:numPr>
        <w:rPr>
          <w:b w:val="0"/>
        </w:rPr>
      </w:pPr>
      <w:bookmarkStart w:id="34" w:name="_Toc47976613"/>
      <w:r>
        <w:rPr>
          <w:rFonts w:hint="eastAsia"/>
          <w:b w:val="0"/>
        </w:rPr>
        <w:t>四、质量要求、保修期及售后服务</w:t>
      </w:r>
      <w:bookmarkEnd w:id="34"/>
    </w:p>
    <w:p w14:paraId="680540FF">
      <w:pPr>
        <w:pStyle w:val="102"/>
        <w:numPr>
          <w:ilvl w:val="0"/>
          <w:numId w:val="0"/>
        </w:numPr>
        <w:rPr>
          <w:b w:val="0"/>
        </w:rPr>
      </w:pPr>
      <w:bookmarkStart w:id="35" w:name="_Toc47976614"/>
      <w:r>
        <w:rPr>
          <w:rFonts w:hint="eastAsia"/>
          <w:b w:val="0"/>
        </w:rPr>
        <w:t>五、安装、调试及验收要求</w:t>
      </w:r>
      <w:bookmarkEnd w:id="35"/>
    </w:p>
    <w:p w14:paraId="13C12BC0">
      <w:pPr>
        <w:pStyle w:val="102"/>
        <w:numPr>
          <w:ilvl w:val="0"/>
          <w:numId w:val="0"/>
        </w:numPr>
        <w:rPr>
          <w:b w:val="0"/>
        </w:rPr>
      </w:pPr>
      <w:r>
        <w:rPr>
          <w:rFonts w:hint="eastAsia"/>
          <w:b w:val="0"/>
        </w:rPr>
        <w:t>六、违约责任</w:t>
      </w:r>
    </w:p>
    <w:p w14:paraId="3F7BE2F9">
      <w:pPr>
        <w:pStyle w:val="102"/>
        <w:numPr>
          <w:ilvl w:val="0"/>
          <w:numId w:val="0"/>
        </w:numPr>
        <w:tabs>
          <w:tab w:val="left" w:pos="5985"/>
        </w:tabs>
        <w:rPr>
          <w:b w:val="0"/>
        </w:rPr>
      </w:pPr>
      <w:r>
        <w:rPr>
          <w:rFonts w:hint="eastAsia"/>
          <w:b w:val="0"/>
        </w:rPr>
        <w:t>七、争议解决方式</w:t>
      </w:r>
    </w:p>
    <w:p w14:paraId="687C549D">
      <w:pPr>
        <w:pStyle w:val="102"/>
        <w:numPr>
          <w:ilvl w:val="0"/>
          <w:numId w:val="0"/>
        </w:numPr>
        <w:tabs>
          <w:tab w:val="left" w:pos="5985"/>
        </w:tabs>
        <w:rPr>
          <w:b w:val="0"/>
        </w:rPr>
      </w:pPr>
      <w:r>
        <w:rPr>
          <w:rFonts w:hint="eastAsia"/>
          <w:b w:val="0"/>
        </w:rPr>
        <w:t>（以正式签订合同为准）</w:t>
      </w:r>
      <w:r>
        <w:rPr>
          <w:b w:val="0"/>
        </w:rPr>
        <w:tab/>
      </w:r>
    </w:p>
    <w:p w14:paraId="28D59445">
      <w:pPr>
        <w:pStyle w:val="102"/>
        <w:numPr>
          <w:ilvl w:val="0"/>
          <w:numId w:val="0"/>
        </w:numPr>
        <w:ind w:left="2972"/>
      </w:pPr>
    </w:p>
    <w:p w14:paraId="2095792E">
      <w:pPr>
        <w:pStyle w:val="102"/>
        <w:numPr>
          <w:ilvl w:val="0"/>
          <w:numId w:val="0"/>
        </w:numPr>
        <w:ind w:left="2972"/>
      </w:pPr>
    </w:p>
    <w:p w14:paraId="52D83AF1">
      <w:pPr>
        <w:pStyle w:val="102"/>
        <w:numPr>
          <w:ilvl w:val="0"/>
          <w:numId w:val="0"/>
        </w:numPr>
        <w:ind w:left="2972"/>
      </w:pPr>
    </w:p>
    <w:p w14:paraId="1E599F76"/>
    <w:p w14:paraId="3B083858">
      <w:r>
        <w:rPr>
          <w:rFonts w:hint="eastAsia"/>
        </w:rPr>
        <w:br w:type="page"/>
      </w:r>
    </w:p>
    <w:p w14:paraId="3940DACE">
      <w:pPr>
        <w:pStyle w:val="101"/>
        <w:rPr>
          <w:rFonts w:hAnsi="Calibri"/>
          <w:sz w:val="24"/>
          <w:szCs w:val="24"/>
        </w:rPr>
      </w:pPr>
      <w:bookmarkStart w:id="36" w:name="_Toc216428604"/>
      <w:r>
        <w:rPr>
          <w:rFonts w:hint="eastAsia"/>
        </w:rPr>
        <w:t>第四部分　</w:t>
      </w:r>
      <w:bookmarkEnd w:id="31"/>
      <w:r>
        <w:rPr>
          <w:rFonts w:hint="eastAsia"/>
        </w:rPr>
        <w:t>投标文件附件</w:t>
      </w:r>
      <w:bookmarkEnd w:id="36"/>
    </w:p>
    <w:p w14:paraId="7FABD2C8">
      <w:pPr>
        <w:rPr>
          <w:rFonts w:ascii="宋体"/>
          <w:b/>
          <w:szCs w:val="24"/>
        </w:rPr>
      </w:pPr>
    </w:p>
    <w:p w14:paraId="501D051E">
      <w:pPr>
        <w:pStyle w:val="25"/>
      </w:pPr>
    </w:p>
    <w:p w14:paraId="7AEC0955">
      <w:pPr>
        <w:pStyle w:val="102"/>
        <w:numPr>
          <w:ilvl w:val="0"/>
          <w:numId w:val="0"/>
        </w:numPr>
        <w:rPr>
          <w:rFonts w:ascii="宋体" w:hAnsi="宋体" w:eastAsia="宋体" w:cs="宋体"/>
          <w:sz w:val="32"/>
          <w:szCs w:val="32"/>
        </w:rPr>
      </w:pPr>
      <w:bookmarkStart w:id="37" w:name="_Toc47976618"/>
      <w:bookmarkStart w:id="38" w:name="_Toc29366869"/>
      <w:bookmarkStart w:id="39" w:name="_Toc29366865"/>
      <w:r>
        <w:rPr>
          <w:rFonts w:hint="eastAsia" w:ascii="宋体" w:hAnsi="宋体" w:eastAsia="宋体" w:cs="宋体"/>
          <w:sz w:val="32"/>
          <w:szCs w:val="32"/>
        </w:rPr>
        <w:t>附件1 法定代表人授权委托书</w:t>
      </w:r>
    </w:p>
    <w:bookmarkEnd w:id="37"/>
    <w:p w14:paraId="5B0EA534">
      <w:pPr>
        <w:spacing w:line="360" w:lineRule="auto"/>
        <w:jc w:val="center"/>
        <w:rPr>
          <w:rFonts w:ascii="宋体" w:hAnsi="宋体" w:cs="宋体"/>
          <w:b/>
          <w:bCs/>
          <w:sz w:val="32"/>
          <w:szCs w:val="32"/>
        </w:rPr>
      </w:pPr>
      <w:r>
        <w:rPr>
          <w:rFonts w:hint="eastAsia" w:ascii="宋体" w:hAnsi="宋体" w:cs="宋体"/>
          <w:b/>
          <w:bCs/>
          <w:sz w:val="32"/>
          <w:szCs w:val="32"/>
        </w:rPr>
        <w:t>法定代表人授权委托书</w:t>
      </w:r>
    </w:p>
    <w:p w14:paraId="3CB40566">
      <w:pPr>
        <w:spacing w:line="360" w:lineRule="auto"/>
        <w:ind w:firstLine="480" w:firstLineChars="200"/>
        <w:rPr>
          <w:rFonts w:ascii="宋体" w:hAnsi="宋体"/>
          <w:sz w:val="24"/>
          <w:szCs w:val="24"/>
        </w:rPr>
      </w:pPr>
      <w:r>
        <w:rPr>
          <w:rFonts w:hint="eastAsia" w:ascii="宋体" w:hAnsi="宋体"/>
          <w:sz w:val="24"/>
          <w:szCs w:val="24"/>
        </w:rPr>
        <w:t>本授权委托书声明：我＿＿＿＿＿＿＿（姓名）系＿＿＿＿＿＿＿＿＿＿＿＿＿＿＿＿＿＿＿＿＿＿＿＿（投标人全称）的法定代表人，就</w:t>
      </w:r>
      <w:r>
        <w:rPr>
          <w:rFonts w:hint="eastAsia" w:ascii="宋体" w:hAnsi="宋体" w:cs="宋体"/>
          <w:sz w:val="24"/>
          <w:szCs w:val="24"/>
          <w:u w:val="single"/>
        </w:rPr>
        <w:t>成都王牌新增上网行为管理设备项目</w:t>
      </w:r>
      <w:r>
        <w:rPr>
          <w:rFonts w:hint="eastAsia" w:ascii="宋体" w:hAnsi="宋体"/>
          <w:sz w:val="24"/>
          <w:szCs w:val="24"/>
        </w:rPr>
        <w:t>现授权委托＿＿＿＿＿＿＿＿＿＿＿＿＿＿＿＿＿＿＿＿＿＿＿＿＿＿＿＿（单位名称）的＿＿＿＿＿＿＿＿（姓名、职务）为我公司全权代表，全权代表在投标文件、评标过程中的书面承诺、合同等所签署的一切文件和处理与之有关的一切事务，我均予以承认。</w:t>
      </w:r>
    </w:p>
    <w:p w14:paraId="3375D328">
      <w:pPr>
        <w:spacing w:line="360" w:lineRule="auto"/>
        <w:ind w:firstLine="480" w:firstLineChars="200"/>
        <w:rPr>
          <w:rFonts w:ascii="宋体" w:hAnsi="宋体"/>
          <w:sz w:val="24"/>
          <w:szCs w:val="24"/>
        </w:rPr>
      </w:pPr>
      <w:r>
        <w:rPr>
          <w:rFonts w:hint="eastAsia" w:ascii="宋体" w:hAnsi="宋体"/>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259D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70F33DD">
            <w:pPr>
              <w:adjustRightInd w:val="0"/>
              <w:snapToGrid w:val="0"/>
              <w:spacing w:beforeLines="30" w:line="312" w:lineRule="auto"/>
              <w:jc w:val="center"/>
              <w:rPr>
                <w:rFonts w:ascii="宋体" w:hAnsi="Calibri"/>
                <w:sz w:val="24"/>
              </w:rPr>
            </w:pPr>
            <w:r>
              <w:rPr>
                <w:rFonts w:hint="eastAsia" w:ascii="宋体" w:hAnsi="宋体"/>
                <w:sz w:val="24"/>
              </w:rPr>
              <w:t>附法人身份证明复印件（正反面）</w:t>
            </w:r>
          </w:p>
          <w:p w14:paraId="0E37EB04">
            <w:pPr>
              <w:adjustRightInd w:val="0"/>
              <w:snapToGrid w:val="0"/>
              <w:spacing w:beforeLines="30" w:line="312" w:lineRule="auto"/>
              <w:jc w:val="center"/>
              <w:rPr>
                <w:rFonts w:ascii="宋体" w:hAnsi="Calibri"/>
                <w:sz w:val="24"/>
              </w:rPr>
            </w:pPr>
            <w:r>
              <w:rPr>
                <w:rFonts w:hint="eastAsia" w:ascii="宋体" w:hAnsi="宋体"/>
                <w:sz w:val="24"/>
              </w:rPr>
              <w:t>附授权代理人身份证明复印件（正反面）</w:t>
            </w:r>
          </w:p>
        </w:tc>
      </w:tr>
    </w:tbl>
    <w:p w14:paraId="1D703D4A">
      <w:pPr>
        <w:spacing w:line="360" w:lineRule="auto"/>
        <w:ind w:firstLine="480" w:firstLineChars="200"/>
        <w:rPr>
          <w:rFonts w:ascii="宋体" w:hAnsi="宋体"/>
          <w:sz w:val="24"/>
          <w:szCs w:val="24"/>
        </w:rPr>
      </w:pPr>
      <w:r>
        <w:rPr>
          <w:rFonts w:hint="eastAsia" w:ascii="宋体" w:hAnsi="宋体"/>
          <w:sz w:val="24"/>
          <w:szCs w:val="24"/>
        </w:rPr>
        <w:t>全权代表姓名：性别：年龄：</w:t>
      </w:r>
    </w:p>
    <w:p w14:paraId="3BD82393">
      <w:pPr>
        <w:spacing w:line="360" w:lineRule="auto"/>
        <w:ind w:firstLine="480" w:firstLineChars="200"/>
        <w:rPr>
          <w:rFonts w:ascii="宋体" w:hAnsi="宋体"/>
          <w:sz w:val="24"/>
          <w:szCs w:val="24"/>
        </w:rPr>
      </w:pPr>
      <w:r>
        <w:rPr>
          <w:rFonts w:hint="eastAsia" w:ascii="宋体" w:hAnsi="宋体"/>
          <w:sz w:val="24"/>
          <w:szCs w:val="24"/>
        </w:rPr>
        <w:t>单位：部门：职务：</w:t>
      </w:r>
    </w:p>
    <w:p w14:paraId="49EE1346">
      <w:pPr>
        <w:spacing w:line="360" w:lineRule="auto"/>
        <w:ind w:firstLine="480" w:firstLineChars="200"/>
        <w:rPr>
          <w:rFonts w:ascii="宋体" w:hAnsi="宋体"/>
          <w:sz w:val="24"/>
          <w:szCs w:val="24"/>
        </w:rPr>
      </w:pPr>
      <w:r>
        <w:rPr>
          <w:rFonts w:hint="eastAsia" w:ascii="宋体" w:hAnsi="宋体"/>
          <w:sz w:val="24"/>
          <w:szCs w:val="24"/>
        </w:rPr>
        <w:t>法定代表人签字或盖章</w:t>
      </w:r>
    </w:p>
    <w:p w14:paraId="0415F21E">
      <w:pPr>
        <w:spacing w:line="360" w:lineRule="auto"/>
        <w:ind w:firstLine="480" w:firstLineChars="200"/>
        <w:rPr>
          <w:rFonts w:ascii="宋体" w:hAnsi="宋体"/>
          <w:sz w:val="24"/>
          <w:szCs w:val="24"/>
        </w:rPr>
      </w:pPr>
      <w:r>
        <w:rPr>
          <w:rFonts w:hint="eastAsia" w:ascii="宋体" w:hAnsi="宋体"/>
          <w:sz w:val="24"/>
          <w:szCs w:val="24"/>
        </w:rPr>
        <w:t>被授权人签字</w:t>
      </w:r>
    </w:p>
    <w:p w14:paraId="51A11FD7">
      <w:pPr>
        <w:spacing w:line="360" w:lineRule="auto"/>
        <w:ind w:firstLine="480" w:firstLineChars="200"/>
        <w:rPr>
          <w:rFonts w:ascii="宋体" w:hAnsi="宋体"/>
          <w:sz w:val="24"/>
          <w:szCs w:val="24"/>
        </w:rPr>
      </w:pPr>
      <w:r>
        <w:rPr>
          <w:rFonts w:hint="eastAsia" w:ascii="宋体" w:hAnsi="宋体"/>
          <w:sz w:val="24"/>
          <w:szCs w:val="24"/>
        </w:rPr>
        <w:t>被授权人电话：</w:t>
      </w:r>
    </w:p>
    <w:p w14:paraId="71FBB73C">
      <w:pPr>
        <w:spacing w:line="360" w:lineRule="auto"/>
        <w:ind w:firstLine="480" w:firstLineChars="200"/>
        <w:rPr>
          <w:rFonts w:ascii="宋体" w:hAnsi="宋体"/>
          <w:sz w:val="24"/>
          <w:szCs w:val="24"/>
        </w:rPr>
      </w:pPr>
      <w:r>
        <w:rPr>
          <w:rFonts w:hint="eastAsia" w:ascii="宋体" w:hAnsi="宋体"/>
          <w:sz w:val="24"/>
          <w:szCs w:val="24"/>
        </w:rPr>
        <w:t>投标人名称（公章）</w:t>
      </w:r>
    </w:p>
    <w:p w14:paraId="4E329FFD">
      <w:pPr>
        <w:spacing w:line="460" w:lineRule="exact"/>
        <w:ind w:firstLine="5520" w:firstLineChars="2300"/>
        <w:rPr>
          <w:rFonts w:ascii="宋体" w:hAnsi="Calibri"/>
          <w:sz w:val="24"/>
          <w:u w:val="single"/>
        </w:rPr>
      </w:pPr>
      <w:r>
        <w:rPr>
          <w:rFonts w:hint="eastAsia" w:ascii="宋体" w:hAnsi="宋体"/>
          <w:sz w:val="24"/>
        </w:rPr>
        <w:t>年月日</w:t>
      </w:r>
    </w:p>
    <w:p w14:paraId="1D1E4EF5">
      <w:pPr>
        <w:spacing w:line="460" w:lineRule="exact"/>
        <w:ind w:firstLine="5520" w:firstLineChars="2300"/>
        <w:rPr>
          <w:rFonts w:ascii="宋体" w:hAnsi="Calibri"/>
          <w:sz w:val="24"/>
          <w:u w:val="single"/>
        </w:rPr>
      </w:pPr>
    </w:p>
    <w:p w14:paraId="1FDCC0E9">
      <w:pPr>
        <w:rPr>
          <w:rFonts w:ascii="Calibri" w:hAnsi="Calibri" w:eastAsia="黑体"/>
          <w:b/>
          <w:bCs/>
          <w:sz w:val="28"/>
        </w:rPr>
      </w:pPr>
    </w:p>
    <w:p w14:paraId="159EC7B4">
      <w:pPr>
        <w:pStyle w:val="25"/>
        <w:rPr>
          <w:rFonts w:ascii="Calibri" w:hAnsi="Calibri" w:eastAsia="黑体"/>
          <w:b/>
          <w:bCs/>
          <w:sz w:val="28"/>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p>
    <w:p w14:paraId="66E0C6E0">
      <w:pPr>
        <w:pStyle w:val="102"/>
        <w:numPr>
          <w:ilvl w:val="0"/>
          <w:numId w:val="0"/>
        </w:numPr>
        <w:rPr>
          <w:rFonts w:ascii="宋体" w:hAnsi="宋体" w:eastAsia="宋体" w:cs="宋体"/>
          <w:sz w:val="32"/>
          <w:szCs w:val="32"/>
        </w:rPr>
      </w:pPr>
      <w:r>
        <w:rPr>
          <w:rFonts w:hint="eastAsia" w:ascii="宋体" w:hAnsi="宋体" w:eastAsia="宋体" w:cs="宋体"/>
          <w:sz w:val="32"/>
          <w:szCs w:val="32"/>
        </w:rPr>
        <w:t>附件2 保密承诺函</w:t>
      </w:r>
    </w:p>
    <w:p w14:paraId="5878630F">
      <w:pPr>
        <w:spacing w:line="360" w:lineRule="auto"/>
        <w:jc w:val="center"/>
        <w:rPr>
          <w:rFonts w:ascii="宋体" w:hAnsi="宋体" w:cs="宋体"/>
          <w:b/>
          <w:bCs/>
          <w:sz w:val="32"/>
          <w:szCs w:val="32"/>
        </w:rPr>
      </w:pPr>
      <w:r>
        <w:rPr>
          <w:rFonts w:hint="eastAsia" w:ascii="宋体" w:hAnsi="宋体" w:cs="宋体"/>
          <w:b/>
          <w:bCs/>
          <w:sz w:val="32"/>
          <w:szCs w:val="32"/>
        </w:rPr>
        <w:t>保密承诺函</w:t>
      </w:r>
    </w:p>
    <w:p w14:paraId="6FD18339">
      <w:pPr>
        <w:spacing w:line="240" w:lineRule="exact"/>
        <w:jc w:val="center"/>
        <w:rPr>
          <w:rFonts w:ascii="宋体" w:hAnsi="Calibri"/>
          <w:b/>
          <w:bCs/>
          <w:sz w:val="36"/>
        </w:rPr>
      </w:pPr>
    </w:p>
    <w:p w14:paraId="5794C787">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cs="宋体"/>
          <w:sz w:val="24"/>
          <w:szCs w:val="24"/>
        </w:rPr>
        <w:t>成都王牌新增上网行为管理设备项目</w:t>
      </w:r>
    </w:p>
    <w:p w14:paraId="353B29D5">
      <w:pPr>
        <w:spacing w:line="360" w:lineRule="auto"/>
        <w:rPr>
          <w:rFonts w:ascii="宋体" w:hAnsi="Calibri"/>
          <w:b/>
          <w:bCs/>
          <w:sz w:val="24"/>
        </w:rPr>
      </w:pPr>
      <w:r>
        <w:rPr>
          <w:rFonts w:hint="eastAsia" w:ascii="宋体" w:hAnsi="宋体"/>
          <w:b/>
          <w:bCs/>
          <w:sz w:val="24"/>
        </w:rPr>
        <w:t>中国重汽集团成都王牌商用车有限公司：</w:t>
      </w:r>
    </w:p>
    <w:p w14:paraId="069E1156">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62A05F9E">
      <w:pPr>
        <w:spacing w:line="360" w:lineRule="auto"/>
        <w:ind w:left="479" w:leftChars="228"/>
        <w:rPr>
          <w:rFonts w:ascii="宋体" w:hAnsi="宋体"/>
          <w:sz w:val="24"/>
          <w:u w:val="single"/>
        </w:rPr>
      </w:pP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p>
    <w:p w14:paraId="230EEFF5">
      <w:pPr>
        <w:spacing w:line="360" w:lineRule="auto"/>
        <w:ind w:firstLine="480" w:firstLineChars="200"/>
        <w:rPr>
          <w:rFonts w:ascii="宋体" w:hAnsi="宋体"/>
          <w:sz w:val="24"/>
          <w:u w:val="single"/>
        </w:rPr>
      </w:pPr>
    </w:p>
    <w:p w14:paraId="07D10C53">
      <w:pPr>
        <w:spacing w:line="360" w:lineRule="auto"/>
        <w:ind w:firstLine="480" w:firstLineChars="200"/>
        <w:rPr>
          <w:rFonts w:ascii="宋体" w:hAnsi="宋体"/>
          <w:sz w:val="24"/>
          <w:u w:val="single"/>
        </w:rPr>
      </w:pPr>
    </w:p>
    <w:p w14:paraId="467A87F3">
      <w:pPr>
        <w:spacing w:line="360" w:lineRule="auto"/>
        <w:ind w:firstLine="480" w:firstLineChars="200"/>
        <w:rPr>
          <w:rFonts w:ascii="宋体" w:hAnsi="宋体"/>
          <w:sz w:val="24"/>
          <w:u w:val="single"/>
        </w:rPr>
      </w:pPr>
    </w:p>
    <w:p w14:paraId="34CBCD46">
      <w:pPr>
        <w:spacing w:line="360" w:lineRule="auto"/>
        <w:ind w:firstLine="480" w:firstLineChars="200"/>
        <w:rPr>
          <w:rFonts w:ascii="宋体" w:hAnsi="宋体"/>
          <w:sz w:val="24"/>
          <w:u w:val="single"/>
        </w:rPr>
      </w:pPr>
    </w:p>
    <w:p w14:paraId="38437408">
      <w:pPr>
        <w:spacing w:line="360" w:lineRule="auto"/>
        <w:ind w:firstLine="480" w:firstLineChars="200"/>
        <w:rPr>
          <w:rFonts w:ascii="宋体" w:hAnsi="宋体"/>
          <w:sz w:val="24"/>
          <w:u w:val="single"/>
        </w:rPr>
      </w:pPr>
    </w:p>
    <w:p w14:paraId="6EDC7B0A">
      <w:pPr>
        <w:spacing w:line="360" w:lineRule="auto"/>
        <w:ind w:firstLine="480" w:firstLineChars="200"/>
        <w:rPr>
          <w:rFonts w:ascii="宋体" w:hAnsi="宋体"/>
          <w:sz w:val="24"/>
          <w:u w:val="single"/>
        </w:rPr>
      </w:pPr>
    </w:p>
    <w:p w14:paraId="661EE94E">
      <w:pPr>
        <w:spacing w:line="360" w:lineRule="auto"/>
        <w:ind w:firstLine="480" w:firstLineChars="200"/>
        <w:rPr>
          <w:rFonts w:ascii="宋体" w:hAnsi="宋体"/>
          <w:sz w:val="24"/>
          <w:u w:val="single"/>
        </w:rPr>
      </w:pPr>
    </w:p>
    <w:p w14:paraId="28381828">
      <w:pPr>
        <w:spacing w:line="360" w:lineRule="auto"/>
        <w:ind w:firstLine="480" w:firstLineChars="200"/>
        <w:rPr>
          <w:rFonts w:ascii="宋体" w:hAnsi="宋体"/>
          <w:sz w:val="24"/>
          <w:u w:val="single"/>
        </w:rPr>
      </w:pPr>
    </w:p>
    <w:p w14:paraId="0AA837B2">
      <w:pPr>
        <w:spacing w:line="360" w:lineRule="auto"/>
        <w:ind w:firstLine="480" w:firstLineChars="200"/>
        <w:rPr>
          <w:rFonts w:ascii="宋体" w:hAnsi="宋体"/>
          <w:sz w:val="24"/>
          <w:u w:val="single"/>
        </w:rPr>
      </w:pPr>
    </w:p>
    <w:p w14:paraId="1F821760">
      <w:pPr>
        <w:spacing w:line="360" w:lineRule="auto"/>
        <w:ind w:firstLine="480" w:firstLineChars="200"/>
        <w:rPr>
          <w:rFonts w:ascii="宋体" w:hAnsi="宋体"/>
          <w:sz w:val="24"/>
          <w:u w:val="single"/>
        </w:rPr>
      </w:pPr>
    </w:p>
    <w:p w14:paraId="672E9070">
      <w:pPr>
        <w:spacing w:line="360" w:lineRule="auto"/>
        <w:ind w:firstLine="480" w:firstLineChars="200"/>
        <w:rPr>
          <w:rFonts w:ascii="宋体" w:hAnsi="宋体"/>
          <w:sz w:val="24"/>
          <w:u w:val="single"/>
        </w:rPr>
      </w:pPr>
    </w:p>
    <w:p w14:paraId="4CC0E158">
      <w:pPr>
        <w:spacing w:line="360" w:lineRule="auto"/>
        <w:ind w:firstLine="480" w:firstLineChars="200"/>
        <w:rPr>
          <w:rFonts w:ascii="宋体" w:hAnsi="宋体"/>
          <w:sz w:val="24"/>
          <w:u w:val="single"/>
        </w:rPr>
      </w:pPr>
    </w:p>
    <w:p w14:paraId="05C29273">
      <w:pPr>
        <w:spacing w:line="360" w:lineRule="auto"/>
        <w:ind w:firstLine="480" w:firstLineChars="200"/>
        <w:rPr>
          <w:rFonts w:ascii="宋体" w:hAnsi="宋体"/>
          <w:sz w:val="24"/>
          <w:u w:val="single"/>
        </w:rPr>
      </w:pPr>
    </w:p>
    <w:p w14:paraId="0303722B">
      <w:pPr>
        <w:spacing w:line="360" w:lineRule="auto"/>
        <w:ind w:firstLine="480" w:firstLineChars="200"/>
        <w:rPr>
          <w:rFonts w:ascii="宋体" w:hAnsi="宋体"/>
          <w:sz w:val="24"/>
          <w:szCs w:val="24"/>
        </w:rPr>
      </w:pPr>
      <w:r>
        <w:rPr>
          <w:rFonts w:hint="eastAsia" w:ascii="宋体" w:hAnsi="宋体"/>
          <w:sz w:val="24"/>
          <w:szCs w:val="24"/>
        </w:rPr>
        <w:t>投标人：（盖章）</w:t>
      </w:r>
    </w:p>
    <w:p w14:paraId="31469B3C">
      <w:pPr>
        <w:spacing w:line="360" w:lineRule="auto"/>
        <w:ind w:firstLine="480" w:firstLineChars="200"/>
        <w:rPr>
          <w:rFonts w:ascii="宋体" w:hAnsi="宋体"/>
          <w:sz w:val="24"/>
          <w:szCs w:val="24"/>
        </w:rPr>
      </w:pPr>
      <w:r>
        <w:rPr>
          <w:rFonts w:hint="eastAsia" w:ascii="宋体" w:hAnsi="宋体"/>
          <w:sz w:val="24"/>
          <w:szCs w:val="24"/>
        </w:rPr>
        <w:t>法定代表人（委托代理人）：（签字）</w:t>
      </w:r>
    </w:p>
    <w:p w14:paraId="166490B0">
      <w:pPr>
        <w:spacing w:line="360" w:lineRule="auto"/>
        <w:ind w:firstLine="480" w:firstLineChars="200"/>
        <w:rPr>
          <w:rFonts w:ascii="宋体" w:hAnsi="宋体"/>
          <w:sz w:val="24"/>
          <w:szCs w:val="24"/>
        </w:rPr>
      </w:pPr>
      <w:r>
        <w:rPr>
          <w:rFonts w:hint="eastAsia" w:ascii="宋体" w:hAnsi="宋体"/>
          <w:sz w:val="24"/>
          <w:szCs w:val="24"/>
        </w:rPr>
        <w:t>日期：年月日</w:t>
      </w:r>
    </w:p>
    <w:bookmarkEnd w:id="38"/>
    <w:bookmarkEnd w:id="39"/>
    <w:p w14:paraId="2359C99B">
      <w:pPr>
        <w:pStyle w:val="102"/>
        <w:numPr>
          <w:ilvl w:val="0"/>
          <w:numId w:val="0"/>
        </w:numPr>
        <w:rPr>
          <w:rFonts w:ascii="Times New Roman" w:hAnsi="Times New Roman" w:eastAsia="宋体"/>
          <w:b w:val="0"/>
          <w:bCs w:val="0"/>
          <w:sz w:val="24"/>
          <w:szCs w:val="24"/>
        </w:rPr>
      </w:pPr>
      <w:r>
        <w:rPr>
          <w:rFonts w:hint="eastAsia" w:ascii="宋体" w:hAnsi="宋体" w:cs="宋体"/>
          <w:sz w:val="32"/>
          <w:szCs w:val="32"/>
        </w:rPr>
        <w:br w:type="page"/>
      </w:r>
      <w:bookmarkStart w:id="40" w:name="_Toc4225"/>
      <w:bookmarkStart w:id="41" w:name="_Toc47976616"/>
      <w:r>
        <w:rPr>
          <w:rFonts w:hint="eastAsia" w:ascii="宋体" w:hAnsi="宋体" w:eastAsia="宋体" w:cs="宋体"/>
          <w:sz w:val="32"/>
          <w:szCs w:val="32"/>
        </w:rPr>
        <w:t>附件</w:t>
      </w:r>
      <w:r>
        <w:rPr>
          <w:rFonts w:ascii="宋体" w:hAnsi="宋体" w:eastAsia="宋体" w:cs="宋体"/>
          <w:sz w:val="32"/>
          <w:szCs w:val="32"/>
        </w:rPr>
        <w:t xml:space="preserve">3 </w:t>
      </w:r>
      <w:r>
        <w:rPr>
          <w:rFonts w:hint="eastAsia" w:ascii="宋体" w:hAnsi="宋体" w:eastAsia="宋体" w:cs="宋体"/>
          <w:sz w:val="32"/>
          <w:szCs w:val="32"/>
        </w:rPr>
        <w:t>近三年同类项目业绩一览表</w:t>
      </w:r>
    </w:p>
    <w:p w14:paraId="39CDC518">
      <w:pPr>
        <w:spacing w:line="360" w:lineRule="auto"/>
        <w:rPr>
          <w:rFonts w:ascii="宋体" w:hAnsi="宋体"/>
          <w:sz w:val="24"/>
          <w:szCs w:val="24"/>
        </w:rPr>
      </w:pPr>
      <w:r>
        <w:rPr>
          <w:rFonts w:hint="eastAsia" w:ascii="宋体" w:hAnsi="宋体"/>
          <w:sz w:val="24"/>
          <w:szCs w:val="24"/>
        </w:rPr>
        <w:t>项目名称：</w:t>
      </w:r>
      <w:r>
        <w:rPr>
          <w:rFonts w:hint="eastAsia" w:ascii="宋体" w:hAnsi="宋体" w:cs="宋体"/>
          <w:sz w:val="24"/>
          <w:szCs w:val="24"/>
        </w:rPr>
        <w:t>成都王牌新增上网行为管理设备项目</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5B68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563246DE">
            <w:pPr>
              <w:ind w:left="420" w:hanging="420"/>
              <w:jc w:val="center"/>
              <w:rPr>
                <w:rFonts w:ascii="宋体"/>
                <w:b/>
                <w:szCs w:val="21"/>
              </w:rPr>
            </w:pPr>
            <w:r>
              <w:rPr>
                <w:rFonts w:hint="eastAsia" w:ascii="宋体" w:hAnsi="宋体"/>
                <w:b/>
                <w:szCs w:val="21"/>
              </w:rPr>
              <w:t>序号</w:t>
            </w:r>
          </w:p>
        </w:tc>
        <w:tc>
          <w:tcPr>
            <w:tcW w:w="2082" w:type="dxa"/>
            <w:vAlign w:val="center"/>
          </w:tcPr>
          <w:p w14:paraId="5776C22D">
            <w:pPr>
              <w:ind w:left="420" w:hanging="420"/>
              <w:jc w:val="center"/>
              <w:rPr>
                <w:rFonts w:ascii="宋体"/>
                <w:b/>
                <w:szCs w:val="21"/>
              </w:rPr>
            </w:pPr>
            <w:r>
              <w:rPr>
                <w:rFonts w:hint="eastAsia" w:ascii="宋体" w:hAnsi="宋体"/>
                <w:b/>
                <w:szCs w:val="21"/>
              </w:rPr>
              <w:t>采购单位</w:t>
            </w:r>
          </w:p>
        </w:tc>
        <w:tc>
          <w:tcPr>
            <w:tcW w:w="1355" w:type="dxa"/>
            <w:vAlign w:val="center"/>
          </w:tcPr>
          <w:p w14:paraId="5E076F27">
            <w:pPr>
              <w:ind w:left="420" w:hanging="420"/>
              <w:jc w:val="center"/>
              <w:rPr>
                <w:rFonts w:ascii="宋体"/>
                <w:b/>
                <w:szCs w:val="21"/>
              </w:rPr>
            </w:pPr>
            <w:r>
              <w:rPr>
                <w:rFonts w:hint="eastAsia" w:ascii="宋体" w:hAnsi="宋体"/>
                <w:b/>
                <w:szCs w:val="21"/>
              </w:rPr>
              <w:t>项目名称</w:t>
            </w:r>
          </w:p>
          <w:p w14:paraId="3674DE5D">
            <w:pPr>
              <w:ind w:left="420" w:hanging="420"/>
              <w:jc w:val="center"/>
              <w:rPr>
                <w:rFonts w:ascii="宋体"/>
                <w:b/>
                <w:szCs w:val="21"/>
              </w:rPr>
            </w:pPr>
            <w:r>
              <w:rPr>
                <w:rFonts w:hint="eastAsia" w:ascii="宋体" w:hAnsi="宋体"/>
                <w:b/>
                <w:szCs w:val="21"/>
              </w:rPr>
              <w:t>（万元）</w:t>
            </w:r>
          </w:p>
        </w:tc>
        <w:tc>
          <w:tcPr>
            <w:tcW w:w="826" w:type="dxa"/>
            <w:vAlign w:val="center"/>
          </w:tcPr>
          <w:p w14:paraId="0DFD9D3E">
            <w:pPr>
              <w:jc w:val="center"/>
              <w:rPr>
                <w:rFonts w:ascii="宋体"/>
                <w:b/>
                <w:szCs w:val="21"/>
              </w:rPr>
            </w:pPr>
            <w:r>
              <w:rPr>
                <w:rFonts w:hint="eastAsia" w:ascii="宋体" w:hAnsi="宋体"/>
                <w:b/>
                <w:szCs w:val="21"/>
              </w:rPr>
              <w:t>数量</w:t>
            </w:r>
          </w:p>
        </w:tc>
        <w:tc>
          <w:tcPr>
            <w:tcW w:w="1320" w:type="dxa"/>
            <w:vAlign w:val="center"/>
          </w:tcPr>
          <w:p w14:paraId="4A310183">
            <w:pPr>
              <w:jc w:val="center"/>
              <w:rPr>
                <w:rFonts w:ascii="宋体"/>
                <w:b/>
                <w:szCs w:val="21"/>
              </w:rPr>
            </w:pPr>
            <w:r>
              <w:rPr>
                <w:rFonts w:hint="eastAsia" w:ascii="宋体" w:hAnsi="宋体"/>
                <w:b/>
                <w:szCs w:val="21"/>
              </w:rPr>
              <w:t>合同金额</w:t>
            </w:r>
          </w:p>
        </w:tc>
        <w:tc>
          <w:tcPr>
            <w:tcW w:w="1023" w:type="dxa"/>
            <w:vAlign w:val="center"/>
          </w:tcPr>
          <w:p w14:paraId="3CAD8153">
            <w:pPr>
              <w:jc w:val="center"/>
              <w:rPr>
                <w:rFonts w:ascii="宋体"/>
                <w:b/>
                <w:szCs w:val="21"/>
              </w:rPr>
            </w:pPr>
            <w:r>
              <w:rPr>
                <w:rFonts w:hint="eastAsia" w:ascii="宋体" w:hAnsi="宋体"/>
                <w:b/>
                <w:szCs w:val="21"/>
              </w:rPr>
              <w:t>合同签订时间</w:t>
            </w:r>
          </w:p>
        </w:tc>
        <w:tc>
          <w:tcPr>
            <w:tcW w:w="1590" w:type="dxa"/>
            <w:vAlign w:val="center"/>
          </w:tcPr>
          <w:p w14:paraId="22D955D8">
            <w:pPr>
              <w:ind w:left="420" w:hanging="420"/>
              <w:jc w:val="center"/>
              <w:rPr>
                <w:rFonts w:ascii="宋体"/>
                <w:b/>
                <w:szCs w:val="21"/>
              </w:rPr>
            </w:pPr>
            <w:r>
              <w:rPr>
                <w:rFonts w:hint="eastAsia" w:ascii="宋体" w:hAnsi="宋体"/>
                <w:b/>
                <w:szCs w:val="21"/>
              </w:rPr>
              <w:t>联系人及</w:t>
            </w:r>
          </w:p>
          <w:p w14:paraId="5AAB1CA0">
            <w:pPr>
              <w:ind w:left="420" w:hanging="420"/>
              <w:jc w:val="center"/>
              <w:rPr>
                <w:rFonts w:ascii="宋体"/>
                <w:b/>
                <w:szCs w:val="21"/>
              </w:rPr>
            </w:pPr>
            <w:r>
              <w:rPr>
                <w:rFonts w:hint="eastAsia" w:ascii="宋体" w:hAnsi="宋体"/>
                <w:b/>
                <w:szCs w:val="21"/>
              </w:rPr>
              <w:t>联系电话</w:t>
            </w:r>
          </w:p>
        </w:tc>
      </w:tr>
      <w:tr w14:paraId="39D1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E0219E">
            <w:pPr>
              <w:ind w:left="420" w:hanging="420"/>
              <w:rPr>
                <w:rFonts w:ascii="宋体"/>
                <w:b/>
              </w:rPr>
            </w:pPr>
          </w:p>
        </w:tc>
        <w:tc>
          <w:tcPr>
            <w:tcW w:w="2082" w:type="dxa"/>
          </w:tcPr>
          <w:p w14:paraId="4BD65AB1">
            <w:pPr>
              <w:ind w:left="420" w:hanging="420"/>
              <w:rPr>
                <w:rFonts w:ascii="宋体"/>
                <w:b/>
              </w:rPr>
            </w:pPr>
          </w:p>
        </w:tc>
        <w:tc>
          <w:tcPr>
            <w:tcW w:w="1355" w:type="dxa"/>
          </w:tcPr>
          <w:p w14:paraId="146C62FB">
            <w:pPr>
              <w:ind w:left="420" w:hanging="420"/>
              <w:rPr>
                <w:rFonts w:ascii="宋体"/>
                <w:b/>
              </w:rPr>
            </w:pPr>
          </w:p>
        </w:tc>
        <w:tc>
          <w:tcPr>
            <w:tcW w:w="826" w:type="dxa"/>
          </w:tcPr>
          <w:p w14:paraId="49B31E52">
            <w:pPr>
              <w:ind w:left="420" w:hanging="420"/>
              <w:rPr>
                <w:rFonts w:ascii="宋体"/>
                <w:b/>
              </w:rPr>
            </w:pPr>
          </w:p>
        </w:tc>
        <w:tc>
          <w:tcPr>
            <w:tcW w:w="1320" w:type="dxa"/>
          </w:tcPr>
          <w:p w14:paraId="4766396D">
            <w:pPr>
              <w:ind w:left="420" w:hanging="420"/>
              <w:rPr>
                <w:rFonts w:ascii="宋体"/>
                <w:b/>
              </w:rPr>
            </w:pPr>
          </w:p>
        </w:tc>
        <w:tc>
          <w:tcPr>
            <w:tcW w:w="1023" w:type="dxa"/>
          </w:tcPr>
          <w:p w14:paraId="334E70A2">
            <w:pPr>
              <w:ind w:left="420" w:hanging="420"/>
              <w:rPr>
                <w:rFonts w:ascii="宋体"/>
                <w:b/>
              </w:rPr>
            </w:pPr>
          </w:p>
        </w:tc>
        <w:tc>
          <w:tcPr>
            <w:tcW w:w="1590" w:type="dxa"/>
          </w:tcPr>
          <w:p w14:paraId="20CAA658">
            <w:pPr>
              <w:ind w:left="420" w:hanging="420"/>
              <w:rPr>
                <w:rFonts w:ascii="宋体"/>
                <w:b/>
              </w:rPr>
            </w:pPr>
          </w:p>
        </w:tc>
      </w:tr>
      <w:tr w14:paraId="4C7F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71CF3">
            <w:pPr>
              <w:ind w:left="420" w:hanging="420"/>
              <w:rPr>
                <w:rFonts w:ascii="宋体"/>
                <w:b/>
              </w:rPr>
            </w:pPr>
          </w:p>
        </w:tc>
        <w:tc>
          <w:tcPr>
            <w:tcW w:w="2082" w:type="dxa"/>
          </w:tcPr>
          <w:p w14:paraId="58B56846">
            <w:pPr>
              <w:ind w:left="420" w:hanging="420"/>
              <w:rPr>
                <w:rFonts w:ascii="宋体"/>
                <w:b/>
              </w:rPr>
            </w:pPr>
          </w:p>
        </w:tc>
        <w:tc>
          <w:tcPr>
            <w:tcW w:w="1355" w:type="dxa"/>
          </w:tcPr>
          <w:p w14:paraId="088E7106">
            <w:pPr>
              <w:ind w:left="420" w:hanging="420"/>
              <w:rPr>
                <w:rFonts w:ascii="宋体"/>
                <w:b/>
              </w:rPr>
            </w:pPr>
          </w:p>
        </w:tc>
        <w:tc>
          <w:tcPr>
            <w:tcW w:w="826" w:type="dxa"/>
          </w:tcPr>
          <w:p w14:paraId="4B6A803C">
            <w:pPr>
              <w:ind w:left="420" w:hanging="420"/>
              <w:rPr>
                <w:rFonts w:ascii="宋体"/>
                <w:b/>
              </w:rPr>
            </w:pPr>
          </w:p>
        </w:tc>
        <w:tc>
          <w:tcPr>
            <w:tcW w:w="1320" w:type="dxa"/>
          </w:tcPr>
          <w:p w14:paraId="4035B273">
            <w:pPr>
              <w:ind w:left="420" w:hanging="420"/>
              <w:rPr>
                <w:rFonts w:ascii="宋体"/>
                <w:b/>
              </w:rPr>
            </w:pPr>
          </w:p>
        </w:tc>
        <w:tc>
          <w:tcPr>
            <w:tcW w:w="1023" w:type="dxa"/>
          </w:tcPr>
          <w:p w14:paraId="139CD83D">
            <w:pPr>
              <w:ind w:left="420" w:hanging="420"/>
              <w:rPr>
                <w:rFonts w:ascii="宋体"/>
                <w:b/>
              </w:rPr>
            </w:pPr>
          </w:p>
        </w:tc>
        <w:tc>
          <w:tcPr>
            <w:tcW w:w="1590" w:type="dxa"/>
          </w:tcPr>
          <w:p w14:paraId="7CC9A506">
            <w:pPr>
              <w:ind w:left="420" w:hanging="420"/>
              <w:rPr>
                <w:rFonts w:ascii="宋体"/>
                <w:b/>
              </w:rPr>
            </w:pPr>
          </w:p>
        </w:tc>
      </w:tr>
      <w:tr w14:paraId="1F10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A32120">
            <w:pPr>
              <w:ind w:left="420" w:hanging="420"/>
              <w:rPr>
                <w:rFonts w:ascii="宋体"/>
                <w:b/>
              </w:rPr>
            </w:pPr>
          </w:p>
        </w:tc>
        <w:tc>
          <w:tcPr>
            <w:tcW w:w="2082" w:type="dxa"/>
          </w:tcPr>
          <w:p w14:paraId="2142BD19">
            <w:pPr>
              <w:ind w:left="420" w:hanging="420"/>
              <w:rPr>
                <w:rFonts w:ascii="宋体"/>
                <w:b/>
              </w:rPr>
            </w:pPr>
          </w:p>
        </w:tc>
        <w:tc>
          <w:tcPr>
            <w:tcW w:w="1355" w:type="dxa"/>
          </w:tcPr>
          <w:p w14:paraId="4F825D11">
            <w:pPr>
              <w:ind w:left="420" w:hanging="420"/>
              <w:rPr>
                <w:rFonts w:ascii="宋体"/>
                <w:b/>
              </w:rPr>
            </w:pPr>
          </w:p>
        </w:tc>
        <w:tc>
          <w:tcPr>
            <w:tcW w:w="826" w:type="dxa"/>
          </w:tcPr>
          <w:p w14:paraId="10BF87D6">
            <w:pPr>
              <w:ind w:left="420" w:hanging="420"/>
              <w:rPr>
                <w:rFonts w:ascii="宋体"/>
                <w:b/>
              </w:rPr>
            </w:pPr>
          </w:p>
        </w:tc>
        <w:tc>
          <w:tcPr>
            <w:tcW w:w="1320" w:type="dxa"/>
          </w:tcPr>
          <w:p w14:paraId="748A543A">
            <w:pPr>
              <w:ind w:left="420" w:hanging="420"/>
              <w:rPr>
                <w:rFonts w:ascii="宋体"/>
                <w:b/>
              </w:rPr>
            </w:pPr>
          </w:p>
        </w:tc>
        <w:tc>
          <w:tcPr>
            <w:tcW w:w="1023" w:type="dxa"/>
          </w:tcPr>
          <w:p w14:paraId="311EA82B">
            <w:pPr>
              <w:ind w:left="420" w:hanging="420"/>
              <w:rPr>
                <w:rFonts w:ascii="宋体"/>
                <w:b/>
              </w:rPr>
            </w:pPr>
          </w:p>
        </w:tc>
        <w:tc>
          <w:tcPr>
            <w:tcW w:w="1590" w:type="dxa"/>
          </w:tcPr>
          <w:p w14:paraId="096A3AD0">
            <w:pPr>
              <w:ind w:left="420" w:hanging="420"/>
              <w:rPr>
                <w:rFonts w:ascii="宋体"/>
                <w:b/>
              </w:rPr>
            </w:pPr>
          </w:p>
        </w:tc>
      </w:tr>
      <w:tr w14:paraId="0F85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049E240">
            <w:pPr>
              <w:ind w:left="420" w:hanging="420"/>
              <w:rPr>
                <w:rFonts w:ascii="宋体"/>
                <w:b/>
              </w:rPr>
            </w:pPr>
          </w:p>
        </w:tc>
        <w:tc>
          <w:tcPr>
            <w:tcW w:w="2082" w:type="dxa"/>
          </w:tcPr>
          <w:p w14:paraId="5FDA4894">
            <w:pPr>
              <w:ind w:left="420" w:hanging="420"/>
              <w:rPr>
                <w:rFonts w:ascii="宋体"/>
                <w:b/>
              </w:rPr>
            </w:pPr>
          </w:p>
        </w:tc>
        <w:tc>
          <w:tcPr>
            <w:tcW w:w="1355" w:type="dxa"/>
          </w:tcPr>
          <w:p w14:paraId="3572B7C1">
            <w:pPr>
              <w:ind w:left="420" w:hanging="420"/>
              <w:rPr>
                <w:rFonts w:ascii="宋体"/>
                <w:b/>
              </w:rPr>
            </w:pPr>
          </w:p>
        </w:tc>
        <w:tc>
          <w:tcPr>
            <w:tcW w:w="826" w:type="dxa"/>
          </w:tcPr>
          <w:p w14:paraId="67A5B9F9">
            <w:pPr>
              <w:ind w:left="420" w:hanging="420"/>
              <w:rPr>
                <w:rFonts w:ascii="宋体"/>
                <w:b/>
              </w:rPr>
            </w:pPr>
          </w:p>
        </w:tc>
        <w:tc>
          <w:tcPr>
            <w:tcW w:w="1320" w:type="dxa"/>
          </w:tcPr>
          <w:p w14:paraId="3F939EE7">
            <w:pPr>
              <w:ind w:left="420" w:hanging="420"/>
              <w:rPr>
                <w:rFonts w:ascii="宋体"/>
                <w:b/>
              </w:rPr>
            </w:pPr>
          </w:p>
        </w:tc>
        <w:tc>
          <w:tcPr>
            <w:tcW w:w="1023" w:type="dxa"/>
          </w:tcPr>
          <w:p w14:paraId="7B1573E9">
            <w:pPr>
              <w:ind w:left="420" w:hanging="420"/>
              <w:rPr>
                <w:rFonts w:ascii="宋体"/>
                <w:b/>
              </w:rPr>
            </w:pPr>
          </w:p>
        </w:tc>
        <w:tc>
          <w:tcPr>
            <w:tcW w:w="1590" w:type="dxa"/>
          </w:tcPr>
          <w:p w14:paraId="4CDFB601">
            <w:pPr>
              <w:ind w:left="420" w:hanging="420"/>
              <w:rPr>
                <w:rFonts w:ascii="宋体"/>
                <w:b/>
              </w:rPr>
            </w:pPr>
          </w:p>
        </w:tc>
      </w:tr>
      <w:tr w14:paraId="2779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FED6E5B">
            <w:pPr>
              <w:ind w:left="420" w:hanging="420"/>
              <w:rPr>
                <w:rFonts w:ascii="宋体"/>
                <w:b/>
              </w:rPr>
            </w:pPr>
          </w:p>
        </w:tc>
        <w:tc>
          <w:tcPr>
            <w:tcW w:w="2082" w:type="dxa"/>
          </w:tcPr>
          <w:p w14:paraId="141D41D3">
            <w:pPr>
              <w:ind w:left="420" w:hanging="420"/>
              <w:rPr>
                <w:rFonts w:ascii="宋体"/>
                <w:b/>
              </w:rPr>
            </w:pPr>
          </w:p>
        </w:tc>
        <w:tc>
          <w:tcPr>
            <w:tcW w:w="1355" w:type="dxa"/>
          </w:tcPr>
          <w:p w14:paraId="656425A3">
            <w:pPr>
              <w:ind w:left="420" w:hanging="420"/>
              <w:rPr>
                <w:rFonts w:ascii="宋体"/>
                <w:b/>
              </w:rPr>
            </w:pPr>
          </w:p>
        </w:tc>
        <w:tc>
          <w:tcPr>
            <w:tcW w:w="826" w:type="dxa"/>
          </w:tcPr>
          <w:p w14:paraId="437CC0CB">
            <w:pPr>
              <w:ind w:left="420" w:hanging="420"/>
              <w:rPr>
                <w:rFonts w:ascii="宋体"/>
                <w:b/>
              </w:rPr>
            </w:pPr>
          </w:p>
        </w:tc>
        <w:tc>
          <w:tcPr>
            <w:tcW w:w="1320" w:type="dxa"/>
          </w:tcPr>
          <w:p w14:paraId="3D4609BE">
            <w:pPr>
              <w:ind w:left="420" w:hanging="420"/>
              <w:rPr>
                <w:rFonts w:ascii="宋体"/>
                <w:b/>
              </w:rPr>
            </w:pPr>
          </w:p>
        </w:tc>
        <w:tc>
          <w:tcPr>
            <w:tcW w:w="1023" w:type="dxa"/>
          </w:tcPr>
          <w:p w14:paraId="0B770F4C">
            <w:pPr>
              <w:ind w:left="420" w:hanging="420"/>
              <w:rPr>
                <w:rFonts w:ascii="宋体"/>
                <w:b/>
              </w:rPr>
            </w:pPr>
          </w:p>
        </w:tc>
        <w:tc>
          <w:tcPr>
            <w:tcW w:w="1590" w:type="dxa"/>
          </w:tcPr>
          <w:p w14:paraId="5BC86276">
            <w:pPr>
              <w:ind w:left="420" w:hanging="420"/>
              <w:rPr>
                <w:rFonts w:ascii="宋体"/>
                <w:b/>
              </w:rPr>
            </w:pPr>
          </w:p>
        </w:tc>
      </w:tr>
      <w:tr w14:paraId="5723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2F45603">
            <w:pPr>
              <w:ind w:left="420" w:hanging="420"/>
              <w:rPr>
                <w:rFonts w:ascii="宋体"/>
                <w:b/>
              </w:rPr>
            </w:pPr>
          </w:p>
        </w:tc>
        <w:tc>
          <w:tcPr>
            <w:tcW w:w="2082" w:type="dxa"/>
          </w:tcPr>
          <w:p w14:paraId="0BFDF1CD">
            <w:pPr>
              <w:ind w:left="420" w:hanging="420"/>
              <w:rPr>
                <w:rFonts w:ascii="宋体"/>
                <w:b/>
              </w:rPr>
            </w:pPr>
          </w:p>
        </w:tc>
        <w:tc>
          <w:tcPr>
            <w:tcW w:w="1355" w:type="dxa"/>
          </w:tcPr>
          <w:p w14:paraId="00A612A2">
            <w:pPr>
              <w:ind w:left="420" w:hanging="420"/>
              <w:rPr>
                <w:rFonts w:ascii="宋体"/>
                <w:b/>
              </w:rPr>
            </w:pPr>
          </w:p>
        </w:tc>
        <w:tc>
          <w:tcPr>
            <w:tcW w:w="826" w:type="dxa"/>
          </w:tcPr>
          <w:p w14:paraId="59F87381">
            <w:pPr>
              <w:ind w:left="420" w:hanging="420"/>
              <w:rPr>
                <w:rFonts w:ascii="宋体"/>
                <w:b/>
              </w:rPr>
            </w:pPr>
          </w:p>
        </w:tc>
        <w:tc>
          <w:tcPr>
            <w:tcW w:w="1320" w:type="dxa"/>
          </w:tcPr>
          <w:p w14:paraId="3BE3814C">
            <w:pPr>
              <w:ind w:left="420" w:hanging="420"/>
              <w:rPr>
                <w:rFonts w:ascii="宋体"/>
                <w:b/>
              </w:rPr>
            </w:pPr>
          </w:p>
        </w:tc>
        <w:tc>
          <w:tcPr>
            <w:tcW w:w="1023" w:type="dxa"/>
          </w:tcPr>
          <w:p w14:paraId="63BD730F">
            <w:pPr>
              <w:ind w:left="420" w:hanging="420"/>
              <w:rPr>
                <w:rFonts w:ascii="宋体"/>
                <w:b/>
              </w:rPr>
            </w:pPr>
          </w:p>
        </w:tc>
        <w:tc>
          <w:tcPr>
            <w:tcW w:w="1590" w:type="dxa"/>
          </w:tcPr>
          <w:p w14:paraId="7FBD5238">
            <w:pPr>
              <w:ind w:left="420" w:hanging="420"/>
              <w:rPr>
                <w:rFonts w:ascii="宋体"/>
                <w:b/>
              </w:rPr>
            </w:pPr>
          </w:p>
        </w:tc>
      </w:tr>
      <w:tr w14:paraId="3B91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FAAA0F5">
            <w:pPr>
              <w:ind w:left="420" w:hanging="420"/>
              <w:rPr>
                <w:rFonts w:ascii="宋体"/>
                <w:b/>
              </w:rPr>
            </w:pPr>
          </w:p>
        </w:tc>
        <w:tc>
          <w:tcPr>
            <w:tcW w:w="2082" w:type="dxa"/>
          </w:tcPr>
          <w:p w14:paraId="3076E550">
            <w:pPr>
              <w:ind w:left="420" w:hanging="420"/>
              <w:rPr>
                <w:rFonts w:ascii="宋体"/>
                <w:b/>
              </w:rPr>
            </w:pPr>
          </w:p>
        </w:tc>
        <w:tc>
          <w:tcPr>
            <w:tcW w:w="1355" w:type="dxa"/>
          </w:tcPr>
          <w:p w14:paraId="3C4FEEAA">
            <w:pPr>
              <w:ind w:left="420" w:hanging="420"/>
              <w:rPr>
                <w:rFonts w:ascii="宋体"/>
                <w:b/>
              </w:rPr>
            </w:pPr>
          </w:p>
        </w:tc>
        <w:tc>
          <w:tcPr>
            <w:tcW w:w="826" w:type="dxa"/>
          </w:tcPr>
          <w:p w14:paraId="210190BD">
            <w:pPr>
              <w:ind w:left="420" w:hanging="420"/>
              <w:rPr>
                <w:rFonts w:ascii="宋体"/>
                <w:b/>
              </w:rPr>
            </w:pPr>
          </w:p>
        </w:tc>
        <w:tc>
          <w:tcPr>
            <w:tcW w:w="1320" w:type="dxa"/>
          </w:tcPr>
          <w:p w14:paraId="6A4C812B">
            <w:pPr>
              <w:ind w:left="420" w:hanging="420"/>
              <w:rPr>
                <w:rFonts w:ascii="宋体"/>
                <w:b/>
              </w:rPr>
            </w:pPr>
          </w:p>
        </w:tc>
        <w:tc>
          <w:tcPr>
            <w:tcW w:w="1023" w:type="dxa"/>
          </w:tcPr>
          <w:p w14:paraId="279DF9FB">
            <w:pPr>
              <w:ind w:left="420" w:hanging="420"/>
              <w:rPr>
                <w:rFonts w:ascii="宋体"/>
                <w:b/>
              </w:rPr>
            </w:pPr>
          </w:p>
        </w:tc>
        <w:tc>
          <w:tcPr>
            <w:tcW w:w="1590" w:type="dxa"/>
          </w:tcPr>
          <w:p w14:paraId="76DD803F">
            <w:pPr>
              <w:ind w:left="420" w:hanging="420"/>
              <w:rPr>
                <w:rFonts w:ascii="宋体"/>
                <w:b/>
              </w:rPr>
            </w:pPr>
          </w:p>
        </w:tc>
      </w:tr>
      <w:tr w14:paraId="0A0C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D89B914">
            <w:pPr>
              <w:ind w:left="420" w:hanging="420"/>
              <w:rPr>
                <w:rFonts w:ascii="宋体"/>
                <w:b/>
              </w:rPr>
            </w:pPr>
          </w:p>
        </w:tc>
        <w:tc>
          <w:tcPr>
            <w:tcW w:w="2082" w:type="dxa"/>
          </w:tcPr>
          <w:p w14:paraId="3C2983AB">
            <w:pPr>
              <w:ind w:left="420" w:hanging="420"/>
              <w:rPr>
                <w:rFonts w:ascii="宋体"/>
                <w:b/>
              </w:rPr>
            </w:pPr>
          </w:p>
        </w:tc>
        <w:tc>
          <w:tcPr>
            <w:tcW w:w="1355" w:type="dxa"/>
          </w:tcPr>
          <w:p w14:paraId="1DC76DDF">
            <w:pPr>
              <w:ind w:left="420" w:hanging="420"/>
              <w:rPr>
                <w:rFonts w:ascii="宋体"/>
                <w:b/>
              </w:rPr>
            </w:pPr>
          </w:p>
        </w:tc>
        <w:tc>
          <w:tcPr>
            <w:tcW w:w="826" w:type="dxa"/>
          </w:tcPr>
          <w:p w14:paraId="5F283DA9">
            <w:pPr>
              <w:ind w:left="420" w:hanging="420"/>
              <w:rPr>
                <w:rFonts w:ascii="宋体"/>
                <w:b/>
              </w:rPr>
            </w:pPr>
          </w:p>
        </w:tc>
        <w:tc>
          <w:tcPr>
            <w:tcW w:w="1320" w:type="dxa"/>
          </w:tcPr>
          <w:p w14:paraId="43463724">
            <w:pPr>
              <w:ind w:left="420" w:hanging="420"/>
              <w:rPr>
                <w:rFonts w:ascii="宋体"/>
                <w:b/>
              </w:rPr>
            </w:pPr>
          </w:p>
        </w:tc>
        <w:tc>
          <w:tcPr>
            <w:tcW w:w="1023" w:type="dxa"/>
          </w:tcPr>
          <w:p w14:paraId="59DF4385">
            <w:pPr>
              <w:ind w:left="420" w:hanging="420"/>
              <w:rPr>
                <w:rFonts w:ascii="宋体"/>
                <w:b/>
              </w:rPr>
            </w:pPr>
          </w:p>
        </w:tc>
        <w:tc>
          <w:tcPr>
            <w:tcW w:w="1590" w:type="dxa"/>
          </w:tcPr>
          <w:p w14:paraId="1238DDBA">
            <w:pPr>
              <w:ind w:left="420" w:hanging="420"/>
              <w:rPr>
                <w:rFonts w:ascii="宋体"/>
                <w:b/>
              </w:rPr>
            </w:pPr>
          </w:p>
        </w:tc>
      </w:tr>
      <w:tr w14:paraId="33E6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9A1CEC7">
            <w:pPr>
              <w:ind w:left="420" w:hanging="420"/>
              <w:rPr>
                <w:rFonts w:ascii="宋体"/>
                <w:b/>
              </w:rPr>
            </w:pPr>
          </w:p>
        </w:tc>
        <w:tc>
          <w:tcPr>
            <w:tcW w:w="2082" w:type="dxa"/>
          </w:tcPr>
          <w:p w14:paraId="330DC18D">
            <w:pPr>
              <w:ind w:left="420" w:hanging="420"/>
              <w:rPr>
                <w:rFonts w:ascii="宋体"/>
                <w:b/>
              </w:rPr>
            </w:pPr>
          </w:p>
        </w:tc>
        <w:tc>
          <w:tcPr>
            <w:tcW w:w="1355" w:type="dxa"/>
          </w:tcPr>
          <w:p w14:paraId="314F3519">
            <w:pPr>
              <w:ind w:left="420" w:hanging="420"/>
              <w:rPr>
                <w:rFonts w:ascii="宋体"/>
                <w:b/>
              </w:rPr>
            </w:pPr>
          </w:p>
        </w:tc>
        <w:tc>
          <w:tcPr>
            <w:tcW w:w="826" w:type="dxa"/>
          </w:tcPr>
          <w:p w14:paraId="79F8C9F2">
            <w:pPr>
              <w:ind w:left="420" w:hanging="420"/>
              <w:rPr>
                <w:rFonts w:ascii="宋体"/>
                <w:b/>
              </w:rPr>
            </w:pPr>
          </w:p>
        </w:tc>
        <w:tc>
          <w:tcPr>
            <w:tcW w:w="1320" w:type="dxa"/>
          </w:tcPr>
          <w:p w14:paraId="3A60336C">
            <w:pPr>
              <w:ind w:left="420" w:hanging="420"/>
              <w:rPr>
                <w:rFonts w:ascii="宋体"/>
                <w:b/>
              </w:rPr>
            </w:pPr>
          </w:p>
        </w:tc>
        <w:tc>
          <w:tcPr>
            <w:tcW w:w="1023" w:type="dxa"/>
          </w:tcPr>
          <w:p w14:paraId="0CE24438">
            <w:pPr>
              <w:ind w:left="420" w:hanging="420"/>
              <w:rPr>
                <w:rFonts w:ascii="宋体"/>
                <w:b/>
              </w:rPr>
            </w:pPr>
          </w:p>
        </w:tc>
        <w:tc>
          <w:tcPr>
            <w:tcW w:w="1590" w:type="dxa"/>
          </w:tcPr>
          <w:p w14:paraId="6C6B85DF">
            <w:pPr>
              <w:ind w:left="420" w:hanging="420"/>
              <w:rPr>
                <w:rFonts w:ascii="宋体"/>
                <w:b/>
              </w:rPr>
            </w:pPr>
          </w:p>
        </w:tc>
      </w:tr>
      <w:tr w14:paraId="6C32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88B1801">
            <w:pPr>
              <w:ind w:left="420" w:hanging="420"/>
              <w:rPr>
                <w:rFonts w:ascii="宋体"/>
                <w:b/>
              </w:rPr>
            </w:pPr>
          </w:p>
        </w:tc>
        <w:tc>
          <w:tcPr>
            <w:tcW w:w="2082" w:type="dxa"/>
          </w:tcPr>
          <w:p w14:paraId="3E5BE176">
            <w:pPr>
              <w:ind w:left="420" w:hanging="420"/>
              <w:rPr>
                <w:rFonts w:ascii="宋体"/>
                <w:b/>
              </w:rPr>
            </w:pPr>
          </w:p>
        </w:tc>
        <w:tc>
          <w:tcPr>
            <w:tcW w:w="1355" w:type="dxa"/>
          </w:tcPr>
          <w:p w14:paraId="21E38BA7">
            <w:pPr>
              <w:ind w:left="420" w:hanging="420"/>
              <w:rPr>
                <w:rFonts w:ascii="宋体"/>
                <w:b/>
              </w:rPr>
            </w:pPr>
          </w:p>
        </w:tc>
        <w:tc>
          <w:tcPr>
            <w:tcW w:w="826" w:type="dxa"/>
          </w:tcPr>
          <w:p w14:paraId="5823A85E">
            <w:pPr>
              <w:ind w:left="420" w:hanging="420"/>
              <w:rPr>
                <w:rFonts w:ascii="宋体"/>
                <w:b/>
              </w:rPr>
            </w:pPr>
          </w:p>
        </w:tc>
        <w:tc>
          <w:tcPr>
            <w:tcW w:w="1320" w:type="dxa"/>
          </w:tcPr>
          <w:p w14:paraId="0EF4CE23">
            <w:pPr>
              <w:ind w:left="420" w:hanging="420"/>
              <w:rPr>
                <w:rFonts w:ascii="宋体"/>
                <w:b/>
              </w:rPr>
            </w:pPr>
          </w:p>
        </w:tc>
        <w:tc>
          <w:tcPr>
            <w:tcW w:w="1023" w:type="dxa"/>
          </w:tcPr>
          <w:p w14:paraId="050B1B26">
            <w:pPr>
              <w:ind w:left="420" w:hanging="420"/>
              <w:rPr>
                <w:rFonts w:ascii="宋体"/>
                <w:b/>
              </w:rPr>
            </w:pPr>
          </w:p>
        </w:tc>
        <w:tc>
          <w:tcPr>
            <w:tcW w:w="1590" w:type="dxa"/>
          </w:tcPr>
          <w:p w14:paraId="63921674">
            <w:pPr>
              <w:ind w:left="420" w:hanging="420"/>
              <w:rPr>
                <w:rFonts w:ascii="宋体"/>
                <w:b/>
              </w:rPr>
            </w:pPr>
          </w:p>
        </w:tc>
      </w:tr>
      <w:tr w14:paraId="495C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B3CD528">
            <w:pPr>
              <w:ind w:left="420" w:hanging="420"/>
              <w:rPr>
                <w:rFonts w:ascii="宋体"/>
                <w:b/>
              </w:rPr>
            </w:pPr>
          </w:p>
        </w:tc>
        <w:tc>
          <w:tcPr>
            <w:tcW w:w="2082" w:type="dxa"/>
          </w:tcPr>
          <w:p w14:paraId="1BD917E6">
            <w:pPr>
              <w:ind w:left="420" w:hanging="420"/>
              <w:rPr>
                <w:rFonts w:ascii="宋体"/>
                <w:b/>
              </w:rPr>
            </w:pPr>
          </w:p>
        </w:tc>
        <w:tc>
          <w:tcPr>
            <w:tcW w:w="1355" w:type="dxa"/>
          </w:tcPr>
          <w:p w14:paraId="55B64100">
            <w:pPr>
              <w:ind w:left="420" w:hanging="420"/>
              <w:rPr>
                <w:rFonts w:ascii="宋体"/>
                <w:b/>
              </w:rPr>
            </w:pPr>
          </w:p>
        </w:tc>
        <w:tc>
          <w:tcPr>
            <w:tcW w:w="826" w:type="dxa"/>
          </w:tcPr>
          <w:p w14:paraId="3778E089">
            <w:pPr>
              <w:ind w:left="420" w:hanging="420"/>
              <w:rPr>
                <w:rFonts w:ascii="宋体"/>
                <w:b/>
              </w:rPr>
            </w:pPr>
          </w:p>
        </w:tc>
        <w:tc>
          <w:tcPr>
            <w:tcW w:w="1320" w:type="dxa"/>
          </w:tcPr>
          <w:p w14:paraId="79A8F1EF">
            <w:pPr>
              <w:ind w:left="420" w:hanging="420"/>
              <w:rPr>
                <w:rFonts w:ascii="宋体"/>
                <w:b/>
              </w:rPr>
            </w:pPr>
          </w:p>
        </w:tc>
        <w:tc>
          <w:tcPr>
            <w:tcW w:w="1023" w:type="dxa"/>
          </w:tcPr>
          <w:p w14:paraId="782E3E2C">
            <w:pPr>
              <w:ind w:left="420" w:hanging="420"/>
              <w:rPr>
                <w:rFonts w:ascii="宋体"/>
                <w:b/>
              </w:rPr>
            </w:pPr>
          </w:p>
        </w:tc>
        <w:tc>
          <w:tcPr>
            <w:tcW w:w="1590" w:type="dxa"/>
          </w:tcPr>
          <w:p w14:paraId="18251E24">
            <w:pPr>
              <w:ind w:left="420" w:hanging="420"/>
              <w:rPr>
                <w:rFonts w:ascii="宋体"/>
                <w:b/>
              </w:rPr>
            </w:pPr>
          </w:p>
        </w:tc>
      </w:tr>
      <w:tr w14:paraId="25D8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A8FBBB1">
            <w:pPr>
              <w:ind w:left="420" w:hanging="420"/>
              <w:rPr>
                <w:rFonts w:ascii="宋体"/>
                <w:b/>
              </w:rPr>
            </w:pPr>
          </w:p>
        </w:tc>
        <w:tc>
          <w:tcPr>
            <w:tcW w:w="2082" w:type="dxa"/>
          </w:tcPr>
          <w:p w14:paraId="6D8DD80B">
            <w:pPr>
              <w:ind w:left="420" w:hanging="420"/>
              <w:rPr>
                <w:rFonts w:ascii="宋体"/>
                <w:b/>
              </w:rPr>
            </w:pPr>
          </w:p>
        </w:tc>
        <w:tc>
          <w:tcPr>
            <w:tcW w:w="1355" w:type="dxa"/>
          </w:tcPr>
          <w:p w14:paraId="6F9BCD40">
            <w:pPr>
              <w:ind w:left="420" w:hanging="420"/>
              <w:rPr>
                <w:rFonts w:ascii="宋体"/>
                <w:b/>
              </w:rPr>
            </w:pPr>
          </w:p>
        </w:tc>
        <w:tc>
          <w:tcPr>
            <w:tcW w:w="826" w:type="dxa"/>
          </w:tcPr>
          <w:p w14:paraId="380CAE88">
            <w:pPr>
              <w:ind w:left="420" w:hanging="420"/>
              <w:rPr>
                <w:rFonts w:ascii="宋体"/>
                <w:b/>
              </w:rPr>
            </w:pPr>
          </w:p>
        </w:tc>
        <w:tc>
          <w:tcPr>
            <w:tcW w:w="1320" w:type="dxa"/>
          </w:tcPr>
          <w:p w14:paraId="7AECF171">
            <w:pPr>
              <w:ind w:left="420" w:hanging="420"/>
              <w:rPr>
                <w:rFonts w:ascii="宋体"/>
                <w:b/>
              </w:rPr>
            </w:pPr>
          </w:p>
        </w:tc>
        <w:tc>
          <w:tcPr>
            <w:tcW w:w="1023" w:type="dxa"/>
          </w:tcPr>
          <w:p w14:paraId="004F68E1">
            <w:pPr>
              <w:ind w:left="420" w:hanging="420"/>
              <w:rPr>
                <w:rFonts w:ascii="宋体"/>
                <w:b/>
              </w:rPr>
            </w:pPr>
          </w:p>
        </w:tc>
        <w:tc>
          <w:tcPr>
            <w:tcW w:w="1590" w:type="dxa"/>
          </w:tcPr>
          <w:p w14:paraId="64ED9145">
            <w:pPr>
              <w:ind w:left="420" w:hanging="420"/>
              <w:rPr>
                <w:rFonts w:ascii="宋体"/>
                <w:b/>
              </w:rPr>
            </w:pPr>
          </w:p>
        </w:tc>
      </w:tr>
      <w:tr w14:paraId="5D6E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4F0AEE6">
            <w:pPr>
              <w:ind w:left="420" w:hanging="420"/>
              <w:rPr>
                <w:rFonts w:ascii="宋体"/>
                <w:b/>
              </w:rPr>
            </w:pPr>
          </w:p>
        </w:tc>
        <w:tc>
          <w:tcPr>
            <w:tcW w:w="2082" w:type="dxa"/>
          </w:tcPr>
          <w:p w14:paraId="7601BAC7">
            <w:pPr>
              <w:ind w:left="420" w:hanging="420"/>
              <w:rPr>
                <w:rFonts w:ascii="宋体"/>
                <w:b/>
              </w:rPr>
            </w:pPr>
          </w:p>
        </w:tc>
        <w:tc>
          <w:tcPr>
            <w:tcW w:w="1355" w:type="dxa"/>
          </w:tcPr>
          <w:p w14:paraId="6E8A40CF">
            <w:pPr>
              <w:ind w:left="420" w:hanging="420"/>
              <w:rPr>
                <w:rFonts w:ascii="宋体"/>
                <w:b/>
              </w:rPr>
            </w:pPr>
          </w:p>
        </w:tc>
        <w:tc>
          <w:tcPr>
            <w:tcW w:w="826" w:type="dxa"/>
          </w:tcPr>
          <w:p w14:paraId="110274E5">
            <w:pPr>
              <w:ind w:left="420" w:hanging="420"/>
              <w:rPr>
                <w:rFonts w:ascii="宋体"/>
                <w:b/>
              </w:rPr>
            </w:pPr>
          </w:p>
        </w:tc>
        <w:tc>
          <w:tcPr>
            <w:tcW w:w="1320" w:type="dxa"/>
          </w:tcPr>
          <w:p w14:paraId="14339F42">
            <w:pPr>
              <w:ind w:left="420" w:hanging="420"/>
              <w:rPr>
                <w:rFonts w:ascii="宋体"/>
                <w:b/>
              </w:rPr>
            </w:pPr>
          </w:p>
        </w:tc>
        <w:tc>
          <w:tcPr>
            <w:tcW w:w="1023" w:type="dxa"/>
          </w:tcPr>
          <w:p w14:paraId="5EBB6758">
            <w:pPr>
              <w:ind w:left="420" w:hanging="420"/>
              <w:rPr>
                <w:rFonts w:ascii="宋体"/>
                <w:b/>
              </w:rPr>
            </w:pPr>
          </w:p>
        </w:tc>
        <w:tc>
          <w:tcPr>
            <w:tcW w:w="1590" w:type="dxa"/>
          </w:tcPr>
          <w:p w14:paraId="5338CD62">
            <w:pPr>
              <w:ind w:left="420" w:hanging="420"/>
              <w:rPr>
                <w:rFonts w:ascii="宋体"/>
                <w:b/>
              </w:rPr>
            </w:pPr>
          </w:p>
        </w:tc>
      </w:tr>
    </w:tbl>
    <w:p w14:paraId="7F4D88D1">
      <w:pPr>
        <w:spacing w:line="240" w:lineRule="atLeast"/>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3739809A">
      <w:pPr>
        <w:tabs>
          <w:tab w:val="left" w:pos="1578"/>
          <w:tab w:val="left" w:pos="10083"/>
        </w:tabs>
        <w:spacing w:line="500" w:lineRule="exact"/>
        <w:rPr>
          <w:rFonts w:ascii="宋体" w:hAnsi="Calibri"/>
          <w:sz w:val="24"/>
        </w:rPr>
      </w:pPr>
    </w:p>
    <w:p w14:paraId="43D60D8B">
      <w:pPr>
        <w:spacing w:line="660" w:lineRule="exact"/>
        <w:rPr>
          <w:rFonts w:ascii="宋体" w:hAnsi="Calibri"/>
          <w:sz w:val="24"/>
        </w:rPr>
      </w:pPr>
      <w:r>
        <w:rPr>
          <w:rFonts w:hint="eastAsia" w:ascii="宋体" w:hAnsi="宋体"/>
          <w:sz w:val="24"/>
        </w:rPr>
        <w:t>投标人：（盖章）</w:t>
      </w:r>
    </w:p>
    <w:p w14:paraId="768CF27E">
      <w:pPr>
        <w:spacing w:line="660" w:lineRule="exact"/>
        <w:rPr>
          <w:rFonts w:ascii="宋体" w:hAnsi="Calibri"/>
          <w:sz w:val="24"/>
        </w:rPr>
      </w:pPr>
      <w:r>
        <w:rPr>
          <w:rFonts w:hint="eastAsia" w:ascii="宋体" w:hAnsi="宋体"/>
          <w:sz w:val="24"/>
        </w:rPr>
        <w:t>法定代表人（委托代理人）：（签字）</w:t>
      </w:r>
    </w:p>
    <w:p w14:paraId="3B19660D">
      <w:pPr>
        <w:spacing w:line="660" w:lineRule="exact"/>
        <w:rPr>
          <w:rFonts w:ascii="宋体" w:hAnsi="Calibri"/>
          <w:sz w:val="24"/>
        </w:rPr>
      </w:pPr>
      <w:r>
        <w:rPr>
          <w:rFonts w:hint="eastAsia" w:ascii="宋体" w:hAnsi="宋体"/>
          <w:sz w:val="24"/>
        </w:rPr>
        <w:t>日期：年月日</w:t>
      </w:r>
    </w:p>
    <w:p w14:paraId="43B547BE">
      <w:pPr>
        <w:rPr>
          <w:rFonts w:ascii="宋体" w:hAnsi="Calibri" w:cs="宋体"/>
          <w:b/>
          <w:bCs/>
          <w:sz w:val="28"/>
        </w:rPr>
      </w:pPr>
    </w:p>
    <w:p w14:paraId="31ADF302">
      <w:pPr>
        <w:pStyle w:val="25"/>
      </w:pPr>
    </w:p>
    <w:p w14:paraId="0DF73249">
      <w:pPr>
        <w:pStyle w:val="102"/>
        <w:numPr>
          <w:ilvl w:val="0"/>
          <w:numId w:val="0"/>
        </w:numPr>
        <w:rPr>
          <w:rFonts w:ascii="宋体" w:hAnsi="宋体" w:eastAsia="宋体" w:cs="宋体"/>
          <w:sz w:val="32"/>
          <w:szCs w:val="32"/>
        </w:rPr>
      </w:pPr>
      <w:r>
        <w:rPr>
          <w:rFonts w:ascii="宋体" w:hAnsi="宋体" w:eastAsia="宋体" w:cs="宋体"/>
          <w:sz w:val="32"/>
          <w:szCs w:val="32"/>
        </w:rPr>
        <w:t>附件4 技术规格偏离表</w:t>
      </w:r>
    </w:p>
    <w:p w14:paraId="0CAB16DE">
      <w:pPr>
        <w:spacing w:line="360" w:lineRule="auto"/>
        <w:rPr>
          <w:sz w:val="24"/>
          <w:szCs w:val="24"/>
        </w:rPr>
      </w:pPr>
      <w:r>
        <w:rPr>
          <w:sz w:val="24"/>
          <w:szCs w:val="24"/>
        </w:rPr>
        <w:t>项目名称：</w:t>
      </w:r>
      <w:r>
        <w:rPr>
          <w:rFonts w:hint="eastAsia" w:ascii="宋体" w:hAnsi="宋体" w:cs="宋体"/>
          <w:sz w:val="24"/>
          <w:szCs w:val="24"/>
        </w:rPr>
        <w:t>成都王牌新增上网行为管理设备项目</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71AD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5C31A511">
            <w:pPr>
              <w:jc w:val="center"/>
              <w:rPr>
                <w:b/>
              </w:rPr>
            </w:pPr>
            <w:r>
              <w:rPr>
                <w:rFonts w:hint="eastAsia" w:ascii="宋体" w:hAnsi="宋体" w:cs="宋体"/>
                <w:b/>
              </w:rPr>
              <w:t>序号</w:t>
            </w:r>
          </w:p>
        </w:tc>
        <w:tc>
          <w:tcPr>
            <w:tcW w:w="5103" w:type="dxa"/>
            <w:vAlign w:val="center"/>
          </w:tcPr>
          <w:p w14:paraId="6D4B7F5A">
            <w:pPr>
              <w:jc w:val="center"/>
              <w:rPr>
                <w:b/>
              </w:rPr>
            </w:pPr>
            <w:r>
              <w:rPr>
                <w:rFonts w:hint="eastAsia" w:ascii="宋体" w:hAnsi="宋体" w:cs="宋体"/>
                <w:b/>
              </w:rPr>
              <w:t>招标要求</w:t>
            </w:r>
          </w:p>
        </w:tc>
        <w:tc>
          <w:tcPr>
            <w:tcW w:w="1641" w:type="dxa"/>
            <w:vAlign w:val="center"/>
          </w:tcPr>
          <w:p w14:paraId="68CB5615">
            <w:pPr>
              <w:jc w:val="center"/>
              <w:rPr>
                <w:b/>
              </w:rPr>
            </w:pPr>
            <w:r>
              <w:rPr>
                <w:rFonts w:hint="eastAsia" w:ascii="宋体" w:hAnsi="宋体" w:cs="宋体"/>
                <w:b/>
              </w:rPr>
              <w:t>响应规格</w:t>
            </w:r>
          </w:p>
        </w:tc>
        <w:tc>
          <w:tcPr>
            <w:tcW w:w="1608" w:type="dxa"/>
            <w:vAlign w:val="center"/>
          </w:tcPr>
          <w:p w14:paraId="663018AB">
            <w:pPr>
              <w:jc w:val="center"/>
              <w:rPr>
                <w:b/>
              </w:rPr>
            </w:pPr>
            <w:r>
              <w:rPr>
                <w:rFonts w:hint="eastAsia" w:ascii="宋体" w:hAnsi="宋体" w:cs="宋体"/>
                <w:b/>
              </w:rPr>
              <w:t>是否偏离</w:t>
            </w:r>
          </w:p>
        </w:tc>
      </w:tr>
      <w:tr w14:paraId="6D39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36BEE80F">
            <w:pPr>
              <w:jc w:val="center"/>
            </w:pPr>
          </w:p>
        </w:tc>
        <w:tc>
          <w:tcPr>
            <w:tcW w:w="5103" w:type="dxa"/>
          </w:tcPr>
          <w:p w14:paraId="0FE9A948"/>
        </w:tc>
        <w:tc>
          <w:tcPr>
            <w:tcW w:w="1641" w:type="dxa"/>
          </w:tcPr>
          <w:p w14:paraId="4A034941">
            <w:pPr>
              <w:jc w:val="center"/>
              <w:rPr>
                <w:b/>
                <w:sz w:val="24"/>
              </w:rPr>
            </w:pPr>
          </w:p>
        </w:tc>
        <w:tc>
          <w:tcPr>
            <w:tcW w:w="1608" w:type="dxa"/>
          </w:tcPr>
          <w:p w14:paraId="2B527E6B">
            <w:pPr>
              <w:jc w:val="center"/>
              <w:rPr>
                <w:b/>
                <w:sz w:val="24"/>
              </w:rPr>
            </w:pPr>
          </w:p>
        </w:tc>
      </w:tr>
      <w:tr w14:paraId="18B1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5A47B083">
            <w:pPr>
              <w:jc w:val="center"/>
            </w:pPr>
          </w:p>
        </w:tc>
        <w:tc>
          <w:tcPr>
            <w:tcW w:w="5103" w:type="dxa"/>
          </w:tcPr>
          <w:p w14:paraId="39C6034A"/>
        </w:tc>
        <w:tc>
          <w:tcPr>
            <w:tcW w:w="1641" w:type="dxa"/>
          </w:tcPr>
          <w:p w14:paraId="5308C0BF">
            <w:pPr>
              <w:jc w:val="center"/>
              <w:rPr>
                <w:b/>
                <w:sz w:val="24"/>
              </w:rPr>
            </w:pPr>
          </w:p>
        </w:tc>
        <w:tc>
          <w:tcPr>
            <w:tcW w:w="1608" w:type="dxa"/>
          </w:tcPr>
          <w:p w14:paraId="41373E16">
            <w:pPr>
              <w:jc w:val="center"/>
              <w:rPr>
                <w:b/>
                <w:sz w:val="24"/>
              </w:rPr>
            </w:pPr>
          </w:p>
        </w:tc>
      </w:tr>
      <w:tr w14:paraId="1661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22BC3F89">
            <w:pPr>
              <w:jc w:val="center"/>
            </w:pPr>
          </w:p>
        </w:tc>
        <w:tc>
          <w:tcPr>
            <w:tcW w:w="5103" w:type="dxa"/>
          </w:tcPr>
          <w:p w14:paraId="25FD7B2A"/>
        </w:tc>
        <w:tc>
          <w:tcPr>
            <w:tcW w:w="1641" w:type="dxa"/>
          </w:tcPr>
          <w:p w14:paraId="700C8202">
            <w:pPr>
              <w:jc w:val="center"/>
              <w:rPr>
                <w:b/>
                <w:sz w:val="24"/>
              </w:rPr>
            </w:pPr>
          </w:p>
        </w:tc>
        <w:tc>
          <w:tcPr>
            <w:tcW w:w="1608" w:type="dxa"/>
          </w:tcPr>
          <w:p w14:paraId="3AFD0D76">
            <w:pPr>
              <w:jc w:val="center"/>
              <w:rPr>
                <w:b/>
                <w:sz w:val="24"/>
              </w:rPr>
            </w:pPr>
          </w:p>
        </w:tc>
      </w:tr>
      <w:tr w14:paraId="7D5E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48B751F7">
            <w:pPr>
              <w:jc w:val="center"/>
            </w:pPr>
          </w:p>
        </w:tc>
        <w:tc>
          <w:tcPr>
            <w:tcW w:w="5103" w:type="dxa"/>
          </w:tcPr>
          <w:p w14:paraId="5AD17899"/>
        </w:tc>
        <w:tc>
          <w:tcPr>
            <w:tcW w:w="1641" w:type="dxa"/>
          </w:tcPr>
          <w:p w14:paraId="4EA52550">
            <w:pPr>
              <w:spacing w:line="480" w:lineRule="auto"/>
              <w:rPr>
                <w:b/>
                <w:sz w:val="24"/>
              </w:rPr>
            </w:pPr>
          </w:p>
        </w:tc>
        <w:tc>
          <w:tcPr>
            <w:tcW w:w="1608" w:type="dxa"/>
          </w:tcPr>
          <w:p w14:paraId="2D20BE08">
            <w:pPr>
              <w:rPr>
                <w:b/>
                <w:sz w:val="24"/>
              </w:rPr>
            </w:pPr>
          </w:p>
        </w:tc>
      </w:tr>
      <w:tr w14:paraId="01CB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EFEB738">
            <w:pPr>
              <w:jc w:val="center"/>
            </w:pPr>
          </w:p>
        </w:tc>
        <w:tc>
          <w:tcPr>
            <w:tcW w:w="5103" w:type="dxa"/>
          </w:tcPr>
          <w:p w14:paraId="489F813E"/>
        </w:tc>
        <w:tc>
          <w:tcPr>
            <w:tcW w:w="1641" w:type="dxa"/>
          </w:tcPr>
          <w:p w14:paraId="6078B934">
            <w:pPr>
              <w:jc w:val="center"/>
              <w:rPr>
                <w:b/>
                <w:sz w:val="24"/>
              </w:rPr>
            </w:pPr>
          </w:p>
        </w:tc>
        <w:tc>
          <w:tcPr>
            <w:tcW w:w="1608" w:type="dxa"/>
          </w:tcPr>
          <w:p w14:paraId="79489B54">
            <w:pPr>
              <w:jc w:val="center"/>
              <w:rPr>
                <w:b/>
                <w:sz w:val="24"/>
              </w:rPr>
            </w:pPr>
          </w:p>
        </w:tc>
      </w:tr>
      <w:tr w14:paraId="73F8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10063E">
            <w:pPr>
              <w:jc w:val="center"/>
            </w:pPr>
          </w:p>
        </w:tc>
        <w:tc>
          <w:tcPr>
            <w:tcW w:w="5103" w:type="dxa"/>
          </w:tcPr>
          <w:p w14:paraId="5E6D9681"/>
        </w:tc>
        <w:tc>
          <w:tcPr>
            <w:tcW w:w="1641" w:type="dxa"/>
          </w:tcPr>
          <w:p w14:paraId="629BCBE0">
            <w:pPr>
              <w:jc w:val="center"/>
              <w:rPr>
                <w:b/>
                <w:sz w:val="24"/>
              </w:rPr>
            </w:pPr>
          </w:p>
        </w:tc>
        <w:tc>
          <w:tcPr>
            <w:tcW w:w="1608" w:type="dxa"/>
          </w:tcPr>
          <w:p w14:paraId="4C6FEAF0">
            <w:pPr>
              <w:jc w:val="center"/>
              <w:rPr>
                <w:b/>
                <w:sz w:val="24"/>
              </w:rPr>
            </w:pPr>
          </w:p>
        </w:tc>
      </w:tr>
      <w:tr w14:paraId="78E5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41F8EE6">
            <w:pPr>
              <w:jc w:val="center"/>
            </w:pPr>
          </w:p>
        </w:tc>
        <w:tc>
          <w:tcPr>
            <w:tcW w:w="5103" w:type="dxa"/>
          </w:tcPr>
          <w:p w14:paraId="70BADD4C"/>
        </w:tc>
        <w:tc>
          <w:tcPr>
            <w:tcW w:w="1641" w:type="dxa"/>
          </w:tcPr>
          <w:p w14:paraId="1A8EC3A7">
            <w:pPr>
              <w:jc w:val="center"/>
              <w:rPr>
                <w:b/>
                <w:sz w:val="24"/>
              </w:rPr>
            </w:pPr>
          </w:p>
        </w:tc>
        <w:tc>
          <w:tcPr>
            <w:tcW w:w="1608" w:type="dxa"/>
          </w:tcPr>
          <w:p w14:paraId="5C0AE8E8">
            <w:pPr>
              <w:jc w:val="center"/>
              <w:rPr>
                <w:b/>
                <w:sz w:val="24"/>
              </w:rPr>
            </w:pPr>
          </w:p>
        </w:tc>
      </w:tr>
      <w:tr w14:paraId="776E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DFDE89D">
            <w:pPr>
              <w:jc w:val="center"/>
            </w:pPr>
          </w:p>
        </w:tc>
        <w:tc>
          <w:tcPr>
            <w:tcW w:w="5103" w:type="dxa"/>
          </w:tcPr>
          <w:p w14:paraId="14D27228"/>
        </w:tc>
        <w:tc>
          <w:tcPr>
            <w:tcW w:w="1641" w:type="dxa"/>
          </w:tcPr>
          <w:p w14:paraId="6583B3EC">
            <w:pPr>
              <w:jc w:val="center"/>
              <w:rPr>
                <w:b/>
                <w:sz w:val="24"/>
              </w:rPr>
            </w:pPr>
          </w:p>
        </w:tc>
        <w:tc>
          <w:tcPr>
            <w:tcW w:w="1608" w:type="dxa"/>
          </w:tcPr>
          <w:p w14:paraId="4B9127BE">
            <w:pPr>
              <w:jc w:val="center"/>
              <w:rPr>
                <w:b/>
                <w:sz w:val="24"/>
              </w:rPr>
            </w:pPr>
          </w:p>
        </w:tc>
      </w:tr>
      <w:tr w14:paraId="1436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A69BF2E">
            <w:pPr>
              <w:jc w:val="center"/>
            </w:pPr>
          </w:p>
        </w:tc>
        <w:tc>
          <w:tcPr>
            <w:tcW w:w="5103" w:type="dxa"/>
          </w:tcPr>
          <w:p w14:paraId="1A9300AA"/>
        </w:tc>
        <w:tc>
          <w:tcPr>
            <w:tcW w:w="1641" w:type="dxa"/>
          </w:tcPr>
          <w:p w14:paraId="0A121B8C">
            <w:pPr>
              <w:jc w:val="center"/>
              <w:rPr>
                <w:b/>
                <w:sz w:val="24"/>
              </w:rPr>
            </w:pPr>
          </w:p>
        </w:tc>
        <w:tc>
          <w:tcPr>
            <w:tcW w:w="1608" w:type="dxa"/>
          </w:tcPr>
          <w:p w14:paraId="4A31BD46">
            <w:pPr>
              <w:jc w:val="center"/>
              <w:rPr>
                <w:b/>
                <w:sz w:val="24"/>
              </w:rPr>
            </w:pPr>
          </w:p>
        </w:tc>
      </w:tr>
      <w:tr w14:paraId="2D496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16B54CA">
            <w:pPr>
              <w:jc w:val="center"/>
            </w:pPr>
          </w:p>
        </w:tc>
        <w:tc>
          <w:tcPr>
            <w:tcW w:w="5103" w:type="dxa"/>
          </w:tcPr>
          <w:p w14:paraId="25B6FCEF"/>
        </w:tc>
        <w:tc>
          <w:tcPr>
            <w:tcW w:w="1641" w:type="dxa"/>
          </w:tcPr>
          <w:p w14:paraId="45B245D6">
            <w:pPr>
              <w:jc w:val="center"/>
              <w:rPr>
                <w:b/>
                <w:sz w:val="24"/>
              </w:rPr>
            </w:pPr>
          </w:p>
        </w:tc>
        <w:tc>
          <w:tcPr>
            <w:tcW w:w="1608" w:type="dxa"/>
          </w:tcPr>
          <w:p w14:paraId="64B19CCE">
            <w:pPr>
              <w:jc w:val="center"/>
              <w:rPr>
                <w:b/>
                <w:sz w:val="24"/>
              </w:rPr>
            </w:pPr>
          </w:p>
        </w:tc>
      </w:tr>
      <w:tr w14:paraId="5E37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63BFB14">
            <w:pPr>
              <w:jc w:val="center"/>
            </w:pPr>
          </w:p>
        </w:tc>
        <w:tc>
          <w:tcPr>
            <w:tcW w:w="5103" w:type="dxa"/>
          </w:tcPr>
          <w:p w14:paraId="5638257E"/>
        </w:tc>
        <w:tc>
          <w:tcPr>
            <w:tcW w:w="1641" w:type="dxa"/>
          </w:tcPr>
          <w:p w14:paraId="1A2F268A">
            <w:pPr>
              <w:jc w:val="center"/>
              <w:rPr>
                <w:b/>
                <w:sz w:val="24"/>
              </w:rPr>
            </w:pPr>
          </w:p>
        </w:tc>
        <w:tc>
          <w:tcPr>
            <w:tcW w:w="1608" w:type="dxa"/>
          </w:tcPr>
          <w:p w14:paraId="789D5949">
            <w:pPr>
              <w:jc w:val="center"/>
              <w:rPr>
                <w:b/>
                <w:sz w:val="24"/>
              </w:rPr>
            </w:pPr>
          </w:p>
        </w:tc>
      </w:tr>
      <w:tr w14:paraId="3E5F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CADD989">
            <w:pPr>
              <w:jc w:val="center"/>
            </w:pPr>
          </w:p>
        </w:tc>
        <w:tc>
          <w:tcPr>
            <w:tcW w:w="5103" w:type="dxa"/>
          </w:tcPr>
          <w:p w14:paraId="4BF1B8BC"/>
        </w:tc>
        <w:tc>
          <w:tcPr>
            <w:tcW w:w="1641" w:type="dxa"/>
          </w:tcPr>
          <w:p w14:paraId="4D5ACD3E">
            <w:pPr>
              <w:jc w:val="center"/>
              <w:rPr>
                <w:b/>
                <w:sz w:val="24"/>
              </w:rPr>
            </w:pPr>
          </w:p>
        </w:tc>
        <w:tc>
          <w:tcPr>
            <w:tcW w:w="1608" w:type="dxa"/>
          </w:tcPr>
          <w:p w14:paraId="06E0507A">
            <w:pPr>
              <w:jc w:val="center"/>
              <w:rPr>
                <w:b/>
                <w:sz w:val="24"/>
              </w:rPr>
            </w:pPr>
          </w:p>
        </w:tc>
      </w:tr>
      <w:tr w14:paraId="20DC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299B949">
            <w:pPr>
              <w:jc w:val="center"/>
            </w:pPr>
          </w:p>
        </w:tc>
        <w:tc>
          <w:tcPr>
            <w:tcW w:w="5103" w:type="dxa"/>
          </w:tcPr>
          <w:p w14:paraId="1497CE42"/>
        </w:tc>
        <w:tc>
          <w:tcPr>
            <w:tcW w:w="1641" w:type="dxa"/>
          </w:tcPr>
          <w:p w14:paraId="5278CE01">
            <w:pPr>
              <w:jc w:val="center"/>
              <w:rPr>
                <w:b/>
                <w:sz w:val="24"/>
              </w:rPr>
            </w:pPr>
          </w:p>
        </w:tc>
        <w:tc>
          <w:tcPr>
            <w:tcW w:w="1608" w:type="dxa"/>
          </w:tcPr>
          <w:p w14:paraId="355320AA">
            <w:pPr>
              <w:jc w:val="center"/>
              <w:rPr>
                <w:b/>
                <w:sz w:val="24"/>
              </w:rPr>
            </w:pPr>
          </w:p>
        </w:tc>
      </w:tr>
      <w:tr w14:paraId="21E0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BA75F9F">
            <w:pPr>
              <w:jc w:val="center"/>
            </w:pPr>
          </w:p>
        </w:tc>
        <w:tc>
          <w:tcPr>
            <w:tcW w:w="5103" w:type="dxa"/>
          </w:tcPr>
          <w:p w14:paraId="2EEEDE4F"/>
        </w:tc>
        <w:tc>
          <w:tcPr>
            <w:tcW w:w="1641" w:type="dxa"/>
          </w:tcPr>
          <w:p w14:paraId="40CA4BA9">
            <w:pPr>
              <w:jc w:val="center"/>
              <w:rPr>
                <w:b/>
                <w:sz w:val="24"/>
              </w:rPr>
            </w:pPr>
          </w:p>
        </w:tc>
        <w:tc>
          <w:tcPr>
            <w:tcW w:w="1608" w:type="dxa"/>
          </w:tcPr>
          <w:p w14:paraId="69AC41AD">
            <w:pPr>
              <w:jc w:val="center"/>
              <w:rPr>
                <w:b/>
                <w:sz w:val="24"/>
              </w:rPr>
            </w:pPr>
          </w:p>
        </w:tc>
      </w:tr>
      <w:tr w14:paraId="4424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7EBDB31">
            <w:pPr>
              <w:jc w:val="center"/>
            </w:pPr>
          </w:p>
        </w:tc>
        <w:tc>
          <w:tcPr>
            <w:tcW w:w="5103" w:type="dxa"/>
          </w:tcPr>
          <w:p w14:paraId="7EC4A8AB"/>
        </w:tc>
        <w:tc>
          <w:tcPr>
            <w:tcW w:w="1641" w:type="dxa"/>
          </w:tcPr>
          <w:p w14:paraId="6A9F4FCE">
            <w:pPr>
              <w:jc w:val="center"/>
              <w:rPr>
                <w:b/>
                <w:sz w:val="24"/>
              </w:rPr>
            </w:pPr>
          </w:p>
        </w:tc>
        <w:tc>
          <w:tcPr>
            <w:tcW w:w="1608" w:type="dxa"/>
          </w:tcPr>
          <w:p w14:paraId="3075209B">
            <w:pPr>
              <w:jc w:val="center"/>
              <w:rPr>
                <w:b/>
                <w:sz w:val="24"/>
              </w:rPr>
            </w:pPr>
          </w:p>
        </w:tc>
      </w:tr>
      <w:tr w14:paraId="0C85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4D38FC7">
            <w:pPr>
              <w:jc w:val="center"/>
            </w:pPr>
          </w:p>
        </w:tc>
        <w:tc>
          <w:tcPr>
            <w:tcW w:w="5103" w:type="dxa"/>
          </w:tcPr>
          <w:p w14:paraId="577EFF15"/>
        </w:tc>
        <w:tc>
          <w:tcPr>
            <w:tcW w:w="1641" w:type="dxa"/>
          </w:tcPr>
          <w:p w14:paraId="7ECF8B8C">
            <w:pPr>
              <w:jc w:val="center"/>
              <w:rPr>
                <w:b/>
                <w:sz w:val="24"/>
              </w:rPr>
            </w:pPr>
          </w:p>
        </w:tc>
        <w:tc>
          <w:tcPr>
            <w:tcW w:w="1608" w:type="dxa"/>
          </w:tcPr>
          <w:p w14:paraId="2374B8B1">
            <w:pPr>
              <w:jc w:val="center"/>
              <w:rPr>
                <w:b/>
                <w:sz w:val="24"/>
              </w:rPr>
            </w:pPr>
          </w:p>
        </w:tc>
      </w:tr>
      <w:tr w14:paraId="07BF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467CD52">
            <w:pPr>
              <w:jc w:val="center"/>
            </w:pPr>
          </w:p>
        </w:tc>
        <w:tc>
          <w:tcPr>
            <w:tcW w:w="5103" w:type="dxa"/>
          </w:tcPr>
          <w:p w14:paraId="5E6FE58D"/>
        </w:tc>
        <w:tc>
          <w:tcPr>
            <w:tcW w:w="1641" w:type="dxa"/>
          </w:tcPr>
          <w:p w14:paraId="07B437BC">
            <w:pPr>
              <w:jc w:val="center"/>
              <w:rPr>
                <w:b/>
                <w:sz w:val="24"/>
              </w:rPr>
            </w:pPr>
          </w:p>
        </w:tc>
        <w:tc>
          <w:tcPr>
            <w:tcW w:w="1608" w:type="dxa"/>
          </w:tcPr>
          <w:p w14:paraId="424276BE">
            <w:pPr>
              <w:jc w:val="center"/>
              <w:rPr>
                <w:b/>
                <w:sz w:val="24"/>
              </w:rPr>
            </w:pPr>
          </w:p>
        </w:tc>
      </w:tr>
      <w:tr w14:paraId="2076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DC14EC2">
            <w:pPr>
              <w:jc w:val="center"/>
            </w:pPr>
          </w:p>
        </w:tc>
        <w:tc>
          <w:tcPr>
            <w:tcW w:w="5103" w:type="dxa"/>
          </w:tcPr>
          <w:p w14:paraId="4FF03A22"/>
        </w:tc>
        <w:tc>
          <w:tcPr>
            <w:tcW w:w="1641" w:type="dxa"/>
          </w:tcPr>
          <w:p w14:paraId="255E0CC2">
            <w:pPr>
              <w:jc w:val="center"/>
              <w:rPr>
                <w:b/>
                <w:sz w:val="24"/>
              </w:rPr>
            </w:pPr>
          </w:p>
        </w:tc>
        <w:tc>
          <w:tcPr>
            <w:tcW w:w="1608" w:type="dxa"/>
          </w:tcPr>
          <w:p w14:paraId="66994631">
            <w:pPr>
              <w:jc w:val="center"/>
              <w:rPr>
                <w:b/>
                <w:sz w:val="24"/>
              </w:rPr>
            </w:pPr>
          </w:p>
        </w:tc>
      </w:tr>
      <w:tr w14:paraId="11C4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C3BDF1C">
            <w:pPr>
              <w:jc w:val="center"/>
            </w:pPr>
          </w:p>
        </w:tc>
        <w:tc>
          <w:tcPr>
            <w:tcW w:w="5103" w:type="dxa"/>
          </w:tcPr>
          <w:p w14:paraId="216B74FF"/>
        </w:tc>
        <w:tc>
          <w:tcPr>
            <w:tcW w:w="1641" w:type="dxa"/>
          </w:tcPr>
          <w:p w14:paraId="5C047E88">
            <w:pPr>
              <w:jc w:val="center"/>
              <w:rPr>
                <w:b/>
                <w:sz w:val="24"/>
              </w:rPr>
            </w:pPr>
          </w:p>
        </w:tc>
        <w:tc>
          <w:tcPr>
            <w:tcW w:w="1608" w:type="dxa"/>
          </w:tcPr>
          <w:p w14:paraId="6D5E33C7">
            <w:pPr>
              <w:jc w:val="center"/>
              <w:rPr>
                <w:b/>
                <w:sz w:val="24"/>
              </w:rPr>
            </w:pPr>
          </w:p>
        </w:tc>
      </w:tr>
      <w:tr w14:paraId="25A5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B262BAC">
            <w:pPr>
              <w:jc w:val="center"/>
            </w:pPr>
          </w:p>
        </w:tc>
        <w:tc>
          <w:tcPr>
            <w:tcW w:w="5103" w:type="dxa"/>
          </w:tcPr>
          <w:p w14:paraId="560009F0"/>
        </w:tc>
        <w:tc>
          <w:tcPr>
            <w:tcW w:w="1641" w:type="dxa"/>
          </w:tcPr>
          <w:p w14:paraId="7271C46F">
            <w:pPr>
              <w:jc w:val="center"/>
              <w:rPr>
                <w:b/>
                <w:sz w:val="24"/>
              </w:rPr>
            </w:pPr>
          </w:p>
        </w:tc>
        <w:tc>
          <w:tcPr>
            <w:tcW w:w="1608" w:type="dxa"/>
          </w:tcPr>
          <w:p w14:paraId="21436BB4">
            <w:pPr>
              <w:jc w:val="center"/>
              <w:rPr>
                <w:b/>
                <w:sz w:val="24"/>
              </w:rPr>
            </w:pPr>
          </w:p>
        </w:tc>
      </w:tr>
    </w:tbl>
    <w:p w14:paraId="6EAA661C">
      <w:pPr>
        <w:spacing w:line="360" w:lineRule="auto"/>
        <w:ind w:firstLine="480" w:firstLineChars="200"/>
        <w:rPr>
          <w:sz w:val="24"/>
          <w:szCs w:val="24"/>
        </w:rPr>
      </w:pPr>
    </w:p>
    <w:p w14:paraId="751B06BD">
      <w:pPr>
        <w:spacing w:line="660" w:lineRule="exact"/>
        <w:rPr>
          <w:sz w:val="24"/>
        </w:rPr>
      </w:pPr>
      <w:r>
        <w:rPr>
          <w:sz w:val="24"/>
        </w:rPr>
        <w:t>投标人：（盖章）</w:t>
      </w:r>
    </w:p>
    <w:p w14:paraId="2AFC7E17">
      <w:pPr>
        <w:rPr>
          <w:rFonts w:ascii="宋体" w:hAnsi="宋体" w:cs="宋体"/>
          <w:sz w:val="32"/>
          <w:szCs w:val="32"/>
        </w:rPr>
      </w:pPr>
      <w:r>
        <w:rPr>
          <w:sz w:val="24"/>
        </w:rPr>
        <w:t>法定代表人（委托代理人）：（签字）</w:t>
      </w:r>
      <w:r>
        <w:rPr>
          <w:rFonts w:ascii="宋体" w:hAnsi="宋体" w:cs="宋体"/>
          <w:sz w:val="32"/>
          <w:szCs w:val="32"/>
        </w:rPr>
        <w:br w:type="page"/>
      </w:r>
    </w:p>
    <w:bookmarkEnd w:id="40"/>
    <w:bookmarkEnd w:id="41"/>
    <w:p w14:paraId="37CE5704">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5</w:t>
      </w:r>
      <w:r>
        <w:rPr>
          <w:rFonts w:hint="eastAsia" w:ascii="宋体" w:hAnsi="宋体" w:eastAsia="宋体" w:cs="宋体"/>
          <w:sz w:val="32"/>
          <w:szCs w:val="32"/>
        </w:rPr>
        <w:t>设备质量承诺函</w:t>
      </w:r>
    </w:p>
    <w:p w14:paraId="10948D76">
      <w:pPr>
        <w:spacing w:line="240" w:lineRule="exact"/>
        <w:rPr>
          <w:rFonts w:ascii="宋体" w:hAnsi="宋体"/>
        </w:rPr>
      </w:pPr>
    </w:p>
    <w:p w14:paraId="363A9C29">
      <w:pPr>
        <w:spacing w:line="360" w:lineRule="auto"/>
        <w:rPr>
          <w:rFonts w:ascii="宋体" w:hAnsi="宋体" w:cs="宋体"/>
          <w:sz w:val="24"/>
          <w:szCs w:val="24"/>
        </w:rPr>
      </w:pPr>
      <w:r>
        <w:rPr>
          <w:rFonts w:hint="eastAsia" w:ascii="宋体" w:hAnsi="宋体"/>
          <w:sz w:val="24"/>
        </w:rPr>
        <w:t>项目名称</w:t>
      </w:r>
      <w:r>
        <w:rPr>
          <w:rFonts w:ascii="宋体" w:hAnsi="宋体"/>
          <w:sz w:val="24"/>
        </w:rPr>
        <w:t>:</w:t>
      </w:r>
      <w:r>
        <w:rPr>
          <w:rFonts w:hint="eastAsia" w:ascii="宋体" w:hAnsi="宋体" w:cs="宋体"/>
          <w:sz w:val="24"/>
          <w:szCs w:val="24"/>
        </w:rPr>
        <w:t>成都王牌新增上网行为管理设备项目</w:t>
      </w:r>
    </w:p>
    <w:p w14:paraId="3E7DAE09">
      <w:pPr>
        <w:spacing w:line="360" w:lineRule="auto"/>
        <w:rPr>
          <w:rFonts w:ascii="宋体" w:hAnsi="Calibri"/>
          <w:b/>
          <w:bCs/>
          <w:sz w:val="24"/>
        </w:rPr>
      </w:pPr>
      <w:r>
        <w:rPr>
          <w:rFonts w:hint="eastAsia" w:ascii="宋体" w:hAnsi="宋体"/>
          <w:b/>
          <w:bCs/>
          <w:sz w:val="24"/>
        </w:rPr>
        <w:t>中国重汽集团成都王牌商用车有限公司：</w:t>
      </w:r>
    </w:p>
    <w:p w14:paraId="12B79C5A">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68D56706">
      <w:pPr>
        <w:spacing w:line="360" w:lineRule="auto"/>
        <w:ind w:firstLine="480" w:firstLineChars="200"/>
        <w:rPr>
          <w:rFonts w:ascii="宋体" w:hAnsi="宋体"/>
          <w:sz w:val="24"/>
          <w:u w:val="single"/>
        </w:rPr>
      </w:pPr>
    </w:p>
    <w:p w14:paraId="49F9C1FC">
      <w:pPr>
        <w:spacing w:line="360" w:lineRule="auto"/>
        <w:ind w:firstLine="480" w:firstLineChars="200"/>
        <w:rPr>
          <w:rFonts w:ascii="宋体" w:hAnsi="宋体"/>
          <w:sz w:val="24"/>
          <w:u w:val="single"/>
        </w:rPr>
      </w:pPr>
    </w:p>
    <w:p w14:paraId="0134B55C">
      <w:pPr>
        <w:spacing w:line="360" w:lineRule="auto"/>
        <w:ind w:firstLine="480" w:firstLineChars="200"/>
        <w:rPr>
          <w:rFonts w:ascii="宋体" w:hAnsi="宋体"/>
          <w:sz w:val="24"/>
          <w:u w:val="single"/>
        </w:rPr>
      </w:pPr>
    </w:p>
    <w:p w14:paraId="257AAE62">
      <w:pPr>
        <w:spacing w:line="360" w:lineRule="auto"/>
        <w:ind w:firstLine="480" w:firstLineChars="200"/>
        <w:rPr>
          <w:rFonts w:ascii="宋体" w:hAnsi="宋体"/>
          <w:sz w:val="24"/>
          <w:u w:val="single"/>
        </w:rPr>
      </w:pPr>
    </w:p>
    <w:p w14:paraId="3187BCB2">
      <w:pPr>
        <w:spacing w:line="360" w:lineRule="auto"/>
        <w:ind w:firstLine="480" w:firstLineChars="200"/>
        <w:rPr>
          <w:rFonts w:ascii="宋体" w:hAnsi="宋体"/>
          <w:sz w:val="24"/>
          <w:u w:val="single"/>
        </w:rPr>
      </w:pPr>
    </w:p>
    <w:p w14:paraId="5141CA62">
      <w:pPr>
        <w:spacing w:line="360" w:lineRule="auto"/>
        <w:ind w:firstLine="480" w:firstLineChars="200"/>
        <w:rPr>
          <w:rFonts w:ascii="宋体" w:hAnsi="宋体"/>
          <w:sz w:val="24"/>
          <w:u w:val="single"/>
        </w:rPr>
      </w:pPr>
    </w:p>
    <w:p w14:paraId="6B5CB001">
      <w:pPr>
        <w:spacing w:line="360" w:lineRule="auto"/>
        <w:ind w:firstLine="480" w:firstLineChars="200"/>
        <w:rPr>
          <w:rFonts w:ascii="宋体" w:hAnsi="宋体"/>
          <w:sz w:val="24"/>
          <w:u w:val="single"/>
        </w:rPr>
      </w:pPr>
    </w:p>
    <w:p w14:paraId="6695BFD8">
      <w:pPr>
        <w:spacing w:line="360" w:lineRule="auto"/>
        <w:ind w:firstLine="480" w:firstLineChars="200"/>
        <w:rPr>
          <w:rFonts w:ascii="宋体" w:hAnsi="宋体"/>
          <w:sz w:val="24"/>
          <w:u w:val="single"/>
        </w:rPr>
      </w:pPr>
    </w:p>
    <w:p w14:paraId="5418CFD7">
      <w:pPr>
        <w:spacing w:line="360" w:lineRule="auto"/>
        <w:ind w:firstLine="480" w:firstLineChars="200"/>
        <w:rPr>
          <w:rFonts w:ascii="宋体" w:hAnsi="宋体"/>
          <w:sz w:val="24"/>
          <w:u w:val="single"/>
        </w:rPr>
      </w:pPr>
    </w:p>
    <w:p w14:paraId="41F08C1D">
      <w:pPr>
        <w:spacing w:line="360" w:lineRule="auto"/>
        <w:ind w:firstLine="480" w:firstLineChars="200"/>
        <w:rPr>
          <w:rFonts w:ascii="宋体" w:hAnsi="宋体"/>
          <w:sz w:val="24"/>
          <w:u w:val="single"/>
        </w:rPr>
      </w:pPr>
    </w:p>
    <w:p w14:paraId="661BA920">
      <w:pPr>
        <w:spacing w:line="360" w:lineRule="auto"/>
        <w:ind w:firstLine="480" w:firstLineChars="200"/>
        <w:rPr>
          <w:rFonts w:ascii="宋体" w:hAnsi="宋体"/>
          <w:sz w:val="24"/>
          <w:u w:val="single"/>
        </w:rPr>
      </w:pPr>
    </w:p>
    <w:p w14:paraId="3096F6BB">
      <w:pPr>
        <w:spacing w:line="360" w:lineRule="auto"/>
        <w:ind w:firstLine="480" w:firstLineChars="200"/>
        <w:rPr>
          <w:rFonts w:ascii="宋体" w:hAnsi="宋体"/>
          <w:sz w:val="24"/>
          <w:u w:val="single"/>
        </w:rPr>
      </w:pPr>
    </w:p>
    <w:p w14:paraId="786BF089">
      <w:pPr>
        <w:spacing w:line="360" w:lineRule="auto"/>
        <w:ind w:firstLine="480" w:firstLineChars="200"/>
        <w:rPr>
          <w:rFonts w:ascii="宋体" w:hAnsi="宋体"/>
          <w:sz w:val="24"/>
          <w:u w:val="single"/>
        </w:rPr>
      </w:pPr>
    </w:p>
    <w:p w14:paraId="37EFE332">
      <w:pPr>
        <w:spacing w:line="360" w:lineRule="auto"/>
        <w:ind w:firstLine="480" w:firstLineChars="200"/>
        <w:rPr>
          <w:rFonts w:ascii="宋体" w:hAnsi="宋体"/>
          <w:sz w:val="24"/>
          <w:u w:val="single"/>
        </w:rPr>
      </w:pPr>
    </w:p>
    <w:p w14:paraId="254756C3">
      <w:pPr>
        <w:spacing w:line="360" w:lineRule="auto"/>
        <w:ind w:firstLine="480" w:firstLineChars="200"/>
        <w:rPr>
          <w:rFonts w:ascii="宋体" w:hAnsi="宋体"/>
          <w:sz w:val="24"/>
          <w:u w:val="single"/>
        </w:rPr>
      </w:pPr>
    </w:p>
    <w:p w14:paraId="65BA1D14">
      <w:pPr>
        <w:spacing w:line="360" w:lineRule="auto"/>
        <w:ind w:firstLine="480" w:firstLineChars="200"/>
        <w:rPr>
          <w:rFonts w:ascii="宋体" w:hAnsi="宋体"/>
          <w:sz w:val="24"/>
          <w:u w:val="single"/>
        </w:rPr>
      </w:pPr>
    </w:p>
    <w:p w14:paraId="31C7A26A">
      <w:pPr>
        <w:spacing w:line="360" w:lineRule="auto"/>
        <w:ind w:firstLine="480" w:firstLineChars="200"/>
        <w:rPr>
          <w:rFonts w:ascii="宋体" w:hAnsi="宋体"/>
          <w:sz w:val="24"/>
          <w:u w:val="single"/>
        </w:rPr>
      </w:pPr>
    </w:p>
    <w:p w14:paraId="5E1A839D">
      <w:pPr>
        <w:spacing w:line="360" w:lineRule="auto"/>
        <w:ind w:firstLine="480" w:firstLineChars="200"/>
        <w:rPr>
          <w:rFonts w:ascii="宋体" w:hAnsi="宋体"/>
          <w:sz w:val="24"/>
          <w:u w:val="single"/>
        </w:rPr>
      </w:pPr>
    </w:p>
    <w:p w14:paraId="33BB4B63">
      <w:pPr>
        <w:spacing w:line="360" w:lineRule="auto"/>
        <w:ind w:left="480"/>
        <w:rPr>
          <w:rFonts w:ascii="宋体" w:hAnsi="宋体"/>
          <w:sz w:val="24"/>
        </w:rPr>
      </w:pPr>
    </w:p>
    <w:p w14:paraId="1B36FE1F">
      <w:pPr>
        <w:spacing w:line="660" w:lineRule="exact"/>
        <w:rPr>
          <w:rFonts w:ascii="宋体" w:hAnsi="Calibri"/>
          <w:sz w:val="24"/>
        </w:rPr>
      </w:pPr>
      <w:r>
        <w:rPr>
          <w:rFonts w:hint="eastAsia" w:ascii="宋体" w:hAnsi="宋体"/>
          <w:sz w:val="24"/>
        </w:rPr>
        <w:t>投标人：（盖章）</w:t>
      </w:r>
    </w:p>
    <w:p w14:paraId="7A2007BF">
      <w:pPr>
        <w:spacing w:line="660" w:lineRule="exact"/>
        <w:rPr>
          <w:rFonts w:ascii="宋体" w:hAnsi="Calibri"/>
          <w:sz w:val="24"/>
        </w:rPr>
      </w:pPr>
      <w:r>
        <w:rPr>
          <w:rFonts w:hint="eastAsia" w:ascii="宋体" w:hAnsi="宋体"/>
          <w:sz w:val="24"/>
        </w:rPr>
        <w:t>法定代表人（委托代理人）：（签字）</w:t>
      </w:r>
    </w:p>
    <w:p w14:paraId="6AC6889B">
      <w:pPr>
        <w:spacing w:line="660" w:lineRule="exact"/>
        <w:rPr>
          <w:rFonts w:ascii="宋体" w:hAnsi="宋体"/>
          <w:sz w:val="24"/>
        </w:rPr>
      </w:pPr>
      <w:r>
        <w:rPr>
          <w:rFonts w:hint="eastAsia" w:ascii="宋体" w:hAnsi="宋体"/>
          <w:sz w:val="24"/>
        </w:rPr>
        <w:t>日期：年月日</w:t>
      </w:r>
    </w:p>
    <w:p w14:paraId="24B96411">
      <w:pPr>
        <w:pStyle w:val="25"/>
      </w:pPr>
    </w:p>
    <w:p w14:paraId="26E28F03">
      <w:pPr>
        <w:pStyle w:val="25"/>
      </w:pPr>
    </w:p>
    <w:p w14:paraId="44EB603B">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6</w:t>
      </w:r>
      <w:r>
        <w:rPr>
          <w:rFonts w:hint="eastAsia" w:ascii="宋体" w:hAnsi="宋体" w:eastAsia="宋体" w:cs="宋体"/>
          <w:sz w:val="32"/>
          <w:szCs w:val="32"/>
        </w:rPr>
        <w:t xml:space="preserve"> 开标一览表</w:t>
      </w:r>
    </w:p>
    <w:p w14:paraId="1958C4AF">
      <w:pPr>
        <w:spacing w:line="360" w:lineRule="auto"/>
        <w:jc w:val="center"/>
        <w:rPr>
          <w:rFonts w:ascii="宋体" w:hAnsi="宋体" w:cs="宋体"/>
          <w:b/>
          <w:bCs/>
          <w:sz w:val="32"/>
          <w:szCs w:val="32"/>
        </w:rPr>
      </w:pPr>
      <w:r>
        <w:rPr>
          <w:rFonts w:hint="eastAsia" w:ascii="宋体" w:hAnsi="宋体" w:cs="宋体"/>
          <w:b/>
          <w:bCs/>
          <w:sz w:val="32"/>
          <w:szCs w:val="32"/>
        </w:rPr>
        <w:t>开标一览表</w:t>
      </w:r>
    </w:p>
    <w:p w14:paraId="1CABFBB0">
      <w:pPr>
        <w:spacing w:line="360" w:lineRule="auto"/>
        <w:rPr>
          <w:rFonts w:ascii="宋体" w:hAnsi="宋体"/>
          <w:sz w:val="24"/>
          <w:szCs w:val="24"/>
        </w:rPr>
      </w:pPr>
      <w:r>
        <w:rPr>
          <w:rFonts w:hint="eastAsia" w:ascii="宋体" w:hAnsi="宋体"/>
          <w:sz w:val="24"/>
          <w:szCs w:val="24"/>
        </w:rPr>
        <w:t>项目名称：</w:t>
      </w:r>
      <w:r>
        <w:rPr>
          <w:rFonts w:hint="eastAsia" w:ascii="宋体" w:hAnsi="宋体" w:cs="宋体"/>
          <w:sz w:val="24"/>
          <w:szCs w:val="24"/>
          <w:u w:val="single"/>
        </w:rPr>
        <w:t>成都王牌新增上网行为管理设备项目</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229"/>
        <w:gridCol w:w="853"/>
        <w:gridCol w:w="2454"/>
        <w:gridCol w:w="2354"/>
        <w:gridCol w:w="1776"/>
      </w:tblGrid>
      <w:tr w14:paraId="64C8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0518168D">
            <w:pPr>
              <w:jc w:val="center"/>
              <w:rPr>
                <w:b/>
              </w:rPr>
            </w:pPr>
            <w:r>
              <w:rPr>
                <w:rFonts w:hint="eastAsia"/>
                <w:b/>
              </w:rPr>
              <w:t>序号</w:t>
            </w:r>
          </w:p>
        </w:tc>
        <w:tc>
          <w:tcPr>
            <w:tcW w:w="1229" w:type="dxa"/>
            <w:vAlign w:val="center"/>
          </w:tcPr>
          <w:p w14:paraId="7C105D33">
            <w:pPr>
              <w:jc w:val="center"/>
              <w:rPr>
                <w:b/>
              </w:rPr>
            </w:pPr>
            <w:r>
              <w:rPr>
                <w:rFonts w:hint="eastAsia"/>
                <w:b/>
              </w:rPr>
              <w:t>货物名称</w:t>
            </w:r>
          </w:p>
        </w:tc>
        <w:tc>
          <w:tcPr>
            <w:tcW w:w="853" w:type="dxa"/>
            <w:vAlign w:val="center"/>
          </w:tcPr>
          <w:p w14:paraId="038DCFB9">
            <w:pPr>
              <w:jc w:val="center"/>
              <w:rPr>
                <w:b/>
              </w:rPr>
            </w:pPr>
            <w:r>
              <w:rPr>
                <w:rFonts w:hint="eastAsia"/>
                <w:b/>
              </w:rPr>
              <w:t>数量</w:t>
            </w:r>
          </w:p>
        </w:tc>
        <w:tc>
          <w:tcPr>
            <w:tcW w:w="2454" w:type="dxa"/>
            <w:vAlign w:val="center"/>
          </w:tcPr>
          <w:p w14:paraId="23832B15">
            <w:pPr>
              <w:jc w:val="center"/>
              <w:rPr>
                <w:b/>
              </w:rPr>
            </w:pPr>
            <w:r>
              <w:rPr>
                <w:rFonts w:hint="eastAsia"/>
                <w:b/>
              </w:rPr>
              <w:t>投标总价</w:t>
            </w:r>
            <w:r>
              <w:rPr>
                <w:rFonts w:hint="eastAsia" w:ascii="等线" w:hAnsi="等线" w:eastAsia="等线"/>
                <w:b/>
              </w:rPr>
              <w:t>（元）</w:t>
            </w:r>
          </w:p>
        </w:tc>
        <w:tc>
          <w:tcPr>
            <w:tcW w:w="0" w:type="auto"/>
            <w:vAlign w:val="center"/>
          </w:tcPr>
          <w:p w14:paraId="47E506C7">
            <w:pPr>
              <w:jc w:val="center"/>
              <w:rPr>
                <w:b/>
              </w:rPr>
            </w:pPr>
            <w:r>
              <w:rPr>
                <w:rFonts w:hint="eastAsia"/>
                <w:b/>
              </w:rPr>
              <w:t>付款方式及比例如何响应</w:t>
            </w:r>
          </w:p>
        </w:tc>
        <w:tc>
          <w:tcPr>
            <w:tcW w:w="0" w:type="auto"/>
            <w:vAlign w:val="center"/>
          </w:tcPr>
          <w:p w14:paraId="01D36CF3">
            <w:pPr>
              <w:jc w:val="center"/>
              <w:rPr>
                <w:rFonts w:ascii="等线" w:hAnsi="等线" w:eastAsia="等线"/>
                <w:b/>
              </w:rPr>
            </w:pPr>
            <w:r>
              <w:rPr>
                <w:rFonts w:hint="eastAsia"/>
                <w:b/>
              </w:rPr>
              <w:t>商务条款是否偏离</w:t>
            </w:r>
          </w:p>
        </w:tc>
      </w:tr>
      <w:tr w14:paraId="75CF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29D9B3FB">
            <w:pPr>
              <w:jc w:val="center"/>
              <w:rPr>
                <w:b/>
              </w:rPr>
            </w:pPr>
            <w:r>
              <w:rPr>
                <w:rFonts w:hint="eastAsia"/>
                <w:b/>
              </w:rPr>
              <w:t>1</w:t>
            </w:r>
          </w:p>
        </w:tc>
        <w:tc>
          <w:tcPr>
            <w:tcW w:w="1229" w:type="dxa"/>
            <w:vAlign w:val="center"/>
          </w:tcPr>
          <w:p w14:paraId="3EA19CB9">
            <w:pPr>
              <w:jc w:val="center"/>
              <w:rPr>
                <w:b/>
              </w:rPr>
            </w:pPr>
          </w:p>
        </w:tc>
        <w:tc>
          <w:tcPr>
            <w:tcW w:w="853" w:type="dxa"/>
            <w:vAlign w:val="center"/>
          </w:tcPr>
          <w:p w14:paraId="0116EDA9">
            <w:pPr>
              <w:jc w:val="center"/>
              <w:rPr>
                <w:b/>
              </w:rPr>
            </w:pPr>
            <w:r>
              <w:rPr>
                <w:rFonts w:hint="eastAsia"/>
                <w:b/>
              </w:rPr>
              <w:t>1</w:t>
            </w:r>
          </w:p>
        </w:tc>
        <w:tc>
          <w:tcPr>
            <w:tcW w:w="2454" w:type="dxa"/>
            <w:vAlign w:val="center"/>
          </w:tcPr>
          <w:p w14:paraId="191B0EE5">
            <w:pPr>
              <w:jc w:val="left"/>
              <w:rPr>
                <w:rFonts w:ascii="等线" w:hAnsi="等线" w:eastAsia="等线"/>
                <w:b/>
              </w:rPr>
            </w:pPr>
            <w:r>
              <w:rPr>
                <w:rFonts w:hint="eastAsia" w:ascii="等线" w:hAnsi="等线" w:eastAsia="等线"/>
                <w:b/>
              </w:rPr>
              <w:t>不含税价：</w:t>
            </w:r>
          </w:p>
          <w:p w14:paraId="3D852486">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2F23AB18">
            <w:pPr>
              <w:jc w:val="left"/>
              <w:rPr>
                <w:b/>
              </w:rPr>
            </w:pPr>
            <w:r>
              <w:rPr>
                <w:rFonts w:hint="eastAsia" w:ascii="等线" w:hAnsi="等线" w:eastAsia="等线"/>
                <w:b/>
              </w:rPr>
              <w:t>税率：</w:t>
            </w:r>
          </w:p>
        </w:tc>
        <w:tc>
          <w:tcPr>
            <w:tcW w:w="0" w:type="auto"/>
            <w:vAlign w:val="center"/>
          </w:tcPr>
          <w:p w14:paraId="306C4980">
            <w:pPr>
              <w:jc w:val="center"/>
              <w:rPr>
                <w:b/>
              </w:rPr>
            </w:pPr>
          </w:p>
        </w:tc>
        <w:tc>
          <w:tcPr>
            <w:tcW w:w="0" w:type="auto"/>
            <w:vAlign w:val="center"/>
          </w:tcPr>
          <w:p w14:paraId="45AF50F4">
            <w:pPr>
              <w:jc w:val="center"/>
              <w:rPr>
                <w:b/>
              </w:rPr>
            </w:pPr>
          </w:p>
        </w:tc>
      </w:tr>
    </w:tbl>
    <w:p w14:paraId="01D4BA5B">
      <w:pPr>
        <w:rPr>
          <w:rFonts w:ascii="宋体" w:hAnsi="Arial"/>
          <w:sz w:val="24"/>
          <w:szCs w:val="24"/>
        </w:rPr>
      </w:pPr>
    </w:p>
    <w:p w14:paraId="3BF84CE3">
      <w:pPr>
        <w:spacing w:line="400" w:lineRule="exact"/>
        <w:rPr>
          <w:rFonts w:ascii="宋体" w:hAnsi="Calibri"/>
          <w:szCs w:val="21"/>
        </w:rPr>
      </w:pPr>
      <w:r>
        <w:rPr>
          <w:rFonts w:hint="eastAsia" w:ascii="宋体" w:hAnsi="宋体"/>
          <w:b/>
          <w:bCs/>
          <w:szCs w:val="21"/>
        </w:rPr>
        <w:t>注：</w:t>
      </w:r>
    </w:p>
    <w:p w14:paraId="19138DB0">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w:t>
      </w:r>
    </w:p>
    <w:p w14:paraId="2200E491">
      <w:pPr>
        <w:spacing w:line="300" w:lineRule="auto"/>
        <w:rPr>
          <w:rFonts w:ascii="宋体" w:hAnsi="宋体" w:cs="宋体"/>
          <w:b/>
        </w:rPr>
      </w:pPr>
      <w:r>
        <w:rPr>
          <w:rFonts w:hint="eastAsia" w:ascii="宋体" w:hAnsi="宋体" w:cs="宋体"/>
          <w:b/>
        </w:rPr>
        <w:t>2.需写明含税价、不含税价格、税率。</w:t>
      </w:r>
    </w:p>
    <w:p w14:paraId="37667B14">
      <w:pPr>
        <w:spacing w:line="300" w:lineRule="auto"/>
        <w:rPr>
          <w:rFonts w:ascii="宋体" w:hAnsi="宋体" w:cs="宋体"/>
          <w:b/>
        </w:rPr>
      </w:pPr>
      <w:r>
        <w:rPr>
          <w:rFonts w:hint="eastAsia" w:ascii="宋体" w:hAnsi="宋体" w:cs="宋体"/>
          <w:b/>
        </w:rPr>
        <w:t>3.投标总价包括设备费、调试费、备品备件、特殊工具、运杂费、装卸费、技术服务费、保险费及增值税和其它税费。</w:t>
      </w:r>
    </w:p>
    <w:p w14:paraId="43C05DC8">
      <w:pPr>
        <w:pStyle w:val="25"/>
        <w:rPr>
          <w:rFonts w:hAnsi="宋体"/>
          <w:b/>
          <w:bCs/>
          <w:szCs w:val="21"/>
        </w:rPr>
      </w:pPr>
    </w:p>
    <w:p w14:paraId="261FE7D0">
      <w:pPr>
        <w:pStyle w:val="25"/>
        <w:rPr>
          <w:rFonts w:hAnsi="宋体"/>
          <w:b/>
          <w:bCs/>
          <w:szCs w:val="21"/>
        </w:rPr>
      </w:pPr>
    </w:p>
    <w:p w14:paraId="7DE6F20F">
      <w:pPr>
        <w:spacing w:line="660" w:lineRule="exact"/>
        <w:jc w:val="center"/>
        <w:rPr>
          <w:rFonts w:ascii="宋体" w:hAnsi="Calibri"/>
          <w:sz w:val="24"/>
        </w:rPr>
      </w:pPr>
      <w:r>
        <w:rPr>
          <w:rFonts w:hint="eastAsia" w:ascii="宋体" w:hAnsi="宋体"/>
          <w:sz w:val="24"/>
        </w:rPr>
        <w:t xml:space="preserve">                        投标人：（盖章）</w:t>
      </w:r>
    </w:p>
    <w:p w14:paraId="50AFA6CF">
      <w:pPr>
        <w:spacing w:line="660" w:lineRule="exact"/>
        <w:jc w:val="right"/>
        <w:rPr>
          <w:rFonts w:ascii="宋体" w:hAnsi="Calibri"/>
          <w:sz w:val="24"/>
        </w:rPr>
      </w:pPr>
      <w:r>
        <w:rPr>
          <w:rFonts w:hint="eastAsia" w:ascii="宋体" w:hAnsi="宋体"/>
          <w:sz w:val="24"/>
        </w:rPr>
        <w:t>法定代表人（委托代理人）：（签字）</w:t>
      </w:r>
    </w:p>
    <w:p w14:paraId="20EDCA0F">
      <w:pPr>
        <w:spacing w:line="660" w:lineRule="exact"/>
        <w:jc w:val="center"/>
        <w:rPr>
          <w:rFonts w:ascii="宋体" w:hAnsi="Calibri"/>
          <w:sz w:val="24"/>
        </w:rPr>
      </w:pPr>
      <w:r>
        <w:rPr>
          <w:rFonts w:hint="eastAsia" w:ascii="宋体" w:hAnsi="宋体"/>
          <w:sz w:val="24"/>
        </w:rPr>
        <w:t xml:space="preserve">                                     日期：年月日</w:t>
      </w:r>
    </w:p>
    <w:p w14:paraId="51A0BFC9">
      <w:pPr>
        <w:pStyle w:val="107"/>
      </w:pPr>
    </w:p>
    <w:p w14:paraId="4D600611">
      <w:pPr>
        <w:pStyle w:val="107"/>
      </w:pPr>
    </w:p>
    <w:p w14:paraId="18ABF633">
      <w:pPr>
        <w:pStyle w:val="107"/>
      </w:pPr>
    </w:p>
    <w:p w14:paraId="473CBBE0">
      <w:pPr>
        <w:pStyle w:val="107"/>
      </w:pPr>
    </w:p>
    <w:p w14:paraId="61064B3A">
      <w:pPr>
        <w:pStyle w:val="107"/>
      </w:pPr>
    </w:p>
    <w:p w14:paraId="0AB77DF7">
      <w:pPr>
        <w:pStyle w:val="107"/>
      </w:pPr>
    </w:p>
    <w:p w14:paraId="1EC17800">
      <w:pPr>
        <w:pStyle w:val="107"/>
      </w:pPr>
    </w:p>
    <w:p w14:paraId="7A6CD425">
      <w:pPr>
        <w:pStyle w:val="107"/>
      </w:pPr>
    </w:p>
    <w:p w14:paraId="398FAF1E">
      <w:pPr>
        <w:pStyle w:val="107"/>
      </w:pPr>
    </w:p>
    <w:p w14:paraId="6D906F96">
      <w:pPr>
        <w:pStyle w:val="107"/>
      </w:pPr>
    </w:p>
    <w:p w14:paraId="35BCAD6F">
      <w:pPr>
        <w:pStyle w:val="107"/>
      </w:pPr>
    </w:p>
    <w:p w14:paraId="0BF1A83A">
      <w:pPr>
        <w:pStyle w:val="102"/>
        <w:numPr>
          <w:ilvl w:val="0"/>
          <w:numId w:val="0"/>
        </w:numPr>
        <w:rPr>
          <w:rFonts w:ascii="宋体" w:hAnsi="宋体" w:eastAsia="宋体" w:cs="宋体"/>
          <w:sz w:val="32"/>
          <w:szCs w:val="32"/>
        </w:rPr>
      </w:pPr>
      <w:r>
        <w:rPr>
          <w:rFonts w:hint="eastAsia" w:ascii="宋体" w:hAnsi="宋体" w:eastAsia="宋体" w:cs="宋体"/>
          <w:sz w:val="32"/>
          <w:szCs w:val="32"/>
        </w:rPr>
        <w:t>附件7 商务条款偏离表</w:t>
      </w:r>
    </w:p>
    <w:p w14:paraId="5EF042A1">
      <w:pPr>
        <w:spacing w:line="360" w:lineRule="auto"/>
        <w:jc w:val="center"/>
        <w:rPr>
          <w:rFonts w:ascii="宋体" w:hAnsi="宋体" w:cs="宋体"/>
          <w:b/>
          <w:bCs/>
          <w:sz w:val="32"/>
          <w:szCs w:val="32"/>
        </w:rPr>
      </w:pPr>
      <w:r>
        <w:rPr>
          <w:rFonts w:hint="eastAsia" w:ascii="宋体" w:hAnsi="宋体" w:cs="宋体"/>
          <w:b/>
          <w:bCs/>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7A6C23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94608E7">
            <w:pPr>
              <w:jc w:val="center"/>
              <w:rPr>
                <w:b/>
              </w:rPr>
            </w:pPr>
            <w:r>
              <w:rPr>
                <w:rFonts w:hint="eastAsia" w:ascii="宋体" w:hAnsi="宋体" w:cs="宋体"/>
                <w:b/>
              </w:rPr>
              <w:t>成都王牌新增上网行为管理设备项目</w:t>
            </w:r>
          </w:p>
        </w:tc>
        <w:tc>
          <w:tcPr>
            <w:tcW w:w="2875" w:type="dxa"/>
            <w:tcBorders>
              <w:top w:val="single" w:color="auto" w:sz="4" w:space="0"/>
              <w:left w:val="single" w:color="auto" w:sz="4" w:space="0"/>
              <w:bottom w:val="single" w:color="auto" w:sz="4" w:space="0"/>
              <w:right w:val="single" w:color="auto" w:sz="4" w:space="0"/>
            </w:tcBorders>
            <w:vAlign w:val="center"/>
          </w:tcPr>
          <w:p w14:paraId="34F68FA6">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7379A9FE">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29B8A59E">
            <w:pPr>
              <w:jc w:val="center"/>
              <w:rPr>
                <w:b/>
              </w:rPr>
            </w:pPr>
            <w:r>
              <w:rPr>
                <w:rFonts w:hint="eastAsia" w:ascii="宋体" w:hAnsi="宋体" w:cs="宋体"/>
                <w:b/>
              </w:rPr>
              <w:t>是否偏离</w:t>
            </w:r>
          </w:p>
          <w:p w14:paraId="26243788">
            <w:pPr>
              <w:jc w:val="center"/>
              <w:rPr>
                <w:b/>
              </w:rPr>
            </w:pPr>
            <w:r>
              <w:rPr>
                <w:rFonts w:hint="eastAsia" w:ascii="宋体" w:hAnsi="宋体" w:cs="宋体"/>
                <w:b/>
              </w:rPr>
              <w:t>（提供说明）</w:t>
            </w:r>
          </w:p>
        </w:tc>
      </w:tr>
      <w:tr w14:paraId="06F9F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A94EEF7">
            <w:pPr>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4EE83098">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378549F">
            <w:pPr>
              <w:jc w:val="center"/>
              <w:rPr>
                <w:b/>
                <w:szCs w:val="21"/>
              </w:rPr>
            </w:pPr>
          </w:p>
        </w:tc>
        <w:tc>
          <w:tcPr>
            <w:tcW w:w="1645" w:type="dxa"/>
            <w:tcBorders>
              <w:top w:val="single" w:color="auto" w:sz="4" w:space="0"/>
              <w:left w:val="single" w:color="auto" w:sz="4" w:space="0"/>
              <w:bottom w:val="single" w:color="auto" w:sz="4" w:space="0"/>
            </w:tcBorders>
            <w:vAlign w:val="center"/>
          </w:tcPr>
          <w:p w14:paraId="4055C58A">
            <w:pPr>
              <w:jc w:val="center"/>
              <w:rPr>
                <w:b/>
                <w:szCs w:val="21"/>
              </w:rPr>
            </w:pPr>
          </w:p>
        </w:tc>
      </w:tr>
      <w:tr w14:paraId="503764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01637D3">
            <w:pPr>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36194E33">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0A4CDADB">
            <w:pPr>
              <w:jc w:val="center"/>
              <w:rPr>
                <w:b/>
                <w:szCs w:val="21"/>
              </w:rPr>
            </w:pPr>
          </w:p>
        </w:tc>
        <w:tc>
          <w:tcPr>
            <w:tcW w:w="1645" w:type="dxa"/>
            <w:tcBorders>
              <w:top w:val="single" w:color="auto" w:sz="4" w:space="0"/>
              <w:left w:val="single" w:color="auto" w:sz="4" w:space="0"/>
              <w:bottom w:val="single" w:color="auto" w:sz="4" w:space="0"/>
            </w:tcBorders>
            <w:vAlign w:val="center"/>
          </w:tcPr>
          <w:p w14:paraId="16323626">
            <w:pPr>
              <w:jc w:val="center"/>
              <w:rPr>
                <w:b/>
              </w:rPr>
            </w:pPr>
          </w:p>
        </w:tc>
      </w:tr>
      <w:tr w14:paraId="234CC5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7ABE255">
            <w:pPr>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088EFEE8">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1F7988E3">
            <w:pPr>
              <w:jc w:val="center"/>
              <w:rPr>
                <w:b/>
                <w:szCs w:val="21"/>
              </w:rPr>
            </w:pPr>
          </w:p>
        </w:tc>
        <w:tc>
          <w:tcPr>
            <w:tcW w:w="1645" w:type="dxa"/>
            <w:tcBorders>
              <w:top w:val="single" w:color="auto" w:sz="4" w:space="0"/>
              <w:left w:val="single" w:color="auto" w:sz="4" w:space="0"/>
              <w:bottom w:val="single" w:color="auto" w:sz="4" w:space="0"/>
            </w:tcBorders>
            <w:vAlign w:val="center"/>
          </w:tcPr>
          <w:p w14:paraId="1A768778">
            <w:pPr>
              <w:jc w:val="center"/>
              <w:rPr>
                <w:b/>
              </w:rPr>
            </w:pPr>
          </w:p>
        </w:tc>
      </w:tr>
    </w:tbl>
    <w:p w14:paraId="24DF1E41">
      <w:pPr>
        <w:spacing w:line="360" w:lineRule="auto"/>
        <w:ind w:firstLine="480" w:firstLineChars="200"/>
        <w:rPr>
          <w:rFonts w:ascii="宋体" w:hAnsi="宋体"/>
          <w:sz w:val="24"/>
          <w:szCs w:val="24"/>
        </w:rPr>
      </w:pPr>
      <w:r>
        <w:rPr>
          <w:rFonts w:hint="eastAsia" w:ascii="宋体" w:hAnsi="宋体"/>
          <w:sz w:val="24"/>
          <w:szCs w:val="24"/>
        </w:rPr>
        <w:t>投标人名称：授权代表签字：日期：</w:t>
      </w:r>
    </w:p>
    <w:p w14:paraId="6B0DE3D1">
      <w:pPr>
        <w:spacing w:line="360" w:lineRule="auto"/>
        <w:ind w:firstLine="480" w:firstLineChars="200"/>
        <w:rPr>
          <w:rFonts w:ascii="宋体" w:hAnsi="宋体"/>
          <w:sz w:val="24"/>
          <w:szCs w:val="24"/>
        </w:rPr>
      </w:pPr>
      <w:r>
        <w:rPr>
          <w:rFonts w:hint="eastAsia" w:ascii="宋体" w:hAnsi="宋体"/>
          <w:sz w:val="24"/>
          <w:szCs w:val="24"/>
        </w:rPr>
        <w:t>注：为避免歧义，无偏离也应要提报该表，并注明“无”字。如无该表则即使在其它部分已反映，将也被视为“无偏离”。</w:t>
      </w:r>
    </w:p>
    <w:p w14:paraId="2AC873F5">
      <w:pPr>
        <w:pStyle w:val="21"/>
      </w:pPr>
    </w:p>
    <w:p w14:paraId="119CFEE7">
      <w:pPr>
        <w:pStyle w:val="107"/>
        <w:rPr>
          <w:rFonts w:hAnsi="宋体"/>
          <w:sz w:val="24"/>
        </w:rPr>
      </w:pPr>
    </w:p>
    <w:p w14:paraId="620B5009">
      <w:pPr>
        <w:pStyle w:val="107"/>
        <w:rPr>
          <w:rFonts w:hAnsi="宋体"/>
          <w:sz w:val="24"/>
        </w:rPr>
      </w:pPr>
    </w:p>
    <w:p w14:paraId="58FD079E">
      <w:pPr>
        <w:pStyle w:val="107"/>
        <w:rPr>
          <w:rFonts w:hAnsi="宋体"/>
          <w:sz w:val="24"/>
        </w:rPr>
      </w:pPr>
    </w:p>
    <w:p w14:paraId="26CC78D5">
      <w:pPr>
        <w:pStyle w:val="107"/>
        <w:rPr>
          <w:rFonts w:hAnsi="宋体"/>
          <w:sz w:val="24"/>
        </w:rPr>
      </w:pPr>
    </w:p>
    <w:p w14:paraId="52EB785D">
      <w:pPr>
        <w:pStyle w:val="107"/>
        <w:rPr>
          <w:rFonts w:hAnsi="宋体"/>
          <w:sz w:val="24"/>
        </w:rPr>
      </w:pPr>
    </w:p>
    <w:p w14:paraId="6B576650">
      <w:pPr>
        <w:pStyle w:val="107"/>
        <w:rPr>
          <w:rFonts w:hAnsi="宋体"/>
          <w:sz w:val="24"/>
        </w:rPr>
      </w:pPr>
    </w:p>
    <w:p w14:paraId="43DDA1B8">
      <w:pPr>
        <w:pStyle w:val="107"/>
        <w:rPr>
          <w:rFonts w:hAnsi="宋体"/>
          <w:sz w:val="24"/>
        </w:rPr>
      </w:pPr>
    </w:p>
    <w:p w14:paraId="24B137FB">
      <w:pPr>
        <w:pStyle w:val="107"/>
        <w:rPr>
          <w:rFonts w:hAnsi="宋体"/>
          <w:sz w:val="24"/>
        </w:rPr>
      </w:pPr>
    </w:p>
    <w:p w14:paraId="1CB9ED58">
      <w:pPr>
        <w:pStyle w:val="107"/>
        <w:rPr>
          <w:rFonts w:hAnsi="宋体"/>
          <w:sz w:val="24"/>
        </w:rPr>
      </w:pPr>
    </w:p>
    <w:p w14:paraId="05AE05D3">
      <w:pPr>
        <w:pStyle w:val="107"/>
        <w:rPr>
          <w:rFonts w:hAnsi="宋体"/>
          <w:sz w:val="24"/>
        </w:rPr>
      </w:pPr>
    </w:p>
    <w:p w14:paraId="5FE99C9A">
      <w:pPr>
        <w:pStyle w:val="107"/>
        <w:rPr>
          <w:rFonts w:hAnsi="宋体"/>
          <w:sz w:val="24"/>
        </w:rPr>
      </w:pPr>
    </w:p>
    <w:p w14:paraId="21C23FF7">
      <w:pPr>
        <w:pStyle w:val="107"/>
        <w:rPr>
          <w:rFonts w:hAnsi="宋体"/>
          <w:sz w:val="24"/>
        </w:rPr>
      </w:pPr>
    </w:p>
    <w:p w14:paraId="1AF8AAF2">
      <w:pPr>
        <w:pStyle w:val="107"/>
        <w:rPr>
          <w:rFonts w:hAnsi="宋体"/>
          <w:sz w:val="24"/>
        </w:rPr>
      </w:pPr>
    </w:p>
    <w:p w14:paraId="5862CE7B">
      <w:pPr>
        <w:pStyle w:val="107"/>
        <w:rPr>
          <w:rFonts w:hAnsi="宋体"/>
          <w:sz w:val="24"/>
        </w:rPr>
      </w:pPr>
    </w:p>
    <w:p w14:paraId="51AD4C68">
      <w:pPr>
        <w:pStyle w:val="107"/>
        <w:rPr>
          <w:rFonts w:hAnsi="宋体"/>
          <w:sz w:val="24"/>
        </w:rPr>
      </w:pPr>
    </w:p>
    <w:p w14:paraId="457E4158">
      <w:pPr>
        <w:pStyle w:val="107"/>
        <w:rPr>
          <w:rFonts w:hAnsi="宋体"/>
          <w:sz w:val="24"/>
        </w:rPr>
      </w:pPr>
    </w:p>
    <w:p w14:paraId="268E6C23">
      <w:pPr>
        <w:pStyle w:val="107"/>
        <w:rPr>
          <w:rFonts w:hAnsi="宋体"/>
          <w:sz w:val="24"/>
        </w:rPr>
      </w:pPr>
    </w:p>
    <w:p w14:paraId="5C51155B">
      <w:pPr>
        <w:pStyle w:val="102"/>
        <w:numPr>
          <w:ilvl w:val="0"/>
          <w:numId w:val="0"/>
        </w:numPr>
        <w:rPr>
          <w:rFonts w:ascii="宋体" w:hAnsi="宋体" w:eastAsia="宋体" w:cs="宋体"/>
          <w:sz w:val="32"/>
          <w:szCs w:val="32"/>
        </w:rPr>
      </w:pPr>
      <w:r>
        <w:rPr>
          <w:rFonts w:hint="eastAsia" w:ascii="宋体" w:hAnsi="宋体" w:eastAsia="宋体" w:cs="宋体"/>
          <w:sz w:val="32"/>
          <w:szCs w:val="32"/>
        </w:rPr>
        <w:t>附件8 分项报价表</w:t>
      </w:r>
    </w:p>
    <w:tbl>
      <w:tblPr>
        <w:tblStyle w:val="45"/>
        <w:tblW w:w="7750" w:type="dxa"/>
        <w:tblInd w:w="0" w:type="dxa"/>
        <w:tblLayout w:type="autofit"/>
        <w:tblCellMar>
          <w:top w:w="0" w:type="dxa"/>
          <w:left w:w="108" w:type="dxa"/>
          <w:bottom w:w="0" w:type="dxa"/>
          <w:right w:w="108" w:type="dxa"/>
        </w:tblCellMar>
      </w:tblPr>
      <w:tblGrid>
        <w:gridCol w:w="616"/>
        <w:gridCol w:w="2262"/>
        <w:gridCol w:w="1327"/>
        <w:gridCol w:w="673"/>
        <w:gridCol w:w="1924"/>
        <w:gridCol w:w="948"/>
      </w:tblGrid>
      <w:tr w14:paraId="09E1810D">
        <w:tblPrEx>
          <w:tblCellMar>
            <w:top w:w="0" w:type="dxa"/>
            <w:left w:w="108" w:type="dxa"/>
            <w:bottom w:w="0" w:type="dxa"/>
            <w:right w:w="108" w:type="dxa"/>
          </w:tblCellMar>
        </w:tblPrEx>
        <w:trPr>
          <w:trHeight w:val="5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80ECC">
            <w:pPr>
              <w:widowControl/>
              <w:jc w:val="center"/>
              <w:textAlignment w:val="center"/>
              <w:rPr>
                <w:rFonts w:ascii="宋体" w:hAnsi="宋体" w:cs="宋体"/>
                <w:sz w:val="24"/>
                <w:szCs w:val="24"/>
              </w:rPr>
            </w:pPr>
            <w:r>
              <w:rPr>
                <w:rFonts w:hint="eastAsia" w:ascii="宋体" w:hAnsi="宋体" w:cs="宋体"/>
                <w:kern w:val="0"/>
                <w:sz w:val="24"/>
                <w:szCs w:val="24"/>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B4173">
            <w:pPr>
              <w:widowControl/>
              <w:jc w:val="center"/>
              <w:textAlignment w:val="center"/>
              <w:rPr>
                <w:rFonts w:ascii="宋体" w:hAnsi="宋体" w:cs="宋体"/>
                <w:sz w:val="24"/>
                <w:szCs w:val="24"/>
              </w:rPr>
            </w:pPr>
            <w:r>
              <w:rPr>
                <w:rFonts w:hint="eastAsia" w:ascii="宋体" w:hAnsi="宋体" w:cs="宋体"/>
                <w:kern w:val="0"/>
                <w:sz w:val="24"/>
                <w:szCs w:val="24"/>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D977">
            <w:pPr>
              <w:widowControl/>
              <w:jc w:val="center"/>
              <w:textAlignment w:val="center"/>
              <w:rPr>
                <w:rFonts w:ascii="宋体" w:hAnsi="宋体" w:cs="宋体"/>
                <w:sz w:val="24"/>
                <w:szCs w:val="24"/>
              </w:rPr>
            </w:pPr>
            <w:r>
              <w:rPr>
                <w:rFonts w:hint="eastAsia" w:ascii="宋体" w:hAnsi="宋体" w:cs="宋体"/>
                <w:kern w:val="0"/>
                <w:sz w:val="24"/>
                <w:szCs w:val="24"/>
              </w:rPr>
              <w:t>预计数量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0C6FB">
            <w:pPr>
              <w:widowControl/>
              <w:jc w:val="center"/>
              <w:textAlignment w:val="center"/>
              <w:rPr>
                <w:rFonts w:ascii="宋体" w:hAnsi="宋体" w:cs="宋体"/>
                <w:sz w:val="24"/>
                <w:szCs w:val="24"/>
              </w:rPr>
            </w:pPr>
            <w:r>
              <w:rPr>
                <w:rFonts w:hint="eastAsia" w:ascii="宋体" w:hAnsi="宋体" w:cs="宋体"/>
                <w:kern w:val="0"/>
                <w:sz w:val="24"/>
                <w:szCs w:val="24"/>
              </w:rPr>
              <w:t>单位</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E7F3">
            <w:pPr>
              <w:widowControl/>
              <w:jc w:val="center"/>
              <w:textAlignment w:val="center"/>
              <w:rPr>
                <w:rFonts w:ascii="宋体" w:hAnsi="宋体" w:cs="宋体"/>
                <w:sz w:val="24"/>
                <w:szCs w:val="24"/>
              </w:rPr>
            </w:pPr>
            <w:r>
              <w:rPr>
                <w:rFonts w:hint="eastAsia" w:ascii="宋体" w:hAnsi="宋体" w:cs="宋体"/>
                <w:kern w:val="0"/>
                <w:sz w:val="24"/>
                <w:szCs w:val="24"/>
              </w:rPr>
              <w:t>未税单价（元）</w:t>
            </w:r>
          </w:p>
        </w:tc>
        <w:tc>
          <w:tcPr>
            <w:tcW w:w="948" w:type="dxa"/>
            <w:tcBorders>
              <w:top w:val="single" w:color="000000" w:sz="4" w:space="0"/>
              <w:left w:val="single" w:color="000000" w:sz="4" w:space="0"/>
              <w:right w:val="single" w:color="000000" w:sz="4" w:space="0"/>
            </w:tcBorders>
            <w:vAlign w:val="center"/>
          </w:tcPr>
          <w:p w14:paraId="7181992E">
            <w:pPr>
              <w:widowControl/>
              <w:jc w:val="center"/>
              <w:textAlignment w:val="center"/>
              <w:rPr>
                <w:rFonts w:ascii="宋体" w:hAnsi="宋体" w:cs="宋体"/>
                <w:kern w:val="0"/>
                <w:sz w:val="24"/>
                <w:szCs w:val="24"/>
              </w:rPr>
            </w:pPr>
            <w:r>
              <w:rPr>
                <w:rFonts w:hint="eastAsia" w:ascii="宋体" w:hAnsi="宋体" w:cs="宋体"/>
                <w:kern w:val="0"/>
                <w:sz w:val="24"/>
                <w:szCs w:val="24"/>
              </w:rPr>
              <w:t>小计</w:t>
            </w:r>
          </w:p>
        </w:tc>
      </w:tr>
      <w:tr w14:paraId="3AE54812">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162895D8">
            <w:pPr>
              <w:widowControl/>
              <w:jc w:val="center"/>
              <w:rPr>
                <w:sz w:val="32"/>
                <w:szCs w:val="32"/>
              </w:rPr>
            </w:pPr>
            <w:r>
              <w:rPr>
                <w:rFonts w:hint="eastAsia"/>
                <w:sz w:val="32"/>
                <w:szCs w:val="32"/>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509200A">
            <w:pPr>
              <w:widowControl/>
              <w:jc w:val="center"/>
              <w:textAlignment w:val="center"/>
              <w:rPr>
                <w:rFonts w:ascii="宋体" w:hAnsi="宋体" w:cs="宋体"/>
                <w:kern w:val="0"/>
                <w:sz w:val="24"/>
                <w:szCs w:val="24"/>
              </w:rPr>
            </w:pPr>
            <w:r>
              <w:rPr>
                <w:rFonts w:hint="eastAsia" w:ascii="宋体" w:hAnsi="宋体" w:cs="宋体"/>
                <w:sz w:val="24"/>
                <w:szCs w:val="24"/>
              </w:rPr>
              <w:t>成都王牌新增上网行为管理设备项目</w:t>
            </w: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582A6C2E">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AD4D">
            <w:pPr>
              <w:jc w:val="center"/>
              <w:rPr>
                <w:rFonts w:ascii="宋体" w:hAnsi="宋体" w:cs="宋体"/>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6235">
            <w:pPr>
              <w:jc w:val="center"/>
              <w:rPr>
                <w:rFonts w:ascii="宋体" w:hAnsi="宋体" w:cs="宋体"/>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08B197A2">
            <w:pPr>
              <w:jc w:val="center"/>
              <w:rPr>
                <w:rFonts w:ascii="宋体" w:hAnsi="宋体" w:cs="宋体"/>
                <w:sz w:val="24"/>
                <w:szCs w:val="24"/>
              </w:rPr>
            </w:pPr>
          </w:p>
        </w:tc>
      </w:tr>
      <w:tr w14:paraId="68E848F7">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0890ACE2">
            <w:pPr>
              <w:widowControl/>
              <w:jc w:val="center"/>
              <w:rPr>
                <w:sz w:val="32"/>
                <w:szCs w:val="32"/>
              </w:rPr>
            </w:pPr>
            <w:r>
              <w:rPr>
                <w:rFonts w:hint="eastAsia"/>
                <w:sz w:val="32"/>
                <w:szCs w:val="32"/>
              </w:rPr>
              <w:t>2</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D3AEFF2">
            <w:pPr>
              <w:widowControl/>
              <w:jc w:val="center"/>
              <w:textAlignment w:val="center"/>
              <w:rPr>
                <w:rFonts w:ascii="宋体" w:hAnsi="宋体" w:cs="宋体"/>
                <w:kern w:val="0"/>
                <w:sz w:val="24"/>
                <w:szCs w:val="24"/>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50C3BFE2">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CCF5">
            <w:pPr>
              <w:widowControl/>
              <w:jc w:val="center"/>
              <w:textAlignment w:val="center"/>
              <w:rPr>
                <w:rFonts w:ascii="宋体" w:hAnsi="宋体" w:cs="宋体"/>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CE0C">
            <w:pPr>
              <w:jc w:val="center"/>
              <w:rPr>
                <w:rFonts w:ascii="宋体" w:hAnsi="宋体" w:cs="宋体"/>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3AB135BF">
            <w:pPr>
              <w:jc w:val="center"/>
              <w:rPr>
                <w:rFonts w:ascii="宋体" w:hAnsi="宋体" w:cs="宋体"/>
                <w:sz w:val="24"/>
                <w:szCs w:val="24"/>
              </w:rPr>
            </w:pPr>
          </w:p>
        </w:tc>
      </w:tr>
      <w:tr w14:paraId="551B1F50">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62E7ADC7">
            <w:pPr>
              <w:widowControl/>
              <w:jc w:val="center"/>
              <w:rPr>
                <w:sz w:val="32"/>
                <w:szCs w:val="32"/>
              </w:rPr>
            </w:pPr>
            <w:r>
              <w:rPr>
                <w:rFonts w:hint="eastAsia"/>
                <w:sz w:val="32"/>
                <w:szCs w:val="32"/>
              </w:rPr>
              <w:t>3</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83809D4">
            <w:pPr>
              <w:widowControl/>
              <w:jc w:val="center"/>
              <w:textAlignment w:val="center"/>
              <w:rPr>
                <w:rFonts w:ascii="宋体" w:hAnsi="宋体" w:cs="宋体"/>
                <w:kern w:val="0"/>
                <w:sz w:val="24"/>
                <w:szCs w:val="24"/>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53557B9E">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0978">
            <w:pPr>
              <w:widowControl/>
              <w:jc w:val="center"/>
              <w:textAlignment w:val="center"/>
              <w:rPr>
                <w:rFonts w:ascii="宋体" w:hAnsi="宋体" w:cs="宋体"/>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E4EEF">
            <w:pPr>
              <w:jc w:val="center"/>
              <w:rPr>
                <w:rFonts w:ascii="宋体" w:hAnsi="宋体" w:cs="宋体"/>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243EF572">
            <w:pPr>
              <w:jc w:val="center"/>
              <w:rPr>
                <w:rFonts w:ascii="宋体" w:hAnsi="宋体" w:cs="宋体"/>
                <w:sz w:val="24"/>
                <w:szCs w:val="24"/>
              </w:rPr>
            </w:pPr>
          </w:p>
        </w:tc>
      </w:tr>
      <w:tr w14:paraId="22A079A8">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4DD7C4AE">
            <w:pPr>
              <w:widowControl/>
              <w:jc w:val="center"/>
              <w:rPr>
                <w:sz w:val="32"/>
                <w:szCs w:val="32"/>
              </w:rPr>
            </w:pPr>
            <w:r>
              <w:rPr>
                <w:rFonts w:hint="eastAsia"/>
                <w:sz w:val="32"/>
                <w:szCs w:val="32"/>
              </w:rPr>
              <w:t>4</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69CEF4CE">
            <w:pPr>
              <w:widowControl/>
              <w:jc w:val="center"/>
              <w:textAlignment w:val="center"/>
              <w:rPr>
                <w:rFonts w:ascii="宋体" w:hAnsi="宋体" w:cs="宋体"/>
                <w:kern w:val="0"/>
                <w:sz w:val="24"/>
                <w:szCs w:val="24"/>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7F8D1BB3">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301A">
            <w:pPr>
              <w:widowControl/>
              <w:jc w:val="center"/>
              <w:textAlignment w:val="center"/>
              <w:rPr>
                <w:rFonts w:ascii="宋体" w:hAnsi="宋体" w:cs="宋体"/>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FBA7">
            <w:pPr>
              <w:jc w:val="center"/>
              <w:rPr>
                <w:rFonts w:ascii="宋体" w:hAnsi="宋体" w:cs="宋体"/>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3B954E4C">
            <w:pPr>
              <w:jc w:val="center"/>
              <w:rPr>
                <w:rFonts w:ascii="宋体" w:hAnsi="宋体" w:cs="宋体"/>
                <w:sz w:val="24"/>
                <w:szCs w:val="24"/>
              </w:rPr>
            </w:pPr>
          </w:p>
        </w:tc>
      </w:tr>
      <w:tr w14:paraId="57AA3839">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238A08E8">
            <w:pPr>
              <w:widowControl/>
              <w:jc w:val="center"/>
              <w:rPr>
                <w:sz w:val="32"/>
                <w:szCs w:val="32"/>
              </w:rPr>
            </w:pPr>
            <w:r>
              <w:rPr>
                <w:sz w:val="32"/>
                <w:szCs w:val="32"/>
              </w:rPr>
              <w:t>…</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3642C72">
            <w:pPr>
              <w:widowControl/>
              <w:jc w:val="center"/>
              <w:textAlignment w:val="center"/>
              <w:rPr>
                <w:rFonts w:ascii="宋体" w:hAnsi="宋体" w:cs="宋体"/>
                <w:kern w:val="0"/>
                <w:sz w:val="24"/>
                <w:szCs w:val="24"/>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tcPr>
          <w:p w14:paraId="4D7EC2D4">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D7D3">
            <w:pPr>
              <w:widowControl/>
              <w:jc w:val="center"/>
              <w:textAlignment w:val="center"/>
              <w:rPr>
                <w:rFonts w:ascii="宋体" w:hAnsi="宋体" w:cs="宋体"/>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E613">
            <w:pPr>
              <w:jc w:val="center"/>
              <w:rPr>
                <w:rFonts w:ascii="宋体" w:hAnsi="宋体" w:cs="宋体"/>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737E8601">
            <w:pPr>
              <w:jc w:val="center"/>
              <w:rPr>
                <w:rFonts w:ascii="宋体" w:hAnsi="宋体" w:cs="宋体"/>
                <w:sz w:val="24"/>
                <w:szCs w:val="24"/>
              </w:rPr>
            </w:pPr>
          </w:p>
        </w:tc>
      </w:tr>
      <w:tr w14:paraId="015F0D39">
        <w:tblPrEx>
          <w:tblCellMar>
            <w:top w:w="0" w:type="dxa"/>
            <w:left w:w="108" w:type="dxa"/>
            <w:bottom w:w="0" w:type="dxa"/>
            <w:right w:w="108" w:type="dxa"/>
          </w:tblCellMar>
        </w:tblPrEx>
        <w:trPr>
          <w:trHeight w:val="680" w:hRule="exact"/>
        </w:trPr>
        <w:tc>
          <w:tcPr>
            <w:tcW w:w="0" w:type="auto"/>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03B97062">
            <w:pPr>
              <w:spacing w:line="360" w:lineRule="exact"/>
              <w:jc w:val="center"/>
              <w:rPr>
                <w:rFonts w:ascii="宋体" w:hAnsi="宋体" w:cs="宋体"/>
              </w:rPr>
            </w:pPr>
            <w:r>
              <w:rPr>
                <w:rFonts w:hint="eastAsia"/>
                <w:sz w:val="32"/>
                <w:szCs w:val="32"/>
              </w:rPr>
              <w:t>合计</w:t>
            </w:r>
          </w:p>
        </w:tc>
        <w:tc>
          <w:tcPr>
            <w:tcW w:w="4692" w:type="dxa"/>
            <w:gridSpan w:val="4"/>
            <w:tcBorders>
              <w:top w:val="single" w:color="000000" w:sz="4" w:space="0"/>
              <w:left w:val="single" w:color="auto" w:sz="4" w:space="0"/>
              <w:bottom w:val="single" w:color="000000" w:sz="4" w:space="0"/>
              <w:right w:val="single" w:color="000000" w:sz="4" w:space="0"/>
            </w:tcBorders>
            <w:shd w:val="clear" w:color="auto" w:fill="auto"/>
            <w:noWrap/>
          </w:tcPr>
          <w:p w14:paraId="4396CEED">
            <w:pPr>
              <w:jc w:val="center"/>
              <w:rPr>
                <w:rFonts w:ascii="宋体" w:hAnsi="宋体" w:cs="宋体"/>
                <w:sz w:val="24"/>
                <w:szCs w:val="24"/>
              </w:rPr>
            </w:pPr>
          </w:p>
        </w:tc>
      </w:tr>
    </w:tbl>
    <w:p w14:paraId="4BFA5D16">
      <w:pPr>
        <w:rPr>
          <w:rFonts w:hAnsi="宋体"/>
          <w:sz w:val="24"/>
        </w:rPr>
      </w:pPr>
    </w:p>
    <w:p w14:paraId="0A216ADE">
      <w:pPr>
        <w:rPr>
          <w:rFonts w:ascii="宋体" w:hAnsi="宋体" w:cs="宋体"/>
          <w:szCs w:val="21"/>
        </w:rPr>
      </w:pPr>
      <w:r>
        <w:rPr>
          <w:rFonts w:hint="eastAsia"/>
          <w:szCs w:val="21"/>
        </w:rPr>
        <w:t>备注：此分项方式供参考，至少包含上述分项，可以在每一项下层进一步展开进行分解报价</w:t>
      </w:r>
      <w:r>
        <w:rPr>
          <w:rFonts w:hint="eastAsia" w:ascii="宋体" w:hAnsi="宋体" w:cs="宋体"/>
          <w:szCs w:val="21"/>
        </w:rPr>
        <w:br w:type="page"/>
      </w:r>
    </w:p>
    <w:p w14:paraId="717C5150">
      <w:pPr>
        <w:pStyle w:val="25"/>
      </w:pPr>
    </w:p>
    <w:p w14:paraId="0C4C4C37">
      <w:pPr>
        <w:pStyle w:val="102"/>
        <w:numPr>
          <w:ilvl w:val="0"/>
          <w:numId w:val="0"/>
        </w:numPr>
        <w:rPr>
          <w:rFonts w:ascii="宋体" w:hAnsi="宋体" w:eastAsia="宋体" w:cs="宋体"/>
          <w:sz w:val="32"/>
          <w:szCs w:val="32"/>
        </w:rPr>
      </w:pPr>
      <w:r>
        <w:rPr>
          <w:rFonts w:hint="eastAsia" w:ascii="宋体" w:hAnsi="宋体" w:eastAsia="宋体" w:cs="宋体"/>
          <w:sz w:val="32"/>
          <w:szCs w:val="32"/>
        </w:rPr>
        <w:t>件9 SRM非生产供应商注册操作手册</w:t>
      </w:r>
    </w:p>
    <w:p w14:paraId="23C37170">
      <w:pPr>
        <w:adjustRightInd w:val="0"/>
        <w:snapToGrid w:val="0"/>
        <w:jc w:val="left"/>
        <w:rPr>
          <w:rFonts w:ascii="宋体" w:hAnsi="宋体" w:cs="宋体"/>
          <w:sz w:val="24"/>
          <w:szCs w:val="24"/>
        </w:rPr>
      </w:pPr>
    </w:p>
    <w:p w14:paraId="2F057109">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084A4BA5">
      <w:pPr>
        <w:adjustRightInd w:val="0"/>
        <w:snapToGrid w:val="0"/>
        <w:spacing w:line="360" w:lineRule="auto"/>
        <w:jc w:val="left"/>
        <w:rPr>
          <w:rFonts w:ascii="宋体" w:hAnsi="宋体" w:cs="宋体"/>
          <w:b/>
          <w:bCs/>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r>
        <w:rPr>
          <w:rFonts w:ascii="宋体" w:hAnsi="宋体" w:cs="宋体"/>
          <w:sz w:val="24"/>
          <w:szCs w:val="24"/>
        </w:rPr>
        <w:br w:type="textWrapping"/>
      </w:r>
      <w:r>
        <w:rPr>
          <w:rFonts w:hint="eastAsia" w:ascii="宋体" w:hAnsi="宋体" w:cs="宋体"/>
          <w:sz w:val="24"/>
          <w:szCs w:val="24"/>
        </w:rPr>
        <w:t>1.下载《供应商用户手册》</w:t>
      </w:r>
    </w:p>
    <w:p w14:paraId="413D8F54">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
                    <a:stretch>
                      <a:fillRect/>
                    </a:stretch>
                  </pic:blipFill>
                  <pic:spPr>
                    <a:xfrm>
                      <a:off x="0" y="0"/>
                      <a:ext cx="5758815" cy="2764790"/>
                    </a:xfrm>
                    <a:prstGeom prst="rect">
                      <a:avLst/>
                    </a:prstGeom>
                    <a:noFill/>
                    <a:ln>
                      <a:noFill/>
                    </a:ln>
                  </pic:spPr>
                </pic:pic>
              </a:graphicData>
            </a:graphic>
          </wp:inline>
        </w:drawing>
      </w:r>
    </w:p>
    <w:p w14:paraId="7FBE51CF">
      <w:pPr>
        <w:adjustRightInd w:val="0"/>
        <w:snapToGrid w:val="0"/>
        <w:spacing w:beforeLines="100" w:afterLines="50" w:line="440" w:lineRule="exact"/>
        <w:jc w:val="left"/>
        <w:outlineLvl w:val="2"/>
        <w:rPr>
          <w:rFonts w:ascii="宋体" w:hAnsi="宋体" w:cs="宋体"/>
          <w:sz w:val="24"/>
          <w:szCs w:val="24"/>
        </w:rPr>
      </w:pPr>
      <w:r>
        <w:rPr>
          <w:rFonts w:hint="eastAsia" w:ascii="宋体" w:hAnsi="宋体" w:cs="宋体"/>
          <w:b/>
          <w:bCs/>
          <w:sz w:val="24"/>
          <w:szCs w:val="24"/>
        </w:rPr>
        <w:t>一、首次注册</w:t>
      </w:r>
    </w:p>
    <w:p w14:paraId="15BFB732">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2DBB3366">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1" cstate="print"/>
                    <a:srcRect/>
                    <a:stretch>
                      <a:fillRect/>
                    </a:stretch>
                  </pic:blipFill>
                  <pic:spPr>
                    <a:xfrm>
                      <a:off x="0" y="0"/>
                      <a:ext cx="5760085" cy="2933065"/>
                    </a:xfrm>
                    <a:prstGeom prst="rect">
                      <a:avLst/>
                    </a:prstGeom>
                  </pic:spPr>
                </pic:pic>
              </a:graphicData>
            </a:graphic>
          </wp:inline>
        </w:drawing>
      </w:r>
    </w:p>
    <w:p w14:paraId="0F884046">
      <w:pPr>
        <w:spacing w:line="360" w:lineRule="auto"/>
        <w:rPr>
          <w:rFonts w:ascii="宋体" w:hAnsi="宋体" w:cs="宋体"/>
          <w:sz w:val="24"/>
          <w:szCs w:val="28"/>
        </w:rPr>
      </w:pPr>
      <w:r>
        <w:rPr>
          <w:rFonts w:hint="eastAsia" w:ascii="宋体" w:hAnsi="宋体" w:cs="宋体"/>
          <w:sz w:val="24"/>
          <w:szCs w:val="28"/>
        </w:rPr>
        <w:t>2.</w:t>
      </w:r>
      <w:r>
        <w:rPr>
          <w:rFonts w:ascii="宋体" w:hAnsi="宋体" w:cs="宋体"/>
          <w:sz w:val="24"/>
          <w:szCs w:val="28"/>
        </w:rPr>
        <w:t>填写手机号码（没有注册过的）</w:t>
      </w:r>
    </w:p>
    <w:p w14:paraId="34E0242A">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2" cstate="print"/>
                    <a:srcRect/>
                    <a:stretch>
                      <a:fillRect/>
                    </a:stretch>
                  </pic:blipFill>
                  <pic:spPr>
                    <a:xfrm>
                      <a:off x="0" y="0"/>
                      <a:ext cx="5760085" cy="2766695"/>
                    </a:xfrm>
                    <a:prstGeom prst="rect">
                      <a:avLst/>
                    </a:prstGeom>
                  </pic:spPr>
                </pic:pic>
              </a:graphicData>
            </a:graphic>
          </wp:inline>
        </w:drawing>
      </w:r>
    </w:p>
    <w:p w14:paraId="68E52530">
      <w:pPr>
        <w:spacing w:line="360" w:lineRule="auto"/>
        <w:rPr>
          <w:rFonts w:ascii="宋体" w:hAnsi="宋体" w:cs="宋体"/>
          <w:sz w:val="24"/>
          <w:szCs w:val="28"/>
        </w:rPr>
      </w:pPr>
      <w:r>
        <w:rPr>
          <w:rFonts w:hint="eastAsia" w:ascii="宋体" w:hAnsi="宋体" w:cs="宋体"/>
          <w:sz w:val="24"/>
          <w:szCs w:val="28"/>
        </w:rPr>
        <w:t>3.</w:t>
      </w:r>
      <w:r>
        <w:rPr>
          <w:rFonts w:ascii="宋体" w:hAnsi="宋体" w:cs="宋体"/>
          <w:sz w:val="24"/>
          <w:szCs w:val="28"/>
        </w:rPr>
        <w:t>注册成功登录这个手机号码的账号进入系统，点击供应商注册</w:t>
      </w:r>
    </w:p>
    <w:p w14:paraId="70FD6F63">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3" cstate="print"/>
                    <a:srcRect/>
                    <a:stretch>
                      <a:fillRect/>
                    </a:stretch>
                  </pic:blipFill>
                  <pic:spPr>
                    <a:xfrm>
                      <a:off x="0" y="0"/>
                      <a:ext cx="5760085" cy="2869565"/>
                    </a:xfrm>
                    <a:prstGeom prst="rect">
                      <a:avLst/>
                    </a:prstGeom>
                  </pic:spPr>
                </pic:pic>
              </a:graphicData>
            </a:graphic>
          </wp:inline>
        </w:drawing>
      </w:r>
    </w:p>
    <w:p w14:paraId="4810C8E3">
      <w:pPr>
        <w:spacing w:line="360" w:lineRule="auto"/>
        <w:rPr>
          <w:rFonts w:ascii="宋体" w:hAnsi="宋体" w:cs="宋体"/>
          <w:sz w:val="24"/>
          <w:szCs w:val="28"/>
        </w:rPr>
      </w:pPr>
      <w:r>
        <w:rPr>
          <w:rFonts w:hint="eastAsia" w:ascii="宋体" w:hAnsi="宋体" w:cs="宋体"/>
          <w:sz w:val="24"/>
          <w:szCs w:val="28"/>
        </w:rPr>
        <w:t>4.</w:t>
      </w:r>
      <w:r>
        <w:rPr>
          <w:rFonts w:ascii="宋体" w:hAnsi="宋体" w:cs="宋体"/>
          <w:sz w:val="24"/>
          <w:szCs w:val="28"/>
        </w:rPr>
        <w:t>点击新增</w:t>
      </w:r>
    </w:p>
    <w:p w14:paraId="45E9CE44">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4" cstate="print"/>
                    <a:srcRect/>
                    <a:stretch>
                      <a:fillRect/>
                    </a:stretch>
                  </pic:blipFill>
                  <pic:spPr>
                    <a:xfrm>
                      <a:off x="0" y="0"/>
                      <a:ext cx="5760085" cy="2853055"/>
                    </a:xfrm>
                    <a:prstGeom prst="rect">
                      <a:avLst/>
                    </a:prstGeom>
                  </pic:spPr>
                </pic:pic>
              </a:graphicData>
            </a:graphic>
          </wp:inline>
        </w:drawing>
      </w:r>
    </w:p>
    <w:p w14:paraId="4515072E">
      <w:pPr>
        <w:numPr>
          <w:ilvl w:val="0"/>
          <w:numId w:val="36"/>
        </w:numPr>
        <w:spacing w:line="360" w:lineRule="auto"/>
        <w:rPr>
          <w:rFonts w:ascii="宋体" w:hAnsi="宋体" w:cs="宋体"/>
        </w:rPr>
      </w:pPr>
      <w:r>
        <w:rPr>
          <w:rFonts w:ascii="宋体" w:hAnsi="宋体" w:cs="宋体"/>
          <w:sz w:val="24"/>
          <w:szCs w:val="28"/>
        </w:rPr>
        <w:t>按要求填写所有信息，注意非生产类要填写合作单位，最后提交审批</w:t>
      </w:r>
    </w:p>
    <w:p w14:paraId="2388B10A">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5" cstate="print"/>
                    <a:srcRect/>
                    <a:stretch>
                      <a:fillRect/>
                    </a:stretch>
                  </pic:blipFill>
                  <pic:spPr>
                    <a:xfrm>
                      <a:off x="0" y="0"/>
                      <a:ext cx="5760085" cy="2809875"/>
                    </a:xfrm>
                    <a:prstGeom prst="rect">
                      <a:avLst/>
                    </a:prstGeom>
                  </pic:spPr>
                </pic:pic>
              </a:graphicData>
            </a:graphic>
          </wp:inline>
        </w:drawing>
      </w:r>
    </w:p>
    <w:p w14:paraId="2D878C32">
      <w:pPr>
        <w:pStyle w:val="25"/>
      </w:pPr>
    </w:p>
    <w:p w14:paraId="78BF9ED9">
      <w:pPr>
        <w:rPr>
          <w:rFonts w:ascii="宋体" w:hAnsi="宋体" w:cs="宋体"/>
          <w:b/>
          <w:bCs/>
          <w:sz w:val="24"/>
          <w:szCs w:val="28"/>
        </w:rPr>
      </w:pPr>
      <w:r>
        <w:rPr>
          <w:rFonts w:hint="eastAsia" w:ascii="宋体" w:hAnsi="宋体" w:cs="宋体"/>
          <w:b/>
          <w:bCs/>
          <w:sz w:val="24"/>
          <w:szCs w:val="28"/>
        </w:rPr>
        <w:t>注：</w:t>
      </w:r>
    </w:p>
    <w:p w14:paraId="569E4C3C">
      <w:pPr>
        <w:numPr>
          <w:ilvl w:val="0"/>
          <w:numId w:val="37"/>
        </w:numPr>
        <w:rPr>
          <w:rFonts w:ascii="宋体" w:hAnsi="Courier New"/>
          <w:b/>
          <w:bCs/>
        </w:rPr>
      </w:pPr>
      <w:r>
        <w:rPr>
          <w:rFonts w:hint="eastAsia" w:ascii="宋体" w:hAnsi="Courier New"/>
          <w:b/>
          <w:bCs/>
        </w:rPr>
        <w:t>“项目名称”和“采购形式编号”见第一部分的“项目介绍”；</w:t>
      </w:r>
    </w:p>
    <w:p w14:paraId="77F41CF7">
      <w:pPr>
        <w:pStyle w:val="25"/>
        <w:rPr>
          <w:rFonts w:hAnsi="宋体" w:cs="宋体"/>
          <w:sz w:val="24"/>
          <w:szCs w:val="28"/>
        </w:rPr>
        <w:sectPr>
          <w:pgSz w:w="11906" w:h="16838"/>
          <w:pgMar w:top="1588" w:right="1418" w:bottom="1134" w:left="1418" w:header="851" w:footer="992" w:gutter="0"/>
          <w:cols w:space="720" w:num="1"/>
          <w:titlePg/>
          <w:docGrid w:type="lines" w:linePitch="312" w:charSpace="0"/>
        </w:sectPr>
      </w:pPr>
      <w:r>
        <w:rPr>
          <w:rFonts w:hint="eastAsia"/>
          <w:b/>
          <w:bCs/>
        </w:rPr>
        <w:t>2</w:t>
      </w:r>
      <w:r>
        <w:rPr>
          <w:b/>
          <w:bCs/>
        </w:rPr>
        <w:t>.</w:t>
      </w:r>
      <w:r>
        <w:rPr>
          <w:rFonts w:hint="eastAsia"/>
          <w:b/>
          <w:bCs/>
        </w:rPr>
        <w:t>如有疑问，请与招标联系人沟通。</w:t>
      </w:r>
    </w:p>
    <w:p w14:paraId="1B33B03B">
      <w:pPr>
        <w:pStyle w:val="25"/>
        <w:rPr>
          <w:b/>
          <w:bCs/>
        </w:rPr>
      </w:pPr>
    </w:p>
    <w:p w14:paraId="1D7383D3">
      <w:pPr>
        <w:adjustRightInd w:val="0"/>
        <w:snapToGrid w:val="0"/>
        <w:spacing w:beforeLines="100" w:afterLines="50" w:line="440" w:lineRule="exact"/>
        <w:jc w:val="left"/>
        <w:outlineLvl w:val="2"/>
        <w:rPr>
          <w:sz w:val="24"/>
          <w:szCs w:val="24"/>
        </w:rPr>
      </w:pPr>
      <w:r>
        <w:rPr>
          <w:rFonts w:hint="eastAsia"/>
          <w:b/>
          <w:bCs/>
          <w:sz w:val="24"/>
          <w:szCs w:val="24"/>
        </w:rPr>
        <w:t>二、维护近三年财务指标</w:t>
      </w:r>
    </w:p>
    <w:p w14:paraId="31103FC3">
      <w:pPr>
        <w:spacing w:line="360" w:lineRule="auto"/>
        <w:rPr>
          <w:rFonts w:ascii="宋体" w:hAnsi="宋体" w:cs="宋体"/>
          <w:sz w:val="24"/>
          <w:szCs w:val="28"/>
        </w:rPr>
      </w:pPr>
      <w:r>
        <w:rPr>
          <w:rFonts w:hint="eastAsia" w:ascii="宋体" w:hAnsi="宋体" w:cs="宋体"/>
          <w:sz w:val="24"/>
          <w:szCs w:val="28"/>
        </w:rPr>
        <w:t>1.供应商使用业务账号登录系统后，通过菜单路径：供应商中心→供应商变更→供应商财务数据变更管理，点击【发起变更】按钮，进入供应商财务数据变更填写界面。</w:t>
      </w:r>
    </w:p>
    <w:p w14:paraId="06CD38CD">
      <w:pPr>
        <w:rPr>
          <w:rFonts w:ascii="宋体" w:hAnsi="宋体" w:cs="宋体"/>
          <w:b/>
          <w:bCs/>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6"/>
                    <a:stretch>
                      <a:fillRect/>
                    </a:stretch>
                  </pic:blipFill>
                  <pic:spPr>
                    <a:xfrm>
                      <a:off x="0" y="0"/>
                      <a:ext cx="5486400" cy="2661285"/>
                    </a:xfrm>
                    <a:prstGeom prst="rect">
                      <a:avLst/>
                    </a:prstGeom>
                    <a:noFill/>
                    <a:ln>
                      <a:noFill/>
                    </a:ln>
                  </pic:spPr>
                </pic:pic>
              </a:graphicData>
            </a:graphic>
          </wp:inline>
        </w:drawing>
      </w:r>
    </w:p>
    <w:p w14:paraId="4F498503">
      <w:pPr>
        <w:rPr>
          <w:rFonts w:ascii="宋体" w:hAnsi="宋体" w:cs="宋体"/>
          <w:sz w:val="32"/>
          <w:szCs w:val="32"/>
        </w:rPr>
      </w:pPr>
      <w:r>
        <w:rPr>
          <w:rFonts w:hint="eastAsia" w:ascii="宋体" w:hAnsi="宋体" w:cs="宋体"/>
          <w:sz w:val="32"/>
          <w:szCs w:val="32"/>
        </w:rPr>
        <w:br w:type="page"/>
      </w:r>
    </w:p>
    <w:p w14:paraId="1AC80C0F">
      <w:pPr>
        <w:pStyle w:val="102"/>
        <w:numPr>
          <w:ilvl w:val="0"/>
          <w:numId w:val="0"/>
        </w:numPr>
        <w:rPr>
          <w:rFonts w:ascii="宋体" w:hAnsi="宋体" w:eastAsia="宋体" w:cs="宋体"/>
          <w:sz w:val="32"/>
          <w:szCs w:val="32"/>
        </w:rPr>
      </w:pPr>
      <w:r>
        <w:rPr>
          <w:rFonts w:hint="eastAsia" w:ascii="宋体" w:hAnsi="宋体" w:eastAsia="宋体" w:cs="宋体"/>
          <w:sz w:val="32"/>
          <w:szCs w:val="32"/>
        </w:rPr>
        <w:t>附件10 SRM系统供应商用户手册</w:t>
      </w:r>
    </w:p>
    <w:p w14:paraId="348F6991">
      <w:pPr>
        <w:spacing w:line="360" w:lineRule="auto"/>
        <w:rPr>
          <w:rStyle w:val="53"/>
          <w:rFonts w:ascii="宋体" w:hAnsi="宋体" w:cs="宋体"/>
          <w:color w:val="auto"/>
          <w:sz w:val="24"/>
          <w:szCs w:val="24"/>
        </w:rPr>
      </w:pPr>
      <w:r>
        <w:rPr>
          <w:rFonts w:hint="eastAsia" w:ascii="宋体" w:hAnsi="宋体" w:cs="宋体"/>
          <w:sz w:val="24"/>
          <w:szCs w:val="24"/>
        </w:rPr>
        <w:t>系统网址：</w:t>
      </w:r>
      <w:r>
        <w:fldChar w:fldCharType="begin"/>
      </w:r>
      <w:r>
        <w:instrText xml:space="preserve"> HYPERLINK "http://ecaitong.sinotruk.com:8012/" \t "dlt" </w:instrText>
      </w:r>
      <w:r>
        <w:fldChar w:fldCharType="separate"/>
      </w:r>
      <w:r>
        <w:rPr>
          <w:rStyle w:val="53"/>
          <w:rFonts w:hint="eastAsia" w:ascii="宋体" w:hAnsi="宋体" w:cs="宋体"/>
          <w:color w:val="auto"/>
          <w:sz w:val="24"/>
          <w:szCs w:val="24"/>
        </w:rPr>
        <w:t>https://ecaitong.sinotruk.com:8012/</w:t>
      </w:r>
      <w:r>
        <w:rPr>
          <w:rStyle w:val="53"/>
          <w:rFonts w:hint="eastAsia" w:ascii="宋体" w:hAnsi="宋体" w:cs="宋体"/>
          <w:color w:val="auto"/>
          <w:sz w:val="24"/>
          <w:szCs w:val="24"/>
        </w:rPr>
        <w:fldChar w:fldCharType="end"/>
      </w:r>
    </w:p>
    <w:p w14:paraId="5F195957">
      <w:pPr>
        <w:spacing w:line="360" w:lineRule="auto"/>
        <w:rPr>
          <w:sz w:val="24"/>
          <w:szCs w:val="24"/>
        </w:rPr>
      </w:pPr>
      <w:r>
        <w:rPr>
          <w:sz w:val="24"/>
          <w:szCs w:val="24"/>
        </w:rPr>
        <w:t>用 户 名：gys+供应商代码（注意：注册完毕后，用户名不要用手机号登录）</w:t>
      </w:r>
    </w:p>
    <w:p w14:paraId="45E75DEB">
      <w:pPr>
        <w:pStyle w:val="21"/>
      </w:pPr>
      <w:r>
        <w:rPr>
          <w:rFonts w:hint="eastAsia"/>
          <w:sz w:val="24"/>
        </w:rPr>
        <w:t>初始密码为scm@2022或@2023</w:t>
      </w:r>
    </w:p>
    <w:p w14:paraId="7AF3326B">
      <w:pPr>
        <w:spacing w:line="360" w:lineRule="auto"/>
        <w:rPr>
          <w:rFonts w:ascii="宋体" w:hAnsi="宋体" w:cs="宋体"/>
          <w:b/>
          <w:bCs/>
          <w:sz w:val="24"/>
          <w:szCs w:val="24"/>
        </w:rPr>
      </w:pPr>
      <w:r>
        <w:rPr>
          <w:rFonts w:hint="eastAsia" w:ascii="宋体" w:hAnsi="宋体" w:cs="宋体"/>
          <w:b/>
          <w:bCs/>
          <w:sz w:val="24"/>
          <w:szCs w:val="24"/>
        </w:rPr>
        <w:t>1.供应商应标</w:t>
      </w:r>
    </w:p>
    <w:p w14:paraId="372B0855">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供应商应标</w:t>
      </w:r>
    </w:p>
    <w:p w14:paraId="07C66A1A">
      <w:pPr>
        <w:spacing w:line="360" w:lineRule="auto"/>
        <w:rPr>
          <w:rFonts w:ascii="宋体" w:hAnsi="宋体" w:cs="宋体"/>
          <w:sz w:val="24"/>
          <w:szCs w:val="24"/>
        </w:rPr>
      </w:pPr>
      <w:r>
        <w:rPr>
          <w:rFonts w:ascii="宋体" w:hAnsi="宋体" w:cs="宋体"/>
          <w:sz w:val="24"/>
          <w:szCs w:val="24"/>
        </w:rPr>
        <w:t>点击应标，上传文件之后点击提交。</w:t>
      </w:r>
    </w:p>
    <w:p w14:paraId="6550CC57">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7"/>
                    <a:stretch>
                      <a:fillRect/>
                    </a:stretch>
                  </pic:blipFill>
                  <pic:spPr>
                    <a:xfrm>
                      <a:off x="0" y="0"/>
                      <a:ext cx="5760085" cy="2269864"/>
                    </a:xfrm>
                    <a:prstGeom prst="rect">
                      <a:avLst/>
                    </a:prstGeom>
                  </pic:spPr>
                </pic:pic>
              </a:graphicData>
            </a:graphic>
          </wp:inline>
        </w:drawing>
      </w:r>
    </w:p>
    <w:p w14:paraId="3340AF6D"/>
    <w:p w14:paraId="4467EA58">
      <w:pPr>
        <w:spacing w:line="360" w:lineRule="auto"/>
        <w:rPr>
          <w:rFonts w:ascii="宋体" w:hAnsi="宋体" w:cs="宋体"/>
          <w:b/>
          <w:bCs/>
          <w:sz w:val="24"/>
          <w:szCs w:val="24"/>
        </w:rPr>
      </w:pPr>
      <w:r>
        <w:rPr>
          <w:rFonts w:hint="eastAsia" w:ascii="宋体" w:hAnsi="宋体" w:cs="宋体"/>
          <w:b/>
          <w:bCs/>
          <w:sz w:val="24"/>
          <w:szCs w:val="24"/>
        </w:rPr>
        <w:t>2.供应商投标</w:t>
      </w:r>
    </w:p>
    <w:p w14:paraId="311F5643">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供应商投标</w:t>
      </w:r>
    </w:p>
    <w:p w14:paraId="6071F3E1">
      <w:pPr>
        <w:rPr>
          <w:rFonts w:ascii="宋体" w:hAnsi="宋体" w:cs="宋体"/>
        </w:rPr>
      </w:pPr>
      <w:r>
        <w:rPr>
          <w:rFonts w:ascii="宋体" w:hAnsi="宋体" w:cs="宋体"/>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8"/>
                    <a:stretch>
                      <a:fillRect/>
                    </a:stretch>
                  </pic:blipFill>
                  <pic:spPr>
                    <a:xfrm>
                      <a:off x="0" y="0"/>
                      <a:ext cx="5760085" cy="2125673"/>
                    </a:xfrm>
                    <a:prstGeom prst="rect">
                      <a:avLst/>
                    </a:prstGeom>
                  </pic:spPr>
                </pic:pic>
              </a:graphicData>
            </a:graphic>
          </wp:inline>
        </w:drawing>
      </w:r>
    </w:p>
    <w:p w14:paraId="31FB8FF6">
      <w:pPr>
        <w:spacing w:line="360" w:lineRule="auto"/>
        <w:rPr>
          <w:rFonts w:ascii="宋体" w:hAnsi="宋体" w:cs="宋体"/>
          <w:sz w:val="24"/>
          <w:szCs w:val="28"/>
        </w:rPr>
      </w:pPr>
      <w:r>
        <w:rPr>
          <w:rFonts w:ascii="宋体" w:hAnsi="宋体" w:cs="宋体"/>
          <w:sz w:val="24"/>
          <w:szCs w:val="28"/>
        </w:rPr>
        <w:t>点击投标按钮，进入详情页，输入投标报价并上传相应的附件。</w:t>
      </w:r>
    </w:p>
    <w:p w14:paraId="3DCAB095">
      <w:pPr>
        <w:pStyle w:val="25"/>
        <w:rPr>
          <w:b/>
          <w:bCs/>
        </w:rPr>
      </w:pPr>
      <w:r>
        <w:rPr>
          <w:rFonts w:hint="eastAsia" w:hAnsi="宋体" w:cs="宋体"/>
          <w:b/>
          <w:bCs/>
          <w:sz w:val="24"/>
          <w:szCs w:val="28"/>
        </w:rPr>
        <w:t>注意：系统内的投标报价单位为“万元”，如开标现场发现填错报价，即直接淘汰。</w:t>
      </w:r>
    </w:p>
    <w:p w14:paraId="2E725F4D">
      <w:pPr>
        <w:spacing w:before="280" w:after="290" w:line="372" w:lineRule="auto"/>
        <w:ind w:left="425" w:hanging="425"/>
        <w:rPr>
          <w:rFonts w:ascii="Arial" w:hAnsi="Arial" w:eastAsia="Arial" w:cs="Arial"/>
          <w:sz w:val="28"/>
        </w:rPr>
      </w:pPr>
      <w:r>
        <w:rPr>
          <w:rFonts w:ascii="Arial" w:hAnsi="Arial" w:eastAsia="Arial" w:cs="Arial"/>
          <w:sz w:val="28"/>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9"/>
                    <a:stretch>
                      <a:fillRect/>
                    </a:stretch>
                  </pic:blipFill>
                  <pic:spPr>
                    <a:xfrm>
                      <a:off x="0" y="0"/>
                      <a:ext cx="5490210" cy="2669498"/>
                    </a:xfrm>
                    <a:prstGeom prst="rect">
                      <a:avLst/>
                    </a:prstGeom>
                  </pic:spPr>
                </pic:pic>
              </a:graphicData>
            </a:graphic>
          </wp:inline>
        </w:drawing>
      </w:r>
    </w:p>
    <w:p w14:paraId="0CBB5A75">
      <w:pPr>
        <w:spacing w:line="360" w:lineRule="auto"/>
        <w:rPr>
          <w:rFonts w:ascii="宋体" w:hAnsi="宋体" w:cs="宋体"/>
          <w:b/>
          <w:bCs/>
          <w:sz w:val="24"/>
          <w:szCs w:val="24"/>
        </w:rPr>
      </w:pPr>
      <w:r>
        <w:rPr>
          <w:rFonts w:hint="eastAsia" w:ascii="宋体" w:hAnsi="宋体" w:cs="宋体"/>
          <w:b/>
          <w:bCs/>
          <w:sz w:val="24"/>
          <w:szCs w:val="24"/>
        </w:rPr>
        <w:t>3.供应商技术标澄清函</w:t>
      </w:r>
    </w:p>
    <w:p w14:paraId="2E177012">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供应商技术标澄清函</w:t>
      </w:r>
    </w:p>
    <w:p w14:paraId="16811CB7">
      <w:pPr>
        <w:spacing w:line="360" w:lineRule="auto"/>
        <w:rPr>
          <w:rFonts w:ascii="宋体" w:hAnsi="宋体" w:cs="宋体"/>
          <w:sz w:val="24"/>
          <w:szCs w:val="24"/>
        </w:rPr>
      </w:pPr>
      <w:r>
        <w:rPr>
          <w:rFonts w:ascii="宋体" w:hAnsi="宋体" w:cs="宋体"/>
          <w:sz w:val="24"/>
          <w:szCs w:val="24"/>
        </w:rPr>
        <w:t>点击编辑按钮进入系统，上传技术标澄清函。</w:t>
      </w:r>
    </w:p>
    <w:p w14:paraId="58639D09">
      <w:pPr>
        <w:spacing w:line="360" w:lineRule="auto"/>
        <w:rPr>
          <w:rFonts w:ascii="Arial" w:hAnsi="Arial" w:eastAsia="Arial" w:cs="Arial"/>
          <w:sz w:val="28"/>
        </w:rPr>
      </w:pPr>
      <w:r>
        <w:rPr>
          <w:rFonts w:ascii="宋体" w:hAnsi="宋体" w:cs="宋体"/>
          <w:sz w:val="24"/>
          <w:szCs w:val="24"/>
        </w:rPr>
        <w:t>开标之后所有投标的供应商都可编辑提交，技术标入围之后都不可编辑</w:t>
      </w:r>
      <w:r>
        <w:rPr>
          <w:rFonts w:ascii="Arial" w:hAnsi="Arial" w:eastAsia="Arial" w:cs="Arial"/>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0"/>
                    <a:stretch>
                      <a:fillRect/>
                    </a:stretch>
                  </pic:blipFill>
                  <pic:spPr>
                    <a:xfrm>
                      <a:off x="0" y="0"/>
                      <a:ext cx="5490210" cy="1992743"/>
                    </a:xfrm>
                    <a:prstGeom prst="rect">
                      <a:avLst/>
                    </a:prstGeom>
                  </pic:spPr>
                </pic:pic>
              </a:graphicData>
            </a:graphic>
          </wp:inline>
        </w:drawing>
      </w:r>
    </w:p>
    <w:p w14:paraId="132F4741">
      <w:pPr>
        <w:spacing w:line="360" w:lineRule="auto"/>
        <w:rPr>
          <w:rFonts w:ascii="宋体" w:hAnsi="宋体" w:cs="宋体"/>
          <w:b/>
          <w:bCs/>
          <w:sz w:val="24"/>
          <w:szCs w:val="24"/>
        </w:rPr>
      </w:pPr>
      <w:r>
        <w:rPr>
          <w:rFonts w:hint="eastAsia" w:ascii="宋体" w:hAnsi="宋体" w:cs="宋体"/>
          <w:b/>
          <w:bCs/>
          <w:sz w:val="24"/>
          <w:szCs w:val="24"/>
        </w:rPr>
        <w:t>4.供应商报价</w:t>
      </w:r>
    </w:p>
    <w:p w14:paraId="1805F61C">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供应商报价</w:t>
      </w:r>
    </w:p>
    <w:p w14:paraId="55669665">
      <w:pPr>
        <w:spacing w:line="360" w:lineRule="auto"/>
        <w:rPr>
          <w:rFonts w:ascii="宋体" w:hAnsi="宋体" w:cs="宋体"/>
          <w:sz w:val="24"/>
          <w:szCs w:val="24"/>
        </w:rPr>
      </w:pPr>
      <w:r>
        <w:rPr>
          <w:rFonts w:ascii="宋体" w:hAnsi="宋体" w:cs="宋体"/>
          <w:sz w:val="24"/>
          <w:szCs w:val="24"/>
        </w:rPr>
        <w:t>点击报价按钮进入报价详情界面，请在此轮报价起止时间内报价，否则无法报价。</w:t>
      </w:r>
    </w:p>
    <w:p w14:paraId="06DF6980">
      <w:pPr>
        <w:spacing w:line="360" w:lineRule="auto"/>
        <w:rPr>
          <w:rFonts w:ascii="宋体" w:hAnsi="宋体" w:cs="宋体"/>
          <w:b/>
          <w:bCs/>
          <w:sz w:val="24"/>
          <w:szCs w:val="24"/>
        </w:rPr>
      </w:pPr>
      <w:r>
        <w:rPr>
          <w:rFonts w:hint="eastAsia" w:ascii="宋体" w:hAnsi="宋体" w:cs="宋体"/>
          <w:b/>
          <w:bCs/>
          <w:sz w:val="24"/>
          <w:szCs w:val="24"/>
        </w:rPr>
        <w:t>5.供应商澄清报价</w:t>
      </w:r>
    </w:p>
    <w:p w14:paraId="396E2C88">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供应商澄清报价</w:t>
      </w:r>
    </w:p>
    <w:p w14:paraId="60FEA19A">
      <w:pPr>
        <w:spacing w:line="360" w:lineRule="auto"/>
        <w:rPr>
          <w:rFonts w:ascii="宋体" w:hAnsi="宋体" w:cs="宋体"/>
          <w:sz w:val="24"/>
          <w:szCs w:val="24"/>
        </w:rPr>
      </w:pPr>
      <w:r>
        <w:rPr>
          <w:rFonts w:ascii="宋体" w:hAnsi="宋体" w:cs="宋体"/>
          <w:sz w:val="24"/>
          <w:szCs w:val="24"/>
        </w:rPr>
        <w:t>招标发起人接收建议价的同时会给供应商发送澄清报价，供应商在此界面进行澄清报价，点击编辑按钮进入澄清报价详细界面，输入价格并上传澄清函，之后点击提交。</w:t>
      </w:r>
    </w:p>
    <w:p w14:paraId="775BCA91">
      <w:pPr>
        <w:spacing w:before="280" w:after="290" w:line="372" w:lineRule="auto"/>
        <w:ind w:left="425" w:hanging="425"/>
        <w:rPr>
          <w:rFonts w:ascii="Arial" w:hAnsi="Arial" w:eastAsia="Arial" w:cs="Arial"/>
          <w:sz w:val="28"/>
        </w:rPr>
      </w:pPr>
      <w:r>
        <w:rPr>
          <w:rFonts w:ascii="Arial" w:hAnsi="Arial" w:eastAsia="Arial" w:cs="Arial"/>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1"/>
                    <a:stretch>
                      <a:fillRect/>
                    </a:stretch>
                  </pic:blipFill>
                  <pic:spPr>
                    <a:xfrm>
                      <a:off x="0" y="0"/>
                      <a:ext cx="5490210" cy="2544669"/>
                    </a:xfrm>
                    <a:prstGeom prst="rect">
                      <a:avLst/>
                    </a:prstGeom>
                  </pic:spPr>
                </pic:pic>
              </a:graphicData>
            </a:graphic>
          </wp:inline>
        </w:drawing>
      </w:r>
    </w:p>
    <w:p w14:paraId="220ADC19">
      <w:pPr>
        <w:spacing w:line="360" w:lineRule="auto"/>
        <w:rPr>
          <w:rFonts w:ascii="宋体" w:hAnsi="宋体" w:cs="宋体"/>
          <w:b/>
          <w:bCs/>
          <w:sz w:val="24"/>
          <w:szCs w:val="24"/>
        </w:rPr>
      </w:pPr>
      <w:r>
        <w:rPr>
          <w:rFonts w:hint="eastAsia" w:ascii="宋体" w:hAnsi="宋体" w:cs="宋体"/>
          <w:b/>
          <w:bCs/>
          <w:sz w:val="24"/>
          <w:szCs w:val="24"/>
        </w:rPr>
        <w:t>6.供应商查看中标通知</w:t>
      </w:r>
    </w:p>
    <w:p w14:paraId="67338B0A">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中标项目</w:t>
      </w:r>
    </w:p>
    <w:p w14:paraId="66CC6F0B">
      <w:pPr>
        <w:spacing w:line="360" w:lineRule="auto"/>
        <w:rPr>
          <w:rFonts w:ascii="宋体" w:hAnsi="宋体" w:cs="宋体"/>
          <w:sz w:val="24"/>
          <w:szCs w:val="24"/>
        </w:rPr>
      </w:pPr>
      <w:r>
        <w:rPr>
          <w:rFonts w:ascii="宋体" w:hAnsi="宋体" w:cs="宋体"/>
          <w:sz w:val="24"/>
          <w:szCs w:val="24"/>
        </w:rPr>
        <w:t>点击查看进入查看中标项目详情</w:t>
      </w:r>
    </w:p>
    <w:p w14:paraId="71072B9E">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2"/>
                    <a:stretch>
                      <a:fillRect/>
                    </a:stretch>
                  </pic:blipFill>
                  <pic:spPr>
                    <a:xfrm>
                      <a:off x="0" y="0"/>
                      <a:ext cx="5760085" cy="1956600"/>
                    </a:xfrm>
                    <a:prstGeom prst="rect">
                      <a:avLst/>
                    </a:prstGeom>
                  </pic:spPr>
                </pic:pic>
              </a:graphicData>
            </a:graphic>
          </wp:inline>
        </w:drawing>
      </w:r>
    </w:p>
    <w:p w14:paraId="4CB66B4D">
      <w:pPr>
        <w:pStyle w:val="107"/>
        <w:rPr>
          <w:rFonts w:hAnsi="宋体"/>
          <w:sz w:val="24"/>
        </w:rPr>
      </w:pPr>
    </w:p>
    <w:sectPr>
      <w:headerReference r:id="rId15" w:type="first"/>
      <w:footerReference r:id="rId17" w:type="first"/>
      <w:headerReference r:id="rId14" w:type="default"/>
      <w:footerReference r:id="rId16"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83" w:usb1="288F0000" w:usb2="0000000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Helvetica">
    <w:altName w:val="Arial"/>
    <w:panose1 w:val="020B0504020202020204"/>
    <w:charset w:val="00"/>
    <w:family w:val="swiss"/>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4B8C7A10">
        <w:pPr>
          <w:pStyle w:val="30"/>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- 2 -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41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5952A">
    <w:pPr>
      <w:pStyle w:val="30"/>
      <w:framePr w:wrap="around" w:vAnchor="text" w:hAnchor="margin" w:xAlign="center" w:y="1"/>
      <w:rPr>
        <w:rStyle w:val="49"/>
      </w:rPr>
    </w:pPr>
    <w:r>
      <w:fldChar w:fldCharType="begin"/>
    </w:r>
    <w:r>
      <w:rPr>
        <w:rStyle w:val="49"/>
      </w:rPr>
      <w:instrText xml:space="preserve">PAGE  </w:instrText>
    </w:r>
    <w:r>
      <w:fldChar w:fldCharType="end"/>
    </w:r>
  </w:p>
  <w:p w14:paraId="17A63660">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268B">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43C84">
    <w:pPr>
      <w:pStyle w:val="30"/>
      <w:jc w:val="center"/>
    </w:pPr>
    <w:r>
      <w:fldChar w:fldCharType="begin"/>
    </w:r>
    <w:r>
      <w:instrText xml:space="preserve">PAGE   \* MERGEFORMAT</w:instrText>
    </w:r>
    <w:r>
      <w:fldChar w:fldCharType="separate"/>
    </w:r>
    <w:r>
      <w:rPr>
        <w:lang w:val="zh-CN"/>
      </w:rPr>
      <w:t>-</w:t>
    </w:r>
    <w:r>
      <w:t xml:space="preserve"> 7 -</w:t>
    </w:r>
    <w:r>
      <w:fldChar w:fldCharType="end"/>
    </w:r>
  </w:p>
  <w:p w14:paraId="6DAF9BF2">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48C88">
    <w:pPr>
      <w:pStyle w:val="30"/>
      <w:jc w:val="center"/>
    </w:pPr>
    <w:r>
      <w:fldChar w:fldCharType="begin"/>
    </w:r>
    <w:r>
      <w:instrText xml:space="preserve">PAGE   \* MERGEFORMAT</w:instrText>
    </w:r>
    <w:r>
      <w:fldChar w:fldCharType="separate"/>
    </w:r>
    <w:r>
      <w:rPr>
        <w:lang w:val="zh-CN"/>
      </w:rPr>
      <w:t>-</w:t>
    </w:r>
    <w:r>
      <w:t xml:space="preserve"> 2 -</w:t>
    </w:r>
    <w:r>
      <w:fldChar w:fldCharType="end"/>
    </w:r>
  </w:p>
  <w:p w14:paraId="4C8C1887">
    <w:pPr>
      <w:pStyle w:val="3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CB2DE">
    <w:pPr>
      <w:pStyle w:val="30"/>
    </w:pPr>
    <w:r>
      <w:pict>
        <v:rect id="文本框 100" o:spid="_x0000_s2050"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path/>
          <v:fill on="f" focussize="0,0"/>
          <v:stroke on="f"/>
          <v:imagedata o:title=""/>
          <o:lock v:ext="edit"/>
          <v:textbox inset="0mm,0mm,0mm,0mm" style="mso-fit-shape-to-text:t;">
            <w:txbxContent>
              <w:p w14:paraId="4F6C764C">
                <w:pPr>
                  <w:pStyle w:val="30"/>
                </w:pPr>
                <w:r>
                  <w:fldChar w:fldCharType="begin"/>
                </w:r>
                <w:r>
                  <w:instrText xml:space="preserve"> PAGE  \* MERGEFORMAT </w:instrText>
                </w:r>
                <w:r>
                  <w:fldChar w:fldCharType="separate"/>
                </w:r>
                <w:r>
                  <w:t>40</w:t>
                </w:r>
                <w:r>
                  <w:fldChar w:fldCharType="end"/>
                </w:r>
              </w:p>
            </w:txbxContent>
          </v:textbox>
        </v:rect>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40F65">
    <w:pPr>
      <w:pStyle w:val="30"/>
      <w:jc w:val="center"/>
    </w:pPr>
    <w:r>
      <w:pict>
        <v:rect id="文本框 101" o:spid="_x0000_s2051"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path/>
          <v:fill on="f" focussize="0,0"/>
          <v:stroke on="f"/>
          <v:imagedata o:title=""/>
          <o:lock v:ext="edit"/>
          <v:textbox inset="0mm,0mm,0mm,0mm" style="mso-fit-shape-to-text:t;">
            <w:txbxContent>
              <w:p w14:paraId="4D0BE260">
                <w:pPr>
                  <w:pStyle w:val="30"/>
                </w:pPr>
                <w:r>
                  <w:fldChar w:fldCharType="begin"/>
                </w:r>
                <w:r>
                  <w:instrText xml:space="preserve"> PAGE  \* MERGEFORMAT </w:instrText>
                </w:r>
                <w:r>
                  <w:fldChar w:fldCharType="separate"/>
                </w:r>
                <w:r>
                  <w:t>31</w:t>
                </w:r>
                <w:r>
                  <w:fldChar w:fldCharType="end"/>
                </w:r>
              </w:p>
            </w:txbxContent>
          </v:textbox>
        </v:rect>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DC6DE">
    <w:pPr>
      <w:spacing w:line="179" w:lineRule="auto"/>
      <w:ind w:left="6868"/>
      <w:rPr>
        <w:rFonts w:ascii="宋体" w:hAnsi="宋体" w:cs="宋体"/>
        <w:sz w:val="17"/>
        <w:szCs w:val="17"/>
      </w:rPr>
    </w:pPr>
    <w:r>
      <w:rPr>
        <w:sz w:val="17"/>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path/>
          <v:fill on="f" focussize="0,0"/>
          <v:stroke on="f" weight="0.5pt" joinstyle="miter"/>
          <v:imagedata o:title=""/>
          <o:lock v:ext="edit"/>
          <v:textbox inset="0mm,0mm,0mm,0mm" style="mso-fit-shape-to-text:t;">
            <w:txbxContent>
              <w:p w14:paraId="10D925A3">
                <w:pPr>
                  <w:pStyle w:val="30"/>
                </w:pPr>
                <w:r>
                  <w:fldChar w:fldCharType="begin"/>
                </w:r>
                <w:r>
                  <w:instrText xml:space="preserve"> PAGE  \* MERGEFORMAT </w:instrText>
                </w:r>
                <w:r>
                  <w:fldChar w:fldCharType="separate"/>
                </w:r>
                <w:r>
                  <w:t>- 4 -</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59511">
    <w:pPr>
      <w:pStyle w:val="30"/>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42</w:t>
    </w:r>
    <w:r>
      <w:rPr>
        <w:lang w:val="zh-CN"/>
      </w:rPr>
      <w:fldChar w:fldCharType="end"/>
    </w:r>
    <w:r>
      <w:rPr>
        <w:rFonts w:hint="eastAsia"/>
        <w:lang w:val="zh-CN"/>
      </w:rPr>
      <w:t>页</w:t>
    </w:r>
  </w:p>
  <w:p w14:paraId="6DFC53F6">
    <w:pPr>
      <w:pStyle w:val="30"/>
      <w:jc w:val="center"/>
    </w:pPr>
  </w:p>
  <w:p w14:paraId="398C7931"/>
  <w:p w14:paraId="5CB489D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F7D93">
    <w:pPr>
      <w:pStyle w:val="31"/>
      <w:pBdr>
        <w:bottom w:val="none" w:color="auto" w:sz="0" w:space="1"/>
      </w:pBdr>
      <w:ind w:firstLine="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7DF78">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23DDD">
    <w:pPr>
      <w:pStyle w:val="31"/>
      <w:pBdr>
        <w:bottom w:val="none" w:color="auto" w:sz="0" w:space="1"/>
      </w:pBd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F5D3">
    <w:pPr>
      <w:pStyle w:val="31"/>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6C4BC">
    <w:pPr>
      <w:pStyle w:val="31"/>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A0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9F04DEFC"/>
    <w:multiLevelType w:val="singleLevel"/>
    <w:tmpl w:val="9F04DEFC"/>
    <w:lvl w:ilvl="0" w:tentative="0">
      <w:start w:val="1"/>
      <w:numFmt w:val="decimal"/>
      <w:suff w:val="nothing"/>
      <w:lvlText w:val="%1、"/>
      <w:lvlJc w:val="left"/>
    </w:lvl>
  </w:abstractNum>
  <w:abstractNum w:abstractNumId="2">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5">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6">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8">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9">
    <w:nsid w:val="E8D42257"/>
    <w:multiLevelType w:val="singleLevel"/>
    <w:tmpl w:val="E8D42257"/>
    <w:lvl w:ilvl="0" w:tentative="0">
      <w:start w:val="1"/>
      <w:numFmt w:val="decimal"/>
      <w:lvlText w:val="%1."/>
      <w:lvlJc w:val="left"/>
      <w:pPr>
        <w:tabs>
          <w:tab w:val="left" w:pos="312"/>
        </w:tabs>
      </w:pPr>
    </w:lvl>
  </w:abstractNum>
  <w:abstractNum w:abstractNumId="10">
    <w:nsid w:val="00000003"/>
    <w:multiLevelType w:val="singleLevel"/>
    <w:tmpl w:val="00000003"/>
    <w:lvl w:ilvl="0" w:tentative="0">
      <w:start w:val="5"/>
      <w:numFmt w:val="decimal"/>
      <w:lvlText w:val="%1."/>
      <w:lvlJc w:val="left"/>
      <w:pPr>
        <w:tabs>
          <w:tab w:val="left" w:pos="312"/>
        </w:tabs>
      </w:pPr>
    </w:lvl>
  </w:abstractNum>
  <w:abstractNum w:abstractNumId="11">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2">
    <w:nsid w:val="022737E7"/>
    <w:multiLevelType w:val="multilevel"/>
    <w:tmpl w:val="022737E7"/>
    <w:lvl w:ilvl="0" w:tentative="0">
      <w:start w:val="1"/>
      <w:numFmt w:val="decimal"/>
      <w:pStyle w:val="211"/>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4">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5">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6">
    <w:nsid w:val="12D9A626"/>
    <w:multiLevelType w:val="singleLevel"/>
    <w:tmpl w:val="12D9A626"/>
    <w:lvl w:ilvl="0" w:tentative="0">
      <w:start w:val="3"/>
      <w:numFmt w:val="chineseCounting"/>
      <w:suff w:val="nothing"/>
      <w:lvlText w:val="第%1部分　"/>
      <w:lvlJc w:val="left"/>
      <w:rPr>
        <w:rFonts w:hint="eastAsia"/>
      </w:rPr>
    </w:lvl>
  </w:abstractNum>
  <w:abstractNum w:abstractNumId="17">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8">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9">
    <w:nsid w:val="1E170308"/>
    <w:multiLevelType w:val="multilevel"/>
    <w:tmpl w:val="1E170308"/>
    <w:lvl w:ilvl="0" w:tentative="0">
      <w:start w:val="9"/>
      <w:numFmt w:val="japaneseCounting"/>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1">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2">
    <w:nsid w:val="28934A01"/>
    <w:multiLevelType w:val="multilevel"/>
    <w:tmpl w:val="28934A01"/>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3">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4">
    <w:nsid w:val="4CB32FC8"/>
    <w:multiLevelType w:val="multilevel"/>
    <w:tmpl w:val="4CB32FC8"/>
    <w:lvl w:ilvl="0" w:tentative="0">
      <w:start w:val="1"/>
      <w:numFmt w:val="upperLetter"/>
      <w:pStyle w:val="8"/>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55DB5B23"/>
    <w:multiLevelType w:val="singleLevel"/>
    <w:tmpl w:val="55DB5B23"/>
    <w:lvl w:ilvl="0" w:tentative="0">
      <w:start w:val="1"/>
      <w:numFmt w:val="decimal"/>
      <w:suff w:val="nothing"/>
      <w:lvlText w:val="%1、"/>
      <w:lvlJc w:val="left"/>
    </w:lvl>
  </w:abstractNum>
  <w:abstractNum w:abstractNumId="27">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9">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30">
    <w:nsid w:val="5A6836EF"/>
    <w:multiLevelType w:val="singleLevel"/>
    <w:tmpl w:val="5A6836EF"/>
    <w:lvl w:ilvl="0" w:tentative="0">
      <w:start w:val="1"/>
      <w:numFmt w:val="decimal"/>
      <w:suff w:val="nothing"/>
      <w:lvlText w:val="%1."/>
      <w:lvlJc w:val="left"/>
      <w:pPr>
        <w:ind w:left="0" w:firstLine="0"/>
      </w:pPr>
    </w:lvl>
  </w:abstractNum>
  <w:abstractNum w:abstractNumId="31">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2">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3">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4">
    <w:nsid w:val="656A6EAE"/>
    <w:multiLevelType w:val="multilevel"/>
    <w:tmpl w:val="656A6EAE"/>
    <w:lvl w:ilvl="0" w:tentative="0">
      <w:start w:val="1"/>
      <w:numFmt w:val="chineseCountingThousand"/>
      <w:pStyle w:val="102"/>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5">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6">
    <w:nsid w:val="73D16EFA"/>
    <w:multiLevelType w:val="multilevel"/>
    <w:tmpl w:val="73D16EFA"/>
    <w:lvl w:ilvl="0" w:tentative="0">
      <w:start w:val="1"/>
      <w:numFmt w:val="decimal"/>
      <w:lvlText w:val="%1)"/>
      <w:lvlJc w:val="left"/>
      <w:pPr>
        <w:ind w:left="1322" w:hanging="420"/>
      </w:p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num w:numId="1">
    <w:abstractNumId w:val="24"/>
  </w:num>
  <w:num w:numId="2">
    <w:abstractNumId w:val="34"/>
  </w:num>
  <w:num w:numId="3">
    <w:abstractNumId w:val="28"/>
  </w:num>
  <w:num w:numId="4">
    <w:abstractNumId w:val="25"/>
  </w:num>
  <w:num w:numId="5">
    <w:abstractNumId w:val="13"/>
  </w:num>
  <w:num w:numId="6">
    <w:abstractNumId w:val="17"/>
  </w:num>
  <w:num w:numId="7">
    <w:abstractNumId w:val="20"/>
  </w:num>
  <w:num w:numId="8">
    <w:abstractNumId w:val="27"/>
  </w:num>
  <w:num w:numId="9">
    <w:abstractNumId w:val="33"/>
  </w:num>
  <w:num w:numId="10">
    <w:abstractNumId w:val="21"/>
  </w:num>
  <w:num w:numId="11">
    <w:abstractNumId w:val="11"/>
  </w:num>
  <w:num w:numId="12">
    <w:abstractNumId w:val="12"/>
  </w:num>
  <w:num w:numId="13">
    <w:abstractNumId w:val="29"/>
  </w:num>
  <w:num w:numId="14">
    <w:abstractNumId w:val="15"/>
  </w:num>
  <w:num w:numId="15">
    <w:abstractNumId w:val="8"/>
  </w:num>
  <w:num w:numId="16">
    <w:abstractNumId w:val="35"/>
  </w:num>
  <w:num w:numId="17">
    <w:abstractNumId w:val="0"/>
  </w:num>
  <w:num w:numId="18">
    <w:abstractNumId w:val="5"/>
  </w:num>
  <w:num w:numId="19">
    <w:abstractNumId w:val="6"/>
  </w:num>
  <w:num w:numId="20">
    <w:abstractNumId w:val="4"/>
  </w:num>
  <w:num w:numId="21">
    <w:abstractNumId w:val="14"/>
  </w:num>
  <w:num w:numId="22">
    <w:abstractNumId w:val="18"/>
  </w:num>
  <w:num w:numId="23">
    <w:abstractNumId w:val="3"/>
  </w:num>
  <w:num w:numId="24">
    <w:abstractNumId w:val="32"/>
  </w:num>
  <w:num w:numId="25">
    <w:abstractNumId w:val="7"/>
  </w:num>
  <w:num w:numId="26">
    <w:abstractNumId w:val="31"/>
  </w:num>
  <w:num w:numId="27">
    <w:abstractNumId w:val="22"/>
  </w:num>
  <w:num w:numId="28">
    <w:abstractNumId w:val="36"/>
  </w:num>
  <w:num w:numId="29">
    <w:abstractNumId w:val="2"/>
  </w:num>
  <w:num w:numId="30">
    <w:abstractNumId w:val="23"/>
  </w:num>
  <w:num w:numId="31">
    <w:abstractNumId w:val="30"/>
  </w:num>
  <w:num w:numId="32">
    <w:abstractNumId w:val="19"/>
  </w:num>
  <w:num w:numId="33">
    <w:abstractNumId w:val="1"/>
  </w:num>
  <w:num w:numId="34">
    <w:abstractNumId w:val="26"/>
  </w:num>
  <w:num w:numId="35">
    <w:abstractNumId w:val="16"/>
  </w:num>
  <w:num w:numId="36">
    <w:abstractNumId w:val="10"/>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hideSpellingErrors/>
  <w:documentProtection w:enforcement="0"/>
  <w:defaultTabStop w:val="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5E3"/>
    <w:rsid w:val="00005610"/>
    <w:rsid w:val="000056AD"/>
    <w:rsid w:val="00006391"/>
    <w:rsid w:val="000066B1"/>
    <w:rsid w:val="00007938"/>
    <w:rsid w:val="000109D5"/>
    <w:rsid w:val="0001143E"/>
    <w:rsid w:val="000126A7"/>
    <w:rsid w:val="00013B94"/>
    <w:rsid w:val="00013CCE"/>
    <w:rsid w:val="00013EAD"/>
    <w:rsid w:val="000140D2"/>
    <w:rsid w:val="00015473"/>
    <w:rsid w:val="00015598"/>
    <w:rsid w:val="00016598"/>
    <w:rsid w:val="000166BF"/>
    <w:rsid w:val="00016CB2"/>
    <w:rsid w:val="000176E1"/>
    <w:rsid w:val="00017D18"/>
    <w:rsid w:val="0002035A"/>
    <w:rsid w:val="000203CA"/>
    <w:rsid w:val="00022189"/>
    <w:rsid w:val="000226D8"/>
    <w:rsid w:val="00022BFC"/>
    <w:rsid w:val="000235F1"/>
    <w:rsid w:val="00026E29"/>
    <w:rsid w:val="00027A64"/>
    <w:rsid w:val="000305C9"/>
    <w:rsid w:val="000307EF"/>
    <w:rsid w:val="00030FFD"/>
    <w:rsid w:val="0003105F"/>
    <w:rsid w:val="00031718"/>
    <w:rsid w:val="0003264D"/>
    <w:rsid w:val="0003278E"/>
    <w:rsid w:val="00033243"/>
    <w:rsid w:val="00033657"/>
    <w:rsid w:val="00033970"/>
    <w:rsid w:val="00034F4C"/>
    <w:rsid w:val="00035188"/>
    <w:rsid w:val="000355BB"/>
    <w:rsid w:val="00035689"/>
    <w:rsid w:val="00035E1B"/>
    <w:rsid w:val="0003685E"/>
    <w:rsid w:val="000368DB"/>
    <w:rsid w:val="000370BC"/>
    <w:rsid w:val="00037DE7"/>
    <w:rsid w:val="0004065C"/>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2A"/>
    <w:rsid w:val="000629E2"/>
    <w:rsid w:val="00062D25"/>
    <w:rsid w:val="000631A9"/>
    <w:rsid w:val="00063434"/>
    <w:rsid w:val="00063F56"/>
    <w:rsid w:val="00064E83"/>
    <w:rsid w:val="000656D0"/>
    <w:rsid w:val="00066685"/>
    <w:rsid w:val="00066946"/>
    <w:rsid w:val="000702C7"/>
    <w:rsid w:val="0007042D"/>
    <w:rsid w:val="00070E1E"/>
    <w:rsid w:val="000711E0"/>
    <w:rsid w:val="000711E8"/>
    <w:rsid w:val="00071B86"/>
    <w:rsid w:val="000729CA"/>
    <w:rsid w:val="00072BC3"/>
    <w:rsid w:val="00073DAC"/>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6221"/>
    <w:rsid w:val="000977D2"/>
    <w:rsid w:val="00097E39"/>
    <w:rsid w:val="000A159F"/>
    <w:rsid w:val="000A23F5"/>
    <w:rsid w:val="000A2765"/>
    <w:rsid w:val="000A2E25"/>
    <w:rsid w:val="000A39E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2E54"/>
    <w:rsid w:val="000B47AD"/>
    <w:rsid w:val="000B6146"/>
    <w:rsid w:val="000B663B"/>
    <w:rsid w:val="000B6DD8"/>
    <w:rsid w:val="000C0825"/>
    <w:rsid w:val="000C17A9"/>
    <w:rsid w:val="000C30E4"/>
    <w:rsid w:val="000C3ED3"/>
    <w:rsid w:val="000C530E"/>
    <w:rsid w:val="000C542C"/>
    <w:rsid w:val="000C6390"/>
    <w:rsid w:val="000C6793"/>
    <w:rsid w:val="000C6B8A"/>
    <w:rsid w:val="000C7700"/>
    <w:rsid w:val="000C775D"/>
    <w:rsid w:val="000C79E7"/>
    <w:rsid w:val="000C7C51"/>
    <w:rsid w:val="000C7F80"/>
    <w:rsid w:val="000D0155"/>
    <w:rsid w:val="000D01FA"/>
    <w:rsid w:val="000D07ED"/>
    <w:rsid w:val="000D14A9"/>
    <w:rsid w:val="000D191B"/>
    <w:rsid w:val="000D1930"/>
    <w:rsid w:val="000D2866"/>
    <w:rsid w:val="000D2F21"/>
    <w:rsid w:val="000D3FBC"/>
    <w:rsid w:val="000D402B"/>
    <w:rsid w:val="000D45D8"/>
    <w:rsid w:val="000D486A"/>
    <w:rsid w:val="000D486E"/>
    <w:rsid w:val="000D4B05"/>
    <w:rsid w:val="000D4D7C"/>
    <w:rsid w:val="000D4D91"/>
    <w:rsid w:val="000D4EA2"/>
    <w:rsid w:val="000D4FA3"/>
    <w:rsid w:val="000D55C4"/>
    <w:rsid w:val="000D696D"/>
    <w:rsid w:val="000D6EF1"/>
    <w:rsid w:val="000D6F72"/>
    <w:rsid w:val="000D7392"/>
    <w:rsid w:val="000D789A"/>
    <w:rsid w:val="000D7A5B"/>
    <w:rsid w:val="000E0577"/>
    <w:rsid w:val="000E0D71"/>
    <w:rsid w:val="000E2607"/>
    <w:rsid w:val="000E28B0"/>
    <w:rsid w:val="000E353F"/>
    <w:rsid w:val="000E3A8A"/>
    <w:rsid w:val="000E406C"/>
    <w:rsid w:val="000E444B"/>
    <w:rsid w:val="000E5428"/>
    <w:rsid w:val="000E5A9F"/>
    <w:rsid w:val="000E7B0A"/>
    <w:rsid w:val="000F02A3"/>
    <w:rsid w:val="000F0526"/>
    <w:rsid w:val="000F1557"/>
    <w:rsid w:val="000F16A9"/>
    <w:rsid w:val="000F1864"/>
    <w:rsid w:val="000F259B"/>
    <w:rsid w:val="000F335A"/>
    <w:rsid w:val="000F42DF"/>
    <w:rsid w:val="000F4402"/>
    <w:rsid w:val="000F4554"/>
    <w:rsid w:val="000F456F"/>
    <w:rsid w:val="000F47D9"/>
    <w:rsid w:val="000F513A"/>
    <w:rsid w:val="000F53D5"/>
    <w:rsid w:val="000F59FE"/>
    <w:rsid w:val="000F653C"/>
    <w:rsid w:val="000F7555"/>
    <w:rsid w:val="000F7CEF"/>
    <w:rsid w:val="001005DF"/>
    <w:rsid w:val="00100B27"/>
    <w:rsid w:val="00101188"/>
    <w:rsid w:val="00102526"/>
    <w:rsid w:val="0010264B"/>
    <w:rsid w:val="00102A52"/>
    <w:rsid w:val="001038CD"/>
    <w:rsid w:val="001043B1"/>
    <w:rsid w:val="00104A1E"/>
    <w:rsid w:val="00104B25"/>
    <w:rsid w:val="001057C3"/>
    <w:rsid w:val="00105BBB"/>
    <w:rsid w:val="00105D37"/>
    <w:rsid w:val="00106C22"/>
    <w:rsid w:val="00107537"/>
    <w:rsid w:val="00107674"/>
    <w:rsid w:val="00110F45"/>
    <w:rsid w:val="001112B1"/>
    <w:rsid w:val="0011183F"/>
    <w:rsid w:val="00112A18"/>
    <w:rsid w:val="00112B20"/>
    <w:rsid w:val="00112C44"/>
    <w:rsid w:val="00112EFA"/>
    <w:rsid w:val="0011354F"/>
    <w:rsid w:val="00113C11"/>
    <w:rsid w:val="00114457"/>
    <w:rsid w:val="00114A6A"/>
    <w:rsid w:val="00114E84"/>
    <w:rsid w:val="00115384"/>
    <w:rsid w:val="0011558A"/>
    <w:rsid w:val="00115709"/>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2D54"/>
    <w:rsid w:val="00144EE4"/>
    <w:rsid w:val="001450B9"/>
    <w:rsid w:val="001466F5"/>
    <w:rsid w:val="00146A76"/>
    <w:rsid w:val="00146B9A"/>
    <w:rsid w:val="001471B2"/>
    <w:rsid w:val="001471D4"/>
    <w:rsid w:val="00147997"/>
    <w:rsid w:val="0015024C"/>
    <w:rsid w:val="0015192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873"/>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093"/>
    <w:rsid w:val="001864A2"/>
    <w:rsid w:val="001866B6"/>
    <w:rsid w:val="00187848"/>
    <w:rsid w:val="00187F43"/>
    <w:rsid w:val="00190182"/>
    <w:rsid w:val="0019057F"/>
    <w:rsid w:val="001918BF"/>
    <w:rsid w:val="00191F3F"/>
    <w:rsid w:val="0019365A"/>
    <w:rsid w:val="001953D9"/>
    <w:rsid w:val="00196915"/>
    <w:rsid w:val="0019705B"/>
    <w:rsid w:val="00197C14"/>
    <w:rsid w:val="001A0476"/>
    <w:rsid w:val="001A0538"/>
    <w:rsid w:val="001A0FCA"/>
    <w:rsid w:val="001A15A7"/>
    <w:rsid w:val="001A3DE7"/>
    <w:rsid w:val="001A65C4"/>
    <w:rsid w:val="001A703C"/>
    <w:rsid w:val="001A70BD"/>
    <w:rsid w:val="001A7201"/>
    <w:rsid w:val="001A7DCC"/>
    <w:rsid w:val="001A7F57"/>
    <w:rsid w:val="001B00E7"/>
    <w:rsid w:val="001B1B87"/>
    <w:rsid w:val="001B26F2"/>
    <w:rsid w:val="001B6A93"/>
    <w:rsid w:val="001B7533"/>
    <w:rsid w:val="001C109C"/>
    <w:rsid w:val="001C31F0"/>
    <w:rsid w:val="001C3E8E"/>
    <w:rsid w:val="001C664A"/>
    <w:rsid w:val="001C67D3"/>
    <w:rsid w:val="001C70F9"/>
    <w:rsid w:val="001C7893"/>
    <w:rsid w:val="001C7D91"/>
    <w:rsid w:val="001D06C5"/>
    <w:rsid w:val="001D0776"/>
    <w:rsid w:val="001D09BD"/>
    <w:rsid w:val="001D19AD"/>
    <w:rsid w:val="001D1CE6"/>
    <w:rsid w:val="001D1DF0"/>
    <w:rsid w:val="001D2121"/>
    <w:rsid w:val="001D3404"/>
    <w:rsid w:val="001D456A"/>
    <w:rsid w:val="001D5539"/>
    <w:rsid w:val="001D59EF"/>
    <w:rsid w:val="001D6299"/>
    <w:rsid w:val="001D6A5D"/>
    <w:rsid w:val="001D71CD"/>
    <w:rsid w:val="001D7B27"/>
    <w:rsid w:val="001E0B5C"/>
    <w:rsid w:val="001E0B89"/>
    <w:rsid w:val="001E174C"/>
    <w:rsid w:val="001E1FE5"/>
    <w:rsid w:val="001E2AFF"/>
    <w:rsid w:val="001E345D"/>
    <w:rsid w:val="001E39F6"/>
    <w:rsid w:val="001E3C1B"/>
    <w:rsid w:val="001E4164"/>
    <w:rsid w:val="001E4691"/>
    <w:rsid w:val="001E4821"/>
    <w:rsid w:val="001E4984"/>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3C8"/>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254"/>
    <w:rsid w:val="00211EEF"/>
    <w:rsid w:val="00212730"/>
    <w:rsid w:val="00213094"/>
    <w:rsid w:val="00213214"/>
    <w:rsid w:val="002140B9"/>
    <w:rsid w:val="00214855"/>
    <w:rsid w:val="00215B5E"/>
    <w:rsid w:val="0021691A"/>
    <w:rsid w:val="00216AA3"/>
    <w:rsid w:val="002170B3"/>
    <w:rsid w:val="002215A2"/>
    <w:rsid w:val="00221870"/>
    <w:rsid w:val="002230A3"/>
    <w:rsid w:val="00223BB6"/>
    <w:rsid w:val="00223BD3"/>
    <w:rsid w:val="00223D75"/>
    <w:rsid w:val="00225886"/>
    <w:rsid w:val="00225B3C"/>
    <w:rsid w:val="002272FC"/>
    <w:rsid w:val="00227783"/>
    <w:rsid w:val="00227E8F"/>
    <w:rsid w:val="0023041A"/>
    <w:rsid w:val="00230450"/>
    <w:rsid w:val="002332EF"/>
    <w:rsid w:val="00233517"/>
    <w:rsid w:val="00233CAC"/>
    <w:rsid w:val="002347E8"/>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2A5"/>
    <w:rsid w:val="002418C4"/>
    <w:rsid w:val="00241F46"/>
    <w:rsid w:val="0024334D"/>
    <w:rsid w:val="002437BF"/>
    <w:rsid w:val="00243ABB"/>
    <w:rsid w:val="00243AF4"/>
    <w:rsid w:val="002444B8"/>
    <w:rsid w:val="00244CAA"/>
    <w:rsid w:val="00245617"/>
    <w:rsid w:val="00245A2F"/>
    <w:rsid w:val="00245CCD"/>
    <w:rsid w:val="00245E2D"/>
    <w:rsid w:val="00245F4A"/>
    <w:rsid w:val="00246113"/>
    <w:rsid w:val="00247266"/>
    <w:rsid w:val="00247518"/>
    <w:rsid w:val="002479AF"/>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42C"/>
    <w:rsid w:val="0026276C"/>
    <w:rsid w:val="00262CC5"/>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409"/>
    <w:rsid w:val="00276A6F"/>
    <w:rsid w:val="00277AAF"/>
    <w:rsid w:val="00277FD4"/>
    <w:rsid w:val="002806B7"/>
    <w:rsid w:val="00281775"/>
    <w:rsid w:val="0028179E"/>
    <w:rsid w:val="00281AA6"/>
    <w:rsid w:val="002833D0"/>
    <w:rsid w:val="00285C1C"/>
    <w:rsid w:val="00285CB2"/>
    <w:rsid w:val="00285D9D"/>
    <w:rsid w:val="002860C6"/>
    <w:rsid w:val="00286D70"/>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1E1D"/>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18E"/>
    <w:rsid w:val="002B12F1"/>
    <w:rsid w:val="002B18B8"/>
    <w:rsid w:val="002B1CE6"/>
    <w:rsid w:val="002B2899"/>
    <w:rsid w:val="002B4D3C"/>
    <w:rsid w:val="002B5016"/>
    <w:rsid w:val="002B5135"/>
    <w:rsid w:val="002B5881"/>
    <w:rsid w:val="002B5BE4"/>
    <w:rsid w:val="002B6529"/>
    <w:rsid w:val="002B6E49"/>
    <w:rsid w:val="002B7C20"/>
    <w:rsid w:val="002C05CA"/>
    <w:rsid w:val="002C0B22"/>
    <w:rsid w:val="002C1DA8"/>
    <w:rsid w:val="002C243C"/>
    <w:rsid w:val="002C296F"/>
    <w:rsid w:val="002C2972"/>
    <w:rsid w:val="002C364F"/>
    <w:rsid w:val="002C3DF8"/>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1D1"/>
    <w:rsid w:val="002E3F33"/>
    <w:rsid w:val="002E4AB6"/>
    <w:rsid w:val="002E50E3"/>
    <w:rsid w:val="002E556A"/>
    <w:rsid w:val="002E7155"/>
    <w:rsid w:val="002F0C2A"/>
    <w:rsid w:val="002F1CFC"/>
    <w:rsid w:val="002F2AFA"/>
    <w:rsid w:val="002F36BB"/>
    <w:rsid w:val="002F48AA"/>
    <w:rsid w:val="002F48AC"/>
    <w:rsid w:val="002F4AC5"/>
    <w:rsid w:val="002F4DAA"/>
    <w:rsid w:val="002F4F1E"/>
    <w:rsid w:val="002F5213"/>
    <w:rsid w:val="002F5EA6"/>
    <w:rsid w:val="002F6764"/>
    <w:rsid w:val="002F7B85"/>
    <w:rsid w:val="002F7B89"/>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B64"/>
    <w:rsid w:val="00327E98"/>
    <w:rsid w:val="00330680"/>
    <w:rsid w:val="00330689"/>
    <w:rsid w:val="00330E98"/>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2B23"/>
    <w:rsid w:val="003439EC"/>
    <w:rsid w:val="003447BF"/>
    <w:rsid w:val="00344B0C"/>
    <w:rsid w:val="00344F22"/>
    <w:rsid w:val="003453AC"/>
    <w:rsid w:val="003453B7"/>
    <w:rsid w:val="003456EA"/>
    <w:rsid w:val="00347301"/>
    <w:rsid w:val="003509D8"/>
    <w:rsid w:val="003513DF"/>
    <w:rsid w:val="003517BF"/>
    <w:rsid w:val="003517E2"/>
    <w:rsid w:val="0035316F"/>
    <w:rsid w:val="00353563"/>
    <w:rsid w:val="003539CF"/>
    <w:rsid w:val="003539D5"/>
    <w:rsid w:val="00353FD2"/>
    <w:rsid w:val="00354518"/>
    <w:rsid w:val="003548F6"/>
    <w:rsid w:val="00354936"/>
    <w:rsid w:val="00355F34"/>
    <w:rsid w:val="00357198"/>
    <w:rsid w:val="00360B4A"/>
    <w:rsid w:val="0036161B"/>
    <w:rsid w:val="003620EE"/>
    <w:rsid w:val="00362A01"/>
    <w:rsid w:val="00362AA0"/>
    <w:rsid w:val="00363894"/>
    <w:rsid w:val="0036441D"/>
    <w:rsid w:val="00365B55"/>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2B3C"/>
    <w:rsid w:val="00393515"/>
    <w:rsid w:val="003936E5"/>
    <w:rsid w:val="00394FDC"/>
    <w:rsid w:val="00395111"/>
    <w:rsid w:val="00396005"/>
    <w:rsid w:val="003962B6"/>
    <w:rsid w:val="0039636C"/>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1DC0"/>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165E"/>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15EB"/>
    <w:rsid w:val="00402622"/>
    <w:rsid w:val="00402B19"/>
    <w:rsid w:val="00404266"/>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4AF9"/>
    <w:rsid w:val="0041517A"/>
    <w:rsid w:val="00417894"/>
    <w:rsid w:val="00417AE1"/>
    <w:rsid w:val="0042005F"/>
    <w:rsid w:val="004202F8"/>
    <w:rsid w:val="00420A69"/>
    <w:rsid w:val="004210D1"/>
    <w:rsid w:val="00421609"/>
    <w:rsid w:val="00421618"/>
    <w:rsid w:val="00422C17"/>
    <w:rsid w:val="00422E18"/>
    <w:rsid w:val="00422F23"/>
    <w:rsid w:val="00425505"/>
    <w:rsid w:val="00425890"/>
    <w:rsid w:val="00425A80"/>
    <w:rsid w:val="00425B13"/>
    <w:rsid w:val="0042623C"/>
    <w:rsid w:val="004267EC"/>
    <w:rsid w:val="00426915"/>
    <w:rsid w:val="00426AFE"/>
    <w:rsid w:val="00426EEB"/>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4DA"/>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6C1"/>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34A5"/>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405"/>
    <w:rsid w:val="00487770"/>
    <w:rsid w:val="00487AA4"/>
    <w:rsid w:val="00487DEE"/>
    <w:rsid w:val="00490062"/>
    <w:rsid w:val="00490A89"/>
    <w:rsid w:val="0049112E"/>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0DE7"/>
    <w:rsid w:val="004A142B"/>
    <w:rsid w:val="004A2863"/>
    <w:rsid w:val="004A2FE3"/>
    <w:rsid w:val="004A362C"/>
    <w:rsid w:val="004A4971"/>
    <w:rsid w:val="004A67D7"/>
    <w:rsid w:val="004A6A34"/>
    <w:rsid w:val="004A78E9"/>
    <w:rsid w:val="004A7E98"/>
    <w:rsid w:val="004B0197"/>
    <w:rsid w:val="004B07C3"/>
    <w:rsid w:val="004B09C6"/>
    <w:rsid w:val="004B2233"/>
    <w:rsid w:val="004B2F5D"/>
    <w:rsid w:val="004B31F9"/>
    <w:rsid w:val="004B36AD"/>
    <w:rsid w:val="004B3759"/>
    <w:rsid w:val="004B3DC9"/>
    <w:rsid w:val="004B4033"/>
    <w:rsid w:val="004B486A"/>
    <w:rsid w:val="004B58F5"/>
    <w:rsid w:val="004B64AF"/>
    <w:rsid w:val="004B691A"/>
    <w:rsid w:val="004B6C53"/>
    <w:rsid w:val="004B787F"/>
    <w:rsid w:val="004B7898"/>
    <w:rsid w:val="004B7CFB"/>
    <w:rsid w:val="004C0025"/>
    <w:rsid w:val="004C096A"/>
    <w:rsid w:val="004C0D82"/>
    <w:rsid w:val="004C15BD"/>
    <w:rsid w:val="004C1798"/>
    <w:rsid w:val="004C1F5F"/>
    <w:rsid w:val="004C36C6"/>
    <w:rsid w:val="004C3EB7"/>
    <w:rsid w:val="004C41CE"/>
    <w:rsid w:val="004C443E"/>
    <w:rsid w:val="004C485E"/>
    <w:rsid w:val="004C5A4B"/>
    <w:rsid w:val="004C5B41"/>
    <w:rsid w:val="004C5B91"/>
    <w:rsid w:val="004C654B"/>
    <w:rsid w:val="004C6AA1"/>
    <w:rsid w:val="004C6D3B"/>
    <w:rsid w:val="004C7285"/>
    <w:rsid w:val="004C7527"/>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1D4D"/>
    <w:rsid w:val="004E237E"/>
    <w:rsid w:val="004E277C"/>
    <w:rsid w:val="004E2F31"/>
    <w:rsid w:val="004E3AEB"/>
    <w:rsid w:val="004E3BE8"/>
    <w:rsid w:val="004E4538"/>
    <w:rsid w:val="004E4A50"/>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3E"/>
    <w:rsid w:val="004F6792"/>
    <w:rsid w:val="004F726A"/>
    <w:rsid w:val="004F78CE"/>
    <w:rsid w:val="004F7A1A"/>
    <w:rsid w:val="00500066"/>
    <w:rsid w:val="00500F73"/>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29"/>
    <w:rsid w:val="00532530"/>
    <w:rsid w:val="00532678"/>
    <w:rsid w:val="00532796"/>
    <w:rsid w:val="005337B9"/>
    <w:rsid w:val="00534FD6"/>
    <w:rsid w:val="00535A9E"/>
    <w:rsid w:val="00536068"/>
    <w:rsid w:val="00537577"/>
    <w:rsid w:val="005375BF"/>
    <w:rsid w:val="005377B7"/>
    <w:rsid w:val="0053797B"/>
    <w:rsid w:val="00537F86"/>
    <w:rsid w:val="0054004D"/>
    <w:rsid w:val="00540261"/>
    <w:rsid w:val="005404C5"/>
    <w:rsid w:val="00540D46"/>
    <w:rsid w:val="00541DDC"/>
    <w:rsid w:val="005429E3"/>
    <w:rsid w:val="005435FD"/>
    <w:rsid w:val="00543615"/>
    <w:rsid w:val="00544BCC"/>
    <w:rsid w:val="00544E08"/>
    <w:rsid w:val="0054574F"/>
    <w:rsid w:val="00545999"/>
    <w:rsid w:val="00545A8F"/>
    <w:rsid w:val="00545F07"/>
    <w:rsid w:val="005463A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795"/>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C68"/>
    <w:rsid w:val="00580F44"/>
    <w:rsid w:val="005819DF"/>
    <w:rsid w:val="00581E43"/>
    <w:rsid w:val="0058224D"/>
    <w:rsid w:val="0058264A"/>
    <w:rsid w:val="00582FC4"/>
    <w:rsid w:val="0058351A"/>
    <w:rsid w:val="00584F84"/>
    <w:rsid w:val="005854F9"/>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39"/>
    <w:rsid w:val="005971A5"/>
    <w:rsid w:val="00597424"/>
    <w:rsid w:val="005A0469"/>
    <w:rsid w:val="005A04F4"/>
    <w:rsid w:val="005A08C5"/>
    <w:rsid w:val="005A0B88"/>
    <w:rsid w:val="005A0D62"/>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076"/>
    <w:rsid w:val="005A686F"/>
    <w:rsid w:val="005A731E"/>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6AE8"/>
    <w:rsid w:val="005C79E0"/>
    <w:rsid w:val="005D0AFD"/>
    <w:rsid w:val="005D27F2"/>
    <w:rsid w:val="005D2F1F"/>
    <w:rsid w:val="005D304D"/>
    <w:rsid w:val="005D31AB"/>
    <w:rsid w:val="005D3783"/>
    <w:rsid w:val="005D3809"/>
    <w:rsid w:val="005D41F5"/>
    <w:rsid w:val="005D4C08"/>
    <w:rsid w:val="005D59EF"/>
    <w:rsid w:val="005D5A14"/>
    <w:rsid w:val="005D6597"/>
    <w:rsid w:val="005D6A28"/>
    <w:rsid w:val="005D7040"/>
    <w:rsid w:val="005D78E6"/>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528C"/>
    <w:rsid w:val="005F6EEB"/>
    <w:rsid w:val="005F707C"/>
    <w:rsid w:val="005F76A1"/>
    <w:rsid w:val="005F77FD"/>
    <w:rsid w:val="005F79B1"/>
    <w:rsid w:val="005F7C8D"/>
    <w:rsid w:val="00600A78"/>
    <w:rsid w:val="00603B63"/>
    <w:rsid w:val="0060404B"/>
    <w:rsid w:val="00604DCF"/>
    <w:rsid w:val="006057DA"/>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511E"/>
    <w:rsid w:val="00615FE1"/>
    <w:rsid w:val="00616005"/>
    <w:rsid w:val="00616BE1"/>
    <w:rsid w:val="006171F2"/>
    <w:rsid w:val="0061769B"/>
    <w:rsid w:val="00617B4C"/>
    <w:rsid w:val="0062044E"/>
    <w:rsid w:val="006204A3"/>
    <w:rsid w:val="0062079E"/>
    <w:rsid w:val="006208FC"/>
    <w:rsid w:val="006225D9"/>
    <w:rsid w:val="00623088"/>
    <w:rsid w:val="00623524"/>
    <w:rsid w:val="00623739"/>
    <w:rsid w:val="00623FFA"/>
    <w:rsid w:val="00624CCB"/>
    <w:rsid w:val="00624DA3"/>
    <w:rsid w:val="0062511A"/>
    <w:rsid w:val="006251DC"/>
    <w:rsid w:val="00625583"/>
    <w:rsid w:val="006256B2"/>
    <w:rsid w:val="00625D86"/>
    <w:rsid w:val="0062612A"/>
    <w:rsid w:val="006266E9"/>
    <w:rsid w:val="00626988"/>
    <w:rsid w:val="0062699C"/>
    <w:rsid w:val="0062730D"/>
    <w:rsid w:val="00627615"/>
    <w:rsid w:val="006278E0"/>
    <w:rsid w:val="00627B82"/>
    <w:rsid w:val="00630A88"/>
    <w:rsid w:val="00630EA1"/>
    <w:rsid w:val="00631290"/>
    <w:rsid w:val="00631628"/>
    <w:rsid w:val="006320CB"/>
    <w:rsid w:val="006322A6"/>
    <w:rsid w:val="00632470"/>
    <w:rsid w:val="0063282C"/>
    <w:rsid w:val="006329B9"/>
    <w:rsid w:val="00632AFC"/>
    <w:rsid w:val="00632CE5"/>
    <w:rsid w:val="006335AA"/>
    <w:rsid w:val="00633942"/>
    <w:rsid w:val="006348DA"/>
    <w:rsid w:val="00634CD6"/>
    <w:rsid w:val="00634E9E"/>
    <w:rsid w:val="00635B90"/>
    <w:rsid w:val="006377D1"/>
    <w:rsid w:val="00637C80"/>
    <w:rsid w:val="00640339"/>
    <w:rsid w:val="00640483"/>
    <w:rsid w:val="006411A5"/>
    <w:rsid w:val="006422D1"/>
    <w:rsid w:val="0064270E"/>
    <w:rsid w:val="00642AEC"/>
    <w:rsid w:val="00645751"/>
    <w:rsid w:val="00645A30"/>
    <w:rsid w:val="00645FB2"/>
    <w:rsid w:val="0064671A"/>
    <w:rsid w:val="00646B13"/>
    <w:rsid w:val="00647A96"/>
    <w:rsid w:val="0065024D"/>
    <w:rsid w:val="0065035C"/>
    <w:rsid w:val="0065073C"/>
    <w:rsid w:val="00651F43"/>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57EE8"/>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80B"/>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96B21"/>
    <w:rsid w:val="006A098A"/>
    <w:rsid w:val="006A0A46"/>
    <w:rsid w:val="006A0FAC"/>
    <w:rsid w:val="006A2304"/>
    <w:rsid w:val="006A2CF2"/>
    <w:rsid w:val="006A449C"/>
    <w:rsid w:val="006A4BA4"/>
    <w:rsid w:val="006A4EC8"/>
    <w:rsid w:val="006A4EE1"/>
    <w:rsid w:val="006A599B"/>
    <w:rsid w:val="006A650D"/>
    <w:rsid w:val="006A6D40"/>
    <w:rsid w:val="006A75D9"/>
    <w:rsid w:val="006A79E7"/>
    <w:rsid w:val="006A7DC9"/>
    <w:rsid w:val="006B0EAF"/>
    <w:rsid w:val="006B1377"/>
    <w:rsid w:val="006B1B44"/>
    <w:rsid w:val="006B1B64"/>
    <w:rsid w:val="006B1E24"/>
    <w:rsid w:val="006B1F50"/>
    <w:rsid w:val="006B2BA2"/>
    <w:rsid w:val="006B5949"/>
    <w:rsid w:val="006B5DCE"/>
    <w:rsid w:val="006B61CC"/>
    <w:rsid w:val="006B633A"/>
    <w:rsid w:val="006B6549"/>
    <w:rsid w:val="006B6C1C"/>
    <w:rsid w:val="006B6FA0"/>
    <w:rsid w:val="006B705D"/>
    <w:rsid w:val="006B79DF"/>
    <w:rsid w:val="006C0AEC"/>
    <w:rsid w:val="006C0D33"/>
    <w:rsid w:val="006C0FA6"/>
    <w:rsid w:val="006C14A8"/>
    <w:rsid w:val="006C1FAC"/>
    <w:rsid w:val="006C344F"/>
    <w:rsid w:val="006C348B"/>
    <w:rsid w:val="006C4C60"/>
    <w:rsid w:val="006C560B"/>
    <w:rsid w:val="006C5839"/>
    <w:rsid w:val="006C5C0F"/>
    <w:rsid w:val="006C5FAA"/>
    <w:rsid w:val="006C63BD"/>
    <w:rsid w:val="006C72FE"/>
    <w:rsid w:val="006C770D"/>
    <w:rsid w:val="006D12F4"/>
    <w:rsid w:val="006D144C"/>
    <w:rsid w:val="006D267D"/>
    <w:rsid w:val="006D2BDC"/>
    <w:rsid w:val="006D2C53"/>
    <w:rsid w:val="006D2F9F"/>
    <w:rsid w:val="006D352A"/>
    <w:rsid w:val="006D3D16"/>
    <w:rsid w:val="006D4A2F"/>
    <w:rsid w:val="006D4C8C"/>
    <w:rsid w:val="006D4D08"/>
    <w:rsid w:val="006D57CF"/>
    <w:rsid w:val="006D585E"/>
    <w:rsid w:val="006D62E8"/>
    <w:rsid w:val="006D6545"/>
    <w:rsid w:val="006D6805"/>
    <w:rsid w:val="006D68B9"/>
    <w:rsid w:val="006D6F56"/>
    <w:rsid w:val="006D7E84"/>
    <w:rsid w:val="006E09A9"/>
    <w:rsid w:val="006E1A8E"/>
    <w:rsid w:val="006E2CC5"/>
    <w:rsid w:val="006E31B2"/>
    <w:rsid w:val="006E335D"/>
    <w:rsid w:val="006E3733"/>
    <w:rsid w:val="006E4C5B"/>
    <w:rsid w:val="006E5AF1"/>
    <w:rsid w:val="006E5FAC"/>
    <w:rsid w:val="006E5FB1"/>
    <w:rsid w:val="006E672C"/>
    <w:rsid w:val="006E71B4"/>
    <w:rsid w:val="006E79F3"/>
    <w:rsid w:val="006F0180"/>
    <w:rsid w:val="006F19B5"/>
    <w:rsid w:val="006F1AD4"/>
    <w:rsid w:val="006F1DCB"/>
    <w:rsid w:val="006F2514"/>
    <w:rsid w:val="006F2620"/>
    <w:rsid w:val="006F29BA"/>
    <w:rsid w:val="006F2AC1"/>
    <w:rsid w:val="006F2AEB"/>
    <w:rsid w:val="006F2B22"/>
    <w:rsid w:val="006F2DCB"/>
    <w:rsid w:val="006F440A"/>
    <w:rsid w:val="006F4BA1"/>
    <w:rsid w:val="006F6435"/>
    <w:rsid w:val="006F66B4"/>
    <w:rsid w:val="006F71DC"/>
    <w:rsid w:val="006F74AD"/>
    <w:rsid w:val="00700085"/>
    <w:rsid w:val="00700AED"/>
    <w:rsid w:val="00700FAB"/>
    <w:rsid w:val="00700FBD"/>
    <w:rsid w:val="00701357"/>
    <w:rsid w:val="007014C1"/>
    <w:rsid w:val="007014D0"/>
    <w:rsid w:val="007015F7"/>
    <w:rsid w:val="00701783"/>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67D"/>
    <w:rsid w:val="00723CE5"/>
    <w:rsid w:val="00724048"/>
    <w:rsid w:val="007243B3"/>
    <w:rsid w:val="00724BDF"/>
    <w:rsid w:val="00725C8B"/>
    <w:rsid w:val="00725FFD"/>
    <w:rsid w:val="00726A37"/>
    <w:rsid w:val="00726B2D"/>
    <w:rsid w:val="00727219"/>
    <w:rsid w:val="00727292"/>
    <w:rsid w:val="007274F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2FB5"/>
    <w:rsid w:val="0074303D"/>
    <w:rsid w:val="00743989"/>
    <w:rsid w:val="00743A46"/>
    <w:rsid w:val="0074486C"/>
    <w:rsid w:val="00745C2B"/>
    <w:rsid w:val="00746D34"/>
    <w:rsid w:val="00746EB4"/>
    <w:rsid w:val="00747503"/>
    <w:rsid w:val="00747509"/>
    <w:rsid w:val="007478E4"/>
    <w:rsid w:val="00750C90"/>
    <w:rsid w:val="00750F9D"/>
    <w:rsid w:val="00751416"/>
    <w:rsid w:val="007514B1"/>
    <w:rsid w:val="007521DE"/>
    <w:rsid w:val="00752343"/>
    <w:rsid w:val="007529ED"/>
    <w:rsid w:val="00752A6F"/>
    <w:rsid w:val="0075441B"/>
    <w:rsid w:val="00755D8C"/>
    <w:rsid w:val="0075663D"/>
    <w:rsid w:val="0075664F"/>
    <w:rsid w:val="007567B8"/>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49"/>
    <w:rsid w:val="007731F9"/>
    <w:rsid w:val="00773342"/>
    <w:rsid w:val="007734B2"/>
    <w:rsid w:val="0077359E"/>
    <w:rsid w:val="0077395B"/>
    <w:rsid w:val="00773C71"/>
    <w:rsid w:val="00773C81"/>
    <w:rsid w:val="00774D7C"/>
    <w:rsid w:val="00775CAE"/>
    <w:rsid w:val="007761CE"/>
    <w:rsid w:val="00780F75"/>
    <w:rsid w:val="00782EC5"/>
    <w:rsid w:val="007832E9"/>
    <w:rsid w:val="0078345D"/>
    <w:rsid w:val="007849C0"/>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6EE7"/>
    <w:rsid w:val="007A7E14"/>
    <w:rsid w:val="007B0DB0"/>
    <w:rsid w:val="007B14F3"/>
    <w:rsid w:val="007B15CB"/>
    <w:rsid w:val="007B17F7"/>
    <w:rsid w:val="007B2ABF"/>
    <w:rsid w:val="007B30C9"/>
    <w:rsid w:val="007B4695"/>
    <w:rsid w:val="007B4862"/>
    <w:rsid w:val="007B4A01"/>
    <w:rsid w:val="007B4BE4"/>
    <w:rsid w:val="007B54FD"/>
    <w:rsid w:val="007B719E"/>
    <w:rsid w:val="007B7A90"/>
    <w:rsid w:val="007C2CDB"/>
    <w:rsid w:val="007C32E0"/>
    <w:rsid w:val="007C54A3"/>
    <w:rsid w:val="007C60C1"/>
    <w:rsid w:val="007C76C4"/>
    <w:rsid w:val="007C7FA8"/>
    <w:rsid w:val="007D09D1"/>
    <w:rsid w:val="007D0B58"/>
    <w:rsid w:val="007D1163"/>
    <w:rsid w:val="007D1F80"/>
    <w:rsid w:val="007D1FB0"/>
    <w:rsid w:val="007D2B27"/>
    <w:rsid w:val="007D3717"/>
    <w:rsid w:val="007D3DD0"/>
    <w:rsid w:val="007D4261"/>
    <w:rsid w:val="007D46BA"/>
    <w:rsid w:val="007D5010"/>
    <w:rsid w:val="007D537C"/>
    <w:rsid w:val="007D5D03"/>
    <w:rsid w:val="007D5FA7"/>
    <w:rsid w:val="007D6102"/>
    <w:rsid w:val="007D6BE3"/>
    <w:rsid w:val="007D7AD5"/>
    <w:rsid w:val="007D7CD0"/>
    <w:rsid w:val="007E0ABF"/>
    <w:rsid w:val="007E0DED"/>
    <w:rsid w:val="007E13EB"/>
    <w:rsid w:val="007E195E"/>
    <w:rsid w:val="007E2B7E"/>
    <w:rsid w:val="007E3074"/>
    <w:rsid w:val="007E4A70"/>
    <w:rsid w:val="007E5894"/>
    <w:rsid w:val="007E5A42"/>
    <w:rsid w:val="007E6193"/>
    <w:rsid w:val="007E645B"/>
    <w:rsid w:val="007E727A"/>
    <w:rsid w:val="007E7672"/>
    <w:rsid w:val="007F0243"/>
    <w:rsid w:val="007F0378"/>
    <w:rsid w:val="007F039D"/>
    <w:rsid w:val="007F05E2"/>
    <w:rsid w:val="007F1875"/>
    <w:rsid w:val="007F18C4"/>
    <w:rsid w:val="007F1DAD"/>
    <w:rsid w:val="007F3D7D"/>
    <w:rsid w:val="007F5CF7"/>
    <w:rsid w:val="007F6C54"/>
    <w:rsid w:val="007F7017"/>
    <w:rsid w:val="007F712D"/>
    <w:rsid w:val="007F7B0D"/>
    <w:rsid w:val="007F7E0E"/>
    <w:rsid w:val="00800195"/>
    <w:rsid w:val="0080171E"/>
    <w:rsid w:val="00801A37"/>
    <w:rsid w:val="00804070"/>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3BE1"/>
    <w:rsid w:val="00814026"/>
    <w:rsid w:val="0081428A"/>
    <w:rsid w:val="0081437F"/>
    <w:rsid w:val="008144C4"/>
    <w:rsid w:val="0081528E"/>
    <w:rsid w:val="00815640"/>
    <w:rsid w:val="008161F5"/>
    <w:rsid w:val="008173A7"/>
    <w:rsid w:val="00817B12"/>
    <w:rsid w:val="00817C2C"/>
    <w:rsid w:val="00817D81"/>
    <w:rsid w:val="00820578"/>
    <w:rsid w:val="00820930"/>
    <w:rsid w:val="00820B1F"/>
    <w:rsid w:val="00821169"/>
    <w:rsid w:val="00821A87"/>
    <w:rsid w:val="00821E1C"/>
    <w:rsid w:val="00821EC4"/>
    <w:rsid w:val="00822688"/>
    <w:rsid w:val="008226B6"/>
    <w:rsid w:val="00823398"/>
    <w:rsid w:val="0082380D"/>
    <w:rsid w:val="00823992"/>
    <w:rsid w:val="00823C50"/>
    <w:rsid w:val="00825C78"/>
    <w:rsid w:val="00826F1F"/>
    <w:rsid w:val="00827065"/>
    <w:rsid w:val="00827EAD"/>
    <w:rsid w:val="0083074A"/>
    <w:rsid w:val="008313DA"/>
    <w:rsid w:val="008319C5"/>
    <w:rsid w:val="00831A8B"/>
    <w:rsid w:val="00832E7E"/>
    <w:rsid w:val="00833EB9"/>
    <w:rsid w:val="00834014"/>
    <w:rsid w:val="0083468B"/>
    <w:rsid w:val="008348E6"/>
    <w:rsid w:val="008349E6"/>
    <w:rsid w:val="008355E0"/>
    <w:rsid w:val="00836239"/>
    <w:rsid w:val="00836411"/>
    <w:rsid w:val="00836D9B"/>
    <w:rsid w:val="00836DC4"/>
    <w:rsid w:val="00836ED6"/>
    <w:rsid w:val="00837705"/>
    <w:rsid w:val="00837AEC"/>
    <w:rsid w:val="0084036A"/>
    <w:rsid w:val="008404CE"/>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58"/>
    <w:rsid w:val="008546D7"/>
    <w:rsid w:val="00854AAB"/>
    <w:rsid w:val="00854CA5"/>
    <w:rsid w:val="00856017"/>
    <w:rsid w:val="00856280"/>
    <w:rsid w:val="00856574"/>
    <w:rsid w:val="00857551"/>
    <w:rsid w:val="00857BB1"/>
    <w:rsid w:val="008621E4"/>
    <w:rsid w:val="00862591"/>
    <w:rsid w:val="00863647"/>
    <w:rsid w:val="00863C8E"/>
    <w:rsid w:val="00863D5B"/>
    <w:rsid w:val="0086411E"/>
    <w:rsid w:val="00864252"/>
    <w:rsid w:val="00864314"/>
    <w:rsid w:val="008649D1"/>
    <w:rsid w:val="00864DDF"/>
    <w:rsid w:val="00865674"/>
    <w:rsid w:val="008660B9"/>
    <w:rsid w:val="0086613D"/>
    <w:rsid w:val="00866DA7"/>
    <w:rsid w:val="00866DCB"/>
    <w:rsid w:val="0086754D"/>
    <w:rsid w:val="00867A91"/>
    <w:rsid w:val="00867D6E"/>
    <w:rsid w:val="00870FB7"/>
    <w:rsid w:val="008710E9"/>
    <w:rsid w:val="0087150E"/>
    <w:rsid w:val="00871774"/>
    <w:rsid w:val="00871CA0"/>
    <w:rsid w:val="008720E5"/>
    <w:rsid w:val="00872E67"/>
    <w:rsid w:val="00874949"/>
    <w:rsid w:val="0087597E"/>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29B"/>
    <w:rsid w:val="0089676C"/>
    <w:rsid w:val="00897863"/>
    <w:rsid w:val="00897D64"/>
    <w:rsid w:val="008A2477"/>
    <w:rsid w:val="008A262F"/>
    <w:rsid w:val="008A28A2"/>
    <w:rsid w:val="008A5AB9"/>
    <w:rsid w:val="008A6B98"/>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18F"/>
    <w:rsid w:val="008B6640"/>
    <w:rsid w:val="008B6803"/>
    <w:rsid w:val="008B6BFF"/>
    <w:rsid w:val="008B7267"/>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183"/>
    <w:rsid w:val="008D5C3F"/>
    <w:rsid w:val="008D667E"/>
    <w:rsid w:val="008D6821"/>
    <w:rsid w:val="008D6C84"/>
    <w:rsid w:val="008D76C0"/>
    <w:rsid w:val="008D7D37"/>
    <w:rsid w:val="008D7D6B"/>
    <w:rsid w:val="008D7FC7"/>
    <w:rsid w:val="008E04BD"/>
    <w:rsid w:val="008E09E7"/>
    <w:rsid w:val="008E0B9D"/>
    <w:rsid w:val="008E0CB3"/>
    <w:rsid w:val="008E1610"/>
    <w:rsid w:val="008E1EBD"/>
    <w:rsid w:val="008E271A"/>
    <w:rsid w:val="008E28DD"/>
    <w:rsid w:val="008E32E0"/>
    <w:rsid w:val="008E3A6F"/>
    <w:rsid w:val="008E3AFB"/>
    <w:rsid w:val="008E3E38"/>
    <w:rsid w:val="008E3FDF"/>
    <w:rsid w:val="008E4839"/>
    <w:rsid w:val="008E490E"/>
    <w:rsid w:val="008E575F"/>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E1D"/>
    <w:rsid w:val="0090388F"/>
    <w:rsid w:val="00904BBE"/>
    <w:rsid w:val="00904DC5"/>
    <w:rsid w:val="009050AB"/>
    <w:rsid w:val="009066A7"/>
    <w:rsid w:val="00906D53"/>
    <w:rsid w:val="00910024"/>
    <w:rsid w:val="00910B9F"/>
    <w:rsid w:val="00910D53"/>
    <w:rsid w:val="00910E7B"/>
    <w:rsid w:val="00912051"/>
    <w:rsid w:val="0091261E"/>
    <w:rsid w:val="00912DBE"/>
    <w:rsid w:val="00913832"/>
    <w:rsid w:val="00913B00"/>
    <w:rsid w:val="00913CDD"/>
    <w:rsid w:val="00913FB3"/>
    <w:rsid w:val="00914208"/>
    <w:rsid w:val="00914B8E"/>
    <w:rsid w:val="00914EFB"/>
    <w:rsid w:val="00916B03"/>
    <w:rsid w:val="00916C78"/>
    <w:rsid w:val="00916D39"/>
    <w:rsid w:val="00917494"/>
    <w:rsid w:val="00920A48"/>
    <w:rsid w:val="00920C37"/>
    <w:rsid w:val="00921F68"/>
    <w:rsid w:val="00923766"/>
    <w:rsid w:val="009237D0"/>
    <w:rsid w:val="00923A3D"/>
    <w:rsid w:val="00924020"/>
    <w:rsid w:val="009246A9"/>
    <w:rsid w:val="009249B4"/>
    <w:rsid w:val="00924DC1"/>
    <w:rsid w:val="00924E39"/>
    <w:rsid w:val="009254EB"/>
    <w:rsid w:val="00925A38"/>
    <w:rsid w:val="00925B08"/>
    <w:rsid w:val="00926D14"/>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D51"/>
    <w:rsid w:val="00941FF1"/>
    <w:rsid w:val="00942484"/>
    <w:rsid w:val="00942C66"/>
    <w:rsid w:val="00943372"/>
    <w:rsid w:val="0094355C"/>
    <w:rsid w:val="0094424A"/>
    <w:rsid w:val="00944CC7"/>
    <w:rsid w:val="0094594A"/>
    <w:rsid w:val="00946902"/>
    <w:rsid w:val="00946F98"/>
    <w:rsid w:val="00947245"/>
    <w:rsid w:val="0094771A"/>
    <w:rsid w:val="0095000B"/>
    <w:rsid w:val="009506F3"/>
    <w:rsid w:val="00950B08"/>
    <w:rsid w:val="009526DC"/>
    <w:rsid w:val="00953334"/>
    <w:rsid w:val="009545A8"/>
    <w:rsid w:val="00954AB8"/>
    <w:rsid w:val="00954B1E"/>
    <w:rsid w:val="00954EE9"/>
    <w:rsid w:val="009551F5"/>
    <w:rsid w:val="009558B8"/>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67E22"/>
    <w:rsid w:val="0097098E"/>
    <w:rsid w:val="00970FEC"/>
    <w:rsid w:val="0097140A"/>
    <w:rsid w:val="00971BC1"/>
    <w:rsid w:val="00972617"/>
    <w:rsid w:val="0097318E"/>
    <w:rsid w:val="00973331"/>
    <w:rsid w:val="00973485"/>
    <w:rsid w:val="0097563E"/>
    <w:rsid w:val="00976078"/>
    <w:rsid w:val="00976125"/>
    <w:rsid w:val="009765A3"/>
    <w:rsid w:val="00977240"/>
    <w:rsid w:val="00977FAD"/>
    <w:rsid w:val="009805DB"/>
    <w:rsid w:val="00980AEC"/>
    <w:rsid w:val="00982363"/>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87"/>
    <w:rsid w:val="00993DC9"/>
    <w:rsid w:val="00994339"/>
    <w:rsid w:val="0099453A"/>
    <w:rsid w:val="00994F12"/>
    <w:rsid w:val="009950F1"/>
    <w:rsid w:val="00995887"/>
    <w:rsid w:val="0099636D"/>
    <w:rsid w:val="0099670B"/>
    <w:rsid w:val="00997610"/>
    <w:rsid w:val="009A029B"/>
    <w:rsid w:val="009A0D52"/>
    <w:rsid w:val="009A0F87"/>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1ACA"/>
    <w:rsid w:val="009D228D"/>
    <w:rsid w:val="009D2A95"/>
    <w:rsid w:val="009D4BF5"/>
    <w:rsid w:val="009D4F7D"/>
    <w:rsid w:val="009D6653"/>
    <w:rsid w:val="009D7465"/>
    <w:rsid w:val="009D783C"/>
    <w:rsid w:val="009D7F13"/>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4AF5"/>
    <w:rsid w:val="009F5980"/>
    <w:rsid w:val="009F5A22"/>
    <w:rsid w:val="009F69F5"/>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07F07"/>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0E99"/>
    <w:rsid w:val="00A21A57"/>
    <w:rsid w:val="00A22AF7"/>
    <w:rsid w:val="00A22D79"/>
    <w:rsid w:val="00A232FA"/>
    <w:rsid w:val="00A237CC"/>
    <w:rsid w:val="00A23D56"/>
    <w:rsid w:val="00A23ED3"/>
    <w:rsid w:val="00A24369"/>
    <w:rsid w:val="00A2480A"/>
    <w:rsid w:val="00A24A85"/>
    <w:rsid w:val="00A25659"/>
    <w:rsid w:val="00A2660D"/>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5FFA"/>
    <w:rsid w:val="00A4693F"/>
    <w:rsid w:val="00A470DF"/>
    <w:rsid w:val="00A47356"/>
    <w:rsid w:val="00A4736B"/>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4E7"/>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1B6"/>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597F"/>
    <w:rsid w:val="00A96499"/>
    <w:rsid w:val="00A965AA"/>
    <w:rsid w:val="00A968B6"/>
    <w:rsid w:val="00A97D7D"/>
    <w:rsid w:val="00AA1A3D"/>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58B"/>
    <w:rsid w:val="00AC0FDB"/>
    <w:rsid w:val="00AC1331"/>
    <w:rsid w:val="00AC1917"/>
    <w:rsid w:val="00AC29FD"/>
    <w:rsid w:val="00AC2F51"/>
    <w:rsid w:val="00AC3388"/>
    <w:rsid w:val="00AC37F2"/>
    <w:rsid w:val="00AC3F21"/>
    <w:rsid w:val="00AC4FA8"/>
    <w:rsid w:val="00AC5BFA"/>
    <w:rsid w:val="00AC5EC6"/>
    <w:rsid w:val="00AC654A"/>
    <w:rsid w:val="00AC6D2A"/>
    <w:rsid w:val="00AC7055"/>
    <w:rsid w:val="00AC7851"/>
    <w:rsid w:val="00AC7B4D"/>
    <w:rsid w:val="00AC7B7D"/>
    <w:rsid w:val="00AD0A32"/>
    <w:rsid w:val="00AD1D61"/>
    <w:rsid w:val="00AD27C3"/>
    <w:rsid w:val="00AD3735"/>
    <w:rsid w:val="00AD3D1C"/>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3E16"/>
    <w:rsid w:val="00B0564A"/>
    <w:rsid w:val="00B0593C"/>
    <w:rsid w:val="00B061EE"/>
    <w:rsid w:val="00B06730"/>
    <w:rsid w:val="00B07A4D"/>
    <w:rsid w:val="00B07C22"/>
    <w:rsid w:val="00B10197"/>
    <w:rsid w:val="00B10B69"/>
    <w:rsid w:val="00B10C31"/>
    <w:rsid w:val="00B1128A"/>
    <w:rsid w:val="00B11720"/>
    <w:rsid w:val="00B11819"/>
    <w:rsid w:val="00B11FBD"/>
    <w:rsid w:val="00B12878"/>
    <w:rsid w:val="00B13884"/>
    <w:rsid w:val="00B147C2"/>
    <w:rsid w:val="00B14AAA"/>
    <w:rsid w:val="00B14B74"/>
    <w:rsid w:val="00B15B75"/>
    <w:rsid w:val="00B16689"/>
    <w:rsid w:val="00B16CE2"/>
    <w:rsid w:val="00B1709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279EC"/>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1EB4"/>
    <w:rsid w:val="00B422BD"/>
    <w:rsid w:val="00B422F3"/>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576B7"/>
    <w:rsid w:val="00B60460"/>
    <w:rsid w:val="00B6108F"/>
    <w:rsid w:val="00B615BB"/>
    <w:rsid w:val="00B62336"/>
    <w:rsid w:val="00B628D5"/>
    <w:rsid w:val="00B62AF4"/>
    <w:rsid w:val="00B63B06"/>
    <w:rsid w:val="00B64077"/>
    <w:rsid w:val="00B6429A"/>
    <w:rsid w:val="00B6448C"/>
    <w:rsid w:val="00B6487F"/>
    <w:rsid w:val="00B64CB4"/>
    <w:rsid w:val="00B6519A"/>
    <w:rsid w:val="00B65B06"/>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776EC"/>
    <w:rsid w:val="00B808C3"/>
    <w:rsid w:val="00B80981"/>
    <w:rsid w:val="00B817E2"/>
    <w:rsid w:val="00B819DF"/>
    <w:rsid w:val="00B821F5"/>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6BD9"/>
    <w:rsid w:val="00BD733B"/>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0F6"/>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0BE6"/>
    <w:rsid w:val="00C1171D"/>
    <w:rsid w:val="00C11753"/>
    <w:rsid w:val="00C11CE0"/>
    <w:rsid w:val="00C120E0"/>
    <w:rsid w:val="00C1294C"/>
    <w:rsid w:val="00C129DA"/>
    <w:rsid w:val="00C12C58"/>
    <w:rsid w:val="00C13335"/>
    <w:rsid w:val="00C13E20"/>
    <w:rsid w:val="00C1463E"/>
    <w:rsid w:val="00C171B7"/>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4C9"/>
    <w:rsid w:val="00C46C11"/>
    <w:rsid w:val="00C47009"/>
    <w:rsid w:val="00C4715D"/>
    <w:rsid w:val="00C479E8"/>
    <w:rsid w:val="00C47BFF"/>
    <w:rsid w:val="00C47F24"/>
    <w:rsid w:val="00C50457"/>
    <w:rsid w:val="00C51545"/>
    <w:rsid w:val="00C516D5"/>
    <w:rsid w:val="00C5173C"/>
    <w:rsid w:val="00C5307D"/>
    <w:rsid w:val="00C537CB"/>
    <w:rsid w:val="00C54148"/>
    <w:rsid w:val="00C544DA"/>
    <w:rsid w:val="00C54947"/>
    <w:rsid w:val="00C553C9"/>
    <w:rsid w:val="00C55654"/>
    <w:rsid w:val="00C559FB"/>
    <w:rsid w:val="00C55E35"/>
    <w:rsid w:val="00C561BA"/>
    <w:rsid w:val="00C5690B"/>
    <w:rsid w:val="00C56D94"/>
    <w:rsid w:val="00C57273"/>
    <w:rsid w:val="00C57612"/>
    <w:rsid w:val="00C578D8"/>
    <w:rsid w:val="00C604E5"/>
    <w:rsid w:val="00C6116D"/>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094"/>
    <w:rsid w:val="00C72EAD"/>
    <w:rsid w:val="00C73477"/>
    <w:rsid w:val="00C73AE2"/>
    <w:rsid w:val="00C73E25"/>
    <w:rsid w:val="00C73FD8"/>
    <w:rsid w:val="00C7485C"/>
    <w:rsid w:val="00C76299"/>
    <w:rsid w:val="00C765E8"/>
    <w:rsid w:val="00C76631"/>
    <w:rsid w:val="00C7696A"/>
    <w:rsid w:val="00C76AB6"/>
    <w:rsid w:val="00C77089"/>
    <w:rsid w:val="00C77258"/>
    <w:rsid w:val="00C772CC"/>
    <w:rsid w:val="00C8045C"/>
    <w:rsid w:val="00C804DC"/>
    <w:rsid w:val="00C8132B"/>
    <w:rsid w:val="00C819CA"/>
    <w:rsid w:val="00C823A0"/>
    <w:rsid w:val="00C82435"/>
    <w:rsid w:val="00C829DB"/>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926"/>
    <w:rsid w:val="00CB4C4E"/>
    <w:rsid w:val="00CB4D1B"/>
    <w:rsid w:val="00CB4DFA"/>
    <w:rsid w:val="00CB6D9D"/>
    <w:rsid w:val="00CB7F4B"/>
    <w:rsid w:val="00CC017A"/>
    <w:rsid w:val="00CC03D8"/>
    <w:rsid w:val="00CC1B74"/>
    <w:rsid w:val="00CC2B87"/>
    <w:rsid w:val="00CC2E11"/>
    <w:rsid w:val="00CC42D8"/>
    <w:rsid w:val="00CC489E"/>
    <w:rsid w:val="00CC505B"/>
    <w:rsid w:val="00CC549E"/>
    <w:rsid w:val="00CC5894"/>
    <w:rsid w:val="00CC7643"/>
    <w:rsid w:val="00CC7CBF"/>
    <w:rsid w:val="00CD0D67"/>
    <w:rsid w:val="00CD115A"/>
    <w:rsid w:val="00CD193E"/>
    <w:rsid w:val="00CD20B0"/>
    <w:rsid w:val="00CD2481"/>
    <w:rsid w:val="00CD28AE"/>
    <w:rsid w:val="00CD3104"/>
    <w:rsid w:val="00CD3509"/>
    <w:rsid w:val="00CD4255"/>
    <w:rsid w:val="00CD44EE"/>
    <w:rsid w:val="00CD5399"/>
    <w:rsid w:val="00CD54B3"/>
    <w:rsid w:val="00CD6342"/>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940"/>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BB8"/>
    <w:rsid w:val="00D11E92"/>
    <w:rsid w:val="00D125B6"/>
    <w:rsid w:val="00D135BA"/>
    <w:rsid w:val="00D13E39"/>
    <w:rsid w:val="00D13F61"/>
    <w:rsid w:val="00D144EF"/>
    <w:rsid w:val="00D1451E"/>
    <w:rsid w:val="00D145F5"/>
    <w:rsid w:val="00D14D49"/>
    <w:rsid w:val="00D154DC"/>
    <w:rsid w:val="00D1570E"/>
    <w:rsid w:val="00D157DF"/>
    <w:rsid w:val="00D162CE"/>
    <w:rsid w:val="00D16305"/>
    <w:rsid w:val="00D163AC"/>
    <w:rsid w:val="00D1728A"/>
    <w:rsid w:val="00D1739C"/>
    <w:rsid w:val="00D1785C"/>
    <w:rsid w:val="00D21744"/>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0BD1"/>
    <w:rsid w:val="00D3111D"/>
    <w:rsid w:val="00D316BB"/>
    <w:rsid w:val="00D32B1B"/>
    <w:rsid w:val="00D331DC"/>
    <w:rsid w:val="00D34048"/>
    <w:rsid w:val="00D340FA"/>
    <w:rsid w:val="00D34DF3"/>
    <w:rsid w:val="00D34E76"/>
    <w:rsid w:val="00D35168"/>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646E"/>
    <w:rsid w:val="00D50902"/>
    <w:rsid w:val="00D5132C"/>
    <w:rsid w:val="00D51AA5"/>
    <w:rsid w:val="00D52568"/>
    <w:rsid w:val="00D52987"/>
    <w:rsid w:val="00D52A0A"/>
    <w:rsid w:val="00D53D1B"/>
    <w:rsid w:val="00D549CC"/>
    <w:rsid w:val="00D5586B"/>
    <w:rsid w:val="00D55F9B"/>
    <w:rsid w:val="00D56797"/>
    <w:rsid w:val="00D568F1"/>
    <w:rsid w:val="00D56D67"/>
    <w:rsid w:val="00D56DAB"/>
    <w:rsid w:val="00D57A9C"/>
    <w:rsid w:val="00D57ACF"/>
    <w:rsid w:val="00D602FC"/>
    <w:rsid w:val="00D606B3"/>
    <w:rsid w:val="00D60CA1"/>
    <w:rsid w:val="00D620D2"/>
    <w:rsid w:val="00D639A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5BBD"/>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5EEC"/>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1EE"/>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62"/>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98E"/>
    <w:rsid w:val="00DE26AC"/>
    <w:rsid w:val="00DE2FBE"/>
    <w:rsid w:val="00DE313E"/>
    <w:rsid w:val="00DE3B6B"/>
    <w:rsid w:val="00DE4833"/>
    <w:rsid w:val="00DE4EB9"/>
    <w:rsid w:val="00DE5255"/>
    <w:rsid w:val="00DE5664"/>
    <w:rsid w:val="00DE57D7"/>
    <w:rsid w:val="00DE5899"/>
    <w:rsid w:val="00DE7A8B"/>
    <w:rsid w:val="00DE7C47"/>
    <w:rsid w:val="00DF0961"/>
    <w:rsid w:val="00DF0D8A"/>
    <w:rsid w:val="00DF0EB3"/>
    <w:rsid w:val="00DF1349"/>
    <w:rsid w:val="00DF14A6"/>
    <w:rsid w:val="00DF23CC"/>
    <w:rsid w:val="00DF291F"/>
    <w:rsid w:val="00DF2F9E"/>
    <w:rsid w:val="00DF327A"/>
    <w:rsid w:val="00DF3656"/>
    <w:rsid w:val="00DF58EF"/>
    <w:rsid w:val="00DF6302"/>
    <w:rsid w:val="00DF6B9A"/>
    <w:rsid w:val="00DF6CC7"/>
    <w:rsid w:val="00DF6D63"/>
    <w:rsid w:val="00DF6F48"/>
    <w:rsid w:val="00DF70B2"/>
    <w:rsid w:val="00E001F7"/>
    <w:rsid w:val="00E009C1"/>
    <w:rsid w:val="00E00D3A"/>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2932"/>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4AFB"/>
    <w:rsid w:val="00E35064"/>
    <w:rsid w:val="00E35AD5"/>
    <w:rsid w:val="00E360DE"/>
    <w:rsid w:val="00E37299"/>
    <w:rsid w:val="00E41095"/>
    <w:rsid w:val="00E41101"/>
    <w:rsid w:val="00E41235"/>
    <w:rsid w:val="00E41C55"/>
    <w:rsid w:val="00E41DB9"/>
    <w:rsid w:val="00E428E3"/>
    <w:rsid w:val="00E42C6E"/>
    <w:rsid w:val="00E42CA1"/>
    <w:rsid w:val="00E433D2"/>
    <w:rsid w:val="00E43827"/>
    <w:rsid w:val="00E44151"/>
    <w:rsid w:val="00E449AA"/>
    <w:rsid w:val="00E44BD6"/>
    <w:rsid w:val="00E44FBF"/>
    <w:rsid w:val="00E45CAE"/>
    <w:rsid w:val="00E466F2"/>
    <w:rsid w:val="00E4777E"/>
    <w:rsid w:val="00E47922"/>
    <w:rsid w:val="00E47AB1"/>
    <w:rsid w:val="00E47F7C"/>
    <w:rsid w:val="00E50C5B"/>
    <w:rsid w:val="00E50F97"/>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8AB"/>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28F"/>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3D6"/>
    <w:rsid w:val="00EB2992"/>
    <w:rsid w:val="00EB322B"/>
    <w:rsid w:val="00EB4491"/>
    <w:rsid w:val="00EB49D3"/>
    <w:rsid w:val="00EB4BB1"/>
    <w:rsid w:val="00EB54A9"/>
    <w:rsid w:val="00EB54C3"/>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134"/>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07FE9"/>
    <w:rsid w:val="00F100B2"/>
    <w:rsid w:val="00F101C5"/>
    <w:rsid w:val="00F10399"/>
    <w:rsid w:val="00F11CC4"/>
    <w:rsid w:val="00F1256D"/>
    <w:rsid w:val="00F126DB"/>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6A8D"/>
    <w:rsid w:val="00F273D6"/>
    <w:rsid w:val="00F276FF"/>
    <w:rsid w:val="00F30183"/>
    <w:rsid w:val="00F30476"/>
    <w:rsid w:val="00F308BF"/>
    <w:rsid w:val="00F311DB"/>
    <w:rsid w:val="00F313FC"/>
    <w:rsid w:val="00F31648"/>
    <w:rsid w:val="00F3229F"/>
    <w:rsid w:val="00F32558"/>
    <w:rsid w:val="00F32992"/>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0BBF"/>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2A4"/>
    <w:rsid w:val="00F507FA"/>
    <w:rsid w:val="00F51130"/>
    <w:rsid w:val="00F51886"/>
    <w:rsid w:val="00F51BFC"/>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5F7"/>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38B"/>
    <w:rsid w:val="00F756D0"/>
    <w:rsid w:val="00F76313"/>
    <w:rsid w:val="00F763CE"/>
    <w:rsid w:val="00F80CE2"/>
    <w:rsid w:val="00F811E2"/>
    <w:rsid w:val="00F81AE6"/>
    <w:rsid w:val="00F81C99"/>
    <w:rsid w:val="00F821C7"/>
    <w:rsid w:val="00F82EEE"/>
    <w:rsid w:val="00F8325F"/>
    <w:rsid w:val="00F83495"/>
    <w:rsid w:val="00F838BE"/>
    <w:rsid w:val="00F84143"/>
    <w:rsid w:val="00F84A2E"/>
    <w:rsid w:val="00F84EA5"/>
    <w:rsid w:val="00F86127"/>
    <w:rsid w:val="00F86AFF"/>
    <w:rsid w:val="00F86E76"/>
    <w:rsid w:val="00F86F80"/>
    <w:rsid w:val="00F87063"/>
    <w:rsid w:val="00F87BC4"/>
    <w:rsid w:val="00F87FCC"/>
    <w:rsid w:val="00F900BF"/>
    <w:rsid w:val="00F9098D"/>
    <w:rsid w:val="00F90A03"/>
    <w:rsid w:val="00F90D66"/>
    <w:rsid w:val="00F918E1"/>
    <w:rsid w:val="00F920CB"/>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AB0"/>
    <w:rsid w:val="00FB7DAA"/>
    <w:rsid w:val="00FC004B"/>
    <w:rsid w:val="00FC0D0E"/>
    <w:rsid w:val="00FC0D49"/>
    <w:rsid w:val="00FC0EB7"/>
    <w:rsid w:val="00FC1B80"/>
    <w:rsid w:val="00FC1FCB"/>
    <w:rsid w:val="00FC27DD"/>
    <w:rsid w:val="00FC2ABF"/>
    <w:rsid w:val="00FC2BA4"/>
    <w:rsid w:val="00FC326F"/>
    <w:rsid w:val="00FC3276"/>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2CE2"/>
    <w:rsid w:val="00FD55D9"/>
    <w:rsid w:val="00FD5C96"/>
    <w:rsid w:val="00FD5D0C"/>
    <w:rsid w:val="00FD5FDE"/>
    <w:rsid w:val="00FD72D8"/>
    <w:rsid w:val="00FD73AE"/>
    <w:rsid w:val="00FD7B1A"/>
    <w:rsid w:val="00FD7D7D"/>
    <w:rsid w:val="00FE0322"/>
    <w:rsid w:val="00FE144E"/>
    <w:rsid w:val="00FE1ED4"/>
    <w:rsid w:val="00FE333E"/>
    <w:rsid w:val="00FE37EE"/>
    <w:rsid w:val="00FE3D83"/>
    <w:rsid w:val="00FE4624"/>
    <w:rsid w:val="00FE4E79"/>
    <w:rsid w:val="00FE5E91"/>
    <w:rsid w:val="00FE6A96"/>
    <w:rsid w:val="00FE7B37"/>
    <w:rsid w:val="00FF0426"/>
    <w:rsid w:val="00FF0DEB"/>
    <w:rsid w:val="00FF11BE"/>
    <w:rsid w:val="00FF171D"/>
    <w:rsid w:val="00FF1C1D"/>
    <w:rsid w:val="00FF20BB"/>
    <w:rsid w:val="00FF29C7"/>
    <w:rsid w:val="00FF38E4"/>
    <w:rsid w:val="00FF5999"/>
    <w:rsid w:val="00FF5B28"/>
    <w:rsid w:val="00FF64DB"/>
    <w:rsid w:val="00FF69FA"/>
    <w:rsid w:val="00FF6EFD"/>
    <w:rsid w:val="00FF7D8A"/>
    <w:rsid w:val="01020EC4"/>
    <w:rsid w:val="010740BD"/>
    <w:rsid w:val="011E5326"/>
    <w:rsid w:val="01563B79"/>
    <w:rsid w:val="015F3B7B"/>
    <w:rsid w:val="025D7143"/>
    <w:rsid w:val="026B1786"/>
    <w:rsid w:val="0271589A"/>
    <w:rsid w:val="02C7081A"/>
    <w:rsid w:val="02CC3DCA"/>
    <w:rsid w:val="02FE76EF"/>
    <w:rsid w:val="034E1239"/>
    <w:rsid w:val="03F033B0"/>
    <w:rsid w:val="043B7028"/>
    <w:rsid w:val="043F32C4"/>
    <w:rsid w:val="057817B9"/>
    <w:rsid w:val="057C1D39"/>
    <w:rsid w:val="05891259"/>
    <w:rsid w:val="05A766D5"/>
    <w:rsid w:val="05D554DB"/>
    <w:rsid w:val="05EF6BB0"/>
    <w:rsid w:val="062519FA"/>
    <w:rsid w:val="0654565B"/>
    <w:rsid w:val="06F735AB"/>
    <w:rsid w:val="07253DF6"/>
    <w:rsid w:val="07613623"/>
    <w:rsid w:val="08230FE7"/>
    <w:rsid w:val="08633479"/>
    <w:rsid w:val="08FF3F01"/>
    <w:rsid w:val="091837BC"/>
    <w:rsid w:val="092E279E"/>
    <w:rsid w:val="09630A6C"/>
    <w:rsid w:val="09C20D97"/>
    <w:rsid w:val="09DA38AB"/>
    <w:rsid w:val="0A412F2D"/>
    <w:rsid w:val="0A63147A"/>
    <w:rsid w:val="0ADB2EF0"/>
    <w:rsid w:val="0ADD4CBE"/>
    <w:rsid w:val="0B3A12F7"/>
    <w:rsid w:val="0B415BB4"/>
    <w:rsid w:val="0B8A6D7A"/>
    <w:rsid w:val="0BB36931"/>
    <w:rsid w:val="0C83309C"/>
    <w:rsid w:val="0CB51572"/>
    <w:rsid w:val="0CC86A8E"/>
    <w:rsid w:val="0D01045C"/>
    <w:rsid w:val="0D824D33"/>
    <w:rsid w:val="0D9B1C5B"/>
    <w:rsid w:val="0DE73E36"/>
    <w:rsid w:val="0E413A70"/>
    <w:rsid w:val="0E4D31E3"/>
    <w:rsid w:val="0E530E38"/>
    <w:rsid w:val="0E7A2CD0"/>
    <w:rsid w:val="0E9262B2"/>
    <w:rsid w:val="0EB32AAA"/>
    <w:rsid w:val="0ECB452E"/>
    <w:rsid w:val="0F0D7CC0"/>
    <w:rsid w:val="0F51402C"/>
    <w:rsid w:val="0F675149"/>
    <w:rsid w:val="10923340"/>
    <w:rsid w:val="10D32DF6"/>
    <w:rsid w:val="10DC2AA3"/>
    <w:rsid w:val="10FA7C8C"/>
    <w:rsid w:val="11481D4B"/>
    <w:rsid w:val="12174CE2"/>
    <w:rsid w:val="121D1E44"/>
    <w:rsid w:val="12807C4E"/>
    <w:rsid w:val="128625B1"/>
    <w:rsid w:val="12B55404"/>
    <w:rsid w:val="12B75243"/>
    <w:rsid w:val="12F64B6E"/>
    <w:rsid w:val="130B198F"/>
    <w:rsid w:val="133B6A25"/>
    <w:rsid w:val="137A64F1"/>
    <w:rsid w:val="137E3987"/>
    <w:rsid w:val="13D36F01"/>
    <w:rsid w:val="13FA68E0"/>
    <w:rsid w:val="14660730"/>
    <w:rsid w:val="14946ADE"/>
    <w:rsid w:val="15870FA9"/>
    <w:rsid w:val="159D1783"/>
    <w:rsid w:val="15BB1367"/>
    <w:rsid w:val="15C47445"/>
    <w:rsid w:val="16490F5F"/>
    <w:rsid w:val="16A776B7"/>
    <w:rsid w:val="16A918E4"/>
    <w:rsid w:val="16B25A48"/>
    <w:rsid w:val="16D35D18"/>
    <w:rsid w:val="179E4A77"/>
    <w:rsid w:val="17CA4726"/>
    <w:rsid w:val="17D966D6"/>
    <w:rsid w:val="17FF2717"/>
    <w:rsid w:val="18127F8E"/>
    <w:rsid w:val="18146E94"/>
    <w:rsid w:val="18375132"/>
    <w:rsid w:val="188669F5"/>
    <w:rsid w:val="18945E62"/>
    <w:rsid w:val="190869DD"/>
    <w:rsid w:val="19281CD4"/>
    <w:rsid w:val="19517BDA"/>
    <w:rsid w:val="19581095"/>
    <w:rsid w:val="19812363"/>
    <w:rsid w:val="19AE68D1"/>
    <w:rsid w:val="19B71113"/>
    <w:rsid w:val="19E33213"/>
    <w:rsid w:val="19E8688F"/>
    <w:rsid w:val="1A463A67"/>
    <w:rsid w:val="1AD62C95"/>
    <w:rsid w:val="1B0F39BB"/>
    <w:rsid w:val="1B481CDF"/>
    <w:rsid w:val="1BA3160C"/>
    <w:rsid w:val="1BC71D3B"/>
    <w:rsid w:val="1BCF516C"/>
    <w:rsid w:val="1BD66E45"/>
    <w:rsid w:val="1C026332"/>
    <w:rsid w:val="1C59115B"/>
    <w:rsid w:val="1CD4055C"/>
    <w:rsid w:val="1D596BD7"/>
    <w:rsid w:val="1DFE17D9"/>
    <w:rsid w:val="1E296445"/>
    <w:rsid w:val="1E5176C8"/>
    <w:rsid w:val="1E632DE0"/>
    <w:rsid w:val="1E727FD1"/>
    <w:rsid w:val="1EFD1680"/>
    <w:rsid w:val="1F4C4468"/>
    <w:rsid w:val="1F6C766B"/>
    <w:rsid w:val="1F6D42D7"/>
    <w:rsid w:val="1F777F18"/>
    <w:rsid w:val="1F9C6F17"/>
    <w:rsid w:val="1FB23E60"/>
    <w:rsid w:val="1FBA79B4"/>
    <w:rsid w:val="20673025"/>
    <w:rsid w:val="208F5363"/>
    <w:rsid w:val="20FF72E4"/>
    <w:rsid w:val="212F23EA"/>
    <w:rsid w:val="21431083"/>
    <w:rsid w:val="21F50ADF"/>
    <w:rsid w:val="2225345A"/>
    <w:rsid w:val="22465FD3"/>
    <w:rsid w:val="226A2E83"/>
    <w:rsid w:val="227640E7"/>
    <w:rsid w:val="227A10A9"/>
    <w:rsid w:val="227F2CA6"/>
    <w:rsid w:val="22C5630B"/>
    <w:rsid w:val="22CC647E"/>
    <w:rsid w:val="22E4624E"/>
    <w:rsid w:val="22F50142"/>
    <w:rsid w:val="23715AB1"/>
    <w:rsid w:val="237B4932"/>
    <w:rsid w:val="239F377F"/>
    <w:rsid w:val="23AC7718"/>
    <w:rsid w:val="23B51C58"/>
    <w:rsid w:val="23D24851"/>
    <w:rsid w:val="23EC0BA6"/>
    <w:rsid w:val="23F4608B"/>
    <w:rsid w:val="24701A48"/>
    <w:rsid w:val="247E07FE"/>
    <w:rsid w:val="253167A7"/>
    <w:rsid w:val="2534533D"/>
    <w:rsid w:val="25406175"/>
    <w:rsid w:val="25407ECB"/>
    <w:rsid w:val="254F5042"/>
    <w:rsid w:val="256C6B71"/>
    <w:rsid w:val="25CB3167"/>
    <w:rsid w:val="25EC6AF8"/>
    <w:rsid w:val="260A0FF9"/>
    <w:rsid w:val="2616700A"/>
    <w:rsid w:val="26246792"/>
    <w:rsid w:val="263F14EC"/>
    <w:rsid w:val="268B0052"/>
    <w:rsid w:val="26A91DFC"/>
    <w:rsid w:val="26CF6817"/>
    <w:rsid w:val="26FB3535"/>
    <w:rsid w:val="272A6A1B"/>
    <w:rsid w:val="27743C90"/>
    <w:rsid w:val="27B358EA"/>
    <w:rsid w:val="283931F7"/>
    <w:rsid w:val="284A307C"/>
    <w:rsid w:val="28B55739"/>
    <w:rsid w:val="290B3B64"/>
    <w:rsid w:val="291D7302"/>
    <w:rsid w:val="292A6617"/>
    <w:rsid w:val="29CA2459"/>
    <w:rsid w:val="2ACE3732"/>
    <w:rsid w:val="2B0F1CB0"/>
    <w:rsid w:val="2B0F4266"/>
    <w:rsid w:val="2B271A58"/>
    <w:rsid w:val="2B3E7B0F"/>
    <w:rsid w:val="2B4D164C"/>
    <w:rsid w:val="2B6304A7"/>
    <w:rsid w:val="2B675F35"/>
    <w:rsid w:val="2BA43D8A"/>
    <w:rsid w:val="2BD77ACC"/>
    <w:rsid w:val="2C3C6E9F"/>
    <w:rsid w:val="2C642D3E"/>
    <w:rsid w:val="2CA60ACC"/>
    <w:rsid w:val="2CAB5E37"/>
    <w:rsid w:val="2CF6734C"/>
    <w:rsid w:val="2D300512"/>
    <w:rsid w:val="2D4D284A"/>
    <w:rsid w:val="2D663463"/>
    <w:rsid w:val="2E112A52"/>
    <w:rsid w:val="2E2471BB"/>
    <w:rsid w:val="2EA11A1E"/>
    <w:rsid w:val="2EB34696"/>
    <w:rsid w:val="2ECF6B10"/>
    <w:rsid w:val="2EDD38C8"/>
    <w:rsid w:val="2EF96EE4"/>
    <w:rsid w:val="2EFB779B"/>
    <w:rsid w:val="2FA0417A"/>
    <w:rsid w:val="2FF10008"/>
    <w:rsid w:val="300C7EE4"/>
    <w:rsid w:val="30183CF7"/>
    <w:rsid w:val="30C9346B"/>
    <w:rsid w:val="31663A7F"/>
    <w:rsid w:val="31757813"/>
    <w:rsid w:val="317E4255"/>
    <w:rsid w:val="31B45EC9"/>
    <w:rsid w:val="31E37A09"/>
    <w:rsid w:val="32005D96"/>
    <w:rsid w:val="326C4094"/>
    <w:rsid w:val="32940808"/>
    <w:rsid w:val="32C207BF"/>
    <w:rsid w:val="32F93DAF"/>
    <w:rsid w:val="3313426E"/>
    <w:rsid w:val="336D071C"/>
    <w:rsid w:val="337C39DB"/>
    <w:rsid w:val="3380787D"/>
    <w:rsid w:val="33822A0F"/>
    <w:rsid w:val="33964F33"/>
    <w:rsid w:val="33F6144D"/>
    <w:rsid w:val="34115EC1"/>
    <w:rsid w:val="3461207D"/>
    <w:rsid w:val="346B04B0"/>
    <w:rsid w:val="34E500D8"/>
    <w:rsid w:val="34F565DC"/>
    <w:rsid w:val="3518676F"/>
    <w:rsid w:val="35D271A0"/>
    <w:rsid w:val="35D84312"/>
    <w:rsid w:val="361F32D7"/>
    <w:rsid w:val="36254FE4"/>
    <w:rsid w:val="363C0D56"/>
    <w:rsid w:val="36472D8F"/>
    <w:rsid w:val="36AA39B8"/>
    <w:rsid w:val="370522D0"/>
    <w:rsid w:val="372F61E0"/>
    <w:rsid w:val="37D71CBC"/>
    <w:rsid w:val="37F457DC"/>
    <w:rsid w:val="37FC1D34"/>
    <w:rsid w:val="383C6D9B"/>
    <w:rsid w:val="38585500"/>
    <w:rsid w:val="38ED59F4"/>
    <w:rsid w:val="39322FCA"/>
    <w:rsid w:val="394F6992"/>
    <w:rsid w:val="3A052C3D"/>
    <w:rsid w:val="3A053C87"/>
    <w:rsid w:val="3A377B0C"/>
    <w:rsid w:val="3A503E1E"/>
    <w:rsid w:val="3A956CA9"/>
    <w:rsid w:val="3AB90991"/>
    <w:rsid w:val="3AC8077D"/>
    <w:rsid w:val="3B677002"/>
    <w:rsid w:val="3B706131"/>
    <w:rsid w:val="3B9A612F"/>
    <w:rsid w:val="3BD776F8"/>
    <w:rsid w:val="3BF227E9"/>
    <w:rsid w:val="3BF833EC"/>
    <w:rsid w:val="3C39515C"/>
    <w:rsid w:val="3C7D47A5"/>
    <w:rsid w:val="3C8E02FC"/>
    <w:rsid w:val="3D307C72"/>
    <w:rsid w:val="3DE11DF4"/>
    <w:rsid w:val="3E2D6890"/>
    <w:rsid w:val="3E6838A4"/>
    <w:rsid w:val="3E6F041E"/>
    <w:rsid w:val="3E846635"/>
    <w:rsid w:val="3EC02A3D"/>
    <w:rsid w:val="3F5579CF"/>
    <w:rsid w:val="3F89538C"/>
    <w:rsid w:val="3F8A67CD"/>
    <w:rsid w:val="3F9D2397"/>
    <w:rsid w:val="40AC20A0"/>
    <w:rsid w:val="40BB6362"/>
    <w:rsid w:val="41585AC3"/>
    <w:rsid w:val="416702DC"/>
    <w:rsid w:val="417D6107"/>
    <w:rsid w:val="41980AAB"/>
    <w:rsid w:val="41A5482C"/>
    <w:rsid w:val="41A6193B"/>
    <w:rsid w:val="420D2E61"/>
    <w:rsid w:val="4218267E"/>
    <w:rsid w:val="4275481E"/>
    <w:rsid w:val="428B617A"/>
    <w:rsid w:val="42CE288A"/>
    <w:rsid w:val="433D7BDC"/>
    <w:rsid w:val="43585209"/>
    <w:rsid w:val="437E1813"/>
    <w:rsid w:val="439809CD"/>
    <w:rsid w:val="43A31E05"/>
    <w:rsid w:val="43A427AA"/>
    <w:rsid w:val="43E96A97"/>
    <w:rsid w:val="443F4ECD"/>
    <w:rsid w:val="444C47F1"/>
    <w:rsid w:val="444E2202"/>
    <w:rsid w:val="44A71888"/>
    <w:rsid w:val="44E12B11"/>
    <w:rsid w:val="44E67A68"/>
    <w:rsid w:val="45354CBC"/>
    <w:rsid w:val="457F5E93"/>
    <w:rsid w:val="45BD47FC"/>
    <w:rsid w:val="45CC5FB2"/>
    <w:rsid w:val="45F83A10"/>
    <w:rsid w:val="46244422"/>
    <w:rsid w:val="46397A8D"/>
    <w:rsid w:val="4670110E"/>
    <w:rsid w:val="46890B48"/>
    <w:rsid w:val="46AC5600"/>
    <w:rsid w:val="46B75BA8"/>
    <w:rsid w:val="46E91D19"/>
    <w:rsid w:val="46F72B30"/>
    <w:rsid w:val="46F87C7E"/>
    <w:rsid w:val="4764152B"/>
    <w:rsid w:val="47675D33"/>
    <w:rsid w:val="48945A91"/>
    <w:rsid w:val="48C97955"/>
    <w:rsid w:val="48C97EF9"/>
    <w:rsid w:val="48D805C0"/>
    <w:rsid w:val="492E2C7C"/>
    <w:rsid w:val="49880C8F"/>
    <w:rsid w:val="499E09AD"/>
    <w:rsid w:val="49AE1470"/>
    <w:rsid w:val="4A1A43A3"/>
    <w:rsid w:val="4A1B70CB"/>
    <w:rsid w:val="4A2007F8"/>
    <w:rsid w:val="4A5F26D2"/>
    <w:rsid w:val="4A8835F7"/>
    <w:rsid w:val="4A901A63"/>
    <w:rsid w:val="4AFA3691"/>
    <w:rsid w:val="4B2B6116"/>
    <w:rsid w:val="4B592E71"/>
    <w:rsid w:val="4BB65FC2"/>
    <w:rsid w:val="4BFA7044"/>
    <w:rsid w:val="4C4423AE"/>
    <w:rsid w:val="4C9838F1"/>
    <w:rsid w:val="4D92309B"/>
    <w:rsid w:val="4DF420F5"/>
    <w:rsid w:val="4DF75369"/>
    <w:rsid w:val="4E9E572E"/>
    <w:rsid w:val="4EA23B01"/>
    <w:rsid w:val="4EB0217D"/>
    <w:rsid w:val="4F8B220C"/>
    <w:rsid w:val="50413EB8"/>
    <w:rsid w:val="504B6463"/>
    <w:rsid w:val="504F4EAF"/>
    <w:rsid w:val="50C2318C"/>
    <w:rsid w:val="50DF429E"/>
    <w:rsid w:val="51253231"/>
    <w:rsid w:val="51663D63"/>
    <w:rsid w:val="516C4BAA"/>
    <w:rsid w:val="51CE5657"/>
    <w:rsid w:val="51D51447"/>
    <w:rsid w:val="51F77D06"/>
    <w:rsid w:val="525B7A2A"/>
    <w:rsid w:val="5272764F"/>
    <w:rsid w:val="528E36FC"/>
    <w:rsid w:val="52B55B97"/>
    <w:rsid w:val="52B9239A"/>
    <w:rsid w:val="52D20CD9"/>
    <w:rsid w:val="52D52A7F"/>
    <w:rsid w:val="539B083F"/>
    <w:rsid w:val="53B15DDD"/>
    <w:rsid w:val="53B50F60"/>
    <w:rsid w:val="54287EA1"/>
    <w:rsid w:val="54BD78FD"/>
    <w:rsid w:val="550B18AA"/>
    <w:rsid w:val="552A3C28"/>
    <w:rsid w:val="555A2DA3"/>
    <w:rsid w:val="56901A99"/>
    <w:rsid w:val="56D63107"/>
    <w:rsid w:val="56EB5809"/>
    <w:rsid w:val="571B2939"/>
    <w:rsid w:val="580729AE"/>
    <w:rsid w:val="58113D88"/>
    <w:rsid w:val="581925FA"/>
    <w:rsid w:val="58A86DDE"/>
    <w:rsid w:val="59154AD7"/>
    <w:rsid w:val="597C709F"/>
    <w:rsid w:val="5A542AB4"/>
    <w:rsid w:val="5AA0313D"/>
    <w:rsid w:val="5AAB4D51"/>
    <w:rsid w:val="5ADF548D"/>
    <w:rsid w:val="5B261F28"/>
    <w:rsid w:val="5B311471"/>
    <w:rsid w:val="5B80602E"/>
    <w:rsid w:val="5BF24D5F"/>
    <w:rsid w:val="5BF95104"/>
    <w:rsid w:val="5BFA286C"/>
    <w:rsid w:val="5C397E1F"/>
    <w:rsid w:val="5C3B5222"/>
    <w:rsid w:val="5C4627AE"/>
    <w:rsid w:val="5C9249CA"/>
    <w:rsid w:val="5CA4708A"/>
    <w:rsid w:val="5D3259F5"/>
    <w:rsid w:val="5D5C60B4"/>
    <w:rsid w:val="5D7A3273"/>
    <w:rsid w:val="5DA23E51"/>
    <w:rsid w:val="5DD3025B"/>
    <w:rsid w:val="5E3E4FE1"/>
    <w:rsid w:val="5E5B22B9"/>
    <w:rsid w:val="5EC2228A"/>
    <w:rsid w:val="5EF57741"/>
    <w:rsid w:val="5F1B3CAA"/>
    <w:rsid w:val="5F1F4754"/>
    <w:rsid w:val="5F9B210B"/>
    <w:rsid w:val="5FA41BF6"/>
    <w:rsid w:val="5FFF4021"/>
    <w:rsid w:val="60027C70"/>
    <w:rsid w:val="60515592"/>
    <w:rsid w:val="60651FB9"/>
    <w:rsid w:val="606D4EC2"/>
    <w:rsid w:val="60A73F14"/>
    <w:rsid w:val="60AD34FD"/>
    <w:rsid w:val="614E12EC"/>
    <w:rsid w:val="616D6769"/>
    <w:rsid w:val="62533A5E"/>
    <w:rsid w:val="62BD60DC"/>
    <w:rsid w:val="62CD791B"/>
    <w:rsid w:val="62E30ED8"/>
    <w:rsid w:val="633757C5"/>
    <w:rsid w:val="63A06290"/>
    <w:rsid w:val="63F04A69"/>
    <w:rsid w:val="63F9305B"/>
    <w:rsid w:val="640E3837"/>
    <w:rsid w:val="64294306"/>
    <w:rsid w:val="646A3D0C"/>
    <w:rsid w:val="64783763"/>
    <w:rsid w:val="64833FCA"/>
    <w:rsid w:val="64A82747"/>
    <w:rsid w:val="64DB2E6F"/>
    <w:rsid w:val="65336B29"/>
    <w:rsid w:val="65827499"/>
    <w:rsid w:val="65B57B97"/>
    <w:rsid w:val="65D379C4"/>
    <w:rsid w:val="65FC516D"/>
    <w:rsid w:val="66526AE4"/>
    <w:rsid w:val="66885F05"/>
    <w:rsid w:val="66A50B1E"/>
    <w:rsid w:val="66CC61B6"/>
    <w:rsid w:val="67095CF1"/>
    <w:rsid w:val="674E3DF4"/>
    <w:rsid w:val="67620151"/>
    <w:rsid w:val="67B2063C"/>
    <w:rsid w:val="67C97AC3"/>
    <w:rsid w:val="67D5595A"/>
    <w:rsid w:val="67E30EC1"/>
    <w:rsid w:val="68585A68"/>
    <w:rsid w:val="68694CF3"/>
    <w:rsid w:val="68AD08CA"/>
    <w:rsid w:val="68C639F2"/>
    <w:rsid w:val="695D046C"/>
    <w:rsid w:val="6A093336"/>
    <w:rsid w:val="6A4E3B2B"/>
    <w:rsid w:val="6AC838A9"/>
    <w:rsid w:val="6ACA455B"/>
    <w:rsid w:val="6B105EB6"/>
    <w:rsid w:val="6B481C3B"/>
    <w:rsid w:val="6B875383"/>
    <w:rsid w:val="6BDA5878"/>
    <w:rsid w:val="6C1331A3"/>
    <w:rsid w:val="6C4B45B8"/>
    <w:rsid w:val="6C4B5FF4"/>
    <w:rsid w:val="6C6241DE"/>
    <w:rsid w:val="6C765676"/>
    <w:rsid w:val="6CA84BC1"/>
    <w:rsid w:val="6CBB560E"/>
    <w:rsid w:val="6D170ADE"/>
    <w:rsid w:val="6D3E4756"/>
    <w:rsid w:val="6DB15184"/>
    <w:rsid w:val="6DD950F6"/>
    <w:rsid w:val="6E292E16"/>
    <w:rsid w:val="6E4B0983"/>
    <w:rsid w:val="6F12155D"/>
    <w:rsid w:val="6F63625D"/>
    <w:rsid w:val="6FC523EB"/>
    <w:rsid w:val="6FE22646"/>
    <w:rsid w:val="704A7047"/>
    <w:rsid w:val="70825D63"/>
    <w:rsid w:val="70E411F0"/>
    <w:rsid w:val="70E64CC7"/>
    <w:rsid w:val="70F213F3"/>
    <w:rsid w:val="7162690C"/>
    <w:rsid w:val="71633397"/>
    <w:rsid w:val="71647341"/>
    <w:rsid w:val="7192695B"/>
    <w:rsid w:val="71A106C4"/>
    <w:rsid w:val="71FE41EB"/>
    <w:rsid w:val="72895F2E"/>
    <w:rsid w:val="72C02EBE"/>
    <w:rsid w:val="72C507AD"/>
    <w:rsid w:val="72D028D8"/>
    <w:rsid w:val="731D3F85"/>
    <w:rsid w:val="73234831"/>
    <w:rsid w:val="734F59CA"/>
    <w:rsid w:val="739357C1"/>
    <w:rsid w:val="74212243"/>
    <w:rsid w:val="743273F9"/>
    <w:rsid w:val="745D47C3"/>
    <w:rsid w:val="75341FA7"/>
    <w:rsid w:val="755404B8"/>
    <w:rsid w:val="755C3F1C"/>
    <w:rsid w:val="75633A09"/>
    <w:rsid w:val="756844AB"/>
    <w:rsid w:val="758B5965"/>
    <w:rsid w:val="764F7753"/>
    <w:rsid w:val="76674D66"/>
    <w:rsid w:val="76AC3757"/>
    <w:rsid w:val="779A0F48"/>
    <w:rsid w:val="779E286A"/>
    <w:rsid w:val="77D4005C"/>
    <w:rsid w:val="77DE047D"/>
    <w:rsid w:val="78292927"/>
    <w:rsid w:val="784C5CC1"/>
    <w:rsid w:val="78C209AA"/>
    <w:rsid w:val="78D12FC9"/>
    <w:rsid w:val="78D35C78"/>
    <w:rsid w:val="78D62583"/>
    <w:rsid w:val="78D811F2"/>
    <w:rsid w:val="78EA7678"/>
    <w:rsid w:val="78F33EC6"/>
    <w:rsid w:val="78FE09FA"/>
    <w:rsid w:val="79585A26"/>
    <w:rsid w:val="79802062"/>
    <w:rsid w:val="79F85C83"/>
    <w:rsid w:val="7A466140"/>
    <w:rsid w:val="7A4F6F7A"/>
    <w:rsid w:val="7A643E8C"/>
    <w:rsid w:val="7ADD409B"/>
    <w:rsid w:val="7B3D7962"/>
    <w:rsid w:val="7C223948"/>
    <w:rsid w:val="7C6021A7"/>
    <w:rsid w:val="7CAB4D9F"/>
    <w:rsid w:val="7CB93F8E"/>
    <w:rsid w:val="7CD53075"/>
    <w:rsid w:val="7CED7FF7"/>
    <w:rsid w:val="7CF66B46"/>
    <w:rsid w:val="7D185B2A"/>
    <w:rsid w:val="7D2840E2"/>
    <w:rsid w:val="7D4A0A5C"/>
    <w:rsid w:val="7D792BE7"/>
    <w:rsid w:val="7D97125D"/>
    <w:rsid w:val="7DB618B0"/>
    <w:rsid w:val="7DB64B7C"/>
    <w:rsid w:val="7DBD28BA"/>
    <w:rsid w:val="7DD840CA"/>
    <w:rsid w:val="7E2D4C69"/>
    <w:rsid w:val="7E736B66"/>
    <w:rsid w:val="7EE64005"/>
    <w:rsid w:val="7EEE33A0"/>
    <w:rsid w:val="7FF7716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58"/>
    <w:qFormat/>
    <w:uiPriority w:val="9"/>
    <w:pPr>
      <w:keepNext/>
      <w:keepLines/>
      <w:spacing w:line="416" w:lineRule="auto"/>
      <w:outlineLvl w:val="2"/>
    </w:pPr>
    <w:rPr>
      <w:b/>
      <w:bCs/>
      <w:sz w:val="32"/>
      <w:szCs w:val="32"/>
    </w:rPr>
  </w:style>
  <w:style w:type="paragraph" w:styleId="7">
    <w:name w:val="heading 4"/>
    <w:basedOn w:val="1"/>
    <w:next w:val="1"/>
    <w:link w:val="59"/>
    <w:qFormat/>
    <w:uiPriority w:val="9"/>
    <w:pPr>
      <w:keepNext/>
      <w:keepLines/>
      <w:spacing w:line="360" w:lineRule="auto"/>
      <w:outlineLvl w:val="3"/>
    </w:pPr>
    <w:rPr>
      <w:rFonts w:ascii="Arial" w:hAnsi="Arial"/>
      <w:b/>
      <w:bCs/>
      <w:szCs w:val="28"/>
    </w:rPr>
  </w:style>
  <w:style w:type="paragraph" w:styleId="8">
    <w:name w:val="heading 5"/>
    <w:basedOn w:val="1"/>
    <w:next w:val="1"/>
    <w:link w:val="60"/>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9">
    <w:name w:val="heading 6"/>
    <w:basedOn w:val="1"/>
    <w:next w:val="1"/>
    <w:link w:val="61"/>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10">
    <w:name w:val="heading 7"/>
    <w:basedOn w:val="1"/>
    <w:next w:val="1"/>
    <w:link w:val="205"/>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1">
    <w:name w:val="heading 8"/>
    <w:basedOn w:val="1"/>
    <w:next w:val="1"/>
    <w:link w:val="20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2">
    <w:name w:val="heading 9"/>
    <w:basedOn w:val="1"/>
    <w:next w:val="1"/>
    <w:link w:val="207"/>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08"/>
    <w:qFormat/>
    <w:uiPriority w:val="99"/>
    <w:pPr>
      <w:spacing w:line="276" w:lineRule="auto"/>
      <w:ind w:left="200" w:firstLine="200" w:firstLineChars="200"/>
      <w:jc w:val="left"/>
    </w:pPr>
  </w:style>
  <w:style w:type="paragraph" w:styleId="3">
    <w:name w:val="Body Text Indent"/>
    <w:basedOn w:val="1"/>
    <w:link w:val="66"/>
    <w:qFormat/>
    <w:uiPriority w:val="99"/>
    <w:pPr>
      <w:spacing w:after="120"/>
      <w:ind w:left="420" w:leftChars="200"/>
    </w:pPr>
    <w:rPr>
      <w:rFonts w:ascii="Calibri" w:hAnsi="Calibri"/>
      <w:szCs w:val="22"/>
    </w:rPr>
  </w:style>
  <w:style w:type="paragraph" w:styleId="13">
    <w:name w:val="toc 7"/>
    <w:basedOn w:val="1"/>
    <w:next w:val="1"/>
    <w:qFormat/>
    <w:uiPriority w:val="39"/>
    <w:pPr>
      <w:ind w:left="1440"/>
      <w:jc w:val="left"/>
    </w:pPr>
    <w:rPr>
      <w:rFonts w:ascii="Calibri" w:hAnsi="Calibri"/>
      <w:sz w:val="18"/>
      <w:szCs w:val="18"/>
    </w:rPr>
  </w:style>
  <w:style w:type="paragraph" w:styleId="14">
    <w:name w:val="E-mail Signature"/>
    <w:basedOn w:val="1"/>
    <w:link w:val="62"/>
    <w:semiHidden/>
    <w:qFormat/>
    <w:uiPriority w:val="99"/>
    <w:pPr>
      <w:spacing w:after="200" w:line="276" w:lineRule="auto"/>
      <w:jc w:val="left"/>
    </w:pPr>
    <w:rPr>
      <w:rFonts w:ascii="Calibri" w:hAnsi="Calibri"/>
      <w:kern w:val="0"/>
      <w:szCs w:val="21"/>
    </w:rPr>
  </w:style>
  <w:style w:type="paragraph" w:styleId="15">
    <w:name w:val="Normal Indent"/>
    <w:basedOn w:val="1"/>
    <w:link w:val="136"/>
    <w:qFormat/>
    <w:uiPriority w:val="99"/>
    <w:pPr>
      <w:ind w:firstLine="420"/>
    </w:pPr>
    <w:rPr>
      <w:rFonts w:eastAsiaTheme="minorEastAsia" w:cstheme="minorBidi"/>
      <w:kern w:val="0"/>
      <w:sz w:val="20"/>
    </w:rPr>
  </w:style>
  <w:style w:type="paragraph" w:styleId="16">
    <w:name w:val="caption"/>
    <w:basedOn w:val="1"/>
    <w:next w:val="1"/>
    <w:qFormat/>
    <w:uiPriority w:val="35"/>
    <w:pPr>
      <w:spacing w:before="152" w:after="160"/>
    </w:pPr>
    <w:rPr>
      <w:rFonts w:ascii="Arial" w:hAnsi="Arial" w:eastAsia="黑体" w:cs="Arial"/>
      <w:sz w:val="20"/>
    </w:rPr>
  </w:style>
  <w:style w:type="paragraph" w:styleId="17">
    <w:name w:val="Document Map"/>
    <w:basedOn w:val="1"/>
    <w:link w:val="63"/>
    <w:qFormat/>
    <w:uiPriority w:val="0"/>
    <w:pPr>
      <w:adjustRightInd w:val="0"/>
      <w:spacing w:line="312" w:lineRule="atLeast"/>
      <w:textAlignment w:val="baseline"/>
    </w:pPr>
    <w:rPr>
      <w:rFonts w:ascii="宋体"/>
      <w:kern w:val="0"/>
      <w:sz w:val="18"/>
      <w:szCs w:val="18"/>
    </w:rPr>
  </w:style>
  <w:style w:type="paragraph" w:styleId="18">
    <w:name w:val="toa heading"/>
    <w:basedOn w:val="1"/>
    <w:next w:val="1"/>
    <w:qFormat/>
    <w:uiPriority w:val="99"/>
    <w:pPr>
      <w:spacing w:before="120"/>
    </w:pPr>
    <w:rPr>
      <w:rFonts w:ascii="Arial" w:hAnsi="Arial" w:cs="Arial"/>
      <w:sz w:val="24"/>
      <w:szCs w:val="24"/>
    </w:rPr>
  </w:style>
  <w:style w:type="paragraph" w:styleId="19">
    <w:name w:val="annotation text"/>
    <w:basedOn w:val="1"/>
    <w:link w:val="64"/>
    <w:qFormat/>
    <w:uiPriority w:val="0"/>
    <w:pPr>
      <w:jc w:val="left"/>
    </w:pPr>
  </w:style>
  <w:style w:type="paragraph" w:styleId="20">
    <w:name w:val="index 6"/>
    <w:basedOn w:val="1"/>
    <w:next w:val="1"/>
    <w:qFormat/>
    <w:uiPriority w:val="0"/>
    <w:rPr>
      <w:rFonts w:ascii="宋体" w:hAnsi="宋体" w:eastAsiaTheme="minorEastAsia" w:cstheme="minorBidi"/>
      <w:color w:val="000000" w:themeColor="text1"/>
      <w:sz w:val="20"/>
    </w:rPr>
  </w:style>
  <w:style w:type="paragraph" w:styleId="21">
    <w:name w:val="Body Text"/>
    <w:basedOn w:val="1"/>
    <w:link w:val="65"/>
    <w:qFormat/>
    <w:uiPriority w:val="99"/>
    <w:rPr>
      <w:rFonts w:ascii="仿宋_GB2312" w:eastAsia="仿宋_GB2312"/>
      <w:sz w:val="3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qFormat/>
    <w:uiPriority w:val="39"/>
    <w:pPr>
      <w:ind w:left="960"/>
      <w:jc w:val="left"/>
    </w:pPr>
    <w:rPr>
      <w:rFonts w:ascii="Calibri" w:hAnsi="Calibri"/>
      <w:sz w:val="18"/>
      <w:szCs w:val="18"/>
    </w:rPr>
  </w:style>
  <w:style w:type="paragraph" w:styleId="24">
    <w:name w:val="toc 3"/>
    <w:basedOn w:val="1"/>
    <w:next w:val="1"/>
    <w:qFormat/>
    <w:uiPriority w:val="39"/>
    <w:pPr>
      <w:adjustRightInd w:val="0"/>
      <w:spacing w:line="312" w:lineRule="atLeast"/>
      <w:ind w:left="840" w:leftChars="400"/>
      <w:textAlignment w:val="baseline"/>
    </w:pPr>
    <w:rPr>
      <w:kern w:val="0"/>
      <w:sz w:val="24"/>
    </w:rPr>
  </w:style>
  <w:style w:type="paragraph" w:styleId="25">
    <w:name w:val="Plain Text"/>
    <w:basedOn w:val="1"/>
    <w:link w:val="55"/>
    <w:qFormat/>
    <w:uiPriority w:val="0"/>
    <w:rPr>
      <w:rFonts w:ascii="宋体" w:hAnsi="Courier New"/>
    </w:rPr>
  </w:style>
  <w:style w:type="paragraph" w:styleId="26">
    <w:name w:val="toc 8"/>
    <w:basedOn w:val="1"/>
    <w:next w:val="1"/>
    <w:qFormat/>
    <w:uiPriority w:val="39"/>
    <w:pPr>
      <w:ind w:left="1680"/>
      <w:jc w:val="left"/>
    </w:pPr>
    <w:rPr>
      <w:rFonts w:ascii="Calibri" w:hAnsi="Calibri"/>
      <w:sz w:val="18"/>
      <w:szCs w:val="18"/>
    </w:rPr>
  </w:style>
  <w:style w:type="paragraph" w:styleId="27">
    <w:name w:val="Date"/>
    <w:basedOn w:val="1"/>
    <w:next w:val="1"/>
    <w:link w:val="67"/>
    <w:qFormat/>
    <w:uiPriority w:val="0"/>
    <w:pPr>
      <w:adjustRightInd w:val="0"/>
      <w:spacing w:line="312" w:lineRule="atLeast"/>
      <w:ind w:left="100" w:leftChars="2500"/>
      <w:textAlignment w:val="baseline"/>
    </w:pPr>
    <w:rPr>
      <w:kern w:val="0"/>
      <w:sz w:val="24"/>
    </w:rPr>
  </w:style>
  <w:style w:type="paragraph" w:styleId="28">
    <w:name w:val="Body Text Indent 2"/>
    <w:basedOn w:val="1"/>
    <w:link w:val="68"/>
    <w:qFormat/>
    <w:uiPriority w:val="0"/>
    <w:pPr>
      <w:adjustRightInd w:val="0"/>
      <w:spacing w:after="120" w:line="480" w:lineRule="auto"/>
      <w:ind w:left="420" w:leftChars="200"/>
      <w:textAlignment w:val="baseline"/>
    </w:pPr>
    <w:rPr>
      <w:kern w:val="0"/>
      <w:sz w:val="24"/>
    </w:rPr>
  </w:style>
  <w:style w:type="paragraph" w:styleId="29">
    <w:name w:val="Balloon Text"/>
    <w:basedOn w:val="1"/>
    <w:link w:val="69"/>
    <w:qFormat/>
    <w:uiPriority w:val="0"/>
    <w:rPr>
      <w:sz w:val="18"/>
      <w:szCs w:val="18"/>
    </w:rPr>
  </w:style>
  <w:style w:type="paragraph" w:styleId="30">
    <w:name w:val="footer"/>
    <w:basedOn w:val="1"/>
    <w:link w:val="70"/>
    <w:qFormat/>
    <w:uiPriority w:val="99"/>
    <w:pPr>
      <w:tabs>
        <w:tab w:val="center" w:pos="4153"/>
        <w:tab w:val="right" w:pos="8306"/>
      </w:tabs>
      <w:snapToGrid w:val="0"/>
      <w:jc w:val="left"/>
    </w:pPr>
    <w:rPr>
      <w:sz w:val="18"/>
      <w:szCs w:val="18"/>
    </w:rPr>
  </w:style>
  <w:style w:type="paragraph" w:styleId="31">
    <w:name w:val="header"/>
    <w:basedOn w:val="1"/>
    <w:link w:val="71"/>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33">
    <w:name w:val="toc 4"/>
    <w:basedOn w:val="1"/>
    <w:next w:val="1"/>
    <w:qFormat/>
    <w:uiPriority w:val="39"/>
    <w:pPr>
      <w:ind w:left="720"/>
      <w:jc w:val="left"/>
    </w:pPr>
    <w:rPr>
      <w:rFonts w:ascii="Calibri" w:hAnsi="Calibri"/>
      <w:sz w:val="18"/>
      <w:szCs w:val="18"/>
    </w:rPr>
  </w:style>
  <w:style w:type="paragraph" w:styleId="34">
    <w:name w:val="List"/>
    <w:basedOn w:val="1"/>
    <w:qFormat/>
    <w:uiPriority w:val="99"/>
    <w:pPr>
      <w:ind w:left="200" w:hanging="200" w:hangingChars="200"/>
    </w:pPr>
    <w:rPr>
      <w:szCs w:val="21"/>
    </w:rPr>
  </w:style>
  <w:style w:type="paragraph" w:styleId="35">
    <w:name w:val="toc 6"/>
    <w:basedOn w:val="1"/>
    <w:next w:val="1"/>
    <w:qFormat/>
    <w:uiPriority w:val="39"/>
    <w:pPr>
      <w:ind w:left="1200"/>
      <w:jc w:val="left"/>
    </w:pPr>
    <w:rPr>
      <w:rFonts w:ascii="Calibri" w:hAnsi="Calibri"/>
      <w:sz w:val="18"/>
      <w:szCs w:val="18"/>
    </w:rPr>
  </w:style>
  <w:style w:type="paragraph" w:styleId="36">
    <w:name w:val="Body Text Indent 3"/>
    <w:basedOn w:val="1"/>
    <w:link w:val="72"/>
    <w:qFormat/>
    <w:uiPriority w:val="0"/>
    <w:pPr>
      <w:spacing w:line="360" w:lineRule="auto"/>
      <w:ind w:left="1347" w:leftChars="413" w:hanging="480" w:hangingChars="200"/>
    </w:pPr>
    <w:rPr>
      <w:rFonts w:ascii="宋体" w:hAnsi="宋体"/>
      <w:color w:val="FF0000"/>
      <w:sz w:val="24"/>
      <w:szCs w:val="24"/>
    </w:rPr>
  </w:style>
  <w:style w:type="paragraph" w:styleId="37">
    <w:name w:val="index 9"/>
    <w:basedOn w:val="1"/>
    <w:next w:val="1"/>
    <w:semiHidden/>
    <w:qFormat/>
    <w:uiPriority w:val="98"/>
    <w:pPr>
      <w:ind w:left="1600" w:leftChars="1600"/>
    </w:pPr>
  </w:style>
  <w:style w:type="paragraph" w:styleId="38">
    <w:name w:val="toc 2"/>
    <w:basedOn w:val="1"/>
    <w:next w:val="1"/>
    <w:qFormat/>
    <w:uiPriority w:val="39"/>
    <w:pPr>
      <w:ind w:left="420" w:leftChars="200"/>
    </w:pPr>
  </w:style>
  <w:style w:type="paragraph" w:styleId="39">
    <w:name w:val="toc 9"/>
    <w:basedOn w:val="1"/>
    <w:next w:val="1"/>
    <w:qFormat/>
    <w:uiPriority w:val="39"/>
    <w:pPr>
      <w:ind w:left="1920"/>
      <w:jc w:val="left"/>
    </w:pPr>
    <w:rPr>
      <w:rFonts w:ascii="Calibri" w:hAnsi="Calibri"/>
      <w:sz w:val="18"/>
      <w:szCs w:val="18"/>
    </w:rPr>
  </w:style>
  <w:style w:type="paragraph" w:styleId="40">
    <w:name w:val="Message Header"/>
    <w:basedOn w:val="1"/>
    <w:link w:val="73"/>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1">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2">
    <w:name w:val="index 1"/>
    <w:basedOn w:val="1"/>
    <w:next w:val="1"/>
    <w:qFormat/>
    <w:uiPriority w:val="99"/>
    <w:rPr>
      <w:rFonts w:ascii="Calibri" w:hAnsi="Calibri"/>
      <w:sz w:val="24"/>
      <w:szCs w:val="24"/>
    </w:rPr>
  </w:style>
  <w:style w:type="paragraph" w:styleId="43">
    <w:name w:val="Title"/>
    <w:basedOn w:val="1"/>
    <w:next w:val="1"/>
    <w:link w:val="74"/>
    <w:qFormat/>
    <w:uiPriority w:val="0"/>
    <w:pPr>
      <w:spacing w:before="240" w:after="60"/>
      <w:jc w:val="center"/>
      <w:outlineLvl w:val="0"/>
    </w:pPr>
    <w:rPr>
      <w:rFonts w:eastAsia="黑体" w:asciiTheme="majorHAnsi" w:hAnsiTheme="majorHAnsi" w:cstheme="majorBidi"/>
      <w:b/>
      <w:bCs/>
      <w:sz w:val="36"/>
      <w:szCs w:val="32"/>
    </w:rPr>
  </w:style>
  <w:style w:type="paragraph" w:styleId="44">
    <w:name w:val="annotation subject"/>
    <w:basedOn w:val="19"/>
    <w:next w:val="19"/>
    <w:link w:val="75"/>
    <w:qFormat/>
    <w:uiPriority w:val="0"/>
    <w:rPr>
      <w:b/>
      <w:bCs/>
    </w:r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22"/>
    <w:rPr>
      <w:b/>
    </w:rPr>
  </w:style>
  <w:style w:type="character" w:styleId="49">
    <w:name w:val="page number"/>
    <w:basedOn w:val="47"/>
    <w:qFormat/>
    <w:uiPriority w:val="99"/>
  </w:style>
  <w:style w:type="character" w:styleId="50">
    <w:name w:val="FollowedHyperlink"/>
    <w:qFormat/>
    <w:uiPriority w:val="99"/>
    <w:rPr>
      <w:color w:val="800080"/>
      <w:u w:val="single"/>
    </w:rPr>
  </w:style>
  <w:style w:type="character" w:styleId="51">
    <w:name w:val="Emphasis"/>
    <w:qFormat/>
    <w:uiPriority w:val="99"/>
    <w:rPr>
      <w:i/>
      <w:iCs/>
    </w:rPr>
  </w:style>
  <w:style w:type="character" w:styleId="52">
    <w:name w:val="HTML Acronym"/>
    <w:basedOn w:val="47"/>
    <w:qFormat/>
    <w:uiPriority w:val="99"/>
  </w:style>
  <w:style w:type="character" w:styleId="53">
    <w:name w:val="Hyperlink"/>
    <w:basedOn w:val="47"/>
    <w:qFormat/>
    <w:uiPriority w:val="99"/>
    <w:rPr>
      <w:rFonts w:cs="Times New Roman"/>
      <w:color w:val="1F4F88"/>
      <w:u w:val="none"/>
    </w:rPr>
  </w:style>
  <w:style w:type="character" w:styleId="54">
    <w:name w:val="annotation reference"/>
    <w:qFormat/>
    <w:uiPriority w:val="99"/>
    <w:rPr>
      <w:sz w:val="21"/>
      <w:szCs w:val="21"/>
    </w:rPr>
  </w:style>
  <w:style w:type="character" w:customStyle="1" w:styleId="55">
    <w:name w:val="纯文本 Char1"/>
    <w:link w:val="25"/>
    <w:semiHidden/>
    <w:qFormat/>
    <w:uiPriority w:val="99"/>
    <w:rPr>
      <w:rFonts w:ascii="宋体" w:hAnsi="Courier New"/>
      <w:kern w:val="2"/>
      <w:sz w:val="21"/>
    </w:rPr>
  </w:style>
  <w:style w:type="character" w:customStyle="1" w:styleId="56">
    <w:name w:val="标题 1 Char"/>
    <w:basedOn w:val="47"/>
    <w:link w:val="4"/>
    <w:qFormat/>
    <w:uiPriority w:val="9"/>
    <w:rPr>
      <w:b/>
      <w:bCs/>
      <w:kern w:val="44"/>
      <w:sz w:val="44"/>
      <w:szCs w:val="44"/>
    </w:rPr>
  </w:style>
  <w:style w:type="character" w:customStyle="1" w:styleId="57">
    <w:name w:val="标题 2 Char"/>
    <w:link w:val="5"/>
    <w:qFormat/>
    <w:uiPriority w:val="0"/>
    <w:rPr>
      <w:rFonts w:ascii="宋体" w:hAnsi="宋体"/>
      <w:bCs/>
      <w:sz w:val="24"/>
      <w:szCs w:val="32"/>
    </w:rPr>
  </w:style>
  <w:style w:type="character" w:customStyle="1" w:styleId="58">
    <w:name w:val="标题 3 Char"/>
    <w:link w:val="6"/>
    <w:qFormat/>
    <w:uiPriority w:val="0"/>
    <w:rPr>
      <w:b/>
      <w:sz w:val="32"/>
    </w:rPr>
  </w:style>
  <w:style w:type="character" w:customStyle="1" w:styleId="59">
    <w:name w:val="标题 4 Char"/>
    <w:basedOn w:val="47"/>
    <w:link w:val="7"/>
    <w:qFormat/>
    <w:uiPriority w:val="9"/>
    <w:rPr>
      <w:rFonts w:ascii="Arial" w:hAnsi="Arial"/>
      <w:b/>
      <w:bCs/>
      <w:kern w:val="2"/>
      <w:sz w:val="21"/>
      <w:szCs w:val="28"/>
    </w:rPr>
  </w:style>
  <w:style w:type="character" w:customStyle="1" w:styleId="60">
    <w:name w:val="标题 5 Char"/>
    <w:basedOn w:val="47"/>
    <w:link w:val="8"/>
    <w:qFormat/>
    <w:uiPriority w:val="9"/>
    <w:rPr>
      <w:rFonts w:ascii="宋体" w:hAnsi="宋体"/>
      <w:bCs/>
      <w:iCs/>
      <w:color w:val="000000"/>
      <w:sz w:val="28"/>
      <w:szCs w:val="28"/>
    </w:rPr>
  </w:style>
  <w:style w:type="character" w:customStyle="1" w:styleId="61">
    <w:name w:val="标题 6 Char"/>
    <w:basedOn w:val="47"/>
    <w:link w:val="9"/>
    <w:qFormat/>
    <w:uiPriority w:val="9"/>
    <w:rPr>
      <w:rFonts w:ascii="等线 Light" w:hAnsi="等线 Light" w:eastAsia="等线 Light"/>
      <w:b/>
      <w:bCs/>
      <w:kern w:val="2"/>
      <w:sz w:val="24"/>
      <w:szCs w:val="24"/>
    </w:rPr>
  </w:style>
  <w:style w:type="character" w:customStyle="1" w:styleId="62">
    <w:name w:val="电子邮件签名 Char"/>
    <w:link w:val="14"/>
    <w:semiHidden/>
    <w:qFormat/>
    <w:locked/>
    <w:uiPriority w:val="99"/>
    <w:rPr>
      <w:sz w:val="21"/>
      <w:szCs w:val="21"/>
    </w:rPr>
  </w:style>
  <w:style w:type="character" w:customStyle="1" w:styleId="63">
    <w:name w:val="文档结构图 Char"/>
    <w:basedOn w:val="47"/>
    <w:link w:val="17"/>
    <w:semiHidden/>
    <w:qFormat/>
    <w:uiPriority w:val="99"/>
    <w:rPr>
      <w:rFonts w:ascii="宋体"/>
      <w:sz w:val="18"/>
      <w:szCs w:val="18"/>
    </w:rPr>
  </w:style>
  <w:style w:type="character" w:customStyle="1" w:styleId="64">
    <w:name w:val="批注文字 Char1"/>
    <w:link w:val="19"/>
    <w:qFormat/>
    <w:uiPriority w:val="0"/>
    <w:rPr>
      <w:kern w:val="2"/>
      <w:sz w:val="21"/>
    </w:rPr>
  </w:style>
  <w:style w:type="character" w:customStyle="1" w:styleId="65">
    <w:name w:val="正文文本 Char1"/>
    <w:link w:val="21"/>
    <w:qFormat/>
    <w:uiPriority w:val="99"/>
    <w:rPr>
      <w:rFonts w:ascii="仿宋_GB2312" w:eastAsia="仿宋_GB2312"/>
      <w:kern w:val="2"/>
      <w:sz w:val="32"/>
    </w:rPr>
  </w:style>
  <w:style w:type="character" w:customStyle="1" w:styleId="66">
    <w:name w:val="正文文本缩进 Char1"/>
    <w:link w:val="3"/>
    <w:qFormat/>
    <w:uiPriority w:val="99"/>
    <w:rPr>
      <w:rFonts w:ascii="Calibri" w:hAnsi="Calibri"/>
      <w:kern w:val="2"/>
      <w:sz w:val="21"/>
      <w:szCs w:val="22"/>
    </w:rPr>
  </w:style>
  <w:style w:type="character" w:customStyle="1" w:styleId="67">
    <w:name w:val="日期 Char"/>
    <w:basedOn w:val="47"/>
    <w:link w:val="27"/>
    <w:qFormat/>
    <w:uiPriority w:val="0"/>
    <w:rPr>
      <w:sz w:val="24"/>
    </w:rPr>
  </w:style>
  <w:style w:type="character" w:customStyle="1" w:styleId="68">
    <w:name w:val="正文文本缩进 2 Char"/>
    <w:basedOn w:val="47"/>
    <w:link w:val="28"/>
    <w:qFormat/>
    <w:uiPriority w:val="0"/>
    <w:rPr>
      <w:sz w:val="24"/>
    </w:rPr>
  </w:style>
  <w:style w:type="character" w:customStyle="1" w:styleId="69">
    <w:name w:val="批注框文本 Char"/>
    <w:link w:val="29"/>
    <w:qFormat/>
    <w:uiPriority w:val="0"/>
    <w:rPr>
      <w:kern w:val="2"/>
      <w:sz w:val="18"/>
      <w:szCs w:val="18"/>
    </w:rPr>
  </w:style>
  <w:style w:type="character" w:customStyle="1" w:styleId="70">
    <w:name w:val="页脚 Char1"/>
    <w:link w:val="30"/>
    <w:qFormat/>
    <w:uiPriority w:val="99"/>
    <w:rPr>
      <w:kern w:val="2"/>
      <w:sz w:val="18"/>
      <w:szCs w:val="18"/>
    </w:rPr>
  </w:style>
  <w:style w:type="character" w:customStyle="1" w:styleId="71">
    <w:name w:val="页眉 Char"/>
    <w:link w:val="31"/>
    <w:qFormat/>
    <w:uiPriority w:val="99"/>
    <w:rPr>
      <w:kern w:val="2"/>
      <w:sz w:val="18"/>
      <w:szCs w:val="18"/>
    </w:rPr>
  </w:style>
  <w:style w:type="character" w:customStyle="1" w:styleId="72">
    <w:name w:val="正文文本缩进 3 Char"/>
    <w:basedOn w:val="47"/>
    <w:link w:val="36"/>
    <w:qFormat/>
    <w:uiPriority w:val="0"/>
    <w:rPr>
      <w:rFonts w:ascii="宋体" w:hAnsi="宋体"/>
      <w:color w:val="FF0000"/>
      <w:kern w:val="2"/>
      <w:sz w:val="24"/>
      <w:szCs w:val="24"/>
    </w:rPr>
  </w:style>
  <w:style w:type="character" w:customStyle="1" w:styleId="73">
    <w:name w:val="信息标题 Char"/>
    <w:link w:val="40"/>
    <w:semiHidden/>
    <w:qFormat/>
    <w:locked/>
    <w:uiPriority w:val="99"/>
    <w:rPr>
      <w:rFonts w:ascii="Cambria" w:hAnsi="Cambria" w:cs="Cambria"/>
      <w:sz w:val="24"/>
      <w:szCs w:val="24"/>
      <w:shd w:val="pct20" w:color="auto" w:fill="auto"/>
    </w:rPr>
  </w:style>
  <w:style w:type="character" w:customStyle="1" w:styleId="74">
    <w:name w:val="标题 Char1"/>
    <w:basedOn w:val="47"/>
    <w:link w:val="43"/>
    <w:qFormat/>
    <w:uiPriority w:val="0"/>
    <w:rPr>
      <w:rFonts w:eastAsia="黑体" w:asciiTheme="majorHAnsi" w:hAnsiTheme="majorHAnsi" w:cstheme="majorBidi"/>
      <w:b/>
      <w:bCs/>
      <w:kern w:val="2"/>
      <w:sz w:val="36"/>
      <w:szCs w:val="32"/>
    </w:rPr>
  </w:style>
  <w:style w:type="character" w:customStyle="1" w:styleId="75">
    <w:name w:val="批注主题 Char1"/>
    <w:link w:val="44"/>
    <w:qFormat/>
    <w:uiPriority w:val="0"/>
    <w:rPr>
      <w:b/>
      <w:bCs/>
      <w:kern w:val="2"/>
      <w:sz w:val="21"/>
    </w:rPr>
  </w:style>
  <w:style w:type="paragraph" w:customStyle="1" w:styleId="76">
    <w:name w:val="Default"/>
    <w:link w:val="77"/>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qFormat/>
    <w:uiPriority w:val="0"/>
    <w:rPr>
      <w:rFonts w:ascii="宋体" w:hAnsi="Courier New" w:eastAsia="宋体"/>
      <w:kern w:val="2"/>
      <w:sz w:val="21"/>
      <w:lang w:val="en-US" w:eastAsia="zh-CN" w:bidi="ar-SA"/>
    </w:rPr>
  </w:style>
  <w:style w:type="character" w:customStyle="1" w:styleId="80">
    <w:name w:val="标题 3 字符"/>
    <w:qFormat/>
    <w:uiPriority w:val="9"/>
    <w:rPr>
      <w:b/>
      <w:bCs/>
      <w:kern w:val="2"/>
      <w:sz w:val="32"/>
      <w:szCs w:val="32"/>
    </w:rPr>
  </w:style>
  <w:style w:type="character" w:customStyle="1" w:styleId="81">
    <w:name w:val="正文文本 Char"/>
    <w:semiHidden/>
    <w:qFormat/>
    <w:uiPriority w:val="98"/>
    <w:rPr>
      <w:rFonts w:ascii="仿宋_GB2312" w:eastAsia="仿宋_GB2312"/>
      <w:kern w:val="2"/>
      <w:sz w:val="32"/>
    </w:rPr>
  </w:style>
  <w:style w:type="character" w:customStyle="1" w:styleId="82">
    <w:name w:val="apple-converted-space"/>
    <w:basedOn w:val="47"/>
    <w:qFormat/>
    <w:uiPriority w:val="0"/>
  </w:style>
  <w:style w:type="character" w:customStyle="1" w:styleId="83">
    <w:name w:val="Char Char5"/>
    <w:qFormat/>
    <w:uiPriority w:val="0"/>
    <w:rPr>
      <w:rFonts w:ascii="宋体" w:hAnsi="Courier New" w:eastAsia="宋体"/>
      <w:kern w:val="2"/>
      <w:sz w:val="21"/>
      <w:lang w:val="en-US" w:eastAsia="zh-CN" w:bidi="ar-SA"/>
    </w:rPr>
  </w:style>
  <w:style w:type="character" w:customStyle="1" w:styleId="84">
    <w:name w:val="纯文本 字符"/>
    <w:qFormat/>
    <w:uiPriority w:val="0"/>
    <w:rPr>
      <w:rFonts w:ascii="宋体" w:hAnsi="Courier New" w:eastAsia="宋体"/>
    </w:rPr>
  </w:style>
  <w:style w:type="character" w:customStyle="1" w:styleId="85">
    <w:name w:val="Char Char2"/>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semiHidden/>
    <w:qFormat/>
    <w:uiPriority w:val="98"/>
    <w:rPr>
      <w:rFonts w:ascii="宋体" w:hAnsi="Courier New" w:eastAsia="宋体"/>
      <w:kern w:val="2"/>
      <w:sz w:val="21"/>
      <w:lang w:val="en-US" w:eastAsia="zh-CN" w:bidi="ar-SA"/>
    </w:rPr>
  </w:style>
  <w:style w:type="character" w:customStyle="1" w:styleId="88">
    <w:name w:val="正文文本缩进 Char"/>
    <w:link w:val="89"/>
    <w:semiHidden/>
    <w:qFormat/>
    <w:uiPriority w:val="98"/>
    <w:rPr>
      <w:kern w:val="2"/>
      <w:sz w:val="21"/>
    </w:rPr>
  </w:style>
  <w:style w:type="paragraph" w:customStyle="1" w:styleId="89">
    <w:name w:val="正文文本缩进1"/>
    <w:basedOn w:val="1"/>
    <w:link w:val="88"/>
    <w:semiHidden/>
    <w:qFormat/>
    <w:uiPriority w:val="98"/>
    <w:pPr>
      <w:spacing w:after="120"/>
      <w:ind w:left="420" w:leftChars="200"/>
    </w:pPr>
  </w:style>
  <w:style w:type="paragraph" w:customStyle="1" w:styleId="90">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qFormat/>
    <w:uiPriority w:val="34"/>
    <w:pPr>
      <w:ind w:firstLine="420" w:firstLineChars="200"/>
    </w:pPr>
    <w:rPr>
      <w:rFonts w:ascii="Calibri" w:hAnsi="Calibri"/>
      <w:szCs w:val="22"/>
    </w:rPr>
  </w:style>
  <w:style w:type="character" w:customStyle="1" w:styleId="94">
    <w:name w:val="列出段落 Char1"/>
    <w:link w:val="93"/>
    <w:qFormat/>
    <w:uiPriority w:val="34"/>
    <w:rPr>
      <w:rFonts w:ascii="Calibri" w:hAnsi="Calibri"/>
      <w:kern w:val="2"/>
      <w:sz w:val="21"/>
      <w:szCs w:val="22"/>
    </w:rPr>
  </w:style>
  <w:style w:type="paragraph" w:customStyle="1" w:styleId="95">
    <w:name w:val="列出段落1"/>
    <w:basedOn w:val="1"/>
    <w:link w:val="96"/>
    <w:qFormat/>
    <w:uiPriority w:val="34"/>
    <w:pPr>
      <w:ind w:firstLine="420" w:firstLineChars="200"/>
    </w:pPr>
    <w:rPr>
      <w:rFonts w:ascii="Calibri" w:hAnsi="Calibri"/>
      <w:szCs w:val="22"/>
    </w:rPr>
  </w:style>
  <w:style w:type="character" w:customStyle="1" w:styleId="96">
    <w:name w:val="列出段落 字符"/>
    <w:link w:val="95"/>
    <w:qFormat/>
    <w:locked/>
    <w:uiPriority w:val="34"/>
    <w:rPr>
      <w:rFonts w:ascii="Calibri" w:hAnsi="Calibri"/>
      <w:kern w:val="2"/>
      <w:sz w:val="21"/>
      <w:szCs w:val="22"/>
    </w:rPr>
  </w:style>
  <w:style w:type="paragraph" w:customStyle="1" w:styleId="97">
    <w:name w:val="二级列表 Char"/>
    <w:basedOn w:val="1"/>
    <w:qFormat/>
    <w:uiPriority w:val="0"/>
    <w:rPr>
      <w:rFonts w:ascii="Calibri" w:hAnsi="Calibri"/>
    </w:rPr>
  </w:style>
  <w:style w:type="character" w:customStyle="1" w:styleId="98">
    <w:name w:val="style61"/>
    <w:semiHidden/>
    <w:qFormat/>
    <w:uiPriority w:val="98"/>
  </w:style>
  <w:style w:type="paragraph" w:customStyle="1" w:styleId="99">
    <w:name w:val="TOC 标题1"/>
    <w:basedOn w:val="4"/>
    <w:next w:val="1"/>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5"/>
    <w:qFormat/>
    <w:uiPriority w:val="0"/>
    <w:pPr>
      <w:spacing w:line="360" w:lineRule="auto"/>
      <w:jc w:val="center"/>
      <w:outlineLvl w:val="0"/>
    </w:pPr>
    <w:rPr>
      <w:rFonts w:ascii="黑体" w:eastAsia="黑体"/>
      <w:b/>
      <w:bCs/>
      <w:sz w:val="36"/>
      <w:szCs w:val="36"/>
    </w:rPr>
  </w:style>
  <w:style w:type="paragraph" w:customStyle="1" w:styleId="102">
    <w:name w:val="一级标题"/>
    <w:basedOn w:val="25"/>
    <w:qFormat/>
    <w:uiPriority w:val="0"/>
    <w:pPr>
      <w:numPr>
        <w:ilvl w:val="0"/>
        <w:numId w:val="2"/>
      </w:numPr>
      <w:spacing w:line="360" w:lineRule="auto"/>
      <w:outlineLvl w:val="1"/>
    </w:pPr>
    <w:rPr>
      <w:rFonts w:ascii="黑体" w:eastAsia="黑体"/>
      <w:b/>
      <w:bCs/>
      <w:sz w:val="28"/>
    </w:rPr>
  </w:style>
  <w:style w:type="paragraph" w:customStyle="1" w:styleId="103">
    <w:name w:val="（二）级标题"/>
    <w:basedOn w:val="25"/>
    <w:qFormat/>
    <w:uiPriority w:val="2"/>
    <w:pPr>
      <w:numPr>
        <w:ilvl w:val="0"/>
        <w:numId w:val="3"/>
      </w:numPr>
      <w:spacing w:line="360" w:lineRule="auto"/>
      <w:outlineLvl w:val="2"/>
    </w:pPr>
    <w:rPr>
      <w:b/>
    </w:rPr>
  </w:style>
  <w:style w:type="paragraph" w:customStyle="1" w:styleId="104">
    <w:name w:val="3级标题"/>
    <w:basedOn w:val="25"/>
    <w:link w:val="105"/>
    <w:qFormat/>
    <w:uiPriority w:val="3"/>
    <w:pPr>
      <w:numPr>
        <w:ilvl w:val="0"/>
        <w:numId w:val="4"/>
      </w:numPr>
      <w:spacing w:line="360" w:lineRule="auto"/>
      <w:outlineLvl w:val="3"/>
    </w:pPr>
    <w:rPr>
      <w:b/>
    </w:rPr>
  </w:style>
  <w:style w:type="character" w:customStyle="1" w:styleId="105">
    <w:name w:val="3级标题 字符"/>
    <w:basedOn w:val="55"/>
    <w:link w:val="104"/>
    <w:qFormat/>
    <w:uiPriority w:val="3"/>
    <w:rPr>
      <w:rFonts w:ascii="宋体" w:hAnsi="Courier New"/>
      <w:b/>
      <w:kern w:val="2"/>
      <w:sz w:val="21"/>
    </w:rPr>
  </w:style>
  <w:style w:type="paragraph" w:customStyle="1" w:styleId="106">
    <w:name w:val="（4）级标题"/>
    <w:basedOn w:val="25"/>
    <w:qFormat/>
    <w:uiPriority w:val="8"/>
    <w:pPr>
      <w:numPr>
        <w:ilvl w:val="0"/>
        <w:numId w:val="5"/>
      </w:numPr>
      <w:spacing w:line="360" w:lineRule="auto"/>
      <w:outlineLvl w:val="4"/>
    </w:pPr>
  </w:style>
  <w:style w:type="paragraph" w:customStyle="1" w:styleId="107">
    <w:name w:val="标书正文"/>
    <w:basedOn w:val="25"/>
    <w:link w:val="108"/>
    <w:qFormat/>
    <w:uiPriority w:val="9"/>
    <w:pPr>
      <w:spacing w:line="360" w:lineRule="auto"/>
      <w:jc w:val="left"/>
    </w:pPr>
  </w:style>
  <w:style w:type="character" w:customStyle="1" w:styleId="108">
    <w:name w:val="标书正文 字符"/>
    <w:basedOn w:val="55"/>
    <w:link w:val="107"/>
    <w:qFormat/>
    <w:uiPriority w:val="9"/>
    <w:rPr>
      <w:rFonts w:ascii="宋体" w:hAnsi="Courier New"/>
      <w:kern w:val="2"/>
      <w:sz w:val="21"/>
    </w:rPr>
  </w:style>
  <w:style w:type="paragraph" w:customStyle="1" w:styleId="10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4"/>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qFormat/>
    <w:uiPriority w:val="0"/>
    <w:rPr>
      <w:rFonts w:ascii="Microsoft YaHei UI" w:eastAsia="Microsoft YaHei UI"/>
      <w:kern w:val="2"/>
      <w:sz w:val="18"/>
      <w:szCs w:val="18"/>
    </w:rPr>
  </w:style>
  <w:style w:type="paragraph" w:customStyle="1" w:styleId="119">
    <w:name w:val="表格"/>
    <w:basedOn w:val="1"/>
    <w:link w:val="120"/>
    <w:qFormat/>
    <w:uiPriority w:val="0"/>
    <w:rPr>
      <w:rFonts w:ascii="宋体" w:hAnsi="宋体"/>
      <w:szCs w:val="30"/>
    </w:rPr>
  </w:style>
  <w:style w:type="character" w:customStyle="1" w:styleId="120">
    <w:name w:val="表格 字符"/>
    <w:basedOn w:val="47"/>
    <w:link w:val="119"/>
    <w:qFormat/>
    <w:uiPriority w:val="10"/>
    <w:rPr>
      <w:rFonts w:ascii="宋体" w:hAnsi="宋体"/>
      <w:kern w:val="2"/>
      <w:sz w:val="21"/>
      <w:szCs w:val="30"/>
    </w:rPr>
  </w:style>
  <w:style w:type="paragraph" w:customStyle="1" w:styleId="121">
    <w:name w:val="5）级标题"/>
    <w:basedOn w:val="107"/>
    <w:link w:val="122"/>
    <w:qFormat/>
    <w:uiPriority w:val="11"/>
    <w:pPr>
      <w:numPr>
        <w:ilvl w:val="0"/>
        <w:numId w:val="7"/>
      </w:numPr>
      <w:ind w:firstLine="0"/>
    </w:pPr>
  </w:style>
  <w:style w:type="character" w:customStyle="1" w:styleId="122">
    <w:name w:val="5）级标题 字符"/>
    <w:basedOn w:val="108"/>
    <w:link w:val="121"/>
    <w:qFormat/>
    <w:uiPriority w:val="11"/>
    <w:rPr>
      <w:rFonts w:ascii="宋体" w:hAnsi="Courier New"/>
      <w:kern w:val="2"/>
      <w:sz w:val="21"/>
    </w:rPr>
  </w:style>
  <w:style w:type="paragraph" w:customStyle="1" w:styleId="123">
    <w:name w:val="样式 标题 4 + 段前: 5 磅 段后: 5 磅 行距: 单倍行距"/>
    <w:next w:val="37"/>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qFormat/>
    <w:uiPriority w:val="19"/>
    <w:rPr>
      <w:rFonts w:eastAsia="宋体"/>
      <w:i/>
      <w:iCs/>
      <w:color w:val="auto"/>
      <w:sz w:val="21"/>
    </w:rPr>
  </w:style>
  <w:style w:type="paragraph" w:customStyle="1" w:styleId="125">
    <w:name w:val="⑥级标题"/>
    <w:basedOn w:val="104"/>
    <w:link w:val="126"/>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semiHidden/>
    <w:qFormat/>
    <w:uiPriority w:val="98"/>
    <w:rPr>
      <w:rFonts w:ascii="Times New Roman" w:hAnsi="Times New Roman"/>
      <w:kern w:val="2"/>
      <w:sz w:val="21"/>
    </w:rPr>
  </w:style>
  <w:style w:type="character" w:customStyle="1" w:styleId="128">
    <w:name w:val="HR正文 Char"/>
    <w:link w:val="129"/>
    <w:qFormat/>
    <w:uiPriority w:val="0"/>
    <w:rPr>
      <w:kern w:val="2"/>
      <w:sz w:val="24"/>
      <w:szCs w:val="24"/>
    </w:rPr>
  </w:style>
  <w:style w:type="paragraph" w:customStyle="1" w:styleId="129">
    <w:name w:val="HR正文"/>
    <w:basedOn w:val="1"/>
    <w:link w:val="128"/>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semiHidden/>
    <w:qFormat/>
    <w:locked/>
    <w:uiPriority w:val="0"/>
    <w:rPr>
      <w:rFonts w:ascii="Calibri" w:hAnsi="Calibri"/>
      <w:sz w:val="18"/>
      <w:szCs w:val="18"/>
    </w:rPr>
  </w:style>
  <w:style w:type="paragraph" w:customStyle="1" w:styleId="132">
    <w:name w:val="Table Paragraph"/>
    <w:basedOn w:val="1"/>
    <w:qFormat/>
    <w:uiPriority w:val="1"/>
    <w:rPr>
      <w:rFonts w:ascii="宋体" w:hAnsi="宋体" w:cs="宋体"/>
    </w:rPr>
  </w:style>
  <w:style w:type="table" w:customStyle="1" w:styleId="133">
    <w:name w:val="Table Normal"/>
    <w:qFormat/>
    <w:uiPriority w:val="0"/>
    <w:tblPr>
      <w:tblCellMar>
        <w:top w:w="0" w:type="dxa"/>
        <w:left w:w="0" w:type="dxa"/>
        <w:bottom w:w="0" w:type="dxa"/>
        <w:right w:w="0" w:type="dxa"/>
      </w:tblCellMar>
    </w:tblPr>
  </w:style>
  <w:style w:type="character" w:customStyle="1" w:styleId="134">
    <w:name w:val="font31"/>
    <w:basedOn w:val="47"/>
    <w:qFormat/>
    <w:uiPriority w:val="0"/>
    <w:rPr>
      <w:rFonts w:ascii="宋体" w:hAnsi="宋体" w:eastAsia="宋体" w:cs="宋体"/>
      <w:b/>
      <w:bCs/>
      <w:color w:val="000000"/>
      <w:sz w:val="22"/>
      <w:szCs w:val="22"/>
      <w:u w:val="none"/>
    </w:rPr>
  </w:style>
  <w:style w:type="character" w:customStyle="1" w:styleId="135">
    <w:name w:val="font51"/>
    <w:basedOn w:val="47"/>
    <w:qFormat/>
    <w:uiPriority w:val="0"/>
    <w:rPr>
      <w:rFonts w:ascii="宋体" w:hAnsi="宋体" w:eastAsia="宋体" w:cs="宋体"/>
      <w:color w:val="000000"/>
      <w:sz w:val="22"/>
      <w:szCs w:val="22"/>
      <w:u w:val="none"/>
    </w:rPr>
  </w:style>
  <w:style w:type="character" w:customStyle="1" w:styleId="136">
    <w:name w:val="正文缩进 Char"/>
    <w:link w:val="15"/>
    <w:qFormat/>
    <w:uiPriority w:val="99"/>
    <w:rPr>
      <w:rFonts w:eastAsiaTheme="minorEastAsia" w:cstheme="minorBidi"/>
    </w:rPr>
  </w:style>
  <w:style w:type="character" w:customStyle="1" w:styleId="137">
    <w:name w:val="BODY TEXT Char"/>
    <w:qFormat/>
    <w:locked/>
    <w:uiPriority w:val="0"/>
    <w:rPr>
      <w:rFonts w:eastAsia="新宋体"/>
      <w:kern w:val="2"/>
      <w:sz w:val="21"/>
    </w:rPr>
  </w:style>
  <w:style w:type="character" w:customStyle="1" w:styleId="138">
    <w:name w:val="ATXT_Bullets Zchn"/>
    <w:link w:val="139"/>
    <w:qFormat/>
    <w:locked/>
    <w:uiPriority w:val="99"/>
    <w:rPr>
      <w:rFonts w:ascii="Arial" w:hAnsi="Arial"/>
    </w:rPr>
  </w:style>
  <w:style w:type="paragraph" w:customStyle="1" w:styleId="139">
    <w:name w:val="ATXT_Bullets"/>
    <w:link w:val="138"/>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qFormat/>
    <w:uiPriority w:val="0"/>
    <w:rPr>
      <w:kern w:val="2"/>
    </w:rPr>
  </w:style>
  <w:style w:type="character" w:customStyle="1" w:styleId="141">
    <w:name w:val="批注主题 Char"/>
    <w:qFormat/>
    <w:uiPriority w:val="0"/>
    <w:rPr>
      <w:b/>
      <w:kern w:val="2"/>
    </w:rPr>
  </w:style>
  <w:style w:type="character" w:customStyle="1" w:styleId="142">
    <w:name w:val="页脚 Char"/>
    <w:qFormat/>
    <w:locked/>
    <w:uiPriority w:val="99"/>
    <w:rPr>
      <w:sz w:val="18"/>
    </w:rPr>
  </w:style>
  <w:style w:type="character" w:customStyle="1" w:styleId="143">
    <w:name w:val="批注文字 字符1"/>
    <w:basedOn w:val="47"/>
    <w:semiHidden/>
    <w:qFormat/>
    <w:uiPriority w:val="99"/>
  </w:style>
  <w:style w:type="character" w:customStyle="1" w:styleId="144">
    <w:name w:val="批注文字 字符11"/>
    <w:basedOn w:val="47"/>
    <w:qFormat/>
    <w:uiPriority w:val="0"/>
    <w:rPr>
      <w:rFonts w:cs="Times New Roman"/>
      <w:kern w:val="2"/>
      <w:sz w:val="21"/>
    </w:rPr>
  </w:style>
  <w:style w:type="character" w:customStyle="1" w:styleId="145">
    <w:name w:val="文档结构图 字符11"/>
    <w:basedOn w:val="47"/>
    <w:semiHidden/>
    <w:qFormat/>
    <w:uiPriority w:val="99"/>
    <w:rPr>
      <w:rFonts w:ascii="Microsoft YaHei UI" w:eastAsia="Microsoft YaHei UI" w:cs="Times New Roman"/>
      <w:kern w:val="2"/>
      <w:sz w:val="18"/>
      <w:szCs w:val="18"/>
    </w:rPr>
  </w:style>
  <w:style w:type="character" w:customStyle="1" w:styleId="146">
    <w:name w:val="纯文本 字符11"/>
    <w:basedOn w:val="47"/>
    <w:qFormat/>
    <w:uiPriority w:val="0"/>
    <w:rPr>
      <w:rFonts w:hAnsi="Courier New" w:cs="Courier New" w:asciiTheme="minorEastAsia" w:eastAsiaTheme="minorEastAsia"/>
      <w:kern w:val="2"/>
      <w:sz w:val="21"/>
    </w:rPr>
  </w:style>
  <w:style w:type="character" w:customStyle="1" w:styleId="147">
    <w:name w:val="页眉 字符1"/>
    <w:basedOn w:val="47"/>
    <w:semiHidden/>
    <w:qFormat/>
    <w:uiPriority w:val="99"/>
    <w:rPr>
      <w:sz w:val="18"/>
      <w:szCs w:val="18"/>
    </w:rPr>
  </w:style>
  <w:style w:type="character" w:customStyle="1" w:styleId="148">
    <w:name w:val="页眉 字符11"/>
    <w:basedOn w:val="47"/>
    <w:semiHidden/>
    <w:qFormat/>
    <w:uiPriority w:val="99"/>
    <w:rPr>
      <w:rFonts w:cs="Times New Roman"/>
      <w:kern w:val="2"/>
      <w:sz w:val="18"/>
      <w:szCs w:val="18"/>
    </w:rPr>
  </w:style>
  <w:style w:type="character" w:customStyle="1" w:styleId="149">
    <w:name w:val="批注框文本 字符1"/>
    <w:basedOn w:val="47"/>
    <w:semiHidden/>
    <w:qFormat/>
    <w:uiPriority w:val="99"/>
    <w:rPr>
      <w:sz w:val="18"/>
      <w:szCs w:val="18"/>
    </w:rPr>
  </w:style>
  <w:style w:type="character" w:customStyle="1" w:styleId="150">
    <w:name w:val="批注框文本 字符11"/>
    <w:basedOn w:val="47"/>
    <w:semiHidden/>
    <w:qFormat/>
    <w:uiPriority w:val="99"/>
    <w:rPr>
      <w:rFonts w:cs="Times New Roman"/>
      <w:kern w:val="2"/>
      <w:sz w:val="18"/>
      <w:szCs w:val="18"/>
    </w:rPr>
  </w:style>
  <w:style w:type="character" w:customStyle="1" w:styleId="151">
    <w:name w:val="日期 字符1"/>
    <w:basedOn w:val="47"/>
    <w:semiHidden/>
    <w:qFormat/>
    <w:uiPriority w:val="99"/>
  </w:style>
  <w:style w:type="character" w:customStyle="1" w:styleId="152">
    <w:name w:val="日期 字符11"/>
    <w:basedOn w:val="47"/>
    <w:semiHidden/>
    <w:qFormat/>
    <w:uiPriority w:val="99"/>
    <w:rPr>
      <w:rFonts w:cs="Times New Roman"/>
      <w:kern w:val="2"/>
      <w:sz w:val="21"/>
    </w:rPr>
  </w:style>
  <w:style w:type="character" w:customStyle="1" w:styleId="153">
    <w:name w:val="页脚 字符1"/>
    <w:basedOn w:val="47"/>
    <w:semiHidden/>
    <w:qFormat/>
    <w:uiPriority w:val="99"/>
    <w:rPr>
      <w:sz w:val="18"/>
      <w:szCs w:val="18"/>
    </w:rPr>
  </w:style>
  <w:style w:type="character" w:customStyle="1" w:styleId="154">
    <w:name w:val="页脚 字符11"/>
    <w:basedOn w:val="47"/>
    <w:semiHidden/>
    <w:qFormat/>
    <w:uiPriority w:val="99"/>
    <w:rPr>
      <w:rFonts w:cs="Times New Roman"/>
      <w:kern w:val="2"/>
      <w:sz w:val="18"/>
      <w:szCs w:val="18"/>
    </w:rPr>
  </w:style>
  <w:style w:type="character" w:customStyle="1" w:styleId="155">
    <w:name w:val="正文文本缩进 2 字符1"/>
    <w:basedOn w:val="47"/>
    <w:semiHidden/>
    <w:qFormat/>
    <w:uiPriority w:val="99"/>
  </w:style>
  <w:style w:type="character" w:customStyle="1" w:styleId="156">
    <w:name w:val="正文文本缩进 2 字符11"/>
    <w:basedOn w:val="47"/>
    <w:semiHidden/>
    <w:qFormat/>
    <w:uiPriority w:val="99"/>
    <w:rPr>
      <w:rFonts w:cs="Times New Roman"/>
      <w:kern w:val="2"/>
      <w:sz w:val="21"/>
    </w:rPr>
  </w:style>
  <w:style w:type="character" w:customStyle="1" w:styleId="157">
    <w:name w:val="正文文本缩进 3 字符1"/>
    <w:basedOn w:val="47"/>
    <w:semiHidden/>
    <w:qFormat/>
    <w:uiPriority w:val="99"/>
    <w:rPr>
      <w:sz w:val="16"/>
      <w:szCs w:val="16"/>
    </w:rPr>
  </w:style>
  <w:style w:type="character" w:customStyle="1" w:styleId="158">
    <w:name w:val="正文文本缩进 3 字符11"/>
    <w:basedOn w:val="47"/>
    <w:semiHidden/>
    <w:qFormat/>
    <w:uiPriority w:val="99"/>
    <w:rPr>
      <w:rFonts w:cs="Times New Roman"/>
      <w:kern w:val="2"/>
      <w:sz w:val="16"/>
      <w:szCs w:val="16"/>
    </w:rPr>
  </w:style>
  <w:style w:type="character" w:customStyle="1" w:styleId="159">
    <w:name w:val="批注主题 字符1"/>
    <w:basedOn w:val="143"/>
    <w:semiHidden/>
    <w:qFormat/>
    <w:uiPriority w:val="99"/>
    <w:rPr>
      <w:b/>
      <w:bCs/>
    </w:rPr>
  </w:style>
  <w:style w:type="character" w:customStyle="1" w:styleId="160">
    <w:name w:val="批注主题 字符11"/>
    <w:basedOn w:val="144"/>
    <w:semiHidden/>
    <w:qFormat/>
    <w:uiPriority w:val="99"/>
    <w:rPr>
      <w:rFonts w:cs="Times New Roman"/>
      <w:b/>
      <w:bCs/>
      <w:kern w:val="2"/>
      <w:sz w:val="21"/>
    </w:rPr>
  </w:style>
  <w:style w:type="character" w:customStyle="1" w:styleId="161">
    <w:name w:val="标题 字符1"/>
    <w:basedOn w:val="47"/>
    <w:qFormat/>
    <w:uiPriority w:val="10"/>
    <w:rPr>
      <w:rFonts w:asciiTheme="majorHAnsi" w:hAnsiTheme="majorHAnsi" w:eastAsiaTheme="majorEastAsia" w:cstheme="majorBidi"/>
      <w:b/>
      <w:bCs/>
      <w:sz w:val="32"/>
      <w:szCs w:val="32"/>
    </w:rPr>
  </w:style>
  <w:style w:type="character" w:customStyle="1" w:styleId="162">
    <w:name w:val="标题 字符11"/>
    <w:basedOn w:val="47"/>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qFormat/>
    <w:uiPriority w:val="0"/>
    <w:pPr>
      <w:spacing w:line="360" w:lineRule="auto"/>
      <w:ind w:left="401" w:hanging="401" w:hangingChars="191"/>
    </w:pPr>
    <w:rPr>
      <w:rFonts w:ascii="Calibri" w:hAnsi="Calibri"/>
      <w:szCs w:val="24"/>
    </w:rPr>
  </w:style>
  <w:style w:type="paragraph" w:customStyle="1" w:styleId="165">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qFormat/>
    <w:uiPriority w:val="0"/>
    <w:pPr>
      <w:adjustRightInd w:val="0"/>
      <w:spacing w:line="312" w:lineRule="atLeast"/>
    </w:pPr>
    <w:rPr>
      <w:rFonts w:ascii="楷体_GB2312" w:hAnsi="Calibri" w:eastAsia="楷体_GB2312"/>
      <w:kern w:val="0"/>
      <w:sz w:val="24"/>
    </w:rPr>
  </w:style>
  <w:style w:type="paragraph" w:customStyle="1" w:styleId="168">
    <w:name w:val="Pied"/>
    <w:basedOn w:val="1"/>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5"/>
    <w:link w:val="171"/>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qFormat/>
    <w:locked/>
    <w:uiPriority w:val="0"/>
    <w:rPr>
      <w:rFonts w:ascii="宋体" w:hAnsi="宋体" w:eastAsiaTheme="minorEastAsia" w:cstheme="minorBidi"/>
      <w:color w:val="000000"/>
      <w:kern w:val="2"/>
      <w:sz w:val="24"/>
      <w:szCs w:val="24"/>
    </w:rPr>
  </w:style>
  <w:style w:type="paragraph" w:customStyle="1" w:styleId="172">
    <w:name w:val="标书二级标题"/>
    <w:basedOn w:val="5"/>
    <w:link w:val="173"/>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qFormat/>
    <w:locked/>
    <w:uiPriority w:val="0"/>
    <w:rPr>
      <w:rFonts w:ascii="宋体" w:hAnsi="宋体" w:eastAsia="黑体"/>
      <w:bCs/>
      <w:kern w:val="2"/>
      <w:sz w:val="28"/>
      <w:szCs w:val="30"/>
    </w:rPr>
  </w:style>
  <w:style w:type="paragraph" w:customStyle="1" w:styleId="174">
    <w:name w:val="标书表格"/>
    <w:basedOn w:val="1"/>
    <w:link w:val="175"/>
    <w:qFormat/>
    <w:uiPriority w:val="0"/>
    <w:pPr>
      <w:jc w:val="center"/>
    </w:pPr>
    <w:rPr>
      <w:b/>
    </w:rPr>
  </w:style>
  <w:style w:type="character" w:customStyle="1" w:styleId="175">
    <w:name w:val="标书表格 字符"/>
    <w:link w:val="174"/>
    <w:qFormat/>
    <w:locked/>
    <w:uiPriority w:val="0"/>
    <w:rPr>
      <w:b/>
      <w:kern w:val="2"/>
      <w:sz w:val="21"/>
    </w:rPr>
  </w:style>
  <w:style w:type="paragraph" w:customStyle="1" w:styleId="176">
    <w:name w:val="标书三级标题"/>
    <w:basedOn w:val="6"/>
    <w:next w:val="170"/>
    <w:link w:val="177"/>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qFormat/>
    <w:uiPriority w:val="0"/>
    <w:rPr>
      <w:bCs w:val="0"/>
      <w:kern w:val="0"/>
      <w:szCs w:val="20"/>
    </w:rPr>
  </w:style>
  <w:style w:type="character" w:customStyle="1" w:styleId="180">
    <w:name w:val="标正文 字符"/>
    <w:link w:val="181"/>
    <w:qFormat/>
    <w:locked/>
    <w:uiPriority w:val="0"/>
    <w:rPr>
      <w:rFonts w:ascii="宋体"/>
      <w:color w:val="000000"/>
      <w:sz w:val="24"/>
    </w:rPr>
  </w:style>
  <w:style w:type="paragraph" w:customStyle="1" w:styleId="181">
    <w:name w:val="标正文"/>
    <w:basedOn w:val="170"/>
    <w:link w:val="180"/>
    <w:qFormat/>
    <w:uiPriority w:val="0"/>
    <w:pPr>
      <w:ind w:firstLine="480"/>
    </w:pPr>
    <w:rPr>
      <w:rFonts w:hAnsi="Times New Roman" w:eastAsia="宋体" w:cs="Times New Roman"/>
      <w:kern w:val="0"/>
      <w:szCs w:val="20"/>
    </w:rPr>
  </w:style>
  <w:style w:type="paragraph" w:customStyle="1" w:styleId="182">
    <w:name w:val="HR正文表格"/>
    <w:basedOn w:val="1"/>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qFormat/>
    <w:uiPriority w:val="0"/>
  </w:style>
  <w:style w:type="paragraph" w:customStyle="1" w:styleId="185">
    <w:name w:val="标书一级标题"/>
    <w:basedOn w:val="4"/>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qFormat/>
    <w:uiPriority w:val="0"/>
    <w:pPr>
      <w:adjustRightInd w:val="0"/>
      <w:spacing w:beforeLines="50" w:afterLines="50" w:line="360" w:lineRule="auto"/>
      <w:textAlignment w:val="baseline"/>
    </w:pPr>
    <w:rPr>
      <w:rFonts w:ascii="黑体" w:hAnsi="宋体" w:eastAsia="黑体" w:cstheme="minorBidi"/>
      <w:b/>
      <w:kern w:val="0"/>
      <w:sz w:val="24"/>
    </w:rPr>
  </w:style>
  <w:style w:type="paragraph" w:customStyle="1" w:styleId="188">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7"/>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qFormat/>
    <w:uiPriority w:val="0"/>
    <w:pPr>
      <w:spacing w:line="300" w:lineRule="auto"/>
      <w:ind w:firstLine="200" w:firstLineChars="200"/>
    </w:pPr>
    <w:rPr>
      <w:sz w:val="24"/>
      <w:szCs w:val="24"/>
    </w:rPr>
  </w:style>
  <w:style w:type="paragraph" w:customStyle="1" w:styleId="195">
    <w:name w:val="正文文本2"/>
    <w:basedOn w:val="1"/>
    <w:qFormat/>
    <w:uiPriority w:val="0"/>
    <w:pPr>
      <w:adjustRightInd w:val="0"/>
      <w:spacing w:before="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7">
    <w:name w:val="HR数字分点"/>
    <w:basedOn w:val="129"/>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qFormat/>
    <w:locked/>
    <w:uiPriority w:val="34"/>
    <w:rPr>
      <w:kern w:val="2"/>
      <w:sz w:val="21"/>
    </w:rPr>
  </w:style>
  <w:style w:type="paragraph" w:customStyle="1" w:styleId="202">
    <w:name w:val="FAW标题2"/>
    <w:basedOn w:val="1"/>
    <w:next w:val="194"/>
    <w:qFormat/>
    <w:uiPriority w:val="0"/>
    <w:pPr>
      <w:spacing w:line="360" w:lineRule="auto"/>
      <w:outlineLvl w:val="1"/>
    </w:pPr>
    <w:rPr>
      <w:rFonts w:ascii="Calibri" w:hAnsi="Calibri" w:eastAsia="Cambria Math" w:cs="Calibri"/>
      <w:sz w:val="24"/>
      <w:szCs w:val="24"/>
    </w:rPr>
  </w:style>
  <w:style w:type="paragraph" w:customStyle="1" w:styleId="203">
    <w:name w:val="p15"/>
    <w:basedOn w:val="1"/>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Char"/>
    <w:basedOn w:val="47"/>
    <w:link w:val="10"/>
    <w:semiHidden/>
    <w:qFormat/>
    <w:uiPriority w:val="9"/>
    <w:rPr>
      <w:rFonts w:asciiTheme="minorHAnsi" w:hAnsiTheme="minorHAnsi" w:eastAsiaTheme="minorEastAsia" w:cstheme="minorBidi"/>
      <w:b/>
      <w:bCs/>
      <w:kern w:val="2"/>
      <w:sz w:val="24"/>
      <w:szCs w:val="24"/>
    </w:rPr>
  </w:style>
  <w:style w:type="character" w:customStyle="1" w:styleId="206">
    <w:name w:val="标题 8 Char"/>
    <w:basedOn w:val="47"/>
    <w:link w:val="11"/>
    <w:semiHidden/>
    <w:qFormat/>
    <w:uiPriority w:val="9"/>
    <w:rPr>
      <w:rFonts w:asciiTheme="majorHAnsi" w:hAnsiTheme="majorHAnsi" w:eastAsiaTheme="majorEastAsia" w:cstheme="majorBidi"/>
      <w:kern w:val="2"/>
      <w:sz w:val="24"/>
      <w:szCs w:val="24"/>
    </w:rPr>
  </w:style>
  <w:style w:type="character" w:customStyle="1" w:styleId="207">
    <w:name w:val="标题 9 Char"/>
    <w:basedOn w:val="47"/>
    <w:link w:val="12"/>
    <w:semiHidden/>
    <w:qFormat/>
    <w:uiPriority w:val="9"/>
    <w:rPr>
      <w:rFonts w:asciiTheme="majorHAnsi" w:hAnsiTheme="majorHAnsi" w:eastAsiaTheme="majorEastAsia" w:cstheme="majorBidi"/>
      <w:kern w:val="2"/>
      <w:sz w:val="21"/>
      <w:szCs w:val="21"/>
    </w:rPr>
  </w:style>
  <w:style w:type="character" w:customStyle="1" w:styleId="208">
    <w:name w:val="正文首行缩进 2 Char"/>
    <w:basedOn w:val="66"/>
    <w:link w:val="2"/>
    <w:qFormat/>
    <w:uiPriority w:val="99"/>
    <w:rPr>
      <w:rFonts w:ascii="Calibri" w:hAnsi="Calibri"/>
      <w:kern w:val="2"/>
      <w:sz w:val="21"/>
      <w:szCs w:val="22"/>
    </w:rPr>
  </w:style>
  <w:style w:type="table" w:customStyle="1" w:styleId="209">
    <w:name w:val="Table Normal1"/>
    <w:semiHidden/>
    <w:unhideWhenUsed/>
    <w:qFormat/>
    <w:uiPriority w:val="0"/>
    <w:tblPr>
      <w:tblCellMar>
        <w:top w:w="0" w:type="dxa"/>
        <w:left w:w="0" w:type="dxa"/>
        <w:bottom w:w="0" w:type="dxa"/>
        <w:right w:w="0" w:type="dxa"/>
      </w:tblCellMar>
    </w:tblPr>
  </w:style>
  <w:style w:type="character" w:customStyle="1" w:styleId="210">
    <w:name w:val="ic-richtext-list-h"/>
    <w:basedOn w:val="47"/>
    <w:qFormat/>
    <w:uiPriority w:val="0"/>
  </w:style>
  <w:style w:type="paragraph" w:customStyle="1" w:styleId="211">
    <w:name w:val="LH-序号4"/>
    <w:basedOn w:val="21"/>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 w:type="paragraph" w:customStyle="1" w:styleId="212">
    <w:name w:val="12、表格内左对齐正文"/>
    <w:basedOn w:val="1"/>
    <w:autoRedefine/>
    <w:qFormat/>
    <w:uiPriority w:val="0"/>
    <w:pPr>
      <w:tabs>
        <w:tab w:val="left" w:pos="0"/>
      </w:tabs>
      <w:wordWrap w:val="0"/>
      <w:topLinePunct/>
      <w:spacing w:line="360" w:lineRule="exact"/>
      <w:ind w:left="48" w:leftChars="20"/>
    </w:pPr>
    <w:rPr>
      <w:snapToGrid w:val="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50"/>
    <customShpInfo spid="_x0000_s2051"/>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45</Pages>
  <Words>3376</Words>
  <Characters>19248</Characters>
  <Lines>160</Lines>
  <Paragraphs>45</Paragraphs>
  <TotalTime>62</TotalTime>
  <ScaleCrop>false</ScaleCrop>
  <LinksUpToDate>false</LinksUpToDate>
  <CharactersWithSpaces>22579</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2026-08-24T09:21:00Z</dcterms:created>
  <dc:creator>微软用户</dc:creator>
  <cp:lastModifiedBy>杨帆</cp:lastModifiedBy>
  <cp:lastPrinted>2026-08-24T10:08:00Z</cp:lastPrinted>
  <dcterms:modified xsi:type="dcterms:W3CDTF">2026-10-15T03:28:43Z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F60C98FF031048A1B70571F031A2A468_13</vt:lpwstr>
  </property>
  <property fmtid="{D5CDD505-2E9C-101B-9397-08002B2CF9AE}" pid="4" name="KSOTemplateDocerSaveRecord">
    <vt:lpwstr>eyJoZGlkIjoiMDgwN2NkMWU0NDE5MDJmM2YyODczNjFjYzg5MTEyMjciLCJ1c2VySWQiOiIxMDE5OTczNDkxIn0=</vt:lpwstr>
  </property>
  <property fmtid="{D5CDD505-2E9C-101B-9397-08002B2CF9AE}" pid="5" name="_DocHome">
    <vt:i4>-1695713435</vt:i4>
  </property>
</Properties>
</file>