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jc w:val="center"/>
        <w:rPr>
          <w:sz w:val="22"/>
          <w:szCs w:val="28"/>
        </w:rPr>
      </w:pPr>
    </w:p>
    <w:p w14:paraId="1B64DB91">
      <w:pPr>
        <w:pStyle w:val="21"/>
        <w:jc w:val="center"/>
      </w:pPr>
      <w:r>
        <w:rPr>
          <w:rFonts w:hint="eastAsia" w:ascii="楷体" w:hAnsi="楷体" w:eastAsia="楷体" w:cs="宋体"/>
          <w:bCs/>
          <w:kern w:val="0"/>
          <w:sz w:val="52"/>
          <w:szCs w:val="52"/>
        </w:rPr>
        <w:t>济宁商用车公司新增驾驶室吊装系统检修走台技改项目</w:t>
      </w: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6CCD9F2E">
      <w:pPr>
        <w:widowControl/>
        <w:tabs>
          <w:tab w:val="left" w:pos="1624"/>
        </w:tabs>
        <w:adjustRightInd w:val="0"/>
        <w:snapToGrid w:val="0"/>
        <w:spacing w:line="300" w:lineRule="auto"/>
        <w:jc w:val="center"/>
        <w:rPr>
          <w:rFonts w:ascii="宋体"/>
          <w:sz w:val="24"/>
        </w:rPr>
      </w:pPr>
      <w:r>
        <w:rPr>
          <w:rFonts w:hint="eastAsia" w:ascii="宋体" w:hAnsi="宋体" w:cs="宋体"/>
          <w:b/>
          <w:bCs/>
          <w:spacing w:val="11"/>
          <w:kern w:val="0"/>
          <w:sz w:val="30"/>
          <w:szCs w:val="30"/>
        </w:rPr>
        <w:t>招标编号：</w:t>
      </w:r>
      <w:r>
        <w:rPr>
          <w:rFonts w:hint="eastAsia" w:ascii="宋体" w:hAnsi="宋体" w:cs="宋体"/>
          <w:b/>
          <w:bCs/>
          <w:spacing w:val="11"/>
          <w:kern w:val="0"/>
          <w:sz w:val="30"/>
          <w:szCs w:val="30"/>
          <w:highlight w:val="yellow"/>
          <w:lang w:val="en-US" w:eastAsia="zh-CN"/>
        </w:rPr>
        <w:t>ZBGL2026090068</w:t>
      </w: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9</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keepNext w:val="0"/>
        <w:keepLines w:val="0"/>
        <w:pageBreakBefore w:val="0"/>
        <w:widowControl w:val="0"/>
        <w:numPr>
          <w:ilvl w:val="0"/>
          <w:numId w:val="0"/>
        </w:numPr>
        <w:kinsoku/>
        <w:wordWrap/>
        <w:overflowPunct/>
        <w:topLinePunct w:val="0"/>
        <w:autoSpaceDE/>
        <w:autoSpaceDN/>
        <w:bidi w:val="0"/>
        <w:jc w:val="center"/>
        <w:textAlignment w:val="auto"/>
      </w:pPr>
      <w:bookmarkStart w:id="1" w:name="_Toc9937"/>
      <w:bookmarkStart w:id="2" w:name="_Toc1750"/>
      <w:r>
        <w:rPr>
          <w:rFonts w:hint="eastAsia"/>
          <w:lang w:val="en-US" w:eastAsia="zh-CN"/>
        </w:rPr>
        <w:t xml:space="preserve">第一章 </w:t>
      </w:r>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default" w:ascii="宋体" w:hAnsi="宋体" w:eastAsia="宋体" w:cs="宋体"/>
          <w:b/>
          <w:bCs/>
          <w:spacing w:val="11"/>
          <w:kern w:val="0"/>
          <w:sz w:val="24"/>
          <w:szCs w:val="30"/>
          <w:highlight w:val="yellow"/>
          <w:lang w:val="en-US" w:eastAsia="zh-CN"/>
        </w:rPr>
      </w:pPr>
      <w:bookmarkStart w:id="3" w:name="_Toc20919"/>
      <w:r>
        <w:rPr>
          <w:b/>
          <w:sz w:val="24"/>
        </w:rPr>
        <w:t>项目编号：</w:t>
      </w:r>
      <w:bookmarkEnd w:id="3"/>
      <w:r>
        <w:rPr>
          <w:rFonts w:hint="eastAsia"/>
          <w:b/>
          <w:sz w:val="24"/>
        </w:rPr>
        <w:t>ZBGL2026090068</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32544"/>
      <w:bookmarkStart w:id="5" w:name="_Toc14341835"/>
      <w:r>
        <w:rPr>
          <w:rFonts w:hint="eastAsia" w:ascii="宋体" w:cs="宋体"/>
          <w:b/>
          <w:kern w:val="0"/>
          <w:sz w:val="24"/>
          <w:lang w:bidi="en-US"/>
        </w:rPr>
        <w:t>1.招标条件</w:t>
      </w:r>
    </w:p>
    <w:p w14:paraId="3BD6E86E">
      <w:pPr>
        <w:numPr>
          <w:ilvl w:val="0"/>
          <w:numId w:val="1"/>
        </w:numPr>
        <w:spacing w:line="360" w:lineRule="auto"/>
        <w:outlineLvl w:val="3"/>
        <w:rPr>
          <w:rFonts w:ascii="宋体" w:cs="宋体"/>
          <w:kern w:val="0"/>
          <w:sz w:val="24"/>
          <w:lang w:bidi="en-US"/>
        </w:rPr>
      </w:pPr>
      <w:r>
        <w:rPr>
          <w:rFonts w:hint="eastAsia" w:ascii="宋体" w:hAnsi="宋体" w:eastAsia="宋体"/>
          <w:sz w:val="24"/>
          <w:szCs w:val="24"/>
          <w:highlight w:val="none"/>
          <w:u w:val="single"/>
          <w:lang w:val="en-US" w:eastAsia="zh-CN"/>
        </w:rPr>
        <w:t>济宁商用车公司新增驾驶室吊装系统检修走台技改项目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30000C18">
      <w:pPr>
        <w:numPr>
          <w:ilvl w:val="0"/>
          <w:numId w:val="1"/>
        </w:numPr>
        <w:spacing w:line="360" w:lineRule="auto"/>
        <w:outlineLvl w:val="3"/>
        <w:rPr>
          <w:rFonts w:hint="eastAsia" w:ascii="宋体" w:hAnsi="宋体" w:eastAsia="宋体"/>
          <w:sz w:val="24"/>
          <w:szCs w:val="24"/>
          <w:highlight w:val="none"/>
          <w:u w:val="single"/>
          <w:lang w:val="en-US" w:eastAsia="zh-CN"/>
        </w:rPr>
      </w:pPr>
      <w:bookmarkStart w:id="7" w:name="_Toc144974482"/>
      <w:bookmarkEnd w:id="7"/>
      <w:bookmarkStart w:id="8" w:name="_Toc152042290"/>
      <w:bookmarkEnd w:id="8"/>
      <w:bookmarkStart w:id="9" w:name="_Toc152045514"/>
      <w:bookmarkEnd w:id="9"/>
      <w:bookmarkStart w:id="10" w:name="_Toc285809451"/>
      <w:bookmarkEnd w:id="10"/>
      <w:bookmarkStart w:id="11" w:name="_Toc179632530"/>
      <w:bookmarkEnd w:id="11"/>
      <w:r>
        <w:rPr>
          <w:rFonts w:hint="eastAsia" w:ascii="宋体" w:cs="宋体"/>
          <w:kern w:val="0"/>
          <w:sz w:val="24"/>
          <w:lang w:bidi="en-US"/>
        </w:rPr>
        <w:t>项目名称：</w:t>
      </w:r>
      <w:r>
        <w:rPr>
          <w:rFonts w:hint="eastAsia" w:ascii="宋体" w:hAnsi="宋体" w:eastAsia="宋体"/>
          <w:sz w:val="24"/>
          <w:szCs w:val="24"/>
          <w:highlight w:val="none"/>
          <w:u w:val="single"/>
          <w:lang w:val="en-US" w:eastAsia="zh-CN"/>
        </w:rPr>
        <w:t>济宁商用车公司新增驾驶室吊装系统检修走台技改项目</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spacing w:line="420" w:lineRule="exact"/>
        <w:outlineLvl w:val="3"/>
        <w:rPr>
          <w:rFonts w:ascii="宋体" w:cs="宋体"/>
          <w:kern w:val="0"/>
          <w:sz w:val="24"/>
          <w:lang w:bidi="en-US"/>
        </w:rPr>
      </w:pPr>
      <w:r>
        <w:rPr>
          <w:rFonts w:hint="eastAsia" w:ascii="宋体" w:cs="宋体"/>
          <w:kern w:val="0"/>
          <w:sz w:val="24"/>
          <w:lang w:bidi="en-US"/>
        </w:rPr>
        <w:t>项目情况：</w:t>
      </w:r>
      <w:r>
        <w:rPr>
          <w:rFonts w:hint="eastAsia" w:ascii="宋体" w:hAnsi="宋体" w:eastAsia="宋体"/>
          <w:bCs/>
          <w:sz w:val="24"/>
          <w:szCs w:val="24"/>
          <w:highlight w:val="none"/>
          <w:lang w:val="en-US" w:eastAsia="zh-CN"/>
        </w:rPr>
        <w:t>驾驶室吊装系统检修走台</w:t>
      </w:r>
      <w:r>
        <w:rPr>
          <w:rFonts w:hint="eastAsia" w:ascii="宋体" w:cs="宋体"/>
          <w:kern w:val="0"/>
          <w:sz w:val="24"/>
          <w:lang w:bidi="en-US"/>
        </w:rPr>
        <w:t>。</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材料采购、制作、</w:t>
      </w:r>
      <w:r>
        <w:rPr>
          <w:rFonts w:hint="eastAsia" w:ascii="宋体" w:hAnsi="Times New Roman" w:eastAsia="宋体" w:cs="宋体"/>
          <w:kern w:val="0"/>
          <w:sz w:val="24"/>
          <w:lang w:bidi="en-US"/>
        </w:rPr>
        <w:t>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6"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hAnsi="宋体" w:eastAsia="宋体"/>
                <w:bCs/>
                <w:sz w:val="24"/>
                <w:szCs w:val="24"/>
                <w:highlight w:val="none"/>
                <w:lang w:val="en-US" w:eastAsia="zh-CN"/>
              </w:rPr>
              <w:t>驾驶室吊装系统检修走台</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bookmarkEnd w:id="12"/>
    </w:tbl>
    <w:p w14:paraId="0F501D08">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w:t>
      </w:r>
      <w:r>
        <w:rPr>
          <w:rFonts w:hint="eastAsia" w:ascii="宋体" w:hAnsi="宋体"/>
          <w:b/>
          <w:bCs/>
          <w:kern w:val="0"/>
          <w:sz w:val="24"/>
          <w:szCs w:val="21"/>
          <w:highlight w:val="none"/>
          <w:lang w:bidi="en-US"/>
        </w:rPr>
        <w:t>近三年指202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5</w:t>
      </w:r>
      <w:r>
        <w:rPr>
          <w:rFonts w:hint="eastAsia" w:ascii="宋体" w:hAnsi="宋体"/>
          <w:b/>
          <w:bCs/>
          <w:kern w:val="0"/>
          <w:sz w:val="24"/>
          <w:szCs w:val="21"/>
          <w:highlight w:val="none"/>
          <w:lang w:bidi="en-US"/>
        </w:rPr>
        <w:t>年</w:t>
      </w:r>
      <w:r>
        <w:rPr>
          <w:rFonts w:hint="eastAsia" w:ascii="宋体" w:hAnsi="宋体"/>
          <w:kern w:val="0"/>
          <w:sz w:val="24"/>
          <w:szCs w:val="21"/>
          <w:highlight w:val="none"/>
          <w:lang w:bidi="en-US"/>
        </w:rPr>
        <w:t>），要求包含近一个月银行企业信用报告。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w:t>
      </w:r>
      <w:r>
        <w:rPr>
          <w:rFonts w:hint="eastAsia" w:ascii="宋体"/>
          <w:kern w:val="0"/>
          <w:sz w:val="24"/>
          <w:szCs w:val="21"/>
          <w:highlight w:val="none"/>
          <w:shd w:val="clear" w:color="auto" w:fill="FFFFFF" w:themeFill="background1"/>
          <w:lang w:val="en-US" w:eastAsia="zh-CN" w:bidi="en-US"/>
        </w:rPr>
        <w:t>不</w:t>
      </w:r>
      <w:r>
        <w:rPr>
          <w:rFonts w:hint="eastAsia" w:ascii="宋体"/>
          <w:kern w:val="0"/>
          <w:sz w:val="24"/>
          <w:szCs w:val="21"/>
          <w:highlight w:val="none"/>
          <w:shd w:val="clear" w:color="auto" w:fill="FFFFFF" w:themeFill="background1"/>
          <w:lang w:bidi="en-US"/>
        </w:rPr>
        <w:t>接受代理商投标</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both"/>
        <w:rPr>
          <w:rFonts w:ascii="宋体" w:cs="宋体"/>
          <w:kern w:val="0"/>
          <w:sz w:val="24"/>
          <w:highlight w:val="yellow"/>
          <w:lang w:bidi="en-US"/>
        </w:rPr>
      </w:pPr>
      <w:r>
        <w:rPr>
          <w:rFonts w:hint="eastAsia" w:ascii="宋体" w:cs="宋体"/>
          <w:kern w:val="0"/>
          <w:sz w:val="24"/>
          <w:highlight w:val="none"/>
          <w:lang w:bidi="en-US"/>
        </w:rPr>
        <w:t>4.1凡有意参加投标者，</w:t>
      </w:r>
      <w:r>
        <w:rPr>
          <w:rFonts w:hint="eastAsia" w:ascii="宋体" w:cs="宋体"/>
          <w:kern w:val="0"/>
          <w:sz w:val="24"/>
          <w:highlight w:val="yellow"/>
          <w:lang w:bidi="en-US"/>
        </w:rPr>
        <w:t>请于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16</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22</w:t>
      </w:r>
      <w:r>
        <w:rPr>
          <w:rFonts w:hint="eastAsia" w:ascii="宋体" w:cs="宋体"/>
          <w:kern w:val="0"/>
          <w:sz w:val="24"/>
          <w:highlight w:val="yellow"/>
          <w:lang w:bidi="en-US"/>
        </w:rPr>
        <w:t>日每日9:00-1</w:t>
      </w:r>
      <w:r>
        <w:rPr>
          <w:rFonts w:ascii="宋体" w:cs="宋体"/>
          <w:kern w:val="0"/>
          <w:sz w:val="24"/>
          <w:highlight w:val="yellow"/>
          <w:lang w:bidi="en-US"/>
        </w:rPr>
        <w:t>7</w:t>
      </w:r>
      <w:r>
        <w:rPr>
          <w:rFonts w:hint="eastAsia" w:ascii="宋体" w:cs="宋体"/>
          <w:kern w:val="0"/>
          <w:sz w:val="24"/>
          <w:highlight w:val="yellow"/>
          <w:lang w:bidi="en-US"/>
        </w:rPr>
        <w:t>:</w:t>
      </w:r>
      <w:r>
        <w:rPr>
          <w:rFonts w:ascii="宋体" w:cs="宋体"/>
          <w:kern w:val="0"/>
          <w:sz w:val="24"/>
          <w:highlight w:val="yellow"/>
          <w:lang w:bidi="en-US"/>
        </w:rPr>
        <w:t>0</w:t>
      </w:r>
      <w:r>
        <w:rPr>
          <w:rFonts w:hint="eastAsia" w:ascii="宋体" w:cs="宋体"/>
          <w:kern w:val="0"/>
          <w:sz w:val="24"/>
          <w:highlight w:val="yellow"/>
          <w:lang w:bidi="en-US"/>
        </w:rPr>
        <w:t>0（北京时间，下同），将</w:t>
      </w:r>
      <w:r>
        <w:rPr>
          <w:rFonts w:hint="eastAsia" w:ascii="宋体" w:cs="宋体"/>
          <w:b/>
          <w:bCs/>
          <w:kern w:val="0"/>
          <w:sz w:val="24"/>
          <w:highlight w:val="yellow"/>
          <w:lang w:bidi="en-US"/>
        </w:rPr>
        <w:t>以下资料盖章的扫描件</w:t>
      </w:r>
      <w:r>
        <w:rPr>
          <w:rFonts w:hint="eastAsia" w:ascii="宋体" w:cs="宋体"/>
          <w:kern w:val="0"/>
          <w:sz w:val="24"/>
          <w:highlight w:val="yellow"/>
          <w:lang w:bidi="en-US"/>
        </w:rPr>
        <w:t>发送至邮箱</w:t>
      </w:r>
      <w:r>
        <w:rPr>
          <w:rFonts w:hint="eastAsia" w:ascii="宋体" w:cs="宋体"/>
          <w:kern w:val="0"/>
          <w:sz w:val="24"/>
          <w:highlight w:val="yellow"/>
          <w:u w:val="single"/>
          <w:lang w:bidi="en-US"/>
        </w:rPr>
        <w:t>chenhe@sinotruk.com</w:t>
      </w:r>
      <w:r>
        <w:rPr>
          <w:rFonts w:hint="eastAsia" w:ascii="宋体" w:cs="宋体"/>
          <w:kern w:val="0"/>
          <w:sz w:val="24"/>
          <w:highlight w:val="yellow"/>
          <w:lang w:bidi="en-US"/>
        </w:rPr>
        <w:t>，并电话联系工作人员查收（联系人：</w:t>
      </w:r>
      <w:r>
        <w:rPr>
          <w:rFonts w:hint="eastAsia" w:ascii="宋体" w:cs="宋体"/>
          <w:kern w:val="0"/>
          <w:sz w:val="24"/>
          <w:highlight w:val="yellow"/>
          <w:lang w:val="en-US" w:eastAsia="zh-CN" w:bidi="en-US"/>
        </w:rPr>
        <w:t>陈鹤</w:t>
      </w:r>
      <w:r>
        <w:rPr>
          <w:rFonts w:hint="eastAsia" w:ascii="宋体" w:cs="宋体"/>
          <w:kern w:val="0"/>
          <w:sz w:val="24"/>
          <w:highlight w:val="yellow"/>
          <w:lang w:bidi="en-US"/>
        </w:rPr>
        <w:t>；联系方式：</w:t>
      </w:r>
      <w:r>
        <w:rPr>
          <w:rFonts w:hint="eastAsia" w:ascii="宋体" w:cs="宋体"/>
          <w:kern w:val="0"/>
          <w:sz w:val="24"/>
          <w:highlight w:val="yellow"/>
          <w:lang w:val="en-US" w:eastAsia="zh-CN" w:bidi="en-US"/>
        </w:rPr>
        <w:t>15269740161</w:t>
      </w:r>
      <w:r>
        <w:rPr>
          <w:rFonts w:hint="eastAsia" w:ascii="宋体" w:cs="宋体"/>
          <w:kern w:val="0"/>
          <w:sz w:val="24"/>
          <w:highlight w:val="yellow"/>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7C7A62CE">
      <w:pPr>
        <w:pStyle w:val="43"/>
        <w:widowControl/>
        <w:numPr>
          <w:ilvl w:val="0"/>
          <w:numId w:val="4"/>
        </w:numPr>
        <w:adjustRightInd w:val="0"/>
        <w:snapToGrid w:val="0"/>
        <w:spacing w:line="360" w:lineRule="auto"/>
        <w:ind w:left="0" w:firstLine="480"/>
        <w:jc w:val="left"/>
        <w:rPr>
          <w:rFonts w:hint="eastAsia" w:ascii="宋体" w:cs="宋体"/>
          <w:b/>
          <w:bCs/>
          <w:color w:val="FF0000"/>
          <w:kern w:val="0"/>
          <w:sz w:val="24"/>
          <w:highlight w:val="none"/>
          <w:lang w:val="en-US" w:eastAsia="zh-CN"/>
        </w:rPr>
      </w:pPr>
      <w:r>
        <w:rPr>
          <w:rFonts w:hint="eastAsia" w:ascii="宋体" w:cs="宋体"/>
          <w:b/>
          <w:bCs/>
          <w:color w:val="FF0000"/>
          <w:kern w:val="0"/>
          <w:sz w:val="24"/>
          <w:highlight w:val="none"/>
        </w:rPr>
        <w:t>投保保证金</w:t>
      </w:r>
      <w:r>
        <w:rPr>
          <w:rFonts w:hint="eastAsia" w:ascii="宋体" w:cs="宋体"/>
          <w:b/>
          <w:bCs/>
          <w:color w:val="FF0000"/>
          <w:kern w:val="0"/>
          <w:sz w:val="24"/>
          <w:highlight w:val="none"/>
          <w:lang w:val="en-US" w:eastAsia="zh-CN"/>
        </w:rPr>
        <w:t>银行汇款截图。（详见4.4，未缴纳无效应标）</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b/>
          <w:bCs/>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w:t>
      </w:r>
      <w:r>
        <w:rPr>
          <w:rFonts w:hint="eastAsia"/>
          <w:kern w:val="0"/>
          <w:sz w:val="24"/>
          <w:szCs w:val="21"/>
          <w:lang w:val="en-US" w:eastAsia="zh-CN" w:bidi="en-US"/>
        </w:rPr>
        <w:t>按照上述</w:t>
      </w:r>
      <w:r>
        <w:rPr>
          <w:rFonts w:hint="eastAsia"/>
          <w:b/>
          <w:bCs/>
          <w:kern w:val="0"/>
          <w:sz w:val="24"/>
          <w:szCs w:val="21"/>
          <w:lang w:val="en-US" w:eastAsia="zh-CN" w:bidi="en-US"/>
        </w:rPr>
        <w:t>序号顺序</w:t>
      </w:r>
      <w:r>
        <w:rPr>
          <w:rFonts w:hint="eastAsia"/>
          <w:kern w:val="0"/>
          <w:sz w:val="24"/>
          <w:szCs w:val="21"/>
          <w:lang w:bidi="en-US"/>
        </w:rPr>
        <w:t>扫描汇总形成</w:t>
      </w:r>
      <w:r>
        <w:rPr>
          <w:rFonts w:hint="eastAsia"/>
          <w:b/>
          <w:bCs/>
          <w:kern w:val="0"/>
          <w:sz w:val="24"/>
          <w:szCs w:val="21"/>
          <w:lang w:bidi="en-US"/>
        </w:rPr>
        <w:t>1个PDF格式文件</w:t>
      </w:r>
      <w:r>
        <w:rPr>
          <w:rFonts w:hint="eastAsia"/>
          <w:kern w:val="0"/>
          <w:sz w:val="24"/>
          <w:szCs w:val="21"/>
          <w:lang w:bidi="en-US"/>
        </w:rPr>
        <w:t>，发送至上述指定邮箱，并设置邮件名称为“公司名称+项目名称”，</w:t>
      </w:r>
      <w:r>
        <w:rPr>
          <w:rFonts w:hint="eastAsia"/>
          <w:b/>
          <w:bCs/>
          <w:kern w:val="0"/>
          <w:sz w:val="24"/>
          <w:szCs w:val="21"/>
          <w:u w:val="single"/>
          <w:lang w:bidi="en-US"/>
        </w:rPr>
        <w:t>若上述资料不全或扫描件不清晰无法辨认的则会影响报名成功</w:t>
      </w:r>
      <w:r>
        <w:rPr>
          <w:rFonts w:hint="eastAsia"/>
          <w:b/>
          <w:bCs/>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40B0F95">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lang w:eastAsia="zh-CN"/>
          <w14:textFill>
            <w14:solidFill>
              <w14:schemeClr w14:val="tx1"/>
            </w14:solidFill>
          </w14:textFill>
        </w:rPr>
        <w:t>（</w:t>
      </w:r>
      <w:r>
        <w:rPr>
          <w:rStyle w:val="37"/>
          <w:rFonts w:hint="eastAsia" w:ascii="宋体" w:cs="宋体"/>
          <w:color w:val="000000" w:themeColor="text1"/>
          <w:sz w:val="24"/>
          <w:lang w:val="en-US" w:eastAsia="zh-CN"/>
          <w14:textFill>
            <w14:solidFill>
              <w14:schemeClr w14:val="tx1"/>
            </w14:solidFill>
          </w14:textFill>
        </w:rPr>
        <w:t>详细操作步骤详见</w:t>
      </w:r>
      <w:r>
        <w:rPr>
          <w:rFonts w:hint="eastAsia" w:ascii="宋体"/>
          <w:b w:val="0"/>
          <w:bCs w:val="0"/>
          <w:sz w:val="24"/>
        </w:rPr>
        <w:t>附件6</w:t>
      </w:r>
      <w:r>
        <w:rPr>
          <w:rStyle w:val="37"/>
          <w:rFonts w:hint="eastAsia" w:ascii="宋体" w:cs="宋体"/>
          <w:b w:val="0"/>
          <w:bCs w:val="0"/>
          <w:color w:val="000000" w:themeColor="text1"/>
          <w:sz w:val="24"/>
          <w:lang w:eastAsia="zh-CN"/>
          <w14:textFill>
            <w14:solidFill>
              <w14:schemeClr w14:val="tx1"/>
            </w14:solidFill>
          </w14:textFill>
        </w:rPr>
        <w:t>）</w:t>
      </w:r>
      <w:r>
        <w:rPr>
          <w:rStyle w:val="37"/>
          <w:rFonts w:hint="eastAsia" w:ascii="宋体" w:cs="宋体"/>
          <w:color w:val="auto"/>
          <w:sz w:val="24"/>
        </w:rPr>
        <w:t>。</w:t>
      </w:r>
      <w:r>
        <w:rPr>
          <w:rFonts w:hint="eastAsia" w:ascii="宋体" w:cs="宋体"/>
          <w:b/>
          <w:bCs/>
          <w:sz w:val="24"/>
          <w:lang w:bidi="ar"/>
        </w:rPr>
        <w:t>请投标人确认中国重汽e采通系统中供应商信息完整、准确，因供应商信息不全或错误导致的报名不成功，由投标人自行承担。数据依据为报名单位提供的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w:t>
      </w: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p>
    <w:p w14:paraId="7833FCA0">
      <w:pPr>
        <w:widowControl/>
        <w:adjustRightInd w:val="0"/>
        <w:snapToGrid w:val="0"/>
        <w:spacing w:line="360" w:lineRule="auto"/>
        <w:ind w:firstLine="480" w:firstLineChars="200"/>
        <w:jc w:val="left"/>
        <w:rPr>
          <w:rFonts w:hint="eastAsia" w:ascii="宋体"/>
          <w:b/>
          <w:bCs/>
          <w:sz w:val="24"/>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w:t>
      </w:r>
      <w:r>
        <w:rPr>
          <w:rFonts w:hint="eastAsia" w:ascii="宋体"/>
          <w:b/>
          <w:bCs/>
          <w:sz w:val="24"/>
          <w:lang w:eastAsia="zh-CN"/>
        </w:rPr>
        <w:t>（</w:t>
      </w:r>
      <w:r>
        <w:rPr>
          <w:rFonts w:hint="eastAsia" w:ascii="宋体"/>
          <w:b/>
          <w:bCs/>
          <w:sz w:val="24"/>
          <w:highlight w:val="red"/>
          <w:lang w:val="en-US" w:eastAsia="zh-CN"/>
        </w:rPr>
        <w:t>注册通过需要多天时间，请意向投标方提前完成注册，避免耽误应标时间</w:t>
      </w:r>
      <w:r>
        <w:rPr>
          <w:rFonts w:hint="eastAsia" w:ascii="宋体"/>
          <w:b/>
          <w:bCs/>
          <w:sz w:val="24"/>
          <w:lang w:eastAsia="zh-CN"/>
        </w:rPr>
        <w:t>）</w:t>
      </w:r>
      <w:r>
        <w:rPr>
          <w:rFonts w:hint="eastAsia" w:ascii="宋体"/>
          <w:b/>
          <w:bCs/>
          <w:sz w:val="24"/>
        </w:rPr>
        <w:t>，审核通过后请电话告知招标方联系人。</w:t>
      </w:r>
    </w:p>
    <w:p w14:paraId="10322462">
      <w:pPr>
        <w:widowControl/>
        <w:adjustRightInd w:val="0"/>
        <w:snapToGrid w:val="0"/>
        <w:spacing w:line="360" w:lineRule="auto"/>
        <w:ind w:firstLine="480" w:firstLineChars="200"/>
        <w:rPr>
          <w:rFonts w:hint="eastAsia" w:ascii="宋体"/>
          <w:b/>
          <w:bCs/>
          <w:sz w:val="24"/>
        </w:rPr>
      </w:pPr>
      <w:r>
        <w:rPr>
          <w:rFonts w:hint="eastAsia"/>
          <w:color w:val="FF0000"/>
          <w:kern w:val="0"/>
          <w:sz w:val="24"/>
          <w:szCs w:val="21"/>
          <w:highlight w:val="none"/>
          <w:lang w:val="en-US" w:eastAsia="zh-CN" w:bidi="en-US"/>
        </w:rPr>
        <w:t>4.</w:t>
      </w:r>
      <w:r>
        <w:rPr>
          <w:rFonts w:hint="eastAsia" w:ascii="宋体" w:cs="宋体"/>
          <w:b/>
          <w:bCs/>
          <w:color w:val="FF0000"/>
          <w:kern w:val="0"/>
          <w:sz w:val="24"/>
          <w:highlight w:val="none"/>
          <w:u w:val="none"/>
          <w:lang w:val="en-US" w:eastAsia="zh-CN" w:bidi="en-US"/>
        </w:rPr>
        <w:t>收到工作人员回复邮件（含招标文件）视为报名成功通知，请收到回复邮件后</w:t>
      </w:r>
      <w:r>
        <w:rPr>
          <w:rFonts w:hint="eastAsia" w:ascii="宋体" w:cs="宋体"/>
          <w:b/>
          <w:bCs/>
          <w:color w:val="FF0000"/>
          <w:kern w:val="0"/>
          <w:sz w:val="24"/>
          <w:highlight w:val="none"/>
          <w:u w:val="single"/>
          <w:lang w:val="en-US" w:eastAsia="zh-CN" w:bidi="en-US"/>
        </w:rPr>
        <w:t>再</w:t>
      </w:r>
      <w:r>
        <w:rPr>
          <w:rFonts w:hint="eastAsia" w:ascii="宋体" w:cs="宋体"/>
          <w:b/>
          <w:bCs/>
          <w:color w:val="FF0000"/>
          <w:kern w:val="0"/>
          <w:sz w:val="24"/>
          <w:highlight w:val="none"/>
          <w:u w:val="none"/>
          <w:lang w:val="en-US" w:eastAsia="zh-CN" w:bidi="en-US"/>
        </w:rPr>
        <w:t>于E采通系统上进行应标，截止时间2026年9月22日17:00，两个步骤完成后视为应标成功（严格按照时间节点执行，请投标方合理安排时间，提前完成相关工作）。</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w:t>
      </w:r>
      <w:r>
        <w:rPr>
          <w:rFonts w:hint="eastAsia" w:ascii="宋体" w:cs="宋体"/>
          <w:b/>
          <w:bCs/>
          <w:kern w:val="0"/>
          <w:sz w:val="24"/>
          <w:u w:val="single"/>
          <w:lang w:eastAsia="zh-CN" w:bidi="en-US"/>
        </w:rPr>
        <w:t>，</w:t>
      </w:r>
      <w:r>
        <w:rPr>
          <w:rFonts w:hint="eastAsia" w:ascii="宋体" w:cs="宋体"/>
          <w:b/>
          <w:bCs/>
          <w:kern w:val="0"/>
          <w:sz w:val="24"/>
          <w:u w:val="single"/>
          <w:lang w:bidi="en-US"/>
        </w:rPr>
        <w:t>工作人员</w:t>
      </w:r>
      <w:r>
        <w:rPr>
          <w:rFonts w:hint="eastAsia" w:ascii="宋体" w:cs="宋体"/>
          <w:b/>
          <w:bCs/>
          <w:kern w:val="0"/>
          <w:sz w:val="24"/>
          <w:u w:val="single"/>
          <w:lang w:val="en-US" w:eastAsia="zh-CN" w:bidi="en-US"/>
        </w:rPr>
        <w:t>通过邮箱发送</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2" w:firstLineChars="200"/>
        <w:jc w:val="left"/>
        <w:rPr>
          <w:rFonts w:hint="eastAsia" w:ascii="宋体" w:cs="宋体"/>
          <w:b/>
          <w:bCs/>
          <w:kern w:val="0"/>
          <w:sz w:val="24"/>
          <w:lang w:bidi="en-US"/>
        </w:rPr>
      </w:pPr>
      <w:r>
        <w:rPr>
          <w:rFonts w:hint="eastAsia" w:ascii="宋体" w:cs="宋体"/>
          <w:b/>
          <w:bCs/>
          <w:kern w:val="0"/>
          <w:sz w:val="24"/>
          <w:lang w:bidi="en-US"/>
        </w:rPr>
        <w:t>4.4投标保证金金额、形式和递交：</w:t>
      </w:r>
    </w:p>
    <w:p w14:paraId="1E4E85AD">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电汇或网银</w:t>
      </w:r>
    </w:p>
    <w:p w14:paraId="1E573276">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投标保证金可以不从基本户转出，但要求账户名和单位名称一致</w:t>
      </w:r>
    </w:p>
    <w:p w14:paraId="2199ADC4">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投标保证金的金额：</w:t>
      </w:r>
      <w:r>
        <w:rPr>
          <w:rFonts w:hint="eastAsia" w:ascii="宋体" w:cs="宋体"/>
          <w:kern w:val="0"/>
          <w:sz w:val="24"/>
          <w:lang w:val="en-US" w:eastAsia="zh-CN" w:bidi="en-US"/>
        </w:rPr>
        <w:t>5000</w:t>
      </w:r>
      <w:r>
        <w:rPr>
          <w:rFonts w:hint="eastAsia" w:ascii="宋体" w:cs="宋体"/>
          <w:kern w:val="0"/>
          <w:sz w:val="24"/>
          <w:lang w:bidi="en-US"/>
        </w:rPr>
        <w:t>元</w:t>
      </w:r>
    </w:p>
    <w:p w14:paraId="47E47F7C">
      <w:pPr>
        <w:widowControl/>
        <w:adjustRightInd w:val="0"/>
        <w:snapToGrid w:val="0"/>
        <w:spacing w:line="360" w:lineRule="auto"/>
        <w:ind w:firstLine="480" w:firstLineChars="200"/>
        <w:jc w:val="left"/>
        <w:rPr>
          <w:rFonts w:hint="eastAsia" w:ascii="宋体" w:cs="宋体"/>
          <w:kern w:val="0"/>
          <w:sz w:val="24"/>
          <w:highlight w:val="yellow"/>
          <w:lang w:bidi="en-US"/>
        </w:rPr>
      </w:pPr>
      <w:r>
        <w:rPr>
          <w:rFonts w:hint="eastAsia" w:ascii="宋体" w:cs="宋体"/>
          <w:kern w:val="0"/>
          <w:sz w:val="24"/>
          <w:lang w:bidi="en-US"/>
        </w:rPr>
        <w:t>投标保证金提交截止期限：</w:t>
      </w:r>
      <w:r>
        <w:rPr>
          <w:rFonts w:hint="eastAsia" w:ascii="宋体" w:cs="宋体"/>
          <w:kern w:val="0"/>
          <w:sz w:val="24"/>
          <w:highlight w:val="yellow"/>
          <w:lang w:bidi="en-US"/>
        </w:rPr>
        <w:t>202</w:t>
      </w:r>
      <w:r>
        <w:rPr>
          <w:rFonts w:hint="eastAsia" w:ascii="宋体" w:cs="宋体"/>
          <w:kern w:val="0"/>
          <w:sz w:val="24"/>
          <w:highlight w:val="yellow"/>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lang w:val="en-US" w:eastAsia="zh-CN" w:bidi="en-US"/>
        </w:rPr>
        <w:t>9</w:t>
      </w:r>
      <w:r>
        <w:rPr>
          <w:rFonts w:hint="eastAsia" w:ascii="宋体" w:cs="宋体"/>
          <w:kern w:val="0"/>
          <w:sz w:val="24"/>
          <w:highlight w:val="yellow"/>
          <w:lang w:bidi="en-US"/>
        </w:rPr>
        <w:t>月</w:t>
      </w:r>
      <w:r>
        <w:rPr>
          <w:rFonts w:hint="eastAsia" w:ascii="宋体" w:cs="宋体"/>
          <w:kern w:val="0"/>
          <w:sz w:val="24"/>
          <w:highlight w:val="yellow"/>
          <w:lang w:val="en-US" w:eastAsia="zh-CN" w:bidi="en-US"/>
        </w:rPr>
        <w:t>22</w:t>
      </w:r>
      <w:r>
        <w:rPr>
          <w:rFonts w:hint="eastAsia" w:ascii="宋体" w:cs="宋体"/>
          <w:kern w:val="0"/>
          <w:sz w:val="24"/>
          <w:highlight w:val="yellow"/>
          <w:lang w:bidi="en-US"/>
        </w:rPr>
        <w:t>日</w:t>
      </w:r>
      <w:r>
        <w:rPr>
          <w:rFonts w:hint="eastAsia" w:ascii="宋体" w:cs="宋体"/>
          <w:kern w:val="0"/>
          <w:sz w:val="24"/>
          <w:highlight w:val="yellow"/>
          <w:lang w:val="en-US" w:eastAsia="zh-CN" w:bidi="en-US"/>
        </w:rPr>
        <w:t>17</w:t>
      </w:r>
      <w:r>
        <w:rPr>
          <w:rFonts w:hint="eastAsia" w:ascii="宋体" w:cs="宋体"/>
          <w:kern w:val="0"/>
          <w:sz w:val="24"/>
          <w:highlight w:val="yellow"/>
          <w:lang w:bidi="en-US"/>
        </w:rPr>
        <w:t>:00时前</w:t>
      </w:r>
    </w:p>
    <w:p w14:paraId="2333038F">
      <w:pPr>
        <w:widowControl/>
        <w:adjustRightInd w:val="0"/>
        <w:snapToGrid w:val="0"/>
        <w:spacing w:line="360" w:lineRule="auto"/>
        <w:ind w:firstLine="480" w:firstLineChars="200"/>
        <w:jc w:val="left"/>
        <w:rPr>
          <w:rFonts w:hint="default" w:ascii="宋体" w:cs="宋体"/>
          <w:kern w:val="0"/>
          <w:sz w:val="24"/>
          <w:highlight w:val="yellow"/>
          <w:lang w:val="en-US" w:eastAsia="zh-CN" w:bidi="en-US"/>
        </w:rPr>
      </w:pPr>
      <w:r>
        <w:rPr>
          <w:rFonts w:hint="eastAsia" w:ascii="宋体" w:cs="宋体"/>
          <w:kern w:val="0"/>
          <w:sz w:val="24"/>
          <w:lang w:bidi="en-US"/>
        </w:rPr>
        <w:t>投标保证金提交：要求</w:t>
      </w:r>
      <w:r>
        <w:rPr>
          <w:rFonts w:hint="eastAsia" w:ascii="宋体" w:cs="宋体"/>
          <w:kern w:val="0"/>
          <w:sz w:val="24"/>
          <w:lang w:val="en-US" w:eastAsia="zh-CN" w:bidi="en-US"/>
        </w:rPr>
        <w:t>必须</w:t>
      </w:r>
      <w:r>
        <w:rPr>
          <w:rFonts w:hint="eastAsia" w:ascii="宋体" w:cs="宋体"/>
          <w:kern w:val="0"/>
          <w:sz w:val="24"/>
          <w:highlight w:val="yellow"/>
          <w:lang w:bidi="en-US"/>
        </w:rPr>
        <w:t>备注项目名称</w:t>
      </w:r>
      <w:r>
        <w:rPr>
          <w:rFonts w:hint="eastAsia" w:ascii="宋体" w:cs="宋体"/>
          <w:kern w:val="0"/>
          <w:sz w:val="24"/>
          <w:highlight w:val="yellow"/>
          <w:lang w:val="en-US" w:eastAsia="zh-CN" w:bidi="en-US"/>
        </w:rPr>
        <w:t>+公司名称</w:t>
      </w:r>
    </w:p>
    <w:p w14:paraId="58902BD2">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开户名称：</w:t>
      </w:r>
      <w:r>
        <w:rPr>
          <w:rFonts w:hint="eastAsia" w:ascii="宋体" w:cs="宋体"/>
          <w:kern w:val="0"/>
          <w:sz w:val="24"/>
          <w:lang w:eastAsia="zh-CN" w:bidi="en-US"/>
        </w:rPr>
        <w:t>中国重汽集团济宁商用车有限公司</w:t>
      </w:r>
    </w:p>
    <w:p w14:paraId="7069723F">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开户银行：</w:t>
      </w:r>
      <w:r>
        <w:rPr>
          <w:rFonts w:hint="eastAsia" w:ascii="宋体" w:cs="宋体"/>
          <w:kern w:val="0"/>
          <w:sz w:val="24"/>
          <w:lang w:eastAsia="zh-CN" w:bidi="en-US"/>
        </w:rPr>
        <w:t>中行济宁分行</w:t>
      </w:r>
    </w:p>
    <w:p w14:paraId="706F6E3B">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银行</w:t>
      </w:r>
      <w:r>
        <w:rPr>
          <w:rFonts w:hint="eastAsia" w:ascii="宋体" w:cs="宋体"/>
          <w:kern w:val="0"/>
          <w:sz w:val="24"/>
          <w:lang w:eastAsia="zh-CN" w:bidi="en-US"/>
        </w:rPr>
        <w:t>账号</w:t>
      </w:r>
      <w:r>
        <w:rPr>
          <w:rFonts w:hint="eastAsia" w:ascii="宋体" w:cs="宋体"/>
          <w:kern w:val="0"/>
          <w:sz w:val="24"/>
          <w:lang w:bidi="en-US"/>
        </w:rPr>
        <w:t>：</w:t>
      </w:r>
      <w:r>
        <w:rPr>
          <w:rFonts w:hint="eastAsia" w:ascii="宋体" w:cs="宋体"/>
          <w:kern w:val="0"/>
          <w:sz w:val="24"/>
          <w:lang w:eastAsia="zh-CN" w:bidi="en-US"/>
        </w:rPr>
        <w:t>2312 0272 5157</w:t>
      </w:r>
    </w:p>
    <w:p w14:paraId="2ACBBDEC">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开户行行号：</w:t>
      </w:r>
      <w:r>
        <w:rPr>
          <w:rFonts w:hint="eastAsia" w:ascii="宋体" w:cs="宋体"/>
          <w:kern w:val="0"/>
          <w:sz w:val="24"/>
          <w:lang w:eastAsia="zh-CN" w:bidi="en-US"/>
        </w:rPr>
        <w:t>104461000020</w:t>
      </w:r>
    </w:p>
    <w:p w14:paraId="17B6F02D">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highlight w:val="yellow"/>
          <w:lang w:bidi="en-US"/>
        </w:rPr>
      </w:pPr>
      <w:r>
        <w:rPr>
          <w:rFonts w:hint="eastAsia" w:ascii="宋体" w:cs="宋体"/>
          <w:kern w:val="0"/>
          <w:sz w:val="24"/>
          <w:lang w:bidi="en-US"/>
        </w:rPr>
        <w:t>5.1 投标文件递交的截止时间：</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29</w:t>
      </w:r>
      <w:r>
        <w:rPr>
          <w:rFonts w:hint="eastAsia" w:ascii="宋体" w:cs="宋体"/>
          <w:kern w:val="0"/>
          <w:sz w:val="24"/>
          <w:highlight w:val="yellow"/>
          <w:lang w:bidi="en-US"/>
        </w:rPr>
        <w:t>日</w:t>
      </w:r>
      <w:r>
        <w:rPr>
          <w:rFonts w:hint="eastAsia" w:ascii="宋体" w:cs="宋体"/>
          <w:kern w:val="0"/>
          <w:sz w:val="24"/>
          <w:highlight w:val="yellow"/>
          <w:lang w:val="en-US" w:eastAsia="zh-CN" w:bidi="en-US"/>
        </w:rPr>
        <w:t>上</w:t>
      </w:r>
      <w:r>
        <w:rPr>
          <w:rFonts w:hint="eastAsia" w:ascii="宋体" w:cs="宋体"/>
          <w:kern w:val="0"/>
          <w:sz w:val="24"/>
          <w:highlight w:val="yellow"/>
          <w:lang w:bidi="en-US"/>
        </w:rPr>
        <w:t>午</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点</w:t>
      </w:r>
      <w:r>
        <w:rPr>
          <w:rFonts w:hint="eastAsia" w:ascii="宋体" w:cs="宋体"/>
          <w:kern w:val="0"/>
          <w:sz w:val="24"/>
          <w:highlight w:val="yellow"/>
          <w:u w:val="single"/>
          <w:lang w:val="en-US" w:eastAsia="zh-CN" w:bidi="en-US"/>
        </w:rPr>
        <w:t>0</w:t>
      </w:r>
      <w:r>
        <w:rPr>
          <w:rFonts w:hint="eastAsia" w:ascii="宋体" w:cs="宋体"/>
          <w:kern w:val="0"/>
          <w:sz w:val="24"/>
          <w:highlight w:val="yellow"/>
          <w:u w:val="single"/>
          <w:lang w:bidi="en-US"/>
        </w:rPr>
        <w:t>0</w:t>
      </w:r>
      <w:r>
        <w:rPr>
          <w:rFonts w:hint="eastAsia" w:ascii="宋体" w:cs="宋体"/>
          <w:kern w:val="0"/>
          <w:sz w:val="24"/>
          <w:highlight w:val="yellow"/>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tabs>
          <w:tab w:val="left" w:pos="4139"/>
        </w:tabs>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val="en-US" w:eastAsia="zh-CN" w:bidi="en-US"/>
        </w:rPr>
        <w:t>商务</w:t>
      </w:r>
      <w:r>
        <w:rPr>
          <w:rFonts w:hint="eastAsia" w:ascii="宋体" w:cs="宋体"/>
          <w:kern w:val="0"/>
          <w:sz w:val="24"/>
          <w:lang w:bidi="en-US"/>
        </w:rPr>
        <w:t>联系人：</w:t>
      </w:r>
      <w:r>
        <w:rPr>
          <w:rFonts w:hint="eastAsia" w:ascii="宋体" w:cs="宋体"/>
          <w:kern w:val="0"/>
          <w:sz w:val="24"/>
          <w:lang w:val="en-US" w:eastAsia="zh-CN" w:bidi="en-US"/>
        </w:rPr>
        <w:t xml:space="preserve">陈鹤      </w:t>
      </w:r>
      <w:r>
        <w:rPr>
          <w:rFonts w:hint="eastAsia" w:ascii="宋体" w:cs="宋体"/>
          <w:kern w:val="0"/>
          <w:sz w:val="24"/>
          <w:lang w:val="en-US" w:eastAsia="zh-CN" w:bidi="en-US"/>
        </w:rPr>
        <w:tab/>
      </w:r>
    </w:p>
    <w:p w14:paraId="552E66EB">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联系方式：</w:t>
      </w:r>
      <w:r>
        <w:rPr>
          <w:rFonts w:hint="eastAsia" w:ascii="宋体" w:cs="宋体"/>
          <w:kern w:val="0"/>
          <w:sz w:val="24"/>
          <w:lang w:val="en-US" w:eastAsia="zh-CN" w:bidi="en-US"/>
        </w:rPr>
        <w:t>15269740161</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w:t>
      </w:r>
      <w:r>
        <w:rPr>
          <w:rFonts w:hint="eastAsia" w:ascii="宋体" w:cs="宋体"/>
          <w:kern w:val="0"/>
          <w:sz w:val="24"/>
          <w:lang w:bidi="en-US"/>
        </w:rPr>
        <w:fldChar w:fldCharType="begin"/>
      </w:r>
      <w:r>
        <w:rPr>
          <w:rFonts w:hint="eastAsia" w:ascii="宋体" w:cs="宋体"/>
          <w:kern w:val="0"/>
          <w:sz w:val="24"/>
          <w:lang w:bidi="en-US"/>
        </w:rPr>
        <w:instrText xml:space="preserve"> HYPERLINK "mailto:chenhe@sinotruk.com" </w:instrText>
      </w:r>
      <w:r>
        <w:rPr>
          <w:rFonts w:hint="eastAsia" w:ascii="宋体" w:cs="宋体"/>
          <w:kern w:val="0"/>
          <w:sz w:val="24"/>
          <w:lang w:bidi="en-US"/>
        </w:rPr>
        <w:fldChar w:fldCharType="separate"/>
      </w:r>
      <w:r>
        <w:rPr>
          <w:rStyle w:val="37"/>
          <w:rFonts w:hint="eastAsia" w:ascii="宋体" w:cs="宋体"/>
          <w:kern w:val="0"/>
          <w:sz w:val="24"/>
          <w:lang w:bidi="en-US"/>
        </w:rPr>
        <w:t>chenhe@sinotruk.com</w:t>
      </w:r>
      <w:r>
        <w:rPr>
          <w:rFonts w:hint="eastAsia" w:ascii="宋体" w:cs="宋体"/>
          <w:kern w:val="0"/>
          <w:sz w:val="24"/>
          <w:lang w:bidi="en-US"/>
        </w:rPr>
        <w:fldChar w:fldCharType="end"/>
      </w:r>
    </w:p>
    <w:p w14:paraId="61AFA991">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技术联系人：</w:t>
      </w:r>
      <w:r>
        <w:rPr>
          <w:rFonts w:hint="eastAsia" w:ascii="宋体" w:cs="宋体"/>
          <w:kern w:val="0"/>
          <w:sz w:val="24"/>
          <w:lang w:val="en-US" w:eastAsia="zh-CN" w:bidi="en-US"/>
        </w:rPr>
        <w:t>邓宏佩</w:t>
      </w:r>
    </w:p>
    <w:p w14:paraId="572D90C0">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电话：</w:t>
      </w:r>
      <w:r>
        <w:rPr>
          <w:rFonts w:hint="eastAsia" w:ascii="宋体" w:cs="宋体"/>
          <w:kern w:val="0"/>
          <w:sz w:val="24"/>
          <w:lang w:val="en-US" w:eastAsia="zh-CN" w:bidi="en-US"/>
        </w:rPr>
        <w:t>18366746349</w:t>
      </w:r>
    </w:p>
    <w:p w14:paraId="099B4BB8">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电子邮件：denghongpei@sinotruk.com</w:t>
      </w:r>
    </w:p>
    <w:p w14:paraId="3CF56D5F">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9</w:t>
      </w:r>
      <w:r>
        <w:rPr>
          <w:rFonts w:hint="eastAsia" w:ascii="宋体"/>
          <w:kern w:val="0"/>
          <w:sz w:val="24"/>
          <w:szCs w:val="21"/>
          <w:lang w:bidi="en-US"/>
        </w:rPr>
        <w:t>月</w:t>
      </w:r>
      <w:r>
        <w:rPr>
          <w:rFonts w:hint="eastAsia" w:ascii="宋体"/>
          <w:kern w:val="0"/>
          <w:sz w:val="24"/>
          <w:szCs w:val="21"/>
          <w:u w:val="single"/>
          <w:lang w:val="en-US" w:eastAsia="zh-CN" w:bidi="en-US"/>
        </w:rPr>
        <w:t>15</w:t>
      </w:r>
      <w:r>
        <w:rPr>
          <w:rFonts w:hint="eastAsia" w:ascii="宋体"/>
          <w:kern w:val="0"/>
          <w:sz w:val="24"/>
          <w:szCs w:val="21"/>
          <w:lang w:bidi="en-US"/>
        </w:rPr>
        <w:t>日</w:t>
      </w:r>
    </w:p>
    <w:p w14:paraId="1D69C63E">
      <w:pPr>
        <w:widowControl/>
        <w:adjustRightInd w:val="0"/>
        <w:snapToGrid w:val="0"/>
        <w:spacing w:line="360" w:lineRule="auto"/>
        <w:ind w:firstLine="482" w:firstLineChars="200"/>
        <w:jc w:val="left"/>
        <w:rPr>
          <w:rFonts w:hint="eastAsia" w:ascii="宋体"/>
          <w:b/>
          <w:bCs/>
          <w:color w:val="FF0000"/>
          <w:sz w:val="24"/>
          <w:lang w:val="en-US" w:eastAsia="zh-CN"/>
        </w:rPr>
      </w:pPr>
    </w:p>
    <w:p w14:paraId="65EBC39C">
      <w:pPr>
        <w:widowControl/>
        <w:adjustRightInd w:val="0"/>
        <w:snapToGrid w:val="0"/>
        <w:spacing w:line="360" w:lineRule="auto"/>
        <w:ind w:firstLine="482" w:firstLineChars="200"/>
        <w:jc w:val="left"/>
        <w:rPr>
          <w:rFonts w:hint="eastAsia" w:ascii="宋体"/>
          <w:b/>
          <w:bCs/>
          <w:color w:val="FF0000"/>
          <w:sz w:val="24"/>
          <w:lang w:val="en-US" w:eastAsia="zh-CN"/>
        </w:rPr>
      </w:pPr>
    </w:p>
    <w:p w14:paraId="70225612">
      <w:pPr>
        <w:widowControl/>
        <w:adjustRightInd w:val="0"/>
        <w:snapToGrid w:val="0"/>
        <w:spacing w:line="360" w:lineRule="auto"/>
        <w:ind w:firstLine="482" w:firstLineChars="200"/>
        <w:jc w:val="left"/>
        <w:rPr>
          <w:rFonts w:hint="eastAsia" w:ascii="宋体"/>
          <w:b/>
          <w:bCs/>
          <w:color w:val="FF0000"/>
          <w:sz w:val="24"/>
          <w:lang w:val="en-US" w:eastAsia="zh-CN"/>
        </w:rPr>
      </w:pPr>
      <w:r>
        <w:rPr>
          <w:rFonts w:hint="eastAsia" w:ascii="宋体"/>
          <w:b/>
          <w:bCs/>
          <w:color w:val="FF0000"/>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36010783">
      <w:pPr>
        <w:widowControl/>
        <w:adjustRightInd w:val="0"/>
        <w:snapToGrid w:val="0"/>
        <w:spacing w:line="312" w:lineRule="auto"/>
        <w:jc w:val="both"/>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w:t>
      </w:r>
      <w:r>
        <w:rPr>
          <w:rStyle w:val="42"/>
          <w:rFonts w:hint="eastAsia" w:ascii="宋体"/>
          <w:b/>
          <w:bCs/>
        </w:rPr>
        <w:t>包括但不限于资产负债表、利润表、现金流量表</w:t>
      </w:r>
      <w:r>
        <w:rPr>
          <w:rStyle w:val="42"/>
          <w:rFonts w:hint="eastAsia" w:ascii="宋体"/>
        </w:rPr>
        <w:t>。应提供中文版本的审计报告或财务报表。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3</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6"/>
        <w:gridCol w:w="1314"/>
        <w:gridCol w:w="2122"/>
        <w:gridCol w:w="1364"/>
        <w:gridCol w:w="1499"/>
        <w:gridCol w:w="1895"/>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117BE92D">
      <w:pPr>
        <w:autoSpaceDE w:val="0"/>
        <w:autoSpaceDN w:val="0"/>
        <w:rPr>
          <w:sz w:val="30"/>
          <w:szCs w:val="30"/>
        </w:rPr>
      </w:pPr>
      <w:r>
        <w:rPr>
          <w:rFonts w:hint="eastAsia"/>
          <w:sz w:val="30"/>
          <w:szCs w:val="30"/>
        </w:rPr>
        <w:t>附件</w:t>
      </w:r>
      <w:r>
        <w:rPr>
          <w:sz w:val="30"/>
          <w:szCs w:val="30"/>
        </w:rPr>
        <w:t>6</w:t>
      </w:r>
    </w:p>
    <w:p w14:paraId="403F26F0">
      <w:pPr>
        <w:jc w:val="center"/>
        <w:rPr>
          <w:b/>
          <w:bCs/>
          <w:sz w:val="28"/>
          <w:szCs w:val="36"/>
        </w:rPr>
      </w:pPr>
      <w:r>
        <w:rPr>
          <w:b/>
          <w:bCs/>
          <w:sz w:val="28"/>
          <w:szCs w:val="36"/>
        </w:rPr>
        <w:t>非生产供应商注册操作手册</w:t>
      </w:r>
    </w:p>
    <w:p w14:paraId="0DEC3FBD">
      <w:pPr>
        <w:pStyle w:val="15"/>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2"/>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23"/>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24"/>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5"/>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26"/>
                    <a:stretch>
                      <a:fillRect/>
                    </a:stretch>
                  </pic:blipFill>
                  <pic:spPr>
                    <a:xfrm>
                      <a:off x="0" y="0"/>
                      <a:ext cx="5760085" cy="2853375"/>
                    </a:xfrm>
                    <a:prstGeom prst="rect">
                      <a:avLst/>
                    </a:prstGeom>
                  </pic:spPr>
                </pic:pic>
              </a:graphicData>
            </a:graphic>
          </wp:inline>
        </w:drawing>
      </w:r>
    </w:p>
    <w:p w14:paraId="6954F6EA">
      <w:pPr>
        <w:numPr>
          <w:ilvl w:val="0"/>
          <w:numId w:val="5"/>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7"/>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5"/>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5"/>
        <w:numPr>
          <w:ilvl w:val="0"/>
          <w:numId w:val="6"/>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5"/>
        <w:numPr>
          <w:ilvl w:val="0"/>
          <w:numId w:val="6"/>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7"/>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28"/>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https://ecaitong.sinotruk.com:8012/</w:t>
      </w:r>
      <w:r>
        <w:rPr>
          <w:rStyle w:val="3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2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5"/>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30"/>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5"/>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5"/>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31"/>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32"/>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5"/>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33"/>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16CDEA">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Fonts w:hint="eastAsia"/>
        </w:rPr>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34"/>
                    <a:stretch>
                      <a:fillRect/>
                    </a:stretch>
                  </pic:blipFill>
                  <pic:spPr>
                    <a:xfrm>
                      <a:off x="0" y="0"/>
                      <a:ext cx="5760085" cy="1956600"/>
                    </a:xfrm>
                    <a:prstGeom prst="rect">
                      <a:avLst/>
                    </a:prstGeom>
                  </pic:spPr>
                </pic:pic>
              </a:graphicData>
            </a:graphic>
          </wp:inline>
        </w:drawing>
      </w:r>
    </w:p>
    <w:p w14:paraId="4761924D">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22033E7F">
      <w:pPr>
        <w:rPr>
          <w:rFonts w:hint="eastAsia"/>
        </w:rPr>
      </w:pPr>
    </w:p>
    <w:p w14:paraId="61352AD7">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5D1FC2D4">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FFFAE92">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6F7E8806">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0EAFFF3">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585782C">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C9A10D6">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pPr>
      <w:r>
        <w:rPr>
          <w:rFonts w:hint="eastAsia"/>
        </w:rPr>
        <w:t>第二章</w:t>
      </w:r>
      <w:r>
        <w:t xml:space="preserve"> </w:t>
      </w:r>
      <w:r>
        <w:rPr>
          <w:rFonts w:hint="eastAsia"/>
        </w:rPr>
        <w:t>投标人须知</w:t>
      </w:r>
      <w:bookmarkEnd w:id="4"/>
      <w:bookmarkEnd w:id="5"/>
    </w:p>
    <w:p w14:paraId="5230B8C2">
      <w:pPr>
        <w:pStyle w:val="3"/>
        <w:spacing w:before="156"/>
      </w:pPr>
      <w:bookmarkStart w:id="15" w:name="_Toc146698122"/>
      <w:bookmarkStart w:id="16" w:name="_Toc32482"/>
      <w:bookmarkStart w:id="17" w:name="_Toc14341836"/>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b w:val="0"/>
                <w:bCs/>
                <w:u w:val="none"/>
                <w:lang w:eastAsia="zh-CN"/>
              </w:rPr>
            </w:pPr>
            <w:r>
              <w:t>1.1项目名称：</w:t>
            </w:r>
            <w:r>
              <w:rPr>
                <w:rFonts w:hint="eastAsia" w:ascii="宋体" w:hAnsi="宋体" w:eastAsia="宋体"/>
                <w:b w:val="0"/>
                <w:bCs/>
                <w:sz w:val="24"/>
                <w:szCs w:val="24"/>
                <w:highlight w:val="none"/>
                <w:u w:val="none"/>
                <w:lang w:val="en-US" w:eastAsia="zh-CN"/>
              </w:rPr>
              <w:t>济宁商用车公司新增驾驶室吊装系统检修走台技改项目</w:t>
            </w:r>
          </w:p>
          <w:p w14:paraId="6891734C">
            <w:pPr>
              <w:spacing w:line="312" w:lineRule="auto"/>
              <w:rPr>
                <w:rFonts w:hint="default" w:ascii="Times New Roman" w:hAnsi="Times New Roman" w:eastAsia="宋体" w:cs="Times New Roman"/>
                <w:b w:val="0"/>
                <w:bCs/>
                <w:kern w:val="2"/>
                <w:sz w:val="24"/>
                <w:szCs w:val="24"/>
                <w:lang w:val="en-US" w:eastAsia="zh-CN" w:bidi="ar-SA"/>
              </w:rPr>
            </w:pPr>
            <w:r>
              <w:rPr>
                <w:b/>
                <w:sz w:val="24"/>
              </w:rPr>
              <w:t>1.2项目编号：</w:t>
            </w:r>
            <w:r>
              <w:rPr>
                <w:rFonts w:ascii="宋体" w:hAnsi="宋体" w:eastAsia="宋体" w:cs="宋体"/>
                <w:sz w:val="24"/>
                <w:szCs w:val="24"/>
              </w:rPr>
              <w:t>ZBGL2026090068</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u w:val="single"/>
                <w:lang w:val="en-US" w:eastAsia="zh-CN"/>
              </w:rPr>
              <w:t>40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C2A9F5F">
            <w:pPr>
              <w:spacing w:line="360" w:lineRule="auto"/>
              <w:ind w:firstLine="453" w:firstLineChars="189"/>
              <w:rPr>
                <w:rFonts w:hint="eastAsia" w:ascii="宋体" w:hAnsi="宋体" w:cs="宋体"/>
                <w:sz w:val="24"/>
              </w:rPr>
            </w:pPr>
            <w:r>
              <w:rPr>
                <w:rFonts w:hint="eastAsia" w:ascii="宋体" w:hAnsi="宋体" w:cs="宋体"/>
                <w:sz w:val="24"/>
              </w:rPr>
              <w:t>合同生效、设备全部到齐无质量问题后，卖方提交金额为合同含税价款</w:t>
            </w:r>
            <w:r>
              <w:rPr>
                <w:rFonts w:hint="eastAsia" w:ascii="宋体" w:hAnsi="宋体" w:cs="宋体"/>
                <w:sz w:val="24"/>
                <w:u w:val="single"/>
              </w:rPr>
              <w:t>30%</w:t>
            </w:r>
            <w:r>
              <w:rPr>
                <w:rFonts w:hint="eastAsia" w:ascii="宋体" w:hAnsi="宋体" w:cs="宋体"/>
                <w:sz w:val="24"/>
              </w:rPr>
              <w:t>的收据及合同全额</w:t>
            </w:r>
            <w:r>
              <w:rPr>
                <w:rFonts w:hint="eastAsia" w:ascii="宋体" w:hAnsi="宋体" w:cs="宋体"/>
                <w:sz w:val="24"/>
                <w:u w:val="single"/>
              </w:rPr>
              <w:t>30%</w:t>
            </w:r>
            <w:r>
              <w:rPr>
                <w:rFonts w:hint="eastAsia" w:ascii="宋体" w:hAnsi="宋体" w:cs="宋体"/>
                <w:sz w:val="24"/>
              </w:rPr>
              <w:t>增值税专用发票(税率为13%，正本一份，复印件二份)，经买方依照财务制度审核无误后支付。</w:t>
            </w:r>
          </w:p>
          <w:p w14:paraId="31F5E8BA">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60</w:t>
            </w:r>
            <w:r>
              <w:rPr>
                <w:rFonts w:hint="eastAsia" w:ascii="宋体" w:hAnsi="宋体" w:cs="宋体"/>
                <w:sz w:val="24"/>
              </w:rPr>
              <w:t>%的收据及合同全额</w:t>
            </w:r>
            <w:r>
              <w:rPr>
                <w:rFonts w:hint="eastAsia" w:ascii="宋体" w:hAnsi="宋体" w:cs="宋体"/>
                <w:sz w:val="24"/>
                <w:u w:val="single"/>
              </w:rPr>
              <w:t>70%</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590B764A">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rPr>
              <w:t>10%</w:t>
            </w:r>
            <w:r>
              <w:rPr>
                <w:rFonts w:hint="eastAsia" w:ascii="宋体" w:hAnsi="宋体" w:cs="宋体"/>
                <w:sz w:val="24"/>
              </w:rPr>
              <w:t>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yellow"/>
                <w:u w:val="single"/>
                <w:lang w:val="en-US" w:eastAsia="zh-CN"/>
              </w:rPr>
              <w:t>2026</w:t>
            </w:r>
            <w:r>
              <w:rPr>
                <w:rFonts w:hint="eastAsia" w:ascii="宋体" w:cs="宋体"/>
                <w:sz w:val="24"/>
                <w:highlight w:val="yellow"/>
              </w:rPr>
              <w:t>年</w:t>
            </w:r>
            <w:r>
              <w:rPr>
                <w:rFonts w:hint="eastAsia" w:ascii="宋体" w:cs="宋体"/>
                <w:sz w:val="24"/>
                <w:highlight w:val="yellow"/>
                <w:u w:val="single"/>
                <w:lang w:val="en-US" w:eastAsia="zh-CN"/>
              </w:rPr>
              <w:t>9</w:t>
            </w:r>
            <w:r>
              <w:rPr>
                <w:rFonts w:hint="eastAsia" w:ascii="宋体" w:cs="宋体"/>
                <w:sz w:val="24"/>
                <w:highlight w:val="yellow"/>
              </w:rPr>
              <w:t>月</w:t>
            </w:r>
            <w:r>
              <w:rPr>
                <w:rFonts w:hint="eastAsia" w:ascii="宋体" w:cs="宋体"/>
                <w:sz w:val="24"/>
                <w:highlight w:val="yellow"/>
                <w:u w:val="single"/>
                <w:lang w:val="en-US" w:eastAsia="zh-CN"/>
              </w:rPr>
              <w:t>24</w:t>
            </w:r>
            <w:r>
              <w:rPr>
                <w:rFonts w:hint="eastAsia" w:ascii="宋体" w:cs="宋体"/>
                <w:sz w:val="24"/>
                <w:highlight w:val="yellow"/>
              </w:rPr>
              <w:t>日</w:t>
            </w:r>
            <w:r>
              <w:rPr>
                <w:rFonts w:hint="eastAsia" w:ascii="宋体" w:cs="宋体"/>
                <w:sz w:val="24"/>
                <w:highlight w:val="yellow"/>
                <w:u w:val="single"/>
                <w:lang w:val="en-US" w:eastAsia="zh-CN"/>
              </w:rPr>
              <w:t>12：00</w:t>
            </w:r>
            <w:r>
              <w:rPr>
                <w:rFonts w:hint="eastAsia" w:ascii="宋体" w:cs="宋体"/>
                <w:sz w:val="24"/>
                <w:highlight w:val="yellow"/>
              </w:rPr>
              <w:t>时前</w:t>
            </w:r>
            <w:r>
              <w:rPr>
                <w:rFonts w:hint="eastAsia" w:ascii="宋体" w:cs="宋体"/>
                <w:sz w:val="24"/>
                <w:highlight w:val="none"/>
              </w:rPr>
              <w:t>；</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yellow"/>
                <w:u w:val="single"/>
                <w:lang w:val="en-US" w:eastAsia="zh-CN"/>
              </w:rPr>
              <w:t>2026</w:t>
            </w:r>
            <w:r>
              <w:rPr>
                <w:rFonts w:hint="eastAsia" w:ascii="宋体" w:cs="宋体"/>
                <w:sz w:val="24"/>
                <w:highlight w:val="yellow"/>
              </w:rPr>
              <w:t>年</w:t>
            </w:r>
            <w:r>
              <w:rPr>
                <w:rFonts w:hint="eastAsia" w:ascii="宋体" w:cs="宋体"/>
                <w:sz w:val="24"/>
                <w:highlight w:val="yellow"/>
                <w:u w:val="single"/>
                <w:lang w:val="en-US" w:eastAsia="zh-CN"/>
              </w:rPr>
              <w:t>9</w:t>
            </w:r>
            <w:r>
              <w:rPr>
                <w:rFonts w:hint="eastAsia" w:ascii="宋体" w:cs="宋体"/>
                <w:sz w:val="24"/>
                <w:highlight w:val="yellow"/>
              </w:rPr>
              <w:t>月</w:t>
            </w:r>
            <w:r>
              <w:rPr>
                <w:rFonts w:hint="eastAsia" w:ascii="宋体" w:cs="宋体"/>
                <w:sz w:val="24"/>
                <w:highlight w:val="yellow"/>
                <w:u w:val="single"/>
                <w:lang w:val="en-US" w:eastAsia="zh-CN"/>
              </w:rPr>
              <w:t>24</w:t>
            </w:r>
            <w:r>
              <w:rPr>
                <w:rFonts w:hint="eastAsia" w:ascii="宋体" w:cs="宋体"/>
                <w:sz w:val="24"/>
                <w:highlight w:val="yellow"/>
              </w:rPr>
              <w:t>日</w:t>
            </w:r>
            <w:r>
              <w:rPr>
                <w:rFonts w:hint="eastAsia" w:ascii="宋体" w:cs="宋体"/>
                <w:sz w:val="24"/>
                <w:highlight w:val="yellow"/>
                <w:u w:val="single"/>
                <w:lang w:val="en-US" w:eastAsia="zh-CN"/>
              </w:rPr>
              <w:t>17：00</w:t>
            </w:r>
            <w:r>
              <w:rPr>
                <w:rFonts w:hint="eastAsia" w:ascii="宋体" w:cs="宋体"/>
                <w:sz w:val="24"/>
                <w:highlight w:val="yellow"/>
              </w:rPr>
              <w:t>时前</w:t>
            </w:r>
            <w:r>
              <w:rPr>
                <w:rFonts w:hint="eastAsia" w:ascii="宋体" w:cs="宋体"/>
                <w:sz w:val="24"/>
                <w:highlight w:val="none"/>
              </w:rPr>
              <w:t>；</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48FB9AFA">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4ABE93B2">
            <w:pPr>
              <w:pStyle w:val="12"/>
              <w:rPr>
                <w:rFonts w:cs="宋体"/>
                <w:sz w:val="24"/>
                <w:highlight w:val="none"/>
              </w:rPr>
            </w:pPr>
            <w:r>
              <w:rPr>
                <w:rFonts w:hint="eastAsia" w:cs="宋体"/>
                <w:b/>
                <w:bCs/>
                <w:sz w:val="24"/>
                <w:highlight w:val="none"/>
              </w:rPr>
              <w:t>纸质版投标文件份数：</w:t>
            </w:r>
            <w:r>
              <w:rPr>
                <w:rFonts w:hint="eastAsia" w:ascii="宋体"/>
                <w:b/>
                <w:bCs/>
                <w:sz w:val="24"/>
                <w:highlight w:val="none"/>
              </w:rPr>
              <w:t>共</w:t>
            </w:r>
            <w:r>
              <w:rPr>
                <w:rFonts w:hint="eastAsia" w:ascii="宋体"/>
                <w:b/>
                <w:bCs/>
                <w:sz w:val="24"/>
                <w:highlight w:val="none"/>
                <w:lang w:val="en-US" w:eastAsia="zh-CN"/>
              </w:rPr>
              <w:t>四</w:t>
            </w:r>
            <w:r>
              <w:rPr>
                <w:rFonts w:hint="eastAsia" w:ascii="宋体"/>
                <w:b/>
                <w:bCs/>
                <w:sz w:val="24"/>
                <w:highlight w:val="none"/>
              </w:rPr>
              <w:t>个包封</w:t>
            </w:r>
          </w:p>
          <w:p w14:paraId="7990F99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1D62A508">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76B42490">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1E753774">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354F8C3B">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701E7287">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832395A">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391273ED">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highlight w:val="yellow"/>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highlight w:val="yellow"/>
                <w:u w:val="single"/>
              </w:rPr>
              <w:t>202</w:t>
            </w:r>
            <w:r>
              <w:rPr>
                <w:rFonts w:hint="eastAsia" w:ascii="宋体" w:cs="宋体"/>
                <w:b/>
                <w:bCs/>
                <w:sz w:val="24"/>
                <w:highlight w:val="yellow"/>
                <w:u w:val="single"/>
                <w:lang w:val="en-US" w:eastAsia="zh-CN"/>
              </w:rPr>
              <w:t>6</w:t>
            </w:r>
            <w:r>
              <w:rPr>
                <w:rFonts w:hint="eastAsia" w:ascii="宋体" w:cs="宋体"/>
                <w:b/>
                <w:bCs/>
                <w:sz w:val="24"/>
                <w:highlight w:val="yellow"/>
                <w:u w:val="single"/>
              </w:rPr>
              <w:t>年</w:t>
            </w:r>
            <w:r>
              <w:rPr>
                <w:rFonts w:hint="eastAsia" w:ascii="宋体" w:cs="宋体"/>
                <w:b/>
                <w:bCs/>
                <w:sz w:val="24"/>
                <w:highlight w:val="yellow"/>
                <w:u w:val="single"/>
                <w:lang w:val="en-US" w:eastAsia="zh-CN"/>
              </w:rPr>
              <w:t>9</w:t>
            </w:r>
            <w:r>
              <w:rPr>
                <w:rFonts w:hint="eastAsia" w:ascii="宋体" w:cs="宋体"/>
                <w:b/>
                <w:bCs/>
                <w:sz w:val="24"/>
                <w:highlight w:val="yellow"/>
                <w:u w:val="single"/>
              </w:rPr>
              <w:t>月</w:t>
            </w:r>
            <w:r>
              <w:rPr>
                <w:rFonts w:hint="eastAsia" w:ascii="宋体" w:cs="宋体"/>
                <w:b/>
                <w:bCs/>
                <w:sz w:val="24"/>
                <w:highlight w:val="yellow"/>
                <w:u w:val="single"/>
                <w:lang w:val="en-US" w:eastAsia="zh-CN"/>
              </w:rPr>
              <w:t>22</w:t>
            </w:r>
            <w:r>
              <w:rPr>
                <w:rFonts w:hint="eastAsia" w:ascii="宋体" w:cs="宋体"/>
                <w:b/>
                <w:bCs/>
                <w:sz w:val="24"/>
                <w:highlight w:val="yellow"/>
                <w:u w:val="single"/>
              </w:rPr>
              <w:t>日1</w:t>
            </w:r>
            <w:r>
              <w:rPr>
                <w:rFonts w:hint="eastAsia" w:ascii="宋体" w:cs="宋体"/>
                <w:b/>
                <w:bCs/>
                <w:sz w:val="24"/>
                <w:highlight w:val="yellow"/>
                <w:u w:val="single"/>
                <w:lang w:val="en-US" w:eastAsia="zh-CN"/>
              </w:rPr>
              <w:t>7</w:t>
            </w:r>
            <w:r>
              <w:rPr>
                <w:rFonts w:hint="eastAsia" w:ascii="宋体" w:cs="宋体"/>
                <w:b/>
                <w:bCs/>
                <w:sz w:val="24"/>
                <w:highlight w:val="yellow"/>
                <w:u w:val="single"/>
              </w:rPr>
              <w:t>:</w:t>
            </w:r>
            <w:r>
              <w:rPr>
                <w:rFonts w:ascii="宋体" w:cs="宋体"/>
                <w:b/>
                <w:bCs/>
                <w:sz w:val="24"/>
                <w:highlight w:val="yellow"/>
                <w:u w:val="single"/>
              </w:rPr>
              <w:t>00</w:t>
            </w:r>
            <w:r>
              <w:rPr>
                <w:rFonts w:hint="eastAsia" w:ascii="宋体" w:cs="宋体"/>
                <w:b/>
                <w:bCs/>
                <w:sz w:val="24"/>
                <w:highlight w:val="yellow"/>
                <w:u w:val="single"/>
              </w:rPr>
              <w:t>前</w:t>
            </w:r>
            <w:r>
              <w:rPr>
                <w:rFonts w:hint="eastAsia" w:ascii="宋体" w:cs="宋体"/>
                <w:b/>
                <w:bCs/>
                <w:sz w:val="24"/>
                <w:highlight w:val="yellow"/>
                <w:u w:val="single"/>
                <w:lang w:eastAsia="zh-CN"/>
              </w:rPr>
              <w:t>（</w:t>
            </w:r>
            <w:r>
              <w:rPr>
                <w:rFonts w:hint="eastAsia" w:ascii="宋体" w:cs="宋体"/>
                <w:b/>
                <w:bCs/>
                <w:sz w:val="24"/>
                <w:highlight w:val="yellow"/>
                <w:u w:val="single"/>
                <w:lang w:val="en-US" w:eastAsia="zh-CN"/>
              </w:rPr>
              <w:t>并提供转账证明至招标方</w:t>
            </w:r>
            <w:r>
              <w:rPr>
                <w:rFonts w:hint="eastAsia" w:ascii="宋体" w:cs="宋体"/>
                <w:b/>
                <w:bCs/>
                <w:sz w:val="24"/>
                <w:highlight w:val="yellow"/>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9</w:t>
            </w:r>
            <w:r>
              <w:rPr>
                <w:rFonts w:hint="eastAsia" w:ascii="宋体" w:cs="宋体"/>
                <w:b/>
                <w:bCs/>
                <w:sz w:val="24"/>
                <w:u w:val="single"/>
              </w:rPr>
              <w:t>月</w:t>
            </w:r>
            <w:r>
              <w:rPr>
                <w:rFonts w:hint="eastAsia" w:ascii="宋体" w:cs="宋体"/>
                <w:b/>
                <w:bCs/>
                <w:sz w:val="24"/>
                <w:u w:val="single"/>
                <w:lang w:val="en-US" w:eastAsia="zh-CN"/>
              </w:rPr>
              <w:t>29</w:t>
            </w:r>
            <w:r>
              <w:rPr>
                <w:rFonts w:hint="eastAsia" w:ascii="宋体" w:cs="宋体"/>
                <w:b/>
                <w:bCs/>
                <w:sz w:val="24"/>
                <w:u w:val="single"/>
              </w:rPr>
              <w:t>日</w:t>
            </w:r>
            <w:r>
              <w:rPr>
                <w:rFonts w:hint="eastAsia" w:ascii="宋体" w:cs="宋体"/>
                <w:b/>
                <w:bCs/>
                <w:sz w:val="24"/>
                <w:u w:val="single"/>
                <w:lang w:val="en-US" w:eastAsia="zh-CN"/>
              </w:rPr>
              <w:t>9：00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highlight w:val="yellow"/>
                <w:u w:val="single"/>
                <w:lang w:val="en-US" w:eastAsia="zh-CN"/>
              </w:rPr>
              <w:t>2026</w:t>
            </w:r>
            <w:r>
              <w:rPr>
                <w:rFonts w:hint="eastAsia" w:ascii="宋体" w:cs="宋体"/>
                <w:b/>
                <w:bCs/>
                <w:sz w:val="24"/>
                <w:highlight w:val="yellow"/>
                <w:u w:val="single"/>
              </w:rPr>
              <w:t>年</w:t>
            </w:r>
            <w:r>
              <w:rPr>
                <w:rFonts w:hint="eastAsia" w:ascii="宋体" w:cs="宋体"/>
                <w:b/>
                <w:bCs/>
                <w:sz w:val="24"/>
                <w:highlight w:val="yellow"/>
                <w:u w:val="single"/>
                <w:lang w:val="en-US" w:eastAsia="zh-CN"/>
              </w:rPr>
              <w:t>9</w:t>
            </w:r>
            <w:r>
              <w:rPr>
                <w:rFonts w:hint="eastAsia" w:ascii="宋体" w:cs="宋体"/>
                <w:b/>
                <w:bCs/>
                <w:sz w:val="24"/>
                <w:highlight w:val="yellow"/>
                <w:u w:val="single"/>
              </w:rPr>
              <w:t>月</w:t>
            </w:r>
            <w:r>
              <w:rPr>
                <w:rFonts w:hint="eastAsia" w:ascii="宋体" w:cs="宋体"/>
                <w:b/>
                <w:bCs/>
                <w:sz w:val="24"/>
                <w:highlight w:val="yellow"/>
                <w:u w:val="single"/>
                <w:lang w:val="en-US" w:eastAsia="zh-CN"/>
              </w:rPr>
              <w:t>29</w:t>
            </w:r>
            <w:r>
              <w:rPr>
                <w:rFonts w:hint="eastAsia" w:ascii="宋体" w:cs="宋体"/>
                <w:b/>
                <w:bCs/>
                <w:sz w:val="24"/>
                <w:highlight w:val="yellow"/>
                <w:u w:val="single"/>
              </w:rPr>
              <w:t>日</w:t>
            </w:r>
            <w:r>
              <w:rPr>
                <w:rFonts w:hint="eastAsia" w:ascii="宋体" w:cs="宋体"/>
                <w:b/>
                <w:bCs/>
                <w:sz w:val="24"/>
                <w:highlight w:val="yellow"/>
                <w:u w:val="single"/>
                <w:lang w:val="en-US" w:eastAsia="zh-CN"/>
              </w:rPr>
              <w:t>9：00</w:t>
            </w:r>
            <w:r>
              <w:rPr>
                <w:rFonts w:hint="eastAsia" w:ascii="宋体"/>
                <w:b/>
                <w:sz w:val="24"/>
                <w:highlight w:val="yellow"/>
                <w:u w:val="single"/>
              </w:rPr>
              <w:t>（北京时间）</w:t>
            </w:r>
            <w:r>
              <w:rPr>
                <w:rFonts w:hint="eastAsia"/>
                <w:b/>
                <w:bCs/>
                <w:kern w:val="0"/>
                <w:sz w:val="24"/>
                <w:highlight w:val="yellow"/>
                <w:u w:val="single"/>
                <w:lang w:eastAsia="zh-CN"/>
              </w:rPr>
              <w:t>（</w:t>
            </w:r>
            <w:r>
              <w:rPr>
                <w:rFonts w:hint="eastAsia"/>
                <w:b/>
                <w:bCs/>
                <w:kern w:val="0"/>
                <w:sz w:val="24"/>
                <w:highlight w:val="yellow"/>
                <w:u w:val="single"/>
                <w:lang w:val="en-US" w:eastAsia="zh-CN"/>
              </w:rPr>
              <w:t>若遇特殊情况，以招标人通知为准</w:t>
            </w:r>
            <w:r>
              <w:rPr>
                <w:rFonts w:hint="eastAsia"/>
                <w:b/>
                <w:bCs/>
                <w:kern w:val="0"/>
                <w:sz w:val="24"/>
                <w:highlight w:val="yellow"/>
                <w:u w:val="single"/>
                <w:lang w:eastAsia="zh-CN"/>
              </w:rPr>
              <w:t>）</w:t>
            </w:r>
            <w:r>
              <w:rPr>
                <w:rFonts w:hint="eastAsia"/>
                <w:b/>
                <w:bCs/>
                <w:kern w:val="0"/>
                <w:sz w:val="24"/>
                <w:highlight w:val="yellow"/>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hAnsi="宋体" w:cs="宋体"/>
                <w:sz w:val="24"/>
                <w:lang w:eastAsia="zh-CN"/>
              </w:rPr>
              <w:t>（</w:t>
            </w:r>
            <w:r>
              <w:rPr>
                <w:rFonts w:hint="eastAsia" w:ascii="宋体" w:hAnsi="宋体" w:cs="宋体"/>
                <w:b/>
                <w:bCs/>
                <w:sz w:val="24"/>
                <w:highlight w:val="yellow"/>
                <w:u w:val="single"/>
                <w:lang w:val="en-US" w:eastAsia="zh-CN"/>
              </w:rPr>
              <w:t>应标截止时间：</w:t>
            </w:r>
            <w:r>
              <w:rPr>
                <w:rFonts w:hint="eastAsia" w:ascii="宋体" w:hAnsi="宋体" w:cs="宋体"/>
                <w:b/>
                <w:bCs/>
                <w:sz w:val="24"/>
                <w:highlight w:val="yellow"/>
                <w:u w:val="single"/>
              </w:rPr>
              <w:t>2026年</w:t>
            </w:r>
            <w:r>
              <w:rPr>
                <w:rFonts w:hint="eastAsia" w:ascii="宋体" w:hAnsi="宋体" w:cs="宋体"/>
                <w:b/>
                <w:bCs/>
                <w:sz w:val="24"/>
                <w:highlight w:val="yellow"/>
                <w:u w:val="single"/>
                <w:lang w:val="en-US" w:eastAsia="zh-CN"/>
              </w:rPr>
              <w:t>9</w:t>
            </w:r>
            <w:r>
              <w:rPr>
                <w:rFonts w:hint="eastAsia" w:ascii="宋体" w:hAnsi="宋体" w:cs="宋体"/>
                <w:b/>
                <w:bCs/>
                <w:sz w:val="24"/>
                <w:highlight w:val="yellow"/>
                <w:u w:val="single"/>
              </w:rPr>
              <w:t>月</w:t>
            </w:r>
            <w:r>
              <w:rPr>
                <w:rFonts w:hint="eastAsia" w:ascii="宋体" w:hAnsi="宋体" w:cs="宋体"/>
                <w:b/>
                <w:bCs/>
                <w:sz w:val="24"/>
                <w:highlight w:val="yellow"/>
                <w:u w:val="single"/>
                <w:lang w:val="en-US" w:eastAsia="zh-CN"/>
              </w:rPr>
              <w:t>22</w:t>
            </w:r>
            <w:r>
              <w:rPr>
                <w:rFonts w:hint="eastAsia" w:ascii="宋体" w:hAnsi="宋体" w:cs="宋体"/>
                <w:b/>
                <w:bCs/>
                <w:sz w:val="24"/>
                <w:highlight w:val="yellow"/>
                <w:u w:val="single"/>
              </w:rPr>
              <w:t>日17:00</w:t>
            </w:r>
            <w:r>
              <w:rPr>
                <w:rFonts w:hint="eastAsia" w:ascii="宋体" w:hAnsi="宋体" w:cs="宋体"/>
                <w:sz w:val="24"/>
                <w:highlight w:val="yellow"/>
                <w:lang w:eastAsia="zh-CN"/>
              </w:rPr>
              <w:t>）</w:t>
            </w:r>
            <w:r>
              <w:rPr>
                <w:rFonts w:hint="eastAsia" w:ascii="宋体" w:hAnsi="宋体" w:cs="宋体"/>
                <w:sz w:val="24"/>
              </w:rPr>
              <w:t>，进入“供应商投标”环节</w:t>
            </w:r>
            <w:r>
              <w:rPr>
                <w:rFonts w:hint="eastAsia" w:ascii="宋体" w:hAnsi="宋体" w:cs="宋体"/>
                <w:sz w:val="24"/>
                <w:lang w:eastAsia="zh-CN"/>
              </w:rPr>
              <w:t>（</w:t>
            </w:r>
            <w:r>
              <w:rPr>
                <w:rFonts w:hint="eastAsia" w:ascii="宋体" w:hAnsi="宋体" w:cs="宋体"/>
                <w:b/>
                <w:bCs/>
                <w:sz w:val="24"/>
                <w:highlight w:val="yellow"/>
                <w:u w:val="single"/>
                <w:lang w:val="en-US" w:eastAsia="zh-CN"/>
              </w:rPr>
              <w:t>投标截止时间：</w:t>
            </w:r>
            <w:r>
              <w:rPr>
                <w:rFonts w:hint="eastAsia" w:ascii="宋体" w:cs="宋体"/>
                <w:b/>
                <w:bCs/>
                <w:sz w:val="24"/>
                <w:highlight w:val="yellow"/>
                <w:u w:val="single"/>
                <w:lang w:val="en-US" w:eastAsia="zh-CN"/>
              </w:rPr>
              <w:t>2026</w:t>
            </w:r>
            <w:r>
              <w:rPr>
                <w:rFonts w:hint="eastAsia" w:ascii="宋体" w:cs="宋体"/>
                <w:b/>
                <w:bCs/>
                <w:sz w:val="24"/>
                <w:highlight w:val="yellow"/>
                <w:u w:val="single"/>
              </w:rPr>
              <w:t>年</w:t>
            </w:r>
            <w:r>
              <w:rPr>
                <w:rFonts w:hint="eastAsia" w:ascii="宋体" w:cs="宋体"/>
                <w:b/>
                <w:bCs/>
                <w:sz w:val="24"/>
                <w:highlight w:val="yellow"/>
                <w:u w:val="single"/>
                <w:lang w:val="en-US" w:eastAsia="zh-CN"/>
              </w:rPr>
              <w:t>9</w:t>
            </w:r>
            <w:r>
              <w:rPr>
                <w:rFonts w:hint="eastAsia" w:ascii="宋体" w:cs="宋体"/>
                <w:b/>
                <w:bCs/>
                <w:sz w:val="24"/>
                <w:highlight w:val="yellow"/>
                <w:u w:val="single"/>
              </w:rPr>
              <w:t>月</w:t>
            </w:r>
            <w:r>
              <w:rPr>
                <w:rFonts w:hint="eastAsia" w:ascii="宋体" w:cs="宋体"/>
                <w:b/>
                <w:bCs/>
                <w:sz w:val="24"/>
                <w:highlight w:val="yellow"/>
                <w:u w:val="single"/>
                <w:lang w:val="en-US" w:eastAsia="zh-CN"/>
              </w:rPr>
              <w:t>28</w:t>
            </w:r>
            <w:r>
              <w:rPr>
                <w:rFonts w:hint="eastAsia" w:ascii="宋体" w:cs="宋体"/>
                <w:b/>
                <w:bCs/>
                <w:sz w:val="24"/>
                <w:highlight w:val="yellow"/>
                <w:u w:val="single"/>
              </w:rPr>
              <w:t>日</w:t>
            </w:r>
            <w:r>
              <w:rPr>
                <w:rFonts w:hint="eastAsia" w:ascii="宋体" w:cs="宋体"/>
                <w:b/>
                <w:bCs/>
                <w:sz w:val="24"/>
                <w:highlight w:val="yellow"/>
                <w:u w:val="single"/>
                <w:lang w:val="en-US" w:eastAsia="zh-CN"/>
              </w:rPr>
              <w:t>17</w:t>
            </w:r>
            <w:bookmarkStart w:id="227" w:name="_GoBack"/>
            <w:bookmarkEnd w:id="227"/>
            <w:r>
              <w:rPr>
                <w:rFonts w:hint="eastAsia" w:ascii="宋体" w:cs="宋体"/>
                <w:b/>
                <w:bCs/>
                <w:sz w:val="24"/>
                <w:highlight w:val="yellow"/>
                <w:u w:val="single"/>
                <w:lang w:val="en-US" w:eastAsia="zh-CN"/>
              </w:rPr>
              <w:t>：00</w:t>
            </w:r>
            <w:r>
              <w:rPr>
                <w:rFonts w:hint="eastAsia" w:ascii="宋体" w:hAnsi="宋体" w:cs="宋体"/>
                <w:sz w:val="24"/>
                <w:lang w:eastAsia="zh-CN"/>
              </w:rPr>
              <w:t>）</w:t>
            </w:r>
            <w:r>
              <w:rPr>
                <w:rFonts w:hint="eastAsia" w:ascii="宋体" w:hAnsi="宋体" w:cs="宋体"/>
                <w:sz w:val="24"/>
              </w:rPr>
              <w:t>，上传投标文件（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39ACC34A">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邓宏佩</w:t>
            </w:r>
          </w:p>
          <w:p w14:paraId="34D1D43E">
            <w:pPr>
              <w:widowControl/>
              <w:spacing w:line="312" w:lineRule="auto"/>
              <w:jc w:val="left"/>
              <w:rPr>
                <w:rFonts w:ascii="宋体" w:cs="宋体"/>
                <w:kern w:val="0"/>
                <w:sz w:val="24"/>
                <w:highlight w:val="none"/>
              </w:rPr>
            </w:pPr>
            <w:r>
              <w:rPr>
                <w:rFonts w:hint="eastAsia" w:ascii="宋体" w:cs="宋体"/>
                <w:kern w:val="0"/>
                <w:sz w:val="24"/>
                <w:highlight w:val="none"/>
              </w:rPr>
              <w:t>电话：19153710692</w:t>
            </w:r>
          </w:p>
          <w:p w14:paraId="01E5138F">
            <w:pPr>
              <w:spacing w:line="312" w:lineRule="auto"/>
              <w:rPr>
                <w:rFonts w:ascii="宋体" w:cs="宋体"/>
                <w:sz w:val="24"/>
              </w:rPr>
            </w:pPr>
            <w:r>
              <w:rPr>
                <w:rFonts w:hint="eastAsia" w:ascii="宋体" w:cs="宋体"/>
                <w:kern w:val="0"/>
                <w:sz w:val="24"/>
                <w:highlight w:val="none"/>
              </w:rPr>
              <w:t>电子邮件：</w:t>
            </w:r>
            <w:r>
              <w:rPr>
                <w:rFonts w:hint="eastAsia" w:ascii="宋体" w:hAnsi="Times New Roman" w:cs="宋体"/>
                <w:kern w:val="0"/>
                <w:sz w:val="24"/>
                <w:highlight w:val="none"/>
                <w:lang w:val="en-US" w:eastAsia="zh-CN"/>
              </w:rPr>
              <w:t>denghongpei@sinotruk.com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11624"/>
      <w:bookmarkStart w:id="20" w:name="_Toc22025"/>
      <w:bookmarkStart w:id="21" w:name="_Toc31044"/>
      <w:bookmarkStart w:id="22" w:name="_Toc345336300"/>
      <w:bookmarkStart w:id="23" w:name="_Toc12285"/>
      <w:bookmarkStart w:id="24" w:name="_Toc146698123"/>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52332854"/>
      <w:bookmarkStart w:id="28" w:name="_Toc346372880"/>
      <w:bookmarkStart w:id="29" w:name="_Toc346306733"/>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6465"/>
      <w:bookmarkStart w:id="31" w:name="_Toc27707"/>
      <w:bookmarkStart w:id="32" w:name="_Toc146698124"/>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35AE5CEA">
      <w:pPr>
        <w:spacing w:line="360" w:lineRule="auto"/>
        <w:ind w:firstLine="480" w:firstLineChars="200"/>
        <w:rPr>
          <w:rFonts w:hint="eastAsia" w:ascii="宋体" w:hAnsi="Times New Roman" w:cs="Times New Roman"/>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26307"/>
      <w:bookmarkStart w:id="34" w:name="_Toc146698125"/>
      <w:bookmarkStart w:id="35" w:name="_Toc21963"/>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8"/>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、202</w:t>
      </w:r>
      <w:r>
        <w:rPr>
          <w:rFonts w:hint="eastAsia" w:ascii="宋体" w:hAnsi="宋体" w:cs="宋体"/>
          <w:sz w:val="24"/>
          <w:highlight w:val="none"/>
          <w:lang w:val="en-US" w:eastAsia="zh-CN"/>
        </w:rPr>
        <w:t>5</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3"/>
        <w:numPr>
          <w:ilvl w:val="2"/>
          <w:numId w:val="8"/>
        </w:numPr>
        <w:spacing w:line="312" w:lineRule="auto"/>
        <w:ind w:left="0" w:firstLine="480"/>
        <w:rPr>
          <w:rFonts w:hint="eastAsia" w:ascii="宋体" w:hAnsi="宋体" w:cs="宋体"/>
          <w:b/>
          <w:bCs/>
          <w:sz w:val="24"/>
          <w:highlight w:val="none"/>
        </w:rPr>
      </w:pPr>
      <w:r>
        <w:rPr>
          <w:rFonts w:hint="eastAsia"/>
          <w:b/>
          <w:bCs/>
          <w:kern w:val="0"/>
          <w:sz w:val="24"/>
          <w:szCs w:val="21"/>
          <w:lang w:val="en-US" w:eastAsia="zh-CN" w:bidi="en-US"/>
        </w:rPr>
        <w:t>投标保证金银行汇款证明</w:t>
      </w:r>
    </w:p>
    <w:p w14:paraId="60B2AD51">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9"/>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10"/>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11"/>
        </w:numPr>
        <w:spacing w:line="360" w:lineRule="auto"/>
        <w:ind w:left="0" w:firstLine="480"/>
        <w:rPr>
          <w:rStyle w:val="42"/>
        </w:rPr>
      </w:pPr>
      <w:r>
        <w:rPr>
          <w:rStyle w:val="42"/>
          <w:rFonts w:hint="eastAsia" w:ascii="宋体"/>
          <w:sz w:val="24"/>
        </w:rPr>
        <w:t>投标人在递交投标文件的同时，</w:t>
      </w:r>
      <w:r>
        <w:rPr>
          <w:rStyle w:val="42"/>
          <w:rFonts w:hint="eastAsia" w:ascii="宋体"/>
          <w:b/>
          <w:bCs/>
          <w:sz w:val="24"/>
        </w:rPr>
        <w:t>应按投标人须知前附表第1</w:t>
      </w:r>
      <w:r>
        <w:rPr>
          <w:rStyle w:val="42"/>
          <w:rFonts w:ascii="宋体"/>
          <w:b/>
          <w:bCs/>
          <w:sz w:val="24"/>
        </w:rPr>
        <w:t>0</w:t>
      </w:r>
      <w:r>
        <w:rPr>
          <w:rStyle w:val="42"/>
          <w:rFonts w:hint="eastAsia" w:ascii="宋体"/>
          <w:b/>
          <w:bCs/>
          <w:sz w:val="24"/>
        </w:rPr>
        <w:t>项规定的金额和形式递交投标保证金，并作为其投标文件的组成部分。</w:t>
      </w:r>
      <w:r>
        <w:rPr>
          <w:rStyle w:val="42"/>
          <w:rFonts w:hint="eastAsia" w:ascii="宋体"/>
          <w:sz w:val="24"/>
        </w:rPr>
        <w:t>未按本招标文件规定提交投标保证金的，按无效投标处理。</w:t>
      </w:r>
    </w:p>
    <w:p w14:paraId="5473A2BB">
      <w:pPr>
        <w:pStyle w:val="43"/>
        <w:numPr>
          <w:ilvl w:val="0"/>
          <w:numId w:val="11"/>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11"/>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12"/>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12"/>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12"/>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12"/>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12"/>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12"/>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12"/>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12"/>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12"/>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12"/>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12"/>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146698126"/>
      <w:bookmarkStart w:id="38" w:name="_Toc4014"/>
      <w:bookmarkStart w:id="39" w:name="_Toc20367"/>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46306750"/>
      <w:bookmarkStart w:id="41" w:name="_Toc352332871"/>
      <w:bookmarkStart w:id="42" w:name="_Toc346372897"/>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54260677">
      <w:pPr>
        <w:pStyle w:val="3"/>
        <w:spacing w:before="156"/>
      </w:pPr>
      <w:bookmarkStart w:id="43" w:name="_Toc1085"/>
      <w:bookmarkStart w:id="44" w:name="_Toc146698127"/>
      <w:bookmarkStart w:id="45" w:name="_Toc6510"/>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bookmarkStart w:id="46" w:name="_Toc22902"/>
      <w:bookmarkStart w:id="47" w:name="_Toc21105"/>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3"/>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3"/>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3"/>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3"/>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3"/>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3"/>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3"/>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3"/>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3"/>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3"/>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212369528"/>
      <w:bookmarkStart w:id="50" w:name="_Toc926781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8108"/>
      <w:bookmarkStart w:id="54" w:name="_Toc14669812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5892"/>
      <w:bookmarkStart w:id="57" w:name="_Toc146698129"/>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14341844"/>
      <w:bookmarkStart w:id="60" w:name="_Toc29377"/>
      <w:bookmarkStart w:id="61" w:name="_Toc146698130"/>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906"/>
      <w:bookmarkStart w:id="64" w:name="_Toc146698131"/>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bookmarkEnd w:id="46"/>
    <w:bookmarkEnd w:id="47"/>
    <w:p w14:paraId="20E682C5">
      <w:pPr>
        <w:pStyle w:val="2"/>
        <w:numPr>
          <w:ilvl w:val="0"/>
          <w:numId w:val="14"/>
        </w:numPr>
        <w:jc w:val="center"/>
        <w:rPr>
          <w:rFonts w:hint="eastAsia"/>
        </w:rPr>
      </w:pPr>
      <w:bookmarkStart w:id="65" w:name="_Toc474"/>
      <w:r>
        <w:rPr>
          <w:rFonts w:hint="eastAsia"/>
        </w:rPr>
        <w:t>评分方法及标准</w:t>
      </w:r>
    </w:p>
    <w:p w14:paraId="0DD58FC9">
      <w:pPr>
        <w:pStyle w:val="73"/>
        <w:spacing w:before="0" w:after="0"/>
        <w:jc w:val="center"/>
        <w:rPr>
          <w:rFonts w:ascii="宋体"/>
          <w:sz w:val="24"/>
        </w:rPr>
      </w:pPr>
      <w:r>
        <w:rPr>
          <w:rStyle w:val="42"/>
          <w:rFonts w:ascii="宋体" w:hAnsi="宋体"/>
          <w:sz w:val="24"/>
        </w:rPr>
        <w:t>评分细则</w:t>
      </w:r>
    </w:p>
    <w:p w14:paraId="08B03CA3">
      <w:pPr>
        <w:numPr>
          <w:ilvl w:val="0"/>
          <w:numId w:val="0"/>
        </w:numPr>
      </w:pPr>
    </w:p>
    <w:p w14:paraId="3395CC63"/>
    <w:p w14:paraId="342FFA87">
      <w:pPr>
        <w:spacing w:line="360" w:lineRule="auto"/>
        <w:ind w:firstLine="566" w:firstLineChars="236"/>
        <w:rPr>
          <w:rFonts w:hint="eastAsia" w:ascii="宋体" w:hAnsi="宋体" w:cs="宋体"/>
          <w:b w:val="0"/>
          <w:bCs w:val="0"/>
          <w:sz w:val="24"/>
        </w:rPr>
      </w:pPr>
      <w:r>
        <w:rPr>
          <w:rFonts w:hint="eastAsia" w:ascii="宋体" w:hAnsi="宋体" w:eastAsia="宋体" w:cs="宋体"/>
          <w:sz w:val="24"/>
          <w:szCs w:val="24"/>
          <w:highlight w:val="none"/>
        </w:rPr>
        <w:t>本次招标采用</w:t>
      </w:r>
      <w:r>
        <w:rPr>
          <w:rFonts w:hint="eastAsia" w:ascii="宋体" w:hAnsi="宋体" w:eastAsia="宋体" w:cs="宋体"/>
          <w:b/>
          <w:bCs/>
          <w:sz w:val="24"/>
          <w:szCs w:val="24"/>
          <w:highlight w:val="none"/>
        </w:rPr>
        <w:t>综合评标法，技术标</w:t>
      </w:r>
      <w:r>
        <w:rPr>
          <w:rFonts w:hint="eastAsia" w:ascii="宋体" w:hAnsi="宋体" w:cs="宋体"/>
          <w:b/>
          <w:bCs/>
          <w:sz w:val="24"/>
          <w:szCs w:val="24"/>
          <w:highlight w:val="none"/>
          <w:lang w:val="en-US" w:eastAsia="zh-CN"/>
        </w:rPr>
        <w:t>4</w:t>
      </w:r>
      <w:r>
        <w:rPr>
          <w:rFonts w:hint="eastAsia" w:ascii="宋体" w:hAnsi="宋体" w:eastAsia="宋体" w:cs="宋体"/>
          <w:b/>
          <w:bCs/>
          <w:sz w:val="24"/>
          <w:szCs w:val="24"/>
          <w:highlight w:val="none"/>
        </w:rPr>
        <w:t>0%，商务标</w:t>
      </w:r>
      <w:r>
        <w:rPr>
          <w:rFonts w:hint="eastAsia" w:ascii="宋体" w:hAnsi="宋体" w:cs="宋体"/>
          <w:b/>
          <w:bCs/>
          <w:sz w:val="24"/>
          <w:szCs w:val="24"/>
          <w:highlight w:val="none"/>
          <w:lang w:val="en-US" w:eastAsia="zh-CN"/>
        </w:rPr>
        <w:t>6</w:t>
      </w:r>
      <w:r>
        <w:rPr>
          <w:rFonts w:hint="eastAsia" w:ascii="宋体" w:hAnsi="宋体" w:eastAsia="宋体" w:cs="宋体"/>
          <w:b/>
          <w:bCs/>
          <w:sz w:val="24"/>
          <w:szCs w:val="24"/>
          <w:highlight w:val="none"/>
        </w:rPr>
        <w:t>0%</w:t>
      </w:r>
      <w:r>
        <w:rPr>
          <w:rFonts w:hint="eastAsia" w:ascii="宋体" w:hAnsi="宋体" w:eastAsia="宋体" w:cs="宋体"/>
          <w:sz w:val="24"/>
          <w:szCs w:val="24"/>
          <w:highlight w:val="none"/>
        </w:rPr>
        <w:t>。</w:t>
      </w:r>
      <w:r>
        <w:rPr>
          <w:rFonts w:hint="eastAsia" w:ascii="宋体" w:hAnsi="宋体" w:cs="宋体"/>
          <w:b w:val="0"/>
          <w:bCs w:val="0"/>
          <w:sz w:val="24"/>
        </w:rPr>
        <w:t>首先进行技术标评审，由评标专家组对所有投标方的技术标部分综合评定和打分，确定进入商务标评比资格的投标方。然后进行商务标的评标，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w:t>
      </w:r>
      <w:r>
        <w:rPr>
          <w:rFonts w:hint="eastAsia" w:ascii="宋体" w:cs="宋体"/>
          <w:b w:val="0"/>
          <w:bCs w:val="0"/>
          <w:sz w:val="24"/>
          <w:em w:val="dot"/>
          <w:lang w:eastAsia="zh-CN" w:bidi="ar"/>
        </w:rPr>
        <w:t>。</w:t>
      </w:r>
      <w:r>
        <w:rPr>
          <w:rFonts w:hint="eastAsia" w:ascii="宋体" w:hAnsi="宋体" w:eastAsia="宋体" w:cs="宋体"/>
          <w:sz w:val="24"/>
          <w:szCs w:val="24"/>
          <w:highlight w:val="none"/>
        </w:rPr>
        <w:t>采用综合评标法，技术标</w:t>
      </w:r>
      <w:r>
        <w:rPr>
          <w:rFonts w:hint="eastAsia" w:ascii="宋体" w:hAnsi="宋体" w:cs="宋体"/>
          <w:sz w:val="24"/>
          <w:szCs w:val="24"/>
          <w:highlight w:val="none"/>
          <w:lang w:val="en-US" w:eastAsia="zh-CN"/>
        </w:rPr>
        <w:t>4</w:t>
      </w:r>
      <w:r>
        <w:rPr>
          <w:rFonts w:hint="eastAsia" w:ascii="宋体" w:hAnsi="宋体" w:eastAsia="宋体" w:cs="宋体"/>
          <w:sz w:val="24"/>
          <w:szCs w:val="24"/>
          <w:highlight w:val="none"/>
        </w:rPr>
        <w:t>0%，商务标</w:t>
      </w:r>
      <w:r>
        <w:rPr>
          <w:rFonts w:hint="eastAsia" w:ascii="宋体" w:hAnsi="宋体" w:cs="宋体"/>
          <w:sz w:val="24"/>
          <w:szCs w:val="24"/>
          <w:highlight w:val="none"/>
          <w:lang w:val="en-US" w:eastAsia="zh-CN"/>
        </w:rPr>
        <w:t>6</w:t>
      </w:r>
      <w:r>
        <w:rPr>
          <w:rFonts w:hint="eastAsia" w:ascii="宋体" w:hAnsi="宋体" w:eastAsia="宋体" w:cs="宋体"/>
          <w:sz w:val="24"/>
          <w:szCs w:val="24"/>
          <w:highlight w:val="none"/>
        </w:rPr>
        <w:t>0%</w:t>
      </w:r>
      <w:r>
        <w:rPr>
          <w:rFonts w:hint="eastAsia" w:ascii="宋体" w:cs="宋体"/>
          <w:b w:val="0"/>
          <w:bCs w:val="0"/>
          <w:sz w:val="24"/>
          <w:em w:val="dot"/>
          <w:lang w:bidi="ar"/>
        </w:rPr>
        <w:t>，</w:t>
      </w:r>
      <w:r>
        <w:rPr>
          <w:rFonts w:hint="eastAsia" w:ascii="宋体" w:cs="宋体"/>
          <w:b w:val="0"/>
          <w:bCs w:val="0"/>
          <w:sz w:val="24"/>
          <w:em w:val="dot"/>
          <w:lang w:val="en-US" w:eastAsia="zh-CN" w:bidi="ar"/>
        </w:rPr>
        <w:t>综合得分最高</w:t>
      </w:r>
      <w:r>
        <w:rPr>
          <w:rFonts w:hint="eastAsia" w:ascii="宋体" w:cs="宋体"/>
          <w:b w:val="0"/>
          <w:bCs w:val="0"/>
          <w:sz w:val="24"/>
          <w:em w:val="dot"/>
          <w:lang w:bidi="ar"/>
        </w:rPr>
        <w:t>确定推荐中标人</w:t>
      </w:r>
      <w:r>
        <w:rPr>
          <w:rFonts w:hint="eastAsia" w:ascii="宋体" w:cs="宋体"/>
          <w:b w:val="0"/>
          <w:bCs w:val="0"/>
          <w:sz w:val="24"/>
          <w:em w:val="dot"/>
          <w:lang w:eastAsia="zh-CN" w:bidi="ar"/>
        </w:rPr>
        <w:t>，</w:t>
      </w:r>
      <w:r>
        <w:rPr>
          <w:rFonts w:hint="eastAsia" w:ascii="宋体" w:cs="宋体"/>
          <w:b w:val="0"/>
          <w:bCs w:val="0"/>
          <w:sz w:val="24"/>
          <w:em w:val="dot"/>
          <w:lang w:bidi="ar"/>
        </w:rPr>
        <w:t>对未中标单位不做任何解释</w:t>
      </w:r>
      <w:r>
        <w:rPr>
          <w:rFonts w:hint="eastAsia" w:ascii="宋体" w:cs="宋体"/>
          <w:b w:val="0"/>
          <w:bCs w:val="0"/>
          <w:sz w:val="24"/>
          <w:lang w:bidi="ar"/>
        </w:rPr>
        <w:t>。</w:t>
      </w:r>
      <w:r>
        <w:rPr>
          <w:rFonts w:hint="eastAsia" w:ascii="宋体" w:cs="宋体"/>
          <w:b w:val="0"/>
          <w:bCs w:val="0"/>
          <w:sz w:val="24"/>
          <w:lang w:val="en-US" w:eastAsia="zh-CN" w:bidi="ar"/>
        </w:rPr>
        <w:t>注：</w:t>
      </w:r>
      <w:r>
        <w:rPr>
          <w:rFonts w:hint="eastAsia" w:ascii="宋体" w:cs="宋体"/>
          <w:b w:val="0"/>
          <w:bCs w:val="0"/>
          <w:sz w:val="24"/>
          <w:highlight w:val="yellow"/>
          <w:lang w:val="en-US" w:eastAsia="zh-CN" w:bidi="ar"/>
        </w:rPr>
        <w:t>80</w:t>
      </w:r>
      <w:r>
        <w:rPr>
          <w:rFonts w:hint="eastAsia" w:ascii="宋体" w:cs="宋体"/>
          <w:b w:val="0"/>
          <w:bCs w:val="0"/>
          <w:sz w:val="24"/>
          <w:lang w:val="en-US" w:eastAsia="zh-CN" w:bidi="ar"/>
        </w:rPr>
        <w:t>分以上入围商务标，其余的淘汰。</w:t>
      </w:r>
    </w:p>
    <w:p w14:paraId="0A8C5254">
      <w:pPr>
        <w:spacing w:line="360" w:lineRule="auto"/>
        <w:ind w:firstLine="566" w:firstLineChars="236"/>
        <w:rPr>
          <w:rFonts w:hint="eastAsia" w:ascii="宋体" w:hAnsi="宋体" w:cs="宋体"/>
          <w:sz w:val="24"/>
        </w:rPr>
      </w:pPr>
    </w:p>
    <w:p w14:paraId="0FA6CD16">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1DD48AB0">
      <w:pPr>
        <w:rPr>
          <w:rFonts w:hint="eastAsia" w:ascii="宋体" w:hAnsi="宋体" w:eastAsia="宋体" w:cs="Times New Roman"/>
          <w:b/>
          <w:bCs/>
          <w:sz w:val="24"/>
          <w:szCs w:val="24"/>
          <w:highlight w:val="none"/>
        </w:rPr>
      </w:pPr>
    </w:p>
    <w:tbl>
      <w:tblPr>
        <w:tblStyle w:val="32"/>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502"/>
        <w:gridCol w:w="1775"/>
        <w:gridCol w:w="644"/>
        <w:gridCol w:w="5062"/>
      </w:tblGrid>
      <w:tr w14:paraId="5499D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85" w:hRule="atLeast"/>
        </w:trPr>
        <w:tc>
          <w:tcPr>
            <w:tcW w:w="834" w:type="dxa"/>
            <w:vAlign w:val="center"/>
          </w:tcPr>
          <w:p w14:paraId="34CE77D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502" w:type="dxa"/>
            <w:vAlign w:val="center"/>
          </w:tcPr>
          <w:p w14:paraId="0CDE65E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775" w:type="dxa"/>
            <w:vAlign w:val="center"/>
          </w:tcPr>
          <w:p w14:paraId="44B3476E">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4" w:type="dxa"/>
            <w:vAlign w:val="center"/>
          </w:tcPr>
          <w:p w14:paraId="5ED44C8A">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62" w:type="dxa"/>
            <w:vAlign w:val="center"/>
          </w:tcPr>
          <w:p w14:paraId="73036379">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EE0B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834" w:type="dxa"/>
            <w:vMerge w:val="restart"/>
            <w:vAlign w:val="center"/>
          </w:tcPr>
          <w:p w14:paraId="52CDDC4E">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502" w:type="dxa"/>
            <w:vMerge w:val="restart"/>
            <w:vAlign w:val="center"/>
          </w:tcPr>
          <w:p w14:paraId="27BD57BB">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cs="宋体"/>
                <w:b w:val="0"/>
                <w:bCs w:val="0"/>
                <w:color w:val="000000"/>
                <w:sz w:val="24"/>
                <w:szCs w:val="24"/>
                <w:highlight w:val="none"/>
                <w:vertAlign w:val="baseline"/>
                <w:lang w:val="en-US" w:eastAsia="zh-CN"/>
              </w:rPr>
              <w:t>1</w:t>
            </w:r>
          </w:p>
        </w:tc>
        <w:tc>
          <w:tcPr>
            <w:tcW w:w="1775" w:type="dxa"/>
            <w:vMerge w:val="restart"/>
            <w:vAlign w:val="center"/>
          </w:tcPr>
          <w:p w14:paraId="3104AC15">
            <w:pPr>
              <w:keepNext w:val="0"/>
              <w:keepLines w:val="0"/>
              <w:suppressLineNumbers w:val="0"/>
              <w:spacing w:before="0" w:beforeAutospacing="0" w:after="0" w:afterAutospacing="0" w:line="240" w:lineRule="auto"/>
              <w:ind w:left="0" w:right="0"/>
              <w:jc w:val="both"/>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cs="宋体"/>
                <w:b w:val="0"/>
                <w:bCs w:val="0"/>
                <w:color w:val="000000"/>
                <w:sz w:val="24"/>
                <w:szCs w:val="24"/>
                <w:highlight w:val="none"/>
                <w:vertAlign w:val="baseline"/>
                <w:lang w:val="en-US" w:eastAsia="zh-CN"/>
              </w:rPr>
              <w:t>技术方案</w:t>
            </w:r>
          </w:p>
        </w:tc>
        <w:tc>
          <w:tcPr>
            <w:tcW w:w="644" w:type="dxa"/>
            <w:vAlign w:val="center"/>
          </w:tcPr>
          <w:p w14:paraId="4B113CA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62" w:type="dxa"/>
            <w:vAlign w:val="center"/>
          </w:tcPr>
          <w:p w14:paraId="6D7436D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68A6B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5" w:hRule="atLeast"/>
        </w:trPr>
        <w:tc>
          <w:tcPr>
            <w:tcW w:w="834" w:type="dxa"/>
            <w:vMerge w:val="continue"/>
            <w:vAlign w:val="center"/>
          </w:tcPr>
          <w:p w14:paraId="0A2D17B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Merge w:val="continue"/>
            <w:vAlign w:val="center"/>
          </w:tcPr>
          <w:p w14:paraId="25651398">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p>
        </w:tc>
        <w:tc>
          <w:tcPr>
            <w:tcW w:w="1775" w:type="dxa"/>
            <w:vMerge w:val="continue"/>
            <w:vAlign w:val="center"/>
          </w:tcPr>
          <w:p w14:paraId="01E51FB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p>
        </w:tc>
        <w:tc>
          <w:tcPr>
            <w:tcW w:w="644" w:type="dxa"/>
            <w:vAlign w:val="center"/>
          </w:tcPr>
          <w:p w14:paraId="67FB2EC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62" w:type="dxa"/>
            <w:vAlign w:val="center"/>
          </w:tcPr>
          <w:p w14:paraId="44FB28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1E75D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834" w:type="dxa"/>
            <w:vMerge w:val="continue"/>
            <w:vAlign w:val="center"/>
          </w:tcPr>
          <w:p w14:paraId="0EC3DBF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Merge w:val="continue"/>
            <w:vAlign w:val="center"/>
          </w:tcPr>
          <w:p w14:paraId="71D29297">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p>
        </w:tc>
        <w:tc>
          <w:tcPr>
            <w:tcW w:w="1775" w:type="dxa"/>
            <w:vMerge w:val="continue"/>
            <w:vAlign w:val="center"/>
          </w:tcPr>
          <w:p w14:paraId="6D7B4D41">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p>
        </w:tc>
        <w:tc>
          <w:tcPr>
            <w:tcW w:w="644" w:type="dxa"/>
            <w:vAlign w:val="center"/>
          </w:tcPr>
          <w:p w14:paraId="33A3FCFB">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62" w:type="dxa"/>
            <w:vAlign w:val="center"/>
          </w:tcPr>
          <w:p w14:paraId="4FB762D8">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5F4ED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834" w:type="dxa"/>
            <w:vMerge w:val="continue"/>
            <w:vAlign w:val="center"/>
          </w:tcPr>
          <w:p w14:paraId="52A9BA2E">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1EA1BE8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2</w:t>
            </w:r>
          </w:p>
        </w:tc>
        <w:tc>
          <w:tcPr>
            <w:tcW w:w="1775" w:type="dxa"/>
            <w:vAlign w:val="center"/>
          </w:tcPr>
          <w:p w14:paraId="4CB8A93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质量保证</w:t>
            </w:r>
          </w:p>
        </w:tc>
        <w:tc>
          <w:tcPr>
            <w:tcW w:w="644" w:type="dxa"/>
            <w:vAlign w:val="center"/>
          </w:tcPr>
          <w:p w14:paraId="24DFC64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15</w:t>
            </w:r>
          </w:p>
        </w:tc>
        <w:tc>
          <w:tcPr>
            <w:tcW w:w="5062" w:type="dxa"/>
            <w:vAlign w:val="center"/>
          </w:tcPr>
          <w:p w14:paraId="31E6497B">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w:t>
            </w:r>
            <w:r>
              <w:rPr>
                <w:rFonts w:hint="eastAsia" w:ascii="宋体" w:hAnsi="宋体" w:cs="宋体"/>
                <w:sz w:val="24"/>
                <w:szCs w:val="24"/>
                <w:lang w:val="en-US" w:eastAsia="zh-CN"/>
              </w:rPr>
              <w:t>5</w:t>
            </w:r>
            <w:r>
              <w:rPr>
                <w:rFonts w:hint="eastAsia" w:ascii="宋体" w:hAnsi="宋体" w:eastAsia="宋体" w:cs="宋体"/>
                <w:sz w:val="24"/>
                <w:szCs w:val="24"/>
              </w:rPr>
              <w:t>分。</w:t>
            </w:r>
          </w:p>
        </w:tc>
      </w:tr>
      <w:tr w14:paraId="4D853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4" w:hRule="atLeast"/>
        </w:trPr>
        <w:tc>
          <w:tcPr>
            <w:tcW w:w="834" w:type="dxa"/>
            <w:vMerge w:val="continue"/>
            <w:vAlign w:val="center"/>
          </w:tcPr>
          <w:p w14:paraId="4DB8CC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37018CB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3</w:t>
            </w:r>
          </w:p>
        </w:tc>
        <w:tc>
          <w:tcPr>
            <w:tcW w:w="1775" w:type="dxa"/>
            <w:vAlign w:val="center"/>
          </w:tcPr>
          <w:p w14:paraId="2DF56CB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4" w:type="dxa"/>
            <w:vAlign w:val="center"/>
          </w:tcPr>
          <w:p w14:paraId="720A54D8">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20</w:t>
            </w:r>
          </w:p>
        </w:tc>
        <w:tc>
          <w:tcPr>
            <w:tcW w:w="5062" w:type="dxa"/>
            <w:vAlign w:val="center"/>
          </w:tcPr>
          <w:p w14:paraId="2B819B7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w:t>
            </w:r>
            <w:r>
              <w:rPr>
                <w:rFonts w:hint="eastAsia" w:ascii="宋体" w:hAnsi="宋体" w:cs="宋体"/>
                <w:sz w:val="24"/>
                <w:szCs w:val="24"/>
                <w:lang w:val="en-US" w:eastAsia="zh-CN"/>
              </w:rPr>
              <w:t>2</w:t>
            </w:r>
            <w:r>
              <w:rPr>
                <w:rFonts w:hint="eastAsia" w:ascii="宋体" w:hAnsi="宋体" w:eastAsia="宋体" w:cs="宋体"/>
                <w:sz w:val="24"/>
                <w:szCs w:val="24"/>
                <w:lang w:val="en-US" w:eastAsia="zh-CN"/>
              </w:rPr>
              <w:t>0</w:t>
            </w:r>
            <w:r>
              <w:rPr>
                <w:rFonts w:hint="eastAsia" w:ascii="宋体" w:hAnsi="宋体" w:eastAsia="宋体" w:cs="宋体"/>
                <w:sz w:val="24"/>
                <w:szCs w:val="24"/>
              </w:rPr>
              <w:t>分。</w:t>
            </w:r>
          </w:p>
        </w:tc>
      </w:tr>
      <w:tr w14:paraId="392E0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1" w:hRule="atLeast"/>
        </w:trPr>
        <w:tc>
          <w:tcPr>
            <w:tcW w:w="834" w:type="dxa"/>
            <w:vMerge w:val="continue"/>
            <w:vAlign w:val="center"/>
          </w:tcPr>
          <w:p w14:paraId="0348C5A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4277029A">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4</w:t>
            </w:r>
          </w:p>
        </w:tc>
        <w:tc>
          <w:tcPr>
            <w:tcW w:w="1775" w:type="dxa"/>
            <w:vAlign w:val="center"/>
          </w:tcPr>
          <w:p w14:paraId="48D72171">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4" w:type="dxa"/>
            <w:vAlign w:val="center"/>
          </w:tcPr>
          <w:p w14:paraId="6AF4A101">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1</w:t>
            </w:r>
            <w:r>
              <w:rPr>
                <w:rFonts w:hint="eastAsia" w:ascii="宋体" w:hAnsi="宋体" w:eastAsia="宋体" w:cs="宋体"/>
                <w:b w:val="0"/>
                <w:bCs w:val="0"/>
                <w:color w:val="000000"/>
                <w:sz w:val="24"/>
                <w:szCs w:val="24"/>
                <w:vertAlign w:val="baseline"/>
                <w:lang w:val="en-US" w:eastAsia="zh-CN"/>
              </w:rPr>
              <w:t>0</w:t>
            </w:r>
          </w:p>
        </w:tc>
        <w:tc>
          <w:tcPr>
            <w:tcW w:w="5062" w:type="dxa"/>
            <w:vAlign w:val="center"/>
          </w:tcPr>
          <w:p w14:paraId="16BDC9D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0</w:t>
            </w:r>
            <w:r>
              <w:rPr>
                <w:rFonts w:hint="eastAsia" w:ascii="宋体" w:hAnsi="宋体" w:eastAsia="宋体" w:cs="宋体"/>
                <w:sz w:val="24"/>
                <w:szCs w:val="24"/>
              </w:rPr>
              <w:t>-</w:t>
            </w:r>
            <w:r>
              <w:rPr>
                <w:rFonts w:hint="eastAsia" w:ascii="宋体" w:hAnsi="宋体" w:cs="宋体"/>
                <w:sz w:val="24"/>
                <w:szCs w:val="24"/>
                <w:lang w:val="en-US" w:eastAsia="zh-CN"/>
              </w:rPr>
              <w:t>1</w:t>
            </w:r>
            <w:r>
              <w:rPr>
                <w:rFonts w:hint="eastAsia" w:ascii="宋体" w:hAnsi="宋体" w:eastAsia="宋体" w:cs="宋体"/>
                <w:sz w:val="24"/>
                <w:szCs w:val="24"/>
                <w:lang w:val="en-US" w:eastAsia="zh-CN"/>
              </w:rPr>
              <w:t>0</w:t>
            </w:r>
            <w:r>
              <w:rPr>
                <w:rFonts w:hint="eastAsia" w:ascii="宋体" w:hAnsi="宋体" w:eastAsia="宋体" w:cs="宋体"/>
                <w:sz w:val="24"/>
                <w:szCs w:val="24"/>
              </w:rPr>
              <w:t>分。</w:t>
            </w:r>
          </w:p>
        </w:tc>
      </w:tr>
      <w:tr w14:paraId="778BB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3" w:hRule="atLeast"/>
        </w:trPr>
        <w:tc>
          <w:tcPr>
            <w:tcW w:w="834" w:type="dxa"/>
            <w:vMerge w:val="continue"/>
            <w:vAlign w:val="center"/>
          </w:tcPr>
          <w:p w14:paraId="27A4CBF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217BF5D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5</w:t>
            </w:r>
          </w:p>
        </w:tc>
        <w:tc>
          <w:tcPr>
            <w:tcW w:w="1775" w:type="dxa"/>
            <w:vAlign w:val="center"/>
          </w:tcPr>
          <w:p w14:paraId="1C79FF84">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w:t>
            </w:r>
          </w:p>
        </w:tc>
        <w:tc>
          <w:tcPr>
            <w:tcW w:w="644" w:type="dxa"/>
            <w:vAlign w:val="center"/>
          </w:tcPr>
          <w:p w14:paraId="05A732AE">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5</w:t>
            </w:r>
          </w:p>
        </w:tc>
        <w:tc>
          <w:tcPr>
            <w:tcW w:w="5062" w:type="dxa"/>
            <w:vAlign w:val="center"/>
          </w:tcPr>
          <w:p w14:paraId="625C32C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分</w:t>
            </w:r>
            <w:r>
              <w:rPr>
                <w:rFonts w:hint="eastAsia" w:ascii="宋体" w:hAnsi="宋体" w:eastAsia="宋体" w:cs="宋体"/>
                <w:sz w:val="24"/>
                <w:szCs w:val="24"/>
              </w:rPr>
              <w:t>。</w:t>
            </w:r>
          </w:p>
        </w:tc>
      </w:tr>
      <w:tr w14:paraId="71507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8817" w:type="dxa"/>
            <w:gridSpan w:val="5"/>
            <w:vAlign w:val="center"/>
          </w:tcPr>
          <w:p w14:paraId="65AAA058">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注：</w:t>
            </w:r>
          </w:p>
          <w:p w14:paraId="1C23D571">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1、投标人技术标的最终得分为所有评委打分汇总后的算术平均值。</w:t>
            </w:r>
          </w:p>
          <w:p w14:paraId="6C7DDDCE">
            <w:pPr>
              <w:spacing w:line="360" w:lineRule="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rPr>
              <w:t>2、技术标根据评分办法进行打分，技术标评标小组推荐至少3家技术得分</w:t>
            </w:r>
            <w:r>
              <w:rPr>
                <w:rFonts w:hint="eastAsia" w:ascii="宋体" w:hAnsi="宋体" w:eastAsia="宋体" w:cs="宋体"/>
                <w:color w:val="000000"/>
                <w:sz w:val="24"/>
                <w:szCs w:val="24"/>
                <w:lang w:val="en-US" w:eastAsia="zh-CN"/>
              </w:rPr>
              <w:t>8</w:t>
            </w:r>
            <w:r>
              <w:rPr>
                <w:rFonts w:hint="eastAsia" w:ascii="宋体" w:hAnsi="宋体" w:eastAsia="宋体" w:cs="宋体"/>
                <w:color w:val="000000"/>
                <w:sz w:val="24"/>
                <w:szCs w:val="24"/>
              </w:rPr>
              <w:t>0分（含）以上的投标人入围。技术入围投标人不足三家时，本次按废标处理，招标人</w:t>
            </w:r>
            <w:r>
              <w:rPr>
                <w:rFonts w:hint="eastAsia" w:ascii="宋体" w:hAnsi="宋体" w:eastAsia="宋体" w:cs="宋体"/>
                <w:color w:val="000000"/>
                <w:sz w:val="24"/>
                <w:szCs w:val="24"/>
                <w:highlight w:val="none"/>
              </w:rPr>
              <w:t>有权根据招标采购管理流程重新组织招标。</w:t>
            </w:r>
          </w:p>
          <w:p w14:paraId="3466161F">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hAnsi="宋体" w:eastAsia="宋体" w:cs="宋体"/>
                <w:color w:val="000000"/>
                <w:sz w:val="24"/>
                <w:szCs w:val="24"/>
                <w:highlight w:val="yellow"/>
                <w:lang w:val="en-US" w:eastAsia="zh-CN"/>
              </w:rPr>
              <w:t>3、投标人需现场讲标，请提前准备技术文件汇报材料。</w:t>
            </w:r>
          </w:p>
        </w:tc>
      </w:tr>
      <w:tr w14:paraId="392D6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4" w:hRule="atLeast"/>
        </w:trPr>
        <w:tc>
          <w:tcPr>
            <w:tcW w:w="834" w:type="dxa"/>
            <w:vAlign w:val="center"/>
          </w:tcPr>
          <w:p w14:paraId="7BD79B19">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商务</w:t>
            </w:r>
          </w:p>
          <w:p w14:paraId="39B799DA">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100 分</w:t>
            </w:r>
          </w:p>
        </w:tc>
        <w:tc>
          <w:tcPr>
            <w:tcW w:w="7983" w:type="dxa"/>
            <w:gridSpan w:val="4"/>
            <w:vAlign w:val="center"/>
          </w:tcPr>
          <w:p w14:paraId="3243ACF3">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评标基准价 ：</w:t>
            </w:r>
          </w:p>
          <w:p w14:paraId="6411F2DC">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1、评标基准价为所有合理有效的最终投标报价的最低价 。</w:t>
            </w:r>
          </w:p>
          <w:p w14:paraId="70110615">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 xml:space="preserve">2、有效的评标基准价得100分：其他投标人的价格得分按下列公式计算 ： </w:t>
            </w:r>
          </w:p>
          <w:p w14:paraId="5C14D24A">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投标价格得分=100×( 评标基准价/投标报价 ) 。</w:t>
            </w:r>
          </w:p>
          <w:p w14:paraId="7097980A">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注：得分值取小数点后两位，不足一个百分点的，按照四舍五入法计算 。</w:t>
            </w:r>
          </w:p>
        </w:tc>
      </w:tr>
      <w:tr w14:paraId="5E013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3" w:hRule="atLeast"/>
        </w:trPr>
        <w:tc>
          <w:tcPr>
            <w:tcW w:w="834" w:type="dxa"/>
            <w:vAlign w:val="center"/>
          </w:tcPr>
          <w:p w14:paraId="37F1DE85">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综合</w:t>
            </w:r>
          </w:p>
          <w:p w14:paraId="6AB61D4F">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得分</w:t>
            </w:r>
          </w:p>
        </w:tc>
        <w:tc>
          <w:tcPr>
            <w:tcW w:w="7983" w:type="dxa"/>
            <w:gridSpan w:val="4"/>
            <w:vAlign w:val="center"/>
          </w:tcPr>
          <w:p w14:paraId="1F99384F">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综合得分=技术标得分×40%+商务标得分×60 %，得分值取小数点后两位 ， 不足一个百分点的，按照四舍五入法计算。</w:t>
            </w:r>
          </w:p>
        </w:tc>
      </w:tr>
    </w:tbl>
    <w:p w14:paraId="4014BFF2">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53594487">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53AD9FB6">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2D7ADA8D">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7F871AFF">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58F06944">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3ED1B704">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19749E54">
      <w:pPr>
        <w:pStyle w:val="2"/>
        <w:keepNext w:val="0"/>
        <w:keepLines w:val="0"/>
        <w:pageBreakBefore w:val="0"/>
        <w:widowControl w:val="0"/>
        <w:kinsoku/>
        <w:wordWrap/>
        <w:overflowPunct/>
        <w:topLinePunct w:val="0"/>
        <w:autoSpaceDE/>
        <w:autoSpaceDN/>
        <w:bidi w:val="0"/>
        <w:jc w:val="center"/>
        <w:textAlignment w:val="auto"/>
      </w:pPr>
      <w:r>
        <w:rPr>
          <w:rStyle w:val="46"/>
          <w:rFonts w:hint="eastAsia"/>
          <w:b/>
          <w:bCs/>
        </w:rPr>
        <w:t>第四章 设备技术标准及要求</w:t>
      </w:r>
      <w:bookmarkEnd w:id="65"/>
    </w:p>
    <w:p w14:paraId="389DB6D1">
      <w:pPr>
        <w:keepNext/>
        <w:keepLines/>
        <w:spacing w:before="120" w:after="120" w:line="480" w:lineRule="exact"/>
        <w:jc w:val="center"/>
        <w:outlineLvl w:val="2"/>
        <w:rPr>
          <w:rFonts w:ascii="宋体" w:hAnsi="宋体" w:eastAsia="宋体" w:cs="Times New Roman"/>
          <w:b/>
          <w:bCs/>
          <w:sz w:val="24"/>
          <w:szCs w:val="24"/>
          <w:highlight w:val="none"/>
        </w:rPr>
      </w:pPr>
      <w:bookmarkStart w:id="66" w:name="_Toc169605878"/>
      <w:r>
        <w:rPr>
          <w:rFonts w:hint="eastAsia" w:ascii="宋体" w:hAnsi="宋体" w:eastAsia="宋体" w:cs="Times New Roman"/>
          <w:b/>
          <w:bCs/>
          <w:sz w:val="24"/>
          <w:szCs w:val="24"/>
          <w:highlight w:val="none"/>
        </w:rPr>
        <w:t>第一节使用环境</w:t>
      </w:r>
      <w:bookmarkEnd w:id="66"/>
    </w:p>
    <w:p w14:paraId="1AA055D4">
      <w:pPr>
        <w:numPr>
          <w:ilvl w:val="0"/>
          <w:numId w:val="1"/>
        </w:numPr>
        <w:spacing w:line="360" w:lineRule="auto"/>
        <w:outlineLvl w:val="3"/>
        <w:rPr>
          <w:rFonts w:hint="eastAsia" w:ascii="宋体" w:hAnsi="宋体" w:eastAsia="宋体"/>
          <w:sz w:val="24"/>
          <w:szCs w:val="24"/>
          <w:highlight w:val="none"/>
          <w:u w:val="single"/>
          <w:lang w:val="en-US" w:eastAsia="zh-CN"/>
        </w:rPr>
      </w:pPr>
      <w:r>
        <w:rPr>
          <w:rFonts w:hint="eastAsia" w:ascii="宋体" w:hAnsi="宋体" w:eastAsia="宋体"/>
          <w:sz w:val="24"/>
          <w:szCs w:val="24"/>
          <w:highlight w:val="none"/>
        </w:rPr>
        <w:t>项目名称：</w:t>
      </w:r>
      <w:r>
        <w:rPr>
          <w:rFonts w:hint="eastAsia" w:ascii="宋体" w:hAnsi="宋体" w:eastAsia="宋体"/>
          <w:sz w:val="24"/>
          <w:szCs w:val="24"/>
          <w:highlight w:val="none"/>
          <w:u w:val="single"/>
          <w:lang w:val="en-US" w:eastAsia="zh-CN"/>
        </w:rPr>
        <w:t>济宁商用车公司新增驾驶室吊装系统检修走台技改项目</w:t>
      </w:r>
    </w:p>
    <w:p w14:paraId="608015B0">
      <w:pPr>
        <w:spacing w:line="360" w:lineRule="auto"/>
        <w:outlineLvl w:val="3"/>
        <w:rPr>
          <w:rFonts w:ascii="宋体" w:hAnsi="宋体" w:eastAsia="宋体" w:cs="宋体"/>
          <w:color w:val="000000"/>
          <w:sz w:val="24"/>
          <w:szCs w:val="24"/>
          <w:highlight w:val="none"/>
          <w:u w:val="single"/>
        </w:rPr>
      </w:pPr>
      <w:r>
        <w:rPr>
          <w:rFonts w:hint="eastAsia" w:ascii="宋体" w:hAnsi="宋体" w:eastAsia="宋体"/>
          <w:sz w:val="24"/>
          <w:szCs w:val="24"/>
          <w:highlight w:val="none"/>
        </w:rPr>
        <w:t>二、建设地点：</w:t>
      </w:r>
      <w:r>
        <w:rPr>
          <w:rFonts w:hint="eastAsia" w:ascii="宋体" w:hAnsi="宋体" w:eastAsia="宋体" w:cs="宋体"/>
          <w:color w:val="000000"/>
          <w:sz w:val="24"/>
          <w:szCs w:val="24"/>
          <w:highlight w:val="none"/>
          <w:u w:val="single"/>
        </w:rPr>
        <w:t>中国重汽集团济宁商用车有限公司</w:t>
      </w:r>
    </w:p>
    <w:p w14:paraId="387C00D9">
      <w:pPr>
        <w:spacing w:line="360" w:lineRule="auto"/>
        <w:outlineLvl w:val="3"/>
        <w:rPr>
          <w:rFonts w:ascii="宋体" w:hAnsi="宋体" w:eastAsia="宋体"/>
          <w:sz w:val="24"/>
          <w:szCs w:val="24"/>
          <w:highlight w:val="none"/>
        </w:rPr>
      </w:pPr>
      <w:r>
        <w:rPr>
          <w:rFonts w:hint="eastAsia" w:ascii="宋体" w:hAnsi="宋体" w:eastAsia="宋体"/>
          <w:sz w:val="24"/>
          <w:szCs w:val="24"/>
          <w:highlight w:val="none"/>
        </w:rPr>
        <w:t>三、使用地点：</w:t>
      </w:r>
      <w:r>
        <w:rPr>
          <w:rFonts w:hint="eastAsia" w:ascii="宋体" w:hAnsi="宋体" w:eastAsia="宋体" w:cs="宋体"/>
          <w:color w:val="000000"/>
          <w:sz w:val="24"/>
          <w:szCs w:val="24"/>
          <w:highlight w:val="none"/>
          <w:u w:val="single"/>
        </w:rPr>
        <w:t>中国重汽集团济宁商用车有限公司</w:t>
      </w:r>
    </w:p>
    <w:p w14:paraId="0D72AFDD">
      <w:pPr>
        <w:pStyle w:val="43"/>
        <w:spacing w:line="360" w:lineRule="auto"/>
        <w:ind w:left="480" w:hanging="480" w:firstLineChars="0"/>
        <w:outlineLvl w:val="3"/>
        <w:rPr>
          <w:rFonts w:ascii="宋体" w:hAnsi="宋体" w:eastAsia="宋体"/>
          <w:sz w:val="24"/>
          <w:szCs w:val="24"/>
          <w:highlight w:val="none"/>
        </w:rPr>
      </w:pPr>
      <w:r>
        <w:rPr>
          <w:rFonts w:ascii="宋体" w:hAnsi="宋体" w:eastAsia="宋体"/>
          <w:sz w:val="24"/>
          <w:szCs w:val="24"/>
          <w:highlight w:val="none"/>
        </w:rPr>
        <w:t>四、</w:t>
      </w:r>
      <w:r>
        <w:rPr>
          <w:rFonts w:hint="eastAsia" w:ascii="宋体" w:hAnsi="宋体" w:eastAsia="宋体"/>
          <w:sz w:val="24"/>
          <w:szCs w:val="24"/>
          <w:highlight w:val="none"/>
        </w:rPr>
        <w:t>使用环境及能源供给：</w:t>
      </w:r>
    </w:p>
    <w:p w14:paraId="37146326">
      <w:pPr>
        <w:pStyle w:val="7"/>
        <w:tabs>
          <w:tab w:val="left" w:pos="1134"/>
        </w:tabs>
        <w:spacing w:line="360" w:lineRule="auto"/>
        <w:ind w:left="480" w:firstLine="0"/>
        <w:rPr>
          <w:rFonts w:ascii="宋体" w:hAnsi="宋体" w:eastAsia="宋体"/>
          <w:color w:val="auto"/>
          <w:sz w:val="24"/>
          <w:szCs w:val="24"/>
          <w:highlight w:val="none"/>
        </w:rPr>
      </w:pPr>
      <w:r>
        <w:rPr>
          <w:rFonts w:hint="eastAsia" w:ascii="宋体" w:hAnsi="宋体" w:eastAsia="宋体"/>
          <w:bCs/>
          <w:color w:val="auto"/>
          <w:sz w:val="24"/>
          <w:szCs w:val="24"/>
          <w:highlight w:val="none"/>
        </w:rPr>
        <w:t>1.海拔高度：</w:t>
      </w:r>
      <w:r>
        <w:rPr>
          <w:rFonts w:ascii="宋体" w:hAnsi="宋体" w:eastAsia="宋体"/>
          <w:color w:val="auto"/>
          <w:sz w:val="24"/>
          <w:szCs w:val="24"/>
          <w:highlight w:val="none"/>
        </w:rPr>
        <w:t>≤</w:t>
      </w:r>
      <w:r>
        <w:rPr>
          <w:rFonts w:hint="eastAsia" w:ascii="宋体" w:hAnsi="宋体" w:eastAsia="宋体"/>
          <w:color w:val="auto"/>
          <w:sz w:val="24"/>
          <w:szCs w:val="24"/>
          <w:highlight w:val="none"/>
        </w:rPr>
        <w:t>4000m；</w:t>
      </w:r>
    </w:p>
    <w:p w14:paraId="609656D2">
      <w:pPr>
        <w:pStyle w:val="7"/>
        <w:tabs>
          <w:tab w:val="left" w:pos="1134"/>
        </w:tabs>
        <w:spacing w:line="360" w:lineRule="auto"/>
        <w:ind w:left="480" w:firstLine="0"/>
        <w:rPr>
          <w:rFonts w:ascii="宋体" w:hAnsi="宋体" w:eastAsia="宋体"/>
          <w:color w:val="auto"/>
          <w:sz w:val="24"/>
          <w:szCs w:val="24"/>
          <w:highlight w:val="none"/>
        </w:rPr>
      </w:pPr>
      <w:r>
        <w:rPr>
          <w:rFonts w:hint="eastAsia" w:ascii="宋体" w:hAnsi="宋体" w:eastAsia="宋体"/>
          <w:bCs/>
          <w:color w:val="auto"/>
          <w:sz w:val="24"/>
          <w:szCs w:val="24"/>
          <w:highlight w:val="none"/>
        </w:rPr>
        <w:t>2.环境温度：</w:t>
      </w:r>
      <w:r>
        <w:rPr>
          <w:rFonts w:ascii="宋体" w:hAnsi="宋体" w:eastAsia="宋体"/>
          <w:color w:val="auto"/>
          <w:sz w:val="24"/>
          <w:szCs w:val="24"/>
          <w:highlight w:val="none"/>
        </w:rPr>
        <w:t>-25</w:t>
      </w:r>
      <w:r>
        <w:rPr>
          <w:rFonts w:hint="eastAsia" w:ascii="宋体" w:hAnsi="宋体" w:eastAsia="宋体"/>
          <w:color w:val="auto"/>
          <w:sz w:val="24"/>
          <w:szCs w:val="24"/>
          <w:highlight w:val="none"/>
        </w:rPr>
        <w:t>℃</w:t>
      </w:r>
      <w:r>
        <w:rPr>
          <w:rFonts w:ascii="宋体" w:hAnsi="宋体" w:eastAsia="宋体"/>
          <w:color w:val="auto"/>
          <w:sz w:val="24"/>
          <w:szCs w:val="24"/>
          <w:highlight w:val="none"/>
        </w:rPr>
        <w:t>～45</w:t>
      </w:r>
      <w:r>
        <w:rPr>
          <w:rFonts w:hint="eastAsia" w:ascii="宋体" w:hAnsi="宋体" w:eastAsia="宋体"/>
          <w:color w:val="auto"/>
          <w:sz w:val="24"/>
          <w:szCs w:val="24"/>
          <w:highlight w:val="none"/>
        </w:rPr>
        <w:t>℃</w:t>
      </w:r>
      <w:r>
        <w:rPr>
          <w:rFonts w:ascii="宋体" w:hAnsi="宋体" w:eastAsia="宋体"/>
          <w:color w:val="auto"/>
          <w:sz w:val="24"/>
          <w:szCs w:val="24"/>
          <w:highlight w:val="none"/>
        </w:rPr>
        <w:t>；</w:t>
      </w:r>
    </w:p>
    <w:p w14:paraId="3A9EC1E5">
      <w:pPr>
        <w:spacing w:line="360" w:lineRule="auto"/>
        <w:ind w:firstLine="480" w:firstLineChars="200"/>
        <w:rPr>
          <w:rFonts w:ascii="宋体" w:hAnsi="宋体" w:eastAsia="宋体" w:cs="宋体"/>
          <w:color w:val="auto"/>
          <w:sz w:val="24"/>
          <w:szCs w:val="24"/>
          <w:highlight w:val="none"/>
        </w:rPr>
      </w:pPr>
      <w:r>
        <w:rPr>
          <w:rFonts w:hint="eastAsia" w:ascii="宋体" w:hAnsi="宋体" w:eastAsia="宋体"/>
          <w:bCs/>
          <w:color w:val="auto"/>
          <w:sz w:val="24"/>
          <w:szCs w:val="24"/>
          <w:highlight w:val="none"/>
        </w:rPr>
        <w:t>3.相对湿度：年平均59%，最大95%、最小15%</w:t>
      </w:r>
      <w:r>
        <w:rPr>
          <w:rFonts w:ascii="宋体" w:hAnsi="宋体" w:eastAsia="宋体"/>
          <w:bCs/>
          <w:color w:val="auto"/>
          <w:sz w:val="24"/>
          <w:szCs w:val="24"/>
          <w:highlight w:val="none"/>
        </w:rPr>
        <w:t>；</w:t>
      </w:r>
    </w:p>
    <w:p w14:paraId="5E62C1ED">
      <w:pPr>
        <w:keepNext/>
        <w:keepLines/>
        <w:spacing w:before="120" w:after="120" w:line="480" w:lineRule="exact"/>
        <w:jc w:val="center"/>
        <w:outlineLvl w:val="2"/>
        <w:rPr>
          <w:rFonts w:ascii="宋体" w:hAnsi="宋体" w:eastAsia="宋体" w:cs="Times New Roman"/>
          <w:b/>
          <w:bCs/>
          <w:sz w:val="24"/>
          <w:szCs w:val="24"/>
          <w:highlight w:val="none"/>
        </w:rPr>
      </w:pPr>
      <w:r>
        <w:rPr>
          <w:rFonts w:hint="eastAsia" w:ascii="宋体" w:hAnsi="宋体" w:eastAsia="宋体" w:cs="Times New Roman"/>
          <w:b/>
          <w:bCs/>
          <w:sz w:val="24"/>
          <w:szCs w:val="24"/>
          <w:highlight w:val="none"/>
        </w:rPr>
        <w:t>第二节采购货物概况</w:t>
      </w:r>
    </w:p>
    <w:p w14:paraId="1B82B2EB">
      <w:pPr>
        <w:spacing w:line="420" w:lineRule="exact"/>
        <w:outlineLvl w:val="3"/>
        <w:rPr>
          <w:rFonts w:hint="eastAsia" w:ascii="宋体" w:hAnsi="宋体" w:eastAsia="宋体"/>
          <w:sz w:val="24"/>
          <w:szCs w:val="24"/>
          <w:highlight w:val="none"/>
          <w:lang w:val="en-US" w:eastAsia="zh-CN"/>
        </w:rPr>
      </w:pPr>
      <w:r>
        <w:rPr>
          <w:rFonts w:hint="eastAsia" w:ascii="宋体" w:hAnsi="宋体" w:eastAsia="宋体"/>
          <w:b/>
          <w:sz w:val="24"/>
          <w:szCs w:val="24"/>
          <w:highlight w:val="none"/>
        </w:rPr>
        <w:t>一、货物名称：</w:t>
      </w:r>
      <w:r>
        <w:rPr>
          <w:rFonts w:hint="eastAsia" w:ascii="宋体" w:hAnsi="宋体" w:eastAsia="宋体"/>
          <w:bCs/>
          <w:sz w:val="24"/>
          <w:szCs w:val="24"/>
          <w:highlight w:val="none"/>
        </w:rPr>
        <w:t xml:space="preserve"> </w:t>
      </w:r>
      <w:r>
        <w:rPr>
          <w:rFonts w:hint="eastAsia" w:ascii="宋体" w:hAnsi="宋体" w:eastAsia="宋体"/>
          <w:bCs/>
          <w:sz w:val="24"/>
          <w:szCs w:val="24"/>
          <w:highlight w:val="none"/>
          <w:lang w:val="en-US" w:eastAsia="zh-CN"/>
        </w:rPr>
        <w:t>驾驶室吊装系统检修走台</w:t>
      </w:r>
    </w:p>
    <w:p w14:paraId="5AD9662C">
      <w:pPr>
        <w:spacing w:line="420" w:lineRule="exact"/>
        <w:outlineLvl w:val="3"/>
        <w:rPr>
          <w:rFonts w:ascii="宋体" w:hAnsi="宋体" w:eastAsia="宋体"/>
          <w:sz w:val="24"/>
          <w:szCs w:val="24"/>
          <w:highlight w:val="none"/>
        </w:rPr>
      </w:pPr>
      <w:r>
        <w:rPr>
          <w:rFonts w:hint="eastAsia" w:ascii="宋体" w:hAnsi="宋体" w:eastAsia="宋体"/>
          <w:b/>
          <w:sz w:val="24"/>
          <w:szCs w:val="24"/>
          <w:highlight w:val="none"/>
        </w:rPr>
        <w:t>二、货物数量：</w:t>
      </w:r>
      <w:r>
        <w:rPr>
          <w:rFonts w:hint="eastAsia" w:ascii="宋体" w:hAnsi="宋体" w:eastAsia="宋体"/>
          <w:sz w:val="24"/>
          <w:szCs w:val="24"/>
          <w:highlight w:val="none"/>
        </w:rPr>
        <w:t>（详见</w:t>
      </w:r>
      <w:r>
        <w:rPr>
          <w:rFonts w:hint="eastAsia" w:ascii="宋体" w:hAnsi="宋体" w:eastAsia="宋体" w:cs="宋体"/>
          <w:color w:val="000000"/>
          <w:sz w:val="24"/>
          <w:szCs w:val="24"/>
          <w:highlight w:val="none"/>
        </w:rPr>
        <w:t>采购货物主要构成一览表</w:t>
      </w:r>
      <w:r>
        <w:rPr>
          <w:rFonts w:hint="eastAsia" w:ascii="宋体" w:hAnsi="宋体" w:eastAsia="宋体"/>
          <w:sz w:val="24"/>
          <w:szCs w:val="24"/>
          <w:highlight w:val="none"/>
        </w:rPr>
        <w:t>）</w:t>
      </w:r>
    </w:p>
    <w:p w14:paraId="42AD6642">
      <w:pPr>
        <w:spacing w:line="420" w:lineRule="exact"/>
        <w:outlineLvl w:val="3"/>
        <w:rPr>
          <w:rFonts w:ascii="宋体" w:hAnsi="宋体" w:eastAsia="宋体"/>
          <w:b/>
          <w:sz w:val="24"/>
          <w:szCs w:val="24"/>
          <w:highlight w:val="none"/>
        </w:rPr>
      </w:pPr>
      <w:r>
        <w:rPr>
          <w:rFonts w:hint="eastAsia" w:ascii="宋体" w:hAnsi="宋体" w:eastAsia="宋体"/>
          <w:b/>
          <w:sz w:val="24"/>
          <w:szCs w:val="24"/>
          <w:highlight w:val="none"/>
        </w:rPr>
        <w:t>三、分投分中：</w:t>
      </w:r>
      <w:r>
        <w:rPr>
          <w:rFonts w:hint="eastAsia" w:ascii="宋体" w:hAnsi="宋体" w:eastAsia="宋体"/>
          <w:b/>
          <w:color w:val="000000" w:themeColor="text1"/>
          <w:sz w:val="24"/>
          <w:szCs w:val="24"/>
          <w:highlight w:val="none"/>
          <w14:textFill>
            <w14:solidFill>
              <w14:schemeClr w14:val="tx1"/>
            </w14:solidFill>
          </w14:textFill>
        </w:rPr>
        <w:t>不允许</w:t>
      </w:r>
    </w:p>
    <w:p w14:paraId="44B24293">
      <w:pPr>
        <w:spacing w:line="360" w:lineRule="auto"/>
        <w:jc w:val="center"/>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采购货物主要构成一览表</w:t>
      </w:r>
    </w:p>
    <w:tbl>
      <w:tblPr>
        <w:tblStyle w:val="31"/>
        <w:tblW w:w="89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9"/>
        <w:gridCol w:w="2150"/>
        <w:gridCol w:w="941"/>
        <w:gridCol w:w="782"/>
        <w:gridCol w:w="1554"/>
        <w:gridCol w:w="2682"/>
      </w:tblGrid>
      <w:tr w14:paraId="1A13A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889" w:type="dxa"/>
            <w:vAlign w:val="center"/>
          </w:tcPr>
          <w:p w14:paraId="5DAA552E">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序号</w:t>
            </w:r>
          </w:p>
        </w:tc>
        <w:tc>
          <w:tcPr>
            <w:tcW w:w="2150" w:type="dxa"/>
            <w:vAlign w:val="center"/>
          </w:tcPr>
          <w:p w14:paraId="6A92BC3F">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名称</w:t>
            </w:r>
          </w:p>
        </w:tc>
        <w:tc>
          <w:tcPr>
            <w:tcW w:w="941" w:type="dxa"/>
            <w:vAlign w:val="center"/>
          </w:tcPr>
          <w:p w14:paraId="094A57B5">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单位</w:t>
            </w:r>
          </w:p>
        </w:tc>
        <w:tc>
          <w:tcPr>
            <w:tcW w:w="782" w:type="dxa"/>
            <w:vAlign w:val="center"/>
          </w:tcPr>
          <w:p w14:paraId="04137F04">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数量</w:t>
            </w:r>
          </w:p>
        </w:tc>
        <w:tc>
          <w:tcPr>
            <w:tcW w:w="1554" w:type="dxa"/>
            <w:vAlign w:val="center"/>
          </w:tcPr>
          <w:p w14:paraId="7AFC8222">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交货方式</w:t>
            </w:r>
          </w:p>
        </w:tc>
        <w:tc>
          <w:tcPr>
            <w:tcW w:w="2682" w:type="dxa"/>
            <w:vAlign w:val="center"/>
          </w:tcPr>
          <w:p w14:paraId="44194FB5">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备注</w:t>
            </w:r>
          </w:p>
        </w:tc>
      </w:tr>
      <w:tr w14:paraId="08832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1" w:hRule="atLeast"/>
        </w:trPr>
        <w:tc>
          <w:tcPr>
            <w:tcW w:w="889" w:type="dxa"/>
            <w:vAlign w:val="center"/>
          </w:tcPr>
          <w:p w14:paraId="7F2A5C63">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1</w:t>
            </w:r>
          </w:p>
        </w:tc>
        <w:tc>
          <w:tcPr>
            <w:tcW w:w="2150" w:type="dxa"/>
            <w:vAlign w:val="center"/>
          </w:tcPr>
          <w:p w14:paraId="17274A90">
            <w:pPr>
              <w:widowControl/>
              <w:jc w:val="center"/>
              <w:rPr>
                <w:rFonts w:hint="eastAsia" w:ascii="宋体" w:hAnsi="宋体" w:eastAsia="宋体" w:cs="宋体"/>
                <w:b/>
                <w:bCs/>
                <w:color w:val="000000" w:themeColor="text1"/>
                <w:highlight w:val="none"/>
                <w14:textFill>
                  <w14:solidFill>
                    <w14:schemeClr w14:val="tx1"/>
                  </w14:solidFill>
                </w14:textFill>
              </w:rPr>
            </w:pPr>
            <w:r>
              <w:rPr>
                <w:rFonts w:hint="eastAsia" w:ascii="宋体" w:hAnsi="宋体" w:eastAsia="宋体"/>
                <w:bCs/>
                <w:sz w:val="24"/>
                <w:szCs w:val="24"/>
                <w:highlight w:val="none"/>
                <w:lang w:val="en-US" w:eastAsia="zh-CN"/>
              </w:rPr>
              <w:t>驾驶室吊装系统检修走台</w:t>
            </w:r>
          </w:p>
        </w:tc>
        <w:tc>
          <w:tcPr>
            <w:tcW w:w="941" w:type="dxa"/>
            <w:vAlign w:val="center"/>
          </w:tcPr>
          <w:p w14:paraId="73677342">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项</w:t>
            </w:r>
          </w:p>
        </w:tc>
        <w:tc>
          <w:tcPr>
            <w:tcW w:w="782" w:type="dxa"/>
            <w:vAlign w:val="center"/>
          </w:tcPr>
          <w:p w14:paraId="62BD9F0A">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1</w:t>
            </w:r>
          </w:p>
        </w:tc>
        <w:tc>
          <w:tcPr>
            <w:tcW w:w="1554" w:type="dxa"/>
            <w:vAlign w:val="center"/>
          </w:tcPr>
          <w:p w14:paraId="1F8B2A69">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交钥匙方式</w:t>
            </w:r>
          </w:p>
        </w:tc>
        <w:tc>
          <w:tcPr>
            <w:tcW w:w="2682" w:type="dxa"/>
            <w:vAlign w:val="center"/>
          </w:tcPr>
          <w:p w14:paraId="38E6C793">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Times New Roman" w:hAnsi="Times New Roman" w:eastAsia="宋体" w:cs="Times New Roman"/>
                <w:bCs/>
                <w:sz w:val="24"/>
                <w:szCs w:val="24"/>
                <w:highlight w:val="none"/>
              </w:rPr>
              <w:t>主体承重框架、防滑走台面板、安全防护栏杆、底部挡脚板、检修爬梯、固定支撑支座六部分组成</w:t>
            </w:r>
          </w:p>
        </w:tc>
      </w:tr>
    </w:tbl>
    <w:p w14:paraId="5BD91185">
      <w:pPr>
        <w:spacing w:line="360" w:lineRule="auto"/>
        <w:jc w:val="both"/>
        <w:rPr>
          <w:rFonts w:hint="eastAsia" w:ascii="宋体" w:hAnsi="宋体" w:eastAsia="宋体" w:cs="宋体"/>
          <w:color w:val="000000"/>
          <w:sz w:val="24"/>
          <w:szCs w:val="24"/>
          <w:highlight w:val="none"/>
        </w:rPr>
      </w:pPr>
    </w:p>
    <w:p w14:paraId="5B088E73">
      <w:pPr>
        <w:spacing w:line="360" w:lineRule="auto"/>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1.本表所列采购设备仅为主要设备明细，应配套供货以及招标人所列其它货物（或设备）和服务，请投标人认真阅读“供货范围”。若有异议，不管是多么微小，都应在投标文件“商务偏离”章节中予以详细说明。</w:t>
      </w:r>
    </w:p>
    <w:p w14:paraId="7EF18BBE">
      <w:pPr>
        <w:spacing w:line="360" w:lineRule="auto"/>
        <w:ind w:firstLine="480" w:firstLineChars="200"/>
        <w:rPr>
          <w:rFonts w:hAnsi="宋体" w:eastAsia="宋体" w:cs="宋体"/>
          <w:bCs/>
          <w:sz w:val="24"/>
          <w:szCs w:val="24"/>
          <w:highlight w:val="none"/>
        </w:rPr>
      </w:pPr>
      <w:r>
        <w:rPr>
          <w:rFonts w:hint="eastAsia" w:ascii="宋体" w:hAnsi="宋体" w:eastAsia="宋体" w:cs="宋体"/>
          <w:bCs/>
          <w:sz w:val="24"/>
          <w:szCs w:val="24"/>
          <w:highlight w:val="none"/>
        </w:rPr>
        <w:t>2.本表“供货方式”指：交钥匙方式——包括制造、运输、定点卸货、安装、调试和协助验收以及约定培训等。</w:t>
      </w:r>
    </w:p>
    <w:p w14:paraId="0B7BA5AA">
      <w:pPr>
        <w:spacing w:line="360" w:lineRule="auto"/>
        <w:outlineLvl w:val="3"/>
        <w:rPr>
          <w:rFonts w:ascii="宋体" w:hAnsi="宋体" w:eastAsia="宋体"/>
          <w:b/>
          <w:sz w:val="24"/>
          <w:szCs w:val="24"/>
          <w:highlight w:val="none"/>
        </w:rPr>
      </w:pPr>
      <w:r>
        <w:rPr>
          <w:rFonts w:hint="eastAsia" w:ascii="宋体" w:hAnsi="宋体" w:eastAsia="宋体"/>
          <w:b/>
          <w:sz w:val="24"/>
          <w:szCs w:val="24"/>
          <w:highlight w:val="none"/>
        </w:rPr>
        <w:t>四</w:t>
      </w:r>
      <w:r>
        <w:rPr>
          <w:rFonts w:hint="eastAsia" w:ascii="宋体" w:hAnsi="宋体" w:eastAsia="宋体" w:cs="Times New Roman"/>
          <w:b/>
          <w:color w:val="000000"/>
          <w:sz w:val="24"/>
          <w:szCs w:val="24"/>
          <w:highlight w:val="none"/>
        </w:rPr>
        <w:t>、采购货物特别说明</w:t>
      </w:r>
    </w:p>
    <w:p w14:paraId="462D1ED6">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招标方所列货物的名称和规格型号，如为某一供应商所特有，则该名称和规格型号可作参考；但要求投标方所提供的货物必须满足本技术标书实质性要求。</w:t>
      </w:r>
    </w:p>
    <w:p w14:paraId="1591B4A6">
      <w:pPr>
        <w:spacing w:line="360" w:lineRule="auto"/>
        <w:rPr>
          <w:rFonts w:ascii="宋体" w:hAnsi="宋体" w:eastAsia="宋体"/>
          <w:sz w:val="24"/>
          <w:szCs w:val="24"/>
          <w:highlight w:val="none"/>
        </w:rPr>
      </w:pPr>
      <w:r>
        <w:rPr>
          <w:rFonts w:hint="eastAsia" w:ascii="宋体" w:hAnsi="宋体" w:eastAsia="宋体"/>
          <w:b/>
          <w:sz w:val="24"/>
          <w:szCs w:val="24"/>
          <w:highlight w:val="none"/>
        </w:rPr>
        <w:t>五、投标要求</w:t>
      </w:r>
    </w:p>
    <w:p w14:paraId="633DC867">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1、投标方须对</w:t>
      </w:r>
      <w:r>
        <w:rPr>
          <w:rFonts w:hint="eastAsia" w:ascii="宋体" w:hAnsi="宋体" w:eastAsia="宋体"/>
          <w:sz w:val="24"/>
          <w:szCs w:val="24"/>
          <w:highlight w:val="none"/>
          <w:u w:val="single"/>
          <w:lang w:val="en-US" w:eastAsia="zh-CN"/>
        </w:rPr>
        <w:t>济宁商用车公司驾驶室吊装系统检修走台</w:t>
      </w:r>
      <w:r>
        <w:rPr>
          <w:rFonts w:hint="eastAsia" w:ascii="宋体" w:hAnsi="宋体" w:eastAsia="宋体"/>
          <w:bCs/>
          <w:sz w:val="24"/>
          <w:szCs w:val="24"/>
          <w:highlight w:val="none"/>
        </w:rPr>
        <w:t>施工详细内容充分分析，根据需求并提供详细的</w:t>
      </w:r>
      <w:r>
        <w:rPr>
          <w:rFonts w:hint="eastAsia" w:ascii="宋体" w:hAnsi="宋体" w:eastAsia="宋体"/>
          <w:bCs/>
          <w:sz w:val="24"/>
          <w:szCs w:val="24"/>
          <w:highlight w:val="none"/>
          <w:lang w:val="en-US" w:eastAsia="zh-CN"/>
        </w:rPr>
        <w:t>设计图纸</w:t>
      </w:r>
      <w:r>
        <w:rPr>
          <w:rFonts w:hint="eastAsia" w:ascii="宋体" w:hAnsi="宋体" w:eastAsia="宋体"/>
          <w:bCs/>
          <w:sz w:val="24"/>
          <w:szCs w:val="24"/>
          <w:highlight w:val="none"/>
        </w:rPr>
        <w:t>，</w:t>
      </w:r>
      <w:r>
        <w:rPr>
          <w:rFonts w:hint="eastAsia" w:ascii="宋体" w:hAnsi="宋体" w:eastAsia="宋体"/>
          <w:bCs/>
          <w:sz w:val="24"/>
          <w:szCs w:val="24"/>
          <w:highlight w:val="none"/>
          <w:lang w:val="en-US" w:eastAsia="zh-CN"/>
        </w:rPr>
        <w:t>综合考虑房屋承重，设计过程中有必要对房屋进行加固，</w:t>
      </w:r>
      <w:r>
        <w:rPr>
          <w:rFonts w:hint="eastAsia" w:ascii="宋体" w:hAnsi="宋体" w:eastAsia="宋体"/>
          <w:bCs/>
          <w:sz w:val="24"/>
          <w:szCs w:val="24"/>
          <w:highlight w:val="none"/>
        </w:rPr>
        <w:t>同时以此为报价基础。</w:t>
      </w:r>
    </w:p>
    <w:p w14:paraId="39E8A3D5">
      <w:pPr>
        <w:spacing w:line="360" w:lineRule="auto"/>
        <w:ind w:firstLine="480" w:firstLineChars="200"/>
        <w:rPr>
          <w:rFonts w:hint="eastAsia" w:ascii="宋体" w:hAnsi="宋体" w:eastAsia="宋体"/>
          <w:bCs/>
          <w:sz w:val="24"/>
          <w:szCs w:val="24"/>
          <w:highlight w:val="none"/>
          <w:lang w:val="en-US" w:eastAsia="zh-CN"/>
        </w:rPr>
      </w:pPr>
      <w:r>
        <w:rPr>
          <w:rFonts w:hint="eastAsia" w:ascii="宋体" w:hAnsi="宋体" w:eastAsia="宋体"/>
          <w:bCs/>
          <w:sz w:val="24"/>
          <w:szCs w:val="24"/>
          <w:highlight w:val="none"/>
        </w:rPr>
        <w:t>2、中标人对</w:t>
      </w:r>
      <w:r>
        <w:rPr>
          <w:rFonts w:hint="eastAsia" w:ascii="宋体" w:hAnsi="宋体" w:eastAsia="宋体"/>
          <w:bCs/>
          <w:sz w:val="24"/>
          <w:szCs w:val="24"/>
          <w:highlight w:val="none"/>
          <w:lang w:val="en-US" w:eastAsia="zh-CN"/>
        </w:rPr>
        <w:t>吊装系统质量</w:t>
      </w:r>
      <w:r>
        <w:rPr>
          <w:rFonts w:hint="eastAsia" w:ascii="宋体" w:hAnsi="宋体" w:eastAsia="宋体"/>
          <w:bCs/>
          <w:sz w:val="24"/>
          <w:szCs w:val="24"/>
          <w:highlight w:val="none"/>
        </w:rPr>
        <w:t>和可靠性负责</w:t>
      </w:r>
      <w:r>
        <w:rPr>
          <w:rFonts w:hint="eastAsia" w:ascii="宋体" w:hAnsi="宋体" w:eastAsia="宋体"/>
          <w:bCs/>
          <w:sz w:val="24"/>
          <w:szCs w:val="24"/>
          <w:highlight w:val="none"/>
          <w:lang w:eastAsia="zh-CN"/>
        </w:rPr>
        <w:t>。</w:t>
      </w:r>
    </w:p>
    <w:p w14:paraId="3D1E62C1">
      <w:pPr>
        <w:spacing w:line="360" w:lineRule="auto"/>
        <w:ind w:firstLine="480" w:firstLineChars="200"/>
        <w:rPr>
          <w:rFonts w:hint="default" w:ascii="宋体" w:hAnsi="宋体" w:eastAsia="宋体"/>
          <w:bCs/>
          <w:sz w:val="24"/>
          <w:szCs w:val="24"/>
          <w:highlight w:val="none"/>
          <w:lang w:val="en-US" w:eastAsia="zh-CN"/>
        </w:rPr>
      </w:pPr>
      <w:r>
        <w:rPr>
          <w:rFonts w:hint="eastAsia" w:ascii="宋体" w:hAnsi="宋体" w:eastAsia="宋体"/>
          <w:bCs/>
          <w:sz w:val="24"/>
          <w:szCs w:val="24"/>
          <w:highlight w:val="none"/>
        </w:rPr>
        <w:t>3、中标人</w:t>
      </w:r>
      <w:r>
        <w:rPr>
          <w:rFonts w:hint="eastAsia" w:ascii="宋体" w:hAnsi="宋体" w:eastAsia="宋体"/>
          <w:bCs/>
          <w:sz w:val="24"/>
          <w:szCs w:val="24"/>
          <w:highlight w:val="none"/>
          <w:lang w:val="en-US" w:eastAsia="zh-CN"/>
        </w:rPr>
        <w:t>图纸设计完成后需要经招标方确认方可施工。</w:t>
      </w:r>
    </w:p>
    <w:p w14:paraId="676B2715">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4、中标人对中标设备的</w:t>
      </w:r>
      <w:r>
        <w:rPr>
          <w:rFonts w:hint="eastAsia" w:ascii="宋体" w:hAnsi="宋体" w:eastAsia="宋体"/>
          <w:bCs/>
          <w:sz w:val="24"/>
          <w:szCs w:val="24"/>
          <w:highlight w:val="none"/>
          <w:lang w:val="en-US" w:eastAsia="zh-CN"/>
        </w:rPr>
        <w:t>设计、</w:t>
      </w:r>
      <w:r>
        <w:rPr>
          <w:rFonts w:hint="eastAsia" w:ascii="宋体" w:hAnsi="宋体" w:eastAsia="宋体"/>
          <w:bCs/>
          <w:sz w:val="24"/>
          <w:szCs w:val="24"/>
          <w:highlight w:val="none"/>
        </w:rPr>
        <w:t>制造、安装、调试提供系列服务，具体如下：</w:t>
      </w:r>
    </w:p>
    <w:p w14:paraId="4126FFA2">
      <w:pPr>
        <w:numPr>
          <w:ilvl w:val="0"/>
          <w:numId w:val="15"/>
        </w:numPr>
        <w:spacing w:line="360" w:lineRule="auto"/>
        <w:ind w:left="420" w:leftChars="0" w:hanging="420" w:firstLineChars="0"/>
        <w:rPr>
          <w:rFonts w:ascii="宋体" w:hAnsi="宋体" w:eastAsia="宋体"/>
          <w:bCs/>
          <w:sz w:val="24"/>
          <w:szCs w:val="24"/>
          <w:highlight w:val="none"/>
        </w:rPr>
      </w:pPr>
      <w:r>
        <w:rPr>
          <w:rFonts w:hint="eastAsia" w:ascii="宋体" w:hAnsi="宋体" w:eastAsia="宋体"/>
          <w:bCs/>
          <w:sz w:val="24"/>
          <w:szCs w:val="24"/>
          <w:highlight w:val="none"/>
          <w:lang w:val="en-US" w:eastAsia="zh-CN"/>
        </w:rPr>
        <w:t>走台</w:t>
      </w:r>
      <w:r>
        <w:rPr>
          <w:rFonts w:hint="eastAsia" w:ascii="宋体" w:hAnsi="宋体" w:eastAsia="宋体"/>
          <w:bCs/>
          <w:sz w:val="24"/>
          <w:szCs w:val="24"/>
          <w:highlight w:val="none"/>
        </w:rPr>
        <w:t>颜色符合《Q-ZZ30070设备设施颜色标识》规定，外观无明显缺陷，重新焊接完成后，对焊接位置进行重新刷漆。</w:t>
      </w:r>
    </w:p>
    <w:p w14:paraId="7DD3C6BA">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主、辅材的采购、供应；</w:t>
      </w:r>
    </w:p>
    <w:p w14:paraId="7F36E240">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非标</w:t>
      </w:r>
      <w:r>
        <w:rPr>
          <w:rFonts w:hint="eastAsia" w:ascii="宋体" w:hAnsi="宋体" w:eastAsia="宋体"/>
          <w:bCs/>
          <w:sz w:val="24"/>
          <w:szCs w:val="24"/>
          <w:highlight w:val="none"/>
          <w:lang w:val="en-US" w:eastAsia="zh-CN"/>
        </w:rPr>
        <w:t>走台</w:t>
      </w:r>
      <w:r>
        <w:rPr>
          <w:rFonts w:hint="eastAsia" w:ascii="宋体" w:hAnsi="宋体" w:eastAsia="宋体"/>
          <w:bCs/>
          <w:sz w:val="24"/>
          <w:szCs w:val="24"/>
          <w:highlight w:val="none"/>
        </w:rPr>
        <w:t>的加工、制作、安装；</w:t>
      </w:r>
    </w:p>
    <w:p w14:paraId="3DB77A05">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建立</w:t>
      </w:r>
      <w:r>
        <w:rPr>
          <w:rFonts w:hint="eastAsia" w:ascii="宋体" w:hAnsi="宋体" w:eastAsia="宋体"/>
          <w:bCs/>
          <w:sz w:val="24"/>
          <w:szCs w:val="24"/>
          <w:highlight w:val="none"/>
          <w:lang w:val="en-US" w:eastAsia="zh-CN"/>
        </w:rPr>
        <w:t>健全</w:t>
      </w:r>
      <w:r>
        <w:rPr>
          <w:rFonts w:hint="eastAsia" w:ascii="宋体" w:hAnsi="宋体" w:eastAsia="宋体"/>
          <w:bCs/>
          <w:sz w:val="24"/>
          <w:szCs w:val="24"/>
          <w:highlight w:val="none"/>
        </w:rPr>
        <w:t>安全、保卫、卫生、消防制度，保证工程顺利进行；</w:t>
      </w:r>
    </w:p>
    <w:p w14:paraId="653EEF4C">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施工人员的食宿及费用；</w:t>
      </w:r>
    </w:p>
    <w:p w14:paraId="7F1A4B88">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安装现场制作所需的设备、工具；</w:t>
      </w:r>
    </w:p>
    <w:p w14:paraId="28E9495E">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负责人员培训及售后服务；</w:t>
      </w:r>
    </w:p>
    <w:p w14:paraId="723145B5">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从生产厂到交货地点的包装、运输；</w:t>
      </w:r>
    </w:p>
    <w:p w14:paraId="71DA0A2D">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参与设备验收，提供竣工图与竣工报告等技术文件，及时办理移交手续。</w:t>
      </w:r>
    </w:p>
    <w:p w14:paraId="71D6001A">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其他甲方的施工要求。</w:t>
      </w:r>
    </w:p>
    <w:p w14:paraId="73CE3394">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响应甲方要求，配合制定出合理可行的总装不停线施工方案及计划。</w:t>
      </w:r>
    </w:p>
    <w:p w14:paraId="5A2819A0">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6、在现场制作的关键部件，必须经委托方检验合格后，方可进行涂漆、组装。合格品才能运抵施工现场。</w:t>
      </w:r>
    </w:p>
    <w:p w14:paraId="4EE22322">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7、中标方服从招标方对现场、安全的管理。</w:t>
      </w:r>
    </w:p>
    <w:p w14:paraId="6751E9C9">
      <w:pPr>
        <w:widowControl/>
        <w:spacing w:line="360" w:lineRule="auto"/>
        <w:jc w:val="left"/>
        <w:rPr>
          <w:rFonts w:ascii="宋体" w:hAnsi="宋体" w:eastAsia="宋体"/>
          <w:sz w:val="24"/>
          <w:szCs w:val="24"/>
          <w:highlight w:val="none"/>
        </w:rPr>
      </w:pPr>
    </w:p>
    <w:p w14:paraId="44C9018C">
      <w:pPr>
        <w:keepNext/>
        <w:keepLines/>
        <w:spacing w:before="120" w:after="120" w:line="480" w:lineRule="exact"/>
        <w:jc w:val="center"/>
        <w:outlineLvl w:val="1"/>
        <w:rPr>
          <w:rFonts w:hint="eastAsia" w:ascii="宋体" w:hAnsi="宋体" w:eastAsia="宋体" w:cs="Times New Roman"/>
          <w:b/>
          <w:bCs/>
          <w:kern w:val="44"/>
          <w:sz w:val="28"/>
          <w:szCs w:val="28"/>
          <w:highlight w:val="none"/>
        </w:rPr>
      </w:pPr>
      <w:bookmarkStart w:id="67" w:name="_Toc169605880"/>
      <w:bookmarkStart w:id="68" w:name="_Toc169605881"/>
      <w:r>
        <w:rPr>
          <w:rFonts w:hint="eastAsia" w:ascii="宋体" w:hAnsi="宋体" w:eastAsia="宋体" w:cs="Times New Roman"/>
          <w:b/>
          <w:bCs/>
          <w:kern w:val="44"/>
          <w:sz w:val="28"/>
          <w:szCs w:val="28"/>
          <w:highlight w:val="none"/>
        </w:rPr>
        <w:t>第</w:t>
      </w:r>
      <w:r>
        <w:rPr>
          <w:rFonts w:hint="eastAsia" w:ascii="宋体" w:hAnsi="宋体" w:eastAsia="宋体" w:cs="Times New Roman"/>
          <w:b/>
          <w:bCs/>
          <w:kern w:val="44"/>
          <w:sz w:val="28"/>
          <w:szCs w:val="28"/>
          <w:highlight w:val="none"/>
          <w:lang w:val="en-US" w:eastAsia="zh-CN"/>
        </w:rPr>
        <w:t>三</w:t>
      </w:r>
      <w:r>
        <w:rPr>
          <w:rFonts w:hint="eastAsia" w:ascii="宋体" w:hAnsi="宋体" w:eastAsia="宋体" w:cs="Times New Roman"/>
          <w:b/>
          <w:bCs/>
          <w:kern w:val="44"/>
          <w:sz w:val="28"/>
          <w:szCs w:val="28"/>
          <w:highlight w:val="none"/>
        </w:rPr>
        <w:t>节技术要求</w:t>
      </w:r>
      <w:bookmarkEnd w:id="67"/>
    </w:p>
    <w:p w14:paraId="7AE634A8">
      <w:pPr>
        <w:pStyle w:val="94"/>
        <w:spacing w:line="360" w:lineRule="auto"/>
        <w:ind w:firstLine="482" w:firstLineChars="200"/>
        <w:outlineLvl w:val="2"/>
        <w:rPr>
          <w:rFonts w:eastAsia="宋体" w:cs="宋体"/>
          <w:b/>
          <w:bCs w:val="0"/>
          <w:sz w:val="24"/>
          <w:szCs w:val="24"/>
          <w:highlight w:val="none"/>
        </w:rPr>
      </w:pPr>
      <w:r>
        <w:rPr>
          <w:rFonts w:hint="eastAsia" w:eastAsia="宋体" w:cs="宋体"/>
          <w:b/>
          <w:bCs w:val="0"/>
          <w:sz w:val="24"/>
          <w:szCs w:val="24"/>
          <w:highlight w:val="none"/>
        </w:rPr>
        <w:t>一、特别提示</w:t>
      </w:r>
    </w:p>
    <w:p w14:paraId="00F00968">
      <w:pPr>
        <w:spacing w:line="360" w:lineRule="auto"/>
        <w:rPr>
          <w:rFonts w:ascii="宋体" w:hAnsi="宋体" w:eastAsia="宋体" w:cs="Times New Roman"/>
          <w:sz w:val="24"/>
          <w:szCs w:val="24"/>
          <w:highlight w:val="none"/>
        </w:rPr>
      </w:pPr>
      <w:r>
        <w:rPr>
          <w:rFonts w:hint="eastAsia" w:ascii="宋体" w:hAnsi="宋体" w:eastAsia="宋体" w:cs="Times New Roman"/>
          <w:sz w:val="24"/>
          <w:szCs w:val="24"/>
          <w:highlight w:val="none"/>
        </w:rPr>
        <w:t xml:space="preserve">    1.本章技术要求，仅对功能、设计、结构、性能、安装和试验检验等方面，提出了最低和一般性的技术要求，并未对一切技术细节作出规定。</w:t>
      </w:r>
    </w:p>
    <w:p w14:paraId="61AB0FE0">
      <w:pPr>
        <w:spacing w:line="360" w:lineRule="auto"/>
        <w:rPr>
          <w:rFonts w:ascii="宋体" w:hAnsi="宋体" w:eastAsia="宋体" w:cs="Times New Roman"/>
          <w:sz w:val="24"/>
          <w:szCs w:val="24"/>
          <w:highlight w:val="none"/>
        </w:rPr>
      </w:pPr>
      <w:r>
        <w:rPr>
          <w:rFonts w:hint="eastAsia" w:ascii="宋体" w:hAnsi="宋体" w:eastAsia="宋体" w:cs="Times New Roman"/>
          <w:sz w:val="24"/>
          <w:szCs w:val="24"/>
          <w:highlight w:val="none"/>
        </w:rPr>
        <w:t xml:space="preserve">    2.本技术要求所使用的标准、规范等，如与投标人所执行的标准、规范不一致时，应按高于本技术要求所列的标准、规范执行。</w:t>
      </w:r>
    </w:p>
    <w:p w14:paraId="280DE0BA">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sz w:val="24"/>
          <w:szCs w:val="24"/>
          <w:highlight w:val="none"/>
        </w:rPr>
        <w:t>3</w:t>
      </w:r>
      <w:r>
        <w:rPr>
          <w:rFonts w:hint="eastAsia" w:ascii="宋体" w:hAnsi="宋体" w:eastAsia="宋体" w:cs="Times New Roman"/>
          <w:sz w:val="24"/>
          <w:szCs w:val="24"/>
          <w:highlight w:val="none"/>
        </w:rPr>
        <w:t>.投标人认为所供货物必需由招标人配备、解决或提供的其它要求，如设备基础隔振和减振设施、软化水、洁净气源等，均应在投标文件“技术偏离”中予以充分说明。</w:t>
      </w:r>
    </w:p>
    <w:p w14:paraId="01D80DF1">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bCs/>
          <w:sz w:val="24"/>
          <w:szCs w:val="24"/>
          <w:highlight w:val="none"/>
        </w:rPr>
        <w:t>4</w:t>
      </w:r>
      <w:r>
        <w:rPr>
          <w:rFonts w:hint="eastAsia" w:ascii="宋体" w:hAnsi="宋体" w:eastAsia="宋体" w:cs="Times New Roman"/>
          <w:bCs/>
          <w:sz w:val="24"/>
          <w:szCs w:val="24"/>
          <w:highlight w:val="none"/>
        </w:rPr>
        <w:t>.投标人应根据招投标货物具体要求，提出</w:t>
      </w:r>
      <w:r>
        <w:rPr>
          <w:rFonts w:hint="eastAsia" w:ascii="宋体" w:hAnsi="宋体" w:eastAsia="宋体" w:cs="Times New Roman"/>
          <w:sz w:val="24"/>
          <w:szCs w:val="24"/>
          <w:highlight w:val="none"/>
        </w:rPr>
        <w:t>对厂房、设备基础（或安装平台）、公用设施、消防、环保等超出招标文件、投标文件、答疑文件、技术交流文件、技术协议书和合同等规定的、有特殊需要的解释、说明和要求。</w:t>
      </w:r>
    </w:p>
    <w:p w14:paraId="3DCFE1AC">
      <w:pPr>
        <w:spacing w:line="360" w:lineRule="auto"/>
        <w:rPr>
          <w:rFonts w:ascii="宋体" w:hAnsi="宋体" w:eastAsia="宋体" w:cs="Times New Roman"/>
          <w:sz w:val="24"/>
          <w:szCs w:val="24"/>
          <w:highlight w:val="none"/>
        </w:rPr>
      </w:pPr>
      <w:r>
        <w:rPr>
          <w:rFonts w:hint="eastAsia" w:ascii="宋体" w:hAnsi="宋体" w:eastAsia="宋体" w:cs="Times New Roman"/>
          <w:sz w:val="24"/>
          <w:szCs w:val="24"/>
          <w:highlight w:val="none"/>
        </w:rPr>
        <w:t xml:space="preserve">    5.无论是否有技术偏离，投标人均应在投标文件“技术偏离”中明确作出有无说明。若有异议，不管是多么微小，投标人必须予以明确和详细的说明或澄清。</w:t>
      </w:r>
    </w:p>
    <w:p w14:paraId="045CBE6C">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sz w:val="24"/>
          <w:szCs w:val="24"/>
          <w:highlight w:val="none"/>
        </w:rPr>
        <w:t>6</w:t>
      </w:r>
      <w:r>
        <w:rPr>
          <w:rFonts w:hint="eastAsia" w:ascii="宋体" w:hAnsi="宋体" w:eastAsia="宋体" w:cs="Times New Roman"/>
          <w:sz w:val="24"/>
          <w:szCs w:val="24"/>
          <w:highlight w:val="none"/>
        </w:rPr>
        <w:t>.为避免投标人优势在招标评审时漏项，质保期超出本技术标书要求的，应当在投标文件“技术偏离”中特别注明。</w:t>
      </w:r>
    </w:p>
    <w:p w14:paraId="6139FC64">
      <w:pPr>
        <w:pStyle w:val="94"/>
        <w:spacing w:line="360" w:lineRule="auto"/>
        <w:ind w:firstLine="482" w:firstLineChars="200"/>
        <w:outlineLvl w:val="2"/>
        <w:rPr>
          <w:rFonts w:eastAsia="宋体" w:cs="宋体"/>
          <w:b/>
          <w:bCs w:val="0"/>
          <w:sz w:val="24"/>
          <w:szCs w:val="24"/>
          <w:highlight w:val="none"/>
        </w:rPr>
      </w:pPr>
      <w:r>
        <w:rPr>
          <w:rFonts w:hint="eastAsia" w:eastAsia="宋体" w:cs="宋体"/>
          <w:b/>
          <w:bCs w:val="0"/>
          <w:sz w:val="24"/>
          <w:szCs w:val="24"/>
          <w:highlight w:val="none"/>
        </w:rPr>
        <w:t>二、基本要求</w:t>
      </w:r>
    </w:p>
    <w:p w14:paraId="57C5EC0F">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sz w:val="24"/>
          <w:szCs w:val="24"/>
          <w:highlight w:val="none"/>
        </w:rPr>
        <w:t>1</w:t>
      </w:r>
      <w:r>
        <w:rPr>
          <w:rFonts w:hint="eastAsia" w:ascii="宋体" w:hAnsi="宋体" w:eastAsia="宋体" w:cs="Times New Roman"/>
          <w:sz w:val="24"/>
          <w:szCs w:val="24"/>
          <w:highlight w:val="none"/>
        </w:rPr>
        <w:t>.投标人所供的货物，必须符合中国最新版的法律、法规和相关标准、规范的要求，符合项目所在地政府有关特殊要求。</w:t>
      </w:r>
    </w:p>
    <w:p w14:paraId="7B8EDEFA">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sz w:val="24"/>
          <w:szCs w:val="24"/>
          <w:highlight w:val="none"/>
        </w:rPr>
        <w:t>2</w:t>
      </w:r>
      <w:r>
        <w:rPr>
          <w:rFonts w:hint="eastAsia" w:ascii="宋体" w:hAnsi="宋体" w:eastAsia="宋体" w:cs="Times New Roman"/>
          <w:sz w:val="24"/>
          <w:szCs w:val="24"/>
          <w:highlight w:val="none"/>
        </w:rPr>
        <w:t>.投标人所供货物涉及的专利权技术以及知识产权保护的其它技术等，应保证招标人不因此受到任何侵权指控以及实际损失。</w:t>
      </w:r>
    </w:p>
    <w:p w14:paraId="04B6BDCB">
      <w:pPr>
        <w:spacing w:line="360" w:lineRule="auto"/>
        <w:ind w:firstLine="480" w:firstLineChars="200"/>
        <w:rPr>
          <w:rFonts w:ascii="宋体" w:hAnsi="宋体" w:eastAsia="宋体" w:cs="Times New Roman"/>
          <w:sz w:val="24"/>
          <w:szCs w:val="24"/>
          <w:highlight w:val="none"/>
        </w:rPr>
      </w:pPr>
      <w:r>
        <w:rPr>
          <w:rFonts w:hint="eastAsia" w:ascii="宋体" w:hAnsi="宋体" w:eastAsia="宋体" w:cs="Times New Roman"/>
          <w:sz w:val="24"/>
          <w:szCs w:val="24"/>
          <w:highlight w:val="none"/>
          <w:lang w:val="en-US" w:eastAsia="zh-CN"/>
        </w:rPr>
        <w:t>3</w:t>
      </w:r>
      <w:r>
        <w:rPr>
          <w:rFonts w:hint="eastAsia" w:ascii="宋体" w:hAnsi="宋体" w:eastAsia="宋体" w:cs="Times New Roman"/>
          <w:sz w:val="24"/>
          <w:szCs w:val="24"/>
          <w:highlight w:val="none"/>
        </w:rPr>
        <w:t>.投标人应对招标人采购的货物所涉及的技术、产能等信息负有保密义务，招标人拥有追究投标人泄密责任的权利；招标人如有需要，投标人应无条件签署保密协议。</w:t>
      </w:r>
    </w:p>
    <w:p w14:paraId="549FA8EE">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4</w:t>
      </w:r>
      <w:r>
        <w:rPr>
          <w:rFonts w:ascii="Times New Roman" w:hAnsi="Times New Roman" w:eastAsia="宋体" w:cs="Times New Roman"/>
          <w:bCs/>
          <w:sz w:val="24"/>
          <w:szCs w:val="24"/>
          <w:highlight w:val="none"/>
        </w:rPr>
        <w:t>.</w:t>
      </w:r>
      <w:r>
        <w:rPr>
          <w:rFonts w:hint="eastAsia" w:ascii="Times New Roman" w:hAnsi="Times New Roman" w:eastAsia="宋体" w:cs="Times New Roman"/>
          <w:bCs/>
          <w:sz w:val="24"/>
          <w:szCs w:val="24"/>
          <w:highlight w:val="none"/>
        </w:rPr>
        <w:t>要求投标方必须在近三年内为国内外厂家提供过同类型项目案例。投标文件中必须附有与本招标设备相同或相似技术规格、型号的设备的市场销售业绩清单。</w:t>
      </w:r>
    </w:p>
    <w:p w14:paraId="7F1C4DDB">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5</w:t>
      </w:r>
      <w:r>
        <w:rPr>
          <w:rFonts w:hint="eastAsia" w:ascii="Times New Roman" w:hAnsi="Times New Roman" w:eastAsia="宋体" w:cs="Times New Roman"/>
          <w:bCs/>
          <w:sz w:val="24"/>
          <w:szCs w:val="24"/>
          <w:highlight w:val="none"/>
        </w:rPr>
        <w:t>.投标方应在确保改造后的产线可以安全稳定运行，并且具备生产现有及项目内要求的新增车型</w:t>
      </w:r>
      <w:r>
        <w:rPr>
          <w:rFonts w:hint="eastAsia" w:ascii="Times New Roman" w:hAnsi="Times New Roman" w:eastAsia="宋体" w:cs="Times New Roman"/>
          <w:bCs/>
          <w:sz w:val="24"/>
          <w:szCs w:val="24"/>
          <w:highlight w:val="none"/>
          <w:lang w:val="en-US" w:eastAsia="zh-CN"/>
        </w:rPr>
        <w:t>/零部件</w:t>
      </w:r>
      <w:r>
        <w:rPr>
          <w:rFonts w:hint="eastAsia" w:ascii="Times New Roman" w:hAnsi="Times New Roman" w:eastAsia="宋体" w:cs="Times New Roman"/>
          <w:bCs/>
          <w:sz w:val="24"/>
          <w:szCs w:val="24"/>
          <w:highlight w:val="none"/>
        </w:rPr>
        <w:t>的能力。</w:t>
      </w:r>
    </w:p>
    <w:p w14:paraId="3F197388">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6</w:t>
      </w:r>
      <w:r>
        <w:rPr>
          <w:rFonts w:hint="eastAsia" w:ascii="Times New Roman" w:hAnsi="Times New Roman" w:eastAsia="宋体" w:cs="Times New Roman"/>
          <w:bCs/>
          <w:sz w:val="24"/>
          <w:szCs w:val="24"/>
          <w:highlight w:val="none"/>
        </w:rPr>
        <w:t>.投标方积极协助和提供招标方和招标方所委托的工程设计单位有关人员与标的物有关的工程设计资料。</w:t>
      </w:r>
    </w:p>
    <w:p w14:paraId="4EFCB773">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7</w:t>
      </w:r>
      <w:r>
        <w:rPr>
          <w:rFonts w:hint="eastAsia" w:ascii="Times New Roman" w:hAnsi="Times New Roman" w:eastAsia="宋体" w:cs="Times New Roman"/>
          <w:bCs/>
          <w:sz w:val="24"/>
          <w:szCs w:val="24"/>
          <w:highlight w:val="none"/>
        </w:rPr>
        <w:t>.投标方所供的设备，必须符合中国最新版的法律、法规和相关标准、规范的要求。</w:t>
      </w:r>
    </w:p>
    <w:p w14:paraId="664FCFC7">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8</w:t>
      </w:r>
      <w:r>
        <w:rPr>
          <w:rFonts w:hint="eastAsia" w:ascii="Times New Roman" w:hAnsi="Times New Roman" w:eastAsia="宋体" w:cs="Times New Roman"/>
          <w:bCs/>
          <w:sz w:val="24"/>
          <w:szCs w:val="24"/>
          <w:highlight w:val="none"/>
        </w:rPr>
        <w:t>.投标方所供设备涉及的专利权技术以及知识产权保护其它技术等，应保证招标方不因此受到第三方侵权指控以及实际损失。</w:t>
      </w:r>
    </w:p>
    <w:p w14:paraId="7C9EDB13">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9</w:t>
      </w:r>
      <w:r>
        <w:rPr>
          <w:rFonts w:hint="eastAsia" w:ascii="Times New Roman" w:hAnsi="Times New Roman" w:eastAsia="宋体" w:cs="Times New Roman"/>
          <w:bCs/>
          <w:sz w:val="24"/>
          <w:szCs w:val="24"/>
          <w:highlight w:val="none"/>
        </w:rPr>
        <w:t>.投标方应满足招标方提出的各项技术要求。</w:t>
      </w:r>
    </w:p>
    <w:p w14:paraId="091A3A98">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0</w:t>
      </w:r>
      <w:r>
        <w:rPr>
          <w:rFonts w:hint="eastAsia" w:ascii="Times New Roman" w:hAnsi="Times New Roman" w:eastAsia="宋体" w:cs="Times New Roman"/>
          <w:bCs/>
          <w:sz w:val="24"/>
          <w:szCs w:val="24"/>
          <w:highlight w:val="none"/>
        </w:rPr>
        <w:t>.投标方应对招标方采购的设备所涉及的产品、技术、产能等信息负有保密义务。</w:t>
      </w:r>
    </w:p>
    <w:p w14:paraId="21A01858">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11</w:t>
      </w:r>
      <w:r>
        <w:rPr>
          <w:rFonts w:hint="eastAsia" w:ascii="Times New Roman" w:hAnsi="Times New Roman" w:eastAsia="宋体" w:cs="Times New Roman"/>
          <w:bCs/>
          <w:sz w:val="24"/>
          <w:szCs w:val="24"/>
          <w:highlight w:val="none"/>
        </w:rPr>
        <w:t>.本技术要求，仅对功能、设计、结构、性能、安装和试验等方面，提出了最低和一般性的技术要求；并未对一切技术细节做出规定，未充分引述有关标准和规范的条文。投标方应保证提供的货物是符合本技术标书和国家最新的有关标准、规范的优质产品。若有异议，应在投标文件“技术偏离”中予以详细说明。</w:t>
      </w:r>
    </w:p>
    <w:p w14:paraId="21AC597C">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2</w:t>
      </w:r>
      <w:r>
        <w:rPr>
          <w:rFonts w:hint="eastAsia" w:ascii="Times New Roman" w:hAnsi="Times New Roman" w:eastAsia="宋体" w:cs="Times New Roman"/>
          <w:bCs/>
          <w:sz w:val="24"/>
          <w:szCs w:val="24"/>
          <w:highlight w:val="none"/>
        </w:rPr>
        <w:t>.本技术要求所使用的标准、规范等，如与投标方所执行的标准、规范不一致时，应按高于本技术要求所列的标准、规范执行，并在投标文件“技术偏离”中予以说明。</w:t>
      </w:r>
    </w:p>
    <w:p w14:paraId="793BADC5">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.投标方认为所供货物必需由招标方配备、解决或提供的其它要求，如设备基础隔振和减振设施、洁净气源等，均应在投标文件中予以充分说明。</w:t>
      </w:r>
    </w:p>
    <w:p w14:paraId="2EC3A5AB">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4</w:t>
      </w:r>
      <w:r>
        <w:rPr>
          <w:rFonts w:hint="eastAsia" w:ascii="Times New Roman" w:hAnsi="Times New Roman" w:eastAsia="宋体" w:cs="Times New Roman"/>
          <w:bCs/>
          <w:sz w:val="24"/>
          <w:szCs w:val="24"/>
          <w:highlight w:val="none"/>
        </w:rPr>
        <w:t>.投标方可以根据自身经验以及对招标文件的理解，写明买方招标设备（或材料）应进行的优于招标文件要求的其它方案或建议意见；投标方的这些努力，买方表示感谢，并将有助于投标方优先胜出；即使有建议意见或建议方案，仍应依据招标文件要求，编写符合要求的投标文件。建议方案或建议意见，应以单独篇章或文件，予以说明。</w:t>
      </w:r>
    </w:p>
    <w:p w14:paraId="070B5A68">
      <w:pPr>
        <w:pStyle w:val="94"/>
        <w:spacing w:line="360" w:lineRule="auto"/>
        <w:ind w:firstLine="482" w:firstLineChars="200"/>
        <w:outlineLvl w:val="2"/>
        <w:rPr>
          <w:rFonts w:eastAsia="宋体" w:cs="宋体"/>
          <w:b/>
          <w:bCs w:val="0"/>
          <w:sz w:val="24"/>
          <w:szCs w:val="24"/>
          <w:highlight w:val="none"/>
        </w:rPr>
      </w:pPr>
      <w:r>
        <w:rPr>
          <w:rFonts w:hint="eastAsia" w:eastAsia="宋体" w:cs="宋体"/>
          <w:b/>
          <w:bCs w:val="0"/>
          <w:sz w:val="24"/>
          <w:szCs w:val="24"/>
          <w:highlight w:val="none"/>
        </w:rPr>
        <w:t>三、技术要求</w:t>
      </w:r>
    </w:p>
    <w:p w14:paraId="0669AE14">
      <w:pPr>
        <w:spacing w:line="360" w:lineRule="auto"/>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3.1法律、法规、技术标准要求</w:t>
      </w:r>
    </w:p>
    <w:p w14:paraId="11B50D82">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1.1 本次加装的驾驶室吊装走台系统主要由主体承重框架、防滑走台面板、安全防护栏杆、底部挡脚板、检修爬梯、固定支撑支座六部分组成，整体为模块化钢结构设计，结构稳定、拆装便捷、安全可靠。</w:t>
      </w:r>
    </w:p>
    <w:p w14:paraId="66DB1CDD">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2</w:t>
      </w:r>
      <w:r>
        <w:rPr>
          <w:rFonts w:hint="eastAsia" w:ascii="Times New Roman" w:hAnsi="Times New Roman" w:eastAsia="宋体" w:cs="Times New Roman"/>
          <w:bCs/>
          <w:sz w:val="24"/>
          <w:szCs w:val="24"/>
          <w:highlight w:val="none"/>
        </w:rPr>
        <w:t xml:space="preserve"> 所有新增结构必须与吊装设备运行轨迹零干涉，设备全程升降、左右行走、小车移动无卡顿、无碰撞。</w:t>
      </w:r>
    </w:p>
    <w:p w14:paraId="280C12A9">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 xml:space="preserve"> 整体设计、制作、安装、验收严格执行：</w:t>
      </w:r>
    </w:p>
    <w:p w14:paraId="0A06D218">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GB 6067.1《起重机械安全规程 第1部分：总则》</w:t>
      </w:r>
    </w:p>
    <w:p w14:paraId="49BEC8EC">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GB/T 3277《花纹钢板》</w:t>
      </w:r>
    </w:p>
    <w:p w14:paraId="45DCA078">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15J401《钢梯、平台》国家建筑标准图集</w:t>
      </w:r>
    </w:p>
    <w:p w14:paraId="6A692BB0">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GB 50205《钢结构工程施工质量验收标准》</w:t>
      </w:r>
    </w:p>
    <w:p w14:paraId="13DC3742">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4</w:t>
      </w:r>
      <w:r>
        <w:rPr>
          <w:rFonts w:hint="eastAsia" w:ascii="Times New Roman" w:hAnsi="Times New Roman" w:eastAsia="宋体" w:cs="Times New Roman"/>
          <w:bCs/>
          <w:sz w:val="24"/>
          <w:szCs w:val="24"/>
          <w:highlight w:val="none"/>
        </w:rPr>
        <w:t>投标方必须根据现场实测尺寸定制化生产，严禁套用通用尺寸、现场随意切割拼凑。</w:t>
      </w:r>
    </w:p>
    <w:p w14:paraId="5F005C07">
      <w:pPr>
        <w:spacing w:line="360" w:lineRule="auto"/>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3</w:t>
      </w:r>
      <w:r>
        <w:rPr>
          <w:rFonts w:ascii="宋体" w:hAnsi="宋体" w:eastAsia="宋体" w:cs="宋体"/>
          <w:b/>
          <w:sz w:val="24"/>
          <w:szCs w:val="24"/>
          <w:highlight w:val="none"/>
        </w:rPr>
        <w:t>.2</w:t>
      </w:r>
      <w:r>
        <w:rPr>
          <w:rFonts w:hint="eastAsia" w:ascii="宋体" w:hAnsi="宋体" w:eastAsia="宋体" w:cs="宋体"/>
          <w:b/>
          <w:sz w:val="24"/>
          <w:szCs w:val="24"/>
          <w:highlight w:val="none"/>
        </w:rPr>
        <w:t>主要设备技术参数</w:t>
      </w:r>
    </w:p>
    <w:bookmarkEnd w:id="68"/>
    <w:p w14:paraId="3E71C795">
      <w:pPr>
        <w:spacing w:line="360" w:lineRule="auto"/>
        <w:ind w:firstLine="482" w:firstLineChars="200"/>
        <w:rPr>
          <w:rFonts w:hint="eastAsia" w:ascii="宋体" w:hAnsi="宋体" w:eastAsia="宋体"/>
          <w:bCs/>
          <w:sz w:val="24"/>
          <w:szCs w:val="24"/>
          <w:highlight w:val="none"/>
          <w:lang w:val="en-US" w:eastAsia="zh-CN"/>
        </w:rPr>
      </w:pPr>
      <w:r>
        <w:rPr>
          <w:rFonts w:hint="eastAsia" w:ascii="宋体" w:hAnsi="宋体" w:eastAsia="宋体" w:cs="宋体"/>
          <w:b/>
          <w:sz w:val="24"/>
          <w:szCs w:val="24"/>
          <w:highlight w:val="none"/>
          <w:lang w:val="en-US" w:eastAsia="zh-CN"/>
        </w:rPr>
        <w:t>3.2.1</w:t>
      </w:r>
      <w:r>
        <w:rPr>
          <w:rFonts w:hint="eastAsia" w:ascii="宋体" w:hAnsi="宋体" w:eastAsia="宋体"/>
          <w:bCs/>
          <w:sz w:val="24"/>
          <w:szCs w:val="24"/>
          <w:highlight w:val="none"/>
          <w:lang w:val="en-US" w:eastAsia="zh-CN"/>
        </w:rPr>
        <w:t>新增驾驶室走台系统</w:t>
      </w:r>
    </w:p>
    <w:p w14:paraId="07109E84">
      <w:pPr>
        <w:spacing w:line="360" w:lineRule="auto"/>
        <w:ind w:firstLine="480" w:firstLineChars="200"/>
        <w:rPr>
          <w:rFonts w:hint="default" w:ascii="Times New Roman" w:hAnsi="Times New Roman" w:eastAsia="宋体" w:cs="Times New Roman"/>
          <w:bCs/>
          <w:sz w:val="24"/>
          <w:szCs w:val="24"/>
          <w:highlight w:val="none"/>
          <w:lang w:val="en-US" w:eastAsia="zh-CN"/>
        </w:rPr>
      </w:pPr>
      <w:r>
        <w:rPr>
          <w:rFonts w:hint="eastAsia" w:ascii="Times New Roman" w:hAnsi="Times New Roman" w:eastAsia="宋体" w:cs="Times New Roman"/>
          <w:bCs/>
          <w:sz w:val="24"/>
          <w:szCs w:val="24"/>
          <w:highlight w:val="none"/>
          <w:lang w:val="en-US" w:eastAsia="zh-CN"/>
        </w:rPr>
        <w:t>（a）设备整体结构与组成</w:t>
      </w:r>
    </w:p>
    <w:p w14:paraId="67C398B4">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本次驾驶室吊装检修走台系统采用全模块化钢结构整体设计，结构稳定、刚度充足、拆装便捷、安全可靠、外观规整。整套设备由六大核心部分组成：</w:t>
      </w:r>
    </w:p>
    <w:p w14:paraId="67548BBC">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color w:val="auto"/>
          <w:sz w:val="24"/>
          <w:szCs w:val="24"/>
          <w:highlight w:val="none"/>
        </w:rPr>
        <w:t>主体承重框架：</w:t>
      </w:r>
      <w:r>
        <w:rPr>
          <w:rFonts w:hint="eastAsia" w:ascii="Times New Roman" w:hAnsi="Times New Roman" w:eastAsia="宋体" w:cs="Times New Roman"/>
          <w:bCs/>
          <w:sz w:val="24"/>
          <w:szCs w:val="24"/>
          <w:highlight w:val="none"/>
        </w:rPr>
        <w:t>采用国标型钢焊接成型，整体刚性强、承载力高、不变形，满足长期重载使用。</w:t>
      </w:r>
    </w:p>
    <w:p w14:paraId="21D4BA4E">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sz w:val="24"/>
          <w:szCs w:val="24"/>
          <w:highlight w:val="none"/>
        </w:rPr>
        <w:t>防滑走台面板：</w:t>
      </w:r>
      <w:r>
        <w:rPr>
          <w:rFonts w:hint="eastAsia" w:ascii="Times New Roman" w:hAnsi="Times New Roman" w:eastAsia="宋体" w:cs="Times New Roman"/>
          <w:bCs/>
          <w:sz w:val="24"/>
          <w:szCs w:val="24"/>
          <w:highlight w:val="none"/>
        </w:rPr>
        <w:t>采用国标花纹钢板，防滑、耐磨、防积尘，满足车间生产环境长期使用。</w:t>
      </w:r>
    </w:p>
    <w:p w14:paraId="429720A4">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sz w:val="24"/>
          <w:szCs w:val="24"/>
          <w:highlight w:val="none"/>
        </w:rPr>
        <w:t>安全防护栏杆：</w:t>
      </w:r>
      <w:r>
        <w:rPr>
          <w:rFonts w:hint="eastAsia" w:ascii="Times New Roman" w:hAnsi="Times New Roman" w:eastAsia="宋体" w:cs="Times New Roman"/>
          <w:bCs/>
          <w:sz w:val="24"/>
          <w:szCs w:val="24"/>
          <w:highlight w:val="none"/>
        </w:rPr>
        <w:t>全封闭防护结构，高度、强度符合高空作业平台规范，杜绝坠落风险。</w:t>
      </w:r>
    </w:p>
    <w:p w14:paraId="7DB8D40B">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sz w:val="24"/>
          <w:szCs w:val="24"/>
          <w:highlight w:val="none"/>
        </w:rPr>
        <w:t>底部挡脚板：</w:t>
      </w:r>
      <w:r>
        <w:rPr>
          <w:rFonts w:hint="eastAsia" w:ascii="Times New Roman" w:hAnsi="Times New Roman" w:eastAsia="宋体" w:cs="Times New Roman"/>
          <w:bCs/>
          <w:sz w:val="24"/>
          <w:szCs w:val="24"/>
          <w:highlight w:val="none"/>
        </w:rPr>
        <w:t>全段设置挡脚板，防止工具、零件坠落，保障下方设备与人员安全。</w:t>
      </w:r>
    </w:p>
    <w:p w14:paraId="280F71C8">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sz w:val="24"/>
          <w:szCs w:val="24"/>
          <w:highlight w:val="none"/>
        </w:rPr>
        <w:t>检修爬梯：</w:t>
      </w:r>
      <w:r>
        <w:rPr>
          <w:rFonts w:hint="eastAsia" w:ascii="Times New Roman" w:hAnsi="Times New Roman" w:eastAsia="宋体" w:cs="Times New Roman"/>
          <w:bCs/>
          <w:sz w:val="24"/>
          <w:szCs w:val="24"/>
          <w:highlight w:val="none"/>
        </w:rPr>
        <w:t>分段设置专用检修爬梯，对应三段走台左右双侧布置，上下通行安全便捷。</w:t>
      </w:r>
    </w:p>
    <w:p w14:paraId="69A658CE">
      <w:pPr>
        <w:spacing w:line="360" w:lineRule="auto"/>
        <w:ind w:firstLine="482" w:firstLineChars="200"/>
        <w:rPr>
          <w:rFonts w:hint="default" w:ascii="宋体" w:hAnsi="宋体" w:eastAsia="宋体"/>
          <w:bCs/>
          <w:sz w:val="24"/>
          <w:szCs w:val="24"/>
          <w:highlight w:val="none"/>
          <w:lang w:val="en-US" w:eastAsia="zh-CN"/>
        </w:rPr>
      </w:pPr>
      <w:r>
        <w:rPr>
          <w:rFonts w:hint="eastAsia" w:ascii="Times New Roman" w:hAnsi="Times New Roman" w:eastAsia="宋体" w:cs="Times New Roman"/>
          <w:b/>
          <w:bCs w:val="0"/>
          <w:sz w:val="24"/>
          <w:szCs w:val="24"/>
          <w:highlight w:val="none"/>
        </w:rPr>
        <w:t>固定支撑支座：</w:t>
      </w:r>
      <w:r>
        <w:rPr>
          <w:rFonts w:hint="eastAsia" w:ascii="Times New Roman" w:hAnsi="Times New Roman" w:eastAsia="宋体" w:cs="Times New Roman"/>
          <w:bCs/>
          <w:sz w:val="24"/>
          <w:szCs w:val="24"/>
          <w:highlight w:val="none"/>
        </w:rPr>
        <w:t>定制化支座结构，贴合现场土建与设备结构，受力均匀、稳固可靠。</w:t>
      </w:r>
    </w:p>
    <w:p w14:paraId="4C2B24B3">
      <w:pPr>
        <w:spacing w:line="360" w:lineRule="auto"/>
        <w:ind w:firstLine="480" w:firstLineChars="200"/>
        <w:rPr>
          <w:rFonts w:hint="eastAsia" w:ascii="宋体" w:hAnsi="宋体" w:eastAsia="宋体"/>
          <w:bCs/>
          <w:color w:val="000000" w:themeColor="text1"/>
          <w:sz w:val="24"/>
          <w:szCs w:val="24"/>
          <w:highlight w:val="none"/>
          <w:lang w:val="en-US" w:eastAsia="zh-CN"/>
          <w14:textFill>
            <w14:solidFill>
              <w14:schemeClr w14:val="tx1"/>
            </w14:solidFill>
          </w14:textFill>
        </w:rPr>
      </w:pPr>
      <w:r>
        <w:rPr>
          <w:rFonts w:hint="eastAsia" w:ascii="宋体" w:hAnsi="宋体" w:eastAsia="宋体"/>
          <w:bCs/>
          <w:color w:val="000000" w:themeColor="text1"/>
          <w:sz w:val="24"/>
          <w:szCs w:val="24"/>
          <w:highlight w:val="none"/>
          <w:lang w:val="en-US" w:eastAsia="zh-CN"/>
          <w14:textFill>
            <w14:solidFill>
              <w14:schemeClr w14:val="tx1"/>
            </w14:solidFill>
          </w14:textFill>
        </w:rPr>
        <w:t>（b）安装</w:t>
      </w:r>
      <w:r>
        <w:rPr>
          <w:rFonts w:hint="eastAsia" w:ascii="宋体" w:hAnsi="宋体" w:eastAsia="宋体"/>
          <w:bCs/>
          <w:sz w:val="24"/>
          <w:szCs w:val="24"/>
          <w:highlight w:val="none"/>
          <w:lang w:val="en-US" w:eastAsia="zh-CN"/>
        </w:rPr>
        <w:t>范围</w:t>
      </w:r>
    </w:p>
    <w:p w14:paraId="6C723FC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b w:val="0"/>
          <w:bCs/>
          <w:sz w:val="24"/>
          <w:szCs w:val="24"/>
          <w:highlight w:val="none"/>
          <w:lang w:val="en-US" w:eastAsia="zh-CN"/>
        </w:rPr>
      </w:pPr>
      <w:r>
        <w:rPr>
          <w:rFonts w:hint="eastAsia" w:ascii="宋体" w:hAnsi="宋体" w:eastAsia="宋体"/>
          <w:bCs/>
          <w:color w:val="000000" w:themeColor="text1"/>
          <w:sz w:val="24"/>
          <w:szCs w:val="24"/>
          <w:highlight w:val="none"/>
          <w:lang w:val="en-US" w:eastAsia="zh-CN"/>
          <w14:textFill>
            <w14:solidFill>
              <w14:schemeClr w14:val="tx1"/>
            </w14:solidFill>
          </w14:textFill>
        </w:rPr>
        <w:t>在驾驶室吊装系统内饰线上方和大线上方无检修护网处，新增驾驶室吊装系统检修走台，实现检维修作业安全，具体范围如下。</w:t>
      </w:r>
    </w:p>
    <w:p w14:paraId="5CC710B8">
      <w:pPr>
        <w:numPr>
          <w:ilvl w:val="0"/>
          <w:numId w:val="0"/>
        </w:numPr>
        <w:spacing w:line="360" w:lineRule="auto"/>
        <w:jc w:val="center"/>
        <w:rPr>
          <w:highlight w:val="none"/>
        </w:rPr>
      </w:pPr>
      <w:r>
        <w:rPr>
          <w:highlight w:val="none"/>
        </w:rPr>
        <mc:AlternateContent>
          <mc:Choice Requires="wps">
            <w:drawing>
              <wp:anchor distT="0" distB="0" distL="114300" distR="114300" simplePos="0" relativeHeight="251664384" behindDoc="0" locked="0" layoutInCell="1" allowOverlap="1">
                <wp:simplePos x="0" y="0"/>
                <wp:positionH relativeFrom="column">
                  <wp:posOffset>3735705</wp:posOffset>
                </wp:positionH>
                <wp:positionV relativeFrom="paragraph">
                  <wp:posOffset>3007360</wp:posOffset>
                </wp:positionV>
                <wp:extent cx="1511935" cy="373380"/>
                <wp:effectExtent l="445770" t="358775" r="10795" b="17145"/>
                <wp:wrapNone/>
                <wp:docPr id="10" name="矩形标注 5"/>
                <wp:cNvGraphicFramePr/>
                <a:graphic xmlns:a="http://schemas.openxmlformats.org/drawingml/2006/main">
                  <a:graphicData uri="http://schemas.microsoft.com/office/word/2010/wordprocessingShape">
                    <wps:wsp>
                      <wps:cNvSpPr/>
                      <wps:spPr>
                        <a:xfrm>
                          <a:off x="0" y="0"/>
                          <a:ext cx="1511935" cy="373380"/>
                        </a:xfrm>
                        <a:prstGeom prst="wedgeRectCallout">
                          <a:avLst>
                            <a:gd name="adj1" fmla="val -76333"/>
                            <a:gd name="adj2" fmla="val -140306"/>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65361DB2">
                            <w:pPr>
                              <w:pStyle w:val="27"/>
                              <w:kinsoku/>
                              <w:ind w:left="0"/>
                              <w:jc w:val="center"/>
                            </w:pPr>
                            <w:r>
                              <w:rPr>
                                <w:rFonts w:asciiTheme="minorAscii" w:hAnsiTheme="minorBidi" w:eastAsiaTheme="minorEastAsia"/>
                                <w:color w:val="FFFFFF" w:themeColor="light1"/>
                                <w:kern w:val="24"/>
                                <w:sz w:val="28"/>
                                <w:szCs w:val="28"/>
                                <w14:textFill>
                                  <w14:solidFill>
                                    <w14:schemeClr w14:val="lt1"/>
                                  </w14:solidFill>
                                </w14:textFill>
                              </w:rPr>
                              <w:t>大线落装工位</w:t>
                            </w:r>
                          </w:p>
                        </w:txbxContent>
                      </wps:txbx>
                      <wps:bodyPr rtlCol="0" anchor="ctr"/>
                    </wps:wsp>
                  </a:graphicData>
                </a:graphic>
              </wp:anchor>
            </w:drawing>
          </mc:Choice>
          <mc:Fallback>
            <w:pict>
              <v:shape id="矩形标注 5" o:spid="_x0000_s1026" o:spt="61" type="#_x0000_t61" style="position:absolute;left:0pt;margin-left:294.15pt;margin-top:236.8pt;height:29.4pt;width:119.05pt;z-index:251664384;v-text-anchor:middle;mso-width-relative:page;mso-height-relative:page;" fillcolor="#4472C4 [3204]" filled="t" stroked="t" coordsize="21600,21600" o:gfxdata="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Mymz5LaAAAACwEAAA8AAAAAAAAAAQAg&#10;AAAAIgAAAGRycy9kb3ducmV2LnhtbFBLAQIUABQAAAAIAIdO4kCXp+QMRQIAAIMEAAAOAAAAAAAA&#10;AAEAIAAAACkBAABkcnMvZTJvRG9jLnhtbFBLBQYAAAAABgAGAFkBAADgBQAAAAA=&#10;" adj="-5688,-19506">
                <v:fill on="t" focussize="0,0"/>
                <v:stroke weight="1pt" color="#2F5597 [2404]" miterlimit="8" joinstyle="miter"/>
                <v:imagedata o:title=""/>
                <o:lock v:ext="edit" aspectratio="f"/>
                <v:textbox>
                  <w:txbxContent>
                    <w:p w14:paraId="65361DB2">
                      <w:pPr>
                        <w:pStyle w:val="27"/>
                        <w:kinsoku/>
                        <w:ind w:left="0"/>
                        <w:jc w:val="center"/>
                      </w:pPr>
                      <w:r>
                        <w:rPr>
                          <w:rFonts w:asciiTheme="minorAscii" w:hAnsiTheme="minorBidi" w:eastAsiaTheme="minorEastAsia"/>
                          <w:color w:val="FFFFFF" w:themeColor="light1"/>
                          <w:kern w:val="24"/>
                          <w:sz w:val="28"/>
                          <w:szCs w:val="28"/>
                          <w14:textFill>
                            <w14:solidFill>
                              <w14:schemeClr w14:val="lt1"/>
                            </w14:solidFill>
                          </w14:textFill>
                        </w:rPr>
                        <w:t>大线落装工位</w:t>
                      </w:r>
                    </w:p>
                  </w:txbxContent>
                </v:textbox>
              </v:shape>
            </w:pict>
          </mc:Fallback>
        </mc:AlternateContent>
      </w:r>
      <w:r>
        <w:rPr>
          <w:highlight w:val="none"/>
        </w:rPr>
        <mc:AlternateContent>
          <mc:Choice Requires="wps">
            <w:drawing>
              <wp:anchor distT="0" distB="0" distL="114300" distR="114300" simplePos="0" relativeHeight="251663360" behindDoc="0" locked="0" layoutInCell="1" allowOverlap="1">
                <wp:simplePos x="0" y="0"/>
                <wp:positionH relativeFrom="column">
                  <wp:posOffset>3996055</wp:posOffset>
                </wp:positionH>
                <wp:positionV relativeFrom="paragraph">
                  <wp:posOffset>474345</wp:posOffset>
                </wp:positionV>
                <wp:extent cx="1087120" cy="339725"/>
                <wp:effectExtent l="409575" t="171450" r="14605" b="9525"/>
                <wp:wrapNone/>
                <wp:docPr id="11" name="矩形标注 4"/>
                <wp:cNvGraphicFramePr/>
                <a:graphic xmlns:a="http://schemas.openxmlformats.org/drawingml/2006/main">
                  <a:graphicData uri="http://schemas.microsoft.com/office/word/2010/wordprocessingShape">
                    <wps:wsp>
                      <wps:cNvSpPr/>
                      <wps:spPr>
                        <a:xfrm>
                          <a:off x="0" y="0"/>
                          <a:ext cx="1087120" cy="339725"/>
                        </a:xfrm>
                        <a:prstGeom prst="wedgeRectCallout">
                          <a:avLst>
                            <a:gd name="adj1" fmla="val -83060"/>
                            <a:gd name="adj2" fmla="val -95794"/>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59D7FF99">
                            <w:pPr>
                              <w:pStyle w:val="27"/>
                              <w:kinsoku/>
                              <w:ind w:left="0"/>
                              <w:jc w:val="center"/>
                            </w:pPr>
                            <w:r>
                              <w:rPr>
                                <w:rFonts w:asciiTheme="minorAscii" w:hAnsiTheme="minorBidi" w:eastAsiaTheme="minorEastAsia"/>
                                <w:color w:val="FFFFFF" w:themeColor="light1"/>
                                <w:kern w:val="24"/>
                                <w:sz w:val="28"/>
                                <w:szCs w:val="28"/>
                                <w14:textFill>
                                  <w14:solidFill>
                                    <w14:schemeClr w14:val="lt1"/>
                                  </w14:solidFill>
                                </w14:textFill>
                              </w:rPr>
                              <w:t>内饰前悬工位</w:t>
                            </w:r>
                          </w:p>
                        </w:txbxContent>
                      </wps:txbx>
                      <wps:bodyPr rtlCol="0" anchor="ctr"/>
                    </wps:wsp>
                  </a:graphicData>
                </a:graphic>
              </wp:anchor>
            </w:drawing>
          </mc:Choice>
          <mc:Fallback>
            <w:pict>
              <v:shape id="矩形标注 4" o:spid="_x0000_s1026" o:spt="61" type="#_x0000_t61" style="position:absolute;left:0pt;margin-left:314.65pt;margin-top:37.35pt;height:26.75pt;width:85.6pt;z-index:251663360;v-text-anchor:middle;mso-width-relative:page;mso-height-relative:page;" fillcolor="#4472C4 [3204]" filled="t" stroked="t" coordsize="21600,21600" o:gfxdata="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NraTjvYAAAACgEAAA8AAAAAAAAAAQAgAAAA&#10;IgAAAGRycy9kb3ducmV2LnhtbFBLAQIUABQAAAAIAIdO4kBDY26cRAIAAIIEAAAOAAAAAAAAAAEA&#10;IAAAACcBAABkcnMvZTJvRG9jLnhtbFBLBQYAAAAABgAGAFkBAADdBQAAAAA=&#10;" adj="-7141,-9892">
                <v:fill on="t" focussize="0,0"/>
                <v:stroke weight="1pt" color="#2F5597 [2404]" miterlimit="8" joinstyle="miter"/>
                <v:imagedata o:title=""/>
                <o:lock v:ext="edit" aspectratio="f"/>
                <v:textbox>
                  <w:txbxContent>
                    <w:p w14:paraId="59D7FF99">
                      <w:pPr>
                        <w:pStyle w:val="27"/>
                        <w:kinsoku/>
                        <w:ind w:left="0"/>
                        <w:jc w:val="center"/>
                      </w:pPr>
                      <w:r>
                        <w:rPr>
                          <w:rFonts w:asciiTheme="minorAscii" w:hAnsiTheme="minorBidi" w:eastAsiaTheme="minorEastAsia"/>
                          <w:color w:val="FFFFFF" w:themeColor="light1"/>
                          <w:kern w:val="24"/>
                          <w:sz w:val="28"/>
                          <w:szCs w:val="28"/>
                          <w14:textFill>
                            <w14:solidFill>
                              <w14:schemeClr w14:val="lt1"/>
                            </w14:solidFill>
                          </w14:textFill>
                        </w:rPr>
                        <w:t>内饰前悬工位</w:t>
                      </w:r>
                    </w:p>
                  </w:txbxContent>
                </v:textbox>
              </v:shape>
            </w:pict>
          </mc:Fallback>
        </mc:AlternateContent>
      </w:r>
      <w:r>
        <w:rPr>
          <w:highlight w:val="none"/>
        </w:rPr>
        <w:drawing>
          <wp:inline distT="0" distB="0" distL="114300" distR="114300">
            <wp:extent cx="4918710" cy="4037330"/>
            <wp:effectExtent l="0" t="0" r="889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5"/>
                    <a:stretch>
                      <a:fillRect/>
                    </a:stretch>
                  </pic:blipFill>
                  <pic:spPr>
                    <a:xfrm>
                      <a:off x="0" y="0"/>
                      <a:ext cx="4918710" cy="4037330"/>
                    </a:xfrm>
                    <a:prstGeom prst="rect">
                      <a:avLst/>
                    </a:prstGeom>
                    <a:noFill/>
                    <a:ln>
                      <a:noFill/>
                    </a:ln>
                  </pic:spPr>
                </pic:pic>
              </a:graphicData>
            </a:graphic>
          </wp:inline>
        </w:drawing>
      </w:r>
    </w:p>
    <w:p w14:paraId="4E225F3D">
      <w:pPr>
        <w:numPr>
          <w:ilvl w:val="0"/>
          <w:numId w:val="0"/>
        </w:numPr>
        <w:spacing w:line="360" w:lineRule="auto"/>
        <w:jc w:val="center"/>
        <w:rPr>
          <w:highlight w:val="none"/>
        </w:rPr>
      </w:pPr>
      <w:r>
        <w:rPr>
          <w:highlight w:val="none"/>
        </w:rPr>
        <mc:AlternateContent>
          <mc:Choice Requires="wps">
            <w:drawing>
              <wp:anchor distT="0" distB="0" distL="114300" distR="114300" simplePos="0" relativeHeight="251668480" behindDoc="0" locked="0" layoutInCell="1" allowOverlap="1">
                <wp:simplePos x="0" y="0"/>
                <wp:positionH relativeFrom="column">
                  <wp:posOffset>3092450</wp:posOffset>
                </wp:positionH>
                <wp:positionV relativeFrom="paragraph">
                  <wp:posOffset>121285</wp:posOffset>
                </wp:positionV>
                <wp:extent cx="1511935" cy="608330"/>
                <wp:effectExtent l="6350" t="6350" r="18415" b="7620"/>
                <wp:wrapNone/>
                <wp:docPr id="13" name="矩形标注 5"/>
                <wp:cNvGraphicFramePr/>
                <a:graphic xmlns:a="http://schemas.openxmlformats.org/drawingml/2006/main">
                  <a:graphicData uri="http://schemas.microsoft.com/office/word/2010/wordprocessingShape">
                    <wps:wsp>
                      <wps:cNvSpPr/>
                      <wps:spPr>
                        <a:xfrm>
                          <a:off x="0" y="0"/>
                          <a:ext cx="1511935" cy="608330"/>
                        </a:xfrm>
                        <a:prstGeom prst="wedgeRectCallout">
                          <a:avLst>
                            <a:gd name="adj1" fmla="val -12578"/>
                            <a:gd name="adj2" fmla="val -48225"/>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01907180">
                            <w:pPr>
                              <w:pStyle w:val="27"/>
                              <w:kinsoku/>
                              <w:ind w:left="0"/>
                              <w:jc w:val="center"/>
                              <w:rPr>
                                <w:rFonts w:hint="default" w:eastAsia="宋体"/>
                                <w:lang w:val="en-US" w:eastAsia="zh-CN"/>
                              </w:rPr>
                            </w:pPr>
                            <w:r>
                              <w:rPr>
                                <w:rFonts w:hint="eastAsia"/>
                                <w:lang w:val="en-US" w:eastAsia="zh-CN"/>
                              </w:rPr>
                              <w:t>仅供参考最终以设计图纸为准</w:t>
                            </w:r>
                          </w:p>
                        </w:txbxContent>
                      </wps:txbx>
                      <wps:bodyPr rtlCol="0" anchor="ctr"/>
                    </wps:wsp>
                  </a:graphicData>
                </a:graphic>
              </wp:anchor>
            </w:drawing>
          </mc:Choice>
          <mc:Fallback>
            <w:pict>
              <v:shape id="矩形标注 5" o:spid="_x0000_s1026" o:spt="61" type="#_x0000_t61" style="position:absolute;left:0pt;margin-left:243.5pt;margin-top:9.55pt;height:47.9pt;width:119.05pt;z-index:251668480;v-text-anchor:middle;mso-width-relative:page;mso-height-relative:page;" fillcolor="#4472C4 [3204]" filled="t" stroked="t" coordsize="21600,21600" o:gfxdata="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OudPs2QAAAAoBAAAPAAAAAAAAAAEAIAAA&#10;ACIAAABkcnMvZG93bnJldi54bWxQSwECFAAUAAAACACHTuJAFW+y30QCAACCBAAADgAAAAAAAAAB&#10;ACAAAAAoAQAAZHJzL2Uyb0RvYy54bWxQSwUGAAAAAAYABgBZAQAA3gUAAAAA&#10;" adj="8083,383">
                <v:fill on="t" focussize="0,0"/>
                <v:stroke weight="1pt" color="#2F5597 [2404]" miterlimit="8" joinstyle="miter"/>
                <v:imagedata o:title=""/>
                <o:lock v:ext="edit" aspectratio="f"/>
                <v:textbox>
                  <w:txbxContent>
                    <w:p w14:paraId="01907180">
                      <w:pPr>
                        <w:pStyle w:val="27"/>
                        <w:kinsoku/>
                        <w:ind w:left="0"/>
                        <w:jc w:val="center"/>
                        <w:rPr>
                          <w:rFonts w:hint="default" w:eastAsia="宋体"/>
                          <w:lang w:val="en-US" w:eastAsia="zh-CN"/>
                        </w:rPr>
                      </w:pPr>
                      <w:r>
                        <w:rPr>
                          <w:rFonts w:hint="eastAsia"/>
                          <w:lang w:val="en-US" w:eastAsia="zh-CN"/>
                        </w:rPr>
                        <w:t>仅供参考最终以设计图纸为准</w:t>
                      </w:r>
                    </w:p>
                  </w:txbxContent>
                </v:textbox>
              </v:shape>
            </w:pict>
          </mc:Fallback>
        </mc:AlternateContent>
      </w:r>
      <w:r>
        <w:rPr>
          <w:sz w:val="21"/>
          <w:highlight w:val="none"/>
        </w:rPr>
        <mc:AlternateContent>
          <mc:Choice Requires="wps">
            <w:drawing>
              <wp:anchor distT="0" distB="0" distL="114300" distR="114300" simplePos="0" relativeHeight="251662336" behindDoc="0" locked="0" layoutInCell="1" allowOverlap="1">
                <wp:simplePos x="0" y="0"/>
                <wp:positionH relativeFrom="column">
                  <wp:posOffset>2322195</wp:posOffset>
                </wp:positionH>
                <wp:positionV relativeFrom="paragraph">
                  <wp:posOffset>1673860</wp:posOffset>
                </wp:positionV>
                <wp:extent cx="362585" cy="0"/>
                <wp:effectExtent l="0" t="6350" r="5715" b="6350"/>
                <wp:wrapNone/>
                <wp:docPr id="32" name="直接连接符 32"/>
                <wp:cNvGraphicFramePr/>
                <a:graphic xmlns:a="http://schemas.openxmlformats.org/drawingml/2006/main">
                  <a:graphicData uri="http://schemas.microsoft.com/office/word/2010/wordprocessingShape">
                    <wps:wsp>
                      <wps:cNvCnPr/>
                      <wps:spPr>
                        <a:xfrm>
                          <a:off x="3222625" y="4734560"/>
                          <a:ext cx="362585" cy="0"/>
                        </a:xfrm>
                        <a:prstGeom prst="line">
                          <a:avLst/>
                        </a:prstGeom>
                        <a:ln>
                          <a:solidFill>
                            <a:srgbClr val="FF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82.85pt;margin-top:131.8pt;height:0pt;width:28.55pt;z-index:251662336;mso-width-relative:page;mso-height-relative:page;" filled="f" stroked="t" coordsize="21600,21600" o:gfxdata="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rfTJC2QAAAAsBAAAPAAAAAAAAAAEAIAAAACIAAABkcnMvZG93bnJldi54bWxQSwEC&#10;FAAUAAAACACHTuJA/Y3ZT/MBAAC/AwAADgAAAAAAAAABACAAAAAoAQAAZHJzL2Uyb0RvYy54bWxQ&#10;SwUGAAAAAAYABgBZAQAAjQUAAAAA&#10;">
                <v:fill on="f" focussize="0,0"/>
                <v:stroke weight="1pt" color="#FF0000 [3204]" miterlimit="8" joinstyle="miter"/>
                <v:imagedata o:title=""/>
                <o:lock v:ext="edit" aspectratio="f"/>
              </v:line>
            </w:pict>
          </mc:Fallback>
        </mc:AlternateContent>
      </w:r>
      <w:r>
        <w:rPr>
          <w:highlight w:val="none"/>
        </w:rPr>
        <w:drawing>
          <wp:inline distT="0" distB="0" distL="114300" distR="114300">
            <wp:extent cx="5754370" cy="2298065"/>
            <wp:effectExtent l="0" t="0" r="11430" b="63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36"/>
                    <a:stretch>
                      <a:fillRect/>
                    </a:stretch>
                  </pic:blipFill>
                  <pic:spPr>
                    <a:xfrm>
                      <a:off x="0" y="0"/>
                      <a:ext cx="5754370" cy="2298065"/>
                    </a:xfrm>
                    <a:prstGeom prst="rect">
                      <a:avLst/>
                    </a:prstGeom>
                    <a:noFill/>
                    <a:ln>
                      <a:noFill/>
                    </a:ln>
                  </pic:spPr>
                </pic:pic>
              </a:graphicData>
            </a:graphic>
          </wp:inline>
        </w:drawing>
      </w:r>
    </w:p>
    <w:p w14:paraId="4B2C6AD9">
      <w:pPr>
        <w:spacing w:line="360" w:lineRule="auto"/>
        <w:ind w:firstLine="420" w:firstLineChars="200"/>
        <w:jc w:val="center"/>
        <w:rPr>
          <w:rFonts w:hint="eastAsia"/>
          <w:highlight w:val="none"/>
          <w:lang w:val="en-US" w:eastAsia="zh-CN"/>
        </w:rPr>
      </w:pPr>
      <w:r>
        <w:rPr>
          <w:rFonts w:hint="eastAsia"/>
          <w:highlight w:val="none"/>
          <w:lang w:val="en-US" w:eastAsia="zh-CN"/>
        </w:rPr>
        <w:t>走台参数表格</w:t>
      </w:r>
    </w:p>
    <w:tbl>
      <w:tblPr>
        <w:tblStyle w:val="32"/>
        <w:tblW w:w="95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3"/>
        <w:gridCol w:w="1887"/>
        <w:gridCol w:w="950"/>
        <w:gridCol w:w="2625"/>
        <w:gridCol w:w="2861"/>
      </w:tblGrid>
      <w:tr w14:paraId="68788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1193" w:type="dxa"/>
            <w:vAlign w:val="center"/>
          </w:tcPr>
          <w:p w14:paraId="01E57DA3">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序号</w:t>
            </w:r>
          </w:p>
        </w:tc>
        <w:tc>
          <w:tcPr>
            <w:tcW w:w="1887" w:type="dxa"/>
            <w:vAlign w:val="center"/>
          </w:tcPr>
          <w:p w14:paraId="5DA3CB6F">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名称</w:t>
            </w:r>
          </w:p>
        </w:tc>
        <w:tc>
          <w:tcPr>
            <w:tcW w:w="950" w:type="dxa"/>
            <w:vAlign w:val="center"/>
          </w:tcPr>
          <w:p w14:paraId="233E858E">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单位</w:t>
            </w:r>
          </w:p>
        </w:tc>
        <w:tc>
          <w:tcPr>
            <w:tcW w:w="2625" w:type="dxa"/>
            <w:vAlign w:val="center"/>
          </w:tcPr>
          <w:p w14:paraId="1A5F68E6">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技术参数</w:t>
            </w:r>
          </w:p>
        </w:tc>
        <w:tc>
          <w:tcPr>
            <w:tcW w:w="2861" w:type="dxa"/>
            <w:vAlign w:val="center"/>
          </w:tcPr>
          <w:p w14:paraId="3E4D6288">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备注</w:t>
            </w:r>
          </w:p>
        </w:tc>
      </w:tr>
      <w:tr w14:paraId="4240F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93" w:type="dxa"/>
            <w:vAlign w:val="center"/>
          </w:tcPr>
          <w:p w14:paraId="537B9BF2">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1</w:t>
            </w:r>
          </w:p>
        </w:tc>
        <w:tc>
          <w:tcPr>
            <w:tcW w:w="1887" w:type="dxa"/>
            <w:vAlign w:val="center"/>
          </w:tcPr>
          <w:p w14:paraId="6118BD2E">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走台长度</w:t>
            </w:r>
          </w:p>
        </w:tc>
        <w:tc>
          <w:tcPr>
            <w:tcW w:w="950" w:type="dxa"/>
            <w:vAlign w:val="center"/>
          </w:tcPr>
          <w:p w14:paraId="1D5E8906">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m</w:t>
            </w:r>
          </w:p>
        </w:tc>
        <w:tc>
          <w:tcPr>
            <w:tcW w:w="2625" w:type="dxa"/>
            <w:vAlign w:val="center"/>
          </w:tcPr>
          <w:p w14:paraId="72CC7AE8">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145（按照上图节点，实际按照厂家设计图纸量确定）</w:t>
            </w:r>
          </w:p>
        </w:tc>
        <w:tc>
          <w:tcPr>
            <w:tcW w:w="2861" w:type="dxa"/>
            <w:vAlign w:val="center"/>
          </w:tcPr>
          <w:p w14:paraId="4747EB34">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总长145m，包括左右两侧，分3段，每段左右个设置爬梯（根据实际情况）。</w:t>
            </w:r>
          </w:p>
        </w:tc>
      </w:tr>
      <w:tr w14:paraId="77963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193" w:type="dxa"/>
            <w:vAlign w:val="center"/>
          </w:tcPr>
          <w:p w14:paraId="07AC827C">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2</w:t>
            </w:r>
          </w:p>
        </w:tc>
        <w:tc>
          <w:tcPr>
            <w:tcW w:w="1887" w:type="dxa"/>
            <w:vAlign w:val="center"/>
          </w:tcPr>
          <w:p w14:paraId="48F1CF18">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走台承重</w:t>
            </w:r>
          </w:p>
        </w:tc>
        <w:tc>
          <w:tcPr>
            <w:tcW w:w="950" w:type="dxa"/>
            <w:vAlign w:val="center"/>
          </w:tcPr>
          <w:p w14:paraId="46E522FC">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cs="宋体"/>
                <w:b w:val="0"/>
                <w:bCs/>
                <w:color w:val="000000" w:themeColor="text1"/>
                <w:highlight w:val="none"/>
                <w:lang w:val="en-US" w:eastAsia="zh-CN"/>
                <w14:textFill>
                  <w14:solidFill>
                    <w14:schemeClr w14:val="tx1"/>
                  </w14:solidFill>
                </w14:textFill>
              </w:rPr>
              <w:t>K</w:t>
            </w:r>
            <w:r>
              <w:rPr>
                <w:rFonts w:hint="eastAsia" w:ascii="宋体" w:hAnsi="宋体" w:eastAsia="宋体" w:cs="宋体"/>
                <w:b w:val="0"/>
                <w:bCs/>
                <w:color w:val="000000" w:themeColor="text1"/>
                <w:highlight w:val="none"/>
                <w:lang w:val="en-US" w:eastAsia="zh-CN"/>
                <w14:textFill>
                  <w14:solidFill>
                    <w14:schemeClr w14:val="tx1"/>
                  </w14:solidFill>
                </w14:textFill>
              </w:rPr>
              <w:t>N/</w:t>
            </w:r>
            <w:r>
              <w:rPr>
                <w:rFonts w:hint="eastAsia" w:ascii="宋体" w:hAnsi="宋体" w:eastAsia="宋体" w:cs="宋体"/>
                <w:b w:val="0"/>
                <w:bCs/>
                <w:color w:val="000000" w:themeColor="text1"/>
                <w:highlight w:val="none"/>
                <w:vertAlign w:val="baseline"/>
                <w:lang w:val="en-US" w:eastAsia="zh-CN"/>
                <w14:textFill>
                  <w14:solidFill>
                    <w14:schemeClr w14:val="tx1"/>
                  </w14:solidFill>
                </w14:textFill>
              </w:rPr>
              <w:t>㎡</w:t>
            </w:r>
          </w:p>
        </w:tc>
        <w:tc>
          <w:tcPr>
            <w:tcW w:w="2625" w:type="dxa"/>
            <w:vAlign w:val="center"/>
          </w:tcPr>
          <w:p w14:paraId="49795064">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＞3.5</w:t>
            </w:r>
          </w:p>
        </w:tc>
        <w:tc>
          <w:tcPr>
            <w:tcW w:w="2861" w:type="dxa"/>
            <w:vAlign w:val="center"/>
          </w:tcPr>
          <w:p w14:paraId="33241F69">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每段走台都需要满足3人同时</w:t>
            </w:r>
            <w:r>
              <w:rPr>
                <w:rFonts w:hint="eastAsia" w:ascii="宋体" w:hAnsi="宋体" w:eastAsia="宋体" w:cs="宋体"/>
                <w:b w:val="0"/>
                <w:bCs/>
                <w:color w:val="000000" w:themeColor="text1"/>
                <w:highlight w:val="none"/>
                <w14:textFill>
                  <w14:solidFill>
                    <w14:schemeClr w14:val="tx1"/>
                  </w14:solidFill>
                </w14:textFill>
              </w:rPr>
              <w:t>检修作业</w:t>
            </w:r>
          </w:p>
        </w:tc>
      </w:tr>
      <w:tr w14:paraId="26766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193" w:type="dxa"/>
            <w:vAlign w:val="center"/>
          </w:tcPr>
          <w:p w14:paraId="3AB67189">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3</w:t>
            </w:r>
          </w:p>
        </w:tc>
        <w:tc>
          <w:tcPr>
            <w:tcW w:w="1887" w:type="dxa"/>
            <w:vAlign w:val="center"/>
          </w:tcPr>
          <w:p w14:paraId="19095EEC">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走台最低点高度距厂房0点标高</w:t>
            </w:r>
          </w:p>
        </w:tc>
        <w:tc>
          <w:tcPr>
            <w:tcW w:w="950" w:type="dxa"/>
            <w:vAlign w:val="center"/>
          </w:tcPr>
          <w:p w14:paraId="24DAE827">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m</w:t>
            </w:r>
          </w:p>
        </w:tc>
        <w:tc>
          <w:tcPr>
            <w:tcW w:w="2625" w:type="dxa"/>
            <w:vAlign w:val="center"/>
          </w:tcPr>
          <w:p w14:paraId="6081DF5A">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8.68</w:t>
            </w:r>
          </w:p>
        </w:tc>
        <w:tc>
          <w:tcPr>
            <w:tcW w:w="2861" w:type="dxa"/>
            <w:vAlign w:val="center"/>
          </w:tcPr>
          <w:p w14:paraId="13516909">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于现有维修走台平齐</w:t>
            </w:r>
          </w:p>
        </w:tc>
      </w:tr>
    </w:tbl>
    <w:p w14:paraId="0AEE9A4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color w:val="000000"/>
          <w:sz w:val="24"/>
          <w:szCs w:val="24"/>
          <w:highlight w:val="none"/>
        </w:rPr>
      </w:pPr>
      <w:r>
        <w:rPr>
          <w:rFonts w:ascii="宋体" w:hAnsi="宋体" w:eastAsia="宋体" w:cs="宋体"/>
          <w:color w:val="000000"/>
          <w:kern w:val="0"/>
          <w:sz w:val="24"/>
          <w:szCs w:val="24"/>
          <w:highlight w:val="none"/>
          <w:lang w:val="en-US" w:eastAsia="zh-CN" w:bidi="ar"/>
        </w:rPr>
        <w:t>（c）投标方应充分踏勘现场，综合评估既有厂房结构承重条件。若现有厂房承载力不满足项目实施要求，相关厂房加固工作及全部费用由投标方自行承担。</w:t>
      </w:r>
    </w:p>
    <w:p w14:paraId="0B8EBAD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color w:val="000000"/>
          <w:sz w:val="24"/>
          <w:szCs w:val="24"/>
          <w:highlight w:val="none"/>
        </w:rPr>
      </w:pPr>
      <w:r>
        <w:rPr>
          <w:rFonts w:ascii="宋体" w:hAnsi="宋体" w:eastAsia="宋体" w:cs="宋体"/>
          <w:color w:val="000000"/>
          <w:kern w:val="0"/>
          <w:sz w:val="24"/>
          <w:szCs w:val="24"/>
          <w:highlight w:val="none"/>
          <w:lang w:val="en-US" w:eastAsia="zh-CN" w:bidi="ar"/>
        </w:rPr>
        <w:t>（d）中标方完成的设计图纸须提交甲方进行校核审查，图纸经甲方校核确认通过后方可开展后续施工实施工作，甲方校核不免除中标方的设计责任。</w:t>
      </w:r>
    </w:p>
    <w:p w14:paraId="096CAA0C">
      <w:pPr>
        <w:spacing w:line="360" w:lineRule="auto"/>
        <w:ind w:firstLine="482" w:firstLineChars="200"/>
        <w:rPr>
          <w:rFonts w:hint="eastAsia" w:ascii="宋体" w:hAnsi="宋体" w:eastAsia="宋体" w:cs="宋体"/>
          <w:b/>
          <w:sz w:val="24"/>
          <w:szCs w:val="24"/>
          <w:highlight w:val="none"/>
        </w:rPr>
      </w:pPr>
      <w:r>
        <w:rPr>
          <w:rFonts w:hint="eastAsia" w:ascii="宋体" w:hAnsi="宋体" w:eastAsia="宋体" w:cs="宋体"/>
          <w:b/>
          <w:sz w:val="24"/>
          <w:szCs w:val="24"/>
          <w:highlight w:val="none"/>
          <w:lang w:val="en-US" w:eastAsia="zh-CN"/>
        </w:rPr>
        <w:t>四、</w:t>
      </w:r>
      <w:r>
        <w:rPr>
          <w:rFonts w:hint="eastAsia" w:ascii="宋体" w:hAnsi="宋体" w:eastAsia="宋体" w:cs="宋体"/>
          <w:b/>
          <w:sz w:val="24"/>
          <w:szCs w:val="24"/>
          <w:highlight w:val="none"/>
        </w:rPr>
        <w:t>一般界定</w:t>
      </w:r>
    </w:p>
    <w:p w14:paraId="0DE30F70">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1.包括本技术标书所列明的主要货物以及货物正常运行所必需的全套连线设备、材料等。</w:t>
      </w:r>
    </w:p>
    <w:p w14:paraId="20604F8E">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2.包括为保证货物正常安装、调试和验收完成及以前所必需的整套配件、附件及材料等。</w:t>
      </w:r>
    </w:p>
    <w:p w14:paraId="0EBE9F86">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3.包括货物维护维修所必需的专用工具。</w:t>
      </w:r>
    </w:p>
    <w:p w14:paraId="6F21A828">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4.包括货物为达到产品标准以及环保、消防和劳动安全卫生等国家法律、法规和标准、规范要求而必须配备但标书未明确提出的除尘系统、通风系统、近距离照明系统以及劳动安全防护设施（不包括人体防护用品）等使用现场配套的设备、材料等。</w:t>
      </w:r>
    </w:p>
    <w:p w14:paraId="76895239">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包括为保证货物自身正常运行所必需的、满足使用地点环境条件的通风、冷却、降温等必需设施。</w:t>
      </w:r>
    </w:p>
    <w:p w14:paraId="6BEA88AB">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如投标人难以提供或无优势提供以及属于选用配置的，则应当在投标文件的技术偏离条款中，予以详细说明并注明投标报价未包含该部分的货值。</w:t>
      </w:r>
    </w:p>
    <w:p w14:paraId="3A6D1E30">
      <w:pPr>
        <w:spacing w:line="360" w:lineRule="auto"/>
        <w:ind w:firstLine="482" w:firstLineChars="200"/>
        <w:rPr>
          <w:rFonts w:ascii="宋体" w:hAnsi="宋体" w:eastAsia="宋体" w:cs="宋体"/>
          <w:b/>
          <w:sz w:val="24"/>
          <w:szCs w:val="24"/>
          <w:highlight w:val="none"/>
        </w:rPr>
      </w:pPr>
      <w:r>
        <w:rPr>
          <w:rFonts w:hint="eastAsia" w:ascii="宋体" w:hAnsi="宋体" w:cs="宋体"/>
          <w:b/>
          <w:sz w:val="24"/>
          <w:szCs w:val="24"/>
          <w:highlight w:val="none"/>
          <w:lang w:val="en-US" w:eastAsia="zh-CN"/>
        </w:rPr>
        <w:t>五、</w:t>
      </w:r>
      <w:r>
        <w:rPr>
          <w:rFonts w:hint="eastAsia" w:ascii="宋体" w:hAnsi="宋体" w:eastAsia="宋体" w:cs="宋体"/>
          <w:b/>
          <w:sz w:val="24"/>
          <w:szCs w:val="24"/>
          <w:highlight w:val="none"/>
        </w:rPr>
        <w:t>供货范围边界界定</w:t>
      </w:r>
    </w:p>
    <w:p w14:paraId="36F5D01B">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1.对于招标文件中无明确具体要求而投标方认为必须具备的其它货物，投标方必须将该部分货物单独报价（该报价含运杂费及税费等其它费用，而且不再作为其它报价涉及的其它费用的计算基数）。</w:t>
      </w:r>
    </w:p>
    <w:p w14:paraId="0721F3DA">
      <w:pPr>
        <w:spacing w:line="360" w:lineRule="auto"/>
        <w:ind w:firstLine="480" w:firstLineChars="200"/>
        <w:rPr>
          <w:rFonts w:ascii="宋体" w:hAnsi="宋体" w:eastAsia="宋体" w:cs="宋体"/>
          <w:sz w:val="24"/>
          <w:szCs w:val="24"/>
        </w:rPr>
      </w:pPr>
      <w:r>
        <w:rPr>
          <w:rFonts w:ascii="宋体" w:hAnsi="宋体" w:eastAsia="宋体" w:cs="宋体"/>
          <w:sz w:val="24"/>
          <w:szCs w:val="24"/>
          <w:highlight w:val="none"/>
        </w:rPr>
        <w:t>2</w:t>
      </w:r>
      <w:r>
        <w:rPr>
          <w:rFonts w:hint="eastAsia" w:ascii="宋体" w:hAnsi="宋体" w:eastAsia="宋体" w:cs="宋体"/>
          <w:sz w:val="24"/>
          <w:szCs w:val="24"/>
          <w:highlight w:val="none"/>
        </w:rPr>
        <w:t>.对于招标文件中无明确具体要求而投标人认为必须具备的其它货物，投标</w:t>
      </w:r>
      <w:r>
        <w:rPr>
          <w:rFonts w:hint="eastAsia" w:ascii="宋体" w:hAnsi="宋体" w:eastAsia="宋体" w:cs="宋体"/>
          <w:sz w:val="24"/>
          <w:szCs w:val="24"/>
        </w:rPr>
        <w:t>人必须将该部分货物单独报价（该报价含运杂费及税费等其它费用，而且不再作为其它报价涉及的其它费用的计算基数）。</w:t>
      </w:r>
    </w:p>
    <w:p w14:paraId="2FDADE43">
      <w:pPr>
        <w:spacing w:line="360" w:lineRule="auto"/>
        <w:ind w:firstLine="482" w:firstLineChars="200"/>
        <w:outlineLvl w:val="3"/>
        <w:rPr>
          <w:rFonts w:ascii="宋体" w:hAnsi="宋体" w:eastAsia="宋体" w:cs="宋体"/>
          <w:b/>
          <w:bCs/>
          <w:sz w:val="24"/>
          <w:szCs w:val="24"/>
        </w:rPr>
      </w:pPr>
      <w:r>
        <w:rPr>
          <w:rFonts w:hint="eastAsia" w:ascii="宋体" w:hAnsi="宋体" w:cs="宋体"/>
          <w:b/>
          <w:bCs/>
          <w:sz w:val="24"/>
          <w:szCs w:val="24"/>
          <w:lang w:val="en-US" w:eastAsia="zh-CN"/>
        </w:rPr>
        <w:t>六</w:t>
      </w:r>
      <w:r>
        <w:rPr>
          <w:rFonts w:hint="eastAsia" w:ascii="宋体" w:hAnsi="宋体" w:eastAsia="宋体" w:cs="宋体"/>
          <w:b/>
          <w:bCs/>
          <w:sz w:val="24"/>
          <w:szCs w:val="24"/>
        </w:rPr>
        <w:t>、备品备件、易损件和专用耗材供货范围</w:t>
      </w:r>
    </w:p>
    <w:p w14:paraId="01E8C0D0">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1.招标人招标文件所指备品备件、易损件和专用耗材，是招标人为保证设备质保期之后正常运行一年所自备自用的备品备件、易损件和专用耗材；</w:t>
      </w:r>
    </w:p>
    <w:p w14:paraId="1DF42170">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质保期之内正常需要的备品备件、易损件和专用耗材全部包括在供货范围之内而不属于本条款界定的范围（应有明细）。</w:t>
      </w:r>
    </w:p>
    <w:p w14:paraId="4966639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2.供货范围包括易损件和专用耗材的制造图纸及其技术要求等资料，如涉及专有技术或无法提供，应在投标文件中予以澄清或说明。</w:t>
      </w:r>
    </w:p>
    <w:p w14:paraId="44DAF2D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3投标方需提供必须的备品备件清单（备品备件明确规格、厂家、产地、价格，单独报价）；</w:t>
      </w:r>
    </w:p>
    <w:p w14:paraId="256B2F1A">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4易损件和专用耗材，其费用应分类单列，并计入投标总报价之内；</w:t>
      </w:r>
    </w:p>
    <w:p w14:paraId="30411D3E">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5投标方应提供设备维修所必需的专用工具，并附详细清单（包括名称、型号、规格、单位、数量、生产厂家、单价、总价等条目，单独报价）。</w:t>
      </w:r>
    </w:p>
    <w:p w14:paraId="0D043EC0">
      <w:pPr>
        <w:spacing w:line="360" w:lineRule="auto"/>
        <w:ind w:firstLine="482" w:firstLineChars="200"/>
        <w:outlineLvl w:val="3"/>
        <w:rPr>
          <w:rFonts w:ascii="宋体" w:hAnsi="宋体" w:eastAsia="宋体" w:cs="宋体"/>
          <w:b/>
          <w:bCs/>
          <w:sz w:val="24"/>
          <w:szCs w:val="24"/>
        </w:rPr>
      </w:pPr>
      <w:r>
        <w:rPr>
          <w:rFonts w:hint="eastAsia" w:ascii="宋体" w:hAnsi="宋体" w:cs="宋体"/>
          <w:b/>
          <w:bCs/>
          <w:sz w:val="24"/>
          <w:szCs w:val="24"/>
          <w:lang w:val="en-US" w:eastAsia="zh-CN"/>
        </w:rPr>
        <w:t>七</w:t>
      </w:r>
      <w:r>
        <w:rPr>
          <w:rFonts w:hint="eastAsia" w:ascii="宋体" w:hAnsi="宋体" w:eastAsia="宋体" w:cs="宋体"/>
          <w:b/>
          <w:bCs/>
          <w:sz w:val="24"/>
          <w:szCs w:val="24"/>
        </w:rPr>
        <w:t>、技术资料供货范围</w:t>
      </w:r>
    </w:p>
    <w:p w14:paraId="7705DD9A">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技术资料供货范围包括：</w:t>
      </w:r>
    </w:p>
    <w:p w14:paraId="714A0C0E">
      <w:pPr>
        <w:spacing w:line="360" w:lineRule="auto"/>
        <w:ind w:firstLine="480" w:firstLineChars="200"/>
        <w:rPr>
          <w:rFonts w:ascii="宋体" w:hAnsi="宋体" w:eastAsia="宋体" w:cs="宋体"/>
          <w:bCs/>
          <w:sz w:val="24"/>
          <w:szCs w:val="24"/>
        </w:rPr>
      </w:pPr>
      <w:r>
        <w:rPr>
          <w:rFonts w:hint="eastAsia" w:ascii="宋体" w:hAnsi="宋体" w:eastAsia="宋体" w:cs="宋体"/>
          <w:sz w:val="24"/>
          <w:szCs w:val="24"/>
        </w:rPr>
        <w:t>1.在</w:t>
      </w:r>
      <w:r>
        <w:rPr>
          <w:rFonts w:hint="eastAsia" w:ascii="宋体" w:hAnsi="宋体" w:eastAsia="宋体" w:cs="宋体"/>
          <w:bCs/>
          <w:sz w:val="24"/>
          <w:szCs w:val="24"/>
        </w:rPr>
        <w:t>收到中标通知书后</w:t>
      </w:r>
      <w:r>
        <w:rPr>
          <w:rFonts w:hint="eastAsia" w:ascii="宋体" w:hAnsi="宋体" w:eastAsia="宋体" w:cs="宋体"/>
          <w:bCs/>
          <w:sz w:val="24"/>
          <w:szCs w:val="24"/>
          <w:u w:val="single"/>
        </w:rPr>
        <w:t>5</w:t>
      </w:r>
      <w:r>
        <w:rPr>
          <w:rFonts w:hint="eastAsia" w:ascii="宋体" w:hAnsi="宋体" w:eastAsia="宋体" w:cs="宋体"/>
          <w:bCs/>
          <w:sz w:val="24"/>
          <w:szCs w:val="24"/>
        </w:rPr>
        <w:t>个日历日内，提供货物基础及相关的设计、制作所需的纸质及电子版资料；电子版文件应当能够使用常用版本软件可以阅读甚至使用，进口货物、设备应有中外文对照。</w:t>
      </w:r>
    </w:p>
    <w:p w14:paraId="6E7714A6">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2.在预验收前，提供货物各部分的功能描述文件、图片、影像等资料（进口设备应有中外文对照）。</w:t>
      </w:r>
    </w:p>
    <w:p w14:paraId="41932988">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3.在终验收前，提供为保证货物后续正常运行所需的具体技术要求等资料（如果供货范围包含该部分实物）。</w:t>
      </w:r>
    </w:p>
    <w:p w14:paraId="28F1D821">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4.在终验收前，提供确定的维修所需要且买方可以自行采购的外购件、外协件、电气元件及主要原材料的供货厂家明细表。</w:t>
      </w:r>
    </w:p>
    <w:p w14:paraId="3F48D99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5.在终验收后的第一笔货款支付日之前，提供包括货物的备品备件、易损件和专用耗材的图纸及技术参数、技术要求等资料。</w:t>
      </w:r>
    </w:p>
    <w:p w14:paraId="54B3D3A8">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在终验收后的第一笔货款支付日之前，提供关于采购货物的操作维护手册、保养维修手册、安全注意事项等的使用说明书、仪器仪表检定和使用维修说明书、合格证、产品样本等技术资料（含图片和影像等资料）；对于进口设备，应有中外文资料说明。</w:t>
      </w:r>
    </w:p>
    <w:p w14:paraId="2F760D11">
      <w:pPr>
        <w:spacing w:line="360" w:lineRule="auto"/>
        <w:ind w:firstLine="480" w:firstLineChars="200"/>
        <w:rPr>
          <w:rFonts w:ascii="宋体" w:hAnsi="宋体" w:eastAsia="宋体" w:cs="宋体"/>
          <w:sz w:val="24"/>
          <w:szCs w:val="24"/>
        </w:rPr>
      </w:pPr>
      <w:r>
        <w:rPr>
          <w:rFonts w:ascii="宋体" w:hAnsi="宋体" w:eastAsia="宋体" w:cs="宋体"/>
          <w:sz w:val="24"/>
          <w:szCs w:val="24"/>
        </w:rPr>
        <w:t>7</w:t>
      </w:r>
      <w:r>
        <w:rPr>
          <w:rFonts w:hint="eastAsia" w:ascii="宋体" w:hAnsi="宋体" w:eastAsia="宋体" w:cs="宋体"/>
          <w:sz w:val="24"/>
          <w:szCs w:val="24"/>
        </w:rPr>
        <w:t>.本“技术资料范围”所列的技术资料、图等，投标方应各提供4套纸质资料及3套电子版资料（光盘或U盘等），每份技术文件应装有目录清单。</w:t>
      </w:r>
    </w:p>
    <w:p w14:paraId="53F07B11">
      <w:pPr>
        <w:spacing w:line="360" w:lineRule="auto"/>
        <w:ind w:firstLine="480" w:firstLineChars="200"/>
        <w:rPr>
          <w:rFonts w:ascii="宋体" w:hAnsi="宋体" w:eastAsia="宋体" w:cs="宋体"/>
          <w:sz w:val="24"/>
          <w:szCs w:val="24"/>
        </w:rPr>
      </w:pPr>
      <w:r>
        <w:rPr>
          <w:rFonts w:ascii="宋体" w:hAnsi="宋体" w:eastAsia="宋体" w:cs="宋体"/>
          <w:sz w:val="24"/>
          <w:szCs w:val="24"/>
        </w:rPr>
        <w:t>8</w:t>
      </w:r>
      <w:r>
        <w:rPr>
          <w:rFonts w:hint="eastAsia" w:ascii="宋体" w:hAnsi="宋体" w:eastAsia="宋体" w:cs="宋体"/>
          <w:sz w:val="24"/>
          <w:szCs w:val="24"/>
        </w:rPr>
        <w:t>.本条款所列要求，如招标人认为投标人提供的资料不能满足要求时，有权要求投标人免费补充或增加。</w:t>
      </w:r>
    </w:p>
    <w:p w14:paraId="16EB5935">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9.供方必须提供设备模型（文件格式STP），模型文件应包含设备的全部信息；对设备结构及功能详细说明，包括设备工作流程描述、运行说明、工位节拍等信息。</w:t>
      </w:r>
    </w:p>
    <w:p w14:paraId="4B136745">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10.</w:t>
      </w:r>
      <w:r>
        <w:rPr>
          <w:rFonts w:ascii="Times New Roman" w:hAnsi="Times New Roman" w:eastAsia="宋体" w:cs="Times New Roman"/>
          <w:sz w:val="24"/>
          <w:szCs w:val="24"/>
        </w:rPr>
        <w:t>维修和使用手册</w:t>
      </w:r>
    </w:p>
    <w:p w14:paraId="4DFB2A4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在调试以前必须提供维修和使用手册四套和一套电子文件。这些手册应包括，但不限于下述内容：</w:t>
      </w:r>
    </w:p>
    <w:p w14:paraId="5B54A7AB">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设备描述和主要设备的分项；</w:t>
      </w:r>
    </w:p>
    <w:p w14:paraId="6111AC7A">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润滑计划和润滑频次；</w:t>
      </w:r>
    </w:p>
    <w:p w14:paraId="5DE8CED0">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供应商的文献和详细的元件部件；</w:t>
      </w:r>
    </w:p>
    <w:p w14:paraId="54D8254E">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操作程序；</w:t>
      </w:r>
    </w:p>
    <w:p w14:paraId="5C464B57">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设备布置图；</w:t>
      </w:r>
    </w:p>
    <w:p w14:paraId="35045083">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详细的元件和总装图，包括分解部件总成图；</w:t>
      </w:r>
    </w:p>
    <w:p w14:paraId="3D75C252">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故障分析和解决方法；</w:t>
      </w:r>
    </w:p>
    <w:p w14:paraId="4A7AEC48">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维修功能——维护和维修细节，包括频次；</w:t>
      </w:r>
    </w:p>
    <w:p w14:paraId="25DBFC6C">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图纸</w:t>
      </w:r>
    </w:p>
    <w:p w14:paraId="2F83673F">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.1提供机械AutoCAD（.dwg）格式，电气EPLANP8可编辑格式的文件和电子数据。</w:t>
      </w:r>
    </w:p>
    <w:p w14:paraId="76BA926D">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.2提供所有设施和设备的图纸，包括总图、原理图、制造图、分解视图。</w:t>
      </w:r>
    </w:p>
    <w:p w14:paraId="68886B23">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.3在签订合同后立即进行设计图纸，并提供图纸，在整个阶段连续地进行。这些图纸包括，但不限于：</w:t>
      </w:r>
    </w:p>
    <w:p w14:paraId="3DF2F5FB">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详细的零件图；</w:t>
      </w:r>
    </w:p>
    <w:p w14:paraId="5102735A">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零件和总成图；</w:t>
      </w:r>
    </w:p>
    <w:p w14:paraId="0534DCD2">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总的平面布置图和分图；</w:t>
      </w:r>
    </w:p>
    <w:p w14:paraId="3ACCD6CD">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钢结构布置图和分图；</w:t>
      </w:r>
    </w:p>
    <w:p w14:paraId="75AC8883">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.4在制作开始前必须将所有平面图和分图交给本公司会签。提供二份图纸加一套电子文件。这种图纸的会签并不构成供货厂商可以不承担设计责任保证或者对设备顺利运用的责任。</w:t>
      </w:r>
    </w:p>
    <w:p w14:paraId="7B3DAFFF">
      <w:pPr>
        <w:spacing w:line="360" w:lineRule="auto"/>
        <w:ind w:firstLine="480" w:firstLineChars="200"/>
        <w:rPr>
          <w:rFonts w:ascii="宋体" w:hAnsi="宋体" w:eastAsia="宋体" w:cs="宋体"/>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.5在完工时要提供四套图纸和机械AutoCAD（.dwg）格式，电气EPLANP8电子版本图纸。</w:t>
      </w:r>
    </w:p>
    <w:p w14:paraId="75C0836B">
      <w:pPr>
        <w:spacing w:line="360" w:lineRule="auto"/>
        <w:ind w:firstLine="482" w:firstLineChars="200"/>
        <w:outlineLvl w:val="3"/>
        <w:rPr>
          <w:rFonts w:ascii="宋体" w:hAnsi="宋体" w:eastAsia="宋体" w:cs="宋体"/>
          <w:b/>
          <w:bCs/>
          <w:sz w:val="24"/>
          <w:szCs w:val="24"/>
        </w:rPr>
      </w:pPr>
      <w:r>
        <w:rPr>
          <w:rFonts w:hint="eastAsia" w:ascii="宋体" w:hAnsi="宋体" w:cs="宋体"/>
          <w:b/>
          <w:bCs/>
          <w:sz w:val="24"/>
          <w:szCs w:val="24"/>
          <w:lang w:val="en-US" w:eastAsia="zh-CN"/>
        </w:rPr>
        <w:t>八</w:t>
      </w:r>
      <w:r>
        <w:rPr>
          <w:rFonts w:hint="eastAsia" w:ascii="宋体" w:hAnsi="宋体" w:eastAsia="宋体" w:cs="宋体"/>
          <w:b/>
          <w:bCs/>
          <w:sz w:val="24"/>
          <w:szCs w:val="24"/>
        </w:rPr>
        <w:t>、供货范围特别提示</w:t>
      </w:r>
    </w:p>
    <w:p w14:paraId="009B100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如果投标人认为本节所列的供货范围难以满足，则仍需要按照本要求提供，但该部分货物应当在投标报价中单独列明货物名称及品质、货值。</w:t>
      </w:r>
      <w:bookmarkStart w:id="69" w:name="_Toc169605883"/>
    </w:p>
    <w:p w14:paraId="56F2A8DD">
      <w:pPr>
        <w:pStyle w:val="15"/>
        <w:spacing w:line="360" w:lineRule="auto"/>
        <w:rPr>
          <w:rFonts w:hAnsi="宋体" w:eastAsia="宋体"/>
        </w:rPr>
      </w:pPr>
    </w:p>
    <w:p w14:paraId="0DD94EF8">
      <w:pPr>
        <w:keepNext/>
        <w:keepLines/>
        <w:spacing w:line="360" w:lineRule="auto"/>
        <w:jc w:val="center"/>
        <w:outlineLvl w:val="2"/>
        <w:rPr>
          <w:rFonts w:ascii="宋体" w:hAnsi="宋体" w:eastAsia="宋体" w:cs="宋体"/>
          <w:b/>
          <w:bCs/>
          <w:sz w:val="24"/>
          <w:szCs w:val="32"/>
        </w:rPr>
      </w:pPr>
      <w:r>
        <w:rPr>
          <w:rFonts w:hint="eastAsia" w:ascii="宋体" w:hAnsi="宋体" w:eastAsia="宋体" w:cs="宋体"/>
          <w:b/>
          <w:bCs/>
          <w:sz w:val="24"/>
          <w:szCs w:val="32"/>
        </w:rPr>
        <w:t>第</w:t>
      </w:r>
      <w:r>
        <w:rPr>
          <w:rFonts w:hint="eastAsia" w:ascii="宋体" w:hAnsi="宋体" w:cs="宋体"/>
          <w:b/>
          <w:bCs/>
          <w:sz w:val="24"/>
          <w:szCs w:val="32"/>
          <w:lang w:val="en-US" w:eastAsia="zh-CN"/>
        </w:rPr>
        <w:t>四</w:t>
      </w:r>
      <w:r>
        <w:rPr>
          <w:rFonts w:hint="eastAsia" w:ascii="宋体" w:hAnsi="宋体" w:eastAsia="宋体" w:cs="宋体"/>
          <w:b/>
          <w:bCs/>
          <w:sz w:val="24"/>
          <w:szCs w:val="32"/>
        </w:rPr>
        <w:t>节  供货方式</w:t>
      </w:r>
      <w:bookmarkEnd w:id="69"/>
    </w:p>
    <w:p w14:paraId="6AFD6E0E">
      <w:pPr>
        <w:spacing w:line="360" w:lineRule="auto"/>
        <w:ind w:firstLine="482" w:firstLineChars="200"/>
        <w:outlineLvl w:val="3"/>
        <w:rPr>
          <w:rFonts w:ascii="宋体" w:hAnsi="宋体" w:eastAsia="宋体" w:cs="宋体"/>
          <w:sz w:val="24"/>
          <w:szCs w:val="24"/>
        </w:rPr>
      </w:pPr>
      <w:r>
        <w:rPr>
          <w:rFonts w:hint="eastAsia" w:ascii="宋体" w:hAnsi="宋体" w:eastAsia="宋体" w:cs="宋体"/>
          <w:b/>
          <w:sz w:val="24"/>
          <w:szCs w:val="24"/>
        </w:rPr>
        <w:t>一、供货方式</w:t>
      </w:r>
    </w:p>
    <w:p w14:paraId="119C1188">
      <w:pPr>
        <w:spacing w:line="360" w:lineRule="auto"/>
        <w:ind w:firstLine="480" w:firstLineChars="200"/>
        <w:rPr>
          <w:rFonts w:ascii="宋体" w:hAnsi="宋体" w:eastAsia="宋体" w:cs="宋体"/>
          <w:b/>
          <w:i/>
          <w:sz w:val="24"/>
          <w:szCs w:val="24"/>
        </w:rPr>
      </w:pPr>
      <w:r>
        <w:rPr>
          <w:rFonts w:hint="eastAsia" w:ascii="宋体" w:hAnsi="宋体" w:eastAsia="宋体" w:cs="宋体"/>
          <w:sz w:val="24"/>
          <w:szCs w:val="24"/>
        </w:rPr>
        <w:t>完全交钥匙方式，即本次招标货物至少包括以下货物及服务：非标或特需设计、制造、至交货地点的运输（含定点装卸）、安装、调试、买方安装地竣工验收服务、货物移交、约定培训等全流程范围。</w:t>
      </w:r>
    </w:p>
    <w:p w14:paraId="07BBD80B">
      <w:pPr>
        <w:spacing w:line="360" w:lineRule="auto"/>
        <w:ind w:firstLine="482" w:firstLineChars="200"/>
        <w:rPr>
          <w:rFonts w:ascii="宋体" w:hAnsi="宋体" w:eastAsia="宋体" w:cs="宋体"/>
          <w:sz w:val="24"/>
          <w:szCs w:val="24"/>
        </w:rPr>
      </w:pPr>
      <w:r>
        <w:rPr>
          <w:rFonts w:hint="eastAsia" w:ascii="宋体" w:hAnsi="宋体" w:eastAsia="宋体" w:cs="宋体"/>
          <w:b/>
          <w:bCs/>
          <w:sz w:val="24"/>
          <w:szCs w:val="24"/>
        </w:rPr>
        <w:t>二、供货地点：</w:t>
      </w:r>
      <w:r>
        <w:rPr>
          <w:rFonts w:hint="eastAsia" w:ascii="Times New Roman" w:hAnsi="Times New Roman" w:eastAsia="宋体" w:cs="Times New Roman"/>
          <w:sz w:val="24"/>
          <w:szCs w:val="24"/>
          <w:u w:val="single"/>
        </w:rPr>
        <w:t>济宁</w:t>
      </w:r>
      <w:r>
        <w:rPr>
          <w:rFonts w:ascii="Times New Roman" w:hAnsi="Times New Roman" w:eastAsia="宋体" w:cs="Times New Roman"/>
          <w:sz w:val="24"/>
          <w:szCs w:val="24"/>
          <w:u w:val="single"/>
        </w:rPr>
        <w:t>商用车</w:t>
      </w:r>
      <w:r>
        <w:rPr>
          <w:rFonts w:hint="eastAsia" w:ascii="Times New Roman" w:hAnsi="Times New Roman" w:eastAsia="宋体" w:cs="Times New Roman"/>
          <w:sz w:val="24"/>
          <w:szCs w:val="24"/>
          <w:u w:val="single"/>
        </w:rPr>
        <w:t>有限</w:t>
      </w:r>
      <w:r>
        <w:rPr>
          <w:rFonts w:ascii="Times New Roman" w:hAnsi="Times New Roman" w:eastAsia="宋体" w:cs="Times New Roman"/>
          <w:sz w:val="24"/>
          <w:szCs w:val="24"/>
          <w:u w:val="single"/>
        </w:rPr>
        <w:t>公司</w:t>
      </w:r>
    </w:p>
    <w:p w14:paraId="240A0BC0">
      <w:pPr>
        <w:spacing w:line="360" w:lineRule="auto"/>
        <w:ind w:firstLine="482" w:firstLineChars="200"/>
        <w:jc w:val="left"/>
        <w:outlineLvl w:val="3"/>
        <w:rPr>
          <w:rFonts w:ascii="宋体" w:hAnsi="宋体" w:eastAsia="宋体" w:cs="宋体"/>
          <w:b/>
          <w:bCs/>
          <w:sz w:val="24"/>
          <w:szCs w:val="24"/>
        </w:rPr>
      </w:pPr>
      <w:r>
        <w:rPr>
          <w:rFonts w:hint="eastAsia" w:ascii="宋体" w:hAnsi="宋体" w:eastAsia="宋体" w:cs="宋体"/>
          <w:b/>
          <w:bCs/>
          <w:sz w:val="24"/>
          <w:szCs w:val="24"/>
        </w:rPr>
        <w:t>三、供货时间</w:t>
      </w:r>
    </w:p>
    <w:p w14:paraId="0E79771C">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1.自收到中标通知书生效之日起，</w:t>
      </w:r>
      <w:r>
        <w:rPr>
          <w:rFonts w:hint="eastAsia" w:ascii="宋体" w:hAnsi="宋体" w:eastAsia="宋体"/>
          <w:sz w:val="24"/>
          <w:szCs w:val="24"/>
          <w:lang w:val="en-US" w:eastAsia="zh-CN"/>
        </w:rPr>
        <w:t>30</w:t>
      </w:r>
      <w:r>
        <w:rPr>
          <w:rFonts w:hint="eastAsia" w:ascii="宋体" w:hAnsi="宋体" w:eastAsia="宋体"/>
          <w:sz w:val="24"/>
          <w:szCs w:val="24"/>
        </w:rPr>
        <w:t>日历日之内交货至供货地点。</w:t>
      </w:r>
    </w:p>
    <w:p w14:paraId="4ADF53A4">
      <w:pPr>
        <w:spacing w:line="360" w:lineRule="auto"/>
        <w:ind w:firstLine="480" w:firstLineChars="200"/>
        <w:jc w:val="left"/>
        <w:rPr>
          <w:rFonts w:hint="eastAsia" w:ascii="宋体" w:hAnsi="宋体" w:eastAsia="宋体"/>
          <w:sz w:val="24"/>
          <w:szCs w:val="24"/>
        </w:rPr>
      </w:pPr>
      <w:r>
        <w:rPr>
          <w:rFonts w:hint="eastAsia" w:ascii="宋体" w:hAnsi="宋体" w:eastAsia="宋体"/>
          <w:sz w:val="24"/>
          <w:szCs w:val="24"/>
        </w:rPr>
        <w:t>2.接续</w:t>
      </w:r>
      <w:r>
        <w:rPr>
          <w:rFonts w:hint="eastAsia" w:ascii="宋体" w:hAnsi="宋体" w:eastAsia="宋体"/>
          <w:sz w:val="24"/>
          <w:szCs w:val="24"/>
          <w:u w:val="single"/>
          <w:lang w:val="en-US" w:eastAsia="zh-CN"/>
        </w:rPr>
        <w:t>10</w:t>
      </w:r>
      <w:r>
        <w:rPr>
          <w:rFonts w:hint="eastAsia" w:ascii="宋体" w:hAnsi="宋体" w:eastAsia="宋体"/>
          <w:sz w:val="24"/>
          <w:szCs w:val="24"/>
        </w:rPr>
        <w:t>个日历日之内安装调试完毕。</w:t>
      </w:r>
    </w:p>
    <w:p w14:paraId="7BB974EE">
      <w:pPr>
        <w:spacing w:line="360" w:lineRule="auto"/>
        <w:ind w:firstLine="480" w:firstLineChars="200"/>
        <w:jc w:val="left"/>
        <w:rPr>
          <w:rFonts w:hint="default" w:ascii="宋体" w:hAnsi="宋体" w:eastAsia="宋体"/>
          <w:sz w:val="24"/>
          <w:szCs w:val="24"/>
          <w:lang w:val="en-US" w:eastAsia="zh-CN"/>
        </w:rPr>
      </w:pPr>
      <w:r>
        <w:rPr>
          <w:rFonts w:hint="eastAsia" w:ascii="宋体" w:hAnsi="宋体" w:eastAsia="宋体"/>
          <w:sz w:val="24"/>
          <w:szCs w:val="24"/>
          <w:lang w:val="en-US" w:eastAsia="zh-CN"/>
        </w:rPr>
        <w:t>3.改项目安装需夜间施工，投标方需综合考虑。</w:t>
      </w:r>
    </w:p>
    <w:p w14:paraId="7D7EC074">
      <w:pPr>
        <w:spacing w:line="360" w:lineRule="auto"/>
        <w:ind w:firstLine="480" w:firstLineChars="200"/>
        <w:jc w:val="left"/>
        <w:rPr>
          <w:rFonts w:hint="eastAsia" w:ascii="宋体" w:hAnsi="宋体" w:eastAsia="宋体"/>
          <w:sz w:val="24"/>
          <w:szCs w:val="24"/>
        </w:rPr>
      </w:pPr>
      <w:r>
        <w:rPr>
          <w:rFonts w:hint="eastAsia" w:ascii="宋体" w:hAnsi="宋体" w:eastAsia="宋体"/>
          <w:sz w:val="24"/>
          <w:szCs w:val="24"/>
        </w:rPr>
        <w:t>安装调试时间或终验收时间超过规定时间的，投标人应当随标书提供详细的工期计划。</w:t>
      </w:r>
    </w:p>
    <w:p w14:paraId="45589630">
      <w:pPr>
        <w:spacing w:line="360" w:lineRule="auto"/>
        <w:ind w:firstLine="482" w:firstLineChars="200"/>
        <w:outlineLvl w:val="3"/>
        <w:rPr>
          <w:rFonts w:ascii="宋体" w:hAnsi="宋体" w:eastAsia="宋体" w:cs="宋体"/>
          <w:b/>
          <w:bCs/>
          <w:sz w:val="24"/>
          <w:szCs w:val="24"/>
        </w:rPr>
      </w:pPr>
      <w:r>
        <w:rPr>
          <w:rFonts w:hint="eastAsia" w:ascii="宋体" w:hAnsi="宋体" w:eastAsia="宋体" w:cs="宋体"/>
          <w:b/>
          <w:bCs/>
          <w:sz w:val="24"/>
          <w:szCs w:val="24"/>
        </w:rPr>
        <w:t>四、包装</w:t>
      </w:r>
    </w:p>
    <w:p w14:paraId="546292CB">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1.所提供货物（或设备）的包装，应遵照国家标准和有关包装、包皮的技术条件，或按照最好的商业惯例进行包装。</w:t>
      </w:r>
    </w:p>
    <w:p w14:paraId="2C297170">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2.包装应能满足所需要采取的运输方式（船运、汽运或铁路运输）、多次吊装卸装、卸货以及长期露天堆放要求，应能防止雨淋、受潮、生锈、腐蚀、受振、受磁以及机械和化学因素等引起的损坏。</w:t>
      </w:r>
    </w:p>
    <w:p w14:paraId="7C9B2D9C">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3.所提供货物（或设备）的包装，应能防止其一般性被窃或受外力破坏；一般不得采用有大缝隙的板条包装。</w:t>
      </w:r>
    </w:p>
    <w:p w14:paraId="585CEA68">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4.应对包装件做必要的加固和固定，以防止运输可能造成的损坏。</w:t>
      </w:r>
    </w:p>
    <w:p w14:paraId="754481D4">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5.每个包装件应有装箱单，并至少标明名称、型号规格、数量、净重和毛重、投标人（或供货商）名称和制造日期等相关内容。</w:t>
      </w:r>
    </w:p>
    <w:p w14:paraId="3991288D">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6.每个包装箱应有明显标志，并具有中文书写的合同号、装运标志、发货和到货地点名称、发货人和收货人名称、货物名称和项目号、箱号和外型尺寸等内容。</w:t>
      </w:r>
    </w:p>
    <w:p w14:paraId="658EFF75">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7.应按照不同的装运要求在包装箱上标明“小心轻放”、“箭头向上”、“防潮”、“防磁”、“不准平放”等标志，以及其它适用的国标通用标志。</w:t>
      </w:r>
    </w:p>
    <w:p w14:paraId="755B464B">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8.包装箱应连续编号，不应出现重复编号。</w:t>
      </w:r>
    </w:p>
    <w:p w14:paraId="46794194">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9.在不受到外界破坏情况下，包装应保证自交货日起一年内货物（或设备）完好无损。</w:t>
      </w:r>
    </w:p>
    <w:p w14:paraId="00CF96B7">
      <w:pPr>
        <w:adjustRightInd w:val="0"/>
        <w:snapToGrid w:val="0"/>
        <w:spacing w:line="360" w:lineRule="auto"/>
        <w:ind w:firstLine="482" w:firstLineChars="200"/>
        <w:outlineLvl w:val="3"/>
        <w:rPr>
          <w:rFonts w:ascii="宋体" w:hAnsi="宋体" w:eastAsia="宋体" w:cs="宋体"/>
          <w:b/>
          <w:bCs/>
          <w:sz w:val="24"/>
          <w:szCs w:val="24"/>
        </w:rPr>
      </w:pPr>
      <w:r>
        <w:rPr>
          <w:rFonts w:hint="eastAsia" w:ascii="宋体" w:hAnsi="宋体" w:eastAsia="宋体" w:cs="宋体"/>
          <w:b/>
          <w:bCs/>
          <w:sz w:val="24"/>
          <w:szCs w:val="24"/>
        </w:rPr>
        <w:t>五、运输</w:t>
      </w:r>
    </w:p>
    <w:p w14:paraId="509638F1">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1.应负责将货物（或设备）运到目的地，并必须做到货物（或设备）在任何运输过程中不受损坏和遗失。</w:t>
      </w:r>
    </w:p>
    <w:p w14:paraId="2ABBD1F0">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2.同批货物（或设备）应统一包装、编号运输。</w:t>
      </w:r>
    </w:p>
    <w:p w14:paraId="04AA98A6">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3.一般情况下，经由铁路、公路运输的包装件尺寸和重量不应超过国家所规定的尺寸限制，特殊情况应予以说明。</w:t>
      </w:r>
    </w:p>
    <w:p w14:paraId="708C274E">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4.在每批货物（或设备）发出后，应立即通知买方；通知中应指明：合同号、货运单号、件数、重量和货物（或设备）发出日期等相关内容。</w:t>
      </w:r>
    </w:p>
    <w:p w14:paraId="36E7CCF6">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5.货物（或设备）运抵交货地点后，应负责货物（或设备）的卸货、搬运、保管等事宜，或按照合同约定。</w:t>
      </w:r>
    </w:p>
    <w:p w14:paraId="7219F782">
      <w:pPr>
        <w:widowControl/>
        <w:spacing w:line="360" w:lineRule="auto"/>
        <w:jc w:val="left"/>
        <w:rPr>
          <w:rFonts w:ascii="宋体" w:hAnsi="宋体" w:eastAsia="宋体" w:cs="Times New Roman"/>
          <w:szCs w:val="20"/>
        </w:rPr>
      </w:pPr>
      <w:r>
        <w:rPr>
          <w:rFonts w:ascii="宋体" w:hAnsi="宋体" w:eastAsia="宋体" w:cs="Times New Roman"/>
          <w:szCs w:val="20"/>
        </w:rPr>
        <w:br w:type="page"/>
      </w:r>
    </w:p>
    <w:p w14:paraId="336D0C0C">
      <w:pPr>
        <w:keepNext/>
        <w:keepLines/>
        <w:spacing w:line="360" w:lineRule="auto"/>
        <w:jc w:val="center"/>
        <w:outlineLvl w:val="1"/>
        <w:rPr>
          <w:rFonts w:ascii="宋体" w:hAnsi="宋体" w:eastAsia="宋体" w:cs="Times New Roman"/>
          <w:b/>
          <w:bCs/>
          <w:kern w:val="44"/>
          <w:sz w:val="28"/>
          <w:szCs w:val="28"/>
        </w:rPr>
      </w:pPr>
      <w:bookmarkStart w:id="70" w:name="_Toc169605884"/>
      <w:r>
        <w:rPr>
          <w:rFonts w:hint="eastAsia" w:ascii="宋体" w:hAnsi="宋体" w:cs="Times New Roman"/>
          <w:b/>
          <w:bCs/>
          <w:kern w:val="44"/>
          <w:sz w:val="28"/>
          <w:szCs w:val="28"/>
          <w:lang w:val="en-US" w:eastAsia="zh-CN"/>
        </w:rPr>
        <w:t>第五节</w:t>
      </w:r>
      <w:r>
        <w:rPr>
          <w:rFonts w:hint="eastAsia" w:ascii="宋体" w:hAnsi="宋体" w:eastAsia="宋体" w:cs="Times New Roman"/>
          <w:b/>
          <w:bCs/>
          <w:kern w:val="44"/>
          <w:sz w:val="28"/>
          <w:szCs w:val="28"/>
        </w:rPr>
        <w:t>质保期及售后服务</w:t>
      </w:r>
      <w:bookmarkEnd w:id="70"/>
    </w:p>
    <w:p w14:paraId="6D064C69">
      <w:pPr>
        <w:pStyle w:val="89"/>
        <w:spacing w:line="360" w:lineRule="auto"/>
        <w:rPr>
          <w:rFonts w:ascii="宋体" w:hAnsi="宋体"/>
        </w:rPr>
      </w:pPr>
      <w:r>
        <w:rPr>
          <w:rFonts w:hint="eastAsia" w:ascii="宋体" w:hAnsi="宋体"/>
        </w:rPr>
        <w:t>一、质保期及质保要求</w:t>
      </w:r>
    </w:p>
    <w:p w14:paraId="0517B1D7">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1</w:t>
      </w:r>
      <w:r>
        <w:rPr>
          <w:rFonts w:hint="eastAsia" w:ascii="宋体" w:hAnsi="宋体" w:eastAsia="宋体" w:cs="宋体"/>
          <w:sz w:val="24"/>
          <w:szCs w:val="24"/>
        </w:rPr>
        <w:t>.全部供货范围内的设备、材料、零配件和工器具等，除合同特别约定外，其质保期均自终验收签字生效之日起</w:t>
      </w:r>
      <w:r>
        <w:rPr>
          <w:rFonts w:hint="eastAsia" w:ascii="宋体" w:hAnsi="宋体" w:eastAsia="宋体" w:cs="宋体"/>
          <w:sz w:val="24"/>
          <w:szCs w:val="24"/>
          <w:u w:val="single"/>
        </w:rPr>
        <w:t>12</w:t>
      </w:r>
      <w:r>
        <w:rPr>
          <w:rFonts w:hint="eastAsia" w:ascii="宋体" w:hAnsi="宋体" w:eastAsia="宋体" w:cs="宋体"/>
          <w:sz w:val="24"/>
          <w:szCs w:val="24"/>
        </w:rPr>
        <w:t>个月。</w:t>
      </w:r>
    </w:p>
    <w:p w14:paraId="0AE8B392">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投标货物或涉及的关键总成和零件，如果有更长时间质保期，允许更改并说明，此将有利于投标人。</w:t>
      </w:r>
    </w:p>
    <w:p w14:paraId="5178703E">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设计使用寿命短于质保期的易损件除外，但属于易损件的，应当有明确说明。</w:t>
      </w:r>
    </w:p>
    <w:p w14:paraId="455E7DAF">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2</w:t>
      </w:r>
      <w:r>
        <w:rPr>
          <w:rFonts w:hint="eastAsia" w:ascii="宋体" w:hAnsi="宋体" w:eastAsia="宋体" w:cs="宋体"/>
          <w:sz w:val="24"/>
          <w:szCs w:val="24"/>
        </w:rPr>
        <w:t>.质保期之内，如果货物出现设备、总成、关键零部件或者多处一般零部件的二次以上的更换或维修行为，则质保期自更换或维修行为结束、货物重新正常运行使用之日起重新计算。</w:t>
      </w:r>
    </w:p>
    <w:p w14:paraId="24F216DE">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3</w:t>
      </w:r>
      <w:r>
        <w:rPr>
          <w:rFonts w:hint="eastAsia" w:ascii="宋体" w:hAnsi="宋体" w:eastAsia="宋体" w:cs="宋体"/>
          <w:sz w:val="24"/>
          <w:szCs w:val="24"/>
        </w:rPr>
        <w:t>.质保期内免费提供零部件和及时有效的服务。质保期内因货物本身缺陷造成的各种故障，卖方应负责免费维修和服务。</w:t>
      </w:r>
    </w:p>
    <w:p w14:paraId="3F4C794C">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4</w:t>
      </w:r>
      <w:r>
        <w:rPr>
          <w:rFonts w:hint="eastAsia" w:ascii="宋体" w:hAnsi="宋体" w:eastAsia="宋体" w:cs="宋体"/>
          <w:sz w:val="24"/>
          <w:szCs w:val="24"/>
        </w:rPr>
        <w:t>.质保期终止之日起</w:t>
      </w:r>
      <w:r>
        <w:rPr>
          <w:rFonts w:hint="eastAsia" w:ascii="宋体" w:hAnsi="宋体" w:eastAsia="宋体" w:cs="宋体"/>
          <w:sz w:val="24"/>
          <w:szCs w:val="24"/>
          <w:u w:val="single"/>
        </w:rPr>
        <w:t>一年内</w:t>
      </w:r>
      <w:r>
        <w:rPr>
          <w:rFonts w:hint="eastAsia" w:ascii="宋体" w:hAnsi="宋体" w:eastAsia="宋体" w:cs="宋体"/>
          <w:sz w:val="24"/>
          <w:szCs w:val="24"/>
        </w:rPr>
        <w:t>重复出现的质保期之内出现的故障，仍属质保范围而且应当免费。</w:t>
      </w:r>
    </w:p>
    <w:p w14:paraId="6218FF4D">
      <w:pPr>
        <w:adjustRightInd w:val="0"/>
        <w:snapToGrid w:val="0"/>
        <w:spacing w:line="360" w:lineRule="auto"/>
        <w:ind w:firstLine="480" w:firstLineChars="200"/>
      </w:pPr>
      <w:r>
        <w:rPr>
          <w:rFonts w:hint="eastAsia" w:ascii="Times New Roman" w:hAnsi="Times New Roman" w:eastAsia="宋体" w:cs="Times New Roman"/>
          <w:sz w:val="24"/>
          <w:szCs w:val="24"/>
        </w:rPr>
        <w:t>5.软件要具备升级功能，在投产后五年内中标方负责为业主方免费升级。</w:t>
      </w:r>
    </w:p>
    <w:p w14:paraId="624A6CEC">
      <w:pPr>
        <w:pStyle w:val="89"/>
        <w:spacing w:line="360" w:lineRule="auto"/>
        <w:rPr>
          <w:rFonts w:ascii="宋体" w:hAnsi="宋体" w:cs="宋体"/>
        </w:rPr>
      </w:pPr>
      <w:r>
        <w:rPr>
          <w:rFonts w:hint="eastAsia" w:ascii="宋体" w:hAnsi="宋体" w:cs="宋体"/>
        </w:rPr>
        <w:t>二、技术</w:t>
      </w:r>
      <w:r>
        <w:rPr>
          <w:rFonts w:hint="eastAsia" w:ascii="宋体" w:hAnsi="宋体"/>
        </w:rPr>
        <w:t>指导</w:t>
      </w:r>
      <w:r>
        <w:rPr>
          <w:rFonts w:hint="eastAsia" w:ascii="宋体" w:hAnsi="宋体" w:cs="宋体"/>
        </w:rPr>
        <w:t>及培训服务</w:t>
      </w:r>
    </w:p>
    <w:p w14:paraId="342275AE">
      <w:pPr>
        <w:adjustRightInd w:val="0"/>
        <w:snapToGrid w:val="0"/>
        <w:spacing w:line="360" w:lineRule="auto"/>
        <w:ind w:firstLine="480" w:firstLineChars="200"/>
        <w:rPr>
          <w:rFonts w:ascii="宋体" w:hAnsi="宋体" w:eastAsia="宋体"/>
          <w:color w:val="000000"/>
          <w:sz w:val="24"/>
          <w:szCs w:val="24"/>
        </w:rPr>
      </w:pPr>
      <w:r>
        <w:rPr>
          <w:rFonts w:hint="eastAsia" w:ascii="宋体" w:hAnsi="宋体" w:eastAsia="宋体"/>
          <w:color w:val="000000"/>
          <w:sz w:val="24"/>
          <w:szCs w:val="24"/>
        </w:rPr>
        <w:t>1.应负责在买方货物使用现场，对技术、维修和操作人员提供免费的理论、技术和操作、维修等方面的技术指导和培训，并接受买方有关人员的技术咨询。培训工作日不少于</w:t>
      </w:r>
      <w:r>
        <w:rPr>
          <w:rFonts w:hint="eastAsia" w:ascii="宋体" w:hAnsi="宋体" w:eastAsia="宋体"/>
          <w:color w:val="000000"/>
          <w:sz w:val="24"/>
          <w:szCs w:val="24"/>
          <w:u w:val="single"/>
          <w:shd w:val="pct10" w:color="auto" w:fill="FFFFFF"/>
        </w:rPr>
        <w:t>2</w:t>
      </w:r>
      <w:r>
        <w:rPr>
          <w:rFonts w:hint="eastAsia" w:ascii="宋体" w:hAnsi="宋体" w:eastAsia="宋体"/>
          <w:color w:val="000000"/>
          <w:sz w:val="24"/>
          <w:szCs w:val="24"/>
        </w:rPr>
        <w:t>个日历日。</w:t>
      </w:r>
    </w:p>
    <w:p w14:paraId="1893F4A3">
      <w:pPr>
        <w:adjustRightInd w:val="0"/>
        <w:snapToGrid w:val="0"/>
        <w:spacing w:line="360" w:lineRule="auto"/>
        <w:ind w:firstLine="480" w:firstLineChars="200"/>
        <w:rPr>
          <w:rFonts w:ascii="宋体" w:hAnsi="宋体" w:eastAsia="宋体"/>
          <w:color w:val="000000"/>
          <w:sz w:val="24"/>
          <w:szCs w:val="24"/>
        </w:rPr>
      </w:pPr>
      <w:r>
        <w:rPr>
          <w:rFonts w:hint="eastAsia" w:ascii="宋体" w:hAnsi="宋体" w:eastAsia="宋体"/>
          <w:color w:val="000000"/>
          <w:sz w:val="24"/>
          <w:szCs w:val="24"/>
        </w:rPr>
        <w:t>2.应免费提供一定数量的培训资料。</w:t>
      </w:r>
    </w:p>
    <w:p w14:paraId="514A4FBE">
      <w:pPr>
        <w:spacing w:line="360" w:lineRule="auto"/>
        <w:ind w:firstLine="480" w:firstLineChars="200"/>
        <w:rPr>
          <w:rFonts w:ascii="宋体" w:hAnsi="宋体" w:eastAsia="宋体"/>
          <w:sz w:val="24"/>
          <w:szCs w:val="24"/>
        </w:rPr>
      </w:pPr>
      <w:r>
        <w:rPr>
          <w:rFonts w:hint="eastAsia" w:ascii="宋体" w:hAnsi="宋体" w:eastAsia="宋体"/>
          <w:sz w:val="24"/>
          <w:szCs w:val="24"/>
        </w:rPr>
        <w:t>3.投标方应按要求，免费积极协助和提供招标人和招标人所委托的工程设计单位有关人员所需要的、和设备（或材料）有关的工程设计资料、技术咨询等；</w:t>
      </w:r>
    </w:p>
    <w:p w14:paraId="2106B8A1">
      <w:pPr>
        <w:spacing w:line="360" w:lineRule="auto"/>
        <w:ind w:firstLine="480" w:firstLineChars="200"/>
        <w:rPr>
          <w:rFonts w:ascii="宋体" w:hAnsi="宋体" w:eastAsia="宋体"/>
          <w:sz w:val="24"/>
          <w:szCs w:val="24"/>
        </w:rPr>
      </w:pPr>
      <w:r>
        <w:rPr>
          <w:rFonts w:hint="eastAsia" w:ascii="宋体" w:hAnsi="宋体" w:eastAsia="宋体"/>
          <w:sz w:val="24"/>
          <w:szCs w:val="24"/>
        </w:rPr>
        <w:t>4.若投标方提供设备（或材料）的技术质量等，与投标方外购的设备（或材料）技术质量等有较大或直接关联时，投标方应能得到其外购设备（或材料）制造厂商（或供应商）的技术支持，并免费为招标人提供技术服务（包括设计文件的审查和审定）；</w:t>
      </w:r>
    </w:p>
    <w:p w14:paraId="0A715F0F">
      <w:pPr>
        <w:spacing w:line="360" w:lineRule="auto"/>
        <w:ind w:firstLine="480" w:firstLineChars="200"/>
        <w:rPr>
          <w:rFonts w:ascii="宋体" w:hAnsi="宋体" w:eastAsia="宋体"/>
          <w:sz w:val="24"/>
          <w:szCs w:val="24"/>
        </w:rPr>
      </w:pPr>
      <w:r>
        <w:rPr>
          <w:rFonts w:hint="eastAsia" w:ascii="宋体" w:hAnsi="宋体" w:eastAsia="宋体"/>
          <w:sz w:val="24"/>
          <w:szCs w:val="24"/>
        </w:rPr>
        <w:t>5.投标方负责制定对招标人人员在运行、维修和试验等方面的培训计划，并有专人负责实施培训计划，应进行相关安全环保注意事项的培训，并提供相关人员、设备安全作业资质的要求，负责指导招标人受培训人员正确理解设计和制造意图，认识设备的特点和特性，掌握在运行、维修和使用管理中应遵守的规则等方面的综合知识；</w:t>
      </w:r>
    </w:p>
    <w:p w14:paraId="6D4E6A84">
      <w:pPr>
        <w:pStyle w:val="7"/>
        <w:rPr>
          <w:rFonts w:ascii="宋体" w:hAnsi="宋体" w:eastAsia="宋体"/>
          <w:color w:val="000000"/>
          <w:sz w:val="24"/>
          <w:szCs w:val="24"/>
        </w:rPr>
      </w:pPr>
      <w:r>
        <w:rPr>
          <w:rFonts w:hint="eastAsia" w:ascii="宋体" w:hAnsi="宋体" w:eastAsia="宋体"/>
          <w:sz w:val="24"/>
          <w:szCs w:val="24"/>
        </w:rPr>
        <w:t>6.投标方提供的改造方式、新增设备内容，建议在试用确认无误之后，再批量生产，否则因此造成的损失，由投标方承担。</w:t>
      </w:r>
    </w:p>
    <w:p w14:paraId="1FD09B28">
      <w:pPr>
        <w:pStyle w:val="89"/>
        <w:spacing w:line="360" w:lineRule="auto"/>
        <w:rPr>
          <w:rFonts w:ascii="宋体" w:hAnsi="宋体" w:cs="宋体"/>
        </w:rPr>
      </w:pPr>
      <w:r>
        <w:rPr>
          <w:rFonts w:hint="eastAsia" w:ascii="宋体" w:hAnsi="宋体" w:cs="宋体"/>
        </w:rPr>
        <w:t>三、安装调试及验收服务</w:t>
      </w:r>
    </w:p>
    <w:p w14:paraId="12168BB5">
      <w:pPr>
        <w:spacing w:line="360" w:lineRule="auto"/>
        <w:ind w:firstLine="480" w:firstLineChars="200"/>
        <w:rPr>
          <w:rFonts w:ascii="宋体" w:hAnsi="宋体" w:eastAsia="宋体"/>
          <w:sz w:val="24"/>
          <w:szCs w:val="24"/>
        </w:rPr>
      </w:pPr>
      <w:r>
        <w:rPr>
          <w:rFonts w:hint="eastAsia" w:ascii="宋体" w:hAnsi="宋体" w:eastAsia="宋体"/>
          <w:sz w:val="24"/>
          <w:szCs w:val="24"/>
        </w:rPr>
        <w:t>1安装调试与验收期间，若投标方提供设备的技术质量等，与投标方外购的设备技术质量等有较大或直接关联时，投标方应能得到其外购设备制造厂商（或供应商）的技术支持，并免费为招标人提供安装使用现场的指导与协调；</w:t>
      </w:r>
    </w:p>
    <w:p w14:paraId="3309ECBD">
      <w:pPr>
        <w:spacing w:line="360" w:lineRule="auto"/>
        <w:ind w:firstLine="480" w:firstLineChars="200"/>
        <w:rPr>
          <w:rFonts w:ascii="宋体" w:hAnsi="宋体" w:eastAsia="宋体"/>
          <w:sz w:val="24"/>
          <w:szCs w:val="24"/>
        </w:rPr>
      </w:pPr>
      <w:r>
        <w:rPr>
          <w:rFonts w:hint="eastAsia" w:ascii="宋体" w:hAnsi="宋体" w:eastAsia="宋体"/>
          <w:sz w:val="24"/>
          <w:szCs w:val="24"/>
        </w:rPr>
        <w:t>2投标方免费负责设备的安装、调试，并接受用户的技术咨询；</w:t>
      </w:r>
    </w:p>
    <w:p w14:paraId="38A500CF">
      <w:pPr>
        <w:spacing w:line="360" w:lineRule="auto"/>
        <w:ind w:firstLine="480" w:firstLineChars="200"/>
        <w:rPr>
          <w:rFonts w:ascii="宋体" w:hAnsi="宋体" w:eastAsia="宋体"/>
          <w:sz w:val="24"/>
          <w:szCs w:val="24"/>
        </w:rPr>
      </w:pPr>
      <w:r>
        <w:rPr>
          <w:rFonts w:hint="eastAsia" w:ascii="宋体" w:hAnsi="宋体" w:eastAsia="宋体"/>
          <w:sz w:val="24"/>
          <w:szCs w:val="24"/>
        </w:rPr>
        <w:t>3投标方是否提供有偿的还是免费的、指导安装调试还是负责安装调试，至少应在投标文件的服务章节中，予以明确说明；</w:t>
      </w:r>
    </w:p>
    <w:p w14:paraId="2AE85F5B">
      <w:pPr>
        <w:spacing w:line="360" w:lineRule="auto"/>
        <w:ind w:firstLine="480" w:firstLineChars="200"/>
        <w:rPr>
          <w:rFonts w:ascii="宋体" w:hAnsi="宋体" w:eastAsia="宋体"/>
          <w:sz w:val="24"/>
          <w:szCs w:val="24"/>
        </w:rPr>
      </w:pPr>
      <w:r>
        <w:rPr>
          <w:rFonts w:hint="eastAsia" w:ascii="宋体" w:hAnsi="宋体" w:eastAsia="宋体"/>
          <w:sz w:val="24"/>
          <w:szCs w:val="24"/>
        </w:rPr>
        <w:t>4卖方进入买方现场进行安装调试过程中，应进行相关安全环保注意事项的培训，并提供相关人员、设备安全作业资质的要求。</w:t>
      </w:r>
    </w:p>
    <w:p w14:paraId="342B5689">
      <w:pPr>
        <w:spacing w:line="360" w:lineRule="auto"/>
        <w:ind w:firstLine="480" w:firstLineChars="200"/>
        <w:rPr>
          <w:rFonts w:ascii="宋体" w:hAnsi="宋体" w:eastAsia="宋体"/>
          <w:sz w:val="24"/>
          <w:szCs w:val="24"/>
        </w:rPr>
      </w:pPr>
      <w:r>
        <w:rPr>
          <w:rFonts w:hint="eastAsia" w:ascii="宋体" w:hAnsi="宋体" w:eastAsia="宋体"/>
          <w:sz w:val="24"/>
          <w:szCs w:val="24"/>
        </w:rPr>
        <w:t>5设备供方配合甲方完成设备数据采集的调试工作，包括但不限于提供设备PLC程序（无密码），接口调试等工作。</w:t>
      </w:r>
    </w:p>
    <w:p w14:paraId="0AC7962E">
      <w:pPr>
        <w:spacing w:line="360" w:lineRule="auto"/>
        <w:ind w:firstLine="480" w:firstLineChars="200"/>
        <w:rPr>
          <w:rFonts w:ascii="宋体" w:hAnsi="宋体" w:eastAsia="宋体"/>
          <w:sz w:val="24"/>
          <w:szCs w:val="24"/>
        </w:rPr>
      </w:pPr>
      <w:r>
        <w:rPr>
          <w:rFonts w:hint="eastAsia" w:ascii="宋体" w:hAnsi="宋体" w:eastAsia="宋体"/>
          <w:sz w:val="24"/>
          <w:szCs w:val="24"/>
        </w:rPr>
        <w:t>6投标人在招标人现场进行的、指导或负责的、设备（或材料）的预验收和终验收，应当是免费的，陪同生产时间不少于</w:t>
      </w:r>
      <w:r>
        <w:rPr>
          <w:rFonts w:hint="eastAsia" w:ascii="宋体" w:hAnsi="宋体" w:eastAsia="宋体"/>
          <w:sz w:val="24"/>
          <w:szCs w:val="24"/>
          <w:u w:val="single"/>
        </w:rPr>
        <w:t>45</w:t>
      </w:r>
      <w:r>
        <w:rPr>
          <w:rFonts w:hint="eastAsia" w:ascii="宋体" w:hAnsi="宋体" w:eastAsia="宋体"/>
          <w:sz w:val="24"/>
          <w:szCs w:val="24"/>
        </w:rPr>
        <w:t>天；</w:t>
      </w:r>
    </w:p>
    <w:p w14:paraId="3DC6ACAE">
      <w:pPr>
        <w:spacing w:line="360" w:lineRule="auto"/>
        <w:ind w:firstLine="480" w:firstLineChars="200"/>
        <w:rPr>
          <w:rFonts w:ascii="宋体" w:hAnsi="宋体" w:eastAsia="宋体"/>
          <w:sz w:val="24"/>
          <w:szCs w:val="24"/>
        </w:rPr>
      </w:pPr>
      <w:r>
        <w:rPr>
          <w:rFonts w:hint="eastAsia" w:ascii="宋体" w:hAnsi="宋体" w:eastAsia="宋体"/>
          <w:sz w:val="24"/>
          <w:szCs w:val="24"/>
        </w:rPr>
        <w:t>7设备（或材料）验收时，若投标人提供设备（或材料）的技术质量等，与投标人外购的设备（或材料）技术质量等有较大或直接关联时，投标人应能得到其外购设备（或材料）制造厂商（或供应商）的技术支持，并免费提供其必要的现场指导与协调；</w:t>
      </w:r>
    </w:p>
    <w:p w14:paraId="2A381E9F">
      <w:pPr>
        <w:spacing w:line="360" w:lineRule="auto"/>
        <w:ind w:firstLine="480" w:firstLineChars="200"/>
        <w:rPr>
          <w:rFonts w:ascii="宋体" w:hAnsi="宋体" w:eastAsia="宋体"/>
          <w:sz w:val="24"/>
          <w:szCs w:val="24"/>
        </w:rPr>
      </w:pPr>
      <w:r>
        <w:rPr>
          <w:rFonts w:hint="eastAsia" w:ascii="宋体" w:hAnsi="宋体" w:eastAsia="宋体"/>
          <w:sz w:val="24"/>
          <w:szCs w:val="24"/>
        </w:rPr>
        <w:t>8在投标人所提供设备需要得到招标人建设项目所在地政府或行业主管部门的查验、试验、验收时，投标人应当免费协助招标人完成所需要的工作、材料和服务等。</w:t>
      </w:r>
    </w:p>
    <w:p w14:paraId="02DD3F51">
      <w:pPr>
        <w:pStyle w:val="89"/>
        <w:spacing w:line="360" w:lineRule="auto"/>
        <w:rPr>
          <w:rFonts w:ascii="宋体" w:hAnsi="宋体" w:cs="宋体"/>
        </w:rPr>
      </w:pPr>
      <w:r>
        <w:rPr>
          <w:rFonts w:hint="eastAsia" w:ascii="宋体" w:hAnsi="宋体" w:cs="宋体"/>
        </w:rPr>
        <w:t>四、售后服务</w:t>
      </w:r>
    </w:p>
    <w:p w14:paraId="65B9D97E">
      <w:pPr>
        <w:spacing w:line="360" w:lineRule="auto"/>
        <w:ind w:firstLine="480" w:firstLineChars="200"/>
        <w:rPr>
          <w:rFonts w:ascii="宋体" w:hAnsi="宋体" w:eastAsia="宋体"/>
          <w:sz w:val="24"/>
          <w:szCs w:val="24"/>
        </w:rPr>
      </w:pPr>
      <w:r>
        <w:rPr>
          <w:rFonts w:hint="eastAsia" w:ascii="宋体" w:hAnsi="宋体" w:eastAsia="宋体"/>
          <w:sz w:val="24"/>
          <w:szCs w:val="24"/>
        </w:rPr>
        <w:t>1在质保期之内，如发现投标人所提供的设备（或材料）存在问题，需要投标人配合解决时，投标人须在接到通知后市内2小时、省内8小时、省外24小时内派有关人员到达现场，解决问题；</w:t>
      </w:r>
    </w:p>
    <w:p w14:paraId="148231AB">
      <w:pPr>
        <w:spacing w:line="360" w:lineRule="auto"/>
        <w:ind w:firstLine="480" w:firstLineChars="200"/>
        <w:rPr>
          <w:rFonts w:ascii="宋体" w:hAnsi="宋体" w:eastAsia="宋体"/>
          <w:sz w:val="24"/>
          <w:szCs w:val="24"/>
        </w:rPr>
      </w:pPr>
      <w:r>
        <w:rPr>
          <w:rFonts w:hint="eastAsia" w:ascii="宋体" w:hAnsi="宋体" w:eastAsia="宋体"/>
          <w:sz w:val="24"/>
          <w:szCs w:val="24"/>
        </w:rPr>
        <w:t>2在质保期之后，如发现投标人所提供的设备（或材料）存在问题，需要投标人配合解决时，投标人须在接到通知后市内2小时、省内8小时、省外24小时内派有关人员到达现场，协助招标人解决问题；</w:t>
      </w:r>
    </w:p>
    <w:p w14:paraId="5D996594">
      <w:pPr>
        <w:spacing w:line="360" w:lineRule="auto"/>
        <w:ind w:firstLine="480" w:firstLineChars="200"/>
        <w:rPr>
          <w:rFonts w:ascii="宋体" w:hAnsi="宋体" w:eastAsia="宋体"/>
          <w:sz w:val="24"/>
          <w:szCs w:val="24"/>
        </w:rPr>
      </w:pPr>
      <w:r>
        <w:rPr>
          <w:rFonts w:hint="eastAsia" w:ascii="宋体" w:hAnsi="宋体" w:eastAsia="宋体"/>
          <w:sz w:val="24"/>
          <w:szCs w:val="24"/>
        </w:rPr>
        <w:t>3所有的售后服务均由投标人受理。如果发生问题并且收到报告，应当在2小时内予以答复；</w:t>
      </w:r>
    </w:p>
    <w:p w14:paraId="7FCE3370">
      <w:pPr>
        <w:spacing w:line="360" w:lineRule="auto"/>
        <w:ind w:firstLine="480" w:firstLineChars="200"/>
        <w:rPr>
          <w:rFonts w:ascii="宋体" w:hAnsi="宋体" w:eastAsia="宋体"/>
          <w:sz w:val="24"/>
          <w:szCs w:val="24"/>
        </w:rPr>
      </w:pPr>
      <w:r>
        <w:rPr>
          <w:rFonts w:hint="eastAsia" w:ascii="宋体" w:hAnsi="宋体" w:eastAsia="宋体"/>
          <w:sz w:val="24"/>
          <w:szCs w:val="24"/>
        </w:rPr>
        <w:t>4投标人应为招标人提供最佳的服务。</w:t>
      </w:r>
    </w:p>
    <w:p w14:paraId="31CC17BB">
      <w:pPr>
        <w:spacing w:line="360" w:lineRule="auto"/>
        <w:ind w:firstLine="480" w:firstLineChars="200"/>
        <w:rPr>
          <w:rFonts w:ascii="宋体" w:hAnsi="宋体" w:eastAsia="宋体"/>
          <w:sz w:val="24"/>
          <w:szCs w:val="24"/>
        </w:rPr>
      </w:pPr>
      <w:r>
        <w:rPr>
          <w:rFonts w:hint="eastAsia" w:ascii="宋体" w:hAnsi="宋体" w:eastAsia="宋体"/>
          <w:sz w:val="24"/>
          <w:szCs w:val="24"/>
        </w:rPr>
        <w:t>5 在工具设备使用寿命内，投标人应向招标人提供充足的备品备件、易损件和专用耗材，自招标人提出采购需求至交货，周期不得长于15天，也可提供备用工具设备，提供周期不得长于3天。</w:t>
      </w:r>
    </w:p>
    <w:p w14:paraId="3AD2A73A">
      <w:pPr>
        <w:spacing w:line="360" w:lineRule="auto"/>
        <w:ind w:firstLine="480" w:firstLineChars="200"/>
        <w:rPr>
          <w:rFonts w:ascii="宋体" w:hAnsi="宋体" w:eastAsia="宋体"/>
          <w:sz w:val="24"/>
          <w:szCs w:val="24"/>
        </w:rPr>
      </w:pPr>
      <w:r>
        <w:rPr>
          <w:rFonts w:hint="eastAsia" w:ascii="宋体" w:hAnsi="宋体" w:eastAsia="宋体"/>
          <w:sz w:val="24"/>
          <w:szCs w:val="24"/>
        </w:rPr>
        <w:t>6 在工具设备使用寿命周期内，投标人每年至少开展1次工具及软件使用、工具设备维修保养等方面的培训工作。</w:t>
      </w:r>
    </w:p>
    <w:p w14:paraId="5B8B2AAE">
      <w:pPr>
        <w:spacing w:line="360" w:lineRule="auto"/>
        <w:ind w:firstLine="480" w:firstLineChars="200"/>
        <w:rPr>
          <w:rFonts w:ascii="宋体" w:hAnsi="宋体" w:eastAsia="宋体"/>
          <w:sz w:val="24"/>
          <w:szCs w:val="24"/>
        </w:rPr>
      </w:pPr>
      <w:r>
        <w:rPr>
          <w:rFonts w:hint="eastAsia" w:ascii="宋体" w:hAnsi="宋体" w:eastAsia="宋体"/>
          <w:sz w:val="24"/>
          <w:szCs w:val="24"/>
        </w:rPr>
        <w:t>7</w:t>
      </w:r>
      <w:r>
        <w:rPr>
          <w:rFonts w:ascii="宋体" w:hAnsi="宋体" w:eastAsia="宋体"/>
          <w:sz w:val="24"/>
          <w:szCs w:val="24"/>
        </w:rPr>
        <w:t>.卖方派往买方使用现场的人员，应具有较高的业务素质；现场解决问题时，不得无故拖延或推迟，应为买方提供最佳的服务。</w:t>
      </w:r>
    </w:p>
    <w:p w14:paraId="0D377290">
      <w:pPr>
        <w:pStyle w:val="89"/>
        <w:spacing w:line="360" w:lineRule="auto"/>
        <w:rPr>
          <w:rFonts w:ascii="宋体" w:hAnsi="宋体" w:cs="宋体"/>
        </w:rPr>
      </w:pPr>
      <w:r>
        <w:rPr>
          <w:rFonts w:hint="eastAsia" w:ascii="宋体" w:hAnsi="宋体" w:cs="宋体"/>
        </w:rPr>
        <w:t>五、其它服务</w:t>
      </w:r>
    </w:p>
    <w:p w14:paraId="4AFAE721">
      <w:pPr>
        <w:adjustRightInd w:val="0"/>
        <w:snapToGrid w:val="0"/>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1.若卖方所提供货物有需要进口的，卖方一般应自行、自费办理；必要时，买卖双方共同办理。</w:t>
      </w:r>
    </w:p>
    <w:p w14:paraId="01A4A5EF">
      <w:pPr>
        <w:adjustRightInd w:val="0"/>
        <w:snapToGrid w:val="0"/>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2.除招标文件、投标文件、答疑文件、技术标书、合同等约定之外，卖方应免费负责必要的或强制性的货物的检验、试验、化验等直接费用。</w:t>
      </w:r>
    </w:p>
    <w:p w14:paraId="1F823BA5">
      <w:pPr>
        <w:adjustRightInd w:val="0"/>
        <w:snapToGrid w:val="0"/>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3.运输服务，投标方负责将设备按要求运至</w:t>
      </w:r>
      <w:r>
        <w:rPr>
          <w:rFonts w:hint="eastAsia" w:ascii="Times New Roman" w:hAnsi="Times New Roman" w:eastAsia="宋体" w:cs="Times New Roman"/>
          <w:sz w:val="24"/>
          <w:szCs w:val="24"/>
          <w:lang w:val="en-US" w:eastAsia="zh-CN"/>
        </w:rPr>
        <w:t>济宁商用车公司</w:t>
      </w:r>
      <w:r>
        <w:rPr>
          <w:rFonts w:hint="eastAsia" w:ascii="宋体" w:hAnsi="宋体" w:eastAsia="宋体" w:cs="宋体"/>
          <w:color w:val="000000"/>
          <w:sz w:val="24"/>
          <w:szCs w:val="24"/>
        </w:rPr>
        <w:t>。</w:t>
      </w:r>
    </w:p>
    <w:p w14:paraId="537ABFEC">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4.本章节条款所列“免费”，并非指定不可收费，而是指招标文件、投标文件、答疑文件、技术交流文件、技术标书和合同等范围之外，投标人不可另行收取的费用。</w:t>
      </w:r>
    </w:p>
    <w:p w14:paraId="129F18BB">
      <w:pPr>
        <w:spacing w:line="360" w:lineRule="auto"/>
        <w:ind w:firstLine="480" w:firstLineChars="200"/>
        <w:rPr>
          <w:rFonts w:ascii="宋体" w:hAnsi="宋体" w:eastAsia="宋体" w:cs="宋体"/>
          <w:color w:val="000000"/>
          <w:sz w:val="24"/>
          <w:szCs w:val="24"/>
        </w:rPr>
      </w:pPr>
    </w:p>
    <w:p w14:paraId="5BD3A1AF">
      <w:pPr>
        <w:pStyle w:val="15"/>
        <w:spacing w:line="360" w:lineRule="auto"/>
        <w:rPr>
          <w:rFonts w:hAnsi="宋体" w:eastAsia="宋体"/>
        </w:rPr>
      </w:pPr>
      <w:r>
        <w:rPr>
          <w:rFonts w:hAnsi="宋体" w:eastAsia="宋体"/>
        </w:rPr>
        <w:br w:type="page"/>
      </w:r>
    </w:p>
    <w:p w14:paraId="075C907B">
      <w:pPr>
        <w:keepNext/>
        <w:keepLines/>
        <w:spacing w:line="360" w:lineRule="auto"/>
        <w:jc w:val="center"/>
        <w:outlineLvl w:val="1"/>
        <w:rPr>
          <w:rFonts w:ascii="宋体" w:hAnsi="宋体" w:eastAsia="宋体" w:cs="Times New Roman"/>
          <w:b/>
          <w:bCs/>
          <w:kern w:val="44"/>
          <w:sz w:val="28"/>
          <w:szCs w:val="28"/>
        </w:rPr>
      </w:pPr>
      <w:bookmarkStart w:id="71" w:name="_Toc465187646"/>
      <w:r>
        <w:rPr>
          <w:rFonts w:hint="eastAsia" w:ascii="宋体" w:hAnsi="宋体" w:eastAsia="宋体" w:cs="Times New Roman"/>
          <w:b/>
          <w:bCs/>
          <w:kern w:val="44"/>
          <w:sz w:val="28"/>
          <w:szCs w:val="28"/>
        </w:rPr>
        <w:t>第</w:t>
      </w:r>
      <w:r>
        <w:rPr>
          <w:rFonts w:hint="eastAsia" w:ascii="宋体" w:hAnsi="宋体" w:cs="Times New Roman"/>
          <w:b/>
          <w:bCs/>
          <w:kern w:val="44"/>
          <w:sz w:val="28"/>
          <w:szCs w:val="28"/>
          <w:lang w:val="en-US" w:eastAsia="zh-CN"/>
        </w:rPr>
        <w:t>六节</w:t>
      </w:r>
      <w:r>
        <w:rPr>
          <w:rFonts w:hint="eastAsia" w:ascii="宋体" w:hAnsi="宋体" w:eastAsia="宋体" w:cs="Times New Roman"/>
          <w:b/>
          <w:bCs/>
          <w:kern w:val="44"/>
          <w:sz w:val="28"/>
          <w:szCs w:val="28"/>
        </w:rPr>
        <w:t xml:space="preserve">  终验收</w:t>
      </w:r>
      <w:bookmarkEnd w:id="71"/>
    </w:p>
    <w:p w14:paraId="3B778201">
      <w:pPr>
        <w:spacing w:line="360" w:lineRule="auto"/>
        <w:ind w:firstLine="480" w:firstLineChars="200"/>
        <w:rPr>
          <w:rFonts w:ascii="宋体" w:hAnsi="宋体" w:eastAsia="宋体"/>
          <w:sz w:val="24"/>
          <w:szCs w:val="24"/>
        </w:rPr>
      </w:pPr>
      <w:bookmarkStart w:id="72" w:name="_Toc465187647"/>
      <w:r>
        <w:rPr>
          <w:rFonts w:hint="eastAsia" w:ascii="宋体" w:hAnsi="宋体" w:eastAsia="宋体"/>
          <w:sz w:val="24"/>
          <w:szCs w:val="24"/>
        </w:rPr>
        <w:t>按照参考招标文件、投标文件、答疑文件、技术交流文件等形成并达成一致的技术协议书和合同规定验收。</w:t>
      </w:r>
    </w:p>
    <w:p w14:paraId="5A5A77B7">
      <w:pPr>
        <w:pStyle w:val="89"/>
        <w:spacing w:line="360" w:lineRule="auto"/>
        <w:rPr>
          <w:rFonts w:ascii="宋体" w:hAnsi="宋体"/>
          <w:color w:val="auto"/>
        </w:rPr>
      </w:pPr>
      <w:r>
        <w:rPr>
          <w:rFonts w:hint="eastAsia" w:ascii="宋体" w:hAnsi="宋体"/>
          <w:color w:val="auto"/>
        </w:rPr>
        <w:t>一.检验</w:t>
      </w:r>
    </w:p>
    <w:p w14:paraId="6F60116A">
      <w:pPr>
        <w:spacing w:line="360" w:lineRule="auto"/>
        <w:ind w:firstLine="480" w:firstLineChars="200"/>
        <w:rPr>
          <w:rFonts w:ascii="宋体" w:hAnsi="宋体" w:eastAsia="宋体"/>
          <w:sz w:val="24"/>
          <w:szCs w:val="24"/>
        </w:rPr>
      </w:pPr>
      <w:r>
        <w:rPr>
          <w:rFonts w:hint="eastAsia" w:ascii="宋体" w:hAnsi="宋体" w:eastAsia="宋体"/>
          <w:sz w:val="24"/>
          <w:szCs w:val="24"/>
        </w:rPr>
        <w:t>国产部分的货物的检验由卖买双方按照合同要求或在制造现场进行。进口部分的货物的检验按照下述要求进行：</w:t>
      </w:r>
    </w:p>
    <w:p w14:paraId="416C9025">
      <w:pPr>
        <w:spacing w:line="360" w:lineRule="auto"/>
        <w:ind w:firstLine="480" w:firstLineChars="200"/>
        <w:rPr>
          <w:rFonts w:ascii="宋体" w:hAnsi="宋体" w:eastAsia="宋体"/>
          <w:sz w:val="24"/>
          <w:szCs w:val="24"/>
        </w:rPr>
      </w:pPr>
      <w:r>
        <w:rPr>
          <w:rFonts w:hint="eastAsia" w:ascii="宋体" w:hAnsi="宋体" w:eastAsia="宋体"/>
          <w:sz w:val="24"/>
          <w:szCs w:val="24"/>
        </w:rPr>
        <w:t>1进口部分的货物发货前，投标人应对设备（或材料）的质量、型号、规格、性能和数量/重量作精密、全面的检验，并出具证明书，证明所供设备（或材料）符合合同规定。</w:t>
      </w:r>
    </w:p>
    <w:p w14:paraId="4054F5E7">
      <w:pPr>
        <w:spacing w:line="360" w:lineRule="auto"/>
        <w:ind w:firstLine="480" w:firstLineChars="200"/>
      </w:pPr>
      <w:r>
        <w:rPr>
          <w:rFonts w:hint="eastAsia" w:ascii="宋体" w:hAnsi="宋体" w:eastAsia="宋体"/>
          <w:sz w:val="24"/>
          <w:szCs w:val="24"/>
        </w:rPr>
        <w:t>2投标人应依据合同规定的要求，提供设备（或材料）的验收标准和装箱单，作为招标人检验的依据。</w:t>
      </w:r>
    </w:p>
    <w:p w14:paraId="57428A76">
      <w:pPr>
        <w:pStyle w:val="89"/>
        <w:spacing w:line="360" w:lineRule="auto"/>
        <w:rPr>
          <w:rFonts w:ascii="宋体" w:hAnsi="宋体"/>
          <w:color w:val="auto"/>
        </w:rPr>
      </w:pPr>
      <w:r>
        <w:rPr>
          <w:rFonts w:hint="eastAsia" w:ascii="宋体" w:hAnsi="宋体"/>
          <w:color w:val="auto"/>
        </w:rPr>
        <w:t>二.验收标准</w:t>
      </w:r>
    </w:p>
    <w:p w14:paraId="5837A364">
      <w:pPr>
        <w:spacing w:line="360" w:lineRule="auto"/>
        <w:ind w:firstLine="480" w:firstLineChars="200"/>
        <w:rPr>
          <w:rFonts w:ascii="宋体" w:hAnsi="宋体" w:eastAsia="宋体"/>
          <w:sz w:val="24"/>
          <w:szCs w:val="24"/>
        </w:rPr>
      </w:pPr>
      <w:r>
        <w:rPr>
          <w:rFonts w:hint="eastAsia" w:ascii="宋体" w:hAnsi="宋体" w:eastAsia="宋体"/>
          <w:sz w:val="24"/>
          <w:szCs w:val="24"/>
        </w:rPr>
        <w:t>验收一般分预验收和终验收两部分。预验收在安装调试完成后现场进行。但是所有的项目，包括不能预验收的项目和预验收通过的项目都在终验收时重新检验，最终只以终验收为准。</w:t>
      </w:r>
    </w:p>
    <w:p w14:paraId="2A03949A">
      <w:pPr>
        <w:spacing w:line="360" w:lineRule="auto"/>
        <w:ind w:firstLine="480" w:firstLineChars="200"/>
        <w:rPr>
          <w:rFonts w:ascii="宋体" w:hAnsi="宋体" w:eastAsia="宋体"/>
          <w:sz w:val="24"/>
          <w:szCs w:val="24"/>
        </w:rPr>
      </w:pPr>
      <w:r>
        <w:rPr>
          <w:rFonts w:hint="eastAsia" w:ascii="宋体" w:hAnsi="宋体" w:eastAsia="宋体"/>
          <w:sz w:val="24"/>
          <w:szCs w:val="24"/>
        </w:rPr>
        <w:t>1终验收规程：</w:t>
      </w:r>
    </w:p>
    <w:p w14:paraId="47EBE329">
      <w:pPr>
        <w:spacing w:line="360" w:lineRule="auto"/>
        <w:ind w:firstLine="480" w:firstLineChars="200"/>
        <w:rPr>
          <w:rFonts w:ascii="宋体" w:hAnsi="宋体" w:eastAsia="宋体"/>
          <w:sz w:val="24"/>
          <w:szCs w:val="24"/>
        </w:rPr>
      </w:pPr>
      <w:r>
        <w:rPr>
          <w:rFonts w:hint="eastAsia" w:ascii="宋体" w:hAnsi="宋体" w:eastAsia="宋体"/>
          <w:sz w:val="24"/>
          <w:szCs w:val="24"/>
        </w:rPr>
        <w:t>设备（或材料）允许情况下，一般连续运行 30 天，每天连续 10 小时，除用户方面因素外，必须达到以下要求：</w:t>
      </w:r>
    </w:p>
    <w:p w14:paraId="69D5FA23">
      <w:pPr>
        <w:spacing w:line="360" w:lineRule="auto"/>
        <w:ind w:firstLine="480" w:firstLineChars="200"/>
        <w:rPr>
          <w:rFonts w:ascii="宋体" w:hAnsi="宋体" w:eastAsia="宋体"/>
          <w:sz w:val="24"/>
          <w:szCs w:val="24"/>
        </w:rPr>
      </w:pPr>
      <w:r>
        <w:rPr>
          <w:rFonts w:hint="eastAsia" w:ascii="宋体" w:hAnsi="宋体" w:eastAsia="宋体"/>
          <w:sz w:val="24"/>
          <w:szCs w:val="24"/>
        </w:rPr>
        <w:t>a)在整个验收过程中没有维修、更换零部件或元件行为；</w:t>
      </w:r>
    </w:p>
    <w:p w14:paraId="0F1039DA">
      <w:pPr>
        <w:spacing w:line="360" w:lineRule="auto"/>
        <w:ind w:firstLine="480" w:firstLineChars="200"/>
        <w:rPr>
          <w:rFonts w:ascii="宋体" w:hAnsi="宋体" w:eastAsia="宋体"/>
          <w:sz w:val="24"/>
          <w:szCs w:val="24"/>
        </w:rPr>
      </w:pPr>
      <w:r>
        <w:rPr>
          <w:rFonts w:hint="eastAsia" w:ascii="宋体" w:hAnsi="宋体" w:eastAsia="宋体"/>
          <w:sz w:val="24"/>
          <w:szCs w:val="24"/>
        </w:rPr>
        <w:t>b)终验收原则上要求一次完成，若一次验收不成功，最多允许两次；</w:t>
      </w:r>
    </w:p>
    <w:p w14:paraId="03150F80">
      <w:pPr>
        <w:spacing w:line="360" w:lineRule="auto"/>
        <w:ind w:firstLine="480" w:firstLineChars="200"/>
        <w:rPr>
          <w:rFonts w:ascii="宋体" w:hAnsi="宋体" w:eastAsia="宋体"/>
          <w:sz w:val="24"/>
          <w:szCs w:val="24"/>
        </w:rPr>
      </w:pPr>
      <w:r>
        <w:rPr>
          <w:rFonts w:hint="eastAsia" w:ascii="宋体" w:hAnsi="宋体" w:eastAsia="宋体"/>
          <w:sz w:val="24"/>
          <w:szCs w:val="24"/>
        </w:rPr>
        <w:t>c）终验收通过后买卖双方共同签署终验收报告。</w:t>
      </w:r>
    </w:p>
    <w:p w14:paraId="6E535E12">
      <w:pPr>
        <w:spacing w:line="360" w:lineRule="auto"/>
        <w:ind w:firstLine="480" w:firstLineChars="200"/>
        <w:rPr>
          <w:rFonts w:ascii="宋体" w:hAnsi="宋体" w:eastAsia="宋体"/>
          <w:sz w:val="24"/>
          <w:szCs w:val="24"/>
        </w:rPr>
      </w:pPr>
      <w:r>
        <w:rPr>
          <w:rFonts w:hint="eastAsia" w:ascii="宋体" w:hAnsi="宋体" w:eastAsia="宋体"/>
          <w:sz w:val="24"/>
          <w:szCs w:val="24"/>
        </w:rPr>
        <w:t>2设备（或材料）验收的一般标准与要求：</w:t>
      </w:r>
    </w:p>
    <w:p w14:paraId="12F3F590">
      <w:pPr>
        <w:spacing w:line="360" w:lineRule="auto"/>
        <w:ind w:firstLine="480" w:firstLineChars="200"/>
        <w:rPr>
          <w:rFonts w:ascii="宋体" w:hAnsi="宋体" w:eastAsia="宋体"/>
          <w:sz w:val="24"/>
          <w:szCs w:val="24"/>
        </w:rPr>
      </w:pPr>
      <w:r>
        <w:rPr>
          <w:rFonts w:hint="eastAsia" w:ascii="宋体" w:hAnsi="宋体" w:eastAsia="宋体"/>
          <w:sz w:val="24"/>
          <w:szCs w:val="24"/>
        </w:rPr>
        <w:t>① 预验收的一般标准与要求</w:t>
      </w:r>
    </w:p>
    <w:p w14:paraId="5DD02EE9">
      <w:pPr>
        <w:spacing w:line="360" w:lineRule="auto"/>
        <w:ind w:firstLine="480" w:firstLineChars="200"/>
        <w:rPr>
          <w:rFonts w:ascii="宋体" w:hAnsi="宋体" w:eastAsia="宋体"/>
          <w:sz w:val="24"/>
          <w:szCs w:val="24"/>
        </w:rPr>
      </w:pPr>
      <w:r>
        <w:rPr>
          <w:rFonts w:hint="eastAsia" w:ascii="宋体" w:hAnsi="宋体" w:eastAsia="宋体"/>
          <w:sz w:val="24"/>
          <w:szCs w:val="24"/>
        </w:rPr>
        <w:t>a.资料齐全性、完整性和有效性。按照“配套供货范围及要求”中“技术资料范围”的规定验收；</w:t>
      </w:r>
    </w:p>
    <w:p w14:paraId="085DCB35">
      <w:pPr>
        <w:spacing w:line="360" w:lineRule="auto"/>
        <w:ind w:firstLine="480" w:firstLineChars="200"/>
        <w:rPr>
          <w:rFonts w:ascii="宋体" w:hAnsi="宋体" w:eastAsia="宋体"/>
          <w:sz w:val="24"/>
          <w:szCs w:val="24"/>
        </w:rPr>
      </w:pPr>
      <w:r>
        <w:rPr>
          <w:rFonts w:hint="eastAsia" w:ascii="宋体" w:hAnsi="宋体" w:eastAsia="宋体"/>
          <w:sz w:val="24"/>
          <w:szCs w:val="24"/>
        </w:rPr>
        <w:t>b.设备（或材料）应运行灵活、稳定、可靠、安全，无异常声音和非正常振动。设备不允许出现漏水、漏液、漏气（汽）、漏电。</w:t>
      </w:r>
    </w:p>
    <w:p w14:paraId="42A9CE3D">
      <w:pPr>
        <w:spacing w:line="360" w:lineRule="auto"/>
        <w:ind w:firstLine="480" w:firstLineChars="200"/>
        <w:rPr>
          <w:rFonts w:ascii="宋体" w:hAnsi="宋体" w:eastAsia="宋体"/>
          <w:sz w:val="24"/>
          <w:szCs w:val="24"/>
        </w:rPr>
      </w:pPr>
      <w:r>
        <w:rPr>
          <w:rFonts w:hint="eastAsia" w:ascii="宋体" w:hAnsi="宋体" w:eastAsia="宋体"/>
          <w:sz w:val="24"/>
          <w:szCs w:val="24"/>
        </w:rPr>
        <w:t>c.设备（或材料）外观应无损伤，应该涂满同种明亮清晰的油漆（特殊标志除外）。设备应该完整且所有的零部件应该安装牢固，所有的焊缝饱满、无残渣等缺陷；</w:t>
      </w:r>
    </w:p>
    <w:p w14:paraId="79B3B056">
      <w:pPr>
        <w:spacing w:line="360" w:lineRule="auto"/>
        <w:ind w:firstLine="480" w:firstLineChars="200"/>
        <w:rPr>
          <w:rFonts w:ascii="宋体" w:hAnsi="宋体" w:eastAsia="宋体"/>
          <w:sz w:val="24"/>
          <w:szCs w:val="24"/>
        </w:rPr>
      </w:pPr>
      <w:r>
        <w:rPr>
          <w:rFonts w:hint="eastAsia" w:ascii="宋体" w:hAnsi="宋体" w:eastAsia="宋体"/>
          <w:sz w:val="24"/>
          <w:szCs w:val="24"/>
        </w:rPr>
        <w:t>d.设备（或材料）应有完整的标牌，且清晰易见；</w:t>
      </w:r>
    </w:p>
    <w:p w14:paraId="2FDEAF29">
      <w:pPr>
        <w:spacing w:line="360" w:lineRule="auto"/>
        <w:ind w:firstLine="480" w:firstLineChars="200"/>
        <w:rPr>
          <w:rFonts w:ascii="宋体" w:hAnsi="宋体" w:eastAsia="宋体"/>
          <w:sz w:val="24"/>
          <w:szCs w:val="24"/>
        </w:rPr>
      </w:pPr>
      <w:r>
        <w:rPr>
          <w:rFonts w:hint="eastAsia" w:ascii="宋体" w:hAnsi="宋体" w:eastAsia="宋体"/>
          <w:sz w:val="24"/>
          <w:szCs w:val="24"/>
        </w:rPr>
        <w:t>e.设备（或材料）的安全要求符合中国最新的相关法律、法规、标准和规范以及合同要求；</w:t>
      </w:r>
    </w:p>
    <w:p w14:paraId="0DDA13B3">
      <w:pPr>
        <w:spacing w:line="360" w:lineRule="auto"/>
        <w:ind w:firstLine="480" w:firstLineChars="200"/>
        <w:rPr>
          <w:rFonts w:ascii="宋体" w:hAnsi="宋体" w:eastAsia="宋体"/>
          <w:sz w:val="24"/>
          <w:szCs w:val="24"/>
        </w:rPr>
      </w:pPr>
      <w:r>
        <w:rPr>
          <w:rFonts w:hint="eastAsia" w:ascii="宋体" w:hAnsi="宋体" w:eastAsia="宋体"/>
          <w:sz w:val="24"/>
          <w:szCs w:val="24"/>
        </w:rPr>
        <w:t>②终验收时的一般验收标准与要求：</w:t>
      </w:r>
    </w:p>
    <w:p w14:paraId="0E25B429">
      <w:pPr>
        <w:spacing w:line="360" w:lineRule="auto"/>
        <w:ind w:firstLine="480" w:firstLineChars="200"/>
        <w:rPr>
          <w:rFonts w:ascii="宋体" w:hAnsi="宋体" w:eastAsia="宋体"/>
          <w:sz w:val="24"/>
          <w:szCs w:val="24"/>
        </w:rPr>
      </w:pPr>
      <w:r>
        <w:rPr>
          <w:rFonts w:hint="eastAsia" w:ascii="宋体" w:hAnsi="宋体" w:eastAsia="宋体"/>
          <w:sz w:val="24"/>
          <w:szCs w:val="24"/>
        </w:rPr>
        <w:t>a.资料齐全性、完整性和有效性。</w:t>
      </w:r>
    </w:p>
    <w:p w14:paraId="55C0C982">
      <w:pPr>
        <w:spacing w:line="360" w:lineRule="auto"/>
        <w:ind w:firstLine="480" w:firstLineChars="200"/>
        <w:rPr>
          <w:rFonts w:ascii="宋体" w:hAnsi="宋体" w:eastAsia="宋体"/>
          <w:sz w:val="24"/>
          <w:szCs w:val="24"/>
        </w:rPr>
      </w:pPr>
      <w:r>
        <w:rPr>
          <w:rFonts w:hint="eastAsia" w:ascii="宋体" w:hAnsi="宋体" w:eastAsia="宋体"/>
          <w:sz w:val="24"/>
          <w:szCs w:val="24"/>
        </w:rPr>
        <w:t>b.设备（或材料）应运行稳定、可靠、安全，无异常声音和非正常振动。设备不允许出现漏水、漏液、漏气（汽）、漏电。</w:t>
      </w:r>
    </w:p>
    <w:p w14:paraId="72700091">
      <w:pPr>
        <w:spacing w:line="360" w:lineRule="auto"/>
        <w:ind w:firstLine="480" w:firstLineChars="200"/>
        <w:rPr>
          <w:rFonts w:ascii="宋体" w:hAnsi="宋体" w:eastAsia="宋体"/>
          <w:sz w:val="24"/>
          <w:szCs w:val="24"/>
        </w:rPr>
      </w:pPr>
      <w:r>
        <w:rPr>
          <w:rFonts w:hint="eastAsia" w:ascii="宋体" w:hAnsi="宋体" w:eastAsia="宋体"/>
          <w:sz w:val="24"/>
          <w:szCs w:val="24"/>
        </w:rPr>
        <w:t>c.设备（或材料）应有完整的标牌，且清晰易见；</w:t>
      </w:r>
    </w:p>
    <w:p w14:paraId="137C2372">
      <w:pPr>
        <w:spacing w:line="360" w:lineRule="auto"/>
        <w:ind w:firstLine="480" w:firstLineChars="200"/>
        <w:rPr>
          <w:rFonts w:ascii="宋体" w:hAnsi="宋体" w:eastAsia="宋体"/>
          <w:sz w:val="24"/>
          <w:szCs w:val="24"/>
        </w:rPr>
      </w:pPr>
      <w:r>
        <w:rPr>
          <w:rFonts w:hint="eastAsia" w:ascii="宋体" w:hAnsi="宋体" w:eastAsia="宋体"/>
          <w:sz w:val="24"/>
          <w:szCs w:val="24"/>
        </w:rPr>
        <w:t>③ 终验收条件</w:t>
      </w:r>
    </w:p>
    <w:p w14:paraId="0E73DBAD">
      <w:pPr>
        <w:spacing w:line="360" w:lineRule="auto"/>
        <w:ind w:firstLine="480" w:firstLineChars="200"/>
        <w:rPr>
          <w:rFonts w:ascii="宋体" w:hAnsi="宋体" w:eastAsia="宋体"/>
          <w:sz w:val="24"/>
          <w:szCs w:val="24"/>
        </w:rPr>
      </w:pPr>
      <w:r>
        <w:rPr>
          <w:rFonts w:hint="eastAsia" w:ascii="宋体" w:hAnsi="宋体" w:eastAsia="宋体"/>
          <w:sz w:val="24"/>
          <w:szCs w:val="24"/>
        </w:rPr>
        <w:t>依据招标文件、投标文件、答疑文件、技术交流文件等形成并达成一致的技术协议书和合同规定的终验收条件验收。</w:t>
      </w:r>
    </w:p>
    <w:p w14:paraId="7EECCFD0">
      <w:pPr>
        <w:keepNext/>
        <w:keepLines/>
        <w:spacing w:line="360" w:lineRule="auto"/>
        <w:jc w:val="center"/>
        <w:outlineLvl w:val="1"/>
        <w:rPr>
          <w:rFonts w:hint="eastAsia" w:ascii="宋体" w:hAnsi="宋体" w:eastAsia="宋体" w:cs="Times New Roman"/>
          <w:b/>
          <w:bCs/>
          <w:kern w:val="44"/>
          <w:sz w:val="28"/>
          <w:szCs w:val="28"/>
        </w:rPr>
      </w:pPr>
      <w:r>
        <w:rPr>
          <w:rFonts w:hint="eastAsia" w:ascii="宋体" w:hAnsi="宋体" w:eastAsia="宋体" w:cs="Times New Roman"/>
          <w:b/>
          <w:bCs/>
          <w:kern w:val="44"/>
          <w:sz w:val="28"/>
          <w:szCs w:val="28"/>
        </w:rPr>
        <w:t>第</w:t>
      </w:r>
      <w:r>
        <w:rPr>
          <w:rFonts w:hint="eastAsia" w:ascii="宋体" w:hAnsi="宋体" w:cs="Times New Roman"/>
          <w:b/>
          <w:bCs/>
          <w:kern w:val="44"/>
          <w:sz w:val="28"/>
          <w:szCs w:val="28"/>
          <w:lang w:val="en-US" w:eastAsia="zh-CN"/>
        </w:rPr>
        <w:t>七节</w:t>
      </w:r>
      <w:r>
        <w:rPr>
          <w:rFonts w:hint="eastAsia" w:ascii="宋体" w:hAnsi="宋体" w:eastAsia="宋体" w:cs="Times New Roman"/>
          <w:b/>
          <w:bCs/>
          <w:kern w:val="44"/>
          <w:sz w:val="28"/>
          <w:szCs w:val="28"/>
        </w:rPr>
        <w:t xml:space="preserve">  投标技术文件一般要求</w:t>
      </w:r>
      <w:bookmarkEnd w:id="72"/>
    </w:p>
    <w:p w14:paraId="3F02B085">
      <w:pPr>
        <w:pStyle w:val="89"/>
        <w:spacing w:line="360" w:lineRule="auto"/>
        <w:rPr>
          <w:rFonts w:ascii="宋体" w:hAnsi="宋体"/>
          <w:color w:val="auto"/>
        </w:rPr>
      </w:pPr>
      <w:r>
        <w:rPr>
          <w:rFonts w:ascii="宋体" w:hAnsi="宋体"/>
          <w:color w:val="auto"/>
        </w:rPr>
        <w:t>一、技术文件一般内容要求</w:t>
      </w:r>
    </w:p>
    <w:p w14:paraId="2ED84274">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1.投标人应认真阅读招标文件和本技术标书，并按要求编写投标技术文件。</w:t>
      </w:r>
    </w:p>
    <w:p w14:paraId="20D5AC61">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2.投标技术文件至少应对投标货物的功能用途、技术性能、质量标准、技术参数等作出详细说明。</w:t>
      </w:r>
    </w:p>
    <w:p w14:paraId="63820254">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3.投标技术文件至少应根据投标货物的关键设备、总成、零部件或系统作出满足或优于招标文件要求的详细说明。</w:t>
      </w:r>
    </w:p>
    <w:p w14:paraId="5BE945CC">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4.投标技术文件至少应按照招标文件要求（或投标人建议）列明备品备件、易损件和专用耗材明细。</w:t>
      </w:r>
    </w:p>
    <w:p w14:paraId="7F8F93AB">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5.投标人应当而且必须分别说明所列备品备件、易损件和专用耗材的使用寿命（以有效工作小时数说明）。</w:t>
      </w:r>
    </w:p>
    <w:p w14:paraId="4E2EC40C">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6.投标的货物，应当根据其配置和备品备件、易损件、专用耗材情况，尽可能详细且分类填入下表：</w:t>
      </w:r>
    </w:p>
    <w:p w14:paraId="32FE7B6F">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6.1备品备件、易损件和专用耗材明细表：</w:t>
      </w:r>
    </w:p>
    <w:p w14:paraId="72A6431E">
      <w:pPr>
        <w:adjustRightInd w:val="0"/>
        <w:snapToGrid w:val="0"/>
        <w:spacing w:line="360" w:lineRule="auto"/>
        <w:ind w:firstLine="2160" w:firstLineChars="900"/>
        <w:rPr>
          <w:rFonts w:ascii="宋体" w:hAnsi="宋体" w:eastAsia="宋体" w:cs="宋体"/>
          <w:sz w:val="24"/>
          <w:szCs w:val="24"/>
        </w:rPr>
      </w:pPr>
      <w:r>
        <w:rPr>
          <w:rFonts w:hint="eastAsia" w:ascii="宋体" w:hAnsi="宋体" w:eastAsia="宋体" w:cs="宋体"/>
          <w:sz w:val="24"/>
          <w:szCs w:val="24"/>
        </w:rPr>
        <w:t>备品备件、易损件和专用耗材明细表             单位：元</w:t>
      </w:r>
    </w:p>
    <w:tbl>
      <w:tblPr>
        <w:tblStyle w:val="31"/>
        <w:tblW w:w="90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924"/>
        <w:gridCol w:w="1236"/>
        <w:gridCol w:w="720"/>
        <w:gridCol w:w="720"/>
        <w:gridCol w:w="720"/>
        <w:gridCol w:w="720"/>
        <w:gridCol w:w="2235"/>
      </w:tblGrid>
      <w:tr w14:paraId="2B07E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096501E">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序号</w:t>
            </w:r>
          </w:p>
        </w:tc>
        <w:tc>
          <w:tcPr>
            <w:tcW w:w="1924" w:type="dxa"/>
          </w:tcPr>
          <w:p w14:paraId="1748AC25">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名称</w:t>
            </w:r>
          </w:p>
        </w:tc>
        <w:tc>
          <w:tcPr>
            <w:tcW w:w="1236" w:type="dxa"/>
          </w:tcPr>
          <w:p w14:paraId="73F6398E">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型号规格</w:t>
            </w:r>
          </w:p>
        </w:tc>
        <w:tc>
          <w:tcPr>
            <w:tcW w:w="720" w:type="dxa"/>
          </w:tcPr>
          <w:p w14:paraId="530C0CEA">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单位</w:t>
            </w:r>
          </w:p>
        </w:tc>
        <w:tc>
          <w:tcPr>
            <w:tcW w:w="720" w:type="dxa"/>
          </w:tcPr>
          <w:p w14:paraId="49E5265A">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数量</w:t>
            </w:r>
          </w:p>
        </w:tc>
        <w:tc>
          <w:tcPr>
            <w:tcW w:w="720" w:type="dxa"/>
          </w:tcPr>
          <w:p w14:paraId="2F43C19D">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单价</w:t>
            </w:r>
          </w:p>
        </w:tc>
        <w:tc>
          <w:tcPr>
            <w:tcW w:w="720" w:type="dxa"/>
          </w:tcPr>
          <w:p w14:paraId="3D4DDC53">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总价</w:t>
            </w:r>
          </w:p>
        </w:tc>
        <w:tc>
          <w:tcPr>
            <w:tcW w:w="2235" w:type="dxa"/>
          </w:tcPr>
          <w:p w14:paraId="23603FDC">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制造商</w:t>
            </w:r>
          </w:p>
        </w:tc>
      </w:tr>
      <w:tr w14:paraId="4DE0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2465D627">
            <w:pPr>
              <w:adjustRightInd w:val="0"/>
              <w:snapToGrid w:val="0"/>
              <w:spacing w:line="360" w:lineRule="auto"/>
              <w:jc w:val="center"/>
              <w:rPr>
                <w:rFonts w:ascii="宋体" w:hAnsi="宋体" w:eastAsia="宋体" w:cs="宋体"/>
                <w:sz w:val="24"/>
                <w:szCs w:val="24"/>
              </w:rPr>
            </w:pPr>
          </w:p>
        </w:tc>
        <w:tc>
          <w:tcPr>
            <w:tcW w:w="1924" w:type="dxa"/>
          </w:tcPr>
          <w:p w14:paraId="5C5BFBA4">
            <w:pPr>
              <w:adjustRightInd w:val="0"/>
              <w:snapToGrid w:val="0"/>
              <w:spacing w:line="360" w:lineRule="auto"/>
              <w:rPr>
                <w:rFonts w:ascii="宋体" w:hAnsi="宋体" w:eastAsia="宋体" w:cs="宋体"/>
                <w:sz w:val="24"/>
                <w:szCs w:val="24"/>
              </w:rPr>
            </w:pPr>
          </w:p>
        </w:tc>
        <w:tc>
          <w:tcPr>
            <w:tcW w:w="1236" w:type="dxa"/>
          </w:tcPr>
          <w:p w14:paraId="5765D8F0">
            <w:pPr>
              <w:adjustRightInd w:val="0"/>
              <w:snapToGrid w:val="0"/>
              <w:spacing w:line="360" w:lineRule="auto"/>
              <w:rPr>
                <w:rFonts w:ascii="宋体" w:hAnsi="宋体" w:eastAsia="宋体" w:cs="宋体"/>
                <w:sz w:val="24"/>
                <w:szCs w:val="24"/>
              </w:rPr>
            </w:pPr>
          </w:p>
        </w:tc>
        <w:tc>
          <w:tcPr>
            <w:tcW w:w="720" w:type="dxa"/>
          </w:tcPr>
          <w:p w14:paraId="52320E27">
            <w:pPr>
              <w:adjustRightInd w:val="0"/>
              <w:snapToGrid w:val="0"/>
              <w:spacing w:line="360" w:lineRule="auto"/>
              <w:jc w:val="center"/>
              <w:rPr>
                <w:rFonts w:ascii="宋体" w:hAnsi="宋体" w:eastAsia="宋体" w:cs="宋体"/>
                <w:sz w:val="24"/>
                <w:szCs w:val="24"/>
              </w:rPr>
            </w:pPr>
          </w:p>
        </w:tc>
        <w:tc>
          <w:tcPr>
            <w:tcW w:w="720" w:type="dxa"/>
          </w:tcPr>
          <w:p w14:paraId="39802B12">
            <w:pPr>
              <w:adjustRightInd w:val="0"/>
              <w:snapToGrid w:val="0"/>
              <w:spacing w:line="360" w:lineRule="auto"/>
              <w:jc w:val="center"/>
              <w:rPr>
                <w:rFonts w:ascii="宋体" w:hAnsi="宋体" w:eastAsia="宋体" w:cs="宋体"/>
                <w:sz w:val="24"/>
                <w:szCs w:val="24"/>
              </w:rPr>
            </w:pPr>
          </w:p>
        </w:tc>
        <w:tc>
          <w:tcPr>
            <w:tcW w:w="720" w:type="dxa"/>
          </w:tcPr>
          <w:p w14:paraId="119CF841">
            <w:pPr>
              <w:adjustRightInd w:val="0"/>
              <w:snapToGrid w:val="0"/>
              <w:spacing w:line="360" w:lineRule="auto"/>
              <w:jc w:val="center"/>
              <w:rPr>
                <w:rFonts w:ascii="宋体" w:hAnsi="宋体" w:eastAsia="宋体" w:cs="宋体"/>
                <w:sz w:val="24"/>
                <w:szCs w:val="24"/>
              </w:rPr>
            </w:pPr>
          </w:p>
        </w:tc>
        <w:tc>
          <w:tcPr>
            <w:tcW w:w="720" w:type="dxa"/>
          </w:tcPr>
          <w:p w14:paraId="037628D5">
            <w:pPr>
              <w:adjustRightInd w:val="0"/>
              <w:snapToGrid w:val="0"/>
              <w:spacing w:line="360" w:lineRule="auto"/>
              <w:jc w:val="center"/>
              <w:rPr>
                <w:rFonts w:ascii="宋体" w:hAnsi="宋体" w:eastAsia="宋体" w:cs="宋体"/>
                <w:sz w:val="24"/>
                <w:szCs w:val="24"/>
              </w:rPr>
            </w:pPr>
          </w:p>
        </w:tc>
        <w:tc>
          <w:tcPr>
            <w:tcW w:w="2235" w:type="dxa"/>
          </w:tcPr>
          <w:p w14:paraId="4B53711E">
            <w:pPr>
              <w:adjustRightInd w:val="0"/>
              <w:snapToGrid w:val="0"/>
              <w:spacing w:line="360" w:lineRule="auto"/>
              <w:rPr>
                <w:rFonts w:ascii="宋体" w:hAnsi="宋体" w:eastAsia="宋体" w:cs="宋体"/>
                <w:sz w:val="24"/>
                <w:szCs w:val="24"/>
              </w:rPr>
            </w:pPr>
          </w:p>
        </w:tc>
      </w:tr>
      <w:tr w14:paraId="262EE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604C1DA0">
            <w:pPr>
              <w:adjustRightInd w:val="0"/>
              <w:snapToGrid w:val="0"/>
              <w:spacing w:line="360" w:lineRule="auto"/>
              <w:jc w:val="center"/>
              <w:rPr>
                <w:rFonts w:ascii="宋体" w:hAnsi="宋体" w:eastAsia="宋体" w:cs="宋体"/>
                <w:sz w:val="24"/>
                <w:szCs w:val="24"/>
              </w:rPr>
            </w:pPr>
          </w:p>
        </w:tc>
        <w:tc>
          <w:tcPr>
            <w:tcW w:w="1924" w:type="dxa"/>
          </w:tcPr>
          <w:p w14:paraId="13C523CF">
            <w:pPr>
              <w:adjustRightInd w:val="0"/>
              <w:snapToGrid w:val="0"/>
              <w:spacing w:line="360" w:lineRule="auto"/>
              <w:rPr>
                <w:rFonts w:ascii="宋体" w:hAnsi="宋体" w:eastAsia="宋体" w:cs="宋体"/>
                <w:sz w:val="24"/>
                <w:szCs w:val="24"/>
              </w:rPr>
            </w:pPr>
          </w:p>
        </w:tc>
        <w:tc>
          <w:tcPr>
            <w:tcW w:w="1236" w:type="dxa"/>
          </w:tcPr>
          <w:p w14:paraId="0FDE5D8A">
            <w:pPr>
              <w:adjustRightInd w:val="0"/>
              <w:snapToGrid w:val="0"/>
              <w:spacing w:line="360" w:lineRule="auto"/>
              <w:rPr>
                <w:rFonts w:ascii="宋体" w:hAnsi="宋体" w:eastAsia="宋体" w:cs="宋体"/>
                <w:sz w:val="24"/>
                <w:szCs w:val="24"/>
              </w:rPr>
            </w:pPr>
          </w:p>
        </w:tc>
        <w:tc>
          <w:tcPr>
            <w:tcW w:w="720" w:type="dxa"/>
          </w:tcPr>
          <w:p w14:paraId="4ADA8C4A">
            <w:pPr>
              <w:adjustRightInd w:val="0"/>
              <w:snapToGrid w:val="0"/>
              <w:spacing w:line="360" w:lineRule="auto"/>
              <w:jc w:val="center"/>
              <w:rPr>
                <w:rFonts w:ascii="宋体" w:hAnsi="宋体" w:eastAsia="宋体" w:cs="宋体"/>
                <w:sz w:val="24"/>
                <w:szCs w:val="24"/>
              </w:rPr>
            </w:pPr>
          </w:p>
        </w:tc>
        <w:tc>
          <w:tcPr>
            <w:tcW w:w="720" w:type="dxa"/>
          </w:tcPr>
          <w:p w14:paraId="5A3A0807">
            <w:pPr>
              <w:adjustRightInd w:val="0"/>
              <w:snapToGrid w:val="0"/>
              <w:spacing w:line="360" w:lineRule="auto"/>
              <w:jc w:val="center"/>
              <w:rPr>
                <w:rFonts w:ascii="宋体" w:hAnsi="宋体" w:eastAsia="宋体" w:cs="宋体"/>
                <w:sz w:val="24"/>
                <w:szCs w:val="24"/>
              </w:rPr>
            </w:pPr>
          </w:p>
        </w:tc>
        <w:tc>
          <w:tcPr>
            <w:tcW w:w="720" w:type="dxa"/>
          </w:tcPr>
          <w:p w14:paraId="5242B597">
            <w:pPr>
              <w:adjustRightInd w:val="0"/>
              <w:snapToGrid w:val="0"/>
              <w:spacing w:line="360" w:lineRule="auto"/>
              <w:jc w:val="center"/>
              <w:rPr>
                <w:rFonts w:ascii="宋体" w:hAnsi="宋体" w:eastAsia="宋体" w:cs="宋体"/>
                <w:sz w:val="24"/>
                <w:szCs w:val="24"/>
              </w:rPr>
            </w:pPr>
          </w:p>
        </w:tc>
        <w:tc>
          <w:tcPr>
            <w:tcW w:w="720" w:type="dxa"/>
          </w:tcPr>
          <w:p w14:paraId="072F77C4">
            <w:pPr>
              <w:adjustRightInd w:val="0"/>
              <w:snapToGrid w:val="0"/>
              <w:spacing w:line="360" w:lineRule="auto"/>
              <w:jc w:val="center"/>
              <w:rPr>
                <w:rFonts w:ascii="宋体" w:hAnsi="宋体" w:eastAsia="宋体" w:cs="宋体"/>
                <w:sz w:val="24"/>
                <w:szCs w:val="24"/>
              </w:rPr>
            </w:pPr>
          </w:p>
        </w:tc>
        <w:tc>
          <w:tcPr>
            <w:tcW w:w="2235" w:type="dxa"/>
          </w:tcPr>
          <w:p w14:paraId="5AD77D69">
            <w:pPr>
              <w:adjustRightInd w:val="0"/>
              <w:snapToGrid w:val="0"/>
              <w:spacing w:line="360" w:lineRule="auto"/>
              <w:rPr>
                <w:rFonts w:ascii="宋体" w:hAnsi="宋体" w:eastAsia="宋体" w:cs="宋体"/>
                <w:sz w:val="24"/>
                <w:szCs w:val="24"/>
              </w:rPr>
            </w:pPr>
          </w:p>
        </w:tc>
      </w:tr>
      <w:tr w14:paraId="32896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042CED96">
            <w:pPr>
              <w:adjustRightInd w:val="0"/>
              <w:snapToGrid w:val="0"/>
              <w:spacing w:line="360" w:lineRule="auto"/>
              <w:jc w:val="center"/>
              <w:rPr>
                <w:rFonts w:ascii="宋体" w:hAnsi="宋体" w:eastAsia="宋体" w:cs="宋体"/>
                <w:sz w:val="24"/>
                <w:szCs w:val="24"/>
              </w:rPr>
            </w:pPr>
          </w:p>
        </w:tc>
        <w:tc>
          <w:tcPr>
            <w:tcW w:w="1924" w:type="dxa"/>
          </w:tcPr>
          <w:p w14:paraId="7A18A153">
            <w:pPr>
              <w:adjustRightInd w:val="0"/>
              <w:snapToGrid w:val="0"/>
              <w:spacing w:line="360" w:lineRule="auto"/>
              <w:rPr>
                <w:rFonts w:ascii="宋体" w:hAnsi="宋体" w:eastAsia="宋体" w:cs="宋体"/>
                <w:sz w:val="24"/>
                <w:szCs w:val="24"/>
              </w:rPr>
            </w:pPr>
          </w:p>
        </w:tc>
        <w:tc>
          <w:tcPr>
            <w:tcW w:w="1236" w:type="dxa"/>
          </w:tcPr>
          <w:p w14:paraId="36FBF805">
            <w:pPr>
              <w:adjustRightInd w:val="0"/>
              <w:snapToGrid w:val="0"/>
              <w:spacing w:line="360" w:lineRule="auto"/>
              <w:rPr>
                <w:rFonts w:ascii="宋体" w:hAnsi="宋体" w:eastAsia="宋体" w:cs="宋体"/>
                <w:sz w:val="24"/>
                <w:szCs w:val="24"/>
              </w:rPr>
            </w:pPr>
          </w:p>
        </w:tc>
        <w:tc>
          <w:tcPr>
            <w:tcW w:w="720" w:type="dxa"/>
          </w:tcPr>
          <w:p w14:paraId="39646DDC">
            <w:pPr>
              <w:adjustRightInd w:val="0"/>
              <w:snapToGrid w:val="0"/>
              <w:spacing w:line="360" w:lineRule="auto"/>
              <w:jc w:val="center"/>
              <w:rPr>
                <w:rFonts w:ascii="宋体" w:hAnsi="宋体" w:eastAsia="宋体" w:cs="宋体"/>
                <w:sz w:val="24"/>
                <w:szCs w:val="24"/>
              </w:rPr>
            </w:pPr>
          </w:p>
        </w:tc>
        <w:tc>
          <w:tcPr>
            <w:tcW w:w="720" w:type="dxa"/>
          </w:tcPr>
          <w:p w14:paraId="0E3E060B">
            <w:pPr>
              <w:adjustRightInd w:val="0"/>
              <w:snapToGrid w:val="0"/>
              <w:spacing w:line="360" w:lineRule="auto"/>
              <w:jc w:val="center"/>
              <w:rPr>
                <w:rFonts w:ascii="宋体" w:hAnsi="宋体" w:eastAsia="宋体" w:cs="宋体"/>
                <w:sz w:val="24"/>
                <w:szCs w:val="24"/>
              </w:rPr>
            </w:pPr>
          </w:p>
        </w:tc>
        <w:tc>
          <w:tcPr>
            <w:tcW w:w="720" w:type="dxa"/>
          </w:tcPr>
          <w:p w14:paraId="350939AB">
            <w:pPr>
              <w:adjustRightInd w:val="0"/>
              <w:snapToGrid w:val="0"/>
              <w:spacing w:line="360" w:lineRule="auto"/>
              <w:jc w:val="center"/>
              <w:rPr>
                <w:rFonts w:ascii="宋体" w:hAnsi="宋体" w:eastAsia="宋体" w:cs="宋体"/>
                <w:sz w:val="24"/>
                <w:szCs w:val="24"/>
              </w:rPr>
            </w:pPr>
          </w:p>
        </w:tc>
        <w:tc>
          <w:tcPr>
            <w:tcW w:w="720" w:type="dxa"/>
          </w:tcPr>
          <w:p w14:paraId="1E7685C4">
            <w:pPr>
              <w:adjustRightInd w:val="0"/>
              <w:snapToGrid w:val="0"/>
              <w:spacing w:line="360" w:lineRule="auto"/>
              <w:jc w:val="center"/>
              <w:rPr>
                <w:rFonts w:ascii="宋体" w:hAnsi="宋体" w:eastAsia="宋体" w:cs="宋体"/>
                <w:sz w:val="24"/>
                <w:szCs w:val="24"/>
              </w:rPr>
            </w:pPr>
          </w:p>
        </w:tc>
        <w:tc>
          <w:tcPr>
            <w:tcW w:w="2235" w:type="dxa"/>
          </w:tcPr>
          <w:p w14:paraId="669BCBE3">
            <w:pPr>
              <w:adjustRightInd w:val="0"/>
              <w:snapToGrid w:val="0"/>
              <w:spacing w:line="360" w:lineRule="auto"/>
              <w:rPr>
                <w:rFonts w:ascii="宋体" w:hAnsi="宋体" w:eastAsia="宋体" w:cs="宋体"/>
                <w:sz w:val="24"/>
                <w:szCs w:val="24"/>
              </w:rPr>
            </w:pPr>
          </w:p>
        </w:tc>
      </w:tr>
      <w:tr w14:paraId="23CF8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72A016A">
            <w:pPr>
              <w:adjustRightInd w:val="0"/>
              <w:snapToGrid w:val="0"/>
              <w:spacing w:line="360" w:lineRule="auto"/>
              <w:jc w:val="center"/>
              <w:rPr>
                <w:rFonts w:ascii="宋体" w:hAnsi="宋体" w:eastAsia="宋体" w:cs="宋体"/>
                <w:sz w:val="24"/>
                <w:szCs w:val="24"/>
              </w:rPr>
            </w:pPr>
          </w:p>
        </w:tc>
        <w:tc>
          <w:tcPr>
            <w:tcW w:w="1924" w:type="dxa"/>
          </w:tcPr>
          <w:p w14:paraId="565236DF">
            <w:pPr>
              <w:adjustRightInd w:val="0"/>
              <w:snapToGrid w:val="0"/>
              <w:spacing w:line="360" w:lineRule="auto"/>
              <w:rPr>
                <w:rFonts w:ascii="宋体" w:hAnsi="宋体" w:eastAsia="宋体" w:cs="宋体"/>
                <w:sz w:val="24"/>
                <w:szCs w:val="24"/>
              </w:rPr>
            </w:pPr>
          </w:p>
        </w:tc>
        <w:tc>
          <w:tcPr>
            <w:tcW w:w="1236" w:type="dxa"/>
          </w:tcPr>
          <w:p w14:paraId="1E361137">
            <w:pPr>
              <w:adjustRightInd w:val="0"/>
              <w:snapToGrid w:val="0"/>
              <w:spacing w:line="360" w:lineRule="auto"/>
              <w:rPr>
                <w:rFonts w:ascii="宋体" w:hAnsi="宋体" w:eastAsia="宋体" w:cs="宋体"/>
                <w:sz w:val="24"/>
                <w:szCs w:val="24"/>
              </w:rPr>
            </w:pPr>
          </w:p>
        </w:tc>
        <w:tc>
          <w:tcPr>
            <w:tcW w:w="720" w:type="dxa"/>
          </w:tcPr>
          <w:p w14:paraId="69BD61A0">
            <w:pPr>
              <w:adjustRightInd w:val="0"/>
              <w:snapToGrid w:val="0"/>
              <w:spacing w:line="360" w:lineRule="auto"/>
              <w:jc w:val="center"/>
              <w:rPr>
                <w:rFonts w:ascii="宋体" w:hAnsi="宋体" w:eastAsia="宋体" w:cs="宋体"/>
                <w:sz w:val="24"/>
                <w:szCs w:val="24"/>
              </w:rPr>
            </w:pPr>
          </w:p>
        </w:tc>
        <w:tc>
          <w:tcPr>
            <w:tcW w:w="720" w:type="dxa"/>
          </w:tcPr>
          <w:p w14:paraId="3F98DA2B">
            <w:pPr>
              <w:adjustRightInd w:val="0"/>
              <w:snapToGrid w:val="0"/>
              <w:spacing w:line="360" w:lineRule="auto"/>
              <w:jc w:val="center"/>
              <w:rPr>
                <w:rFonts w:ascii="宋体" w:hAnsi="宋体" w:eastAsia="宋体" w:cs="宋体"/>
                <w:sz w:val="24"/>
                <w:szCs w:val="24"/>
              </w:rPr>
            </w:pPr>
          </w:p>
        </w:tc>
        <w:tc>
          <w:tcPr>
            <w:tcW w:w="720" w:type="dxa"/>
          </w:tcPr>
          <w:p w14:paraId="045D8E89">
            <w:pPr>
              <w:adjustRightInd w:val="0"/>
              <w:snapToGrid w:val="0"/>
              <w:spacing w:line="360" w:lineRule="auto"/>
              <w:jc w:val="center"/>
              <w:rPr>
                <w:rFonts w:ascii="宋体" w:hAnsi="宋体" w:eastAsia="宋体" w:cs="宋体"/>
                <w:sz w:val="24"/>
                <w:szCs w:val="24"/>
              </w:rPr>
            </w:pPr>
          </w:p>
        </w:tc>
        <w:tc>
          <w:tcPr>
            <w:tcW w:w="720" w:type="dxa"/>
          </w:tcPr>
          <w:p w14:paraId="5A08ACDE">
            <w:pPr>
              <w:adjustRightInd w:val="0"/>
              <w:snapToGrid w:val="0"/>
              <w:spacing w:line="360" w:lineRule="auto"/>
              <w:jc w:val="center"/>
              <w:rPr>
                <w:rFonts w:ascii="宋体" w:hAnsi="宋体" w:eastAsia="宋体" w:cs="宋体"/>
                <w:sz w:val="24"/>
                <w:szCs w:val="24"/>
              </w:rPr>
            </w:pPr>
          </w:p>
        </w:tc>
        <w:tc>
          <w:tcPr>
            <w:tcW w:w="2235" w:type="dxa"/>
          </w:tcPr>
          <w:p w14:paraId="5F7CE193">
            <w:pPr>
              <w:adjustRightInd w:val="0"/>
              <w:snapToGrid w:val="0"/>
              <w:spacing w:line="360" w:lineRule="auto"/>
              <w:rPr>
                <w:rFonts w:ascii="宋体" w:hAnsi="宋体" w:eastAsia="宋体" w:cs="宋体"/>
                <w:sz w:val="24"/>
                <w:szCs w:val="24"/>
              </w:rPr>
            </w:pPr>
          </w:p>
        </w:tc>
      </w:tr>
      <w:tr w14:paraId="16A09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139CDE48">
            <w:pPr>
              <w:adjustRightInd w:val="0"/>
              <w:snapToGrid w:val="0"/>
              <w:spacing w:line="360" w:lineRule="auto"/>
              <w:jc w:val="center"/>
              <w:rPr>
                <w:rFonts w:ascii="宋体" w:hAnsi="宋体" w:eastAsia="宋体" w:cs="宋体"/>
                <w:sz w:val="24"/>
                <w:szCs w:val="24"/>
              </w:rPr>
            </w:pPr>
          </w:p>
        </w:tc>
        <w:tc>
          <w:tcPr>
            <w:tcW w:w="1924" w:type="dxa"/>
          </w:tcPr>
          <w:p w14:paraId="6E0C44FC">
            <w:pPr>
              <w:adjustRightInd w:val="0"/>
              <w:snapToGrid w:val="0"/>
              <w:spacing w:line="360" w:lineRule="auto"/>
              <w:rPr>
                <w:rFonts w:ascii="宋体" w:hAnsi="宋体" w:eastAsia="宋体" w:cs="宋体"/>
                <w:sz w:val="24"/>
                <w:szCs w:val="24"/>
              </w:rPr>
            </w:pPr>
          </w:p>
        </w:tc>
        <w:tc>
          <w:tcPr>
            <w:tcW w:w="1236" w:type="dxa"/>
          </w:tcPr>
          <w:p w14:paraId="7E07C689">
            <w:pPr>
              <w:adjustRightInd w:val="0"/>
              <w:snapToGrid w:val="0"/>
              <w:spacing w:line="360" w:lineRule="auto"/>
              <w:rPr>
                <w:rFonts w:ascii="宋体" w:hAnsi="宋体" w:eastAsia="宋体" w:cs="宋体"/>
                <w:sz w:val="24"/>
                <w:szCs w:val="24"/>
              </w:rPr>
            </w:pPr>
          </w:p>
        </w:tc>
        <w:tc>
          <w:tcPr>
            <w:tcW w:w="720" w:type="dxa"/>
          </w:tcPr>
          <w:p w14:paraId="5C7DBE4D">
            <w:pPr>
              <w:adjustRightInd w:val="0"/>
              <w:snapToGrid w:val="0"/>
              <w:spacing w:line="360" w:lineRule="auto"/>
              <w:jc w:val="center"/>
              <w:rPr>
                <w:rFonts w:ascii="宋体" w:hAnsi="宋体" w:eastAsia="宋体" w:cs="宋体"/>
                <w:sz w:val="24"/>
                <w:szCs w:val="24"/>
              </w:rPr>
            </w:pPr>
          </w:p>
        </w:tc>
        <w:tc>
          <w:tcPr>
            <w:tcW w:w="720" w:type="dxa"/>
          </w:tcPr>
          <w:p w14:paraId="350303D6">
            <w:pPr>
              <w:adjustRightInd w:val="0"/>
              <w:snapToGrid w:val="0"/>
              <w:spacing w:line="360" w:lineRule="auto"/>
              <w:jc w:val="center"/>
              <w:rPr>
                <w:rFonts w:ascii="宋体" w:hAnsi="宋体" w:eastAsia="宋体" w:cs="宋体"/>
                <w:sz w:val="24"/>
                <w:szCs w:val="24"/>
              </w:rPr>
            </w:pPr>
          </w:p>
        </w:tc>
        <w:tc>
          <w:tcPr>
            <w:tcW w:w="720" w:type="dxa"/>
          </w:tcPr>
          <w:p w14:paraId="4C4265C5">
            <w:pPr>
              <w:adjustRightInd w:val="0"/>
              <w:snapToGrid w:val="0"/>
              <w:spacing w:line="360" w:lineRule="auto"/>
              <w:jc w:val="center"/>
              <w:rPr>
                <w:rFonts w:ascii="宋体" w:hAnsi="宋体" w:eastAsia="宋体" w:cs="宋体"/>
                <w:sz w:val="24"/>
                <w:szCs w:val="24"/>
              </w:rPr>
            </w:pPr>
          </w:p>
        </w:tc>
        <w:tc>
          <w:tcPr>
            <w:tcW w:w="720" w:type="dxa"/>
          </w:tcPr>
          <w:p w14:paraId="5D4981F0">
            <w:pPr>
              <w:adjustRightInd w:val="0"/>
              <w:snapToGrid w:val="0"/>
              <w:spacing w:line="360" w:lineRule="auto"/>
              <w:jc w:val="center"/>
              <w:rPr>
                <w:rFonts w:ascii="宋体" w:hAnsi="宋体" w:eastAsia="宋体" w:cs="宋体"/>
                <w:sz w:val="24"/>
                <w:szCs w:val="24"/>
              </w:rPr>
            </w:pPr>
          </w:p>
        </w:tc>
        <w:tc>
          <w:tcPr>
            <w:tcW w:w="2235" w:type="dxa"/>
          </w:tcPr>
          <w:p w14:paraId="1F98D1D3">
            <w:pPr>
              <w:adjustRightInd w:val="0"/>
              <w:snapToGrid w:val="0"/>
              <w:spacing w:line="360" w:lineRule="auto"/>
              <w:rPr>
                <w:rFonts w:ascii="宋体" w:hAnsi="宋体" w:eastAsia="宋体" w:cs="宋体"/>
                <w:sz w:val="24"/>
                <w:szCs w:val="24"/>
              </w:rPr>
            </w:pPr>
          </w:p>
        </w:tc>
      </w:tr>
      <w:tr w14:paraId="257C6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16D6346C">
            <w:pPr>
              <w:adjustRightInd w:val="0"/>
              <w:snapToGrid w:val="0"/>
              <w:spacing w:line="360" w:lineRule="auto"/>
              <w:jc w:val="center"/>
              <w:rPr>
                <w:rFonts w:ascii="宋体" w:hAnsi="宋体" w:eastAsia="宋体" w:cs="宋体"/>
                <w:sz w:val="24"/>
                <w:szCs w:val="24"/>
              </w:rPr>
            </w:pPr>
          </w:p>
        </w:tc>
        <w:tc>
          <w:tcPr>
            <w:tcW w:w="1924" w:type="dxa"/>
          </w:tcPr>
          <w:p w14:paraId="7C605037">
            <w:pPr>
              <w:adjustRightInd w:val="0"/>
              <w:snapToGrid w:val="0"/>
              <w:spacing w:line="360" w:lineRule="auto"/>
              <w:rPr>
                <w:rFonts w:ascii="宋体" w:hAnsi="宋体" w:eastAsia="宋体" w:cs="宋体"/>
                <w:sz w:val="24"/>
                <w:szCs w:val="24"/>
              </w:rPr>
            </w:pPr>
          </w:p>
        </w:tc>
        <w:tc>
          <w:tcPr>
            <w:tcW w:w="1236" w:type="dxa"/>
          </w:tcPr>
          <w:p w14:paraId="7B343DC6">
            <w:pPr>
              <w:adjustRightInd w:val="0"/>
              <w:snapToGrid w:val="0"/>
              <w:spacing w:line="360" w:lineRule="auto"/>
              <w:rPr>
                <w:rFonts w:ascii="宋体" w:hAnsi="宋体" w:eastAsia="宋体" w:cs="宋体"/>
                <w:sz w:val="24"/>
                <w:szCs w:val="24"/>
              </w:rPr>
            </w:pPr>
          </w:p>
        </w:tc>
        <w:tc>
          <w:tcPr>
            <w:tcW w:w="720" w:type="dxa"/>
          </w:tcPr>
          <w:p w14:paraId="4BE280B3">
            <w:pPr>
              <w:adjustRightInd w:val="0"/>
              <w:snapToGrid w:val="0"/>
              <w:spacing w:line="360" w:lineRule="auto"/>
              <w:jc w:val="center"/>
              <w:rPr>
                <w:rFonts w:ascii="宋体" w:hAnsi="宋体" w:eastAsia="宋体" w:cs="宋体"/>
                <w:sz w:val="24"/>
                <w:szCs w:val="24"/>
              </w:rPr>
            </w:pPr>
          </w:p>
        </w:tc>
        <w:tc>
          <w:tcPr>
            <w:tcW w:w="720" w:type="dxa"/>
          </w:tcPr>
          <w:p w14:paraId="5905EB84">
            <w:pPr>
              <w:adjustRightInd w:val="0"/>
              <w:snapToGrid w:val="0"/>
              <w:spacing w:line="360" w:lineRule="auto"/>
              <w:jc w:val="center"/>
              <w:rPr>
                <w:rFonts w:ascii="宋体" w:hAnsi="宋体" w:eastAsia="宋体" w:cs="宋体"/>
                <w:sz w:val="24"/>
                <w:szCs w:val="24"/>
              </w:rPr>
            </w:pPr>
          </w:p>
        </w:tc>
        <w:tc>
          <w:tcPr>
            <w:tcW w:w="720" w:type="dxa"/>
          </w:tcPr>
          <w:p w14:paraId="0071191C">
            <w:pPr>
              <w:adjustRightInd w:val="0"/>
              <w:snapToGrid w:val="0"/>
              <w:spacing w:line="360" w:lineRule="auto"/>
              <w:jc w:val="center"/>
              <w:rPr>
                <w:rFonts w:ascii="宋体" w:hAnsi="宋体" w:eastAsia="宋体" w:cs="宋体"/>
                <w:sz w:val="24"/>
                <w:szCs w:val="24"/>
              </w:rPr>
            </w:pPr>
          </w:p>
        </w:tc>
        <w:tc>
          <w:tcPr>
            <w:tcW w:w="720" w:type="dxa"/>
          </w:tcPr>
          <w:p w14:paraId="392D3C48">
            <w:pPr>
              <w:adjustRightInd w:val="0"/>
              <w:snapToGrid w:val="0"/>
              <w:spacing w:line="360" w:lineRule="auto"/>
              <w:jc w:val="center"/>
              <w:rPr>
                <w:rFonts w:ascii="宋体" w:hAnsi="宋体" w:eastAsia="宋体" w:cs="宋体"/>
                <w:sz w:val="24"/>
                <w:szCs w:val="24"/>
              </w:rPr>
            </w:pPr>
          </w:p>
        </w:tc>
        <w:tc>
          <w:tcPr>
            <w:tcW w:w="2235" w:type="dxa"/>
          </w:tcPr>
          <w:p w14:paraId="3BD644BB">
            <w:pPr>
              <w:adjustRightInd w:val="0"/>
              <w:snapToGrid w:val="0"/>
              <w:spacing w:line="360" w:lineRule="auto"/>
              <w:rPr>
                <w:rFonts w:ascii="宋体" w:hAnsi="宋体" w:eastAsia="宋体" w:cs="宋体"/>
                <w:sz w:val="24"/>
                <w:szCs w:val="24"/>
              </w:rPr>
            </w:pPr>
          </w:p>
        </w:tc>
      </w:tr>
    </w:tbl>
    <w:p w14:paraId="0ED3E68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6.2“开标一览表”和“明细表”仅作为投标人编制投标技术文件的一般格式。其中序号编写应当便于招标人了解分类或分项货物之间的所属关系，如1、1.1、1.2；</w:t>
      </w:r>
    </w:p>
    <w:p w14:paraId="3CF06F4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6.3应当尽可能将货物的配置列全、列细，这将有助于投标人胜出；</w:t>
      </w:r>
    </w:p>
    <w:p w14:paraId="10BC3AC1">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6.4单价与总价之间、总价与分类小计价之间、分类小计价与合计价之间数据应当齐全而且准确；</w:t>
      </w:r>
    </w:p>
    <w:p w14:paraId="216B4DCA">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6.5  本条款表格中的制造商，应当为全称或公认的简称。</w:t>
      </w:r>
    </w:p>
    <w:p w14:paraId="718519F0">
      <w:pPr>
        <w:pStyle w:val="89"/>
        <w:spacing w:line="360" w:lineRule="auto"/>
        <w:rPr>
          <w:rFonts w:ascii="宋体" w:hAnsi="宋体" w:cs="宋体"/>
          <w:color w:val="auto"/>
        </w:rPr>
      </w:pPr>
      <w:r>
        <w:rPr>
          <w:rFonts w:hint="eastAsia" w:ascii="宋体" w:hAnsi="宋体" w:cs="宋体"/>
          <w:color w:val="auto"/>
        </w:rPr>
        <w:t>二、技术文件中货物报价格式要求</w:t>
      </w:r>
    </w:p>
    <w:p w14:paraId="6689252B">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投标技术文件中，如未按照要求编写、或者存在漏项和缺项，将有可能造成对投标人不必要的误解；必要时，漏项和缺项涉及的费用，将有可能以其它投标人中，相同或相似项目的最高价，计入投标人的投标总报价之内，作为评标的依据之一。</w:t>
      </w:r>
    </w:p>
    <w:p w14:paraId="34FBB28F">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2.如果投标总报价与其它价格出现错误或不一致，将有可能导致废标。</w:t>
      </w:r>
    </w:p>
    <w:p w14:paraId="7B3295BA">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3.投标总报价为自合同签定生效至合同无异议执行完毕涉及的买方需要支付的全部费用。如投标人认为本招标及投标货物涉及特需或专门的设计，应当单独列明设计费。</w:t>
      </w:r>
    </w:p>
    <w:p w14:paraId="704AC28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4.备品备件、易损件和专用耗材，招标人将可能与投标人按照投标价格另行签署供货合同。</w:t>
      </w:r>
    </w:p>
    <w:p w14:paraId="080A03A8">
      <w:pPr>
        <w:spacing w:line="360" w:lineRule="auto"/>
        <w:ind w:firstLine="480" w:firstLineChars="200"/>
        <w:rPr>
          <w:rFonts w:ascii="宋体" w:hAnsi="宋体" w:eastAsia="宋体" w:cs="宋体"/>
          <w:sz w:val="24"/>
          <w:szCs w:val="24"/>
        </w:rPr>
        <w:sectPr>
          <w:footerReference r:id="rId9" w:type="first"/>
          <w:headerReference r:id="rId7" w:type="default"/>
          <w:footerReference r:id="rId8" w:type="default"/>
          <w:pgSz w:w="11906" w:h="16838"/>
          <w:pgMar w:top="1588" w:right="1418" w:bottom="1134" w:left="1418" w:header="851" w:footer="992" w:gutter="0"/>
          <w:pgNumType w:fmt="numberInDash"/>
          <w:cols w:space="720" w:num="1"/>
          <w:titlePg/>
          <w:docGrid w:linePitch="312" w:charSpace="0"/>
        </w:sectPr>
      </w:pPr>
      <w:r>
        <w:rPr>
          <w:rFonts w:hint="eastAsia" w:ascii="宋体" w:hAnsi="宋体" w:eastAsia="宋体" w:cs="宋体"/>
          <w:sz w:val="24"/>
          <w:szCs w:val="24"/>
        </w:rPr>
        <w:t>5.要求投标总报价、分项报价、明细报价之间应当具有相互间对应关系以及填报分项和明细报价，仅为便于评标而不妨碍投标人以最合适的形式签署</w:t>
      </w:r>
      <w:bookmarkStart w:id="73" w:name="_Toc465187648"/>
    </w:p>
    <w:bookmarkEnd w:id="73"/>
    <w:p w14:paraId="3F9ADAB1">
      <w:pPr>
        <w:pStyle w:val="2"/>
        <w:keepNext w:val="0"/>
        <w:keepLines w:val="0"/>
        <w:pageBreakBefore w:val="0"/>
        <w:widowControl w:val="0"/>
        <w:kinsoku/>
        <w:wordWrap/>
        <w:overflowPunct/>
        <w:topLinePunct w:val="0"/>
        <w:autoSpaceDE/>
        <w:autoSpaceDN/>
        <w:bidi w:val="0"/>
        <w:jc w:val="center"/>
        <w:textAlignment w:val="auto"/>
      </w:pPr>
      <w:bookmarkStart w:id="74" w:name="_Toc32672"/>
      <w:r>
        <w:rPr>
          <w:rStyle w:val="46"/>
          <w:rFonts w:hint="eastAsia"/>
          <w:b/>
          <w:bCs/>
        </w:rPr>
        <w:t>第五章</w:t>
      </w:r>
      <w:bookmarkEnd w:id="25"/>
      <w:r>
        <w:rPr>
          <w:rStyle w:val="46"/>
          <w:rFonts w:hint="eastAsia"/>
          <w:b/>
          <w:bCs/>
        </w:rPr>
        <w:t xml:space="preserve"> 服务标准及要求</w:t>
      </w:r>
      <w:bookmarkEnd w:id="36"/>
      <w:bookmarkEnd w:id="74"/>
    </w:p>
    <w:p w14:paraId="50F9AE65">
      <w:pPr>
        <w:spacing w:line="360" w:lineRule="auto"/>
        <w:ind w:firstLine="482" w:firstLineChars="200"/>
        <w:rPr>
          <w:rFonts w:hint="eastAsia" w:ascii="宋体" w:hAnsi="宋体"/>
          <w:sz w:val="24"/>
        </w:rPr>
      </w:pPr>
      <w:bookmarkStart w:id="75" w:name="_Toc328489369"/>
      <w:bookmarkStart w:id="76" w:name="_Toc328489323"/>
      <w:r>
        <w:rPr>
          <w:rFonts w:hint="eastAsia" w:ascii="宋体" w:hAnsi="宋体"/>
          <w:b/>
          <w:sz w:val="24"/>
        </w:rPr>
        <w:t>一、招标范围</w:t>
      </w:r>
    </w:p>
    <w:tbl>
      <w:tblPr>
        <w:tblStyle w:val="32"/>
        <w:tblW w:w="0" w:type="auto"/>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5"/>
        <w:gridCol w:w="1706"/>
        <w:gridCol w:w="1488"/>
        <w:gridCol w:w="1843"/>
        <w:gridCol w:w="1223"/>
        <w:gridCol w:w="1087"/>
      </w:tblGrid>
      <w:tr w14:paraId="017D0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dxa"/>
            <w:vAlign w:val="center"/>
          </w:tcPr>
          <w:p w14:paraId="4F8CAD01">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06" w:type="dxa"/>
            <w:vAlign w:val="center"/>
          </w:tcPr>
          <w:p w14:paraId="6D487CA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488" w:type="dxa"/>
            <w:vAlign w:val="center"/>
          </w:tcPr>
          <w:p w14:paraId="67B8719E">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843" w:type="dxa"/>
            <w:vAlign w:val="center"/>
          </w:tcPr>
          <w:p w14:paraId="3DF2BF0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23" w:type="dxa"/>
            <w:vAlign w:val="center"/>
          </w:tcPr>
          <w:p w14:paraId="3250C29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087" w:type="dxa"/>
            <w:vAlign w:val="center"/>
          </w:tcPr>
          <w:p w14:paraId="0DBEF39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1D062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5" w:type="dxa"/>
            <w:vAlign w:val="center"/>
          </w:tcPr>
          <w:p w14:paraId="5B5D55C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06" w:type="dxa"/>
            <w:vAlign w:val="center"/>
          </w:tcPr>
          <w:p w14:paraId="00A97F63">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ascii="宋体" w:hAnsi="宋体" w:eastAsia="宋体"/>
                <w:bCs/>
                <w:sz w:val="24"/>
                <w:szCs w:val="24"/>
                <w:highlight w:val="none"/>
                <w:lang w:val="en-US" w:eastAsia="zh-CN"/>
              </w:rPr>
              <w:t>驾驶室吊装系统检修走台</w:t>
            </w:r>
          </w:p>
        </w:tc>
        <w:tc>
          <w:tcPr>
            <w:tcW w:w="1488" w:type="dxa"/>
            <w:vAlign w:val="center"/>
          </w:tcPr>
          <w:p w14:paraId="4B2E5F23">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1</w:t>
            </w:r>
          </w:p>
        </w:tc>
        <w:tc>
          <w:tcPr>
            <w:tcW w:w="1843" w:type="dxa"/>
            <w:vAlign w:val="center"/>
          </w:tcPr>
          <w:p w14:paraId="198B9570">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23" w:type="dxa"/>
            <w:vAlign w:val="center"/>
          </w:tcPr>
          <w:p w14:paraId="3070B78D">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087" w:type="dxa"/>
            <w:vAlign w:val="center"/>
          </w:tcPr>
          <w:p w14:paraId="007C71C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75"/>
      <w:bookmarkEnd w:id="76"/>
      <w:bookmarkStart w:id="77" w:name="_Toc328489370"/>
      <w:bookmarkStart w:id="78" w:name="_Toc328489324"/>
    </w:p>
    <w:bookmarkEnd w:id="77"/>
    <w:bookmarkEnd w:id="78"/>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9" w:name="_Toc328489372"/>
      <w:bookmarkStart w:id="80" w:name="_Toc328489326"/>
      <w:r>
        <w:rPr>
          <w:rFonts w:hint="eastAsia" w:ascii="宋体" w:hAnsi="宋体"/>
          <w:b/>
          <w:sz w:val="24"/>
        </w:rPr>
        <w:t>三、安装调试、设备验收</w:t>
      </w:r>
      <w:bookmarkEnd w:id="79"/>
      <w:bookmarkEnd w:id="80"/>
    </w:p>
    <w:p w14:paraId="6E809A36">
      <w:pPr>
        <w:spacing w:line="360" w:lineRule="auto"/>
        <w:ind w:firstLine="480" w:firstLineChars="200"/>
        <w:rPr>
          <w:rFonts w:hint="eastAsia" w:ascii="宋体" w:hAnsi="宋体"/>
          <w:sz w:val="24"/>
        </w:rPr>
      </w:pPr>
      <w:bookmarkStart w:id="81" w:name="_Toc328489373"/>
      <w:bookmarkStart w:id="82" w:name="_Toc328489327"/>
      <w:r>
        <w:rPr>
          <w:rFonts w:hint="eastAsia" w:ascii="宋体" w:hAnsi="宋体"/>
          <w:sz w:val="24"/>
        </w:rPr>
        <w:t>3.1 安装调试</w:t>
      </w:r>
      <w:bookmarkEnd w:id="81"/>
      <w:bookmarkEnd w:id="82"/>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83" w:name="_Toc328489328"/>
      <w:bookmarkStart w:id="84" w:name="_Toc328489374"/>
      <w:bookmarkStart w:id="85" w:name="_Toc266518524"/>
      <w:bookmarkStart w:id="86" w:name="_Toc298248794"/>
      <w:r>
        <w:rPr>
          <w:rFonts w:hint="eastAsia" w:ascii="宋体" w:hAnsi="宋体"/>
          <w:sz w:val="24"/>
        </w:rPr>
        <w:t>3.2 项目验收</w:t>
      </w:r>
      <w:bookmarkEnd w:id="83"/>
      <w:bookmarkEnd w:id="84"/>
      <w:bookmarkEnd w:id="85"/>
      <w:bookmarkEnd w:id="86"/>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7" w:name="_Toc328489329"/>
      <w:bookmarkStart w:id="88" w:name="_Toc328489375"/>
      <w:r>
        <w:rPr>
          <w:rFonts w:hint="eastAsia" w:ascii="宋体" w:hAnsi="宋体"/>
          <w:b/>
          <w:sz w:val="24"/>
        </w:rPr>
        <w:t>四、技术要求、技术培训、陪伴生产及售后服务</w:t>
      </w:r>
      <w:bookmarkEnd w:id="87"/>
      <w:bookmarkEnd w:id="88"/>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9" w:name="_Toc328489330"/>
      <w:bookmarkStart w:id="90" w:name="_Toc328489376"/>
      <w:r>
        <w:rPr>
          <w:rFonts w:hint="eastAsia" w:ascii="宋体" w:hAnsi="宋体"/>
          <w:b/>
          <w:sz w:val="24"/>
        </w:rPr>
        <w:t>五、随机提供资料及备件</w:t>
      </w:r>
      <w:bookmarkEnd w:id="89"/>
      <w:bookmarkEnd w:id="90"/>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Style w:val="46"/>
          <w:b/>
          <w:bCs/>
        </w:rPr>
      </w:pPr>
      <w:bookmarkStart w:id="91" w:name="_Toc518655787"/>
      <w:bookmarkStart w:id="92" w:name="_Toc37059827"/>
      <w:bookmarkStart w:id="93" w:name="_Toc21617"/>
      <w:bookmarkStart w:id="94" w:name="_Toc301469810"/>
      <w:bookmarkStart w:id="95" w:name="_Toc119413766"/>
      <w:r>
        <w:rPr>
          <w:rStyle w:val="46"/>
          <w:rFonts w:hint="eastAsia"/>
          <w:b/>
          <w:bCs/>
        </w:rPr>
        <w:t>第六章  设备采购合同</w:t>
      </w:r>
      <w:bookmarkEnd w:id="91"/>
    </w:p>
    <w:p w14:paraId="0C7C1B25">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b/>
          <w:bCs/>
        </w:rPr>
      </w:pPr>
      <w:bookmarkStart w:id="96" w:name="_Toc17849"/>
      <w:r>
        <w:rPr>
          <w:rStyle w:val="46"/>
          <w:rFonts w:hint="eastAsia"/>
          <w:b/>
          <w:bCs/>
        </w:rPr>
        <w:t>（以经相关部门审核的最终签署版本为准）</w:t>
      </w:r>
      <w:bookmarkEnd w:id="92"/>
      <w:bookmarkEnd w:id="93"/>
      <w:bookmarkEnd w:id="96"/>
    </w:p>
    <w:p w14:paraId="1A6A1D4A">
      <w:pPr>
        <w:adjustRightInd w:val="0"/>
        <w:snapToGrid w:val="0"/>
        <w:spacing w:line="360" w:lineRule="auto"/>
        <w:jc w:val="left"/>
        <w:rPr>
          <w:rFonts w:hint="eastAsia" w:ascii="宋体" w:hAnsi="宋体"/>
          <w:sz w:val="20"/>
          <w:szCs w:val="20"/>
        </w:rPr>
      </w:pPr>
      <w:bookmarkStart w:id="97" w:name="_Toc283814116"/>
    </w:p>
    <w:p w14:paraId="02A389F7">
      <w:pPr>
        <w:rPr>
          <w:rFonts w:ascii="宋体" w:hAnsi="宋体"/>
          <w:b/>
          <w:sz w:val="28"/>
          <w:szCs w:val="28"/>
        </w:rPr>
      </w:pPr>
      <w:r>
        <w:rPr>
          <w:rFonts w:ascii="宋体" w:hAnsi="宋体"/>
          <w:b/>
          <w:sz w:val="28"/>
          <w:szCs w:val="28"/>
        </w:rPr>
        <w:br w:type="page"/>
      </w:r>
    </w:p>
    <w:p w14:paraId="2E51C0DA">
      <w:pPr>
        <w:spacing w:line="360" w:lineRule="auto"/>
        <w:jc w:val="center"/>
        <w:rPr>
          <w:rFonts w:ascii="方正小标宋简体" w:hAnsi="方正小标宋简体" w:eastAsia="方正小标宋简体" w:cs="方正小标宋简体"/>
          <w:w w:val="90"/>
          <w:sz w:val="56"/>
          <w:szCs w:val="56"/>
        </w:rPr>
      </w:pPr>
      <w:r>
        <w:rPr>
          <w:rFonts w:hint="eastAsia" w:ascii="方正小标宋简体" w:hAnsi="方正小标宋简体" w:eastAsia="方正小标宋简体" w:cs="方正小标宋简体"/>
          <w:w w:val="90"/>
          <w:sz w:val="56"/>
          <w:szCs w:val="56"/>
        </w:rPr>
        <w:t>设备采购合同</w:t>
      </w:r>
    </w:p>
    <w:p w14:paraId="73C613B4">
      <w:pPr>
        <w:spacing w:line="360" w:lineRule="auto"/>
        <w:jc w:val="center"/>
        <w:rPr>
          <w:rFonts w:ascii="方正小标宋简体" w:hAnsi="方正小标宋简体" w:eastAsia="方正小标宋简体" w:cs="方正小标宋简体"/>
          <w:w w:val="90"/>
          <w:sz w:val="56"/>
          <w:szCs w:val="56"/>
        </w:rPr>
      </w:pPr>
    </w:p>
    <w:p w14:paraId="54FB4EDF">
      <w:pPr>
        <w:spacing w:line="360" w:lineRule="auto"/>
        <w:jc w:val="center"/>
        <w:rPr>
          <w:rFonts w:ascii="仿宋_GB2312" w:hAnsi="仿宋_GB2312" w:eastAsia="仿宋_GB2312" w:cs="仿宋_GB2312"/>
          <w:bCs/>
          <w:sz w:val="24"/>
          <w:szCs w:val="24"/>
        </w:rPr>
      </w:pPr>
    </w:p>
    <w:p w14:paraId="64055244">
      <w:pPr>
        <w:spacing w:line="360" w:lineRule="auto"/>
        <w:jc w:val="center"/>
        <w:rPr>
          <w:rFonts w:ascii="仿宋_GB2312" w:hAnsi="仿宋_GB2312" w:eastAsia="仿宋_GB2312" w:cs="仿宋_GB2312"/>
          <w:bCs/>
          <w:sz w:val="24"/>
          <w:szCs w:val="24"/>
        </w:rPr>
      </w:pPr>
    </w:p>
    <w:p w14:paraId="4540E0C4">
      <w:pPr>
        <w:spacing w:line="360" w:lineRule="auto"/>
        <w:ind w:firstLine="2160" w:firstLineChars="900"/>
        <w:jc w:val="left"/>
        <w:rPr>
          <w:rFonts w:ascii="仿宋_GB2312" w:hAnsi="仿宋_GB2312" w:eastAsia="仿宋_GB2312" w:cs="仿宋_GB2312"/>
          <w:bCs/>
          <w:sz w:val="24"/>
          <w:szCs w:val="24"/>
        </w:rPr>
      </w:pPr>
      <w:r>
        <w:rPr>
          <w:rFonts w:hint="eastAsia" w:ascii="仿宋_GB2312" w:hAnsi="仿宋_GB2312" w:eastAsia="仿宋_GB2312" w:cs="仿宋_GB2312"/>
          <w:bCs/>
          <w:sz w:val="24"/>
          <w:szCs w:val="24"/>
        </w:rPr>
        <w:t xml:space="preserve">合同项目名称： </w:t>
      </w:r>
      <w:permStart w:id="0" w:edGrp="everyone"/>
      <w:r>
        <w:rPr>
          <w:rFonts w:hint="eastAsia" w:ascii="仿宋_GB2312" w:hAnsi="仿宋_GB2312" w:eastAsia="仿宋_GB2312" w:cs="仿宋_GB2312"/>
          <w:b/>
          <w:sz w:val="24"/>
          <w:szCs w:val="24"/>
          <w:u w:val="single"/>
        </w:rPr>
        <w:t>合同项目名称</w:t>
      </w:r>
      <w:permEnd w:id="0"/>
    </w:p>
    <w:p w14:paraId="105547D8">
      <w:pPr>
        <w:spacing w:line="360" w:lineRule="auto"/>
        <w:ind w:firstLine="2160" w:firstLineChars="900"/>
        <w:jc w:val="left"/>
        <w:rPr>
          <w:rFonts w:ascii="仿宋_GB2312" w:hAnsi="仿宋_GB2312" w:eastAsia="仿宋_GB2312" w:cs="仿宋_GB2312"/>
          <w:bCs/>
          <w:sz w:val="24"/>
          <w:szCs w:val="24"/>
        </w:rPr>
      </w:pPr>
    </w:p>
    <w:p w14:paraId="2D07ED82">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甲方（买方）：</w:t>
      </w:r>
      <w:permStart w:id="1" w:edGrp="everyone"/>
      <w:r>
        <w:rPr>
          <w:rFonts w:hint="eastAsia" w:ascii="仿宋_GB2312" w:hAnsi="仿宋_GB2312" w:eastAsia="仿宋_GB2312" w:cs="仿宋_GB2312"/>
          <w:b/>
          <w:sz w:val="24"/>
          <w:szCs w:val="24"/>
          <w:u w:val="single"/>
        </w:rPr>
        <w:t>甲方单位全称</w:t>
      </w:r>
      <w:permEnd w:id="1"/>
    </w:p>
    <w:p w14:paraId="61757483">
      <w:pPr>
        <w:spacing w:line="360" w:lineRule="auto"/>
        <w:ind w:firstLine="2168" w:firstLineChars="900"/>
        <w:jc w:val="left"/>
        <w:rPr>
          <w:rFonts w:ascii="仿宋_GB2312" w:hAnsi="仿宋_GB2312" w:eastAsia="仿宋_GB2312" w:cs="仿宋_GB2312"/>
          <w:b/>
          <w:sz w:val="24"/>
          <w:szCs w:val="24"/>
          <w:u w:val="single"/>
        </w:rPr>
      </w:pPr>
    </w:p>
    <w:p w14:paraId="7E937864">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乙方（卖方）：</w:t>
      </w:r>
      <w:permStart w:id="2" w:edGrp="everyone"/>
      <w:r>
        <w:rPr>
          <w:rFonts w:hint="eastAsia" w:ascii="仿宋_GB2312" w:hAnsi="仿宋_GB2312" w:eastAsia="仿宋_GB2312" w:cs="仿宋_GB2312"/>
          <w:b/>
          <w:sz w:val="24"/>
          <w:szCs w:val="24"/>
          <w:u w:val="single"/>
        </w:rPr>
        <w:t>乙方单位全称</w:t>
      </w:r>
      <w:permEnd w:id="2"/>
    </w:p>
    <w:p w14:paraId="0B879477">
      <w:pPr>
        <w:spacing w:line="360" w:lineRule="auto"/>
        <w:ind w:firstLine="2168" w:firstLineChars="900"/>
        <w:jc w:val="center"/>
        <w:rPr>
          <w:rFonts w:ascii="仿宋_GB2312" w:hAnsi="仿宋_GB2312" w:eastAsia="仿宋_GB2312" w:cs="仿宋_GB2312"/>
          <w:b/>
          <w:sz w:val="24"/>
          <w:szCs w:val="24"/>
          <w:u w:val="single"/>
        </w:rPr>
      </w:pPr>
    </w:p>
    <w:p w14:paraId="21A7E5B5">
      <w:pPr>
        <w:spacing w:line="360" w:lineRule="auto"/>
        <w:ind w:firstLine="2168" w:firstLineChars="900"/>
        <w:jc w:val="center"/>
        <w:rPr>
          <w:rFonts w:ascii="仿宋_GB2312" w:hAnsi="仿宋_GB2312" w:eastAsia="仿宋_GB2312" w:cs="仿宋_GB2312"/>
          <w:b/>
          <w:sz w:val="24"/>
          <w:szCs w:val="24"/>
          <w:u w:val="single"/>
        </w:rPr>
      </w:pPr>
    </w:p>
    <w:p w14:paraId="5C472D0A">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合同签订地点：</w:t>
      </w:r>
      <w:permStart w:id="3" w:edGrp="everyone"/>
      <w:r>
        <w:rPr>
          <w:rFonts w:hint="eastAsia" w:ascii="仿宋_GB2312" w:hAnsi="仿宋_GB2312" w:eastAsia="仿宋_GB2312" w:cs="仿宋_GB2312"/>
          <w:b/>
          <w:sz w:val="24"/>
          <w:szCs w:val="24"/>
          <w:u w:val="single"/>
        </w:rPr>
        <w:t>填写甲方所在县级行政区划，如“山东省济南市高新区/章丘区”等</w:t>
      </w:r>
      <w:permEnd w:id="3"/>
    </w:p>
    <w:p w14:paraId="373C71FD">
      <w:pPr>
        <w:spacing w:line="360" w:lineRule="auto"/>
        <w:ind w:firstLine="2160" w:firstLineChars="900"/>
        <w:jc w:val="left"/>
        <w:rPr>
          <w:rFonts w:ascii="仿宋_GB2312" w:hAnsi="仿宋_GB2312" w:eastAsia="仿宋_GB2312" w:cs="仿宋_GB2312"/>
          <w:bCs/>
          <w:sz w:val="24"/>
          <w:szCs w:val="24"/>
        </w:rPr>
      </w:pPr>
    </w:p>
    <w:p w14:paraId="15AA8D4E">
      <w:pPr>
        <w:spacing w:line="360" w:lineRule="auto"/>
        <w:ind w:firstLine="2160" w:firstLineChars="900"/>
        <w:jc w:val="left"/>
        <w:rPr>
          <w:rFonts w:ascii="仿宋_GB2312" w:hAnsi="仿宋_GB2312" w:eastAsia="仿宋_GB2312" w:cs="仿宋_GB2312"/>
          <w:b/>
          <w:sz w:val="24"/>
          <w:szCs w:val="24"/>
          <w:u w:val="single"/>
        </w:rPr>
        <w:sectPr>
          <w:footerReference r:id="rId10" w:type="default"/>
          <w:pgSz w:w="11907" w:h="16840"/>
          <w:pgMar w:top="1304" w:right="1418" w:bottom="1304" w:left="1418" w:header="724" w:footer="851" w:gutter="0"/>
          <w:pgNumType w:start="1"/>
          <w:cols w:space="720" w:num="1"/>
          <w:docGrid w:linePitch="290" w:charSpace="-3931"/>
        </w:sectPr>
      </w:pPr>
      <w:r>
        <w:rPr>
          <w:rFonts w:hint="eastAsia" w:ascii="仿宋_GB2312" w:hAnsi="仿宋_GB2312" w:eastAsia="仿宋_GB2312" w:cs="仿宋_GB2312"/>
          <w:bCs/>
          <w:sz w:val="24"/>
          <w:szCs w:val="24"/>
        </w:rPr>
        <w:t>合同签订时间：</w:t>
      </w:r>
      <w:permStart w:id="4" w:edGrp="everyone"/>
      <w:r>
        <w:rPr>
          <w:rFonts w:hint="eastAsia" w:ascii="仿宋_GB2312" w:hAnsi="仿宋_GB2312" w:eastAsia="仿宋_GB2312" w:cs="仿宋_GB2312"/>
          <w:b/>
          <w:sz w:val="24"/>
          <w:szCs w:val="24"/>
          <w:u w:val="single"/>
        </w:rPr>
        <w:t>按****年**月**日形式据实填写</w:t>
      </w:r>
      <w:permEnd w:id="4"/>
    </w:p>
    <w:p w14:paraId="44DFE2C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447E407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专用条款</w:t>
      </w:r>
    </w:p>
    <w:p w14:paraId="3D0E67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鉴于，买方向卖方购买</w:t>
      </w:r>
      <w:permStart w:id="5" w:edGrp="everyone"/>
      <w:r>
        <w:rPr>
          <w:rFonts w:hint="eastAsia" w:ascii="仿宋_GB2312" w:hAnsi="仿宋_GB2312" w:eastAsia="仿宋_GB2312" w:cs="仿宋_GB2312"/>
          <w:b/>
          <w:bCs/>
          <w:sz w:val="24"/>
          <w:szCs w:val="24"/>
          <w:u w:val="single"/>
        </w:rPr>
        <w:t>设备名称概括</w:t>
      </w:r>
      <w:permEnd w:id="5"/>
      <w:r>
        <w:rPr>
          <w:rFonts w:hint="eastAsia" w:ascii="仿宋_GB2312" w:hAnsi="仿宋_GB2312" w:eastAsia="仿宋_GB2312" w:cs="仿宋_GB2312"/>
          <w:sz w:val="24"/>
          <w:szCs w:val="24"/>
          <w:u w:val="single"/>
        </w:rPr>
        <w:t>等</w:t>
      </w:r>
      <w:r>
        <w:rPr>
          <w:rFonts w:hint="eastAsia" w:ascii="仿宋_GB2312" w:hAnsi="仿宋_GB2312" w:eastAsia="仿宋_GB2312" w:cs="仿宋_GB2312"/>
          <w:sz w:val="24"/>
          <w:szCs w:val="24"/>
        </w:rPr>
        <w:t>，就该设备的设计、制造、运输、定点卸货、安装或指导安装、调试、验收、培训及售后服务等有关问题，在自愿协商的基础上达成本合同。</w:t>
      </w:r>
    </w:p>
    <w:p w14:paraId="468C80F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1.合同设备标的</w:t>
      </w:r>
    </w:p>
    <w:p w14:paraId="2083730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1.1合同总价：为共同完成</w:t>
      </w:r>
      <w:permStart w:id="6" w:edGrp="everyone"/>
      <w:r>
        <w:rPr>
          <w:rFonts w:hint="eastAsia" w:ascii="仿宋_GB2312" w:hAnsi="仿宋_GB2312" w:eastAsia="仿宋_GB2312" w:cs="仿宋_GB2312"/>
          <w:b/>
          <w:bCs/>
          <w:sz w:val="24"/>
          <w:szCs w:val="24"/>
          <w:u w:val="single"/>
        </w:rPr>
        <w:t>合同项目名称</w:t>
      </w:r>
      <w:permEnd w:id="6"/>
      <w:r>
        <w:rPr>
          <w:rFonts w:hint="eastAsia" w:ascii="仿宋_GB2312" w:hAnsi="仿宋_GB2312" w:eastAsia="仿宋_GB2312" w:cs="仿宋_GB2312"/>
          <w:sz w:val="24"/>
          <w:szCs w:val="24"/>
        </w:rPr>
        <w:t>，买方向卖方购买设备一宗，详见附件《设备清单明细表》，本合同不含税总价为</w:t>
      </w:r>
      <w:permStart w:id="7" w:edGrp="everyone"/>
      <w:r>
        <w:rPr>
          <w:rFonts w:hint="eastAsia" w:ascii="仿宋_GB2312" w:hAnsi="仿宋_GB2312" w:eastAsia="仿宋_GB2312" w:cs="仿宋_GB2312"/>
          <w:b/>
          <w:bCs/>
          <w:sz w:val="24"/>
          <w:szCs w:val="24"/>
          <w:u w:val="single"/>
        </w:rPr>
        <w:t>不含税总价小写，数值，小数点后保留两位</w:t>
      </w:r>
      <w:permEnd w:id="7"/>
      <w:r>
        <w:rPr>
          <w:rFonts w:hint="eastAsia" w:ascii="仿宋_GB2312" w:hAnsi="仿宋_GB2312" w:eastAsia="仿宋_GB2312" w:cs="仿宋_GB2312"/>
          <w:sz w:val="24"/>
          <w:szCs w:val="24"/>
        </w:rPr>
        <w:t>元，税额</w:t>
      </w:r>
      <w:permStart w:id="8" w:edGrp="everyone"/>
      <w:r>
        <w:rPr>
          <w:rFonts w:hint="eastAsia" w:ascii="仿宋_GB2312" w:hAnsi="仿宋_GB2312" w:eastAsia="仿宋_GB2312" w:cs="仿宋_GB2312"/>
          <w:b/>
          <w:bCs/>
          <w:sz w:val="24"/>
          <w:szCs w:val="24"/>
          <w:u w:val="single"/>
        </w:rPr>
        <w:t>合计税额小写，数值，小数点后保留两位</w:t>
      </w:r>
      <w:permEnd w:id="8"/>
      <w:r>
        <w:rPr>
          <w:rFonts w:hint="eastAsia" w:ascii="仿宋_GB2312" w:hAnsi="仿宋_GB2312" w:eastAsia="仿宋_GB2312" w:cs="仿宋_GB2312"/>
          <w:sz w:val="24"/>
          <w:szCs w:val="24"/>
        </w:rPr>
        <w:t>元，含税总价</w:t>
      </w:r>
      <w:permStart w:id="9" w:edGrp="everyone"/>
      <w:r>
        <w:rPr>
          <w:rFonts w:hint="eastAsia" w:ascii="仿宋_GB2312" w:hAnsi="仿宋_GB2312" w:eastAsia="仿宋_GB2312" w:cs="仿宋_GB2312"/>
          <w:b/>
          <w:bCs/>
          <w:sz w:val="24"/>
          <w:szCs w:val="24"/>
          <w:u w:val="single"/>
        </w:rPr>
        <w:t>含税总价小写，数值，小数点后保留两位</w:t>
      </w:r>
      <w:permEnd w:id="9"/>
      <w:r>
        <w:rPr>
          <w:rFonts w:hint="eastAsia" w:ascii="仿宋_GB2312" w:hAnsi="仿宋_GB2312" w:eastAsia="仿宋_GB2312" w:cs="仿宋_GB2312"/>
          <w:sz w:val="24"/>
          <w:szCs w:val="24"/>
        </w:rPr>
        <w:t>元（大写：</w:t>
      </w:r>
      <w:permStart w:id="10" w:edGrp="everyone"/>
      <w:r>
        <w:rPr>
          <w:rFonts w:hint="eastAsia" w:ascii="仿宋_GB2312" w:hAnsi="仿宋_GB2312" w:eastAsia="仿宋_GB2312" w:cs="仿宋_GB2312"/>
          <w:b/>
          <w:bCs/>
          <w:sz w:val="24"/>
          <w:szCs w:val="24"/>
          <w:u w:val="single"/>
        </w:rPr>
        <w:t>含税总价大写</w:t>
      </w:r>
      <w:permEnd w:id="10"/>
      <w:r>
        <w:rPr>
          <w:rFonts w:hint="eastAsia" w:ascii="仿宋_GB2312" w:hAnsi="仿宋_GB2312" w:eastAsia="仿宋_GB2312" w:cs="仿宋_GB2312"/>
          <w:sz w:val="24"/>
          <w:szCs w:val="24"/>
        </w:rPr>
        <w:t>）。</w:t>
      </w:r>
    </w:p>
    <w:p w14:paraId="327B6753">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1.2交货方式</w:t>
      </w:r>
      <w:r>
        <w:rPr>
          <w:rFonts w:hint="eastAsia" w:ascii="仿宋_GB2312" w:eastAsia="仿宋_GB2312" w:hAnsiTheme="minorEastAsia" w:cstheme="minorEastAsia"/>
          <w:bCs/>
          <w:sz w:val="24"/>
          <w:szCs w:val="24"/>
        </w:rPr>
        <w:t>：</w:t>
      </w:r>
      <w:permStart w:id="11" w:edGrp="everyone"/>
      <w:r>
        <w:rPr>
          <w:rFonts w:hint="eastAsia" w:ascii="仿宋_GB2312" w:hAnsi="宋体" w:eastAsia="仿宋_GB2312"/>
          <w:b/>
          <w:bCs/>
          <w:sz w:val="24"/>
          <w:szCs w:val="24"/>
          <w:u w:val="single"/>
        </w:rPr>
        <w:t>据实选择，可填写“交钥匙方式”“指定地点交货”“自提”任一方式，其他情况请据实填写</w:t>
      </w:r>
      <w:permEnd w:id="11"/>
      <w:r>
        <w:rPr>
          <w:rFonts w:hint="eastAsia" w:ascii="仿宋_GB2312" w:hAnsi="宋体" w:eastAsia="仿宋_GB2312"/>
          <w:b/>
          <w:bCs/>
          <w:sz w:val="24"/>
          <w:szCs w:val="24"/>
          <w:u w:val="single"/>
        </w:rPr>
        <w:t>。</w:t>
      </w:r>
    </w:p>
    <w:p w14:paraId="124EEBD2">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1.3交货地点：</w:t>
      </w:r>
      <w:permStart w:id="12" w:edGrp="everyone"/>
      <w:r>
        <w:rPr>
          <w:rFonts w:hint="eastAsia" w:ascii="仿宋_GB2312" w:eastAsia="仿宋_GB2312" w:hAnsiTheme="minorEastAsia" w:cstheme="minorEastAsia"/>
          <w:b/>
          <w:bCs/>
          <w:sz w:val="24"/>
          <w:szCs w:val="24"/>
          <w:u w:val="single"/>
        </w:rPr>
        <w:t>交货详细地址信息，除列明省市县/区外，应填写至不致产生歧义的具体位置指向</w:t>
      </w:r>
      <w:permEnd w:id="12"/>
      <w:r>
        <w:rPr>
          <w:rFonts w:hint="eastAsia" w:ascii="仿宋_GB2312" w:eastAsia="仿宋_GB2312" w:hAnsiTheme="minorEastAsia" w:cstheme="minorEastAsia"/>
          <w:b/>
          <w:bCs/>
          <w:sz w:val="24"/>
          <w:szCs w:val="24"/>
          <w:u w:val="single"/>
        </w:rPr>
        <w:t>。</w:t>
      </w:r>
      <w:r>
        <w:rPr>
          <w:rFonts w:hint="eastAsia" w:ascii="仿宋_GB2312" w:eastAsia="仿宋_GB2312" w:hAnsiTheme="minorEastAsia" w:cstheme="minorEastAsia"/>
          <w:sz w:val="24"/>
          <w:szCs w:val="24"/>
        </w:rPr>
        <w:t xml:space="preserve">    </w:t>
      </w:r>
    </w:p>
    <w:p w14:paraId="4BB0D821">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1.4到货时间：</w:t>
      </w:r>
      <w:permStart w:id="13" w:edGrp="everyone"/>
      <w:r>
        <w:rPr>
          <w:rFonts w:hint="eastAsia" w:ascii="仿宋_GB2312" w:eastAsia="仿宋_GB2312" w:hAnsiTheme="minorEastAsia" w:cstheme="minorEastAsia"/>
          <w:b/>
          <w:bCs/>
          <w:sz w:val="24"/>
          <w:szCs w:val="24"/>
          <w:u w:val="single"/>
        </w:rPr>
        <w:t>填写具体年月日。存在分批次到货情形的，填写“详见特殊条款约定”，须于专用条款第4条特殊约定条款特别约定</w:t>
      </w:r>
      <w:permEnd w:id="13"/>
      <w:r>
        <w:rPr>
          <w:rFonts w:hint="eastAsia" w:ascii="仿宋_GB2312" w:eastAsia="仿宋_GB2312" w:hAnsiTheme="minorEastAsia" w:cstheme="minorEastAsia"/>
          <w:b/>
          <w:bCs/>
          <w:sz w:val="24"/>
          <w:szCs w:val="24"/>
          <w:u w:val="single"/>
        </w:rPr>
        <w:t>。</w:t>
      </w:r>
    </w:p>
    <w:p w14:paraId="62BEE335">
      <w:pPr>
        <w:pStyle w:val="10"/>
        <w:spacing w:after="0" w:line="360" w:lineRule="auto"/>
        <w:ind w:firstLine="480" w:firstLineChars="200"/>
        <w:rPr>
          <w:rFonts w:ascii="仿宋_GB2312" w:eastAsia="仿宋_GB2312" w:hAnsiTheme="minorEastAsia" w:cstheme="minorEastAsia"/>
          <w:kern w:val="2"/>
          <w:sz w:val="24"/>
          <w:szCs w:val="24"/>
        </w:rPr>
      </w:pPr>
      <w:r>
        <w:rPr>
          <w:rFonts w:hint="eastAsia" w:ascii="仿宋_GB2312" w:eastAsia="仿宋_GB2312" w:hAnsiTheme="minorEastAsia" w:cstheme="minorEastAsia"/>
          <w:kern w:val="2"/>
          <w:sz w:val="24"/>
          <w:szCs w:val="24"/>
        </w:rPr>
        <w:t>1.5</w:t>
      </w:r>
      <w:r>
        <w:rPr>
          <w:rFonts w:ascii="仿宋_GB2312" w:eastAsia="仿宋_GB2312" w:hAnsiTheme="minorEastAsia" w:cstheme="minorEastAsia"/>
          <w:kern w:val="2"/>
          <w:sz w:val="24"/>
          <w:szCs w:val="24"/>
        </w:rPr>
        <w:t xml:space="preserve"> </w:t>
      </w:r>
      <w:r>
        <w:rPr>
          <w:rFonts w:hint="eastAsia" w:ascii="仿宋_GB2312" w:eastAsia="仿宋_GB2312" w:hAnsiTheme="minorEastAsia" w:cstheme="minorEastAsia"/>
          <w:kern w:val="2"/>
          <w:sz w:val="24"/>
          <w:szCs w:val="24"/>
        </w:rPr>
        <w:t>安装调试时长：</w:t>
      </w:r>
      <w:r>
        <w:rPr>
          <w:rFonts w:ascii="仿宋_GB2312" w:eastAsia="仿宋_GB2312" w:hAnsiTheme="minorEastAsia" w:cstheme="minorEastAsia"/>
          <w:kern w:val="2"/>
          <w:sz w:val="24"/>
          <w:szCs w:val="24"/>
        </w:rPr>
        <w:t>卖方须在到货后</w:t>
      </w:r>
      <w:permStart w:id="14" w:edGrp="everyone"/>
      <w:r>
        <w:rPr>
          <w:rFonts w:hint="eastAsia" w:ascii="仿宋_GB2312" w:eastAsia="仿宋_GB2312" w:hAnsiTheme="minorEastAsia" w:cstheme="minorEastAsia"/>
          <w:b/>
          <w:bCs/>
          <w:sz w:val="24"/>
          <w:szCs w:val="24"/>
          <w:u w:val="single"/>
        </w:rPr>
        <w:t>填写时长，单位“日历日”。存在分批次安装调试情形的，填写“详见特殊条款约定”，须于专用条款第4条特殊约定条款特别约定</w:t>
      </w:r>
      <w:permEnd w:id="14"/>
      <w:r>
        <w:rPr>
          <w:rFonts w:hint="eastAsia" w:ascii="仿宋_GB2312" w:eastAsia="仿宋_GB2312" w:hAnsiTheme="minorEastAsia" w:cstheme="minorEastAsia"/>
          <w:sz w:val="24"/>
          <w:szCs w:val="24"/>
        </w:rPr>
        <w:t>个日历日</w:t>
      </w:r>
      <w:r>
        <w:rPr>
          <w:rFonts w:hint="eastAsia" w:ascii="仿宋_GB2312" w:eastAsia="仿宋_GB2312" w:hAnsiTheme="minorEastAsia" w:cstheme="minorEastAsia"/>
          <w:kern w:val="2"/>
          <w:sz w:val="24"/>
          <w:szCs w:val="24"/>
        </w:rPr>
        <w:t>内完成设备安装，安装完成后</w:t>
      </w:r>
      <w:permStart w:id="15" w:edGrp="everyone"/>
      <w:r>
        <w:rPr>
          <w:rFonts w:hint="eastAsia" w:ascii="仿宋_GB2312" w:eastAsia="仿宋_GB2312" w:hAnsiTheme="minorEastAsia" w:cstheme="minorEastAsia"/>
          <w:b/>
          <w:bCs/>
          <w:sz w:val="24"/>
          <w:szCs w:val="24"/>
          <w:u w:val="single"/>
        </w:rPr>
        <w:t>填写时长，单位“日历日”。存在分批次调试情形的，填写“详见特殊条款约定”，须于专用条款第4条特殊约定条款特别约定</w:t>
      </w:r>
      <w:permEnd w:id="15"/>
      <w:r>
        <w:rPr>
          <w:rFonts w:hint="eastAsia" w:ascii="仿宋_GB2312" w:eastAsia="仿宋_GB2312" w:hAnsiTheme="minorEastAsia" w:cstheme="minorEastAsia"/>
          <w:kern w:val="2"/>
          <w:sz w:val="24"/>
          <w:szCs w:val="24"/>
        </w:rPr>
        <w:t>日历日内完成设备调试。</w:t>
      </w:r>
    </w:p>
    <w:p w14:paraId="67CF9EB1">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1.6调试消耗产品数量：</w:t>
      </w:r>
      <w:r>
        <w:rPr>
          <w:rFonts w:ascii="仿宋_GB2312" w:eastAsia="仿宋_GB2312" w:hAnsiTheme="minorEastAsia" w:cstheme="minorEastAsia"/>
          <w:sz w:val="24"/>
          <w:szCs w:val="24"/>
        </w:rPr>
        <w:t>若设备安装、调试过程中需使用买方产品的，买方提供调试所用产品数量</w:t>
      </w:r>
      <w:permStart w:id="16" w:edGrp="everyone"/>
      <w:r>
        <w:rPr>
          <w:rFonts w:hint="eastAsia" w:ascii="仿宋_GB2312" w:eastAsia="仿宋_GB2312" w:hAnsiTheme="minorEastAsia" w:cstheme="minorEastAsia"/>
          <w:b/>
          <w:bCs/>
          <w:sz w:val="24"/>
          <w:szCs w:val="24"/>
          <w:u w:val="single"/>
        </w:rPr>
        <w:t>甲方提供调试产品的件数，不需要的，此处填写“0”</w:t>
      </w:r>
      <w:permEnd w:id="16"/>
      <w:r>
        <w:rPr>
          <w:rFonts w:ascii="仿宋_GB2312" w:eastAsia="仿宋_GB2312" w:hAnsiTheme="minorEastAsia" w:cstheme="minorEastAsia"/>
          <w:sz w:val="24"/>
          <w:szCs w:val="24"/>
        </w:rPr>
        <w:t>件，超出此数量部分由卖方提供，由此产生的相关费用由卖方承担。</w:t>
      </w:r>
    </w:p>
    <w:p w14:paraId="0262A10D">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1.7设备质量保证期：自最终验收报告签署之日（存在分批次到货安装调试情形的，以验收报告签署日期最晚者为准）起</w:t>
      </w:r>
      <w:permStart w:id="17" w:edGrp="everyone"/>
      <w:r>
        <w:rPr>
          <w:rFonts w:hint="eastAsia" w:ascii="仿宋_GB2312" w:eastAsia="仿宋_GB2312" w:hAnsiTheme="minorEastAsia" w:cstheme="minorEastAsia"/>
          <w:b/>
          <w:bCs/>
          <w:sz w:val="24"/>
          <w:szCs w:val="24"/>
          <w:u w:val="single"/>
        </w:rPr>
        <w:t>卖方承诺的质保期月数。存在分批次设备质保期约定分批次到期情形的，填写“详见特殊条款约定”，须于专用条款第4条特殊约定条款特别约定</w:t>
      </w:r>
      <w:permEnd w:id="17"/>
      <w:r>
        <w:rPr>
          <w:rFonts w:hint="eastAsia" w:ascii="仿宋_GB2312" w:eastAsia="仿宋_GB2312" w:hAnsiTheme="minorEastAsia" w:cstheme="minorEastAsia"/>
          <w:sz w:val="24"/>
          <w:szCs w:val="24"/>
        </w:rPr>
        <w:t>个月</w:t>
      </w:r>
      <w:r>
        <w:rPr>
          <w:rFonts w:hint="eastAsia" w:ascii="仿宋_GB2312" w:hAnsi="黑体" w:eastAsia="仿宋_GB2312" w:cstheme="minorEastAsia"/>
          <w:sz w:val="24"/>
          <w:szCs w:val="24"/>
        </w:rPr>
        <w:t>。</w:t>
      </w:r>
    </w:p>
    <w:p w14:paraId="4852246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2.结算付款约定</w:t>
      </w:r>
    </w:p>
    <w:p w14:paraId="1B4A6637">
      <w:pPr>
        <w:spacing w:line="360" w:lineRule="auto"/>
        <w:ind w:firstLine="480" w:firstLineChars="200"/>
        <w:rPr>
          <w:rFonts w:ascii="仿宋_GB2312" w:hAnsi="黑体" w:eastAsia="仿宋_GB2312" w:cstheme="minorEastAsia"/>
          <w:b/>
          <w:bCs/>
          <w:sz w:val="24"/>
          <w:szCs w:val="24"/>
          <w:u w:val="single"/>
        </w:rPr>
      </w:pPr>
      <w:r>
        <w:rPr>
          <w:rFonts w:hint="eastAsia" w:ascii="仿宋_GB2312" w:hAnsi="黑体" w:eastAsia="仿宋_GB2312" w:cstheme="minorEastAsia"/>
          <w:sz w:val="24"/>
          <w:szCs w:val="24"/>
        </w:rPr>
        <w:t>2.1结算方式：</w:t>
      </w:r>
      <w:permStart w:id="18" w:edGrp="everyone"/>
      <w:r>
        <w:rPr>
          <w:rFonts w:hint="eastAsia" w:ascii="仿宋_GB2312" w:hAnsi="黑体" w:eastAsia="仿宋_GB2312" w:cstheme="minorEastAsia"/>
          <w:b/>
          <w:bCs/>
          <w:sz w:val="24"/>
          <w:szCs w:val="24"/>
          <w:u w:val="single"/>
        </w:rPr>
        <w:t>填写“</w:t>
      </w:r>
      <w:r>
        <w:rPr>
          <w:rFonts w:hint="eastAsia" w:ascii="仿宋_GB2312" w:hAnsi="宋体" w:eastAsia="仿宋_GB2312"/>
          <w:b/>
          <w:bCs/>
          <w:sz w:val="24"/>
          <w:szCs w:val="24"/>
          <w:u w:val="single"/>
        </w:rPr>
        <w:t>半年期商业汇票（包括银行承兑汇票和商业承兑汇票）</w:t>
      </w:r>
      <w:r>
        <w:rPr>
          <w:rFonts w:hint="eastAsia" w:ascii="仿宋_GB2312" w:hAnsi="黑体" w:eastAsia="仿宋_GB2312" w:cstheme="minorEastAsia"/>
          <w:b/>
          <w:bCs/>
          <w:sz w:val="24"/>
          <w:szCs w:val="24"/>
          <w:u w:val="single"/>
        </w:rPr>
        <w:t>”</w:t>
      </w:r>
      <w:r>
        <w:rPr>
          <w:rFonts w:hint="eastAsia" w:ascii="仿宋_GB2312" w:hAnsi="宋体" w:eastAsia="仿宋_GB2312"/>
          <w:b/>
          <w:bCs/>
          <w:sz w:val="24"/>
          <w:szCs w:val="24"/>
          <w:u w:val="single"/>
        </w:rPr>
        <w:t>“转账”“财司内转”三种方式</w:t>
      </w:r>
      <w:r>
        <w:rPr>
          <w:rFonts w:hint="eastAsia" w:ascii="仿宋_GB2312" w:hAnsi="黑体" w:eastAsia="仿宋_GB2312" w:cstheme="minorEastAsia"/>
          <w:b/>
          <w:bCs/>
          <w:sz w:val="24"/>
          <w:szCs w:val="24"/>
          <w:u w:val="single"/>
        </w:rPr>
        <w:t>任一种</w:t>
      </w:r>
      <w:permEnd w:id="18"/>
      <w:r>
        <w:rPr>
          <w:rFonts w:hint="eastAsia" w:ascii="仿宋_GB2312" w:hAnsi="黑体" w:eastAsia="仿宋_GB2312" w:cstheme="minorEastAsia"/>
          <w:b/>
          <w:bCs/>
          <w:sz w:val="24"/>
          <w:szCs w:val="24"/>
          <w:u w:val="single"/>
        </w:rPr>
        <w:t>。</w:t>
      </w:r>
    </w:p>
    <w:p w14:paraId="3F54BE6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2.2结算币种：本合同使用</w:t>
      </w:r>
      <w:permStart w:id="19" w:edGrp="everyone"/>
      <w:r>
        <w:rPr>
          <w:rFonts w:hint="eastAsia" w:ascii="仿宋_GB2312" w:hAnsi="仿宋_GB2312" w:eastAsia="仿宋_GB2312" w:cs="仿宋_GB2312"/>
          <w:b/>
          <w:bCs/>
          <w:sz w:val="24"/>
          <w:szCs w:val="24"/>
          <w:u w:val="single"/>
        </w:rPr>
        <w:t>币种</w:t>
      </w:r>
      <w:permEnd w:id="19"/>
      <w:r>
        <w:rPr>
          <w:rFonts w:hint="eastAsia" w:ascii="仿宋_GB2312" w:hAnsi="仿宋_GB2312" w:eastAsia="仿宋_GB2312" w:cs="仿宋_GB2312"/>
          <w:sz w:val="24"/>
          <w:szCs w:val="24"/>
        </w:rPr>
        <w:t>进行结算。</w:t>
      </w:r>
    </w:p>
    <w:p w14:paraId="4EF47A71">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2.3合同价款支付：</w:t>
      </w:r>
    </w:p>
    <w:p w14:paraId="05A9B29B">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2.3.1</w:t>
      </w:r>
      <w:permStart w:id="20" w:edGrp="everyone"/>
      <w:r>
        <w:rPr>
          <w:rFonts w:hint="eastAsia" w:ascii="仿宋_GB2312" w:hAnsi="黑体" w:eastAsia="仿宋_GB2312" w:cstheme="minorEastAsia"/>
          <w:b/>
          <w:bCs/>
          <w:sz w:val="24"/>
          <w:szCs w:val="24"/>
          <w:u w:val="single"/>
        </w:rPr>
        <w:t>填写第一笔付款的满足要件，如“设备全部到齐无质量问题”。若存在价款支付的发票及财务审核条件与本条格式条款存有变动调整的，须在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0"/>
      <w:r>
        <w:rPr>
          <w:rFonts w:hint="eastAsia" w:ascii="仿宋_GB2312" w:hAnsi="黑体" w:eastAsia="仿宋_GB2312" w:cstheme="minorEastAsia"/>
          <w:sz w:val="24"/>
          <w:szCs w:val="24"/>
        </w:rPr>
        <w:t>, 买方收到相应金额的增值税专用发票及完整报账材料后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1" w:edGrp="everyone"/>
      <w:r>
        <w:rPr>
          <w:rFonts w:hint="eastAsia" w:ascii="仿宋_GB2312" w:hAnsi="黑体" w:eastAsia="仿宋_GB2312" w:cstheme="minorEastAsia"/>
          <w:b/>
          <w:bCs/>
          <w:sz w:val="24"/>
          <w:szCs w:val="24"/>
          <w:u w:val="single"/>
        </w:rPr>
        <w:t>第一笔付款的比例，数值</w:t>
      </w:r>
      <w:permEnd w:id="21"/>
      <w:r>
        <w:rPr>
          <w:rFonts w:hint="eastAsia" w:ascii="仿宋_GB2312" w:hAnsi="黑体" w:eastAsia="仿宋_GB2312" w:cstheme="minorEastAsia"/>
          <w:sz w:val="24"/>
          <w:szCs w:val="24"/>
        </w:rPr>
        <w:t>%即</w:t>
      </w:r>
      <w:permStart w:id="22" w:edGrp="everyone"/>
      <w:r>
        <w:rPr>
          <w:rFonts w:hint="eastAsia" w:ascii="仿宋_GB2312" w:hAnsi="黑体" w:eastAsia="仿宋_GB2312" w:cstheme="minorEastAsia"/>
          <w:b/>
          <w:bCs/>
          <w:sz w:val="24"/>
          <w:szCs w:val="24"/>
          <w:u w:val="single"/>
        </w:rPr>
        <w:t>第一笔付款金额</w:t>
      </w:r>
      <w:permEnd w:id="22"/>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4A7CCC5">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2.3.3</w:t>
      </w:r>
      <w:permStart w:id="23" w:edGrp="everyone"/>
      <w:r>
        <w:rPr>
          <w:rFonts w:hint="eastAsia" w:ascii="仿宋_GB2312" w:hAnsi="黑体" w:eastAsia="仿宋_GB2312" w:cstheme="minorEastAsia"/>
          <w:b/>
          <w:bCs/>
          <w:sz w:val="24"/>
          <w:szCs w:val="24"/>
          <w:u w:val="single"/>
        </w:rPr>
        <w:t>填写第二笔付款的满足要件，如“设备全部到齐无质量问题，经安装、调试最终验收合格后”。若存在价款支付的发票及财务审核条件与本条格式条款存有变动调整的，须在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3"/>
      <w:r>
        <w:rPr>
          <w:rFonts w:hint="eastAsia" w:ascii="仿宋_GB2312" w:hAnsi="黑体" w:eastAsia="仿宋_GB2312" w:cstheme="minorEastAsia"/>
          <w:sz w:val="24"/>
          <w:szCs w:val="24"/>
        </w:rPr>
        <w:t>，买方收到合同全额增值税专用发票及完整报账材料后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4" w:edGrp="everyone"/>
      <w:r>
        <w:rPr>
          <w:rFonts w:hint="eastAsia" w:ascii="仿宋_GB2312" w:hAnsi="黑体" w:eastAsia="仿宋_GB2312" w:cstheme="minorEastAsia"/>
          <w:b/>
          <w:bCs/>
          <w:sz w:val="24"/>
          <w:szCs w:val="24"/>
          <w:u w:val="single"/>
        </w:rPr>
        <w:t>第二笔付款的比例，数值</w:t>
      </w:r>
      <w:permEnd w:id="24"/>
      <w:r>
        <w:rPr>
          <w:rFonts w:hint="eastAsia" w:ascii="仿宋_GB2312" w:hAnsi="黑体" w:eastAsia="仿宋_GB2312" w:cstheme="minorEastAsia"/>
          <w:sz w:val="24"/>
          <w:szCs w:val="24"/>
        </w:rPr>
        <w:t>%即</w:t>
      </w:r>
      <w:permStart w:id="25" w:edGrp="everyone"/>
      <w:r>
        <w:rPr>
          <w:rFonts w:hint="eastAsia" w:ascii="仿宋_GB2312" w:hAnsi="黑体" w:eastAsia="仿宋_GB2312" w:cstheme="minorEastAsia"/>
          <w:b/>
          <w:bCs/>
          <w:sz w:val="24"/>
          <w:szCs w:val="24"/>
          <w:u w:val="single"/>
        </w:rPr>
        <w:t>第二笔付款金额</w:t>
      </w:r>
      <w:permEnd w:id="25"/>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30A86DA">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2.3.4合同含税总价款的</w:t>
      </w:r>
      <w:permStart w:id="26" w:edGrp="everyone"/>
      <w:r>
        <w:rPr>
          <w:rFonts w:hint="eastAsia" w:ascii="仿宋_GB2312" w:hAnsi="黑体" w:eastAsia="仿宋_GB2312" w:cstheme="minorEastAsia"/>
          <w:b/>
          <w:bCs/>
          <w:sz w:val="24"/>
          <w:szCs w:val="24"/>
          <w:u w:val="single"/>
        </w:rPr>
        <w:t>第三笔付款的比例，数值</w:t>
      </w:r>
      <w:permEnd w:id="26"/>
      <w:r>
        <w:rPr>
          <w:rFonts w:hint="eastAsia" w:ascii="仿宋_GB2312" w:hAnsi="黑体" w:eastAsia="仿宋_GB2312" w:cstheme="minorEastAsia"/>
          <w:sz w:val="24"/>
          <w:szCs w:val="24"/>
        </w:rPr>
        <w:t>%即</w:t>
      </w:r>
      <w:permStart w:id="27" w:edGrp="everyone"/>
      <w:r>
        <w:rPr>
          <w:rFonts w:hint="eastAsia" w:ascii="仿宋_GB2312" w:hAnsi="黑体" w:eastAsia="仿宋_GB2312" w:cstheme="minorEastAsia"/>
          <w:b/>
          <w:bCs/>
          <w:sz w:val="24"/>
          <w:szCs w:val="24"/>
          <w:u w:val="single"/>
        </w:rPr>
        <w:t>第三笔付款金额</w:t>
      </w:r>
      <w:permEnd w:id="27"/>
      <w:r>
        <w:rPr>
          <w:rFonts w:hint="eastAsia" w:ascii="仿宋_GB2312" w:hAnsi="黑体" w:eastAsia="仿宋_GB2312" w:cstheme="minorEastAsia"/>
          <w:sz w:val="24"/>
          <w:szCs w:val="24"/>
        </w:rPr>
        <w:t>元作为本合同约定设备的质量保证金，质量保证金在质量保证期内不计利息。待合同设备终验收合格后【</w:t>
      </w:r>
      <w:r>
        <w:rPr>
          <w:rFonts w:hint="eastAsia" w:ascii="仿宋_GB2312" w:hAnsi="黑体" w:eastAsia="仿宋_GB2312" w:cstheme="minorEastAsia"/>
          <w:b/>
          <w:bCs/>
          <w:sz w:val="24"/>
          <w:szCs w:val="24"/>
          <w:u w:val="single"/>
        </w:rPr>
        <w:t>按月数填写支付质量保证金的时长</w:t>
      </w:r>
      <w:r>
        <w:rPr>
          <w:rFonts w:hint="eastAsia" w:ascii="仿宋_GB2312" w:hAnsi="黑体" w:eastAsia="仿宋_GB2312" w:cstheme="minorEastAsia"/>
          <w:sz w:val="24"/>
          <w:szCs w:val="24"/>
        </w:rPr>
        <w:t>】个月，卖方向买方提交质量保证金的收款凭证及设备使用单位的使用情况说明，经买方财务审核无误后支付，</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。如有质量问题，质量保证金予以相应扣除。</w:t>
      </w:r>
    </w:p>
    <w:p w14:paraId="1176981A">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2.4甲乙双方基本信息</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3"/>
        <w:gridCol w:w="3599"/>
        <w:gridCol w:w="3599"/>
      </w:tblGrid>
      <w:tr w14:paraId="5CD14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4FEBFA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信息名目</w:t>
            </w:r>
          </w:p>
        </w:tc>
        <w:tc>
          <w:tcPr>
            <w:tcW w:w="3690" w:type="dxa"/>
            <w:vAlign w:val="bottom"/>
          </w:tcPr>
          <w:p w14:paraId="0BEE5D0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甲方基本信息</w:t>
            </w:r>
          </w:p>
        </w:tc>
        <w:tc>
          <w:tcPr>
            <w:tcW w:w="3690" w:type="dxa"/>
            <w:vAlign w:val="bottom"/>
          </w:tcPr>
          <w:p w14:paraId="7EFC6C0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乙方基本信息</w:t>
            </w:r>
          </w:p>
        </w:tc>
      </w:tr>
      <w:tr w14:paraId="46FC2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47BE07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企业名称</w:t>
            </w:r>
          </w:p>
        </w:tc>
        <w:tc>
          <w:tcPr>
            <w:tcW w:w="3690" w:type="dxa"/>
            <w:vAlign w:val="bottom"/>
          </w:tcPr>
          <w:p w14:paraId="1D3F85BE">
            <w:pPr>
              <w:spacing w:after="200" w:line="360" w:lineRule="auto"/>
              <w:jc w:val="center"/>
              <w:rPr>
                <w:rFonts w:ascii="仿宋_GB2312" w:hAnsi="仿宋_GB2312" w:eastAsia="仿宋_GB2312" w:cs="仿宋_GB2312"/>
                <w:w w:val="90"/>
                <w:sz w:val="24"/>
                <w:szCs w:val="24"/>
              </w:rPr>
            </w:pPr>
            <w:permStart w:id="28" w:edGrp="everyone"/>
            <w:r>
              <w:rPr>
                <w:rFonts w:hint="eastAsia" w:ascii="仿宋_GB2312" w:hAnsi="仿宋_GB2312" w:eastAsia="仿宋_GB2312" w:cs="仿宋_GB2312"/>
                <w:b/>
                <w:bCs/>
                <w:w w:val="90"/>
                <w:sz w:val="24"/>
                <w:szCs w:val="24"/>
                <w:u w:val="single"/>
              </w:rPr>
              <w:t>甲方单位全称</w:t>
            </w:r>
            <w:permEnd w:id="28"/>
          </w:p>
        </w:tc>
        <w:tc>
          <w:tcPr>
            <w:tcW w:w="3690" w:type="dxa"/>
            <w:vAlign w:val="bottom"/>
          </w:tcPr>
          <w:p w14:paraId="5507C778">
            <w:pPr>
              <w:spacing w:after="200" w:line="360" w:lineRule="auto"/>
              <w:jc w:val="center"/>
              <w:rPr>
                <w:rFonts w:ascii="仿宋_GB2312" w:hAnsi="仿宋_GB2312" w:eastAsia="仿宋_GB2312" w:cs="仿宋_GB2312"/>
                <w:w w:val="90"/>
                <w:sz w:val="24"/>
                <w:szCs w:val="24"/>
              </w:rPr>
            </w:pPr>
            <w:permStart w:id="29" w:edGrp="everyone"/>
            <w:r>
              <w:rPr>
                <w:rFonts w:hint="eastAsia" w:ascii="仿宋_GB2312" w:hAnsi="仿宋_GB2312" w:eastAsia="仿宋_GB2312" w:cs="仿宋_GB2312"/>
                <w:b/>
                <w:bCs/>
                <w:w w:val="90"/>
                <w:sz w:val="24"/>
                <w:szCs w:val="24"/>
                <w:u w:val="single"/>
              </w:rPr>
              <w:t>乙方单位全称</w:t>
            </w:r>
            <w:permEnd w:id="29"/>
          </w:p>
        </w:tc>
      </w:tr>
      <w:tr w14:paraId="35EFF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77177B2">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注册地址</w:t>
            </w:r>
          </w:p>
        </w:tc>
        <w:tc>
          <w:tcPr>
            <w:tcW w:w="3690" w:type="dxa"/>
            <w:vAlign w:val="bottom"/>
          </w:tcPr>
          <w:p w14:paraId="6517FA37">
            <w:pPr>
              <w:spacing w:after="200" w:line="360" w:lineRule="auto"/>
              <w:jc w:val="center"/>
              <w:rPr>
                <w:rFonts w:ascii="仿宋_GB2312" w:hAnsi="仿宋_GB2312" w:eastAsia="仿宋_GB2312" w:cs="仿宋_GB2312"/>
                <w:w w:val="90"/>
                <w:sz w:val="24"/>
                <w:szCs w:val="24"/>
              </w:rPr>
            </w:pPr>
            <w:permStart w:id="30" w:edGrp="everyone"/>
            <w:r>
              <w:rPr>
                <w:rFonts w:hint="eastAsia" w:ascii="仿宋_GB2312" w:hAnsi="仿宋_GB2312" w:eastAsia="仿宋_GB2312" w:cs="仿宋_GB2312"/>
                <w:b/>
                <w:bCs/>
                <w:w w:val="90"/>
                <w:sz w:val="24"/>
                <w:szCs w:val="24"/>
                <w:u w:val="single"/>
              </w:rPr>
              <w:t>甲方注册地址，营业执照住所地</w:t>
            </w:r>
            <w:permEnd w:id="30"/>
          </w:p>
        </w:tc>
        <w:tc>
          <w:tcPr>
            <w:tcW w:w="3690" w:type="dxa"/>
            <w:vAlign w:val="bottom"/>
          </w:tcPr>
          <w:p w14:paraId="7A7407A9">
            <w:pPr>
              <w:spacing w:after="200" w:line="360" w:lineRule="auto"/>
              <w:jc w:val="center"/>
              <w:rPr>
                <w:rFonts w:ascii="仿宋_GB2312" w:hAnsi="仿宋_GB2312" w:eastAsia="仿宋_GB2312" w:cs="仿宋_GB2312"/>
                <w:w w:val="90"/>
                <w:sz w:val="24"/>
                <w:szCs w:val="24"/>
              </w:rPr>
            </w:pPr>
            <w:permStart w:id="31" w:edGrp="everyone"/>
            <w:r>
              <w:rPr>
                <w:rFonts w:hint="eastAsia" w:ascii="仿宋_GB2312" w:hAnsi="仿宋_GB2312" w:eastAsia="仿宋_GB2312" w:cs="仿宋_GB2312"/>
                <w:b/>
                <w:bCs/>
                <w:w w:val="90"/>
                <w:sz w:val="24"/>
                <w:szCs w:val="24"/>
                <w:u w:val="single"/>
              </w:rPr>
              <w:t>乙方注册地址，营业执照住所地</w:t>
            </w:r>
            <w:permEnd w:id="31"/>
          </w:p>
        </w:tc>
      </w:tr>
      <w:tr w14:paraId="01E3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BBC3B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通讯地址</w:t>
            </w:r>
          </w:p>
        </w:tc>
        <w:tc>
          <w:tcPr>
            <w:tcW w:w="3690" w:type="dxa"/>
            <w:vAlign w:val="bottom"/>
          </w:tcPr>
          <w:p w14:paraId="2E9402DE">
            <w:pPr>
              <w:spacing w:after="200" w:line="360" w:lineRule="auto"/>
              <w:jc w:val="center"/>
              <w:rPr>
                <w:rFonts w:ascii="仿宋_GB2312" w:hAnsi="仿宋_GB2312" w:eastAsia="仿宋_GB2312" w:cs="仿宋_GB2312"/>
                <w:w w:val="90"/>
                <w:sz w:val="24"/>
                <w:szCs w:val="24"/>
              </w:rPr>
            </w:pPr>
            <w:permStart w:id="32" w:edGrp="everyone"/>
            <w:r>
              <w:rPr>
                <w:rFonts w:hint="eastAsia" w:ascii="仿宋_GB2312" w:hAnsi="仿宋_GB2312" w:eastAsia="仿宋_GB2312" w:cs="仿宋_GB2312"/>
                <w:b/>
                <w:bCs/>
                <w:w w:val="90"/>
                <w:sz w:val="24"/>
                <w:szCs w:val="24"/>
                <w:u w:val="single"/>
              </w:rPr>
              <w:t>甲方通讯地址，实际联系地址</w:t>
            </w:r>
            <w:permEnd w:id="32"/>
          </w:p>
        </w:tc>
        <w:tc>
          <w:tcPr>
            <w:tcW w:w="3690" w:type="dxa"/>
            <w:vAlign w:val="bottom"/>
          </w:tcPr>
          <w:p w14:paraId="4254E81F">
            <w:pPr>
              <w:spacing w:after="200" w:line="360" w:lineRule="auto"/>
              <w:jc w:val="center"/>
              <w:rPr>
                <w:rFonts w:ascii="仿宋_GB2312" w:hAnsi="仿宋_GB2312" w:eastAsia="仿宋_GB2312" w:cs="仿宋_GB2312"/>
                <w:w w:val="90"/>
                <w:sz w:val="24"/>
                <w:szCs w:val="24"/>
              </w:rPr>
            </w:pPr>
            <w:permStart w:id="33" w:edGrp="everyone"/>
            <w:r>
              <w:rPr>
                <w:rFonts w:hint="eastAsia" w:ascii="仿宋_GB2312" w:hAnsi="仿宋_GB2312" w:eastAsia="仿宋_GB2312" w:cs="仿宋_GB2312"/>
                <w:b/>
                <w:bCs/>
                <w:w w:val="90"/>
                <w:sz w:val="24"/>
                <w:szCs w:val="24"/>
                <w:u w:val="single"/>
              </w:rPr>
              <w:t>乙方通讯地址，实际联系地址</w:t>
            </w:r>
            <w:permEnd w:id="33"/>
          </w:p>
        </w:tc>
      </w:tr>
      <w:tr w14:paraId="4723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37635BB">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法定代表人</w:t>
            </w:r>
          </w:p>
        </w:tc>
        <w:tc>
          <w:tcPr>
            <w:tcW w:w="3690" w:type="dxa"/>
            <w:vAlign w:val="bottom"/>
          </w:tcPr>
          <w:p w14:paraId="03B732DB">
            <w:pPr>
              <w:spacing w:after="200" w:line="360" w:lineRule="auto"/>
              <w:jc w:val="center"/>
              <w:rPr>
                <w:rFonts w:ascii="仿宋_GB2312" w:hAnsi="仿宋_GB2312" w:eastAsia="仿宋_GB2312" w:cs="仿宋_GB2312"/>
                <w:w w:val="90"/>
                <w:sz w:val="24"/>
                <w:szCs w:val="24"/>
              </w:rPr>
            </w:pPr>
            <w:permStart w:id="34" w:edGrp="everyone"/>
            <w:r>
              <w:rPr>
                <w:rFonts w:hint="eastAsia" w:ascii="仿宋_GB2312" w:hAnsi="仿宋_GB2312" w:eastAsia="仿宋_GB2312" w:cs="仿宋_GB2312"/>
                <w:b/>
                <w:bCs/>
                <w:w w:val="90"/>
                <w:sz w:val="24"/>
                <w:szCs w:val="24"/>
                <w:u w:val="single"/>
              </w:rPr>
              <w:t>甲方法定代表人姓名</w:t>
            </w:r>
            <w:permEnd w:id="34"/>
          </w:p>
        </w:tc>
        <w:tc>
          <w:tcPr>
            <w:tcW w:w="3690" w:type="dxa"/>
            <w:vAlign w:val="bottom"/>
          </w:tcPr>
          <w:p w14:paraId="733AC005">
            <w:pPr>
              <w:spacing w:after="200" w:line="360" w:lineRule="auto"/>
              <w:jc w:val="center"/>
              <w:rPr>
                <w:rFonts w:ascii="仿宋_GB2312" w:hAnsi="仿宋_GB2312" w:eastAsia="仿宋_GB2312" w:cs="仿宋_GB2312"/>
                <w:w w:val="90"/>
                <w:sz w:val="24"/>
                <w:szCs w:val="24"/>
              </w:rPr>
            </w:pPr>
            <w:permStart w:id="35" w:edGrp="everyone"/>
            <w:r>
              <w:rPr>
                <w:rFonts w:hint="eastAsia" w:ascii="仿宋_GB2312" w:hAnsi="仿宋_GB2312" w:eastAsia="仿宋_GB2312" w:cs="仿宋_GB2312"/>
                <w:b/>
                <w:bCs/>
                <w:w w:val="90"/>
                <w:sz w:val="24"/>
                <w:szCs w:val="24"/>
                <w:u w:val="single"/>
              </w:rPr>
              <w:t>乙方法定代表人姓名</w:t>
            </w:r>
            <w:permEnd w:id="35"/>
          </w:p>
        </w:tc>
      </w:tr>
      <w:tr w14:paraId="1D1B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36488DF">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授权代表</w:t>
            </w:r>
          </w:p>
        </w:tc>
        <w:tc>
          <w:tcPr>
            <w:tcW w:w="3690" w:type="dxa"/>
            <w:vAlign w:val="bottom"/>
          </w:tcPr>
          <w:p w14:paraId="712937C3">
            <w:pPr>
              <w:spacing w:after="200" w:line="360" w:lineRule="auto"/>
              <w:jc w:val="center"/>
              <w:rPr>
                <w:rFonts w:ascii="仿宋_GB2312" w:hAnsi="仿宋_GB2312" w:eastAsia="仿宋_GB2312" w:cs="仿宋_GB2312"/>
                <w:w w:val="90"/>
                <w:sz w:val="24"/>
                <w:szCs w:val="24"/>
              </w:rPr>
            </w:pPr>
            <w:permStart w:id="36" w:edGrp="everyone"/>
            <w:r>
              <w:rPr>
                <w:rFonts w:hint="eastAsia" w:ascii="仿宋_GB2312" w:hAnsi="仿宋_GB2312" w:eastAsia="仿宋_GB2312" w:cs="仿宋_GB2312"/>
                <w:b/>
                <w:bCs/>
                <w:w w:val="90"/>
                <w:sz w:val="24"/>
                <w:szCs w:val="24"/>
                <w:u w:val="single"/>
              </w:rPr>
              <w:t>甲方授权代表姓名</w:t>
            </w:r>
            <w:permEnd w:id="36"/>
          </w:p>
        </w:tc>
        <w:tc>
          <w:tcPr>
            <w:tcW w:w="3690" w:type="dxa"/>
            <w:vAlign w:val="bottom"/>
          </w:tcPr>
          <w:p w14:paraId="1414EC29">
            <w:pPr>
              <w:spacing w:after="200" w:line="360" w:lineRule="auto"/>
              <w:jc w:val="center"/>
              <w:rPr>
                <w:rFonts w:ascii="仿宋_GB2312" w:hAnsi="仿宋_GB2312" w:eastAsia="仿宋_GB2312" w:cs="仿宋_GB2312"/>
                <w:w w:val="90"/>
                <w:sz w:val="24"/>
                <w:szCs w:val="24"/>
              </w:rPr>
            </w:pPr>
            <w:permStart w:id="37" w:edGrp="everyone"/>
            <w:r>
              <w:rPr>
                <w:rFonts w:hint="eastAsia" w:ascii="仿宋_GB2312" w:hAnsi="仿宋_GB2312" w:eastAsia="仿宋_GB2312" w:cs="仿宋_GB2312"/>
                <w:b/>
                <w:bCs/>
                <w:w w:val="90"/>
                <w:sz w:val="24"/>
                <w:szCs w:val="24"/>
                <w:u w:val="single"/>
              </w:rPr>
              <w:t>乙方授权代表姓名</w:t>
            </w:r>
            <w:permEnd w:id="37"/>
          </w:p>
        </w:tc>
      </w:tr>
      <w:tr w14:paraId="789F2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8AEF157">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联系电话</w:t>
            </w:r>
          </w:p>
        </w:tc>
        <w:tc>
          <w:tcPr>
            <w:tcW w:w="3690" w:type="dxa"/>
            <w:vAlign w:val="bottom"/>
          </w:tcPr>
          <w:p w14:paraId="34838C17">
            <w:pPr>
              <w:spacing w:after="200" w:line="360" w:lineRule="auto"/>
              <w:jc w:val="center"/>
              <w:rPr>
                <w:rFonts w:ascii="仿宋_GB2312" w:hAnsi="仿宋_GB2312" w:eastAsia="仿宋_GB2312" w:cs="仿宋_GB2312"/>
                <w:w w:val="90"/>
                <w:sz w:val="24"/>
                <w:szCs w:val="24"/>
              </w:rPr>
            </w:pPr>
            <w:permStart w:id="38" w:edGrp="everyone"/>
            <w:r>
              <w:rPr>
                <w:rFonts w:hint="eastAsia" w:ascii="仿宋_GB2312" w:hAnsi="仿宋_GB2312" w:eastAsia="仿宋_GB2312" w:cs="仿宋_GB2312"/>
                <w:b/>
                <w:bCs/>
                <w:w w:val="90"/>
                <w:sz w:val="24"/>
                <w:szCs w:val="24"/>
                <w:u w:val="single"/>
              </w:rPr>
              <w:t>甲方授权代表手机号码</w:t>
            </w:r>
            <w:permEnd w:id="38"/>
          </w:p>
        </w:tc>
        <w:tc>
          <w:tcPr>
            <w:tcW w:w="3690" w:type="dxa"/>
            <w:vAlign w:val="bottom"/>
          </w:tcPr>
          <w:p w14:paraId="20F5679E">
            <w:pPr>
              <w:spacing w:after="200" w:line="360" w:lineRule="auto"/>
              <w:jc w:val="center"/>
              <w:rPr>
                <w:rFonts w:ascii="仿宋_GB2312" w:hAnsi="仿宋_GB2312" w:eastAsia="仿宋_GB2312" w:cs="仿宋_GB2312"/>
                <w:w w:val="90"/>
                <w:sz w:val="24"/>
                <w:szCs w:val="24"/>
              </w:rPr>
            </w:pPr>
            <w:permStart w:id="39" w:edGrp="everyone"/>
            <w:r>
              <w:rPr>
                <w:rFonts w:hint="eastAsia" w:ascii="仿宋_GB2312" w:hAnsi="仿宋_GB2312" w:eastAsia="仿宋_GB2312" w:cs="仿宋_GB2312"/>
                <w:b/>
                <w:bCs/>
                <w:w w:val="90"/>
                <w:sz w:val="24"/>
                <w:szCs w:val="24"/>
                <w:u w:val="single"/>
              </w:rPr>
              <w:t>乙方授权代表手机号码</w:t>
            </w:r>
            <w:permEnd w:id="39"/>
          </w:p>
        </w:tc>
      </w:tr>
      <w:tr w14:paraId="30D5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A12CB7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联系邮箱</w:t>
            </w:r>
          </w:p>
        </w:tc>
        <w:tc>
          <w:tcPr>
            <w:tcW w:w="3690" w:type="dxa"/>
            <w:vAlign w:val="bottom"/>
          </w:tcPr>
          <w:p w14:paraId="1C0F31AF">
            <w:pPr>
              <w:spacing w:after="200" w:line="360" w:lineRule="auto"/>
              <w:jc w:val="center"/>
              <w:rPr>
                <w:rFonts w:ascii="仿宋_GB2312" w:hAnsi="仿宋_GB2312" w:eastAsia="仿宋_GB2312" w:cs="仿宋_GB2312"/>
                <w:w w:val="90"/>
                <w:sz w:val="24"/>
                <w:szCs w:val="24"/>
              </w:rPr>
            </w:pPr>
            <w:permStart w:id="40" w:edGrp="everyone"/>
            <w:r>
              <w:rPr>
                <w:rFonts w:hint="eastAsia" w:ascii="仿宋_GB2312" w:hAnsi="仿宋_GB2312" w:eastAsia="仿宋_GB2312" w:cs="仿宋_GB2312"/>
                <w:b/>
                <w:bCs/>
                <w:w w:val="90"/>
                <w:sz w:val="24"/>
                <w:szCs w:val="24"/>
                <w:u w:val="single"/>
              </w:rPr>
              <w:t>甲方授权代表联系邮箱（非必填）</w:t>
            </w:r>
            <w:permEnd w:id="40"/>
          </w:p>
        </w:tc>
        <w:tc>
          <w:tcPr>
            <w:tcW w:w="3690" w:type="dxa"/>
            <w:vAlign w:val="bottom"/>
          </w:tcPr>
          <w:p w14:paraId="35327CA5">
            <w:pPr>
              <w:spacing w:after="200" w:line="360" w:lineRule="auto"/>
              <w:jc w:val="center"/>
              <w:rPr>
                <w:rFonts w:ascii="仿宋_GB2312" w:hAnsi="仿宋_GB2312" w:eastAsia="仿宋_GB2312" w:cs="仿宋_GB2312"/>
                <w:w w:val="90"/>
                <w:sz w:val="24"/>
                <w:szCs w:val="24"/>
              </w:rPr>
            </w:pPr>
            <w:permStart w:id="41" w:edGrp="everyone"/>
            <w:r>
              <w:rPr>
                <w:rFonts w:hint="eastAsia" w:ascii="仿宋_GB2312" w:hAnsi="仿宋_GB2312" w:eastAsia="仿宋_GB2312" w:cs="仿宋_GB2312"/>
                <w:b/>
                <w:bCs/>
                <w:w w:val="90"/>
                <w:sz w:val="24"/>
                <w:szCs w:val="24"/>
                <w:u w:val="single"/>
              </w:rPr>
              <w:t>乙方授权代表联系邮箱（非必填）</w:t>
            </w:r>
            <w:permEnd w:id="41"/>
          </w:p>
        </w:tc>
      </w:tr>
      <w:tr w14:paraId="7F8E3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AF42B48">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开户银行</w:t>
            </w:r>
          </w:p>
        </w:tc>
        <w:tc>
          <w:tcPr>
            <w:tcW w:w="3690" w:type="dxa"/>
            <w:vAlign w:val="bottom"/>
          </w:tcPr>
          <w:p w14:paraId="73CCCE83">
            <w:pPr>
              <w:spacing w:after="200" w:line="360" w:lineRule="auto"/>
              <w:jc w:val="center"/>
              <w:rPr>
                <w:rFonts w:ascii="仿宋_GB2312" w:hAnsi="仿宋_GB2312" w:eastAsia="仿宋_GB2312" w:cs="仿宋_GB2312"/>
                <w:w w:val="90"/>
                <w:sz w:val="24"/>
                <w:szCs w:val="24"/>
              </w:rPr>
            </w:pPr>
            <w:permStart w:id="42" w:edGrp="everyone"/>
            <w:r>
              <w:rPr>
                <w:rFonts w:hint="eastAsia" w:ascii="仿宋_GB2312" w:hAnsi="仿宋_GB2312" w:eastAsia="仿宋_GB2312" w:cs="仿宋_GB2312"/>
                <w:b/>
                <w:bCs/>
                <w:w w:val="90"/>
                <w:sz w:val="24"/>
                <w:szCs w:val="24"/>
                <w:u w:val="single"/>
              </w:rPr>
              <w:t>甲方开户银行规范全称（非必填）</w:t>
            </w:r>
            <w:permEnd w:id="42"/>
          </w:p>
        </w:tc>
        <w:tc>
          <w:tcPr>
            <w:tcW w:w="3690" w:type="dxa"/>
            <w:vAlign w:val="bottom"/>
          </w:tcPr>
          <w:p w14:paraId="1158C9D1">
            <w:pPr>
              <w:spacing w:after="200" w:line="360" w:lineRule="auto"/>
              <w:jc w:val="center"/>
              <w:rPr>
                <w:rFonts w:ascii="仿宋_GB2312" w:hAnsi="仿宋_GB2312" w:eastAsia="仿宋_GB2312" w:cs="仿宋_GB2312"/>
                <w:w w:val="90"/>
                <w:sz w:val="24"/>
                <w:szCs w:val="24"/>
              </w:rPr>
            </w:pPr>
            <w:permStart w:id="43" w:edGrp="everyone"/>
            <w:r>
              <w:rPr>
                <w:rFonts w:hint="eastAsia" w:ascii="仿宋_GB2312" w:hAnsi="仿宋_GB2312" w:eastAsia="仿宋_GB2312" w:cs="仿宋_GB2312"/>
                <w:b/>
                <w:bCs/>
                <w:w w:val="90"/>
                <w:sz w:val="24"/>
                <w:szCs w:val="24"/>
                <w:u w:val="single"/>
              </w:rPr>
              <w:t>乙方开户银行规范全称</w:t>
            </w:r>
            <w:permEnd w:id="43"/>
          </w:p>
        </w:tc>
      </w:tr>
      <w:tr w14:paraId="4791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F3DE2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开户行联行号</w:t>
            </w:r>
          </w:p>
        </w:tc>
        <w:tc>
          <w:tcPr>
            <w:tcW w:w="3690" w:type="dxa"/>
            <w:vAlign w:val="bottom"/>
          </w:tcPr>
          <w:p w14:paraId="4FD3B637">
            <w:pPr>
              <w:spacing w:after="200" w:line="360" w:lineRule="auto"/>
              <w:jc w:val="center"/>
              <w:rPr>
                <w:rFonts w:ascii="仿宋_GB2312" w:hAnsi="仿宋_GB2312" w:eastAsia="仿宋_GB2312" w:cs="仿宋_GB2312"/>
                <w:w w:val="90"/>
                <w:sz w:val="24"/>
                <w:szCs w:val="24"/>
              </w:rPr>
            </w:pPr>
            <w:permStart w:id="44" w:edGrp="everyone"/>
            <w:r>
              <w:rPr>
                <w:rFonts w:hint="eastAsia" w:ascii="仿宋_GB2312" w:hAnsi="仿宋_GB2312" w:eastAsia="仿宋_GB2312" w:cs="仿宋_GB2312"/>
                <w:b/>
                <w:bCs/>
                <w:w w:val="90"/>
                <w:sz w:val="24"/>
                <w:szCs w:val="24"/>
                <w:u w:val="single"/>
              </w:rPr>
              <w:t>甲方开户银行联行号（非必填）</w:t>
            </w:r>
            <w:permEnd w:id="44"/>
          </w:p>
        </w:tc>
        <w:tc>
          <w:tcPr>
            <w:tcW w:w="3690" w:type="dxa"/>
            <w:vAlign w:val="bottom"/>
          </w:tcPr>
          <w:p w14:paraId="4C91F375">
            <w:pPr>
              <w:spacing w:after="200" w:line="360" w:lineRule="auto"/>
              <w:jc w:val="center"/>
              <w:rPr>
                <w:rFonts w:ascii="仿宋_GB2312" w:hAnsi="仿宋_GB2312" w:eastAsia="仿宋_GB2312" w:cs="仿宋_GB2312"/>
                <w:w w:val="90"/>
                <w:sz w:val="24"/>
                <w:szCs w:val="24"/>
              </w:rPr>
            </w:pPr>
            <w:permStart w:id="45" w:edGrp="everyone"/>
            <w:r>
              <w:rPr>
                <w:rFonts w:hint="eastAsia" w:ascii="仿宋_GB2312" w:hAnsi="仿宋_GB2312" w:eastAsia="仿宋_GB2312" w:cs="仿宋_GB2312"/>
                <w:b/>
                <w:bCs/>
                <w:w w:val="90"/>
                <w:sz w:val="24"/>
                <w:szCs w:val="24"/>
                <w:u w:val="single"/>
              </w:rPr>
              <w:t>乙方开户银行联行号</w:t>
            </w:r>
            <w:permEnd w:id="45"/>
          </w:p>
        </w:tc>
      </w:tr>
      <w:tr w14:paraId="72AEC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0B39395">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开户账号</w:t>
            </w:r>
          </w:p>
        </w:tc>
        <w:tc>
          <w:tcPr>
            <w:tcW w:w="3690" w:type="dxa"/>
            <w:vAlign w:val="bottom"/>
          </w:tcPr>
          <w:p w14:paraId="45D7C5B0">
            <w:pPr>
              <w:spacing w:after="200" w:line="360" w:lineRule="auto"/>
              <w:jc w:val="center"/>
              <w:rPr>
                <w:rFonts w:ascii="仿宋_GB2312" w:hAnsi="仿宋_GB2312" w:eastAsia="仿宋_GB2312" w:cs="仿宋_GB2312"/>
                <w:w w:val="90"/>
                <w:sz w:val="24"/>
                <w:szCs w:val="24"/>
              </w:rPr>
            </w:pPr>
            <w:permStart w:id="46" w:edGrp="everyone"/>
            <w:r>
              <w:rPr>
                <w:rFonts w:hint="eastAsia" w:ascii="仿宋_GB2312" w:hAnsi="仿宋_GB2312" w:eastAsia="仿宋_GB2312" w:cs="仿宋_GB2312"/>
                <w:b/>
                <w:bCs/>
                <w:w w:val="90"/>
                <w:sz w:val="24"/>
                <w:szCs w:val="24"/>
                <w:u w:val="single"/>
              </w:rPr>
              <w:t>甲方银行账号（非必填）</w:t>
            </w:r>
            <w:permEnd w:id="46"/>
          </w:p>
        </w:tc>
        <w:tc>
          <w:tcPr>
            <w:tcW w:w="3690" w:type="dxa"/>
            <w:vAlign w:val="bottom"/>
          </w:tcPr>
          <w:p w14:paraId="53D27E87">
            <w:pPr>
              <w:spacing w:after="200" w:line="360" w:lineRule="auto"/>
              <w:jc w:val="center"/>
              <w:rPr>
                <w:rFonts w:ascii="仿宋_GB2312" w:hAnsi="仿宋_GB2312" w:eastAsia="仿宋_GB2312" w:cs="仿宋_GB2312"/>
                <w:w w:val="90"/>
                <w:sz w:val="24"/>
                <w:szCs w:val="24"/>
              </w:rPr>
            </w:pPr>
            <w:permStart w:id="47" w:edGrp="everyone"/>
            <w:r>
              <w:rPr>
                <w:rFonts w:hint="eastAsia" w:ascii="仿宋_GB2312" w:hAnsi="仿宋_GB2312" w:eastAsia="仿宋_GB2312" w:cs="仿宋_GB2312"/>
                <w:b/>
                <w:bCs/>
                <w:w w:val="90"/>
                <w:sz w:val="24"/>
                <w:szCs w:val="24"/>
                <w:u w:val="single"/>
              </w:rPr>
              <w:t>乙方银行账号</w:t>
            </w:r>
            <w:permEnd w:id="47"/>
          </w:p>
        </w:tc>
      </w:tr>
      <w:tr w14:paraId="3E86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6D65053">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其他信息</w:t>
            </w:r>
          </w:p>
        </w:tc>
        <w:tc>
          <w:tcPr>
            <w:tcW w:w="3690" w:type="dxa"/>
            <w:vAlign w:val="bottom"/>
          </w:tcPr>
          <w:p w14:paraId="61124C7F">
            <w:pPr>
              <w:spacing w:after="200" w:line="360" w:lineRule="auto"/>
              <w:jc w:val="center"/>
              <w:rPr>
                <w:rFonts w:ascii="仿宋_GB2312" w:hAnsi="仿宋_GB2312" w:eastAsia="仿宋_GB2312" w:cs="仿宋_GB2312"/>
                <w:w w:val="90"/>
                <w:sz w:val="24"/>
                <w:szCs w:val="24"/>
              </w:rPr>
            </w:pPr>
            <w:permStart w:id="48" w:edGrp="everyone"/>
            <w:r>
              <w:rPr>
                <w:rFonts w:hint="eastAsia" w:ascii="仿宋_GB2312" w:hAnsi="仿宋_GB2312" w:eastAsia="仿宋_GB2312" w:cs="仿宋_GB2312"/>
                <w:b/>
                <w:bCs/>
                <w:w w:val="90"/>
                <w:sz w:val="24"/>
                <w:szCs w:val="24"/>
                <w:u w:val="single"/>
              </w:rPr>
              <w:t>甲方其他需列明企业信息（非必填）</w:t>
            </w:r>
            <w:permEnd w:id="48"/>
          </w:p>
        </w:tc>
        <w:tc>
          <w:tcPr>
            <w:tcW w:w="3690" w:type="dxa"/>
            <w:vAlign w:val="bottom"/>
          </w:tcPr>
          <w:p w14:paraId="26A84B91">
            <w:pPr>
              <w:spacing w:after="200" w:line="360" w:lineRule="auto"/>
              <w:jc w:val="center"/>
              <w:rPr>
                <w:rFonts w:ascii="仿宋_GB2312" w:hAnsi="仿宋_GB2312" w:eastAsia="仿宋_GB2312" w:cs="仿宋_GB2312"/>
                <w:w w:val="90"/>
                <w:sz w:val="24"/>
                <w:szCs w:val="24"/>
              </w:rPr>
            </w:pPr>
            <w:permStart w:id="49" w:edGrp="everyone"/>
            <w:r>
              <w:rPr>
                <w:rFonts w:hint="eastAsia" w:ascii="仿宋_GB2312" w:hAnsi="仿宋_GB2312" w:eastAsia="仿宋_GB2312" w:cs="仿宋_GB2312"/>
                <w:b/>
                <w:bCs/>
                <w:w w:val="90"/>
                <w:sz w:val="24"/>
                <w:szCs w:val="24"/>
                <w:u w:val="single"/>
              </w:rPr>
              <w:t>乙方其他需列明企业信息（非必填）</w:t>
            </w:r>
            <w:permEnd w:id="49"/>
          </w:p>
        </w:tc>
      </w:tr>
    </w:tbl>
    <w:p w14:paraId="61688E4C">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合同履行过程中，如甲乙双方基本信息发生变更，应及时以书面形式告知对方并就付款账户信息变更签署相关补充协议。</w:t>
      </w:r>
    </w:p>
    <w:p w14:paraId="01FD157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3.生效条款</w:t>
      </w:r>
    </w:p>
    <w:p w14:paraId="46DFC34E">
      <w:pPr>
        <w:spacing w:line="360" w:lineRule="auto"/>
        <w:ind w:firstLine="480" w:firstLineChars="200"/>
        <w:rPr>
          <w:rFonts w:ascii="仿宋_GB2312" w:hAnsi="黑体" w:eastAsia="仿宋_GB2312" w:cstheme="minorEastAsia"/>
          <w:sz w:val="24"/>
          <w:szCs w:val="24"/>
          <w:u w:val="single"/>
        </w:rPr>
      </w:pPr>
      <w:r>
        <w:rPr>
          <w:rFonts w:hint="eastAsia" w:ascii="仿宋_GB2312" w:hAnsi="黑体" w:eastAsia="仿宋_GB2312" w:cstheme="minorEastAsia"/>
          <w:sz w:val="24"/>
          <w:szCs w:val="24"/>
        </w:rPr>
        <w:t>3.1本合同经双方签署后生效。</w:t>
      </w:r>
    </w:p>
    <w:p w14:paraId="131C7C46">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3.2本合同一式四份，甲乙双方各执两份，具有同等法律效力。</w:t>
      </w:r>
    </w:p>
    <w:p w14:paraId="49581060">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4.特殊约定</w:t>
      </w:r>
    </w:p>
    <w:p w14:paraId="2672DB43">
      <w:pPr>
        <w:spacing w:line="360" w:lineRule="auto"/>
        <w:ind w:firstLine="434" w:firstLineChars="200"/>
        <w:rPr>
          <w:rFonts w:ascii="仿宋_GB2312" w:hAnsi="黑体" w:eastAsia="仿宋_GB2312" w:cstheme="minorEastAsia"/>
          <w:sz w:val="24"/>
          <w:szCs w:val="24"/>
        </w:rPr>
      </w:pPr>
      <w:permStart w:id="50" w:edGrp="everyone"/>
      <w:r>
        <w:rPr>
          <w:rFonts w:hint="eastAsia" w:ascii="仿宋_GB2312" w:hAnsi="仿宋_GB2312" w:eastAsia="仿宋_GB2312" w:cs="仿宋_GB2312"/>
          <w:b/>
          <w:bCs/>
          <w:w w:val="90"/>
          <w:sz w:val="24"/>
          <w:szCs w:val="24"/>
          <w:u w:val="single"/>
        </w:rPr>
        <w:t>特殊约定事项，据实填写：4.1                ;4.2               ;……。若无，</w:t>
      </w:r>
      <w:r>
        <w:rPr>
          <w:rFonts w:hint="eastAsia" w:ascii="仿宋_GB2312" w:eastAsia="仿宋_GB2312" w:hAnsiTheme="minorEastAsia" w:cstheme="minorEastAsia"/>
          <w:b/>
          <w:bCs/>
          <w:sz w:val="24"/>
          <w:szCs w:val="24"/>
          <w:u w:val="single"/>
        </w:rPr>
        <w:t>填写“无”。专用条款、通用条款中需进行修改的部分应在此处予以体现。</w:t>
      </w:r>
      <w:permEnd w:id="50"/>
    </w:p>
    <w:p w14:paraId="5070630D">
      <w:pPr>
        <w:spacing w:line="360" w:lineRule="auto"/>
        <w:rPr>
          <w:rFonts w:ascii="宋体" w:hAnsi="宋体"/>
          <w:snapToGrid w:val="0"/>
          <w:kern w:val="0"/>
          <w:sz w:val="20"/>
          <w:szCs w:val="20"/>
          <w:lang w:eastAsia="zh-Hans"/>
        </w:rPr>
      </w:pPr>
    </w:p>
    <w:p w14:paraId="557BE05C">
      <w:pPr>
        <w:spacing w:line="360" w:lineRule="auto"/>
        <w:rPr>
          <w:rFonts w:ascii="宋体" w:hAnsi="宋体"/>
          <w:snapToGrid w:val="0"/>
          <w:kern w:val="0"/>
          <w:sz w:val="20"/>
          <w:szCs w:val="20"/>
          <w:lang w:eastAsia="zh-Hans"/>
        </w:rPr>
      </w:pPr>
    </w:p>
    <w:p w14:paraId="59648CA3">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1" w:edGrp="everyone"/>
      <w:r>
        <w:rPr>
          <w:rFonts w:hint="eastAsia" w:ascii="仿宋_GB2312" w:hAnsi="宋体" w:eastAsia="仿宋_GB2312"/>
          <w:b/>
          <w:bCs/>
          <w:snapToGrid w:val="0"/>
          <w:kern w:val="0"/>
          <w:sz w:val="24"/>
          <w:szCs w:val="24"/>
          <w:u w:val="single"/>
        </w:rPr>
        <w:t>甲方单位全称</w:t>
      </w:r>
      <w:permEnd w:id="51"/>
    </w:p>
    <w:p w14:paraId="54CC33BE">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469640F9">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4BD57883">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948866A">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p>
    <w:p w14:paraId="1E9E1941">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7C7C1DC1">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2" w:edGrp="everyone"/>
      <w:r>
        <w:rPr>
          <w:rFonts w:hint="eastAsia" w:ascii="仿宋_GB2312" w:hAnsi="仿宋_GB2312" w:eastAsia="仿宋_GB2312" w:cs="仿宋_GB2312"/>
          <w:b/>
          <w:bCs/>
          <w:sz w:val="24"/>
          <w:szCs w:val="24"/>
          <w:u w:val="single"/>
        </w:rPr>
        <w:t>乙方单位全称</w:t>
      </w:r>
      <w:permEnd w:id="52"/>
    </w:p>
    <w:p w14:paraId="6FCF16FB">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4301F201">
      <w:pPr>
        <w:ind w:firstLine="480" w:firstLineChars="200"/>
        <w:rPr>
          <w:rFonts w:ascii="仿宋_GB2312" w:hAnsi="宋体" w:eastAsia="仿宋_GB2312"/>
          <w:snapToGrid w:val="0"/>
          <w:color w:val="000000"/>
          <w:kern w:val="0"/>
          <w:sz w:val="24"/>
          <w:szCs w:val="24"/>
          <w:lang w:eastAsia="zh-Hans"/>
        </w:rPr>
        <w:sectPr>
          <w:footerReference r:id="rId11" w:type="default"/>
          <w:pgSz w:w="11907" w:h="16840"/>
          <w:pgMar w:top="1304" w:right="1418" w:bottom="1304" w:left="1418" w:header="724" w:footer="851" w:gutter="0"/>
          <w:cols w:space="720" w:num="1"/>
          <w:docGrid w:linePitch="290" w:charSpace="-3931"/>
        </w:sect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301410D3">
      <w:pPr>
        <w:ind w:firstLine="480" w:firstLineChars="200"/>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54841A7">
      <w:pPr>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585AD6B7">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通用条款</w:t>
      </w:r>
    </w:p>
    <w:p w14:paraId="07E57D8C">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8" w:name="_Toc16330018"/>
      <w:bookmarkStart w:id="99" w:name="_Toc11823"/>
      <w:bookmarkStart w:id="100" w:name="_Toc11930"/>
      <w:bookmarkStart w:id="101" w:name="_Toc17619"/>
      <w:r>
        <w:rPr>
          <w:rFonts w:hint="eastAsia" w:ascii="黑体" w:hAnsi="黑体" w:eastAsia="黑体" w:cs="黑体"/>
          <w:b w:val="0"/>
          <w:sz w:val="24"/>
          <w:szCs w:val="24"/>
        </w:rPr>
        <w:t>1 合同设备</w:t>
      </w:r>
      <w:bookmarkEnd w:id="98"/>
      <w:bookmarkEnd w:id="99"/>
      <w:bookmarkEnd w:id="100"/>
      <w:bookmarkEnd w:id="101"/>
    </w:p>
    <w:p w14:paraId="220CD6C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w:t>
      </w:r>
      <w:bookmarkStart w:id="102" w:name="_Toc29026"/>
      <w:bookmarkStart w:id="103" w:name="_Toc22800"/>
      <w:bookmarkStart w:id="104" w:name="_Toc32510"/>
      <w:r>
        <w:rPr>
          <w:rFonts w:hint="eastAsia" w:ascii="仿宋_GB2312" w:hAnsi="仿宋_GB2312" w:eastAsia="仿宋_GB2312" w:cs="仿宋_GB2312"/>
          <w:sz w:val="24"/>
          <w:szCs w:val="24"/>
        </w:rPr>
        <w:t>本合同约定设备的技术规格详见附件《技术协议书》。</w:t>
      </w:r>
    </w:p>
    <w:p w14:paraId="6FAC335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本合同约定设备的技术规格及性能标准应与《技术协议书》中规定的相应标准一致。若《技术协议书》无相应规定或未签署《技术协议书》，设备的技术规格及性能标准则应符合相应的国家标准、其原产地国家有关部门最新颁布的相应正式标准、买方招标文件及卖方一切书面承诺中要求的技术标准。</w:t>
      </w:r>
    </w:p>
    <w:p w14:paraId="6D23DDD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1.3在设备所有权转移到买方之前，有关设备的保险由卖方负责办理并承担保险费用。</w:t>
      </w:r>
    </w:p>
    <w:p w14:paraId="2FE4BEA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5" w:name="_Toc16330019"/>
      <w:r>
        <w:rPr>
          <w:rFonts w:hint="eastAsia" w:ascii="黑体" w:hAnsi="黑体" w:eastAsia="黑体" w:cs="黑体"/>
          <w:b w:val="0"/>
          <w:sz w:val="24"/>
          <w:szCs w:val="24"/>
        </w:rPr>
        <w:t>2 包装</w:t>
      </w:r>
      <w:bookmarkEnd w:id="102"/>
      <w:bookmarkEnd w:id="103"/>
      <w:bookmarkEnd w:id="104"/>
      <w:bookmarkEnd w:id="105"/>
    </w:p>
    <w:p w14:paraId="5A6030E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68E388B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2.2每件包装应附有详细的装箱单和质量证书各两套，一套在包装箱里，一套在包装箱外。</w:t>
      </w:r>
    </w:p>
    <w:p w14:paraId="09D342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6" w:name="_Toc27453"/>
      <w:bookmarkStart w:id="107" w:name="_Toc16330020"/>
      <w:bookmarkStart w:id="108" w:name="_Toc27144"/>
      <w:bookmarkStart w:id="109" w:name="_Toc2833"/>
      <w:r>
        <w:rPr>
          <w:rFonts w:hint="eastAsia" w:ascii="黑体" w:hAnsi="黑体" w:eastAsia="黑体" w:cs="黑体"/>
          <w:b w:val="0"/>
          <w:sz w:val="24"/>
          <w:szCs w:val="24"/>
        </w:rPr>
        <w:t>3 运输标记</w:t>
      </w:r>
      <w:bookmarkEnd w:id="106"/>
      <w:bookmarkEnd w:id="107"/>
      <w:bookmarkEnd w:id="108"/>
      <w:bookmarkEnd w:id="109"/>
    </w:p>
    <w:p w14:paraId="5873C0E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3.1卖方应在每一包装箱邻近的四个侧面用不易褪色的油漆以醒目的中文印刷字体标明以下各项：</w:t>
      </w:r>
    </w:p>
    <w:p w14:paraId="2F1B3A9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3.1.1收货人</w:t>
      </w:r>
    </w:p>
    <w:p w14:paraId="1F054C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3.1.2合同号</w:t>
      </w:r>
    </w:p>
    <w:p w14:paraId="11D68E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3.1.3发货标记（唛头）</w:t>
      </w:r>
    </w:p>
    <w:p w14:paraId="52162E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3.1.4设备的名称、品目号、箱号</w:t>
      </w:r>
    </w:p>
    <w:p w14:paraId="0033E9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3.1.5毛重/净重（公斤）</w:t>
      </w:r>
    </w:p>
    <w:p w14:paraId="2F6DD26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3.1.6尺寸（长×宽×高，以厘米计）</w:t>
      </w:r>
    </w:p>
    <w:p w14:paraId="35CBD3D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362A643F">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0" w:name="_Toc16330021"/>
      <w:bookmarkStart w:id="111" w:name="_Toc7431"/>
      <w:bookmarkStart w:id="112" w:name="_Toc10630"/>
      <w:bookmarkStart w:id="113" w:name="_Toc16133"/>
      <w:r>
        <w:rPr>
          <w:rFonts w:hint="eastAsia" w:ascii="黑体" w:hAnsi="黑体" w:eastAsia="黑体" w:cs="黑体"/>
          <w:b w:val="0"/>
          <w:sz w:val="24"/>
          <w:szCs w:val="24"/>
        </w:rPr>
        <w:t>4 检验</w:t>
      </w:r>
      <w:bookmarkEnd w:id="110"/>
      <w:bookmarkEnd w:id="111"/>
      <w:bookmarkEnd w:id="112"/>
      <w:bookmarkEnd w:id="113"/>
    </w:p>
    <w:p w14:paraId="1D1E83A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2EF3E2D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4.2国家强制检验检测的设备，需要经过国家有关部门进行检验检测，卖方保证提供的设备通过其检验并承担费用。</w:t>
      </w:r>
    </w:p>
    <w:p w14:paraId="78B43F8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4" w:name="_Toc16330022"/>
      <w:bookmarkStart w:id="115" w:name="_Toc11217"/>
      <w:bookmarkStart w:id="116" w:name="_Toc19850"/>
      <w:bookmarkStart w:id="117" w:name="_Toc24467"/>
      <w:r>
        <w:rPr>
          <w:rFonts w:hint="eastAsia" w:ascii="黑体" w:hAnsi="黑体" w:eastAsia="黑体" w:cs="黑体"/>
          <w:b w:val="0"/>
          <w:sz w:val="24"/>
          <w:szCs w:val="24"/>
        </w:rPr>
        <w:t>5 权利担保</w:t>
      </w:r>
      <w:bookmarkEnd w:id="114"/>
      <w:bookmarkEnd w:id="115"/>
      <w:bookmarkEnd w:id="116"/>
      <w:bookmarkEnd w:id="117"/>
    </w:p>
    <w:p w14:paraId="476A92B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1F034A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5.2卖方应保证第三方对其提交的设备不得以侵权或其他类似理由提出合法要求，如侵犯知识产权等。</w:t>
      </w:r>
    </w:p>
    <w:p w14:paraId="0089333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5.3任何第三方如果提出侵权指控，卖方应与第三方交涉，并承担由此引起的一切法律责任和费用以及给买方所造成的损失。</w:t>
      </w:r>
    </w:p>
    <w:p w14:paraId="5A80E8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5.4买方应在已知道第三方的权利或要求后的一段合理时间内，将此权利或要求的性质通知卖方。</w:t>
      </w:r>
    </w:p>
    <w:p w14:paraId="004094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4B8C129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8" w:name="_Toc27500"/>
      <w:bookmarkStart w:id="119" w:name="_Toc14809"/>
      <w:bookmarkStart w:id="120" w:name="_Toc16330023"/>
      <w:bookmarkStart w:id="121" w:name="_Toc11759"/>
      <w:r>
        <w:rPr>
          <w:rFonts w:hint="eastAsia" w:ascii="黑体" w:hAnsi="黑体" w:eastAsia="黑体" w:cs="黑体"/>
          <w:b w:val="0"/>
          <w:sz w:val="24"/>
          <w:szCs w:val="24"/>
        </w:rPr>
        <w:t>6 交货</w:t>
      </w:r>
      <w:bookmarkEnd w:id="118"/>
      <w:bookmarkEnd w:id="119"/>
      <w:bookmarkEnd w:id="120"/>
      <w:bookmarkEnd w:id="121"/>
    </w:p>
    <w:p w14:paraId="75D4D39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44D173A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6.2卖方应在设备装运完成后当天以传真、邮件等的形式通知买方合同号、设备名称、数量、毛重、体积（立方米）、发票金额、启运日期、预计到达日期。</w:t>
      </w:r>
    </w:p>
    <w:p w14:paraId="632A8E6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04ACB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6.4交货方式的释义</w:t>
      </w:r>
    </w:p>
    <w:p w14:paraId="6B1247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6.4.1交钥匙方式：卖方负责合同设备的设计、制造、运输、定点卸货、安装、调试、培训及售后服务等所有内容，直至买方验收合格并交付使用。</w:t>
      </w:r>
    </w:p>
    <w:p w14:paraId="7F8B05F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7C2EBC6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6.4.3自提：买方依照合同约定到卖方所在地提取合同设备，经买方根据合同所约定的数量、型号及配置等内容逐一确认无误后，双方完成交付手续。</w:t>
      </w:r>
    </w:p>
    <w:p w14:paraId="145F311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6.5到货后，买卖双方代表办理移交手续，此时的移交不代表卖方合同设备所有权的转移，合同设备的保管责任仍然由卖方承担。移交内容包括：合同设备、硬件、软件、图纸、资料、质量证明文件等。</w:t>
      </w:r>
    </w:p>
    <w:p w14:paraId="220D1F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6.6卖方在交付设备前需通知买方。</w:t>
      </w:r>
    </w:p>
    <w:p w14:paraId="5890F92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6.7风险的转移：</w:t>
      </w:r>
    </w:p>
    <w:p w14:paraId="0E1C90F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1FA8F0F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2" w:name="_Toc2984"/>
      <w:bookmarkStart w:id="123" w:name="_Toc8024"/>
      <w:bookmarkStart w:id="124" w:name="_Toc16330024"/>
      <w:bookmarkStart w:id="125" w:name="_Toc25510"/>
      <w:r>
        <w:rPr>
          <w:rFonts w:hint="eastAsia" w:ascii="黑体" w:hAnsi="黑体" w:eastAsia="黑体" w:cs="黑体"/>
          <w:b w:val="0"/>
          <w:sz w:val="24"/>
          <w:szCs w:val="24"/>
        </w:rPr>
        <w:t>7 安装、调试</w:t>
      </w:r>
      <w:bookmarkEnd w:id="122"/>
      <w:bookmarkEnd w:id="123"/>
      <w:bookmarkEnd w:id="124"/>
      <w:bookmarkEnd w:id="125"/>
    </w:p>
    <w:p w14:paraId="786FCDA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7.1 卖方应自带用以安装、调试过程中所需的各种工具、仪器、仪表及易损件。在安装、调试过程中，卖方应自负其工作人员的食宿、交通等费用。</w:t>
      </w:r>
    </w:p>
    <w:p w14:paraId="14F8DA2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7.2在安装、调试过程中，安装场地及施工人员安全，由卖方负责。由于安装、调试等原因造成买方或他人人身损害或财产损失的，由卖方承担赔偿责任。</w:t>
      </w:r>
    </w:p>
    <w:p w14:paraId="5C1A4A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7.3</w:t>
      </w:r>
      <w:r>
        <w:rPr>
          <w:rFonts w:hint="eastAsia" w:ascii="仿宋_GB2312" w:hAnsi="仿宋_GB2312" w:eastAsia="仿宋_GB2312" w:cs="仿宋_GB2312"/>
          <w:bCs/>
          <w:sz w:val="24"/>
          <w:szCs w:val="24"/>
        </w:rPr>
        <w:t xml:space="preserve"> </w:t>
      </w:r>
      <w:r>
        <w:rPr>
          <w:rFonts w:hint="eastAsia" w:ascii="仿宋_GB2312" w:hAnsi="仿宋_GB2312" w:eastAsia="仿宋_GB2312" w:cs="仿宋_GB2312"/>
          <w:sz w:val="24"/>
          <w:szCs w:val="24"/>
        </w:rPr>
        <w:t>卖方须对安装、调试过程中造成的买方或他人人身损害或财产损失承担赔偿责任。</w:t>
      </w:r>
    </w:p>
    <w:p w14:paraId="4FE9B26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6" w:name="_Toc16330025"/>
      <w:bookmarkStart w:id="127" w:name="_Toc6350"/>
      <w:bookmarkStart w:id="128" w:name="_Toc14098"/>
      <w:bookmarkStart w:id="129" w:name="_Toc14260"/>
      <w:r>
        <w:rPr>
          <w:rFonts w:hint="eastAsia" w:ascii="黑体" w:hAnsi="黑体" w:eastAsia="黑体" w:cs="黑体"/>
          <w:b w:val="0"/>
          <w:sz w:val="24"/>
          <w:szCs w:val="24"/>
        </w:rPr>
        <w:t>8 价款与支付</w:t>
      </w:r>
      <w:bookmarkEnd w:id="126"/>
      <w:bookmarkEnd w:id="127"/>
      <w:bookmarkEnd w:id="128"/>
      <w:bookmarkEnd w:id="129"/>
    </w:p>
    <w:p w14:paraId="05C494C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8.1合同价格以不含税价格为准。若因国家税收法律法规或政策调整对本合同业务的税目、税率等产生影响，双方确定本合同约定的各项业务的不含税价格不做调整，各项业务的含税价格依法依规进行调整。</w:t>
      </w:r>
    </w:p>
    <w:p w14:paraId="63A9B2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8.2本合同约定的含税总价包括但不限于全部（全新）产品价、备品备件价、专用工具价、运杂费（包括现场卸车费）、设计、制造、安装（或指导安装）、调试、验收、培训、技术及售后服务费、技术资料费等所有费用的总和。</w:t>
      </w:r>
    </w:p>
    <w:p w14:paraId="478A200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8.3双方约定的付款条件执行中，满足付款条件后甲方在30日内完成付款不被视为付款延迟；若甲方在满足付款条件30日后尚未完成付款的，付款延迟违约计算从满足付款条件第31日起开始计算。</w:t>
      </w:r>
    </w:p>
    <w:p w14:paraId="4C131B6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8.4乙方结算时，必须使用合法有效并经甲方认可的增值税专用发票，否则不予结算。因发票违规给甲方造成的增值税、所得税等损失，由乙方承担相关责任，包括但不限于税款、滞纳金、罚款及其它相关损失。</w:t>
      </w:r>
    </w:p>
    <w:p w14:paraId="23F031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0" w:name="_Toc6726"/>
      <w:bookmarkStart w:id="131" w:name="_Toc16330026"/>
      <w:bookmarkStart w:id="132" w:name="_Toc24085"/>
      <w:bookmarkStart w:id="133" w:name="_Toc25708"/>
      <w:r>
        <w:rPr>
          <w:rFonts w:hint="eastAsia" w:ascii="黑体" w:hAnsi="黑体" w:eastAsia="黑体" w:cs="黑体"/>
          <w:b w:val="0"/>
          <w:sz w:val="24"/>
          <w:szCs w:val="24"/>
        </w:rPr>
        <w:t>9 质量保证及售后服务</w:t>
      </w:r>
      <w:bookmarkEnd w:id="130"/>
      <w:bookmarkEnd w:id="131"/>
      <w:bookmarkEnd w:id="132"/>
      <w:bookmarkEnd w:id="133"/>
    </w:p>
    <w:p w14:paraId="6149868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68947B3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9.2卖方承诺其提供的设备不存在任何产品缺陷，否则因卖方提供的设备存在产品缺陷而给买方造成的一切后果和损失由卖方承担。</w:t>
      </w:r>
    </w:p>
    <w:p w14:paraId="0018E5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4B49783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64886E9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9.5卖方负责在买方指定的地点免费为买方培训操作及维修人员，培训内容包括：基本原理、操作使用、安全操作注意事项以及维修保养等内容。</w:t>
      </w:r>
    </w:p>
    <w:p w14:paraId="280E41D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9.6质量保证期满后，卖方保证向买方提供及时的、质优的、价格优惠的技术服务和备品备件供应。</w:t>
      </w:r>
    </w:p>
    <w:p w14:paraId="64C6B89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9.7质量保证期满后，如出现质量问题，卖方也应及时修复和更换，且只收取成本费，费用由买方承担，卖方对设备质量问题所负的责任直到设备使用寿命周期结束。</w:t>
      </w:r>
    </w:p>
    <w:p w14:paraId="508A74B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4" w:name="_Toc16330027"/>
      <w:bookmarkStart w:id="135" w:name="_Toc10359"/>
      <w:bookmarkStart w:id="136" w:name="_Toc12927"/>
      <w:bookmarkStart w:id="137" w:name="_Toc15570"/>
      <w:r>
        <w:rPr>
          <w:rFonts w:hint="eastAsia" w:ascii="黑体" w:hAnsi="黑体" w:eastAsia="黑体" w:cs="黑体"/>
          <w:b w:val="0"/>
          <w:sz w:val="24"/>
          <w:szCs w:val="24"/>
        </w:rPr>
        <w:t>10法定责任</w:t>
      </w:r>
      <w:bookmarkEnd w:id="134"/>
      <w:bookmarkEnd w:id="135"/>
      <w:bookmarkEnd w:id="136"/>
      <w:bookmarkEnd w:id="137"/>
      <w:r>
        <w:rPr>
          <w:rFonts w:hint="eastAsia" w:ascii="黑体" w:hAnsi="黑体" w:eastAsia="黑体" w:cs="黑体"/>
          <w:b w:val="0"/>
          <w:sz w:val="24"/>
          <w:szCs w:val="24"/>
        </w:rPr>
        <w:t>及合规责任</w:t>
      </w:r>
    </w:p>
    <w:p w14:paraId="754117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10.1卖方需遵从国家有关的法律、法规，缴纳有关的法定费用和税项。若卖方未按期交纳法定费用、税项，则卖方须补偿买方由此造成的所有费用及损失。</w:t>
      </w:r>
    </w:p>
    <w:p w14:paraId="7CB00F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10.2除非本合同中另有规定或买方同意，卖方不得全部或部分转让本合同项下的权利义务。</w:t>
      </w:r>
    </w:p>
    <w:p w14:paraId="754ADAB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4310165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10.4除对方预先书面同意外，任何一方在本合同签订和履行期间或本合同终止后不得向第三方披露在本合同履行过程中知悉的与对方有关的任何商业秘密。</w:t>
      </w:r>
    </w:p>
    <w:p w14:paraId="2CA8670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10.5卖方保证截至本合同签署之日，卖方及其子公司和关联公司未被列入任何国家或者地区的政府机构或者相关国际组织等发布的限制、制裁或反制清单，未隐瞒任何阻碍及可能阻碍此次交易的相关信息。如在本合同签署后发生上述情形，卖方应当在获知被列入清单后24小时之内以书面形式通知买方。</w:t>
      </w:r>
    </w:p>
    <w:p w14:paraId="3358D5B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10.6卖方已经充分了解并确保会严格遵守开展业务所需适用国家或者地区的出口管制、经济制裁和反制裁相关法律法规（简称“出口管制与制裁法律法规”）。卖方确认不存在任何因违反所需适用国家或者地区出口管制与制裁法律或其他因卖方原因导致本合同无法履行或者延迟履行的情形。如果卖方在本合同履行过程中发生或者预见到可能发生该等情形，应当及时以书面形式告知买方。如由于卖方未履行前述义务或其他可归责于卖方的原因导致延迟履行供货或无法按照本合同约定履行供货义务，卖方应承担违约责任，并承担买方因此受到的全部损失。</w:t>
      </w:r>
    </w:p>
    <w:p w14:paraId="714465F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10.7如本合同项下卖方所销售或者提供的任何产品、零部件、软件、技术和服务（以下统称“物项”）有可能受任何国家或者地区出口管制与制裁法律法规管辖，卖方承诺遵守全部所需适用的有关规定，并确保向买方提供该等物项的合法性与合规性。对于受到出口管制管辖的物项，卖方应当书面告知买方受控物项的全部管制信息，包括但不限于原产国、发运国、ECCN、USML编码等方面的特殊限制、物项管控要求等。</w:t>
      </w:r>
    </w:p>
    <w:p w14:paraId="3D88FB2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10.8如因卖方不遵守销售物项所需适用国家或地区的出口管制与制裁法律法规及监管政策而使买方遭受任何损失、费用、索赔、处罚、诉讼因由、损害、责任和费用（包括但不限于律师费，所有诉讼和/或和解费用以及法院费用），卖方应当就此承担全部赔偿责任。买方有权视情况暂停或终止其对相关合同的履行。在该等情况下，买方不构成对相关合同的违约、且不免除卖方履行合同的义务。</w:t>
      </w:r>
    </w:p>
    <w:p w14:paraId="4F7D4B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287B63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1）卖方</w:t>
      </w:r>
      <w:r>
        <w:rPr>
          <w:rFonts w:ascii="仿宋_GB2312" w:hAnsi="仿宋_GB2312" w:eastAsia="仿宋_GB2312" w:cs="仿宋_GB2312"/>
          <w:sz w:val="24"/>
          <w:szCs w:val="24"/>
        </w:rPr>
        <w:t>仅能将</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提供的保密信息用于本协议所约定的项目并承担保密义务。</w:t>
      </w:r>
    </w:p>
    <w:p w14:paraId="441CEB7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2）卖方</w:t>
      </w:r>
      <w:r>
        <w:rPr>
          <w:rFonts w:ascii="仿宋_GB2312" w:hAnsi="仿宋_GB2312" w:eastAsia="仿宋_GB2312" w:cs="仿宋_GB2312"/>
          <w:sz w:val="24"/>
          <w:szCs w:val="24"/>
        </w:rPr>
        <w:t>将采取有效措施使用</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提供的保密信息，只将该等保密信息提供给本方负责决策或实施合作事项的具体参与人员，</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及其相关人员不得以任何方式或形式散布、披露或传播给该范围以外的人（包括</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关联机构），也不得允许任何保密信息被泄漏、被披露、被交流。</w:t>
      </w:r>
    </w:p>
    <w:p w14:paraId="79DD281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为项目需要，而不得不向该第三方披露保密信息，则</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应事先从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得到书面同意。</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应在披露保密信息之前，按照与本协议相同的保护程度与该第三方签署一份保密协议。若上述第三方（包括其股东、高管、雇员）发生泄密，</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应与该第三方承担连带责任。</w:t>
      </w:r>
    </w:p>
    <w:p w14:paraId="533552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w:t>
      </w:r>
      <w:r>
        <w:rPr>
          <w:rFonts w:ascii="仿宋_GB2312" w:hAnsi="仿宋_GB2312" w:eastAsia="仿宋_GB2312" w:cs="仿宋_GB2312"/>
          <w:sz w:val="24"/>
          <w:szCs w:val="24"/>
        </w:rPr>
        <w:t>如</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得悉</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的任何保密信息遭侵犯或疑似侵权，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应立即通知</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决定就侵权行为进行起诉，或以其他方式停止或阻止该实际或可能发生的侵权行为，</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 xml:space="preserve">尽最大限度予以协助。 </w:t>
      </w:r>
    </w:p>
    <w:p w14:paraId="3DC77A0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5）卖方</w:t>
      </w:r>
      <w:r>
        <w:rPr>
          <w:rFonts w:ascii="仿宋_GB2312" w:hAnsi="仿宋_GB2312" w:eastAsia="仿宋_GB2312" w:cs="仿宋_GB2312"/>
          <w:sz w:val="24"/>
          <w:szCs w:val="24"/>
        </w:rPr>
        <w:t>不得在世界任何地方就保密信息进行升级、变更和/或改进，亦不得直接或间接提交或促使提交专利或著作权或其它权利的申请，也不得以其名义取得或促使以其他人名义取得任何专利或其它权利注册。</w:t>
      </w:r>
    </w:p>
    <w:p w14:paraId="4F742C8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6）卖方</w:t>
      </w:r>
      <w:r>
        <w:rPr>
          <w:rFonts w:ascii="仿宋_GB2312" w:hAnsi="仿宋_GB2312" w:eastAsia="仿宋_GB2312" w:cs="仿宋_GB2312"/>
          <w:sz w:val="24"/>
          <w:szCs w:val="24"/>
        </w:rPr>
        <w:t>应遵从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不时发出的有关使用、处理和保管保密信息的任何指令或政策，并按照</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的要求将本协议项下保密信息的使用情况向</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 xml:space="preserve">汇报。 </w:t>
      </w:r>
    </w:p>
    <w:p w14:paraId="625BD1A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7）卖方</w:t>
      </w:r>
      <w:r>
        <w:rPr>
          <w:rFonts w:ascii="仿宋_GB2312" w:hAnsi="仿宋_GB2312" w:eastAsia="仿宋_GB2312" w:cs="仿宋_GB2312"/>
          <w:sz w:val="24"/>
          <w:szCs w:val="24"/>
        </w:rPr>
        <w:t>不得为第三方利益使用保密信息，不得非为实现双方合作目的使用保密信息，不得对保密信息采取任何反向工程、反向编译或反向分解等行为。</w:t>
      </w:r>
    </w:p>
    <w:p w14:paraId="45ADA91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w:t>
      </w:r>
      <w:r>
        <w:rPr>
          <w:rFonts w:ascii="仿宋_GB2312" w:hAnsi="仿宋_GB2312" w:eastAsia="仿宋_GB2312" w:cs="仿宋_GB2312"/>
          <w:sz w:val="24"/>
          <w:szCs w:val="24"/>
        </w:rPr>
        <w:t>双方合作期间形成的与本协议有关的任何信息和数据受本协议约束。</w:t>
      </w:r>
    </w:p>
    <w:p w14:paraId="505C425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4C9277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数据收集必须基于合法授权，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需向数据主体明确告知数据用途，并获得明确同意</w:t>
      </w:r>
      <w:r>
        <w:rPr>
          <w:rFonts w:hint="eastAsia" w:ascii="仿宋_GB2312" w:hAnsi="仿宋_GB2312" w:eastAsia="仿宋_GB2312" w:cs="仿宋_GB2312"/>
          <w:sz w:val="24"/>
          <w:szCs w:val="24"/>
        </w:rPr>
        <w:t>；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5395DA8F">
      <w:pPr>
        <w:spacing w:line="360" w:lineRule="auto"/>
        <w:ind w:firstLine="480" w:firstLineChars="200"/>
        <w:rPr>
          <w:rFonts w:ascii="仿宋_GB2312" w:hAnsi="仿宋_GB2312" w:eastAsia="仿宋_GB2312" w:cs="仿宋_GB2312"/>
          <w:sz w:val="24"/>
          <w:szCs w:val="24"/>
        </w:rPr>
      </w:pPr>
      <w:r>
        <w:rPr>
          <w:rFonts w:ascii="仿宋_GB2312" w:hAnsi="仿宋_GB2312" w:eastAsia="仿宋_GB2312" w:cs="仿宋_GB2312"/>
          <w:sz w:val="24"/>
          <w:szCs w:val="24"/>
        </w:rPr>
        <w:t>2）</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在存储数据时需采取严格的安全措施，</w:t>
      </w:r>
      <w:r>
        <w:rPr>
          <w:rFonts w:hint="eastAsia" w:ascii="仿宋_GB2312" w:hAnsi="仿宋_GB2312" w:eastAsia="仿宋_GB2312" w:cs="仿宋_GB2312"/>
          <w:sz w:val="24"/>
          <w:szCs w:val="24"/>
        </w:rPr>
        <w:t>通过</w:t>
      </w:r>
      <w:r>
        <w:rPr>
          <w:rFonts w:ascii="仿宋_GB2312" w:hAnsi="仿宋_GB2312" w:eastAsia="仿宋_GB2312" w:cs="仿宋_GB2312"/>
          <w:sz w:val="24"/>
          <w:szCs w:val="24"/>
        </w:rPr>
        <w:t>加密、访问控制等措施确保数据的完整性和机密性</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在使用和传输数据时，</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需确保数据使用符合收集时的声明，不得超出必要范围</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跨境数据传输时，需符合法律规定的合规要求。</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确保数据的收集、存储、使用、传输和销毁等过程符合法律要求，防止数据泄露、滥用和侵犯个人隐私，遵守相关的法律法规、行业准则和道德规范，以保护数据主体的合法权益</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w:t>
      </w:r>
    </w:p>
    <w:p w14:paraId="730210B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w:t>
      </w:r>
      <w:r>
        <w:rPr>
          <w:rFonts w:hint="eastAsia" w:ascii="仿宋_GB2312" w:hAnsi="仿宋_GB2312" w:eastAsia="仿宋_GB2312" w:cs="仿宋_GB2312"/>
          <w:sz w:val="24"/>
          <w:szCs w:val="24"/>
        </w:rPr>
        <w:t>如需要</w:t>
      </w:r>
      <w:r>
        <w:rPr>
          <w:rFonts w:ascii="仿宋_GB2312" w:hAnsi="仿宋_GB2312" w:eastAsia="仿宋_GB2312" w:cs="仿宋_GB2312"/>
          <w:sz w:val="24"/>
          <w:szCs w:val="24"/>
        </w:rPr>
        <w:t>数据共享</w:t>
      </w:r>
      <w:r>
        <w:rPr>
          <w:rFonts w:hint="eastAsia" w:ascii="仿宋_GB2312" w:hAnsi="仿宋_GB2312" w:eastAsia="仿宋_GB2312" w:cs="仿宋_GB2312"/>
          <w:sz w:val="24"/>
          <w:szCs w:val="24"/>
        </w:rPr>
        <w:t>时</w:t>
      </w:r>
      <w:r>
        <w:rPr>
          <w:rFonts w:ascii="仿宋_GB2312" w:hAnsi="仿宋_GB2312" w:eastAsia="仿宋_GB2312" w:cs="仿宋_GB2312"/>
          <w:sz w:val="24"/>
          <w:szCs w:val="24"/>
        </w:rPr>
        <w:t>需</w:t>
      </w:r>
      <w:r>
        <w:rPr>
          <w:rFonts w:hint="eastAsia" w:ascii="仿宋_GB2312" w:hAnsi="仿宋_GB2312" w:eastAsia="仿宋_GB2312" w:cs="仿宋_GB2312"/>
          <w:sz w:val="24"/>
          <w:szCs w:val="24"/>
        </w:rPr>
        <w:t>取得买方的书面同意并</w:t>
      </w:r>
      <w:r>
        <w:rPr>
          <w:rFonts w:ascii="仿宋_GB2312" w:hAnsi="仿宋_GB2312" w:eastAsia="仿宋_GB2312" w:cs="仿宋_GB2312"/>
          <w:sz w:val="24"/>
          <w:szCs w:val="24"/>
        </w:rPr>
        <w:t>确保各方在使用数据时符合合规要求</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当数据不再需要时，</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采取适当的措施彻底销毁数据，防止其被恢复和滥用。</w:t>
      </w:r>
    </w:p>
    <w:p w14:paraId="6FD1CF9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8" w:name="_Toc30381"/>
      <w:bookmarkStart w:id="139" w:name="_Toc16330028"/>
      <w:bookmarkStart w:id="140" w:name="_Toc27314"/>
      <w:bookmarkStart w:id="141" w:name="_Toc9708"/>
      <w:r>
        <w:rPr>
          <w:rFonts w:hint="eastAsia" w:ascii="黑体" w:hAnsi="黑体" w:eastAsia="黑体" w:cs="黑体"/>
          <w:b w:val="0"/>
          <w:sz w:val="24"/>
          <w:szCs w:val="24"/>
        </w:rPr>
        <w:t>11 违约责任</w:t>
      </w:r>
      <w:bookmarkEnd w:id="138"/>
      <w:bookmarkEnd w:id="139"/>
      <w:bookmarkEnd w:id="140"/>
      <w:bookmarkEnd w:id="141"/>
    </w:p>
    <w:p w14:paraId="113C37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7BC6FB5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609CC7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11.1.2根据设备的瑕疵和受损程度以及买方遭受损失的金额，经买方同意降低设备价格。</w:t>
      </w:r>
    </w:p>
    <w:p w14:paraId="6FD149F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3B531A0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15E5EB4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p>
    <w:p w14:paraId="03E61D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11.4如卖方未按合同专用条款1.5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1BA91C6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11.5买方延期付款时（有正当拒付理由者除外），每日按延付金额的3‰向卖方偿付延期付款违约金，但违约金总额不超过延付金额的50‰。</w:t>
      </w:r>
    </w:p>
    <w:p w14:paraId="3577C4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5BB65DF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11.7因发票违规给买方造成的增值税、所得税等损失，由卖方承担相关责任，包括但不限于税款、滞纳金、罚款及其它相关损失。</w:t>
      </w:r>
    </w:p>
    <w:p w14:paraId="0D45179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11.8如果卖方违反本合同的上述约定或其他约定（包括本合同及所有附件）的，除应按本合同约定赔偿损失及违约金外，还应赔偿包括但不限于买方因此支出的或预计支付的诉讼费、保全申请费、保全保险费、鉴定费、评估费、司法审计费、拍卖费、律师费等一切费用。</w:t>
      </w:r>
    </w:p>
    <w:p w14:paraId="0E1B696E">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2" w:name="_Toc9172"/>
      <w:bookmarkStart w:id="143" w:name="_Toc1827"/>
      <w:bookmarkStart w:id="144" w:name="_Toc16330029"/>
      <w:bookmarkStart w:id="145" w:name="_Toc31554"/>
      <w:r>
        <w:rPr>
          <w:rFonts w:hint="eastAsia" w:ascii="黑体" w:hAnsi="黑体" w:eastAsia="黑体" w:cs="黑体"/>
          <w:b w:val="0"/>
          <w:sz w:val="24"/>
          <w:szCs w:val="24"/>
        </w:rPr>
        <w:t>12 合同的终止与解除</w:t>
      </w:r>
      <w:bookmarkEnd w:id="142"/>
      <w:bookmarkEnd w:id="143"/>
      <w:bookmarkEnd w:id="144"/>
      <w:bookmarkEnd w:id="145"/>
    </w:p>
    <w:p w14:paraId="5118876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12.1本合同订立后，卖方由于履行义务的能力或信用有严重缺陷，买方可以终止履行本合同，要求卖方返还已支付的款项并不承担违约责任。</w:t>
      </w:r>
    </w:p>
    <w:p w14:paraId="0C0C904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12.2经双方协商一致，可以解除本合同。</w:t>
      </w:r>
    </w:p>
    <w:p w14:paraId="546D964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12.3有下列情形之一的，买方可以解除本合同：</w:t>
      </w:r>
    </w:p>
    <w:p w14:paraId="2A90515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12.3.1卖方明确表示或者以自己的行为表明不履行交货、安装、调试、培训等主要义务的，或足以影响买方使用设备的行为的；</w:t>
      </w:r>
    </w:p>
    <w:p w14:paraId="460D6C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12.3.2卖方所交付的设备不符合本合同约定的质量要求或屡次验收不合格或达不到验收标准的；</w:t>
      </w:r>
    </w:p>
    <w:p w14:paraId="4480BB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12.3.3卖方发生本合同约定的解除情形的；</w:t>
      </w:r>
    </w:p>
    <w:p w14:paraId="70D9ED1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12.3.4卖方有其他违约行为。</w:t>
      </w:r>
    </w:p>
    <w:p w14:paraId="17453BD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12.4卖方分批交付设备的，卖方对其中一批设备不交付或者交付不符合约定，致使该批设备不能实现本合同目的的，买方可以就该批设备解除合同。</w:t>
      </w:r>
    </w:p>
    <w:p w14:paraId="374DD2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12.5卖方不交付其中一批设备或者交付不符合约定，致使今后其他各批设备的交付不能实现本合同目的的，买方可以就该批以及今后其他各批设备解除合同。</w:t>
      </w:r>
    </w:p>
    <w:p w14:paraId="27D763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12.6买方如果就其中一批设备解除合同，该批设备与其他各批设备相互依存的，可以就已经交付和未交付的各批设备解除合同。</w:t>
      </w:r>
    </w:p>
    <w:p w14:paraId="0646A34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12.7因为卖方违约导致买方解除合同的，卖方应赔偿买方因此所遭受的一切损失。</w:t>
      </w:r>
    </w:p>
    <w:p w14:paraId="34AE0553">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6" w:name="_Toc16330030"/>
      <w:bookmarkStart w:id="147" w:name="_Toc13671"/>
      <w:bookmarkStart w:id="148" w:name="_Toc8620"/>
      <w:bookmarkStart w:id="149" w:name="_Toc31945"/>
      <w:r>
        <w:rPr>
          <w:rFonts w:hint="eastAsia" w:ascii="黑体" w:hAnsi="黑体" w:eastAsia="黑体" w:cs="黑体"/>
          <w:b w:val="0"/>
          <w:sz w:val="24"/>
          <w:szCs w:val="24"/>
        </w:rPr>
        <w:t>13 不可抗力</w:t>
      </w:r>
      <w:bookmarkEnd w:id="146"/>
      <w:bookmarkEnd w:id="147"/>
      <w:bookmarkEnd w:id="148"/>
      <w:bookmarkEnd w:id="149"/>
    </w:p>
    <w:p w14:paraId="65DFD4D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2A799DE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13.2各方应该通过协商决定是否终止本合同，或推迟全部或部分本合同的履行或免除对方全部或部分相关履行义务。</w:t>
      </w:r>
    </w:p>
    <w:p w14:paraId="437E270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0" w:name="_Toc16330031"/>
      <w:bookmarkStart w:id="151" w:name="_Toc30389"/>
      <w:bookmarkStart w:id="152" w:name="_Toc31243"/>
      <w:bookmarkStart w:id="153" w:name="_Toc637"/>
      <w:r>
        <w:rPr>
          <w:rFonts w:hint="eastAsia" w:ascii="黑体" w:hAnsi="黑体" w:eastAsia="黑体" w:cs="黑体"/>
          <w:b w:val="0"/>
          <w:sz w:val="24"/>
          <w:szCs w:val="24"/>
        </w:rPr>
        <w:t>14 通讯</w:t>
      </w:r>
      <w:bookmarkEnd w:id="150"/>
      <w:bookmarkEnd w:id="151"/>
      <w:bookmarkEnd w:id="152"/>
      <w:bookmarkEnd w:id="153"/>
    </w:p>
    <w:p w14:paraId="3CAEDEF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14.1通讯地址：</w:t>
      </w:r>
    </w:p>
    <w:p w14:paraId="6DAB451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本合同下的任何通讯按照本合同双方提供的信息，以书信、传真、电子通讯方式或电话作出。</w:t>
      </w:r>
    </w:p>
    <w:p w14:paraId="046EA8D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14.2生效</w:t>
      </w:r>
    </w:p>
    <w:p w14:paraId="2D0C72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14.2.1书信。书信为送达时生效；</w:t>
      </w:r>
    </w:p>
    <w:p w14:paraId="33086B8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14.2.2传真。发送人取得成功传输的信息时生效；</w:t>
      </w:r>
    </w:p>
    <w:p w14:paraId="07E62C9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14.2.3电子邮件。电子邮件于发送之时生效，前提是寄件者于该邮件发送后24小时内没有收到发送失败通知；</w:t>
      </w:r>
    </w:p>
    <w:p w14:paraId="0ADEA8E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14.2.4电话。电话于打出时生效，以电话作出的任何通讯必须以书信、传真或电子邮件确认，如果没有发送或者接收该确认不会使原有通讯失效。</w:t>
      </w:r>
    </w:p>
    <w:p w14:paraId="494B403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14.3书面法律证据。根据本合同以书信、传真或电子邮件方式送达任何订约方的任何通讯，将作为书面法律证据。</w:t>
      </w:r>
    </w:p>
    <w:p w14:paraId="56F2F8A5">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4" w:name="_Toc16330032"/>
      <w:bookmarkStart w:id="155" w:name="_Toc12984"/>
      <w:bookmarkStart w:id="156" w:name="_Toc11290"/>
      <w:bookmarkStart w:id="157" w:name="_Toc9915"/>
      <w:r>
        <w:rPr>
          <w:rFonts w:hint="eastAsia" w:ascii="黑体" w:hAnsi="黑体" w:eastAsia="黑体" w:cs="黑体"/>
          <w:b w:val="0"/>
          <w:sz w:val="24"/>
          <w:szCs w:val="24"/>
        </w:rPr>
        <w:t>15 适用法律及争议解决</w:t>
      </w:r>
      <w:bookmarkEnd w:id="154"/>
      <w:bookmarkEnd w:id="155"/>
      <w:bookmarkEnd w:id="156"/>
      <w:bookmarkEnd w:id="157"/>
    </w:p>
    <w:p w14:paraId="6E195E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15.1本合同条款的效力和解释适用中华人民共和国法律。</w:t>
      </w:r>
    </w:p>
    <w:p w14:paraId="696868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4B61F677">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8" w:name="_Toc16330033"/>
      <w:bookmarkStart w:id="159" w:name="_Toc18207"/>
      <w:bookmarkStart w:id="160" w:name="_Toc23906"/>
      <w:bookmarkStart w:id="161" w:name="_Toc23765"/>
      <w:r>
        <w:rPr>
          <w:rFonts w:hint="eastAsia" w:ascii="黑体" w:hAnsi="黑体" w:eastAsia="黑体" w:cs="黑体"/>
          <w:b w:val="0"/>
          <w:sz w:val="24"/>
          <w:szCs w:val="24"/>
        </w:rPr>
        <w:t>16 附件</w:t>
      </w:r>
      <w:bookmarkEnd w:id="158"/>
      <w:bookmarkEnd w:id="159"/>
      <w:bookmarkEnd w:id="160"/>
      <w:bookmarkEnd w:id="161"/>
    </w:p>
    <w:p w14:paraId="0F6DC3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本合同及其附件构成双方关于本合同标的之全部协议，包括但不限于下列文件：</w:t>
      </w:r>
    </w:p>
    <w:p w14:paraId="51A6495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16.1技术协议书；</w:t>
      </w:r>
    </w:p>
    <w:p w14:paraId="4DEEA7F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16.2合同设备一览表；</w:t>
      </w:r>
    </w:p>
    <w:p w14:paraId="3650A1B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16.3卖方中标的设备投标书以及一切书面承诺；</w:t>
      </w:r>
    </w:p>
    <w:p w14:paraId="773874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16.4招标文件。</w:t>
      </w:r>
    </w:p>
    <w:p w14:paraId="7288488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上述附件内容与本合同约定有冲突的，以本合同约定为准。</w:t>
      </w:r>
    </w:p>
    <w:p w14:paraId="55BADE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本合同及上述附件内容与固定资产设备项目偏差索赔细则有冲突的，以固定资产设备项目偏差索赔细则约定为准。</w:t>
      </w:r>
    </w:p>
    <w:p w14:paraId="5511A34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62" w:name="_Toc31331"/>
      <w:bookmarkStart w:id="163" w:name="_Toc27202"/>
      <w:bookmarkStart w:id="164" w:name="_Toc16330034"/>
      <w:bookmarkStart w:id="165" w:name="_Toc17656"/>
      <w:r>
        <w:rPr>
          <w:rFonts w:hint="eastAsia" w:ascii="黑体" w:hAnsi="黑体" w:eastAsia="黑体" w:cs="黑体"/>
          <w:b w:val="0"/>
          <w:sz w:val="24"/>
          <w:szCs w:val="24"/>
        </w:rPr>
        <w:t>17 其他规定</w:t>
      </w:r>
      <w:bookmarkEnd w:id="162"/>
      <w:bookmarkEnd w:id="163"/>
      <w:bookmarkEnd w:id="164"/>
      <w:bookmarkEnd w:id="165"/>
    </w:p>
    <w:p w14:paraId="572D27F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17.1本合同及其附件构成了双方就本合同所含交易而达成的全部合同，并取代双方先前与该等交易有关的全部口头和书面合同。</w:t>
      </w:r>
    </w:p>
    <w:p w14:paraId="3A722C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17.2如果本合同的任何条款和条件在任何时间成为非法、无效或不可强制执行的，则其他条款不应受其影响。</w:t>
      </w:r>
    </w:p>
    <w:p w14:paraId="6BE06FC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3B86BEBA">
      <w:pPr>
        <w:spacing w:line="360" w:lineRule="auto"/>
        <w:ind w:firstLine="480" w:firstLineChars="200"/>
        <w:rPr>
          <w:rFonts w:ascii="仿宋_GB2312" w:hAnsi="仿宋_GB2312" w:eastAsia="仿宋_GB2312" w:cs="仿宋_GB2312"/>
          <w:sz w:val="24"/>
          <w:szCs w:val="24"/>
        </w:rPr>
      </w:pPr>
      <w:bookmarkStart w:id="166" w:name="_Toc16330035"/>
      <w:bookmarkStart w:id="167" w:name="_Toc17952"/>
      <w:bookmarkStart w:id="168" w:name="_Toc29136"/>
      <w:bookmarkStart w:id="169" w:name="_Toc19077"/>
      <w:r>
        <w:rPr>
          <w:rFonts w:hint="eastAsia" w:ascii="仿宋_GB2312" w:hAnsi="仿宋_GB2312" w:eastAsia="仿宋_GB2312" w:cs="仿宋_GB2312"/>
          <w:sz w:val="24"/>
          <w:szCs w:val="24"/>
        </w:rPr>
        <w:t>17.4监造，在合同设备的制造过程中，买方有权派出代表对合同设备制造过程中的关键工序进行质量监督，卖方有配合买方监造的义务。</w:t>
      </w:r>
    </w:p>
    <w:p w14:paraId="1A16EFC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094C4F9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18 签署事项</w:t>
      </w:r>
      <w:bookmarkEnd w:id="166"/>
      <w:bookmarkEnd w:id="167"/>
      <w:bookmarkEnd w:id="168"/>
      <w:bookmarkEnd w:id="169"/>
    </w:p>
    <w:p w14:paraId="09315A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或协议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w:t>
      </w:r>
      <w:r>
        <w:rPr>
          <w:rFonts w:hint="eastAsia" w:ascii="仿宋_GB2312" w:hAnsi="仿宋_GB2312" w:eastAsia="仿宋_GB2312" w:cs="仿宋_GB2312"/>
          <w:sz w:val="24"/>
        </w:rPr>
        <w:t>所有的手写涂改、一方擅自增加、删改、篡改部分无效（电子签名除外）</w:t>
      </w:r>
      <w:r>
        <w:rPr>
          <w:rFonts w:hint="eastAsia" w:ascii="仿宋_GB2312" w:hAnsi="仿宋_GB2312" w:eastAsia="仿宋_GB2312" w:cs="仿宋_GB2312"/>
          <w:sz w:val="24"/>
          <w:szCs w:val="24"/>
        </w:rPr>
        <w:t>。</w:t>
      </w:r>
    </w:p>
    <w:p w14:paraId="032A6C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79ED45E0">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60F3A29C">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7BAD8D8">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B7607D9">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3" w:edGrp="everyone"/>
      <w:r>
        <w:rPr>
          <w:rFonts w:hint="eastAsia" w:ascii="仿宋_GB2312" w:hAnsi="宋体" w:eastAsia="仿宋_GB2312"/>
          <w:b/>
          <w:bCs/>
          <w:snapToGrid w:val="0"/>
          <w:kern w:val="0"/>
          <w:sz w:val="24"/>
          <w:szCs w:val="24"/>
          <w:u w:val="single"/>
        </w:rPr>
        <w:t>甲方单位全称</w:t>
      </w:r>
      <w:permEnd w:id="53"/>
    </w:p>
    <w:p w14:paraId="215C58B4">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300CC765">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7427310E">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263C7CB0">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p>
    <w:p w14:paraId="6CDBC39B">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kern w:val="0"/>
          <w:sz w:val="24"/>
          <w:szCs w:val="24"/>
          <w:lang w:eastAsia="zh-Hans"/>
        </w:rPr>
        <w:t xml:space="preserve">     </w:t>
      </w:r>
    </w:p>
    <w:p w14:paraId="6102F375">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4" w:edGrp="everyone"/>
      <w:r>
        <w:rPr>
          <w:rFonts w:hint="eastAsia" w:ascii="仿宋_GB2312" w:hAnsi="仿宋_GB2312" w:eastAsia="仿宋_GB2312" w:cs="仿宋_GB2312"/>
          <w:b/>
          <w:bCs/>
          <w:sz w:val="24"/>
          <w:szCs w:val="24"/>
          <w:u w:val="single"/>
        </w:rPr>
        <w:t>乙方单位全称</w:t>
      </w:r>
      <w:permEnd w:id="54"/>
    </w:p>
    <w:p w14:paraId="1257B5A2">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6BC65FFC">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01A1C991">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7FDC9FD2">
      <w:pPr>
        <w:rPr>
          <w:rFonts w:ascii="黑体" w:hAnsi="黑体" w:eastAsia="黑体" w:cstheme="minorEastAsia"/>
          <w:sz w:val="28"/>
          <w:szCs w:val="28"/>
        </w:rPr>
        <w:sectPr>
          <w:pgSz w:w="11907" w:h="16840"/>
          <w:pgMar w:top="1304" w:right="1418" w:bottom="1304" w:left="1418" w:header="724" w:footer="851" w:gutter="0"/>
          <w:cols w:space="720" w:num="1"/>
          <w:docGrid w:linePitch="290" w:charSpace="-3931"/>
        </w:sectPr>
      </w:pPr>
    </w:p>
    <w:p w14:paraId="39334BA8">
      <w:pPr>
        <w:rPr>
          <w:highlight w:val="yellow"/>
        </w:rPr>
      </w:pPr>
      <w:r>
        <w:rPr>
          <w:rFonts w:hint="eastAsia" w:ascii="黑体" w:hAnsi="黑体" w:eastAsia="黑体" w:cstheme="minorEastAsia"/>
          <w:sz w:val="28"/>
          <w:szCs w:val="28"/>
        </w:rPr>
        <w:t>附件一：设备清单明细表【作为附件另附】</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676"/>
        <w:gridCol w:w="706"/>
        <w:gridCol w:w="626"/>
        <w:gridCol w:w="952"/>
        <w:gridCol w:w="935"/>
        <w:gridCol w:w="872"/>
        <w:gridCol w:w="787"/>
        <w:gridCol w:w="891"/>
        <w:gridCol w:w="605"/>
        <w:gridCol w:w="605"/>
      </w:tblGrid>
      <w:tr w14:paraId="063B1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2B550FEE">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序号</w:t>
            </w:r>
          </w:p>
        </w:tc>
        <w:tc>
          <w:tcPr>
            <w:tcW w:w="756" w:type="dxa"/>
            <w:vAlign w:val="center"/>
          </w:tcPr>
          <w:p w14:paraId="57599EFA">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产品及部件名称</w:t>
            </w:r>
          </w:p>
        </w:tc>
        <w:tc>
          <w:tcPr>
            <w:tcW w:w="790" w:type="dxa"/>
            <w:vAlign w:val="center"/>
          </w:tcPr>
          <w:p w14:paraId="759759C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规格型号及技术参数</w:t>
            </w:r>
          </w:p>
        </w:tc>
        <w:tc>
          <w:tcPr>
            <w:tcW w:w="701" w:type="dxa"/>
            <w:vAlign w:val="center"/>
          </w:tcPr>
          <w:p w14:paraId="2648098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单位</w:t>
            </w:r>
          </w:p>
        </w:tc>
        <w:tc>
          <w:tcPr>
            <w:tcW w:w="1066" w:type="dxa"/>
            <w:vAlign w:val="center"/>
          </w:tcPr>
          <w:p w14:paraId="30F8CDF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数量</w:t>
            </w:r>
          </w:p>
        </w:tc>
        <w:tc>
          <w:tcPr>
            <w:tcW w:w="1046" w:type="dxa"/>
            <w:vAlign w:val="center"/>
          </w:tcPr>
          <w:p w14:paraId="2799F63B">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不含税</w:t>
            </w:r>
          </w:p>
          <w:p w14:paraId="7963F0E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977" w:type="dxa"/>
            <w:vAlign w:val="center"/>
          </w:tcPr>
          <w:p w14:paraId="1C0DD399">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税率</w:t>
            </w:r>
          </w:p>
        </w:tc>
        <w:tc>
          <w:tcPr>
            <w:tcW w:w="881" w:type="dxa"/>
            <w:vAlign w:val="center"/>
          </w:tcPr>
          <w:p w14:paraId="646F7D3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税额</w:t>
            </w:r>
          </w:p>
        </w:tc>
        <w:tc>
          <w:tcPr>
            <w:tcW w:w="997" w:type="dxa"/>
            <w:vAlign w:val="center"/>
          </w:tcPr>
          <w:p w14:paraId="42748E3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含税</w:t>
            </w:r>
          </w:p>
          <w:p w14:paraId="26FE775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677" w:type="dxa"/>
            <w:vAlign w:val="center"/>
          </w:tcPr>
          <w:p w14:paraId="4558610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品牌</w:t>
            </w:r>
          </w:p>
        </w:tc>
        <w:tc>
          <w:tcPr>
            <w:tcW w:w="677" w:type="dxa"/>
            <w:vAlign w:val="center"/>
          </w:tcPr>
          <w:p w14:paraId="1233192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其他</w:t>
            </w:r>
          </w:p>
        </w:tc>
      </w:tr>
      <w:tr w14:paraId="6FB30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4E4CCAE6">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1</w:t>
            </w:r>
          </w:p>
        </w:tc>
        <w:tc>
          <w:tcPr>
            <w:tcW w:w="756" w:type="dxa"/>
            <w:vAlign w:val="center"/>
          </w:tcPr>
          <w:p w14:paraId="77456F19">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3E61C248">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59934641">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A15BF25">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510AF153">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1AF732BB">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13BDA0C0">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0B14F7A4">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4141C0CA">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74375B2">
            <w:pPr>
              <w:pStyle w:val="24"/>
              <w:spacing w:line="360" w:lineRule="auto"/>
              <w:ind w:left="0" w:firstLine="0" w:firstLineChars="0"/>
              <w:jc w:val="center"/>
              <w:rPr>
                <w:rFonts w:ascii="仿宋_GB2312" w:eastAsia="仿宋_GB2312" w:hAnsiTheme="minorEastAsia" w:cstheme="minorEastAsia"/>
              </w:rPr>
            </w:pPr>
          </w:p>
        </w:tc>
      </w:tr>
      <w:tr w14:paraId="4FFAC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372B33D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2</w:t>
            </w:r>
          </w:p>
        </w:tc>
        <w:tc>
          <w:tcPr>
            <w:tcW w:w="756" w:type="dxa"/>
            <w:vAlign w:val="center"/>
          </w:tcPr>
          <w:p w14:paraId="688489AF">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01558E6">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33FCC3F3">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0A792B61">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31000F26">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4B433302">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649A34F1">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10C75CA5">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2EF79D1">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7408AF6">
            <w:pPr>
              <w:pStyle w:val="24"/>
              <w:spacing w:line="360" w:lineRule="auto"/>
              <w:ind w:left="0" w:firstLine="0" w:firstLineChars="0"/>
              <w:jc w:val="center"/>
              <w:rPr>
                <w:rFonts w:ascii="仿宋_GB2312" w:eastAsia="仿宋_GB2312" w:hAnsiTheme="minorEastAsia" w:cstheme="minorEastAsia"/>
              </w:rPr>
            </w:pPr>
          </w:p>
        </w:tc>
      </w:tr>
      <w:tr w14:paraId="01A9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7ADCF16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w:t>
            </w:r>
          </w:p>
        </w:tc>
        <w:tc>
          <w:tcPr>
            <w:tcW w:w="756" w:type="dxa"/>
            <w:vAlign w:val="center"/>
          </w:tcPr>
          <w:p w14:paraId="5D1DD40A">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0AB72B70">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0828F78E">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5668AAC8">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4F0A226E">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29544344">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09526CC9">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4BCE155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76CA59C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B3AF36A">
            <w:pPr>
              <w:pStyle w:val="24"/>
              <w:spacing w:line="360" w:lineRule="auto"/>
              <w:ind w:left="0" w:firstLine="0" w:firstLineChars="0"/>
              <w:jc w:val="center"/>
              <w:rPr>
                <w:rFonts w:ascii="仿宋_GB2312" w:eastAsia="仿宋_GB2312" w:hAnsiTheme="minorEastAsia" w:cstheme="minorEastAsia"/>
              </w:rPr>
            </w:pPr>
          </w:p>
        </w:tc>
      </w:tr>
      <w:tr w14:paraId="38F7A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00BD19B3">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合计</w:t>
            </w:r>
          </w:p>
        </w:tc>
        <w:tc>
          <w:tcPr>
            <w:tcW w:w="756" w:type="dxa"/>
            <w:vAlign w:val="center"/>
          </w:tcPr>
          <w:p w14:paraId="1303554C">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4284974">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70499AB5">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94B8E43">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26586690">
            <w:pPr>
              <w:spacing w:line="360" w:lineRule="auto"/>
              <w:jc w:val="center"/>
              <w:rPr>
                <w:rFonts w:ascii="仿宋_GB2312" w:eastAsia="仿宋_GB2312" w:hAnsiTheme="minorEastAsia" w:cstheme="minorEastAsia"/>
              </w:rPr>
            </w:pPr>
          </w:p>
        </w:tc>
        <w:tc>
          <w:tcPr>
            <w:tcW w:w="977" w:type="dxa"/>
            <w:vAlign w:val="center"/>
          </w:tcPr>
          <w:p w14:paraId="68DF70CC">
            <w:pPr>
              <w:spacing w:line="360" w:lineRule="auto"/>
              <w:jc w:val="center"/>
              <w:rPr>
                <w:rFonts w:ascii="仿宋_GB2312" w:eastAsia="仿宋_GB2312" w:hAnsiTheme="minorEastAsia" w:cstheme="minorEastAsia"/>
              </w:rPr>
            </w:pPr>
          </w:p>
        </w:tc>
        <w:tc>
          <w:tcPr>
            <w:tcW w:w="881" w:type="dxa"/>
            <w:vAlign w:val="center"/>
          </w:tcPr>
          <w:p w14:paraId="01AAF5AF">
            <w:pPr>
              <w:spacing w:line="360" w:lineRule="auto"/>
              <w:jc w:val="center"/>
              <w:rPr>
                <w:rFonts w:ascii="仿宋_GB2312" w:eastAsia="仿宋_GB2312" w:hAnsiTheme="minorEastAsia" w:cstheme="minorEastAsia"/>
              </w:rPr>
            </w:pPr>
          </w:p>
        </w:tc>
        <w:tc>
          <w:tcPr>
            <w:tcW w:w="997" w:type="dxa"/>
            <w:vAlign w:val="center"/>
          </w:tcPr>
          <w:p w14:paraId="203A787B">
            <w:pPr>
              <w:spacing w:line="360" w:lineRule="auto"/>
              <w:jc w:val="center"/>
              <w:rPr>
                <w:rFonts w:ascii="仿宋_GB2312" w:eastAsia="仿宋_GB2312" w:hAnsiTheme="minorEastAsia" w:cstheme="minorEastAsia"/>
              </w:rPr>
            </w:pPr>
          </w:p>
        </w:tc>
        <w:tc>
          <w:tcPr>
            <w:tcW w:w="677" w:type="dxa"/>
            <w:vAlign w:val="center"/>
          </w:tcPr>
          <w:p w14:paraId="5BD1B3F5">
            <w:pPr>
              <w:spacing w:line="360" w:lineRule="auto"/>
              <w:jc w:val="center"/>
              <w:rPr>
                <w:rFonts w:ascii="仿宋_GB2312" w:eastAsia="仿宋_GB2312" w:hAnsiTheme="minorEastAsia" w:cstheme="minorEastAsia"/>
              </w:rPr>
            </w:pPr>
          </w:p>
        </w:tc>
        <w:tc>
          <w:tcPr>
            <w:tcW w:w="677" w:type="dxa"/>
            <w:vAlign w:val="center"/>
          </w:tcPr>
          <w:p w14:paraId="2EA2DC8C">
            <w:pPr>
              <w:spacing w:line="360" w:lineRule="auto"/>
              <w:jc w:val="center"/>
              <w:rPr>
                <w:rFonts w:ascii="仿宋_GB2312" w:eastAsia="仿宋_GB2312" w:hAnsiTheme="minorEastAsia" w:cstheme="minorEastAsia"/>
              </w:rPr>
            </w:pPr>
          </w:p>
        </w:tc>
      </w:tr>
    </w:tbl>
    <w:p w14:paraId="197E7A65">
      <w:pPr>
        <w:pStyle w:val="2"/>
        <w:keepNext w:val="0"/>
        <w:keepLines w:val="0"/>
        <w:pageBreakBefore w:val="0"/>
        <w:widowControl w:val="0"/>
        <w:tabs>
          <w:tab w:val="right" w:leader="dot" w:pos="9061"/>
        </w:tabs>
        <w:kinsoku/>
        <w:wordWrap/>
        <w:overflowPunct/>
        <w:topLinePunct w:val="0"/>
        <w:autoSpaceDE/>
        <w:autoSpaceDN/>
        <w:bidi w:val="0"/>
        <w:ind w:left="0" w:firstLine="402" w:firstLineChars="200"/>
        <w:jc w:val="left"/>
        <w:textAlignment w:val="auto"/>
        <w:rPr>
          <w:rFonts w:asciiTheme="minorEastAsia" w:hAnsiTheme="minorEastAsia" w:eastAsiaTheme="minorEastAsia" w:cstheme="minorEastAsia"/>
          <w:sz w:val="20"/>
        </w:rPr>
      </w:pPr>
    </w:p>
    <w:p w14:paraId="61580EA6">
      <w:pPr>
        <w:rPr>
          <w:rFonts w:asciiTheme="minorEastAsia" w:hAnsiTheme="minorEastAsia" w:eastAsiaTheme="minorEastAsia" w:cstheme="minorEastAsia"/>
          <w:sz w:val="20"/>
        </w:rPr>
      </w:pPr>
    </w:p>
    <w:p w14:paraId="72F527C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3CEC3A63">
      <w:pPr>
        <w:widowControl/>
        <w:adjustRightInd w:val="0"/>
        <w:snapToGrid w:val="0"/>
        <w:spacing w:line="360" w:lineRule="auto"/>
        <w:ind w:firstLine="480" w:firstLineChars="200"/>
        <w:jc w:val="left"/>
        <w:rPr>
          <w:rFonts w:ascii="仿宋_GB2312" w:hAnsi="仿宋_GB2312" w:eastAsia="仿宋_GB2312" w:cs="仿宋_GB2312"/>
          <w:b/>
          <w:bCs/>
          <w:snapToGrid w:val="0"/>
          <w:kern w:val="0"/>
          <w:sz w:val="24"/>
          <w:szCs w:val="24"/>
          <w:u w:val="single"/>
        </w:rPr>
      </w:pPr>
      <w:r>
        <w:rPr>
          <w:rFonts w:hint="eastAsia" w:ascii="仿宋_GB2312" w:hAnsi="仿宋_GB2312" w:eastAsia="仿宋_GB2312" w:cs="仿宋_GB2312"/>
          <w:snapToGrid w:val="0"/>
          <w:kern w:val="0"/>
          <w:sz w:val="24"/>
          <w:szCs w:val="24"/>
          <w:lang w:eastAsia="zh-Hans"/>
        </w:rPr>
        <w:t>甲方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bCs/>
          <w:snapToGrid w:val="0"/>
          <w:kern w:val="0"/>
          <w:sz w:val="24"/>
          <w:szCs w:val="24"/>
          <w:u w:val="single"/>
        </w:rPr>
        <w:t>甲方单位全称</w:t>
      </w:r>
    </w:p>
    <w:p w14:paraId="0A69A0D8">
      <w:pPr>
        <w:widowControl/>
        <w:adjustRightInd w:val="0"/>
        <w:snapToGrid w:val="0"/>
        <w:spacing w:line="360" w:lineRule="auto"/>
        <w:ind w:firstLine="482" w:firstLineChars="200"/>
        <w:jc w:val="left"/>
        <w:rPr>
          <w:rFonts w:ascii="仿宋_GB2312" w:hAnsi="仿宋_GB2312" w:eastAsia="仿宋_GB2312" w:cs="仿宋_GB2312"/>
          <w:b/>
          <w:bCs/>
          <w:snapToGrid w:val="0"/>
          <w:kern w:val="0"/>
          <w:sz w:val="24"/>
          <w:szCs w:val="24"/>
          <w:u w:val="single"/>
        </w:rPr>
      </w:pPr>
    </w:p>
    <w:p w14:paraId="5E50A901">
      <w:pPr>
        <w:widowControl/>
        <w:adjustRightInd w:val="0"/>
        <w:snapToGrid w:val="0"/>
        <w:spacing w:line="36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napToGrid w:val="0"/>
          <w:color w:val="000000"/>
          <w:kern w:val="0"/>
          <w:sz w:val="24"/>
          <w:szCs w:val="24"/>
        </w:rPr>
        <w:t>甲方代表</w:t>
      </w:r>
      <w:r>
        <w:rPr>
          <w:rFonts w:hint="eastAsia" w:ascii="仿宋_GB2312" w:hAnsi="仿宋_GB2312" w:eastAsia="仿宋_GB2312" w:cs="仿宋_GB2312"/>
          <w:snapToGrid w:val="0"/>
          <w:color w:val="000000"/>
          <w:kern w:val="0"/>
          <w:sz w:val="24"/>
          <w:szCs w:val="24"/>
          <w:lang w:eastAsia="zh-Hans"/>
        </w:rPr>
        <w:t xml:space="preserve">（签字）： </w:t>
      </w:r>
    </w:p>
    <w:p w14:paraId="63A33DE2">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24A04DE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0A29E231">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5AB35969">
      <w:pPr>
        <w:widowControl/>
        <w:adjustRightInd w:val="0"/>
        <w:snapToGrid w:val="0"/>
        <w:spacing w:line="360" w:lineRule="auto"/>
        <w:ind w:firstLine="480" w:firstLineChars="200"/>
        <w:jc w:val="left"/>
        <w:rPr>
          <w:rFonts w:ascii="仿宋_GB2312" w:hAnsi="仿宋_GB2312" w:eastAsia="仿宋_GB2312" w:cs="仿宋_GB2312"/>
          <w:b/>
          <w:sz w:val="24"/>
          <w:szCs w:val="24"/>
          <w:u w:val="single"/>
        </w:rPr>
      </w:pPr>
      <w:r>
        <w:rPr>
          <w:rFonts w:hint="eastAsia" w:ascii="仿宋_GB2312" w:hAnsi="仿宋_GB2312" w:eastAsia="仿宋_GB2312" w:cs="仿宋_GB2312"/>
          <w:snapToGrid w:val="0"/>
          <w:kern w:val="0"/>
          <w:sz w:val="24"/>
          <w:szCs w:val="24"/>
        </w:rPr>
        <w:t>乙</w:t>
      </w:r>
      <w:r>
        <w:rPr>
          <w:rFonts w:hint="eastAsia" w:ascii="仿宋_GB2312" w:hAnsi="仿宋_GB2312" w:eastAsia="仿宋_GB2312" w:cs="仿宋_GB2312"/>
          <w:snapToGrid w:val="0"/>
          <w:kern w:val="0"/>
          <w:sz w:val="24"/>
          <w:szCs w:val="24"/>
          <w:lang w:eastAsia="zh-Hans"/>
        </w:rPr>
        <w:t>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sz w:val="24"/>
          <w:szCs w:val="24"/>
          <w:u w:val="single"/>
        </w:rPr>
        <w:t>乙方单位全称</w:t>
      </w:r>
    </w:p>
    <w:p w14:paraId="461CFAE4">
      <w:pPr>
        <w:widowControl/>
        <w:adjustRightInd w:val="0"/>
        <w:snapToGrid w:val="0"/>
        <w:spacing w:line="360" w:lineRule="auto"/>
        <w:ind w:firstLine="482" w:firstLineChars="200"/>
        <w:jc w:val="left"/>
        <w:rPr>
          <w:rFonts w:ascii="仿宋_GB2312" w:hAnsi="仿宋_GB2312" w:eastAsia="仿宋_GB2312" w:cs="仿宋_GB2312"/>
          <w:b/>
          <w:sz w:val="24"/>
          <w:szCs w:val="24"/>
          <w:u w:val="single"/>
        </w:rPr>
      </w:pPr>
    </w:p>
    <w:p w14:paraId="65810D83">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仿宋_GB2312" w:eastAsia="仿宋_GB2312" w:cs="仿宋_GB2312"/>
          <w:snapToGrid w:val="0"/>
          <w:color w:val="000000"/>
          <w:kern w:val="0"/>
          <w:sz w:val="24"/>
          <w:szCs w:val="24"/>
        </w:rPr>
        <w:t>乙方代表</w:t>
      </w:r>
      <w:r>
        <w:rPr>
          <w:rFonts w:hint="eastAsia" w:ascii="仿宋_GB2312" w:hAnsi="仿宋_GB2312" w:eastAsia="仿宋_GB2312" w:cs="仿宋_GB2312"/>
          <w:snapToGrid w:val="0"/>
          <w:color w:val="000000"/>
          <w:kern w:val="0"/>
          <w:sz w:val="24"/>
          <w:szCs w:val="24"/>
          <w:lang w:eastAsia="zh-Hans"/>
        </w:rPr>
        <w:t xml:space="preserve">（签字）： </w:t>
      </w:r>
    </w:p>
    <w:p w14:paraId="755A2FD5">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4AFDF4DB">
      <w:pPr>
        <w:widowControl/>
        <w:adjustRightInd w:val="0"/>
        <w:snapToGrid w:val="0"/>
        <w:spacing w:line="360" w:lineRule="auto"/>
        <w:jc w:val="left"/>
        <w:rPr>
          <w:rFonts w:ascii="仿宋_GB2312" w:hAnsi="仿宋_GB2312" w:eastAsia="仿宋_GB2312" w:cs="仿宋_GB2312"/>
          <w:snapToGrid w:val="0"/>
          <w:color w:val="000000"/>
          <w:kern w:val="0"/>
          <w:sz w:val="24"/>
          <w:szCs w:val="24"/>
          <w:lang w:eastAsia="zh-Hans"/>
        </w:rPr>
      </w:pPr>
    </w:p>
    <w:p w14:paraId="74626A93">
      <w:pPr>
        <w:widowControl/>
        <w:jc w:val="left"/>
        <w:rPr>
          <w:rFonts w:ascii="黑体" w:hAnsi="黑体" w:eastAsia="黑体" w:cstheme="minorEastAsia"/>
          <w:sz w:val="28"/>
          <w:szCs w:val="28"/>
        </w:rPr>
      </w:pPr>
    </w:p>
    <w:p w14:paraId="2EDB6DA6">
      <w:pPr>
        <w:widowControl/>
        <w:jc w:val="left"/>
        <w:rPr>
          <w:rFonts w:ascii="黑体" w:hAnsi="黑体" w:eastAsia="黑体" w:cstheme="minorEastAsia"/>
          <w:sz w:val="28"/>
          <w:szCs w:val="28"/>
        </w:rPr>
      </w:pPr>
    </w:p>
    <w:p w14:paraId="38F5A88E">
      <w:pPr>
        <w:widowControl/>
        <w:jc w:val="left"/>
        <w:rPr>
          <w:rFonts w:ascii="黑体" w:hAnsi="黑体" w:eastAsia="黑体" w:cstheme="minorEastAsia"/>
          <w:sz w:val="28"/>
          <w:szCs w:val="28"/>
        </w:rPr>
      </w:pPr>
    </w:p>
    <w:p w14:paraId="4B5483F2">
      <w:pPr>
        <w:widowControl/>
        <w:spacing w:line="300" w:lineRule="auto"/>
        <w:ind w:firstLine="643" w:firstLineChars="200"/>
        <w:jc w:val="center"/>
        <w:outlineLvl w:val="2"/>
        <w:rPr>
          <w:rFonts w:ascii="方正小标宋简体" w:hAnsi="方正小标宋简体" w:eastAsia="方正小标宋简体" w:cs="方正小标宋简体"/>
          <w:b/>
          <w:bCs/>
          <w:kern w:val="0"/>
          <w:sz w:val="32"/>
          <w:szCs w:val="32"/>
        </w:rPr>
      </w:pPr>
      <w:r>
        <w:rPr>
          <w:rFonts w:hint="eastAsia" w:ascii="方正小标宋简体" w:hAnsi="方正小标宋简体" w:eastAsia="方正小标宋简体" w:cs="方正小标宋简体"/>
          <w:b/>
          <w:bCs/>
          <w:kern w:val="0"/>
          <w:sz w:val="32"/>
          <w:szCs w:val="32"/>
        </w:rPr>
        <w:t xml:space="preserve">附件二 </w:t>
      </w:r>
      <w:r>
        <w:rPr>
          <w:rFonts w:ascii="方正小标宋简体" w:hAnsi="方正小标宋简体" w:eastAsia="方正小标宋简体" w:cs="方正小标宋简体"/>
          <w:b/>
          <w:bCs/>
          <w:kern w:val="0"/>
          <w:sz w:val="32"/>
          <w:szCs w:val="32"/>
        </w:rPr>
        <w:t xml:space="preserve"> 固定资产</w:t>
      </w:r>
      <w:r>
        <w:rPr>
          <w:rFonts w:hint="eastAsia" w:ascii="方正小标宋简体" w:hAnsi="方正小标宋简体" w:eastAsia="方正小标宋简体" w:cs="方正小标宋简体"/>
          <w:b/>
          <w:bCs/>
          <w:kern w:val="0"/>
          <w:sz w:val="32"/>
          <w:szCs w:val="32"/>
        </w:rPr>
        <w:t>设备</w:t>
      </w:r>
      <w:r>
        <w:rPr>
          <w:rFonts w:ascii="方正小标宋简体" w:hAnsi="方正小标宋简体" w:eastAsia="方正小标宋简体" w:cs="方正小标宋简体"/>
          <w:b/>
          <w:bCs/>
          <w:kern w:val="0"/>
          <w:sz w:val="32"/>
          <w:szCs w:val="32"/>
        </w:rPr>
        <w:t>项目偏差索赔细则</w:t>
      </w:r>
    </w:p>
    <w:p w14:paraId="0E4BAECD">
      <w:pPr>
        <w:spacing w:line="300" w:lineRule="auto"/>
        <w:ind w:firstLine="480" w:firstLineChars="200"/>
        <w:rPr>
          <w:rFonts w:ascii="仿宋_GB2312" w:eastAsia="仿宋_GB2312"/>
          <w:sz w:val="24"/>
          <w:szCs w:val="24"/>
        </w:rPr>
      </w:pPr>
      <w:r>
        <w:rPr>
          <w:rFonts w:hint="eastAsia" w:ascii="仿宋_GB2312" w:hAnsi="仿宋_GB2312" w:eastAsia="仿宋_GB2312" w:cs="仿宋_GB2312"/>
          <w:kern w:val="0"/>
          <w:sz w:val="24"/>
          <w:szCs w:val="24"/>
          <w:lang w:bidi="ar"/>
        </w:rPr>
        <w:t>为规范固定资产项目实施过程中，因卖方原因导致设备各项重要技术指标、项目进度出现偏差，造成项目延期交付或无法通过验收等情况，经协商一致，就索赔扣款事宜订立本细则，双方共同遵守。</w:t>
      </w:r>
    </w:p>
    <w:p w14:paraId="30CD902A">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一、固定资产投资项目偏差及索赔细则</w:t>
      </w:r>
    </w:p>
    <w:p w14:paraId="2D950998">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（一）非标设备、产线等生产类固定资产投资项目</w:t>
      </w:r>
    </w:p>
    <w:p w14:paraId="041D02AA">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1、产能节拍偏差</w:t>
      </w:r>
    </w:p>
    <w:p w14:paraId="4DF17681">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1.1基准值</w:t>
      </w:r>
      <w:r>
        <w:rPr>
          <w:rFonts w:hint="eastAsia" w:ascii="仿宋_GB2312" w:hAnsi="仿宋_GB2312" w:eastAsia="仿宋_GB2312" w:cs="仿宋_GB2312"/>
          <w:sz w:val="24"/>
          <w:szCs w:val="24"/>
        </w:rPr>
        <w:t>：</w:t>
      </w:r>
    </w:p>
    <w:p w14:paraId="31ADAE6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产能节拍是指特定时间段内，生产线或生产工序必须完成一个单位产品所需要的时间间隔，以合同/技术协议内的节拍时间（秒/件）为准。</w:t>
      </w:r>
    </w:p>
    <w:p w14:paraId="4F90DC57">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1.2节拍偏差率核算公式</w:t>
      </w:r>
      <w:r>
        <w:rPr>
          <w:rFonts w:hint="eastAsia" w:ascii="仿宋_GB2312" w:hAnsi="仿宋_GB2312" w:eastAsia="仿宋_GB2312" w:cs="仿宋_GB2312"/>
          <w:sz w:val="24"/>
          <w:szCs w:val="24"/>
        </w:rPr>
        <w:t>：</w:t>
      </w:r>
    </w:p>
    <w:p w14:paraId="6A072C4A">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节拍偏差率=（实际节拍-约定节拍）÷约定节拍×100%</w:t>
      </w:r>
    </w:p>
    <w:p w14:paraId="0C680373">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1.3扣款规则</w:t>
      </w:r>
      <w:r>
        <w:rPr>
          <w:rFonts w:hint="eastAsia" w:ascii="仿宋_GB2312" w:hAnsi="仿宋_GB2312" w:eastAsia="仿宋_GB2312" w:cs="仿宋_GB2312"/>
          <w:sz w:val="24"/>
          <w:szCs w:val="24"/>
        </w:rPr>
        <w:t>：</w:t>
      </w:r>
    </w:p>
    <w:p w14:paraId="4391BBE0">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节拍偏差率≤3%：视为允许偏差，不扣款；</w:t>
      </w:r>
    </w:p>
    <w:p w14:paraId="6033BEE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节拍偏差率3%＜偏差率≤10%：偏差每超出1%，扣减设备合同价款的1%；</w:t>
      </w:r>
    </w:p>
    <w:p w14:paraId="422B6294">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节拍偏差率10%＜偏差率≤30%：属重大偏差，偏差每超出1%，扣减设备合同价款的1%；买方有权全部或部分不予验收付款，买方视情况选择解除合同或继续执行合同；</w:t>
      </w:r>
    </w:p>
    <w:p w14:paraId="78B5680E">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节拍偏差率＞30%：属根本违约，买方有权不予验收、不予付款，并有权单方解除合同。</w:t>
      </w:r>
    </w:p>
    <w:p w14:paraId="7AE3959D">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当项目涉及多个产品需进行节拍验收时，参照双方在合同内约定的各个产品节拍偏离扣款基数；如无明确约定，按扣款比例=(节拍超差产品数量/需验收节拍产品数量)*100%进行折算。</w:t>
      </w:r>
    </w:p>
    <w:p w14:paraId="798BF86D">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2、自动化率偏差</w:t>
      </w:r>
    </w:p>
    <w:p w14:paraId="4422ADF9">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2.1基准值</w:t>
      </w:r>
      <w:r>
        <w:rPr>
          <w:rFonts w:hint="eastAsia" w:ascii="仿宋_GB2312" w:hAnsi="仿宋_GB2312" w:eastAsia="仿宋_GB2312" w:cs="仿宋_GB2312"/>
          <w:sz w:val="24"/>
          <w:szCs w:val="24"/>
        </w:rPr>
        <w:t>：</w:t>
      </w:r>
    </w:p>
    <w:p w14:paraId="26E51A5D">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自动化率是指设备在完成其预定功能时不需要人工干预的程度，以合同</w:t>
      </w:r>
      <w:r>
        <w:rPr>
          <w:rFonts w:hint="eastAsia" w:ascii="仿宋_GB2312" w:hAnsi="仿宋_GB2312" w:eastAsia="仿宋_GB2312" w:cs="仿宋_GB2312"/>
          <w:kern w:val="0"/>
          <w:sz w:val="24"/>
          <w:szCs w:val="24"/>
          <w:lang w:bidi="ar"/>
        </w:rPr>
        <w:t>/技术协议</w:t>
      </w:r>
      <w:r>
        <w:rPr>
          <w:rFonts w:hint="eastAsia" w:ascii="仿宋_GB2312" w:hAnsi="仿宋_GB2312" w:eastAsia="仿宋_GB2312" w:cs="仿宋_GB2312"/>
          <w:sz w:val="24"/>
          <w:szCs w:val="24"/>
        </w:rPr>
        <w:t>约定的</w:t>
      </w:r>
      <w:r>
        <w:rPr>
          <w:rFonts w:hint="eastAsia" w:ascii="仿宋_GB2312" w:hAnsi="仿宋_GB2312" w:eastAsia="仿宋_GB2312" w:cs="仿宋_GB2312"/>
          <w:b/>
          <w:sz w:val="24"/>
          <w:szCs w:val="24"/>
        </w:rPr>
        <w:t>自动化率</w:t>
      </w:r>
      <w:r>
        <w:rPr>
          <w:rFonts w:hint="eastAsia" w:ascii="仿宋_GB2312" w:hAnsi="仿宋_GB2312" w:eastAsia="仿宋_GB2312" w:cs="仿宋_GB2312"/>
          <w:sz w:val="24"/>
          <w:szCs w:val="24"/>
        </w:rPr>
        <w:t>为准，按Q/ZZ 30096《产线自动化率核算规范》内规定的计算方法进行核算。</w:t>
      </w:r>
    </w:p>
    <w:p w14:paraId="0DAE9442">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2.2自动化率偏差核算公式</w:t>
      </w:r>
      <w:r>
        <w:rPr>
          <w:rFonts w:hint="eastAsia" w:ascii="仿宋_GB2312" w:hAnsi="仿宋_GB2312" w:eastAsia="仿宋_GB2312" w:cs="仿宋_GB2312"/>
          <w:sz w:val="24"/>
          <w:szCs w:val="24"/>
        </w:rPr>
        <w:t>：</w:t>
      </w:r>
    </w:p>
    <w:p w14:paraId="24415651">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自动化率偏差=约定自动化率-实际达成自动化率</w:t>
      </w:r>
    </w:p>
    <w:p w14:paraId="35C7ADA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2.3扣款规则</w:t>
      </w:r>
      <w:r>
        <w:rPr>
          <w:rFonts w:hint="eastAsia" w:ascii="仿宋_GB2312" w:hAnsi="仿宋_GB2312" w:eastAsia="仿宋_GB2312" w:cs="仿宋_GB2312"/>
          <w:sz w:val="24"/>
          <w:szCs w:val="24"/>
        </w:rPr>
        <w:t>：</w:t>
      </w:r>
    </w:p>
    <w:p w14:paraId="579C07A9">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自动化率偏差率＜【5】%：视为允许偏差，不扣款；</w:t>
      </w:r>
    </w:p>
    <w:p w14:paraId="0556488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【5】%≤自动化率偏差率＜【15】%：偏差每高1%，扣减对应合同价款的0.5%；</w:t>
      </w:r>
    </w:p>
    <w:p w14:paraId="3342A165">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bidi="ar"/>
        </w:rPr>
        <w:t>自动化率偏差率≥【15】%：视为重大偏差，买方有权选择以下任一种扣款方式：①按照额外增加的人工及设备使用年限核算扣款，人工成本按买方实际支出执行扣款，扣款不高于合同总价款的30%；②买方有权全部或部分不予验收付款，并单方解除合同。</w:t>
      </w:r>
    </w:p>
    <w:p w14:paraId="4E643063">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3、功能及性能偏差</w:t>
      </w:r>
    </w:p>
    <w:p w14:paraId="642D08A1">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3.1核心功能/主要参数不达标（根本违约）</w:t>
      </w:r>
    </w:p>
    <w:p w14:paraId="3628430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设备主要功能、核心性能指标、关键技术参数未达到合同及附件《技术协议》约定标准或国家、行业标准，导致项目无法实现核心产能、工艺要求不满足、整体验收不合格的，视为卖方根本违约。</w:t>
      </w:r>
    </w:p>
    <w:p w14:paraId="563A6B9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27D980E8">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对于创新性强、技术难度大的挑战性项目，如存在部分关键指标不达标但经买方认定不影响产品、产线使用的，买方可选择让步接收，卖方提供不高于合同总金额的20%的折扣作为对买方让步接收的补偿。</w:t>
      </w:r>
    </w:p>
    <w:p w14:paraId="70DFF4FD">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3.2辅助指标/配置不符（非根本违约）</w:t>
      </w:r>
    </w:p>
    <w:p w14:paraId="36845D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25635077">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4、交付期偏差</w:t>
      </w:r>
    </w:p>
    <w:p w14:paraId="15342AB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4.1交付期偏差：</w:t>
      </w:r>
      <w:r>
        <w:rPr>
          <w:rFonts w:hint="eastAsia" w:ascii="仿宋_GB2312" w:hAnsi="仿宋_GB2312" w:eastAsia="仿宋_GB2312" w:cs="仿宋_GB2312"/>
          <w:sz w:val="24"/>
          <w:szCs w:val="24"/>
        </w:rPr>
        <w:t>指设备到货、安装调试等过程周期超出合同约定的时间。</w:t>
      </w:r>
    </w:p>
    <w:p w14:paraId="47F3BC5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4.2扣款规则：</w:t>
      </w:r>
      <w:r>
        <w:rPr>
          <w:rFonts w:hint="eastAsia" w:ascii="仿宋_GB2312" w:hAnsi="仿宋_GB2312" w:eastAsia="仿宋_GB2312" w:cs="仿宋_GB2312"/>
          <w:sz w:val="24"/>
          <w:szCs w:val="24"/>
        </w:rPr>
        <w:t>到货或安装调试每迟1个工作日，扣减设备合同价款的1%作为违约金，如违约金超过合同总价款的20%或因卖方原因设备未能通过最终验收，买方有权就卖方违约而解除合同，且卖方仍须支付上述违约金，返还买方已支付的设备款（如有），并赔偿由此给买方造成的一切损失。</w:t>
      </w:r>
    </w:p>
    <w:p w14:paraId="02252382">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（二）研发、检测类固定资产投资项目</w:t>
      </w:r>
    </w:p>
    <w:p w14:paraId="617B7B2E">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1、功能及性能偏差</w:t>
      </w:r>
    </w:p>
    <w:p w14:paraId="2BDB7166">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1.1核心功能/主要参数不达标（根本违约）</w:t>
      </w:r>
    </w:p>
    <w:p w14:paraId="3814AA47">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设备主要功能、核心性能指标、关键技术参数未达到合同及附件《技术协议》约定标准或国家、行业标准，导致项目无法实现核心功能、工艺要求不满足、整体验收不合格的，视为卖方根本违约。</w:t>
      </w:r>
    </w:p>
    <w:p w14:paraId="04D82C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11D680C3">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对于创新性强、技术难度大的挑战性项目，如存在部分次要指标不达标但经买方认定不影响使用的，买方可选择让步接收，卖方提供不高于合同总金额的20%的折扣作为对买方让步接收的补偿。</w:t>
      </w:r>
    </w:p>
    <w:p w14:paraId="68DDD5B3">
      <w:pPr>
        <w:widowControl/>
        <w:spacing w:line="300" w:lineRule="auto"/>
        <w:ind w:left="-363" w:firstLine="723" w:firstLineChars="3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1.2辅助指标/配置不符（非根本违约）</w:t>
      </w:r>
    </w:p>
    <w:p w14:paraId="75BEDF34">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63CE274C">
      <w:pPr>
        <w:widowControl/>
        <w:spacing w:line="300" w:lineRule="auto"/>
        <w:ind w:left="-363" w:firstLine="843" w:firstLineChars="35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2、交付期偏差</w:t>
      </w:r>
    </w:p>
    <w:p w14:paraId="28C2B26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2.1交付期偏差：</w:t>
      </w:r>
      <w:r>
        <w:rPr>
          <w:rFonts w:hint="eastAsia" w:ascii="仿宋_GB2312" w:hAnsi="仿宋_GB2312" w:eastAsia="仿宋_GB2312" w:cs="仿宋_GB2312"/>
          <w:sz w:val="24"/>
          <w:szCs w:val="24"/>
        </w:rPr>
        <w:t>指设备到货、安装调试等过程，因卖方自身原因造成周期超出合同约定的时间。</w:t>
      </w:r>
    </w:p>
    <w:p w14:paraId="327990B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2.2扣款规则：</w:t>
      </w:r>
      <w:r>
        <w:rPr>
          <w:rFonts w:hint="eastAsia" w:ascii="仿宋_GB2312" w:hAnsi="仿宋_GB2312" w:eastAsia="仿宋_GB2312" w:cs="仿宋_GB2312"/>
          <w:sz w:val="24"/>
          <w:szCs w:val="24"/>
        </w:rPr>
        <w:t>交付期每迟1个工作日，扣减设备合同价款的0.5%，如扣款额超过合同总价款的20%，买方有权就卖方违约而解除合同，且卖方仍须支付上述违约金，并赔偿由此给买方造成的一切损失。</w:t>
      </w:r>
    </w:p>
    <w:p w14:paraId="634ADFD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w:t>
      </w:r>
      <w:r>
        <w:rPr>
          <w:rFonts w:hint="eastAsia" w:ascii="仿宋_GB2312" w:hAnsi="仿宋_GB2312" w:eastAsia="仿宋_GB2312" w:cs="仿宋_GB2312"/>
          <w:sz w:val="24"/>
          <w:szCs w:val="24"/>
        </w:rPr>
        <w:t>针对研发、检测类试验设备特殊卖方（技术垄断、进口）的超期情况，第一次卖方需提前两个月提出书面延期申请并附最新交货期，经买方研判后出具考核结论；第二次超期时，买方按上述扣款规则进行考核。</w:t>
      </w:r>
    </w:p>
    <w:p w14:paraId="36DA3D05">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二、考核与执行流程</w:t>
      </w:r>
    </w:p>
    <w:p w14:paraId="0A7801B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1、卖方同意，在买方就索赔扣款及违约金通知卖方后，买方有权直接从</w:t>
      </w:r>
      <w:r>
        <w:rPr>
          <w:rFonts w:hint="eastAsia" w:ascii="仿宋_GB2312" w:hAnsi="仿宋_GB2312" w:eastAsia="仿宋_GB2312" w:cs="仿宋_GB2312"/>
          <w:b/>
          <w:sz w:val="24"/>
          <w:szCs w:val="24"/>
        </w:rPr>
        <w:t>项目尾款、履约保证金或质保金</w:t>
      </w:r>
      <w:r>
        <w:rPr>
          <w:rFonts w:hint="eastAsia" w:ascii="仿宋_GB2312" w:hAnsi="仿宋_GB2312" w:eastAsia="仿宋_GB2312" w:cs="仿宋_GB2312"/>
          <w:sz w:val="24"/>
          <w:szCs w:val="24"/>
        </w:rPr>
        <w:t>中优先抵扣相应款项。若抵扣后仍不足以覆盖索赔扣款及违约金金额，卖方应就剩余部分另行向买方支付。</w:t>
      </w:r>
    </w:p>
    <w:p w14:paraId="2F7024AF">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2、针对同一问题同时触发的多项索赔，不重复扣款，按照索赔金额较高的标准执行，但不同阶段重复发生的不在此限。所有索赔金额不超过合同总金额的30%。</w:t>
      </w:r>
    </w:p>
    <w:p w14:paraId="46F665B2">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三、附则</w:t>
      </w:r>
    </w:p>
    <w:p w14:paraId="226B635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本细则作为主合同</w:t>
      </w:r>
      <w:r>
        <w:rPr>
          <w:rFonts w:hint="eastAsia" w:ascii="仿宋_GB2312" w:hAnsi="仿宋_GB2312" w:eastAsia="仿宋_GB2312" w:cs="仿宋_GB2312"/>
          <w:b/>
          <w:sz w:val="24"/>
          <w:szCs w:val="24"/>
        </w:rPr>
        <w:t>有效组成部分</w:t>
      </w:r>
      <w:r>
        <w:rPr>
          <w:rFonts w:hint="eastAsia" w:ascii="仿宋_GB2312" w:hAnsi="仿宋_GB2312" w:eastAsia="仿宋_GB2312" w:cs="仿宋_GB2312"/>
          <w:sz w:val="24"/>
          <w:szCs w:val="24"/>
        </w:rPr>
        <w:t>，与合同、技术协议具有同等法律效力；如本细则内容与合同、技术协议约定有冲突的，以本细则为准。</w:t>
      </w:r>
    </w:p>
    <w:p w14:paraId="04023613">
      <w:pPr>
        <w:rPr>
          <w:rFonts w:hint="eastAsia" w:ascii="宋体" w:hAnsi="宋体"/>
          <w:b/>
          <w:sz w:val="28"/>
          <w:szCs w:val="28"/>
        </w:rPr>
      </w:pPr>
    </w:p>
    <w:bookmarkEnd w:id="97"/>
    <w:p w14:paraId="7575AA97">
      <w:pPr>
        <w:outlineLvl w:val="9"/>
        <w:sectPr>
          <w:pgSz w:w="11906" w:h="16838"/>
          <w:pgMar w:top="1440" w:right="1800" w:bottom="1440" w:left="1800" w:header="851" w:footer="992" w:gutter="0"/>
          <w:pgNumType w:fmt="decimal"/>
          <w:cols w:space="720" w:num="1"/>
          <w:docGrid w:type="lines" w:linePitch="312" w:charSpace="0"/>
        </w:sectPr>
      </w:pPr>
    </w:p>
    <w:bookmarkEnd w:id="94"/>
    <w:bookmarkEnd w:id="95"/>
    <w:p w14:paraId="15B0AB2B">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170" w:name="_Toc6299"/>
      <w:bookmarkStart w:id="171" w:name="_Toc17510"/>
      <w:r>
        <w:rPr>
          <w:rFonts w:hint="eastAsia"/>
        </w:rPr>
        <w:t>第七章 投标文件格式</w:t>
      </w:r>
      <w:bookmarkEnd w:id="170"/>
      <w:bookmarkEnd w:id="171"/>
    </w:p>
    <w:p w14:paraId="64BCE412">
      <w:pPr>
        <w:pStyle w:val="3"/>
        <w:spacing w:before="156"/>
      </w:pPr>
      <w:bookmarkStart w:id="172" w:name="_Toc4150"/>
      <w:bookmarkStart w:id="173" w:name="_Toc9331"/>
      <w:bookmarkStart w:id="174" w:name="_Toc146698136"/>
      <w:r>
        <w:rPr>
          <w:rFonts w:hint="eastAsia"/>
        </w:rPr>
        <w:t>一、投标函</w:t>
      </w:r>
      <w:bookmarkEnd w:id="172"/>
      <w:bookmarkEnd w:id="173"/>
      <w:bookmarkEnd w:id="174"/>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7"/>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7"/>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7"/>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7"/>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7"/>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7"/>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75" w:name="_Toc216"/>
      <w:bookmarkStart w:id="176" w:name="_Toc29501"/>
      <w:bookmarkStart w:id="177" w:name="_Toc146698137"/>
      <w:r>
        <w:rPr>
          <w:rFonts w:hint="eastAsia"/>
        </w:rPr>
        <w:t>二、法定代表人授权书</w:t>
      </w:r>
      <w:bookmarkEnd w:id="175"/>
      <w:bookmarkEnd w:id="176"/>
      <w:bookmarkEnd w:id="177"/>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78" w:name="_Toc301469812"/>
      <w:bookmarkStart w:id="179" w:name="_Toc119413768"/>
    </w:p>
    <w:bookmarkEnd w:id="178"/>
    <w:bookmarkEnd w:id="179"/>
    <w:p w14:paraId="33C77D45">
      <w:pPr>
        <w:pStyle w:val="3"/>
        <w:spacing w:before="156"/>
      </w:pPr>
      <w:bookmarkStart w:id="180" w:name="_Hlt119329906"/>
      <w:bookmarkEnd w:id="180"/>
      <w:bookmarkStart w:id="181" w:name="_Toc146698138"/>
      <w:bookmarkStart w:id="182" w:name="_Toc11449"/>
      <w:bookmarkStart w:id="183" w:name="_Toc11854"/>
      <w:r>
        <w:rPr>
          <w:rFonts w:hint="eastAsia"/>
          <w:sz w:val="24"/>
          <w:szCs w:val="24"/>
        </w:rPr>
        <w:t>三、</w:t>
      </w:r>
      <w:r>
        <w:rPr>
          <w:rFonts w:hint="eastAsia"/>
        </w:rPr>
        <w:t>唱标单</w:t>
      </w:r>
      <w:bookmarkEnd w:id="181"/>
      <w:bookmarkEnd w:id="182"/>
      <w:bookmarkEnd w:id="183"/>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9"/>
        <w:gridCol w:w="1643"/>
        <w:gridCol w:w="7614"/>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84" w:name="_Toc119413770"/>
      <w:bookmarkStart w:id="185" w:name="_Toc301469814"/>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86" w:name="_Toc146698139"/>
      <w:bookmarkStart w:id="187" w:name="_Toc22187"/>
      <w:bookmarkStart w:id="188" w:name="_Toc30398"/>
      <w:r>
        <w:rPr>
          <w:rFonts w:hint="eastAsia"/>
        </w:rPr>
        <w:t>四、企业基本情况</w:t>
      </w:r>
      <w:bookmarkEnd w:id="184"/>
      <w:bookmarkEnd w:id="185"/>
      <w:r>
        <w:rPr>
          <w:rFonts w:hint="eastAsia"/>
        </w:rPr>
        <w:t>介绍</w:t>
      </w:r>
      <w:bookmarkEnd w:id="186"/>
      <w:bookmarkEnd w:id="187"/>
      <w:bookmarkEnd w:id="188"/>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189" w:name="_Toc301469815"/>
            <w:bookmarkStart w:id="190" w:name="_Toc119413771"/>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191" w:name="_Toc6833"/>
      <w:bookmarkStart w:id="192" w:name="_Toc8525"/>
      <w:bookmarkStart w:id="193" w:name="_Toc16064006"/>
      <w:bookmarkStart w:id="194" w:name="_Toc146698140"/>
      <w:r>
        <w:rPr>
          <w:rFonts w:hint="eastAsia"/>
        </w:rPr>
        <w:t>五、202</w:t>
      </w:r>
      <w:r>
        <w:rPr>
          <w:rFonts w:hint="eastAsia"/>
          <w:lang w:val="en-US" w:eastAsia="zh-CN"/>
        </w:rPr>
        <w:t>3</w:t>
      </w:r>
      <w:r>
        <w:rPr>
          <w:rFonts w:hint="eastAsia"/>
        </w:rPr>
        <w:t>、202</w:t>
      </w:r>
      <w:r>
        <w:rPr>
          <w:rFonts w:hint="eastAsia"/>
          <w:lang w:val="en-US" w:eastAsia="zh-CN"/>
        </w:rPr>
        <w:t>4</w:t>
      </w:r>
      <w:r>
        <w:rPr>
          <w:rFonts w:hint="eastAsia"/>
        </w:rPr>
        <w:t>、</w:t>
      </w:r>
      <w:r>
        <w:t>202</w:t>
      </w:r>
      <w:r>
        <w:rPr>
          <w:rFonts w:hint="eastAsia"/>
          <w:lang w:val="en-US" w:eastAsia="zh-CN"/>
        </w:rPr>
        <w:t>5</w:t>
      </w:r>
      <w:r>
        <w:rPr>
          <w:rFonts w:hint="eastAsia"/>
        </w:rPr>
        <w:t>年财务状况</w:t>
      </w:r>
      <w:bookmarkEnd w:id="191"/>
      <w:bookmarkEnd w:id="192"/>
      <w:bookmarkEnd w:id="193"/>
      <w:bookmarkEnd w:id="194"/>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8"/>
        <w:gridCol w:w="2089"/>
        <w:gridCol w:w="1744"/>
        <w:gridCol w:w="2005"/>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3</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195" w:name="_Toc17701"/>
      <w:bookmarkStart w:id="196" w:name="_Toc6247"/>
      <w:bookmarkStart w:id="197" w:name="_Toc14471"/>
      <w:bookmarkStart w:id="198" w:name="_Toc146698141"/>
      <w:bookmarkStart w:id="199" w:name="_Toc13417"/>
      <w:bookmarkStart w:id="200" w:name="_Toc20930"/>
      <w:bookmarkStart w:id="201" w:name="_Toc12385"/>
      <w:bookmarkStart w:id="202" w:name="_Toc16064001"/>
      <w:bookmarkStart w:id="203" w:name="_Toc17817351"/>
      <w:r>
        <w:rPr>
          <w:rFonts w:hint="eastAsia"/>
        </w:rPr>
        <w:t>六、投标保证金</w:t>
      </w:r>
      <w:bookmarkEnd w:id="195"/>
      <w:bookmarkEnd w:id="196"/>
      <w:bookmarkEnd w:id="197"/>
      <w:bookmarkEnd w:id="198"/>
      <w:bookmarkEnd w:id="199"/>
      <w:bookmarkEnd w:id="200"/>
      <w:bookmarkEnd w:id="201"/>
      <w:bookmarkEnd w:id="202"/>
      <w:bookmarkEnd w:id="203"/>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04" w:name="_Toc10110"/>
      <w:bookmarkStart w:id="205" w:name="_Toc21223"/>
      <w:bookmarkStart w:id="206" w:name="_Toc146698142"/>
      <w:r>
        <w:rPr>
          <w:rFonts w:hint="eastAsia"/>
        </w:rPr>
        <w:t>七、项目负责人简历表</w:t>
      </w:r>
      <w:bookmarkEnd w:id="204"/>
      <w:bookmarkEnd w:id="205"/>
      <w:bookmarkEnd w:id="206"/>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3"/>
        <w:gridCol w:w="1583"/>
        <w:gridCol w:w="1423"/>
        <w:gridCol w:w="86"/>
        <w:gridCol w:w="1655"/>
        <w:gridCol w:w="1606"/>
        <w:gridCol w:w="1410"/>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07"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08" w:name="_Toc30903"/>
      <w:bookmarkStart w:id="209" w:name="_Toc447552577"/>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07"/>
      <w:bookmarkEnd w:id="208"/>
      <w:bookmarkEnd w:id="209"/>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1"/>
        <w:gridCol w:w="821"/>
        <w:gridCol w:w="1387"/>
        <w:gridCol w:w="821"/>
        <w:gridCol w:w="821"/>
        <w:gridCol w:w="2237"/>
        <w:gridCol w:w="1388"/>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189"/>
    <w:bookmarkEnd w:id="190"/>
    <w:p w14:paraId="0F28EE13">
      <w:pPr>
        <w:pStyle w:val="3"/>
        <w:spacing w:before="156"/>
      </w:pPr>
      <w:bookmarkStart w:id="210" w:name="_Toc13973"/>
      <w:bookmarkStart w:id="211" w:name="_Toc13648"/>
      <w:bookmarkStart w:id="212" w:name="_Toc146698143"/>
      <w:r>
        <w:rPr>
          <w:rFonts w:hint="eastAsia"/>
        </w:rPr>
        <w:t>九、方案、承诺及其他</w:t>
      </w:r>
      <w:bookmarkEnd w:id="210"/>
      <w:bookmarkEnd w:id="211"/>
      <w:bookmarkEnd w:id="212"/>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8"/>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8"/>
        </w:numPr>
        <w:spacing w:line="360" w:lineRule="auto"/>
        <w:rPr>
          <w:rFonts w:ascii="宋体" w:cs="宋体"/>
          <w:sz w:val="24"/>
        </w:rPr>
      </w:pPr>
      <w:r>
        <w:rPr>
          <w:rFonts w:hint="eastAsia" w:ascii="宋体" w:cs="宋体"/>
          <w:sz w:val="24"/>
        </w:rPr>
        <w:t>对投标项目的合理化建议；</w:t>
      </w:r>
    </w:p>
    <w:p w14:paraId="4F2C864D">
      <w:pPr>
        <w:numPr>
          <w:ilvl w:val="0"/>
          <w:numId w:val="18"/>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8"/>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8"/>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13" w:name="_Toc5516"/>
      <w:bookmarkStart w:id="214" w:name="_Toc146698144"/>
      <w:bookmarkStart w:id="215" w:name="_Toc4580"/>
      <w:r>
        <w:rPr>
          <w:rFonts w:hint="eastAsia"/>
        </w:rPr>
        <w:t>十、相关法律法规清单</w:t>
      </w:r>
      <w:bookmarkEnd w:id="213"/>
      <w:bookmarkEnd w:id="214"/>
      <w:bookmarkEnd w:id="215"/>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2039"/>
        <w:gridCol w:w="2039"/>
        <w:gridCol w:w="2039"/>
        <w:gridCol w:w="1207"/>
        <w:gridCol w:w="1205"/>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16" w:name="_Toc38011323"/>
      <w:bookmarkStart w:id="217" w:name="_Toc26480"/>
      <w:bookmarkStart w:id="218" w:name="_Toc146698145"/>
      <w:bookmarkStart w:id="219" w:name="_Toc26462"/>
      <w:r>
        <w:rPr>
          <w:rFonts w:hint="eastAsia"/>
        </w:rPr>
        <w:t>十一、商务、技术偏离表</w:t>
      </w:r>
      <w:bookmarkEnd w:id="216"/>
      <w:bookmarkEnd w:id="217"/>
      <w:bookmarkEnd w:id="218"/>
      <w:bookmarkEnd w:id="219"/>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5"/>
        <w:gridCol w:w="1085"/>
        <w:gridCol w:w="1442"/>
        <w:gridCol w:w="1800"/>
        <w:gridCol w:w="1800"/>
        <w:gridCol w:w="1084"/>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20" w:name="_Toc146698146"/>
      <w:bookmarkStart w:id="221" w:name="_Toc232"/>
      <w:bookmarkStart w:id="222" w:name="_Toc15477"/>
      <w:bookmarkStart w:id="223" w:name="_Toc16064009"/>
      <w:r>
        <w:rPr>
          <w:rFonts w:hint="eastAsia"/>
        </w:rPr>
        <w:t>十二、其它资信材料</w:t>
      </w:r>
      <w:bookmarkEnd w:id="220"/>
      <w:bookmarkEnd w:id="221"/>
      <w:bookmarkEnd w:id="222"/>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23"/>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12" w:type="first"/>
          <w:pgSz w:w="11906" w:h="16838"/>
          <w:pgMar w:top="1588" w:right="1418" w:bottom="1134" w:left="1418" w:header="851" w:footer="992" w:gutter="0"/>
          <w:pgNumType w:fmt="decimal"/>
          <w:cols w:space="720" w:num="1"/>
          <w:titlePg/>
          <w:docGrid w:type="lines" w:linePitch="312" w:charSpace="0"/>
        </w:sectPr>
      </w:pPr>
      <w:bookmarkStart w:id="224"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24"/>
    </w:p>
    <w:p w14:paraId="41A48591">
      <w:pPr>
        <w:pStyle w:val="4"/>
        <w:numPr>
          <w:ilvl w:val="0"/>
          <w:numId w:val="19"/>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13" w:type="default"/>
          <w:footerReference r:id="rId14"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5"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6"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7"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8"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23"/>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24"/>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5"/>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6"/>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37"/>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38"/>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9"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9"/>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25"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25"/>
    </w:p>
    <w:p w14:paraId="58CB8766">
      <w:pPr>
        <w:spacing w:line="360" w:lineRule="auto"/>
        <w:outlineLvl w:val="9"/>
        <w:rPr>
          <w:rFonts w:hint="eastAsia" w:ascii="宋体" w:hAnsi="宋体" w:cs="宋体"/>
          <w:sz w:val="24"/>
        </w:rPr>
      </w:pPr>
      <w:bookmarkStart w:id="226" w:name="_Toc29877"/>
      <w:r>
        <w:rPr>
          <w:rFonts w:ascii="宋体" w:hAnsi="宋体" w:cs="宋体"/>
          <w:color w:val="000000"/>
          <w:sz w:val="24"/>
        </w:rPr>
        <w:t>点击查看进入查看中标项目详情</w:t>
      </w:r>
      <w:bookmarkEnd w:id="226"/>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小标宋简体">
    <w:panose1 w:val="02000000000000000000"/>
    <w:charset w:val="86"/>
    <w:family w:val="script"/>
    <w:pitch w:val="default"/>
    <w:sig w:usb0="A00002BF" w:usb1="184F6CFA" w:usb2="00000012" w:usb3="00000000" w:csb0="0004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F5F6B">
    <w:pPr>
      <w:pStyle w:val="19"/>
    </w:pPr>
    <w:r>
      <w:rPr>
        <w:rFonts w:hint="eastAsia"/>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237490" cy="154940"/>
              <wp:effectExtent l="0" t="0" r="0" b="0"/>
              <wp:wrapNone/>
              <wp:docPr id="42" name="文本框 6"/>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wps:spPr>
                    <wps:txbx>
                      <w:txbxContent>
                        <w:p w14:paraId="44930983">
                          <w:pPr>
                            <w:pStyle w:val="19"/>
                          </w:pPr>
                          <w:r>
                            <w:fldChar w:fldCharType="begin"/>
                          </w:r>
                          <w:r>
                            <w:instrText xml:space="preserve"> PAGE  \* MERGEFORMAT </w:instrText>
                          </w:r>
                          <w:r>
                            <w:fldChar w:fldCharType="separate"/>
                          </w:r>
                          <w:r>
                            <w:t>- 9 -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6" o:spid="_x0000_s1026" o:spt="202" type="#_x0000_t202" style="position:absolute;left:0pt;margin-top:0pt;height:12.2pt;width:18.7pt;mso-position-horizontal:center;mso-position-horizontal-relative:margin;mso-wrap-style:none;z-index:251663360;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iaL5Y0gAAAAMBAAAPAAAAAAAAAAEAIAAAACIAAABkcnMvZG93bnJldi54bWxQSwECFAAU&#10;AAAACACHTuJASN/lbzACAABUBAAADgAAAAAAAAABACAAAAAhAQAAZHJzL2Uyb0RvYy54bWxQSwUG&#10;AAAAAAYABgBZAQAAwwUAAAAA&#10;">
              <v:fill on="f" focussize="0,0"/>
              <v:stroke on="f" weight="0.5pt"/>
              <v:imagedata o:title=""/>
              <o:lock v:ext="edit" aspectratio="f"/>
              <v:textbox inset="0mm,0mm,0mm,0mm" style="mso-fit-shape-to-text:t;">
                <w:txbxContent>
                  <w:p w14:paraId="44930983">
                    <w:pPr>
                      <w:pStyle w:val="19"/>
                    </w:pPr>
                    <w:r>
                      <w:fldChar w:fldCharType="begin"/>
                    </w:r>
                    <w:r>
                      <w:instrText xml:space="preserve"> PAGE  \* MERGEFORMAT </w:instrText>
                    </w:r>
                    <w:r>
                      <w:fldChar w:fldCharType="separate"/>
                    </w:r>
                    <w:r>
                      <w:t>- 9 -</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59F6EC">
    <w:pPr>
      <w:pStyle w:val="19"/>
      <w:jc w:val="center"/>
    </w:pPr>
    <w:r>
      <w:rPr>
        <w:rFonts w:hint="eastAsia"/>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237490" cy="154940"/>
              <wp:effectExtent l="0" t="0" r="0" b="0"/>
              <wp:wrapNone/>
              <wp:docPr id="34" name="文本框 4"/>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wps:spPr>
                    <wps:txbx>
                      <w:txbxContent>
                        <w:p w14:paraId="0AFF6A28">
                          <w:pPr>
                            <w:pStyle w:val="19"/>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2.2pt;width:18.7pt;mso-position-horizontal:center;mso-position-horizontal-relative:margin;mso-wrap-style:none;z-index:251664384;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iaL5Y0gAAAAMBAAAPAAAAAAAAAAEAIAAAACIAAABkcnMvZG93bnJldi54bWxQSwECFAAU&#10;AAAACACHTuJATYnAcjACAABUBAAADgAAAAAAAAABACAAAAAhAQAAZHJzL2Uyb0RvYy54bWxQSwUG&#10;AAAAAAYABgBZAQAAwwUAAAAA&#10;">
              <v:fill on="f" focussize="0,0"/>
              <v:stroke on="f" weight="0.5pt"/>
              <v:imagedata o:title=""/>
              <o:lock v:ext="edit" aspectratio="f"/>
              <v:textbox inset="0mm,0mm,0mm,0mm" style="mso-fit-shape-to-text:t;">
                <w:txbxContent>
                  <w:p w14:paraId="0AFF6A28">
                    <w:pPr>
                      <w:pStyle w:val="19"/>
                    </w:pPr>
                    <w:r>
                      <w:fldChar w:fldCharType="begin"/>
                    </w:r>
                    <w:r>
                      <w:instrText xml:space="preserve"> PAGE  \* MERGEFORMAT </w:instrText>
                    </w:r>
                    <w:r>
                      <w:fldChar w:fldCharType="separate"/>
                    </w:r>
                    <w:r>
                      <w:t>- 2 -</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CEA42">
    <w:pPr>
      <w:pStyle w:val="19"/>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JU04uAgAAVwQAAA4AAABkcnMvZTJvRG9jLnhtbK1US27bMBDdF+gd&#10;CO5ryU4TGI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1iVNOLgIAAFcEAAAOAAAAAAAAAAEAIAAAAB8BAABkcnMvZTJvRG9jLnhtbFBLBQYAAAAA&#10;BgAGAFkBAAC/BQAAAAA=&#10;">
              <v:fill on="f" focussize="0,0"/>
              <v:stroke on="f" weight="0.5pt"/>
              <v:imagedata o:title=""/>
              <o:lock v:ext="edit" aspectratio="f"/>
              <v:textbox inset="0mm,0mm,0mm,0mm" style="mso-fit-shape-to-text:t;">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09CD3">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wvwWYCwCAABWBAAADgAAAAAAAAABACAAAAAfAQAAZHJzL2Uyb0RvYy54bWxQSwUGAAAAAAYA&#10;BgBZAQAAvQUAAAAA&#10;">
              <v:fill on="f" focussize="0,0"/>
              <v:stroke on="f" weight="0.5pt"/>
              <v:imagedata o:title=""/>
              <o:lock v:ext="edit" aspectratio="f"/>
              <v:textbox inset="0mm,0mm,0mm,0mm" style="mso-fit-shape-to-text:t;">
                <w:txbxContent>
                  <w:p w14:paraId="6C809CD3">
                    <w:pPr>
                      <w:pStyle w:val="19"/>
                    </w:pP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BD84D">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qTR+gtAgAAVgQAAA4AAABkcnMvZTJvRG9jLnhtbK1US27bMBDdF+gd&#10;CO5ryQ6SGo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qTR+gtAgAAVgQAAA4AAAAAAAAAAQAgAAAAHwEAAGRycy9lMm9Eb2MueG1sUEsFBgAAAAAG&#10;AAYAWQEAAL4FAAAAAA==&#10;">
              <v:fill on="f" focussize="0,0"/>
              <v:stroke on="f" weight="0.5pt"/>
              <v:imagedata o:title=""/>
              <o:lock v:ext="edit" aspectratio="f"/>
              <v:textbox inset="0mm,0mm,0mm,0mm" style="mso-fit-shape-to-text:t;">
                <w:txbxContent>
                  <w:p w14:paraId="096BD84D">
                    <w:pPr>
                      <w:pStyle w:val="19"/>
                    </w:pP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AD6814">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6" o:spid="_x0000_s1026" o:spt="202" type="#_x0000_t202" style="position:absolute;left:0pt;margin-left:222.35pt;margin-top:0.25pt;height:18.75pt;width:59.25pt;mso-position-horizontal-relative:margin;z-index:251662336;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qX5bIzAgAAVQQAAA4AAAAAAAAAAQAgAAAAJQEAAGRycy9lMm9Eb2Mu&#10;eG1sUEsFBgAAAAAGAAYAWQEAAMoFAAAAAA==&#10;">
              <v:fill on="f" focussize="0,0"/>
              <v:stroke on="f" weight="0.5pt"/>
              <v:imagedata o:title=""/>
              <o:lock v:ext="edit" aspectratio="f"/>
              <v:textbox inset="0mm,0mm,0mm,0mm">
                <w:txbxContent>
                  <w:p w14:paraId="31AD6814">
                    <w:pPr>
                      <w:pStyle w:val="19"/>
                    </w:pPr>
                  </w:p>
                </w:txbxContent>
              </v:textbox>
            </v:shape>
          </w:pict>
        </mc:Fallback>
      </mc:AlternateContent>
    </w:r>
  </w:p>
  <w:p w14:paraId="6B74F7EB">
    <w:pPr>
      <w:pStyle w:val="19"/>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0E58D">
    <w:pPr>
      <w:pStyle w:val="1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3698ssAgAAVg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Tfr3yywCAABWBAAADgAAAAAAAAABACAAAAAfAQAAZHJzL2Uyb0RvYy54bWxQSwUGAAAAAAYA&#10;BgBZAQAAvQUAAAAA&#10;">
              <v:fill on="f" focussize="0,0"/>
              <v:stroke on="f" weight="0.5pt"/>
              <v:imagedata o:title=""/>
              <o:lock v:ext="edit" aspectratio="f"/>
              <v:textbox inset="0mm,0mm,0mm,0mm" style="mso-fit-shape-to-text:t;">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00C1C5">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lxhAAtAgAAVg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lxhAAtAgAAVgQAAA4AAAAAAAAAAQAgAAAAHwEAAGRycy9lMm9Eb2MueG1sUEsFBgAAAAAG&#10;AAYAWQEAAL4FAAAAAA==&#10;">
              <v:fill on="f" focussize="0,0"/>
              <v:stroke on="f" weight="0.5pt"/>
              <v:imagedata o:title=""/>
              <o:lock v:ext="edit" aspectratio="f"/>
              <v:textbox inset="0mm,0mm,0mm,0mm" style="mso-fit-shape-to-text:t;">
                <w:txbxContent>
                  <w:p w14:paraId="2F00C1C5">
                    <w:pPr>
                      <w:pStyle w:val="19"/>
                    </w:pPr>
                  </w:p>
                </w:txbxContent>
              </v:textbox>
            </v:shape>
          </w:pict>
        </mc:Fallback>
      </mc:AlternateContent>
    </w: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BD809B">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1avTgsAgAAVg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Vq9OCwCAABWBAAADgAAAAAAAAABACAAAAAfAQAAZHJzL2Uyb0RvYy54bWxQSwUGAAAAAAYA&#10;BgBZAQAAvQUAAAAA&#10;">
              <v:fill on="f" focussize="0,0"/>
              <v:stroke on="f" weight="0.5pt"/>
              <v:imagedata o:title=""/>
              <o:lock v:ext="edit" aspectratio="f"/>
              <v:textbox inset="0mm,0mm,0mm,0mm" style="mso-fit-shape-to-text:t;">
                <w:txbxContent>
                  <w:p w14:paraId="3DBD809B">
                    <w:pPr>
                      <w:pStyle w:val="19"/>
                    </w:pP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1"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909495">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65408;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rxdl4zAgAAVgQAAA4AAAAAAAAAAQAgAAAAJQEAAGRycy9lMm9Eb2Mu&#10;eG1sUEsFBgAAAAAGAAYAWQEAAMoFAAAAAA==&#10;">
              <v:fill on="f" focussize="0,0"/>
              <v:stroke on="f" weight="0.5pt"/>
              <v:imagedata o:title=""/>
              <o:lock v:ext="edit" aspectratio="f"/>
              <v:textbox inset="0mm,0mm,0mm,0mm">
                <w:txbxContent>
                  <w:p w14:paraId="4D909495">
                    <w:pPr>
                      <w:pStyle w:val="19"/>
                    </w:pPr>
                  </w:p>
                </w:txbxContent>
              </v:textbox>
            </v:shape>
          </w:pict>
        </mc:Fallback>
      </mc:AlternateContent>
    </w:r>
  </w:p>
  <w:p w14:paraId="6F74A442">
    <w:pPr>
      <w:pStyle w:val="19"/>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8C3C2">
    <w:pPr>
      <w:spacing w:line="535" w:lineRule="exact"/>
      <w:ind w:firstLine="872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73B850C"/>
    <w:multiLevelType w:val="singleLevel"/>
    <w:tmpl w:val="073B850C"/>
    <w:lvl w:ilvl="0" w:tentative="0">
      <w:start w:val="1"/>
      <w:numFmt w:val="chineseCounting"/>
      <w:suff w:val="nothing"/>
      <w:lvlText w:val="%1、"/>
      <w:lvlJc w:val="left"/>
      <w:rPr>
        <w:rFonts w:hint="eastAsia"/>
      </w:rPr>
    </w:lvl>
  </w:abstractNum>
  <w:abstractNum w:abstractNumId="4">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6">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
    <w:nsid w:val="226A001F"/>
    <w:multiLevelType w:val="singleLevel"/>
    <w:tmpl w:val="226A001F"/>
    <w:lvl w:ilvl="0" w:tentative="0">
      <w:start w:val="5"/>
      <w:numFmt w:val="decimal"/>
      <w:lvlText w:val="%1."/>
      <w:lvlJc w:val="left"/>
      <w:pPr>
        <w:tabs>
          <w:tab w:val="left" w:pos="312"/>
        </w:tabs>
      </w:pPr>
    </w:lvl>
  </w:abstractNum>
  <w:abstractNum w:abstractNumId="9">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10">
    <w:nsid w:val="32B4CFF0"/>
    <w:multiLevelType w:val="singleLevel"/>
    <w:tmpl w:val="32B4CFF0"/>
    <w:lvl w:ilvl="0" w:tentative="0">
      <w:start w:val="3"/>
      <w:numFmt w:val="chineseCounting"/>
      <w:suff w:val="space"/>
      <w:lvlText w:val="第%1章"/>
      <w:lvlJc w:val="left"/>
      <w:rPr>
        <w:rFonts w:hint="eastAsia"/>
      </w:rPr>
    </w:lvl>
  </w:abstractNum>
  <w:abstractNum w:abstractNumId="11">
    <w:nsid w:val="39A4E181"/>
    <w:multiLevelType w:val="singleLevel"/>
    <w:tmpl w:val="39A4E181"/>
    <w:lvl w:ilvl="0" w:tentative="0">
      <w:start w:val="1"/>
      <w:numFmt w:val="bullet"/>
      <w:lvlText w:val=""/>
      <w:lvlJc w:val="left"/>
      <w:pPr>
        <w:ind w:left="420" w:hanging="420"/>
      </w:pPr>
      <w:rPr>
        <w:rFonts w:hint="default" w:ascii="Wingdings" w:hAnsi="Wingdings"/>
      </w:rPr>
    </w:lvl>
  </w:abstractNum>
  <w:abstractNum w:abstractNumId="12">
    <w:nsid w:val="438CE1AB"/>
    <w:multiLevelType w:val="singleLevel"/>
    <w:tmpl w:val="438CE1AB"/>
    <w:lvl w:ilvl="0" w:tentative="0">
      <w:start w:val="1"/>
      <w:numFmt w:val="bullet"/>
      <w:lvlText w:val=""/>
      <w:lvlJc w:val="left"/>
      <w:pPr>
        <w:ind w:left="420" w:hanging="420"/>
      </w:pPr>
      <w:rPr>
        <w:rFonts w:hint="default" w:ascii="Wingdings" w:hAnsi="Wingdings"/>
      </w:rPr>
    </w:lvl>
  </w:abstractNum>
  <w:abstractNum w:abstractNumId="13">
    <w:nsid w:val="4AF0723E"/>
    <w:multiLevelType w:val="singleLevel"/>
    <w:tmpl w:val="4AF0723E"/>
    <w:lvl w:ilvl="0" w:tentative="0">
      <w:start w:val="2"/>
      <w:numFmt w:val="chineseCounting"/>
      <w:suff w:val="nothing"/>
      <w:lvlText w:val="%1、"/>
      <w:lvlJc w:val="left"/>
      <w:rPr>
        <w:rFonts w:hint="eastAsia"/>
      </w:rPr>
    </w:lvl>
  </w:abstractNum>
  <w:abstractNum w:abstractNumId="14">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5">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6">
    <w:nsid w:val="67CA585D"/>
    <w:multiLevelType w:val="singleLevel"/>
    <w:tmpl w:val="67CA585D"/>
    <w:lvl w:ilvl="0" w:tentative="0">
      <w:start w:val="1"/>
      <w:numFmt w:val="decimal"/>
      <w:suff w:val="nothing"/>
      <w:lvlText w:val="%1、"/>
      <w:lvlJc w:val="left"/>
    </w:lvl>
  </w:abstractNum>
  <w:abstractNum w:abstractNumId="17">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3"/>
  </w:num>
  <w:num w:numId="2">
    <w:abstractNumId w:val="17"/>
  </w:num>
  <w:num w:numId="3">
    <w:abstractNumId w:val="6"/>
  </w:num>
  <w:num w:numId="4">
    <w:abstractNumId w:val="7"/>
  </w:num>
  <w:num w:numId="5">
    <w:abstractNumId w:val="8"/>
  </w:num>
  <w:num w:numId="6">
    <w:abstractNumId w:val="16"/>
  </w:num>
  <w:num w:numId="7">
    <w:abstractNumId w:val="13"/>
  </w:num>
  <w:num w:numId="8">
    <w:abstractNumId w:val="15"/>
  </w:num>
  <w:num w:numId="9">
    <w:abstractNumId w:val="2"/>
  </w:num>
  <w:num w:numId="10">
    <w:abstractNumId w:val="9"/>
  </w:num>
  <w:num w:numId="11">
    <w:abstractNumId w:val="4"/>
  </w:num>
  <w:num w:numId="12">
    <w:abstractNumId w:val="18"/>
  </w:num>
  <w:num w:numId="13">
    <w:abstractNumId w:val="1"/>
  </w:num>
  <w:num w:numId="14">
    <w:abstractNumId w:val="10"/>
  </w:num>
  <w:num w:numId="15">
    <w:abstractNumId w:val="12"/>
  </w:num>
  <w:num w:numId="16">
    <w:abstractNumId w:val="11"/>
  </w:num>
  <w:num w:numId="17">
    <w:abstractNumId w:val="14"/>
  </w:num>
  <w:num w:numId="18">
    <w:abstractNumId w:val="5"/>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4B249B"/>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9D07AF"/>
    <w:rsid w:val="04B213C1"/>
    <w:rsid w:val="05225EC8"/>
    <w:rsid w:val="054837EE"/>
    <w:rsid w:val="05663F59"/>
    <w:rsid w:val="05791EDF"/>
    <w:rsid w:val="059F7305"/>
    <w:rsid w:val="05CD25D7"/>
    <w:rsid w:val="05EA3EAD"/>
    <w:rsid w:val="060F3C66"/>
    <w:rsid w:val="06521C32"/>
    <w:rsid w:val="06741515"/>
    <w:rsid w:val="067803E8"/>
    <w:rsid w:val="06C97BAD"/>
    <w:rsid w:val="06E06011"/>
    <w:rsid w:val="07512980"/>
    <w:rsid w:val="07B7674A"/>
    <w:rsid w:val="07F12200"/>
    <w:rsid w:val="07FF5CCC"/>
    <w:rsid w:val="081A55DB"/>
    <w:rsid w:val="0820745B"/>
    <w:rsid w:val="085C0BFC"/>
    <w:rsid w:val="08615656"/>
    <w:rsid w:val="086E682C"/>
    <w:rsid w:val="087A7083"/>
    <w:rsid w:val="087E697D"/>
    <w:rsid w:val="088D4098"/>
    <w:rsid w:val="08C2594B"/>
    <w:rsid w:val="08E71341"/>
    <w:rsid w:val="09261188"/>
    <w:rsid w:val="094F2FDA"/>
    <w:rsid w:val="0950109D"/>
    <w:rsid w:val="09831699"/>
    <w:rsid w:val="09A61816"/>
    <w:rsid w:val="0A020E0E"/>
    <w:rsid w:val="0A3718CA"/>
    <w:rsid w:val="0A4A6522"/>
    <w:rsid w:val="0A5440F3"/>
    <w:rsid w:val="0A5E16A3"/>
    <w:rsid w:val="0A613847"/>
    <w:rsid w:val="0AA45322"/>
    <w:rsid w:val="0AAB39D9"/>
    <w:rsid w:val="0ABD3CEF"/>
    <w:rsid w:val="0AC57BE3"/>
    <w:rsid w:val="0AEA0C42"/>
    <w:rsid w:val="0AEB3965"/>
    <w:rsid w:val="0B1A381C"/>
    <w:rsid w:val="0B2E5AB4"/>
    <w:rsid w:val="0B6E61C8"/>
    <w:rsid w:val="0B795A6F"/>
    <w:rsid w:val="0BA87365"/>
    <w:rsid w:val="0C3C1C77"/>
    <w:rsid w:val="0C602D4B"/>
    <w:rsid w:val="0C7B59E7"/>
    <w:rsid w:val="0C8A331D"/>
    <w:rsid w:val="0CFD15DF"/>
    <w:rsid w:val="0D0535FB"/>
    <w:rsid w:val="0D1819FC"/>
    <w:rsid w:val="0D1B16BD"/>
    <w:rsid w:val="0D2210AE"/>
    <w:rsid w:val="0D2512B6"/>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8B7943"/>
    <w:rsid w:val="119A7465"/>
    <w:rsid w:val="119D37D8"/>
    <w:rsid w:val="120D4FB9"/>
    <w:rsid w:val="120D6537"/>
    <w:rsid w:val="12192A7F"/>
    <w:rsid w:val="123A77D4"/>
    <w:rsid w:val="12716E79"/>
    <w:rsid w:val="13567491"/>
    <w:rsid w:val="13766589"/>
    <w:rsid w:val="13A715D8"/>
    <w:rsid w:val="13A7357D"/>
    <w:rsid w:val="13F270A2"/>
    <w:rsid w:val="14E37DDB"/>
    <w:rsid w:val="1539280F"/>
    <w:rsid w:val="153E6F68"/>
    <w:rsid w:val="158E56BC"/>
    <w:rsid w:val="165266BB"/>
    <w:rsid w:val="169627DE"/>
    <w:rsid w:val="16E21F48"/>
    <w:rsid w:val="16E563F3"/>
    <w:rsid w:val="16F0324C"/>
    <w:rsid w:val="17173305"/>
    <w:rsid w:val="175B58E8"/>
    <w:rsid w:val="177056C4"/>
    <w:rsid w:val="17A70B2D"/>
    <w:rsid w:val="17D13AF8"/>
    <w:rsid w:val="17E256C1"/>
    <w:rsid w:val="17F71D22"/>
    <w:rsid w:val="18162E07"/>
    <w:rsid w:val="18297E3F"/>
    <w:rsid w:val="184B447B"/>
    <w:rsid w:val="187F767F"/>
    <w:rsid w:val="18F77513"/>
    <w:rsid w:val="192B3D79"/>
    <w:rsid w:val="1960209C"/>
    <w:rsid w:val="19830327"/>
    <w:rsid w:val="19E20B4E"/>
    <w:rsid w:val="19E94CA8"/>
    <w:rsid w:val="19F0751F"/>
    <w:rsid w:val="1A4E5290"/>
    <w:rsid w:val="1A943A2A"/>
    <w:rsid w:val="1AA2738A"/>
    <w:rsid w:val="1AAE5D2F"/>
    <w:rsid w:val="1ABF401D"/>
    <w:rsid w:val="1B102E05"/>
    <w:rsid w:val="1B1E1106"/>
    <w:rsid w:val="1B23671D"/>
    <w:rsid w:val="1B303273"/>
    <w:rsid w:val="1B3B6C75"/>
    <w:rsid w:val="1B5F5C88"/>
    <w:rsid w:val="1BB56FD7"/>
    <w:rsid w:val="1BC05D1A"/>
    <w:rsid w:val="1BD92F6B"/>
    <w:rsid w:val="1C2975EA"/>
    <w:rsid w:val="1C2C7853"/>
    <w:rsid w:val="1C6174EF"/>
    <w:rsid w:val="1CF0546A"/>
    <w:rsid w:val="1D52056E"/>
    <w:rsid w:val="1D6679DA"/>
    <w:rsid w:val="1DB20E32"/>
    <w:rsid w:val="1DF876AE"/>
    <w:rsid w:val="1E9163CE"/>
    <w:rsid w:val="1EA115F7"/>
    <w:rsid w:val="1ED74BBB"/>
    <w:rsid w:val="1F37640F"/>
    <w:rsid w:val="1F5E781E"/>
    <w:rsid w:val="1F805BDB"/>
    <w:rsid w:val="209C5373"/>
    <w:rsid w:val="20A36E98"/>
    <w:rsid w:val="20E9018A"/>
    <w:rsid w:val="211B5721"/>
    <w:rsid w:val="21401FB1"/>
    <w:rsid w:val="21634AA0"/>
    <w:rsid w:val="217F22BE"/>
    <w:rsid w:val="21BA2DEB"/>
    <w:rsid w:val="21DA0A2A"/>
    <w:rsid w:val="21E95497"/>
    <w:rsid w:val="225E003A"/>
    <w:rsid w:val="22B67E76"/>
    <w:rsid w:val="22F17E3D"/>
    <w:rsid w:val="22FF2CD1"/>
    <w:rsid w:val="22FF7345"/>
    <w:rsid w:val="23033334"/>
    <w:rsid w:val="23420CD4"/>
    <w:rsid w:val="23621DAC"/>
    <w:rsid w:val="237B69CA"/>
    <w:rsid w:val="23824610"/>
    <w:rsid w:val="23F05801"/>
    <w:rsid w:val="2427069B"/>
    <w:rsid w:val="24282BD7"/>
    <w:rsid w:val="24523BCF"/>
    <w:rsid w:val="2466188F"/>
    <w:rsid w:val="24727A43"/>
    <w:rsid w:val="2473514F"/>
    <w:rsid w:val="24A01056"/>
    <w:rsid w:val="251057B2"/>
    <w:rsid w:val="25560E57"/>
    <w:rsid w:val="259F7BD4"/>
    <w:rsid w:val="26094AA1"/>
    <w:rsid w:val="26707106"/>
    <w:rsid w:val="26D149F5"/>
    <w:rsid w:val="26EC20B9"/>
    <w:rsid w:val="27DA63B5"/>
    <w:rsid w:val="27DD6708"/>
    <w:rsid w:val="27E4296B"/>
    <w:rsid w:val="27F044F5"/>
    <w:rsid w:val="281E04EF"/>
    <w:rsid w:val="287B3E0D"/>
    <w:rsid w:val="288B7556"/>
    <w:rsid w:val="28C64B8B"/>
    <w:rsid w:val="293E1C33"/>
    <w:rsid w:val="2995527A"/>
    <w:rsid w:val="2A1C0F07"/>
    <w:rsid w:val="2A9D329F"/>
    <w:rsid w:val="2B045B24"/>
    <w:rsid w:val="2B395AE8"/>
    <w:rsid w:val="2B5C6CCB"/>
    <w:rsid w:val="2B7E1F97"/>
    <w:rsid w:val="2BCE6231"/>
    <w:rsid w:val="2BDE39C1"/>
    <w:rsid w:val="2BF16674"/>
    <w:rsid w:val="2C254BFC"/>
    <w:rsid w:val="2C8120E3"/>
    <w:rsid w:val="2C84151C"/>
    <w:rsid w:val="2CA40D8B"/>
    <w:rsid w:val="2CB4110C"/>
    <w:rsid w:val="2CD32336"/>
    <w:rsid w:val="2CD461FD"/>
    <w:rsid w:val="2D250928"/>
    <w:rsid w:val="2D3D23FF"/>
    <w:rsid w:val="2D5A6413"/>
    <w:rsid w:val="2D643AC8"/>
    <w:rsid w:val="2D711EA3"/>
    <w:rsid w:val="2DBA2F99"/>
    <w:rsid w:val="2DDE33CA"/>
    <w:rsid w:val="2DEB2456"/>
    <w:rsid w:val="2DEC0BF0"/>
    <w:rsid w:val="2E37532D"/>
    <w:rsid w:val="2ED646D8"/>
    <w:rsid w:val="2F120B2A"/>
    <w:rsid w:val="2F5A662A"/>
    <w:rsid w:val="2F9F0337"/>
    <w:rsid w:val="2FA40D49"/>
    <w:rsid w:val="2FA5374C"/>
    <w:rsid w:val="300D35B1"/>
    <w:rsid w:val="30226B4B"/>
    <w:rsid w:val="30270E15"/>
    <w:rsid w:val="30B11567"/>
    <w:rsid w:val="310224D9"/>
    <w:rsid w:val="31124E12"/>
    <w:rsid w:val="3117429B"/>
    <w:rsid w:val="31451B20"/>
    <w:rsid w:val="31493966"/>
    <w:rsid w:val="31F406E5"/>
    <w:rsid w:val="32151B4F"/>
    <w:rsid w:val="3227669B"/>
    <w:rsid w:val="32662B2D"/>
    <w:rsid w:val="32676D99"/>
    <w:rsid w:val="32827D75"/>
    <w:rsid w:val="32852B12"/>
    <w:rsid w:val="32BA750F"/>
    <w:rsid w:val="331D68E6"/>
    <w:rsid w:val="3342126C"/>
    <w:rsid w:val="335313EB"/>
    <w:rsid w:val="33B2468A"/>
    <w:rsid w:val="341A770D"/>
    <w:rsid w:val="341C0956"/>
    <w:rsid w:val="347C1484"/>
    <w:rsid w:val="35777939"/>
    <w:rsid w:val="35951B6D"/>
    <w:rsid w:val="35B35A26"/>
    <w:rsid w:val="35C32D10"/>
    <w:rsid w:val="35D52583"/>
    <w:rsid w:val="35E5163A"/>
    <w:rsid w:val="36363080"/>
    <w:rsid w:val="364A5D4C"/>
    <w:rsid w:val="36BA1B48"/>
    <w:rsid w:val="36E542BE"/>
    <w:rsid w:val="36E72620"/>
    <w:rsid w:val="371D2FC5"/>
    <w:rsid w:val="37323669"/>
    <w:rsid w:val="37EF0ACB"/>
    <w:rsid w:val="38001ED1"/>
    <w:rsid w:val="380C2659"/>
    <w:rsid w:val="380D1E8F"/>
    <w:rsid w:val="384F6AB9"/>
    <w:rsid w:val="38936A5B"/>
    <w:rsid w:val="38A72926"/>
    <w:rsid w:val="38C44CBF"/>
    <w:rsid w:val="38C5252E"/>
    <w:rsid w:val="38F44DFD"/>
    <w:rsid w:val="396653E1"/>
    <w:rsid w:val="39C26CA9"/>
    <w:rsid w:val="39EB2638"/>
    <w:rsid w:val="3A16005A"/>
    <w:rsid w:val="3A2B3AE8"/>
    <w:rsid w:val="3A63048C"/>
    <w:rsid w:val="3AB745F8"/>
    <w:rsid w:val="3AFD21CD"/>
    <w:rsid w:val="3B282E85"/>
    <w:rsid w:val="3B7C4566"/>
    <w:rsid w:val="3B8239A2"/>
    <w:rsid w:val="3B8254FA"/>
    <w:rsid w:val="3BA36271"/>
    <w:rsid w:val="3BA8156F"/>
    <w:rsid w:val="3BC54286"/>
    <w:rsid w:val="3BEB0FF0"/>
    <w:rsid w:val="3C2C2EA9"/>
    <w:rsid w:val="3C3920CA"/>
    <w:rsid w:val="3C3945D7"/>
    <w:rsid w:val="3C42023F"/>
    <w:rsid w:val="3C5D357F"/>
    <w:rsid w:val="3C7975EF"/>
    <w:rsid w:val="3CBD1FF1"/>
    <w:rsid w:val="3CE533DA"/>
    <w:rsid w:val="3D2407E5"/>
    <w:rsid w:val="3D956BAE"/>
    <w:rsid w:val="3DAB0230"/>
    <w:rsid w:val="3DB06507"/>
    <w:rsid w:val="3DB64500"/>
    <w:rsid w:val="3DDC6B9F"/>
    <w:rsid w:val="3DEB3974"/>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1F67E38"/>
    <w:rsid w:val="420D690D"/>
    <w:rsid w:val="42B966C3"/>
    <w:rsid w:val="43304A12"/>
    <w:rsid w:val="43566252"/>
    <w:rsid w:val="43827BD5"/>
    <w:rsid w:val="43B70399"/>
    <w:rsid w:val="43CF6B77"/>
    <w:rsid w:val="43E63B53"/>
    <w:rsid w:val="443F7AD3"/>
    <w:rsid w:val="445D199D"/>
    <w:rsid w:val="44A55090"/>
    <w:rsid w:val="44C45512"/>
    <w:rsid w:val="44DB0BE7"/>
    <w:rsid w:val="456D0411"/>
    <w:rsid w:val="458105CE"/>
    <w:rsid w:val="45A24005"/>
    <w:rsid w:val="45C57342"/>
    <w:rsid w:val="45D95C77"/>
    <w:rsid w:val="45EB02B3"/>
    <w:rsid w:val="45ED50AE"/>
    <w:rsid w:val="45FD5429"/>
    <w:rsid w:val="46252D4D"/>
    <w:rsid w:val="46277B90"/>
    <w:rsid w:val="465B0258"/>
    <w:rsid w:val="468452BE"/>
    <w:rsid w:val="46896DEC"/>
    <w:rsid w:val="46AE0CE1"/>
    <w:rsid w:val="46D714B6"/>
    <w:rsid w:val="47117783"/>
    <w:rsid w:val="473236C0"/>
    <w:rsid w:val="474929D1"/>
    <w:rsid w:val="4771627F"/>
    <w:rsid w:val="47D34713"/>
    <w:rsid w:val="47DC187E"/>
    <w:rsid w:val="48142DC6"/>
    <w:rsid w:val="481C57BF"/>
    <w:rsid w:val="483C3986"/>
    <w:rsid w:val="486C49B0"/>
    <w:rsid w:val="48C172C6"/>
    <w:rsid w:val="48F6016E"/>
    <w:rsid w:val="48F74BC1"/>
    <w:rsid w:val="49106FD2"/>
    <w:rsid w:val="494A555C"/>
    <w:rsid w:val="49696DA5"/>
    <w:rsid w:val="497F0713"/>
    <w:rsid w:val="49A46255"/>
    <w:rsid w:val="49B36396"/>
    <w:rsid w:val="49BC3416"/>
    <w:rsid w:val="49DD2092"/>
    <w:rsid w:val="4A1A567E"/>
    <w:rsid w:val="4A48418E"/>
    <w:rsid w:val="4A6B2B90"/>
    <w:rsid w:val="4A6E2554"/>
    <w:rsid w:val="4AB21842"/>
    <w:rsid w:val="4AC06F5F"/>
    <w:rsid w:val="4AEC1DD8"/>
    <w:rsid w:val="4B3B24B9"/>
    <w:rsid w:val="4B4B73DD"/>
    <w:rsid w:val="4B8E3090"/>
    <w:rsid w:val="4BCC1F99"/>
    <w:rsid w:val="4C1471BE"/>
    <w:rsid w:val="4C8C73CE"/>
    <w:rsid w:val="4C9978DF"/>
    <w:rsid w:val="4CA7529C"/>
    <w:rsid w:val="4CDF363B"/>
    <w:rsid w:val="4CE22011"/>
    <w:rsid w:val="4D5F0E41"/>
    <w:rsid w:val="4D6C6A12"/>
    <w:rsid w:val="4D74387C"/>
    <w:rsid w:val="4D847A60"/>
    <w:rsid w:val="4D9272B1"/>
    <w:rsid w:val="4DB125E4"/>
    <w:rsid w:val="4E204085"/>
    <w:rsid w:val="4E791BD4"/>
    <w:rsid w:val="4EE50033"/>
    <w:rsid w:val="4EFE1D6A"/>
    <w:rsid w:val="4F057880"/>
    <w:rsid w:val="4F366C62"/>
    <w:rsid w:val="4F4C51A7"/>
    <w:rsid w:val="4F6F0FB6"/>
    <w:rsid w:val="4F847B89"/>
    <w:rsid w:val="4F9662F5"/>
    <w:rsid w:val="4FA6442F"/>
    <w:rsid w:val="50384F67"/>
    <w:rsid w:val="50414462"/>
    <w:rsid w:val="505B2CB5"/>
    <w:rsid w:val="50751C6F"/>
    <w:rsid w:val="507F68C2"/>
    <w:rsid w:val="51473A96"/>
    <w:rsid w:val="515057DB"/>
    <w:rsid w:val="515C28DB"/>
    <w:rsid w:val="51D96B05"/>
    <w:rsid w:val="520C2431"/>
    <w:rsid w:val="5226429C"/>
    <w:rsid w:val="52495D62"/>
    <w:rsid w:val="527C4008"/>
    <w:rsid w:val="527D2589"/>
    <w:rsid w:val="52F944DF"/>
    <w:rsid w:val="532134F5"/>
    <w:rsid w:val="53774E87"/>
    <w:rsid w:val="53B86E42"/>
    <w:rsid w:val="53BF62DB"/>
    <w:rsid w:val="53EE4E13"/>
    <w:rsid w:val="54020833"/>
    <w:rsid w:val="54657EFC"/>
    <w:rsid w:val="54CA318A"/>
    <w:rsid w:val="54F04B86"/>
    <w:rsid w:val="550D29FA"/>
    <w:rsid w:val="551207AA"/>
    <w:rsid w:val="55212BBF"/>
    <w:rsid w:val="5536081F"/>
    <w:rsid w:val="55517407"/>
    <w:rsid w:val="5563538C"/>
    <w:rsid w:val="55A1274B"/>
    <w:rsid w:val="55D76AFD"/>
    <w:rsid w:val="56116B96"/>
    <w:rsid w:val="56AC66F2"/>
    <w:rsid w:val="56CB2446"/>
    <w:rsid w:val="56E71615"/>
    <w:rsid w:val="56EA45CC"/>
    <w:rsid w:val="570E1939"/>
    <w:rsid w:val="57923F19"/>
    <w:rsid w:val="57A44166"/>
    <w:rsid w:val="57D74425"/>
    <w:rsid w:val="581B443E"/>
    <w:rsid w:val="582E57DE"/>
    <w:rsid w:val="58762279"/>
    <w:rsid w:val="589A2E73"/>
    <w:rsid w:val="58EC0AEC"/>
    <w:rsid w:val="58F35BBD"/>
    <w:rsid w:val="59914276"/>
    <w:rsid w:val="59930314"/>
    <w:rsid w:val="59E6011F"/>
    <w:rsid w:val="59EB0841"/>
    <w:rsid w:val="5A1B7FE4"/>
    <w:rsid w:val="5A2632E9"/>
    <w:rsid w:val="5A351563"/>
    <w:rsid w:val="5A4C03FF"/>
    <w:rsid w:val="5A4F04ED"/>
    <w:rsid w:val="5A4F4DEE"/>
    <w:rsid w:val="5A764561"/>
    <w:rsid w:val="5AB111D9"/>
    <w:rsid w:val="5AC650B1"/>
    <w:rsid w:val="5AC728CE"/>
    <w:rsid w:val="5AEE6697"/>
    <w:rsid w:val="5B031477"/>
    <w:rsid w:val="5B0A30BD"/>
    <w:rsid w:val="5B8B3C95"/>
    <w:rsid w:val="5B9708A5"/>
    <w:rsid w:val="5BA9321C"/>
    <w:rsid w:val="5BE10EF6"/>
    <w:rsid w:val="5C7C175E"/>
    <w:rsid w:val="5C892D32"/>
    <w:rsid w:val="5CBE6754"/>
    <w:rsid w:val="5CE24905"/>
    <w:rsid w:val="5CE24DE9"/>
    <w:rsid w:val="5CEA7A12"/>
    <w:rsid w:val="5D101FB3"/>
    <w:rsid w:val="5D2E41D4"/>
    <w:rsid w:val="5D3953A1"/>
    <w:rsid w:val="5D804F27"/>
    <w:rsid w:val="5E3E3A04"/>
    <w:rsid w:val="5E5203C1"/>
    <w:rsid w:val="5EE06817"/>
    <w:rsid w:val="5F1100B7"/>
    <w:rsid w:val="5F284DA7"/>
    <w:rsid w:val="5F3C0E6C"/>
    <w:rsid w:val="5F667355"/>
    <w:rsid w:val="5F677827"/>
    <w:rsid w:val="5FBB029F"/>
    <w:rsid w:val="5FD71F38"/>
    <w:rsid w:val="5FDD5159"/>
    <w:rsid w:val="5FED7EEF"/>
    <w:rsid w:val="600951E3"/>
    <w:rsid w:val="60820DBC"/>
    <w:rsid w:val="6084664B"/>
    <w:rsid w:val="608E5F22"/>
    <w:rsid w:val="609847B1"/>
    <w:rsid w:val="60C72E91"/>
    <w:rsid w:val="60F15E8A"/>
    <w:rsid w:val="61533EBB"/>
    <w:rsid w:val="61E21473"/>
    <w:rsid w:val="62370D91"/>
    <w:rsid w:val="625050D5"/>
    <w:rsid w:val="62581669"/>
    <w:rsid w:val="62650996"/>
    <w:rsid w:val="62972BA4"/>
    <w:rsid w:val="62AA3D56"/>
    <w:rsid w:val="62BD2F9C"/>
    <w:rsid w:val="62E033D6"/>
    <w:rsid w:val="62EA49F7"/>
    <w:rsid w:val="635640D3"/>
    <w:rsid w:val="63FC70D8"/>
    <w:rsid w:val="64D52E93"/>
    <w:rsid w:val="64F777C3"/>
    <w:rsid w:val="658A426F"/>
    <w:rsid w:val="65941228"/>
    <w:rsid w:val="659C46CE"/>
    <w:rsid w:val="65F0429F"/>
    <w:rsid w:val="6609788A"/>
    <w:rsid w:val="66121CD3"/>
    <w:rsid w:val="663E4272"/>
    <w:rsid w:val="665B5EF5"/>
    <w:rsid w:val="665E28AE"/>
    <w:rsid w:val="6665218B"/>
    <w:rsid w:val="666A5731"/>
    <w:rsid w:val="66805D9E"/>
    <w:rsid w:val="668D579A"/>
    <w:rsid w:val="66A87E90"/>
    <w:rsid w:val="66BE0ECB"/>
    <w:rsid w:val="67582877"/>
    <w:rsid w:val="679338AF"/>
    <w:rsid w:val="67F636E3"/>
    <w:rsid w:val="67F9196E"/>
    <w:rsid w:val="68792141"/>
    <w:rsid w:val="68E568A5"/>
    <w:rsid w:val="68EF720B"/>
    <w:rsid w:val="68FC5A86"/>
    <w:rsid w:val="696003C2"/>
    <w:rsid w:val="69766E90"/>
    <w:rsid w:val="69A3580E"/>
    <w:rsid w:val="6A263BDB"/>
    <w:rsid w:val="6A622576"/>
    <w:rsid w:val="6A6B466F"/>
    <w:rsid w:val="6AE37815"/>
    <w:rsid w:val="6AEA48B3"/>
    <w:rsid w:val="6AF724BA"/>
    <w:rsid w:val="6B0E2F02"/>
    <w:rsid w:val="6BD66460"/>
    <w:rsid w:val="6BD91AAD"/>
    <w:rsid w:val="6BDB366C"/>
    <w:rsid w:val="6C215F10"/>
    <w:rsid w:val="6C564F9A"/>
    <w:rsid w:val="6C5717E0"/>
    <w:rsid w:val="6C7D5C01"/>
    <w:rsid w:val="6C961BE6"/>
    <w:rsid w:val="6CA504C8"/>
    <w:rsid w:val="6CA519DB"/>
    <w:rsid w:val="6CA727BF"/>
    <w:rsid w:val="6CB849A7"/>
    <w:rsid w:val="6CC462B9"/>
    <w:rsid w:val="6D9C5573"/>
    <w:rsid w:val="6DD54C21"/>
    <w:rsid w:val="6DEC122C"/>
    <w:rsid w:val="6EAF2DD8"/>
    <w:rsid w:val="6F294145"/>
    <w:rsid w:val="6F50310A"/>
    <w:rsid w:val="6FBF7BB3"/>
    <w:rsid w:val="6FEE2012"/>
    <w:rsid w:val="70074E3A"/>
    <w:rsid w:val="70622350"/>
    <w:rsid w:val="706A1A49"/>
    <w:rsid w:val="709025ED"/>
    <w:rsid w:val="70987DDD"/>
    <w:rsid w:val="70D74D9E"/>
    <w:rsid w:val="714D0321"/>
    <w:rsid w:val="72012769"/>
    <w:rsid w:val="72153BAA"/>
    <w:rsid w:val="72302549"/>
    <w:rsid w:val="72374822"/>
    <w:rsid w:val="72575846"/>
    <w:rsid w:val="72691DDC"/>
    <w:rsid w:val="72772B96"/>
    <w:rsid w:val="72BB0EC2"/>
    <w:rsid w:val="72BB4362"/>
    <w:rsid w:val="72C038D5"/>
    <w:rsid w:val="72FE1DE6"/>
    <w:rsid w:val="730135C5"/>
    <w:rsid w:val="73307239"/>
    <w:rsid w:val="73404866"/>
    <w:rsid w:val="734B0D50"/>
    <w:rsid w:val="735E1767"/>
    <w:rsid w:val="737E5EEA"/>
    <w:rsid w:val="7395275D"/>
    <w:rsid w:val="73AB61EB"/>
    <w:rsid w:val="73B06FFE"/>
    <w:rsid w:val="741F797E"/>
    <w:rsid w:val="74D31C0E"/>
    <w:rsid w:val="74EE7C94"/>
    <w:rsid w:val="75107AB0"/>
    <w:rsid w:val="7537114E"/>
    <w:rsid w:val="753E66A3"/>
    <w:rsid w:val="758406F8"/>
    <w:rsid w:val="759B3DBA"/>
    <w:rsid w:val="75AA26A3"/>
    <w:rsid w:val="76007B26"/>
    <w:rsid w:val="767055A8"/>
    <w:rsid w:val="767A2659"/>
    <w:rsid w:val="76D85C39"/>
    <w:rsid w:val="76E11F70"/>
    <w:rsid w:val="76F37EC6"/>
    <w:rsid w:val="77184757"/>
    <w:rsid w:val="77BC614F"/>
    <w:rsid w:val="781053F7"/>
    <w:rsid w:val="783B2B41"/>
    <w:rsid w:val="78646D0D"/>
    <w:rsid w:val="78E24696"/>
    <w:rsid w:val="790A0589"/>
    <w:rsid w:val="795804B5"/>
    <w:rsid w:val="79B60841"/>
    <w:rsid w:val="7A2860D9"/>
    <w:rsid w:val="7AB66A3C"/>
    <w:rsid w:val="7B036FEB"/>
    <w:rsid w:val="7B486307"/>
    <w:rsid w:val="7BA515C3"/>
    <w:rsid w:val="7BC335A0"/>
    <w:rsid w:val="7C1032C9"/>
    <w:rsid w:val="7C321AFF"/>
    <w:rsid w:val="7C784B07"/>
    <w:rsid w:val="7CD9190C"/>
    <w:rsid w:val="7CEF56C5"/>
    <w:rsid w:val="7CF630ED"/>
    <w:rsid w:val="7CF70D50"/>
    <w:rsid w:val="7D3354C1"/>
    <w:rsid w:val="7D3A1A54"/>
    <w:rsid w:val="7D773F1E"/>
    <w:rsid w:val="7DBB54B6"/>
    <w:rsid w:val="7DDB1EBD"/>
    <w:rsid w:val="7DEA36AC"/>
    <w:rsid w:val="7E514691"/>
    <w:rsid w:val="7E5F26BC"/>
    <w:rsid w:val="7F1715F4"/>
    <w:rsid w:val="7F8C710A"/>
    <w:rsid w:val="7FBA7941"/>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left"/>
      <w:outlineLvl w:val="0"/>
    </w:pPr>
    <w:rPr>
      <w:rFonts w:ascii="Times New Roman" w:hAnsi="Times New Roman" w:eastAsia="宋体"/>
      <w:b/>
      <w:bCs/>
      <w:kern w:val="44"/>
      <w:sz w:val="36"/>
      <w:szCs w:val="36"/>
    </w:rPr>
  </w:style>
  <w:style w:type="paragraph" w:styleId="3">
    <w:name w:val="heading 2"/>
    <w:basedOn w:val="1"/>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 w:type="paragraph" w:customStyle="1" w:styleId="94">
    <w:name w:val="标书二级标题"/>
    <w:basedOn w:val="3"/>
    <w:qFormat/>
    <w:uiPriority w:val="0"/>
    <w:pPr>
      <w:spacing w:line="240" w:lineRule="auto"/>
      <w:jc w:val="left"/>
    </w:pPr>
    <w:rPr>
      <w:rFonts w:ascii="宋体" w:hAnsi="宋体" w:eastAsia="黑体"/>
      <w:sz w:val="28"/>
      <w:szCs w:val="30"/>
    </w:rPr>
  </w:style>
  <w:style w:type="paragraph" w:customStyle="1" w:styleId="95">
    <w:name w:val="标书一级标题"/>
    <w:basedOn w:val="2"/>
    <w:qFormat/>
    <w:uiPriority w:val="0"/>
    <w:rPr>
      <w:rFonts w:eastAsia="黑体"/>
      <w:b w:val="0"/>
      <w:color w:val="000000"/>
      <w:sz w:val="30"/>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footer" Target="footer2.xml"/><Relationship Id="rId39" Type="http://schemas.openxmlformats.org/officeDocument/2006/relationships/image" Target="media/image19.png"/><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png"/><Relationship Id="rId34" Type="http://schemas.openxmlformats.org/officeDocument/2006/relationships/image" Target="media/image14.png"/><Relationship Id="rId33" Type="http://schemas.openxmlformats.org/officeDocument/2006/relationships/image" Target="media/image13.png"/><Relationship Id="rId32" Type="http://schemas.openxmlformats.org/officeDocument/2006/relationships/image" Target="media/image12.png"/><Relationship Id="rId31" Type="http://schemas.openxmlformats.org/officeDocument/2006/relationships/image" Target="media/image11.png"/><Relationship Id="rId30" Type="http://schemas.openxmlformats.org/officeDocument/2006/relationships/image" Target="media/image10.png"/><Relationship Id="rId3" Type="http://schemas.openxmlformats.org/officeDocument/2006/relationships/footer" Target="footer1.xml"/><Relationship Id="rId29" Type="http://schemas.openxmlformats.org/officeDocument/2006/relationships/image" Target="media/image9.png"/><Relationship Id="rId28" Type="http://schemas.openxmlformats.org/officeDocument/2006/relationships/image" Target="media/image8.png"/><Relationship Id="rId27" Type="http://schemas.openxmlformats.org/officeDocument/2006/relationships/image" Target="media/image7.png"/><Relationship Id="rId26" Type="http://schemas.openxmlformats.org/officeDocument/2006/relationships/image" Target="media/image6.png"/><Relationship Id="rId25" Type="http://schemas.openxmlformats.org/officeDocument/2006/relationships/image" Target="media/image5.png"/><Relationship Id="rId24" Type="http://schemas.openxmlformats.org/officeDocument/2006/relationships/image" Target="media/image4.png"/><Relationship Id="rId23" Type="http://schemas.openxmlformats.org/officeDocument/2006/relationships/image" Target="media/image3.png"/><Relationship Id="rId22" Type="http://schemas.openxmlformats.org/officeDocument/2006/relationships/image" Target="media/image2.png"/><Relationship Id="rId21" Type="http://schemas.openxmlformats.org/officeDocument/2006/relationships/image" Target="media/image1.jpe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header" Target="header3.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97</Pages>
  <Words>4847</Words>
  <Characters>5255</Characters>
  <Lines>244</Lines>
  <Paragraphs>68</Paragraphs>
  <TotalTime>53</TotalTime>
  <ScaleCrop>false</ScaleCrop>
  <LinksUpToDate>false</LinksUpToDate>
  <CharactersWithSpaces>5456</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2026-09-15T09:23:59Z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