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880" w:lineRule="exact"/>
        <w:jc w:val="center"/>
        <w:rPr>
          <w:rFonts w:hint="eastAsia" w:ascii="宋体" w:hAnsi="宋体" w:eastAsia="宋体" w:cs="宋体"/>
          <w:b/>
          <w:bCs/>
          <w:color w:val="000000"/>
          <w:spacing w:val="-8"/>
          <w:sz w:val="48"/>
          <w:szCs w:val="44"/>
        </w:rPr>
      </w:pPr>
      <w:r>
        <w:rPr>
          <w:rFonts w:hint="eastAsia" w:ascii="宋体" w:hAnsi="宋体" w:eastAsia="宋体" w:cs="宋体"/>
          <w:b/>
          <w:bCs/>
          <w:color w:val="000000"/>
          <w:spacing w:val="-8"/>
          <w:sz w:val="48"/>
          <w:szCs w:val="44"/>
        </w:rPr>
        <w:t>中国重汽集团济南动力有限公司</w:t>
      </w:r>
    </w:p>
    <w:p>
      <w:pPr>
        <w:jc w:val="center"/>
        <w:rPr>
          <w:rFonts w:hint="eastAsia" w:ascii="宋体" w:hAnsi="宋体" w:eastAsia="宋体" w:cs="宋体"/>
          <w:b/>
          <w:bCs/>
          <w:color w:val="000000"/>
          <w:spacing w:val="-8"/>
          <w:sz w:val="48"/>
          <w:szCs w:val="44"/>
        </w:rPr>
      </w:pPr>
      <w:r>
        <w:rPr>
          <w:rFonts w:hint="eastAsia" w:ascii="宋体" w:hAnsi="宋体" w:eastAsia="宋体" w:cs="宋体"/>
          <w:b/>
          <w:bCs/>
          <w:color w:val="000000"/>
          <w:spacing w:val="-8"/>
          <w:sz w:val="48"/>
          <w:szCs w:val="44"/>
          <w:lang w:val="en-US" w:eastAsia="zh-CN"/>
        </w:rPr>
        <w:t>安徽捷通试验场</w:t>
      </w:r>
      <w:r>
        <w:rPr>
          <w:rFonts w:hint="eastAsia" w:ascii="宋体" w:hAnsi="宋体" w:cs="宋体"/>
          <w:b/>
          <w:bCs/>
          <w:color w:val="000000"/>
          <w:spacing w:val="-8"/>
          <w:sz w:val="48"/>
          <w:szCs w:val="44"/>
          <w:lang w:val="en-US" w:eastAsia="zh-CN"/>
        </w:rPr>
        <w:t>车辆</w:t>
      </w:r>
      <w:r>
        <w:rPr>
          <w:rFonts w:hint="eastAsia" w:ascii="宋体" w:hAnsi="宋体" w:eastAsia="宋体" w:cs="宋体"/>
          <w:b/>
          <w:bCs/>
          <w:color w:val="000000"/>
          <w:spacing w:val="-8"/>
          <w:sz w:val="48"/>
          <w:szCs w:val="44"/>
        </w:rPr>
        <w:t>驾驶</w:t>
      </w:r>
      <w:r>
        <w:rPr>
          <w:rFonts w:hint="eastAsia" w:ascii="宋体" w:hAnsi="宋体" w:cs="宋体"/>
          <w:b/>
          <w:bCs/>
          <w:color w:val="000000"/>
          <w:spacing w:val="-8"/>
          <w:sz w:val="48"/>
          <w:szCs w:val="44"/>
          <w:lang w:val="en-US" w:eastAsia="zh-CN"/>
        </w:rPr>
        <w:t xml:space="preserve">服务 </w:t>
      </w:r>
    </w:p>
    <w:p>
      <w:pPr>
        <w:jc w:val="center"/>
        <w:rPr>
          <w:rFonts w:hint="eastAsia" w:ascii="宋体" w:hAnsi="宋体" w:eastAsia="宋体" w:cs="宋体"/>
          <w:b/>
          <w:bCs/>
          <w:color w:val="000000"/>
          <w:spacing w:val="-8"/>
          <w:sz w:val="48"/>
          <w:szCs w:val="44"/>
        </w:rPr>
      </w:pPr>
      <w:r>
        <w:rPr>
          <w:rFonts w:hint="eastAsia" w:ascii="宋体" w:hAnsi="宋体" w:eastAsia="宋体" w:cs="宋体"/>
          <w:b/>
          <w:bCs/>
          <w:color w:val="000000"/>
          <w:spacing w:val="-8"/>
          <w:sz w:val="48"/>
          <w:szCs w:val="44"/>
        </w:rPr>
        <w:t>招标</w:t>
      </w:r>
      <w:r>
        <w:rPr>
          <w:rFonts w:hint="eastAsia" w:ascii="宋体" w:hAnsi="宋体" w:cs="宋体"/>
          <w:b/>
          <w:bCs/>
          <w:color w:val="000000"/>
          <w:spacing w:val="-8"/>
          <w:sz w:val="48"/>
          <w:szCs w:val="44"/>
          <w:lang w:val="en-US" w:eastAsia="zh-CN"/>
        </w:rPr>
        <w:t>公告</w:t>
      </w:r>
      <w:r>
        <w:rPr>
          <w:rFonts w:hint="eastAsia" w:ascii="宋体" w:hAnsi="宋体" w:eastAsia="宋体" w:cs="宋体"/>
          <w:b/>
          <w:bCs/>
          <w:color w:val="000000"/>
          <w:spacing w:val="-8"/>
          <w:sz w:val="48"/>
          <w:szCs w:val="44"/>
        </w:rPr>
        <w:t xml:space="preserve"> </w:t>
      </w:r>
    </w:p>
    <w:p>
      <w:pPr>
        <w:jc w:val="center"/>
        <w:rPr>
          <w:rFonts w:hint="eastAsia" w:ascii="宋体" w:hAnsi="宋体" w:eastAsia="宋体" w:cs="宋体"/>
          <w:color w:val="000000"/>
          <w:sz w:val="28"/>
          <w:szCs w:val="28"/>
        </w:rPr>
      </w:pPr>
    </w:p>
    <w:p>
      <w:pPr>
        <w:jc w:val="center"/>
        <w:rPr>
          <w:rFonts w:hint="eastAsia" w:ascii="宋体" w:hAnsi="宋体" w:eastAsia="宋体" w:cs="宋体"/>
          <w:color w:val="000000"/>
          <w:sz w:val="28"/>
          <w:szCs w:val="28"/>
        </w:rPr>
      </w:pPr>
    </w:p>
    <w:p>
      <w:pPr>
        <w:jc w:val="center"/>
        <w:rPr>
          <w:rFonts w:hint="eastAsia" w:ascii="宋体" w:hAnsi="宋体" w:eastAsia="宋体" w:cs="宋体"/>
          <w:color w:val="000000"/>
          <w:sz w:val="28"/>
          <w:szCs w:val="28"/>
        </w:rPr>
      </w:pPr>
    </w:p>
    <w:p>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招 标 人：中国重汽集团济南动力有限公司</w:t>
      </w:r>
    </w:p>
    <w:p>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202</w:t>
      </w:r>
      <w:r>
        <w:rPr>
          <w:rFonts w:hint="eastAsia" w:ascii="宋体" w:hAnsi="宋体" w:cs="宋体"/>
          <w:color w:val="000000"/>
          <w:sz w:val="28"/>
          <w:szCs w:val="28"/>
          <w:lang w:val="en-US" w:eastAsia="zh-CN"/>
        </w:rPr>
        <w:t>6</w:t>
      </w:r>
      <w:r>
        <w:rPr>
          <w:rFonts w:hint="eastAsia" w:ascii="宋体" w:hAnsi="宋体" w:eastAsia="宋体" w:cs="宋体"/>
          <w:color w:val="000000"/>
          <w:sz w:val="28"/>
          <w:szCs w:val="28"/>
        </w:rPr>
        <w:t>年</w:t>
      </w:r>
      <w:r>
        <w:rPr>
          <w:rFonts w:hint="eastAsia" w:ascii="宋体" w:hAnsi="宋体" w:cs="宋体"/>
          <w:color w:val="000000"/>
          <w:sz w:val="28"/>
          <w:szCs w:val="28"/>
          <w:lang w:val="en-US" w:eastAsia="zh-CN"/>
        </w:rPr>
        <w:t>9</w:t>
      </w:r>
      <w:r>
        <w:rPr>
          <w:rFonts w:hint="eastAsia" w:ascii="宋体" w:hAnsi="宋体" w:eastAsia="宋体" w:cs="宋体"/>
          <w:color w:val="000000"/>
          <w:sz w:val="28"/>
          <w:szCs w:val="28"/>
        </w:rPr>
        <w:t>月</w:t>
      </w:r>
    </w:p>
    <w:p>
      <w:pPr>
        <w:jc w:val="center"/>
        <w:rPr>
          <w:rFonts w:hint="eastAsia" w:ascii="宋体" w:hAnsi="宋体" w:eastAsia="宋体" w:cs="宋体"/>
          <w:sz w:val="28"/>
          <w:szCs w:val="28"/>
        </w:rPr>
      </w:pPr>
    </w:p>
    <w:p>
      <w:pPr>
        <w:pStyle w:val="15"/>
        <w:rPr>
          <w:rFonts w:hint="eastAsia" w:ascii="宋体" w:hAnsi="宋体" w:eastAsia="宋体" w:cs="宋体"/>
        </w:rPr>
      </w:pPr>
    </w:p>
    <w:p>
      <w:pPr>
        <w:pStyle w:val="15"/>
        <w:rPr>
          <w:rFonts w:hint="eastAsia" w:ascii="宋体" w:hAnsi="宋体" w:eastAsia="宋体" w:cs="宋体"/>
        </w:rPr>
      </w:pPr>
    </w:p>
    <w:p>
      <w:pPr>
        <w:pStyle w:val="15"/>
        <w:rPr>
          <w:rFonts w:hint="eastAsia" w:ascii="宋体" w:hAnsi="宋体" w:eastAsia="宋体" w:cs="宋体"/>
        </w:rPr>
      </w:pPr>
    </w:p>
    <w:p>
      <w:pPr>
        <w:pStyle w:val="15"/>
        <w:rPr>
          <w:rFonts w:hint="eastAsia" w:ascii="宋体" w:hAnsi="宋体" w:eastAsia="宋体" w:cs="宋体"/>
        </w:rPr>
      </w:pPr>
    </w:p>
    <w:p>
      <w:pPr>
        <w:pStyle w:val="15"/>
        <w:rPr>
          <w:rFonts w:hint="eastAsia" w:ascii="宋体" w:hAnsi="宋体" w:eastAsia="宋体" w:cs="宋体"/>
        </w:rPr>
      </w:pPr>
    </w:p>
    <w:p>
      <w:pPr>
        <w:pStyle w:val="15"/>
        <w:rPr>
          <w:rFonts w:hint="eastAsia" w:ascii="宋体" w:hAnsi="宋体" w:eastAsia="宋体" w:cs="宋体"/>
        </w:rPr>
      </w:pPr>
    </w:p>
    <w:p>
      <w:pPr>
        <w:pStyle w:val="15"/>
        <w:rPr>
          <w:rFonts w:hint="eastAsia" w:ascii="宋体" w:hAnsi="宋体" w:eastAsia="宋体" w:cs="宋体"/>
        </w:rPr>
      </w:pPr>
    </w:p>
    <w:p>
      <w:pPr>
        <w:pStyle w:val="15"/>
        <w:rPr>
          <w:rFonts w:hint="eastAsia" w:ascii="宋体" w:hAnsi="宋体" w:eastAsia="宋体" w:cs="宋体"/>
        </w:rPr>
      </w:pPr>
    </w:p>
    <w:p>
      <w:pPr>
        <w:pStyle w:val="15"/>
        <w:rPr>
          <w:rFonts w:hint="eastAsia" w:ascii="宋体" w:hAnsi="宋体" w:eastAsia="宋体" w:cs="宋体"/>
        </w:rPr>
      </w:pPr>
    </w:p>
    <w:p>
      <w:pPr>
        <w:pStyle w:val="15"/>
        <w:jc w:val="both"/>
        <w:rPr>
          <w:rFonts w:hint="eastAsia" w:ascii="宋体" w:hAnsi="宋体" w:eastAsia="宋体" w:cs="宋体"/>
        </w:rPr>
      </w:pPr>
    </w:p>
    <w:p>
      <w:pPr>
        <w:pStyle w:val="15"/>
        <w:jc w:val="both"/>
        <w:rPr>
          <w:rFonts w:hint="eastAsia" w:ascii="宋体" w:hAnsi="宋体" w:eastAsia="宋体" w:cs="宋体"/>
        </w:rPr>
      </w:pPr>
    </w:p>
    <w:p>
      <w:pPr>
        <w:pStyle w:val="15"/>
        <w:ind w:left="2520" w:leftChars="0" w:firstLine="420" w:firstLineChars="0"/>
        <w:jc w:val="both"/>
        <w:rPr>
          <w:rFonts w:hint="eastAsia" w:ascii="宋体" w:hAnsi="宋体" w:eastAsia="宋体" w:cs="宋体"/>
        </w:rPr>
      </w:pPr>
      <w:r>
        <w:rPr>
          <w:rFonts w:hint="eastAsia" w:ascii="宋体" w:hAnsi="宋体" w:eastAsia="宋体" w:cs="宋体"/>
        </w:rPr>
        <w:t>第一章  招标公告</w:t>
      </w:r>
    </w:p>
    <w:p>
      <w:pPr>
        <w:pStyle w:val="16"/>
        <w:rPr>
          <w:rFonts w:hint="eastAsia" w:ascii="宋体" w:hAnsi="宋体" w:eastAsia="宋体" w:cs="宋体"/>
        </w:rPr>
      </w:pPr>
      <w:r>
        <w:rPr>
          <w:rFonts w:hint="eastAsia" w:ascii="宋体" w:hAnsi="宋体" w:eastAsia="宋体" w:cs="宋体"/>
        </w:rPr>
        <w:t>一、项目名称</w:t>
      </w:r>
    </w:p>
    <w:p>
      <w:pPr>
        <w:spacing w:line="360" w:lineRule="auto"/>
        <w:ind w:left="1679" w:leftChars="228" w:hanging="1200" w:hangingChars="500"/>
        <w:rPr>
          <w:rFonts w:hint="eastAsia" w:ascii="宋体" w:hAnsi="宋体" w:eastAsia="宋体" w:cs="宋体"/>
        </w:rPr>
      </w:pPr>
      <w:r>
        <w:rPr>
          <w:rFonts w:hint="eastAsia" w:ascii="宋体" w:hAnsi="宋体" w:eastAsia="宋体" w:cs="宋体"/>
          <w:color w:val="000000"/>
          <w:sz w:val="24"/>
          <w:szCs w:val="24"/>
        </w:rPr>
        <w:t>项目名称：</w:t>
      </w:r>
      <w:bookmarkStart w:id="0" w:name="OLE_LINK1"/>
      <w:r>
        <w:rPr>
          <w:rFonts w:hint="eastAsia" w:ascii="宋体" w:hAnsi="宋体" w:eastAsia="宋体" w:cs="宋体"/>
          <w:color w:val="000000"/>
          <w:sz w:val="24"/>
          <w:szCs w:val="24"/>
          <w:u w:val="single"/>
          <w:lang w:val="en-US" w:eastAsia="zh-CN"/>
        </w:rPr>
        <w:t>安徽捷通试验场</w:t>
      </w:r>
      <w:r>
        <w:rPr>
          <w:rFonts w:hint="eastAsia" w:ascii="宋体" w:hAnsi="宋体" w:cs="宋体"/>
          <w:color w:val="000000"/>
          <w:sz w:val="24"/>
          <w:szCs w:val="24"/>
          <w:u w:val="single"/>
          <w:lang w:val="en-US" w:eastAsia="zh-CN"/>
        </w:rPr>
        <w:t>车辆</w:t>
      </w:r>
      <w:r>
        <w:rPr>
          <w:rFonts w:hint="eastAsia" w:ascii="宋体" w:hAnsi="宋体" w:eastAsia="宋体" w:cs="宋体"/>
          <w:color w:val="000000"/>
          <w:sz w:val="24"/>
          <w:szCs w:val="24"/>
          <w:u w:val="single"/>
        </w:rPr>
        <w:t>驾驶</w:t>
      </w:r>
      <w:r>
        <w:rPr>
          <w:rFonts w:hint="eastAsia" w:ascii="宋体" w:hAnsi="宋体" w:cs="宋体"/>
          <w:color w:val="000000"/>
          <w:sz w:val="24"/>
          <w:szCs w:val="24"/>
          <w:u w:val="single"/>
          <w:lang w:val="en-US" w:eastAsia="zh-CN"/>
        </w:rPr>
        <w:t>服务</w:t>
      </w:r>
      <w:r>
        <w:rPr>
          <w:rFonts w:hint="eastAsia" w:ascii="宋体" w:hAnsi="宋体" w:eastAsia="宋体" w:cs="宋体"/>
          <w:color w:val="000000"/>
          <w:sz w:val="24"/>
          <w:szCs w:val="24"/>
          <w:u w:val="single"/>
        </w:rPr>
        <w:t>项目</w:t>
      </w:r>
      <w:r>
        <w:rPr>
          <w:rFonts w:hint="eastAsia" w:ascii="宋体" w:hAnsi="宋体" w:cs="宋体"/>
          <w:color w:val="000000"/>
          <w:sz w:val="24"/>
          <w:szCs w:val="24"/>
          <w:u w:val="single"/>
          <w:lang w:val="en-US" w:eastAsia="zh-CN"/>
        </w:rPr>
        <w:t xml:space="preserve"> </w:t>
      </w:r>
    </w:p>
    <w:p>
      <w:pPr>
        <w:pStyle w:val="2"/>
        <w:keepNext/>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 xml:space="preserve">采购形式编号： </w:t>
      </w:r>
    </w:p>
    <w:bookmarkEnd w:id="0"/>
    <w:p>
      <w:pPr>
        <w:pStyle w:val="16"/>
        <w:rPr>
          <w:rFonts w:hint="eastAsia" w:ascii="宋体" w:hAnsi="宋体" w:eastAsia="宋体" w:cs="宋体"/>
        </w:rPr>
      </w:pPr>
      <w:r>
        <w:rPr>
          <w:rFonts w:hint="eastAsia" w:ascii="宋体" w:hAnsi="宋体" w:eastAsia="宋体" w:cs="宋体"/>
        </w:rPr>
        <w:t>二、招标内容及形式</w:t>
      </w:r>
    </w:p>
    <w:p>
      <w:pPr>
        <w:pStyle w:val="7"/>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招标内容：</w:t>
      </w:r>
      <w:r>
        <w:rPr>
          <w:rFonts w:hint="eastAsia" w:hAnsi="宋体" w:cs="宋体"/>
          <w:color w:val="000000"/>
          <w:sz w:val="24"/>
          <w:szCs w:val="24"/>
          <w:lang w:val="en-US" w:eastAsia="zh-CN"/>
        </w:rPr>
        <w:t>安徽捷通试验场车辆</w:t>
      </w:r>
      <w:r>
        <w:rPr>
          <w:rFonts w:hint="eastAsia" w:ascii="宋体" w:hAnsi="宋体" w:eastAsia="宋体" w:cs="宋体"/>
          <w:color w:val="000000"/>
          <w:sz w:val="24"/>
          <w:szCs w:val="24"/>
        </w:rPr>
        <w:t>驾驶</w:t>
      </w:r>
      <w:r>
        <w:rPr>
          <w:rFonts w:hint="eastAsia" w:hAnsi="宋体" w:cs="宋体"/>
          <w:color w:val="000000"/>
          <w:sz w:val="24"/>
          <w:szCs w:val="24"/>
          <w:lang w:val="en-US" w:eastAsia="zh-CN"/>
        </w:rPr>
        <w:t>服务</w:t>
      </w:r>
      <w:r>
        <w:rPr>
          <w:rFonts w:hint="eastAsia" w:ascii="宋体" w:hAnsi="宋体" w:eastAsia="宋体" w:cs="宋体"/>
          <w:color w:val="000000"/>
          <w:sz w:val="24"/>
          <w:szCs w:val="24"/>
        </w:rPr>
        <w:t>项目</w:t>
      </w:r>
      <w:r>
        <w:rPr>
          <w:rFonts w:hint="eastAsia" w:hAnsi="宋体" w:cs="宋体"/>
          <w:color w:val="000000"/>
          <w:sz w:val="24"/>
          <w:szCs w:val="24"/>
          <w:lang w:val="en-US" w:eastAsia="zh-CN"/>
        </w:rPr>
        <w:t xml:space="preserve"> </w:t>
      </w:r>
    </w:p>
    <w:p>
      <w:pPr>
        <w:pStyle w:val="7"/>
        <w:spacing w:line="360" w:lineRule="auto"/>
        <w:ind w:firstLine="480" w:firstLineChars="200"/>
        <w:rPr>
          <w:rFonts w:hint="eastAsia" w:ascii="宋体" w:hAnsi="宋体" w:eastAsia="宋体" w:cs="宋体"/>
          <w:b/>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招标形式</w:t>
      </w:r>
      <w:r>
        <w:rPr>
          <w:rFonts w:hint="eastAsia" w:hAnsi="宋体" w:cs="宋体"/>
          <w:color w:val="000000"/>
          <w:sz w:val="24"/>
          <w:szCs w:val="24"/>
          <w:lang w:eastAsia="zh-CN"/>
        </w:rPr>
        <w:t>：</w:t>
      </w:r>
      <w:r>
        <w:rPr>
          <w:rFonts w:hint="eastAsia" w:ascii="宋体" w:hAnsi="宋体" w:eastAsia="宋体" w:cs="宋体"/>
          <w:color w:val="000000"/>
          <w:sz w:val="24"/>
          <w:szCs w:val="24"/>
          <w:lang w:val="en-US" w:eastAsia="zh-CN"/>
        </w:rPr>
        <w:t>公开招标</w:t>
      </w:r>
      <w:r>
        <w:rPr>
          <w:rFonts w:hint="eastAsia" w:ascii="宋体" w:hAnsi="宋体" w:eastAsia="宋体" w:cs="宋体"/>
          <w:color w:val="000000"/>
          <w:sz w:val="24"/>
          <w:szCs w:val="24"/>
        </w:rPr>
        <w:t>。</w:t>
      </w:r>
    </w:p>
    <w:p>
      <w:pPr>
        <w:pStyle w:val="7"/>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w:t>
      </w:r>
      <w:r>
        <w:rPr>
          <w:rFonts w:hint="eastAsia" w:hAnsi="宋体" w:cs="宋体"/>
          <w:b/>
          <w:color w:val="000000"/>
          <w:sz w:val="24"/>
          <w:szCs w:val="24"/>
          <w:lang w:eastAsia="zh-CN"/>
        </w:rPr>
        <w:t>技术标书</w:t>
      </w:r>
      <w:r>
        <w:rPr>
          <w:rFonts w:hint="eastAsia" w:ascii="宋体" w:hAnsi="宋体" w:eastAsia="宋体" w:cs="宋体"/>
          <w:b/>
          <w:color w:val="000000"/>
          <w:sz w:val="24"/>
          <w:szCs w:val="24"/>
        </w:rPr>
        <w:t>》。</w:t>
      </w:r>
    </w:p>
    <w:p>
      <w:pPr>
        <w:pStyle w:val="16"/>
        <w:rPr>
          <w:rFonts w:hint="eastAsia" w:ascii="宋体" w:hAnsi="宋体" w:eastAsia="宋体" w:cs="宋体"/>
        </w:rPr>
      </w:pPr>
      <w:r>
        <w:rPr>
          <w:rFonts w:hint="eastAsia" w:ascii="宋体" w:hAnsi="宋体" w:eastAsia="宋体" w:cs="宋体"/>
        </w:rPr>
        <w:t>三、项目概况与招标范围</w:t>
      </w:r>
    </w:p>
    <w:p>
      <w:pPr>
        <w:pStyle w:val="7"/>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项目名称</w:t>
      </w:r>
      <w:r>
        <w:rPr>
          <w:rFonts w:hint="eastAsia" w:hAnsi="宋体" w:cs="宋体"/>
          <w:color w:val="000000"/>
          <w:sz w:val="24"/>
          <w:szCs w:val="24"/>
          <w:lang w:eastAsia="zh-CN"/>
        </w:rPr>
        <w:t>：</w:t>
      </w:r>
      <w:r>
        <w:rPr>
          <w:rFonts w:hint="eastAsia" w:hAnsi="宋体" w:cs="宋体"/>
          <w:color w:val="000000"/>
          <w:sz w:val="24"/>
          <w:szCs w:val="24"/>
          <w:lang w:val="en-US" w:eastAsia="zh-CN"/>
        </w:rPr>
        <w:t>安徽捷通试验场车辆</w:t>
      </w:r>
      <w:r>
        <w:rPr>
          <w:rFonts w:hint="eastAsia" w:ascii="宋体" w:hAnsi="宋体" w:eastAsia="宋体" w:cs="宋体"/>
          <w:color w:val="000000"/>
          <w:sz w:val="24"/>
          <w:szCs w:val="24"/>
        </w:rPr>
        <w:t>驾驶</w:t>
      </w:r>
      <w:r>
        <w:rPr>
          <w:rFonts w:hint="eastAsia" w:hAnsi="宋体" w:cs="宋体"/>
          <w:color w:val="000000"/>
          <w:sz w:val="24"/>
          <w:szCs w:val="24"/>
          <w:lang w:val="en-US" w:eastAsia="zh-CN"/>
        </w:rPr>
        <w:t>服务</w:t>
      </w:r>
      <w:r>
        <w:rPr>
          <w:rFonts w:hint="eastAsia" w:ascii="宋体" w:hAnsi="宋体" w:eastAsia="宋体" w:cs="宋体"/>
          <w:color w:val="000000"/>
          <w:sz w:val="24"/>
          <w:szCs w:val="24"/>
        </w:rPr>
        <w:t>项目。</w:t>
      </w:r>
    </w:p>
    <w:p>
      <w:pPr>
        <w:pStyle w:val="7"/>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项目地点：</w:t>
      </w:r>
      <w:r>
        <w:rPr>
          <w:rFonts w:hint="eastAsia" w:hAnsi="宋体" w:cs="宋体"/>
          <w:color w:val="000000"/>
          <w:sz w:val="24"/>
          <w:szCs w:val="24"/>
          <w:highlight w:val="none"/>
          <w:lang w:val="en-US" w:eastAsia="zh-CN"/>
        </w:rPr>
        <w:t>安徽省滁州市凤阳县安徽捷通试验场</w:t>
      </w:r>
      <w:r>
        <w:rPr>
          <w:rFonts w:hint="eastAsia" w:ascii="宋体" w:hAnsi="宋体" w:eastAsia="宋体" w:cs="宋体"/>
          <w:color w:val="000000"/>
          <w:sz w:val="24"/>
          <w:szCs w:val="24"/>
        </w:rPr>
        <w:t>。</w:t>
      </w:r>
    </w:p>
    <w:p>
      <w:pPr>
        <w:pStyle w:val="7"/>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资金来源：企业自筹，已落实。</w:t>
      </w:r>
    </w:p>
    <w:p>
      <w:pPr>
        <w:pStyle w:val="17"/>
        <w:rPr>
          <w:rFonts w:hint="eastAsia" w:ascii="宋体" w:hAnsi="宋体" w:eastAsia="宋体" w:cs="宋体"/>
          <w:color w:val="000000"/>
          <w:sz w:val="24"/>
          <w:szCs w:val="24"/>
        </w:rPr>
      </w:pPr>
      <w:r>
        <w:rPr>
          <w:rFonts w:hint="eastAsia" w:eastAsia="宋体" w:cs="宋体"/>
          <w:color w:val="000000"/>
          <w:sz w:val="24"/>
          <w:szCs w:val="24"/>
          <w:lang w:eastAsia="zh-CN"/>
        </w:rPr>
        <w:t>4.</w:t>
      </w:r>
      <w:r>
        <w:rPr>
          <w:rFonts w:hint="eastAsia" w:ascii="宋体" w:hAnsi="宋体" w:eastAsia="宋体" w:cs="宋体"/>
          <w:color w:val="000000"/>
          <w:sz w:val="24"/>
          <w:szCs w:val="24"/>
        </w:rPr>
        <w:t>付款方式</w:t>
      </w:r>
      <w:r>
        <w:rPr>
          <w:rFonts w:hint="eastAsia" w:ascii="宋体" w:hAnsi="宋体" w:eastAsia="宋体" w:cs="宋体"/>
          <w:color w:val="000000"/>
          <w:sz w:val="24"/>
          <w:szCs w:val="24"/>
          <w:lang w:eastAsia="zh-CN"/>
        </w:rPr>
        <w:t>：</w:t>
      </w:r>
      <w:r>
        <w:rPr>
          <w:rFonts w:hint="eastAsia" w:ascii="宋体" w:hAnsi="宋体" w:eastAsia="宋体" w:cs="宋体"/>
          <w:highlight w:val="yellow"/>
          <w:u w:val="single"/>
        </w:rPr>
        <w:t>半年期商业汇票（包括银行承兑汇票和商业承兑汇票</w:t>
      </w:r>
      <w:r>
        <w:rPr>
          <w:rFonts w:hint="eastAsia" w:ascii="宋体" w:hAnsi="宋体" w:eastAsia="宋体" w:cs="宋体"/>
          <w:highlight w:val="yellow"/>
          <w:u w:val="single"/>
          <w:lang w:eastAsia="zh-CN"/>
        </w:rPr>
        <w:t>）</w:t>
      </w:r>
    </w:p>
    <w:p>
      <w:pPr>
        <w:pStyle w:val="17"/>
        <w:rPr>
          <w:rFonts w:hint="eastAsia" w:ascii="宋体" w:hAnsi="宋体" w:eastAsia="宋体" w:cs="宋体"/>
        </w:rPr>
      </w:pPr>
      <w:r>
        <w:rPr>
          <w:rFonts w:hint="eastAsia" w:ascii="宋体" w:hAnsi="宋体" w:eastAsia="宋体" w:cs="宋体"/>
        </w:rPr>
        <w:t>中标人与中国重汽集团济南动力有限公司签订合同，按表1（具体付款方式）通知开具增值税发票，由中国重汽集团济南动力有限公司按照其财务制度进行审核后支付。</w:t>
      </w:r>
    </w:p>
    <w:tbl>
      <w:tblPr>
        <w:tblStyle w:val="11"/>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1441"/>
        <w:gridCol w:w="464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pPr>
              <w:pStyle w:val="18"/>
              <w:rPr>
                <w:rFonts w:hint="eastAsia" w:ascii="宋体" w:hAnsi="宋体" w:eastAsia="宋体" w:cs="宋体"/>
                <w:b w:val="0"/>
              </w:rPr>
            </w:pPr>
            <w:r>
              <w:rPr>
                <w:rFonts w:hint="eastAsia" w:ascii="宋体" w:hAnsi="宋体" w:eastAsia="宋体" w:cs="宋体"/>
                <w:b w:val="0"/>
              </w:rPr>
              <w:t>表1：具体付款方式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tcPr>
          <w:p>
            <w:pPr>
              <w:pStyle w:val="18"/>
              <w:rPr>
                <w:rFonts w:hint="eastAsia" w:ascii="宋体" w:hAnsi="宋体" w:eastAsia="宋体" w:cs="宋体"/>
                <w:b w:val="0"/>
              </w:rPr>
            </w:pPr>
            <w:r>
              <w:rPr>
                <w:rFonts w:hint="eastAsia" w:ascii="宋体" w:hAnsi="宋体" w:eastAsia="宋体" w:cs="宋体"/>
                <w:b w:val="0"/>
              </w:rPr>
              <w:t>项目</w:t>
            </w:r>
          </w:p>
        </w:tc>
        <w:tc>
          <w:tcPr>
            <w:tcW w:w="775" w:type="pct"/>
            <w:tcBorders>
              <w:top w:val="single" w:color="auto" w:sz="4" w:space="0"/>
              <w:left w:val="single" w:color="auto" w:sz="4" w:space="0"/>
              <w:bottom w:val="single" w:color="auto" w:sz="4" w:space="0"/>
              <w:right w:val="single" w:color="auto" w:sz="4" w:space="0"/>
            </w:tcBorders>
          </w:tcPr>
          <w:p>
            <w:pPr>
              <w:pStyle w:val="18"/>
              <w:rPr>
                <w:rFonts w:hint="eastAsia" w:ascii="宋体" w:hAnsi="宋体" w:eastAsia="宋体" w:cs="宋体"/>
                <w:b w:val="0"/>
              </w:rPr>
            </w:pPr>
            <w:r>
              <w:rPr>
                <w:rFonts w:hint="eastAsia" w:ascii="宋体" w:hAnsi="宋体" w:eastAsia="宋体" w:cs="宋体"/>
                <w:b w:val="0"/>
              </w:rPr>
              <w:t>合同类型</w:t>
            </w:r>
          </w:p>
        </w:tc>
        <w:tc>
          <w:tcPr>
            <w:tcW w:w="2497" w:type="pct"/>
            <w:tcBorders>
              <w:top w:val="single" w:color="auto" w:sz="4" w:space="0"/>
              <w:left w:val="single" w:color="auto" w:sz="4" w:space="0"/>
              <w:bottom w:val="single" w:color="auto" w:sz="4" w:space="0"/>
              <w:right w:val="single" w:color="auto" w:sz="4" w:space="0"/>
            </w:tcBorders>
          </w:tcPr>
          <w:p>
            <w:pPr>
              <w:pStyle w:val="18"/>
              <w:rPr>
                <w:rFonts w:hint="eastAsia" w:ascii="宋体" w:hAnsi="宋体" w:eastAsia="宋体" w:cs="宋体"/>
                <w:b w:val="0"/>
              </w:rPr>
            </w:pPr>
            <w:r>
              <w:rPr>
                <w:rFonts w:hint="eastAsia" w:ascii="宋体" w:hAnsi="宋体" w:eastAsia="宋体" w:cs="宋体"/>
                <w:b w:val="0"/>
              </w:rPr>
              <w:t>结算方式</w:t>
            </w:r>
          </w:p>
        </w:tc>
        <w:tc>
          <w:tcPr>
            <w:tcW w:w="951" w:type="pct"/>
            <w:tcBorders>
              <w:top w:val="single" w:color="auto" w:sz="4" w:space="0"/>
              <w:left w:val="single" w:color="auto" w:sz="4" w:space="0"/>
              <w:bottom w:val="single" w:color="auto" w:sz="4" w:space="0"/>
              <w:right w:val="single" w:color="auto" w:sz="4" w:space="0"/>
            </w:tcBorders>
          </w:tcPr>
          <w:p>
            <w:pPr>
              <w:pStyle w:val="18"/>
              <w:rPr>
                <w:rFonts w:hint="eastAsia" w:ascii="宋体" w:hAnsi="宋体" w:eastAsia="宋体" w:cs="宋体"/>
                <w:b w:val="0"/>
              </w:rPr>
            </w:pPr>
            <w:r>
              <w:rPr>
                <w:rFonts w:hint="eastAsia" w:ascii="宋体" w:hAnsi="宋体" w:eastAsia="宋体" w:cs="宋体"/>
                <w:b w:val="0"/>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vAlign w:val="center"/>
          </w:tcPr>
          <w:p>
            <w:pPr>
              <w:pStyle w:val="18"/>
              <w:rPr>
                <w:rFonts w:hint="eastAsia" w:ascii="宋体" w:hAnsi="宋体" w:eastAsia="宋体" w:cs="宋体"/>
                <w:b w:val="0"/>
              </w:rPr>
            </w:pPr>
            <w:r>
              <w:rPr>
                <w:rFonts w:hint="eastAsia" w:ascii="宋体" w:hAnsi="宋体" w:eastAsia="宋体" w:cs="宋体"/>
                <w:b w:val="0"/>
                <w:lang w:val="en-US" w:eastAsia="zh-CN"/>
              </w:rPr>
              <w:t>安徽捷通试验场</w:t>
            </w:r>
            <w:r>
              <w:rPr>
                <w:rFonts w:hint="eastAsia" w:ascii="宋体" w:hAnsi="宋体" w:eastAsia="宋体" w:cs="宋体"/>
                <w:b w:val="0"/>
              </w:rPr>
              <w:t>驾驶员项目</w:t>
            </w:r>
          </w:p>
        </w:tc>
        <w:tc>
          <w:tcPr>
            <w:tcW w:w="775" w:type="pct"/>
            <w:tcBorders>
              <w:top w:val="single" w:color="auto" w:sz="4" w:space="0"/>
              <w:left w:val="single" w:color="auto" w:sz="4" w:space="0"/>
              <w:bottom w:val="single" w:color="auto" w:sz="4" w:space="0"/>
              <w:right w:val="single" w:color="auto" w:sz="4" w:space="0"/>
            </w:tcBorders>
            <w:vAlign w:val="center"/>
          </w:tcPr>
          <w:p>
            <w:pPr>
              <w:pStyle w:val="18"/>
              <w:spacing w:before="423" w:beforeLines="135" w:beforeAutospacing="0" w:after="159" w:afterLines="51" w:afterAutospacing="0"/>
              <w:jc w:val="center"/>
              <w:rPr>
                <w:rFonts w:hint="eastAsia" w:ascii="宋体" w:hAnsi="宋体" w:eastAsia="宋体" w:cs="宋体"/>
                <w:b w:val="0"/>
              </w:rPr>
            </w:pPr>
            <w:r>
              <w:rPr>
                <w:rFonts w:hint="eastAsia" w:ascii="宋体" w:hAnsi="宋体" w:eastAsia="宋体" w:cs="宋体"/>
                <w:b w:val="0"/>
              </w:rPr>
              <w:t>开口合同</w:t>
            </w:r>
          </w:p>
          <w:p>
            <w:pPr>
              <w:spacing w:beforeAutospacing="0"/>
              <w:jc w:val="center"/>
            </w:pPr>
          </w:p>
        </w:tc>
        <w:tc>
          <w:tcPr>
            <w:tcW w:w="2497" w:type="pct"/>
            <w:tcBorders>
              <w:top w:val="single" w:color="auto" w:sz="4" w:space="0"/>
              <w:left w:val="single" w:color="auto" w:sz="4" w:space="0"/>
              <w:bottom w:val="single" w:color="auto" w:sz="4" w:space="0"/>
              <w:right w:val="single" w:color="auto" w:sz="4" w:space="0"/>
            </w:tcBorders>
            <w:vAlign w:val="center"/>
          </w:tcPr>
          <w:p>
            <w:pPr>
              <w:pStyle w:val="18"/>
              <w:jc w:val="center"/>
              <w:rPr>
                <w:rFonts w:hint="eastAsia" w:ascii="宋体" w:hAnsi="宋体" w:eastAsia="宋体" w:cs="宋体"/>
                <w:b w:val="0"/>
              </w:rPr>
            </w:pPr>
            <w:r>
              <w:rPr>
                <w:rFonts w:hint="eastAsia" w:ascii="宋体" w:hAnsi="宋体" w:eastAsia="宋体" w:cs="宋体"/>
                <w:b w:val="0"/>
              </w:rPr>
              <w:t>合同签订后按实际使用人数、天数，按月结算</w:t>
            </w:r>
          </w:p>
        </w:tc>
        <w:tc>
          <w:tcPr>
            <w:tcW w:w="951" w:type="pct"/>
            <w:tcBorders>
              <w:top w:val="single" w:color="auto" w:sz="4" w:space="0"/>
              <w:left w:val="single" w:color="auto" w:sz="4" w:space="0"/>
              <w:bottom w:val="single" w:color="auto" w:sz="4" w:space="0"/>
              <w:right w:val="single" w:color="auto" w:sz="4" w:space="0"/>
            </w:tcBorders>
            <w:vAlign w:val="center"/>
          </w:tcPr>
          <w:p>
            <w:pPr>
              <w:pStyle w:val="18"/>
              <w:jc w:val="center"/>
              <w:rPr>
                <w:rFonts w:hint="eastAsia" w:ascii="宋体" w:hAnsi="宋体" w:eastAsia="宋体" w:cs="宋体"/>
                <w:b w:val="0"/>
              </w:rPr>
            </w:pPr>
            <w:r>
              <w:rPr>
                <w:rFonts w:hint="eastAsia" w:ascii="宋体" w:hAnsi="宋体" w:eastAsia="宋体" w:cs="宋体"/>
                <w:b w:val="0"/>
              </w:rPr>
              <w:t>100%</w:t>
            </w:r>
          </w:p>
        </w:tc>
      </w:tr>
    </w:tbl>
    <w:p>
      <w:pPr>
        <w:pStyle w:val="16"/>
        <w:rPr>
          <w:rFonts w:hint="eastAsia" w:ascii="宋体" w:hAnsi="宋体" w:eastAsia="宋体" w:cs="宋体"/>
        </w:rPr>
      </w:pPr>
      <w:r>
        <w:rPr>
          <w:rFonts w:hint="eastAsia" w:ascii="宋体" w:hAnsi="宋体" w:eastAsia="宋体" w:cs="宋体"/>
        </w:rPr>
        <w:t>四、投标说明</w:t>
      </w:r>
    </w:p>
    <w:p>
      <w:pPr>
        <w:pStyle w:val="19"/>
        <w:ind w:firstLine="480"/>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报名方式</w:t>
      </w:r>
    </w:p>
    <w:p>
      <w:pPr>
        <w:pStyle w:val="17"/>
        <w:ind w:firstLine="482"/>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拟投标人根据招标人在中国重汽官网等公开媒体上发布的招标信息，在“中国重汽e采通”平台报名。</w:t>
      </w:r>
      <w:r>
        <w:rPr>
          <w:rFonts w:hint="eastAsia" w:ascii="宋体" w:hAnsi="宋体" w:eastAsia="宋体" w:cs="宋体"/>
          <w:b/>
          <w:bCs/>
        </w:rPr>
        <w:t>按照中国重汽e采通“SRM非生产供应商注册手册”（</w:t>
      </w:r>
      <w:r>
        <w:rPr>
          <w:rFonts w:hint="eastAsia" w:eastAsia="宋体" w:cs="宋体"/>
          <w:b/>
          <w:bCs/>
          <w:lang w:eastAsia="zh-CN"/>
        </w:rPr>
        <w:t>附件12</w:t>
      </w:r>
      <w:r>
        <w:rPr>
          <w:rFonts w:hint="eastAsia" w:ascii="宋体" w:hAnsi="宋体" w:eastAsia="宋体" w:cs="宋体"/>
          <w:b/>
          <w:bCs/>
        </w:rPr>
        <w:t>）进行注册</w:t>
      </w:r>
      <w:r>
        <w:rPr>
          <w:rFonts w:hint="eastAsia" w:ascii="宋体" w:hAnsi="宋体" w:eastAsia="宋体" w:cs="宋体"/>
        </w:rPr>
        <w:t>，登录后进入“供应商应标”，选择对应的项目，点击“</w:t>
      </w:r>
      <w:r>
        <w:rPr>
          <w:rFonts w:hint="eastAsia" w:ascii="宋体" w:hAnsi="宋体" w:eastAsia="宋体" w:cs="宋体"/>
          <w:b/>
          <w:bCs/>
        </w:rPr>
        <w:t>应标</w:t>
      </w:r>
      <w:r>
        <w:rPr>
          <w:rFonts w:hint="eastAsia" w:ascii="宋体" w:hAnsi="宋体" w:eastAsia="宋体" w:cs="宋体"/>
        </w:rPr>
        <w:t>”</w:t>
      </w:r>
      <w:r>
        <w:rPr>
          <w:rFonts w:hint="eastAsia" w:ascii="宋体" w:hAnsi="宋体" w:eastAsia="宋体" w:cs="宋体"/>
          <w:b/>
          <w:bCs/>
        </w:rPr>
        <w:t>后按照招标文件</w:t>
      </w:r>
      <w:r>
        <w:rPr>
          <w:rFonts w:hint="eastAsia" w:ascii="宋体" w:hAnsi="宋体" w:eastAsia="宋体" w:cs="宋体"/>
          <w:b/>
          <w:bCs/>
          <w:lang w:val="en-US" w:eastAsia="zh-CN"/>
        </w:rPr>
        <w:t>本</w:t>
      </w:r>
      <w:r>
        <w:rPr>
          <w:rFonts w:hint="eastAsia" w:ascii="宋体" w:hAnsi="宋体" w:eastAsia="宋体" w:cs="宋体"/>
          <w:b/>
          <w:bCs/>
        </w:rPr>
        <w:t>部分</w:t>
      </w:r>
      <w:r>
        <w:rPr>
          <w:rFonts w:hint="eastAsia" w:ascii="宋体" w:hAnsi="宋体" w:eastAsia="宋体" w:cs="宋体"/>
          <w:b/>
          <w:bCs/>
          <w:lang w:val="en-US" w:eastAsia="zh-CN"/>
        </w:rPr>
        <w:t>第7条</w:t>
      </w:r>
      <w:r>
        <w:rPr>
          <w:rFonts w:hint="eastAsia" w:ascii="宋体" w:hAnsi="宋体" w:eastAsia="宋体" w:cs="宋体"/>
          <w:b/>
          <w:bCs/>
        </w:rPr>
        <w:t>投标文件组成资格证明文件中的1-</w:t>
      </w:r>
      <w:r>
        <w:rPr>
          <w:rFonts w:hint="eastAsia" w:ascii="宋体" w:hAnsi="宋体" w:eastAsia="宋体" w:cs="宋体"/>
          <w:b/>
          <w:bCs/>
          <w:lang w:val="en-US" w:eastAsia="zh-CN"/>
        </w:rPr>
        <w:t>11</w:t>
      </w:r>
      <w:r>
        <w:rPr>
          <w:rFonts w:hint="eastAsia" w:ascii="宋体" w:hAnsi="宋体" w:eastAsia="宋体" w:cs="宋体"/>
          <w:b/>
          <w:bCs/>
        </w:rPr>
        <w:t>准备资料并</w:t>
      </w:r>
      <w:r>
        <w:rPr>
          <w:rFonts w:hint="eastAsia" w:ascii="宋体" w:hAnsi="宋体" w:eastAsia="宋体" w:cs="宋体"/>
        </w:rPr>
        <w:t>上传，资质审查通过即为报名成功；公示期间请尽快报名。</w:t>
      </w:r>
    </w:p>
    <w:p>
      <w:pPr>
        <w:pStyle w:val="17"/>
        <w:ind w:firstLine="482"/>
        <w:rPr>
          <w:rFonts w:hint="eastAsia" w:ascii="宋体" w:hAnsi="宋体" w:eastAsia="宋体" w:cs="宋体"/>
          <w:b w:val="0"/>
          <w:bCs/>
          <w:lang w:val="en-US" w:eastAsia="zh-CN"/>
        </w:rPr>
      </w:pPr>
      <w:r>
        <w:rPr>
          <w:rFonts w:hint="eastAsia" w:ascii="宋体" w:hAnsi="宋体" w:eastAsia="宋体" w:cs="宋体"/>
          <w:b w:val="0"/>
          <w:bCs/>
          <w:lang w:val="en-US" w:eastAsia="zh-CN"/>
        </w:rPr>
        <w:t xml:space="preserve">1.2 </w:t>
      </w:r>
      <w:r>
        <w:rPr>
          <w:rFonts w:hint="eastAsia" w:ascii="宋体" w:hAnsi="宋体" w:eastAsia="宋体" w:cs="宋体"/>
        </w:rPr>
        <w:t>拟投标人</w:t>
      </w:r>
      <w:r>
        <w:rPr>
          <w:rFonts w:hint="eastAsia" w:ascii="宋体" w:hAnsi="宋体" w:eastAsia="宋体" w:cs="宋体"/>
          <w:lang w:val="en-US" w:eastAsia="zh-CN"/>
        </w:rPr>
        <w:t>报名成功后，请将营业执照，授权书（含法人及授权人身份信息）、投标保证金电子回单发送邮件至我单位备案，</w:t>
      </w:r>
      <w:r>
        <w:rPr>
          <w:rFonts w:hint="eastAsia" w:ascii="宋体" w:hAnsi="宋体" w:eastAsia="宋体" w:cs="宋体"/>
        </w:rPr>
        <w:t>邮箱</w:t>
      </w:r>
      <w:r>
        <w:rPr>
          <w:rFonts w:hint="eastAsia" w:ascii="宋体" w:hAnsi="宋体" w:eastAsia="宋体" w:cs="宋体"/>
          <w:lang w:val="en-US" w:eastAsia="zh-CN"/>
        </w:rPr>
        <w:t>地址</w:t>
      </w:r>
      <w:r>
        <w:rPr>
          <w:rFonts w:hint="eastAsia" w:ascii="宋体" w:hAnsi="宋体" w:eastAsia="宋体" w:cs="宋体"/>
        </w:rPr>
        <w:t>：</w:t>
      </w:r>
      <w:r>
        <w:rPr>
          <w:rFonts w:hint="eastAsia" w:eastAsia="宋体" w:cs="宋体"/>
          <w:lang w:val="en-US" w:eastAsia="zh-CN"/>
        </w:rPr>
        <w:t>2014983323</w:t>
      </w:r>
      <w:r>
        <w:rPr>
          <w:rFonts w:hint="eastAsia" w:ascii="宋体" w:hAnsi="宋体" w:eastAsia="宋体" w:cs="宋体"/>
        </w:rPr>
        <w:t>@</w:t>
      </w:r>
      <w:r>
        <w:rPr>
          <w:rFonts w:hint="eastAsia" w:eastAsia="宋体" w:cs="宋体"/>
          <w:lang w:val="en-US" w:eastAsia="zh-CN"/>
        </w:rPr>
        <w:t>qq</w:t>
      </w:r>
      <w:r>
        <w:rPr>
          <w:rFonts w:hint="eastAsia" w:ascii="宋体" w:hAnsi="宋体" w:eastAsia="宋体" w:cs="宋体"/>
        </w:rPr>
        <w:t>.com</w:t>
      </w:r>
      <w:r>
        <w:rPr>
          <w:rFonts w:hint="eastAsia" w:ascii="宋体" w:hAnsi="宋体" w:eastAsia="宋体" w:cs="宋体"/>
          <w:lang w:eastAsia="zh-CN"/>
        </w:rPr>
        <w:t>。</w:t>
      </w:r>
    </w:p>
    <w:p>
      <w:pPr>
        <w:pStyle w:val="17"/>
        <w:ind w:firstLine="482"/>
        <w:rPr>
          <w:rFonts w:hint="eastAsia" w:ascii="宋体" w:hAnsi="宋体" w:eastAsia="宋体" w:cs="宋体"/>
          <w:b/>
        </w:rPr>
      </w:pPr>
      <w:r>
        <w:rPr>
          <w:rFonts w:hint="eastAsia" w:ascii="宋体" w:hAnsi="宋体" w:eastAsia="宋体" w:cs="宋体"/>
          <w:b/>
        </w:rPr>
        <w:t>投标邮件主题：某单位授权某代表参与投标某项目+电话</w:t>
      </w:r>
    </w:p>
    <w:p>
      <w:pPr>
        <w:pStyle w:val="17"/>
        <w:ind w:firstLine="482"/>
        <w:rPr>
          <w:rFonts w:hint="eastAsia" w:ascii="宋体" w:hAnsi="宋体" w:eastAsia="宋体" w:cs="宋体"/>
          <w:b/>
        </w:rPr>
      </w:pPr>
      <w:r>
        <w:rPr>
          <w:rFonts w:hint="eastAsia" w:ascii="宋体" w:hAnsi="宋体" w:eastAsia="宋体" w:cs="宋体"/>
          <w:b/>
        </w:rPr>
        <w:t>投标邮件附件：营业执照，授权书（含法人及授权人身份信息）、投标保证金电子回单（三个附件发送，不要发压缩包，不要使用126或者123邮箱报名，我公司无法打开下载）</w:t>
      </w:r>
    </w:p>
    <w:p>
      <w:pPr>
        <w:pStyle w:val="17"/>
        <w:ind w:firstLine="482"/>
        <w:rPr>
          <w:rFonts w:hint="eastAsia" w:ascii="宋体" w:hAnsi="宋体" w:eastAsia="宋体" w:cs="宋体"/>
          <w:b/>
        </w:rPr>
      </w:pPr>
      <w:r>
        <w:rPr>
          <w:rFonts w:hint="eastAsia" w:ascii="宋体" w:hAnsi="宋体" w:eastAsia="宋体" w:cs="宋体"/>
          <w:b/>
        </w:rPr>
        <w:t>邮件正文</w:t>
      </w:r>
      <w:r>
        <w:rPr>
          <w:rFonts w:hint="eastAsia" w:ascii="宋体" w:hAnsi="宋体" w:eastAsia="宋体" w:cs="宋体"/>
        </w:rPr>
        <w:t>：请务必在邮件正文中文字表述</w:t>
      </w:r>
      <w:r>
        <w:rPr>
          <w:rFonts w:hint="eastAsia" w:ascii="宋体" w:hAnsi="宋体" w:eastAsia="宋体" w:cs="宋体"/>
          <w:b/>
        </w:rPr>
        <w:t>付款账号、户名、开户行</w:t>
      </w:r>
      <w:r>
        <w:rPr>
          <w:rFonts w:hint="eastAsia" w:ascii="宋体" w:hAnsi="宋体" w:eastAsia="宋体" w:cs="宋体"/>
          <w:b/>
          <w:lang w:val="en-US" w:eastAsia="zh-CN"/>
        </w:rPr>
        <w:t>以及</w:t>
      </w:r>
      <w:r>
        <w:rPr>
          <w:rFonts w:hint="eastAsia" w:ascii="宋体" w:hAnsi="宋体" w:eastAsia="宋体" w:cs="宋体"/>
          <w:b/>
        </w:rPr>
        <w:t>行号、保证金金额。</w:t>
      </w:r>
    </w:p>
    <w:p>
      <w:pPr>
        <w:pStyle w:val="17"/>
        <w:ind w:firstLine="482"/>
        <w:rPr>
          <w:rFonts w:hint="eastAsia" w:ascii="宋体" w:hAnsi="宋体" w:eastAsia="宋体" w:cs="宋体"/>
          <w:b/>
        </w:rPr>
      </w:pPr>
      <w:r>
        <w:rPr>
          <w:rFonts w:hint="eastAsia" w:ascii="宋体" w:hAnsi="宋体" w:eastAsia="宋体" w:cs="宋体"/>
          <w:b/>
        </w:rPr>
        <w:t>投标保证金缴纳</w:t>
      </w:r>
      <w:r>
        <w:rPr>
          <w:rFonts w:hint="eastAsia" w:eastAsia="宋体" w:cs="宋体"/>
          <w:b/>
          <w:lang w:eastAsia="zh-CN"/>
        </w:rPr>
        <w:t>时</w:t>
      </w:r>
      <w:r>
        <w:rPr>
          <w:rFonts w:hint="eastAsia" w:ascii="宋体" w:hAnsi="宋体" w:eastAsia="宋体" w:cs="宋体"/>
          <w:b/>
        </w:rPr>
        <w:t>，务必备注所投标的项目名称。</w:t>
      </w:r>
    </w:p>
    <w:p>
      <w:pPr>
        <w:pStyle w:val="17"/>
        <w:ind w:firstLine="480"/>
        <w:rPr>
          <w:rFonts w:hint="eastAsia" w:ascii="宋体" w:hAnsi="宋体" w:eastAsia="宋体" w:cs="宋体"/>
          <w:highlight w:val="green"/>
        </w:rPr>
      </w:pPr>
      <w:r>
        <w:rPr>
          <w:rFonts w:hint="eastAsia" w:ascii="宋体" w:hAnsi="宋体" w:eastAsia="宋体" w:cs="宋体"/>
          <w:highlight w:val="green"/>
        </w:rPr>
        <w:t>因未提供</w:t>
      </w:r>
      <w:r>
        <w:rPr>
          <w:rFonts w:hint="eastAsia" w:ascii="宋体" w:hAnsi="宋体" w:eastAsia="宋体" w:cs="宋体"/>
          <w:highlight w:val="green"/>
          <w:lang w:val="en-US" w:eastAsia="zh-CN"/>
        </w:rPr>
        <w:t>邮件正文</w:t>
      </w:r>
      <w:r>
        <w:rPr>
          <w:rFonts w:hint="eastAsia" w:ascii="宋体" w:hAnsi="宋体" w:eastAsia="宋体" w:cs="宋体"/>
          <w:highlight w:val="green"/>
        </w:rPr>
        <w:t>相关信息导致后期无法退回保证金的，需投标单位承担。报名后无需电话询问是否报名成功，我单位会通过邮件一一回复。</w:t>
      </w:r>
    </w:p>
    <w:p>
      <w:pPr>
        <w:pStyle w:val="20"/>
        <w:ind w:firstLine="480"/>
        <w:rPr>
          <w:rFonts w:hint="eastAsia" w:ascii="宋体" w:hAnsi="宋体" w:eastAsia="宋体" w:cs="宋体"/>
        </w:rPr>
      </w:pPr>
      <w:r>
        <w:rPr>
          <w:rFonts w:hint="eastAsia" w:ascii="宋体" w:hAnsi="宋体" w:eastAsia="宋体" w:cs="宋体"/>
          <w:lang w:eastAsia="zh-CN"/>
        </w:rPr>
        <w:t>2.</w:t>
      </w:r>
      <w:r>
        <w:rPr>
          <w:rFonts w:hint="eastAsia" w:ascii="宋体" w:hAnsi="宋体" w:eastAsia="宋体" w:cs="宋体"/>
        </w:rPr>
        <w:t>投标条件</w:t>
      </w:r>
    </w:p>
    <w:p>
      <w:pPr>
        <w:pStyle w:val="7"/>
        <w:spacing w:line="360" w:lineRule="auto"/>
        <w:ind w:firstLine="235" w:firstLineChars="98"/>
        <w:rPr>
          <w:rFonts w:hint="eastAsia" w:ascii="宋体" w:hAnsi="宋体" w:eastAsia="宋体" w:cs="宋体"/>
          <w:b/>
          <w:color w:val="000000"/>
          <w:sz w:val="24"/>
          <w:szCs w:val="24"/>
        </w:rPr>
      </w:pPr>
      <w:r>
        <w:rPr>
          <w:rFonts w:hint="eastAsia" w:ascii="宋体" w:hAnsi="宋体" w:eastAsia="宋体" w:cs="宋体"/>
          <w:color w:val="000000"/>
          <w:sz w:val="24"/>
          <w:szCs w:val="24"/>
        </w:rPr>
        <w:t>（1）拟标人必须是在中华人民共和国境内注册的独立法人机构，具有独立承担民事责任能力，注册资金不少于</w:t>
      </w:r>
      <w:r>
        <w:rPr>
          <w:rFonts w:hint="eastAsia" w:hAnsi="宋体" w:cs="宋体"/>
          <w:i/>
          <w:color w:val="000000"/>
          <w:sz w:val="24"/>
          <w:szCs w:val="24"/>
          <w:highlight w:val="yellow"/>
          <w:lang w:val="en-US" w:eastAsia="zh-CN"/>
        </w:rPr>
        <w:t>3</w:t>
      </w:r>
      <w:r>
        <w:rPr>
          <w:rFonts w:hint="eastAsia" w:ascii="宋体" w:hAnsi="宋体" w:eastAsia="宋体" w:cs="宋体"/>
          <w:i/>
          <w:color w:val="000000"/>
          <w:sz w:val="24"/>
          <w:szCs w:val="24"/>
          <w:highlight w:val="yellow"/>
        </w:rPr>
        <w:t>00</w:t>
      </w:r>
      <w:r>
        <w:rPr>
          <w:rFonts w:hint="eastAsia" w:hAnsi="宋体" w:cs="宋体"/>
          <w:i/>
          <w:color w:val="000000"/>
          <w:sz w:val="24"/>
          <w:szCs w:val="24"/>
          <w:highlight w:val="yellow"/>
          <w:lang w:eastAsia="zh-CN"/>
        </w:rPr>
        <w:t>万元</w:t>
      </w:r>
      <w:r>
        <w:rPr>
          <w:rFonts w:hint="eastAsia" w:ascii="宋体" w:hAnsi="宋体" w:eastAsia="宋体" w:cs="宋体"/>
          <w:color w:val="000000"/>
          <w:sz w:val="24"/>
          <w:szCs w:val="24"/>
        </w:rPr>
        <w:t>人民币（或等值其他货币）；公司成</w:t>
      </w:r>
      <w:r>
        <w:rPr>
          <w:rFonts w:hint="eastAsia" w:ascii="宋体" w:hAnsi="宋体" w:eastAsia="宋体" w:cs="宋体"/>
          <w:color w:val="000000"/>
          <w:sz w:val="24"/>
          <w:szCs w:val="24"/>
          <w:highlight w:val="yellow"/>
        </w:rPr>
        <w:t>立</w:t>
      </w:r>
      <w:r>
        <w:rPr>
          <w:rFonts w:hint="eastAsia" w:ascii="宋体" w:hAnsi="宋体" w:eastAsia="宋体" w:cs="宋体"/>
          <w:color w:val="000000"/>
          <w:sz w:val="24"/>
          <w:szCs w:val="24"/>
          <w:highlight w:val="yellow"/>
          <w:u w:val="single"/>
        </w:rPr>
        <w:t>三年</w:t>
      </w:r>
      <w:r>
        <w:rPr>
          <w:rFonts w:hint="eastAsia" w:ascii="宋体" w:hAnsi="宋体" w:eastAsia="宋体" w:cs="宋体"/>
          <w:color w:val="000000"/>
          <w:sz w:val="24"/>
          <w:szCs w:val="24"/>
        </w:rPr>
        <w:t>以上（以营业执照成立日期到开标当日满三年为准）；且经营范围满足招标人需求；并在人员、设备、资金等方面具有承担本项目的能力。</w:t>
      </w:r>
    </w:p>
    <w:p>
      <w:pPr>
        <w:pStyle w:val="7"/>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（2）拟投标人应提供三证合一的营业执照</w:t>
      </w:r>
      <w:r>
        <w:rPr>
          <w:rFonts w:hint="eastAsia" w:ascii="宋体" w:hAnsi="宋体" w:eastAsia="宋体" w:cs="宋体"/>
          <w:b/>
          <w:color w:val="FF0000"/>
          <w:sz w:val="24"/>
          <w:szCs w:val="24"/>
        </w:rPr>
        <w:t>副本原件和复印件（需盖章）</w:t>
      </w:r>
      <w:r>
        <w:rPr>
          <w:rFonts w:hint="eastAsia" w:ascii="宋体" w:hAnsi="宋体" w:eastAsia="宋体" w:cs="宋体"/>
          <w:color w:val="000000"/>
          <w:sz w:val="24"/>
          <w:szCs w:val="24"/>
        </w:rPr>
        <w:t>。</w:t>
      </w:r>
    </w:p>
    <w:p>
      <w:pPr>
        <w:pStyle w:val="7"/>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pPr>
        <w:pStyle w:val="7"/>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（4）拟投标人在</w:t>
      </w:r>
      <w:r>
        <w:rPr>
          <w:rFonts w:hint="eastAsia" w:ascii="宋体" w:hAnsi="宋体" w:eastAsia="宋体" w:cs="宋体"/>
          <w:sz w:val="24"/>
          <w:szCs w:val="24"/>
        </w:rPr>
        <w:t>国家市场监督管理总局</w:t>
      </w:r>
      <w:r>
        <w:rPr>
          <w:rFonts w:hint="eastAsia" w:ascii="宋体" w:hAnsi="宋体" w:eastAsia="宋体" w:cs="宋体"/>
          <w:color w:val="000000"/>
          <w:sz w:val="24"/>
          <w:szCs w:val="24"/>
        </w:rPr>
        <w:t>的《国家企业信用信息公示系统》中查询不存在不良记录。</w:t>
      </w:r>
    </w:p>
    <w:p>
      <w:pPr>
        <w:pStyle w:val="7"/>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pPr>
        <w:pStyle w:val="7"/>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（6）拟投标人经审计的近三年的公司财务报表（资产负债表、损益表、现金流量表）未显示异常。</w:t>
      </w:r>
    </w:p>
    <w:p>
      <w:pPr>
        <w:pStyle w:val="7"/>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（7）拟投标人有与本次招标内容相同或类似项目业绩，且近3年内无因服务不当而造成重大事故。</w:t>
      </w:r>
    </w:p>
    <w:p>
      <w:pPr>
        <w:pStyle w:val="7"/>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（8）本项目不接受联合体投标。</w:t>
      </w:r>
    </w:p>
    <w:p>
      <w:pPr>
        <w:pStyle w:val="7"/>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（9）本项目不接受代理商投标</w:t>
      </w:r>
    </w:p>
    <w:p>
      <w:pPr>
        <w:pStyle w:val="7"/>
        <w:spacing w:line="360" w:lineRule="auto"/>
        <w:ind w:firstLine="476" w:firstLineChars="198"/>
        <w:rPr>
          <w:rFonts w:hint="eastAsia" w:ascii="宋体" w:hAnsi="宋体" w:eastAsia="宋体" w:cs="宋体"/>
          <w:b/>
          <w:color w:val="000000"/>
          <w:sz w:val="24"/>
          <w:szCs w:val="24"/>
        </w:rPr>
      </w:pPr>
      <w:r>
        <w:rPr>
          <w:rFonts w:hint="eastAsia" w:ascii="宋体" w:hAnsi="宋体" w:eastAsia="宋体" w:cs="宋体"/>
          <w:b/>
          <w:color w:val="000000"/>
          <w:sz w:val="24"/>
          <w:szCs w:val="24"/>
        </w:rPr>
        <w:t>* 注：</w:t>
      </w:r>
    </w:p>
    <w:p>
      <w:pPr>
        <w:pStyle w:val="7"/>
        <w:numPr>
          <w:ilvl w:val="0"/>
          <w:numId w:val="1"/>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要携带三证合一的营业执照副本原件和复印件、法人授权委托书、身份证原件、参加开标会议，否则视为弃标；</w:t>
      </w:r>
    </w:p>
    <w:p>
      <w:pPr>
        <w:pStyle w:val="7"/>
        <w:numPr>
          <w:ilvl w:val="0"/>
          <w:numId w:val="1"/>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w:t>
      </w:r>
      <w:r>
        <w:rPr>
          <w:rFonts w:hint="eastAsia" w:hAnsi="宋体" w:cs="宋体"/>
          <w:color w:val="000000"/>
          <w:sz w:val="24"/>
          <w:szCs w:val="24"/>
          <w:lang w:eastAsia="zh-CN"/>
        </w:rPr>
        <w:t>要携带</w:t>
      </w:r>
      <w:r>
        <w:rPr>
          <w:rFonts w:hint="eastAsia" w:ascii="宋体" w:hAnsi="宋体" w:eastAsia="宋体" w:cs="宋体"/>
          <w:color w:val="000000"/>
          <w:sz w:val="24"/>
          <w:szCs w:val="24"/>
        </w:rPr>
        <w:t>三证合一的营业执照副本原件和复印件、法人代表证明原件、身份证原件参加开标会议，否则视为弃标；</w:t>
      </w:r>
    </w:p>
    <w:p>
      <w:pPr>
        <w:pStyle w:val="17"/>
        <w:ind w:firstLine="480"/>
        <w:rPr>
          <w:rFonts w:hint="eastAsia" w:ascii="宋体" w:hAnsi="宋体" w:eastAsia="宋体" w:cs="宋体"/>
          <w:b/>
        </w:rPr>
      </w:pPr>
      <w:r>
        <w:rPr>
          <w:rFonts w:hint="eastAsia" w:ascii="宋体" w:hAnsi="宋体" w:eastAsia="宋体" w:cs="宋体"/>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pPr>
        <w:pStyle w:val="20"/>
        <w:ind w:firstLine="480"/>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报价</w:t>
      </w:r>
    </w:p>
    <w:p>
      <w:pPr>
        <w:pStyle w:val="7"/>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（1）</w:t>
      </w:r>
      <w:r>
        <w:rPr>
          <w:rFonts w:hint="eastAsia" w:ascii="宋体" w:hAnsi="宋体" w:eastAsia="宋体" w:cs="宋体"/>
          <w:b/>
          <w:color w:val="000000"/>
          <w:sz w:val="24"/>
          <w:szCs w:val="24"/>
        </w:rPr>
        <w:t>招标人有权根据项目情况，采取多级评标模式。评标流程</w:t>
      </w:r>
      <w:r>
        <w:rPr>
          <w:rFonts w:hint="eastAsia" w:hAnsi="宋体" w:cs="宋体"/>
          <w:b/>
          <w:color w:val="000000"/>
          <w:sz w:val="24"/>
          <w:szCs w:val="24"/>
          <w:lang w:eastAsia="zh-CN"/>
        </w:rPr>
        <w:t>及</w:t>
      </w:r>
      <w:r>
        <w:rPr>
          <w:rFonts w:hint="eastAsia" w:ascii="宋体" w:hAnsi="宋体" w:eastAsia="宋体" w:cs="宋体"/>
          <w:b/>
          <w:color w:val="000000"/>
          <w:sz w:val="24"/>
          <w:szCs w:val="24"/>
        </w:rPr>
        <w:t>规则</w:t>
      </w:r>
      <w:r>
        <w:rPr>
          <w:rFonts w:hint="eastAsia" w:hAnsi="宋体" w:cs="宋体"/>
          <w:b/>
          <w:color w:val="000000"/>
          <w:sz w:val="24"/>
          <w:szCs w:val="24"/>
          <w:lang w:eastAsia="zh-CN"/>
        </w:rPr>
        <w:t>详</w:t>
      </w:r>
      <w:r>
        <w:rPr>
          <w:rFonts w:hint="eastAsia" w:ascii="宋体" w:hAnsi="宋体" w:eastAsia="宋体" w:cs="宋体"/>
          <w:b/>
          <w:color w:val="000000"/>
          <w:sz w:val="24"/>
          <w:szCs w:val="24"/>
        </w:rPr>
        <w:t>见通知公告→六、评标规则。</w:t>
      </w:r>
    </w:p>
    <w:p>
      <w:pPr>
        <w:pStyle w:val="17"/>
        <w:ind w:firstLine="480"/>
        <w:rPr>
          <w:rFonts w:hint="eastAsia" w:ascii="宋体" w:hAnsi="宋体" w:eastAsia="宋体" w:cs="宋体"/>
        </w:rPr>
      </w:pPr>
      <w:r>
        <w:rPr>
          <w:rFonts w:hint="eastAsia" w:ascii="宋体" w:hAnsi="宋体" w:eastAsia="宋体" w:cs="宋体"/>
        </w:rPr>
        <w:t>投标人自行</w:t>
      </w:r>
      <w:r>
        <w:rPr>
          <w:rFonts w:hint="eastAsia" w:eastAsia="宋体" w:cs="宋体"/>
          <w:lang w:eastAsia="zh-CN"/>
        </w:rPr>
        <w:t>勘查现场</w:t>
      </w:r>
      <w:r>
        <w:rPr>
          <w:rFonts w:hint="eastAsia" w:ascii="宋体" w:hAnsi="宋体" w:eastAsia="宋体" w:cs="宋体"/>
        </w:rPr>
        <w:t>，进行合理报价。</w:t>
      </w:r>
      <w:r>
        <w:rPr>
          <w:rFonts w:hint="eastAsia" w:ascii="宋体" w:hAnsi="宋体" w:eastAsia="宋体" w:cs="宋体"/>
          <w:highlight w:val="yellow"/>
        </w:rPr>
        <w:t>报价为投标总报价应包括但不限于税费、运杂、安装调试、与其他专业配合及可预见的风险</w:t>
      </w:r>
      <w:r>
        <w:rPr>
          <w:rFonts w:hint="eastAsia" w:eastAsia="宋体" w:cs="宋体"/>
          <w:highlight w:val="yellow"/>
          <w:lang w:eastAsia="zh-CN"/>
        </w:rPr>
        <w:t>，以及其他</w:t>
      </w:r>
      <w:r>
        <w:rPr>
          <w:rFonts w:hint="eastAsia" w:ascii="宋体" w:hAnsi="宋体" w:eastAsia="宋体" w:cs="宋体"/>
          <w:highlight w:val="yellow"/>
        </w:rPr>
        <w:t>不可预见</w:t>
      </w:r>
      <w:r>
        <w:rPr>
          <w:rFonts w:hint="eastAsia" w:eastAsia="宋体" w:cs="宋体"/>
          <w:highlight w:val="yellow"/>
          <w:lang w:eastAsia="zh-CN"/>
        </w:rPr>
        <w:t>的</w:t>
      </w:r>
      <w:r>
        <w:rPr>
          <w:rFonts w:hint="eastAsia" w:ascii="宋体" w:hAnsi="宋体" w:eastAsia="宋体" w:cs="宋体"/>
          <w:highlight w:val="yellow"/>
        </w:rPr>
        <w:t>全部费用</w:t>
      </w:r>
      <w:r>
        <w:rPr>
          <w:rFonts w:hint="eastAsia" w:ascii="宋体" w:hAnsi="宋体" w:eastAsia="宋体" w:cs="宋体"/>
        </w:rPr>
        <w:t>。</w:t>
      </w:r>
    </w:p>
    <w:p>
      <w:pPr>
        <w:pStyle w:val="17"/>
        <w:numPr>
          <w:ilvl w:val="0"/>
          <w:numId w:val="2"/>
        </w:numPr>
        <w:ind w:firstLine="480"/>
        <w:rPr>
          <w:rFonts w:hint="eastAsia" w:ascii="宋体" w:hAnsi="宋体" w:eastAsia="宋体" w:cs="宋体"/>
          <w:b/>
        </w:rPr>
      </w:pPr>
      <w:r>
        <w:rPr>
          <w:rFonts w:hint="eastAsia" w:ascii="宋体" w:hAnsi="宋体" w:eastAsia="宋体" w:cs="宋体"/>
          <w:b/>
        </w:rPr>
        <w:t>所有</w:t>
      </w:r>
      <w:r>
        <w:rPr>
          <w:rFonts w:hint="eastAsia" w:ascii="宋体" w:hAnsi="宋体" w:eastAsia="宋体" w:cs="宋体"/>
          <w:b/>
          <w:lang w:val="en-US" w:eastAsia="zh-CN"/>
        </w:rPr>
        <w:t>项目内容</w:t>
      </w:r>
      <w:r>
        <w:rPr>
          <w:rFonts w:hint="eastAsia" w:ascii="宋体" w:hAnsi="宋体" w:eastAsia="宋体" w:cs="宋体"/>
          <w:b/>
        </w:rPr>
        <w:t>的报价货币单位为：</w:t>
      </w:r>
      <w:r>
        <w:rPr>
          <w:rFonts w:hint="eastAsia" w:ascii="宋体" w:hAnsi="宋体" w:eastAsia="宋体" w:cs="宋体"/>
          <w:b/>
          <w:u w:val="single"/>
        </w:rPr>
        <w:t xml:space="preserve">  （人民币）元</w:t>
      </w:r>
      <w:r>
        <w:rPr>
          <w:rFonts w:hint="eastAsia" w:ascii="宋体" w:hAnsi="宋体" w:eastAsia="宋体" w:cs="宋体"/>
          <w:b/>
        </w:rPr>
        <w:t>（请务必报含税价和不含税价并写明税率）。</w:t>
      </w:r>
    </w:p>
    <w:p>
      <w:pPr>
        <w:pStyle w:val="17"/>
        <w:numPr>
          <w:ilvl w:val="0"/>
          <w:numId w:val="2"/>
        </w:numPr>
        <w:ind w:firstLine="480"/>
        <w:rPr>
          <w:rFonts w:hint="eastAsia" w:ascii="宋体" w:hAnsi="宋体" w:eastAsia="宋体" w:cs="宋体"/>
          <w:b/>
        </w:rPr>
      </w:pPr>
      <w:r>
        <w:rPr>
          <w:rFonts w:hint="eastAsia" w:ascii="宋体" w:hAnsi="宋体" w:eastAsia="宋体" w:cs="宋体"/>
          <w:b/>
        </w:rPr>
        <w:t>项目预算（含税）：</w:t>
      </w:r>
      <w:r>
        <w:rPr>
          <w:rFonts w:hint="eastAsia" w:eastAsia="宋体" w:cs="宋体"/>
          <w:b/>
          <w:u w:val="single"/>
          <w:lang w:val="en-US" w:eastAsia="zh-CN"/>
        </w:rPr>
        <w:t xml:space="preserve"> 216 </w:t>
      </w:r>
      <w:r>
        <w:rPr>
          <w:rFonts w:hint="eastAsia" w:ascii="宋体" w:hAnsi="宋体" w:eastAsia="宋体" w:cs="宋体"/>
          <w:b/>
        </w:rPr>
        <w:t>万元</w:t>
      </w:r>
    </w:p>
    <w:p>
      <w:pPr>
        <w:pStyle w:val="19"/>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投标保证金</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4.1投标人在报名参与本项目的同时，应</w:t>
      </w:r>
      <w:r>
        <w:rPr>
          <w:rFonts w:hint="eastAsia" w:ascii="宋体" w:hAnsi="宋体" w:eastAsia="宋体" w:cs="宋体"/>
          <w:color w:val="000000"/>
          <w:kern w:val="2"/>
          <w:sz w:val="24"/>
          <w:szCs w:val="24"/>
          <w:highlight w:val="none"/>
          <w:lang w:val="en-US" w:eastAsia="zh-CN" w:bidi="ar-SA"/>
        </w:rPr>
        <w:t>提供2万元（或其他等值货币）的投标保</w:t>
      </w:r>
      <w:r>
        <w:rPr>
          <w:rFonts w:hint="eastAsia" w:ascii="宋体" w:hAnsi="宋体" w:eastAsia="宋体" w:cs="宋体"/>
          <w:color w:val="000000"/>
          <w:kern w:val="2"/>
          <w:sz w:val="24"/>
          <w:szCs w:val="24"/>
          <w:lang w:val="en-US" w:eastAsia="zh-CN" w:bidi="ar-SA"/>
        </w:rPr>
        <w:t>证金，并作为其投标文件的组成部分。投标保证金应在投标截止时间3日前将投标保证金从投标人单位</w:t>
      </w:r>
      <w:r>
        <w:rPr>
          <w:rFonts w:hint="eastAsia" w:ascii="宋体" w:hAnsi="宋体" w:cs="宋体"/>
          <w:color w:val="000000"/>
          <w:kern w:val="2"/>
          <w:sz w:val="24"/>
          <w:szCs w:val="24"/>
          <w:lang w:val="en-US" w:eastAsia="zh-CN" w:bidi="ar-SA"/>
        </w:rPr>
        <w:t>基本账户</w:t>
      </w:r>
      <w:r>
        <w:rPr>
          <w:rFonts w:hint="eastAsia" w:ascii="宋体" w:hAnsi="宋体" w:eastAsia="宋体" w:cs="宋体"/>
          <w:color w:val="000000"/>
          <w:kern w:val="2"/>
          <w:sz w:val="24"/>
          <w:szCs w:val="24"/>
          <w:lang w:val="en-US" w:eastAsia="zh-CN" w:bidi="ar-SA"/>
        </w:rPr>
        <w:t>转出并到账或银行保函电子版确认（保函原件于开标之日交于招标人），否则按否决投标处理；未按规定提交保证金的投标人，其投标文件按否决投标处理；</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4.2招标人银行账户信息如下：</w:t>
      </w:r>
    </w:p>
    <w:p>
      <w:pPr>
        <w:widowControl w:val="0"/>
        <w:spacing w:line="360" w:lineRule="auto"/>
        <w:ind w:left="479" w:leftChars="228" w:firstLine="0" w:firstLineChars="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单位名称：</w:t>
      </w:r>
      <w:r>
        <w:rPr>
          <w:rFonts w:ascii="宋体" w:hAnsi="宋体" w:eastAsia="宋体" w:cs="宋体"/>
          <w:sz w:val="24"/>
          <w:szCs w:val="24"/>
        </w:rPr>
        <w:t>中国重汽集团济南动力有限公司</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开户行：兴业银行股份有限公司济南分行营业部</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账号：376010100101373547</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行号：</w:t>
      </w:r>
      <w:r>
        <w:rPr>
          <w:rFonts w:ascii="宋体" w:hAnsi="宋体" w:eastAsia="宋体" w:cs="宋体"/>
          <w:sz w:val="24"/>
          <w:szCs w:val="24"/>
        </w:rPr>
        <w:t>309451013018</w:t>
      </w:r>
    </w:p>
    <w:p>
      <w:pPr>
        <w:widowControl w:val="0"/>
        <w:spacing w:line="360" w:lineRule="auto"/>
        <w:ind w:firstLine="480" w:firstLineChars="20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注意事项：</w:t>
      </w:r>
    </w:p>
    <w:p>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转账时，请注意备注投标的项目名称，方便后期核对退款。</w:t>
      </w:r>
    </w:p>
    <w:p>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报名时提供电子回单（含贵公司账户及我公司账户信息）</w:t>
      </w:r>
    </w:p>
    <w:p>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报名时候，请务必在邮件正文中文字表述付款账号、户名、开户行名称、开户行行号、保证金金额。</w:t>
      </w:r>
    </w:p>
    <w:p>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未按照本要求提供信息，导致保证金退回困难等事宜，由投标单位承担。</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4.3投标保证金形式：</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（一）</w:t>
      </w:r>
      <w:r>
        <w:rPr>
          <w:rFonts w:hint="eastAsia" w:ascii="宋体" w:hAnsi="宋体" w:eastAsia="宋体" w:cs="宋体"/>
          <w:color w:val="000000"/>
          <w:kern w:val="2"/>
          <w:sz w:val="24"/>
          <w:szCs w:val="24"/>
          <w:lang w:val="en-US" w:eastAsia="zh-CN" w:bidi="ar-SA"/>
        </w:rPr>
        <w:t>该银行账户只接受外币电开保函和电汇。</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（二）</w:t>
      </w:r>
      <w:r>
        <w:rPr>
          <w:rFonts w:hint="eastAsia" w:ascii="宋体" w:hAnsi="宋体" w:eastAsia="宋体" w:cs="宋体"/>
          <w:color w:val="000000"/>
          <w:kern w:val="2"/>
          <w:sz w:val="24"/>
          <w:szCs w:val="24"/>
          <w:lang w:val="en-US" w:eastAsia="zh-CN" w:bidi="ar-SA"/>
        </w:rPr>
        <w:t>境外投标单位缴纳投标保证金形式应采用电开保函形式；境内投标单位缴纳投标保证金应采用电汇形式；若有其他特殊情况，请提前与我们沟通，做好转账信息备注工作。</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（三）</w:t>
      </w:r>
      <w:r>
        <w:rPr>
          <w:rFonts w:hint="eastAsia" w:ascii="宋体" w:hAnsi="宋体" w:eastAsia="宋体" w:cs="宋体"/>
          <w:color w:val="000000"/>
          <w:kern w:val="2"/>
          <w:sz w:val="24"/>
          <w:szCs w:val="24"/>
          <w:lang w:val="en-US" w:eastAsia="zh-CN" w:bidi="ar-SA"/>
        </w:rPr>
        <w:t>对于没有中标的投标单位，投标保证金将于招标人内部完成中标人评审并确认最终中标人后在</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工作日内予以原路返还；对于中标供应商，投标保证金将在签订合同后</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工作日内返还</w:t>
      </w:r>
      <w:r>
        <w:rPr>
          <w:rFonts w:hint="eastAsia" w:ascii="宋体" w:hAnsi="宋体" w:cs="宋体"/>
          <w:color w:val="000000"/>
          <w:kern w:val="2"/>
          <w:sz w:val="24"/>
          <w:szCs w:val="24"/>
          <w:lang w:val="en-US" w:eastAsia="zh-CN" w:bidi="ar-SA"/>
        </w:rPr>
        <w:t>，退还保证金时，不计算利息</w:t>
      </w:r>
      <w:r>
        <w:rPr>
          <w:rFonts w:hint="eastAsia" w:ascii="宋体" w:hAnsi="宋体" w:eastAsia="宋体" w:cs="宋体"/>
          <w:color w:val="000000"/>
          <w:kern w:val="2"/>
          <w:sz w:val="24"/>
          <w:szCs w:val="24"/>
          <w:lang w:val="en-US" w:eastAsia="zh-CN" w:bidi="ar-SA"/>
        </w:rPr>
        <w:t>。</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4.4发生以下情况时，有权没收保证金：</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①截至开标前3天，供应商无正当理由、未以书面形式递交说明而在投标截止日不来投标的；</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②供应商递送文件后，无正当理由放弃投标的；</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③自中标（成交）通知书发出之日起30日内，中标（成交）供应商无正当理由不签订合同的；</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④投标过程中被查实有串标、围标、陪标等违规违纪行为的；</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⑤供应商有违约违规行为或被投诉、举报的，在调查处理期间，保证金暂不退还，待调查处理结束后按有关规定处理。</w:t>
      </w:r>
    </w:p>
    <w:p>
      <w:pPr>
        <w:pStyle w:val="20"/>
        <w:ind w:firstLine="480"/>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询标</w:t>
      </w:r>
    </w:p>
    <w:p>
      <w:pPr>
        <w:pStyle w:val="17"/>
        <w:ind w:firstLine="480"/>
        <w:rPr>
          <w:rFonts w:hint="eastAsia" w:ascii="宋体" w:hAnsi="宋体" w:eastAsia="宋体" w:cs="宋体"/>
        </w:rPr>
      </w:pPr>
      <w:r>
        <w:rPr>
          <w:rFonts w:hint="eastAsia" w:ascii="宋体" w:hAnsi="宋体" w:eastAsia="宋体" w:cs="宋体"/>
          <w:color w:val="000000"/>
          <w:kern w:val="2"/>
          <w:sz w:val="24"/>
          <w:szCs w:val="24"/>
          <w:lang w:val="en-US" w:eastAsia="zh-CN" w:bidi="ar-SA"/>
        </w:rPr>
        <w:t>凡对本次招标提出的询问，均以招标方的书面答复为准</w:t>
      </w:r>
      <w:r>
        <w:rPr>
          <w:rFonts w:hint="eastAsia" w:ascii="宋体" w:hAnsi="宋体" w:eastAsia="宋体" w:cs="宋体"/>
        </w:rPr>
        <w:t>。</w:t>
      </w:r>
    </w:p>
    <w:p>
      <w:pPr>
        <w:pStyle w:val="20"/>
        <w:ind w:firstLine="480"/>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投标文件的编制</w:t>
      </w:r>
    </w:p>
    <w:p>
      <w:pPr>
        <w:pStyle w:val="17"/>
        <w:ind w:firstLine="480"/>
        <w:rPr>
          <w:rFonts w:hint="eastAsia" w:ascii="宋体" w:hAnsi="宋体" w:eastAsia="宋体" w:cs="宋体"/>
        </w:rPr>
      </w:pPr>
      <w:r>
        <w:rPr>
          <w:rFonts w:hint="eastAsia" w:ascii="宋体" w:hAnsi="宋体" w:eastAsia="宋体" w:cs="宋体"/>
        </w:rPr>
        <w:t>（1）投标文件和与投标有关的所有文件均应使用中文。</w:t>
      </w:r>
    </w:p>
    <w:p>
      <w:pPr>
        <w:pStyle w:val="17"/>
        <w:ind w:firstLine="480"/>
        <w:rPr>
          <w:rFonts w:hint="eastAsia" w:ascii="宋体" w:hAnsi="宋体" w:eastAsia="宋体" w:cs="宋体"/>
        </w:rPr>
      </w:pPr>
      <w:r>
        <w:rPr>
          <w:rFonts w:hint="eastAsia" w:ascii="宋体" w:hAnsi="宋体" w:eastAsia="宋体" w:cs="宋体"/>
        </w:rPr>
        <w:t>（2）除投标文件的技术规格中另有规定外，投标文件中所使用的计量单位应为中华人民共和国法定计量单位。</w:t>
      </w:r>
    </w:p>
    <w:p>
      <w:pPr>
        <w:spacing w:line="360" w:lineRule="auto"/>
        <w:ind w:firstLine="480" w:firstLineChars="200"/>
        <w:rPr>
          <w:rFonts w:hint="eastAsia" w:ascii="宋体" w:hAnsi="宋体" w:eastAsia="宋体" w:cs="宋体"/>
          <w:color w:val="000000"/>
          <w:sz w:val="24"/>
          <w:szCs w:val="24"/>
        </w:rPr>
      </w:pPr>
      <w:bookmarkStart w:id="10" w:name="_GoBack"/>
      <w:bookmarkEnd w:id="10"/>
      <w:bookmarkStart w:id="1" w:name="_Toc212369515"/>
    </w:p>
    <w:bookmarkEnd w:id="1"/>
    <w:p>
      <w:pPr>
        <w:pStyle w:val="16"/>
        <w:rPr>
          <w:rFonts w:hint="eastAsia" w:ascii="宋体" w:hAnsi="宋体" w:eastAsia="宋体" w:cs="宋体"/>
        </w:rPr>
      </w:pPr>
      <w:r>
        <w:rPr>
          <w:rFonts w:hint="eastAsia" w:ascii="宋体" w:hAnsi="宋体" w:eastAsia="宋体" w:cs="宋体"/>
        </w:rPr>
        <w:t>五、议程安排</w:t>
      </w:r>
    </w:p>
    <w:p>
      <w:pPr>
        <w:pStyle w:val="2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lang w:val="en-US" w:eastAsia="zh-CN"/>
        </w:rPr>
      </w:pPr>
      <w:r>
        <w:rPr>
          <w:rFonts w:hint="eastAsia" w:ascii="宋体" w:hAnsi="宋体" w:eastAsia="宋体" w:cs="宋体"/>
          <w:lang w:eastAsia="zh-CN"/>
        </w:rPr>
        <w:t>1.</w:t>
      </w:r>
      <w:r>
        <w:rPr>
          <w:rFonts w:hint="eastAsia" w:ascii="宋体" w:hAnsi="宋体" w:eastAsia="宋体" w:cs="宋体"/>
          <w:lang w:val="en-US" w:eastAsia="zh-CN"/>
        </w:rPr>
        <w:t>供应商报名时间：</w:t>
      </w:r>
    </w:p>
    <w:p>
      <w:pPr>
        <w:pStyle w:val="2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val="en-US" w:eastAsia="zh-CN"/>
        </w:rPr>
        <w:t>（1）发标</w:t>
      </w:r>
      <w:r>
        <w:rPr>
          <w:rFonts w:hint="eastAsia" w:ascii="宋体" w:hAnsi="宋体" w:eastAsia="宋体" w:cs="宋体"/>
        </w:rPr>
        <w:t>时间：</w:t>
      </w:r>
      <w:r>
        <w:rPr>
          <w:rFonts w:hint="eastAsia" w:ascii="宋体" w:hAnsi="宋体" w:eastAsia="宋体" w:cs="宋体"/>
          <w:b w:val="0"/>
          <w:color w:val="auto"/>
          <w:highlight w:val="none"/>
        </w:rPr>
        <w:t>202</w:t>
      </w:r>
      <w:r>
        <w:rPr>
          <w:rFonts w:hint="eastAsia" w:ascii="宋体" w:hAnsi="宋体" w:eastAsia="宋体" w:cs="宋体"/>
          <w:b w:val="0"/>
          <w:color w:val="auto"/>
          <w:highlight w:val="none"/>
          <w:lang w:val="en-US" w:eastAsia="zh-CN"/>
        </w:rPr>
        <w:t>6</w:t>
      </w:r>
      <w:r>
        <w:rPr>
          <w:rFonts w:hint="eastAsia" w:ascii="宋体" w:hAnsi="宋体" w:eastAsia="宋体" w:cs="宋体"/>
          <w:b w:val="0"/>
          <w:color w:val="auto"/>
          <w:highlight w:val="none"/>
        </w:rPr>
        <w:t>年</w:t>
      </w:r>
      <w:r>
        <w:rPr>
          <w:rFonts w:hint="eastAsia" w:ascii="宋体" w:hAnsi="宋体" w:eastAsia="宋体" w:cs="宋体"/>
          <w:b w:val="0"/>
          <w:color w:val="auto"/>
          <w:highlight w:val="none"/>
          <w:lang w:val="en-US" w:eastAsia="zh-CN"/>
        </w:rPr>
        <w:t xml:space="preserve"> 9</w:t>
      </w:r>
      <w:r>
        <w:rPr>
          <w:rFonts w:hint="eastAsia" w:ascii="宋体" w:hAnsi="宋体" w:eastAsia="宋体" w:cs="宋体"/>
          <w:b w:val="0"/>
          <w:color w:val="auto"/>
          <w:highlight w:val="none"/>
        </w:rPr>
        <w:t>月</w:t>
      </w:r>
      <w:r>
        <w:rPr>
          <w:rFonts w:hint="eastAsia" w:ascii="宋体" w:hAnsi="宋体" w:eastAsia="宋体" w:cs="宋体"/>
          <w:b w:val="0"/>
          <w:color w:val="auto"/>
          <w:highlight w:val="none"/>
          <w:lang w:val="en-US" w:eastAsia="zh-CN"/>
        </w:rPr>
        <w:t xml:space="preserve"> 18</w:t>
      </w:r>
      <w:r>
        <w:rPr>
          <w:rFonts w:hint="eastAsia" w:ascii="宋体" w:hAnsi="宋体" w:eastAsia="宋体" w:cs="宋体"/>
          <w:b w:val="0"/>
          <w:color w:val="auto"/>
          <w:highlight w:val="none"/>
        </w:rPr>
        <w:t>日（周</w:t>
      </w:r>
      <w:r>
        <w:rPr>
          <w:rFonts w:hint="eastAsia" w:ascii="宋体" w:hAnsi="宋体" w:eastAsia="宋体" w:cs="宋体"/>
          <w:b w:val="0"/>
          <w:color w:val="auto"/>
          <w:highlight w:val="none"/>
          <w:lang w:val="en-US" w:eastAsia="zh-CN"/>
        </w:rPr>
        <w:t>五</w:t>
      </w:r>
      <w:r>
        <w:rPr>
          <w:rFonts w:hint="eastAsia" w:ascii="宋体" w:hAnsi="宋体" w:eastAsia="宋体" w:cs="宋体"/>
          <w:b w:val="0"/>
          <w:color w:val="auto"/>
          <w:highlight w:val="none"/>
        </w:rPr>
        <w:t>）</w:t>
      </w:r>
    </w:p>
    <w:p>
      <w:pPr>
        <w:pStyle w:val="17"/>
        <w:rPr>
          <w:rFonts w:hint="default"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（2）应标截止时间：</w:t>
      </w:r>
      <w:r>
        <w:rPr>
          <w:rFonts w:hint="eastAsia" w:eastAsia="宋体" w:cs="宋体"/>
          <w:b/>
          <w:bCs/>
          <w:color w:val="000000"/>
          <w:kern w:val="2"/>
          <w:sz w:val="24"/>
          <w:szCs w:val="24"/>
          <w:lang w:val="en-US" w:eastAsia="zh-CN" w:bidi="ar-SA"/>
        </w:rPr>
        <w:t>2026年 9月23日（周三）17:00:00（时间精确到秒）</w:t>
      </w:r>
    </w:p>
    <w:p>
      <w:pPr>
        <w:pStyle w:val="17"/>
        <w:rPr>
          <w:rFonts w:hint="default"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（3）投标截止时间：</w:t>
      </w:r>
      <w:r>
        <w:rPr>
          <w:rFonts w:hint="eastAsia" w:eastAsia="宋体" w:cs="宋体"/>
          <w:b/>
          <w:bCs/>
          <w:color w:val="000000"/>
          <w:kern w:val="2"/>
          <w:sz w:val="24"/>
          <w:szCs w:val="24"/>
          <w:lang w:val="en-US" w:eastAsia="zh-CN" w:bidi="ar-SA"/>
        </w:rPr>
        <w:t>2026年9月30日（周三）9:30:00（时间精确到秒）</w:t>
      </w:r>
    </w:p>
    <w:p>
      <w:pPr>
        <w:pStyle w:val="2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rPr>
      </w:pPr>
      <w:r>
        <w:rPr>
          <w:rFonts w:hint="eastAsia" w:ascii="宋体" w:hAnsi="宋体" w:eastAsia="宋体" w:cs="宋体"/>
          <w:lang w:eastAsia="zh-CN"/>
        </w:rPr>
        <w:t>2.</w:t>
      </w:r>
      <w:r>
        <w:rPr>
          <w:rFonts w:hint="eastAsia" w:ascii="宋体" w:hAnsi="宋体" w:eastAsia="宋体" w:cs="宋体"/>
        </w:rPr>
        <w:t>发布招标方式：本次招标公告在中国重汽官方网站、山东省阳光采购服务平台、中国重汽</w:t>
      </w:r>
      <w:r>
        <w:rPr>
          <w:rFonts w:hint="eastAsia" w:ascii="宋体" w:hAnsi="宋体" w:eastAsia="宋体" w:cs="宋体"/>
          <w:lang w:val="en-US" w:eastAsia="zh-CN"/>
        </w:rPr>
        <w:t>E采通平台</w:t>
      </w:r>
      <w:r>
        <w:rPr>
          <w:rFonts w:hint="eastAsia" w:ascii="宋体" w:hAnsi="宋体" w:eastAsia="宋体" w:cs="宋体"/>
        </w:rPr>
        <w:t>发布。</w:t>
      </w:r>
    </w:p>
    <w:p>
      <w:pPr>
        <w:pStyle w:val="17"/>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rPr>
      </w:pPr>
      <w:r>
        <w:rPr>
          <w:rFonts w:hint="eastAsia" w:ascii="宋体" w:hAnsi="宋体" w:eastAsia="宋体" w:cs="宋体"/>
          <w:b/>
        </w:rPr>
        <w:t>注意：</w:t>
      </w:r>
      <w:r>
        <w:rPr>
          <w:rFonts w:hint="eastAsia" w:ascii="宋体" w:hAnsi="宋体" w:eastAsia="宋体" w:cs="宋体"/>
          <w:b/>
          <w:lang w:val="en-US" w:eastAsia="zh-CN"/>
        </w:rPr>
        <w:t>以上</w:t>
      </w:r>
      <w:r>
        <w:rPr>
          <w:rFonts w:hint="eastAsia" w:ascii="宋体" w:hAnsi="宋体" w:eastAsia="宋体" w:cs="宋体"/>
          <w:b/>
        </w:rPr>
        <w:t>渠道为官方</w:t>
      </w:r>
      <w:r>
        <w:rPr>
          <w:rFonts w:hint="eastAsia" w:ascii="宋体" w:hAnsi="宋体" w:eastAsia="宋体" w:cs="宋体"/>
          <w:b/>
          <w:lang w:val="en-US" w:eastAsia="zh-CN"/>
        </w:rPr>
        <w:t>指定</w:t>
      </w:r>
      <w:r>
        <w:rPr>
          <w:rFonts w:hint="eastAsia" w:ascii="宋体" w:hAnsi="宋体" w:eastAsia="宋体" w:cs="宋体"/>
          <w:b/>
        </w:rPr>
        <w:t>发布渠道，切勿相信其他来源的信息。</w:t>
      </w:r>
    </w:p>
    <w:p>
      <w:pPr>
        <w:pStyle w:val="17"/>
        <w:ind w:firstLine="480"/>
        <w:rPr>
          <w:rFonts w:hint="eastAsia" w:ascii="宋体" w:hAnsi="宋体" w:eastAsia="宋体" w:cs="宋体"/>
          <w:b/>
        </w:rPr>
      </w:pPr>
      <w:r>
        <w:rPr>
          <w:rFonts w:hint="eastAsia" w:eastAsia="宋体" w:cs="宋体"/>
          <w:b/>
          <w:bCs/>
          <w:lang w:eastAsia="zh-CN"/>
        </w:rPr>
        <w:t>3.</w:t>
      </w:r>
      <w:r>
        <w:rPr>
          <w:rFonts w:hint="eastAsia" w:ascii="宋体" w:hAnsi="宋体" w:eastAsia="宋体" w:cs="宋体"/>
          <w:b/>
          <w:bCs/>
        </w:rPr>
        <w:t>踏勘现场时间：</w:t>
      </w:r>
      <w:r>
        <w:rPr>
          <w:rFonts w:hint="eastAsia" w:eastAsia="宋体" w:cs="宋体"/>
          <w:b/>
          <w:bCs/>
          <w:lang w:eastAsia="zh-CN"/>
        </w:rPr>
        <w:t>截</w:t>
      </w:r>
      <w:r>
        <w:rPr>
          <w:rFonts w:hint="eastAsia" w:eastAsia="宋体" w:cs="宋体"/>
          <w:b/>
          <w:bCs/>
          <w:lang w:val="en-US" w:eastAsia="zh-CN"/>
        </w:rPr>
        <w:t>止</w:t>
      </w:r>
      <w:r>
        <w:rPr>
          <w:rFonts w:hint="eastAsia" w:eastAsia="宋体" w:cs="宋体"/>
          <w:b/>
          <w:bCs/>
          <w:lang w:eastAsia="zh-CN"/>
        </w:rPr>
        <w:t>202</w:t>
      </w:r>
      <w:r>
        <w:rPr>
          <w:rFonts w:hint="eastAsia" w:eastAsia="宋体" w:cs="宋体"/>
          <w:b/>
          <w:bCs/>
          <w:lang w:val="en-US" w:eastAsia="zh-CN"/>
        </w:rPr>
        <w:t>6</w:t>
      </w:r>
      <w:r>
        <w:rPr>
          <w:rFonts w:hint="eastAsia" w:eastAsia="宋体" w:cs="宋体"/>
          <w:b/>
          <w:bCs/>
          <w:lang w:eastAsia="zh-CN"/>
        </w:rPr>
        <w:t>年</w:t>
      </w:r>
      <w:r>
        <w:rPr>
          <w:rFonts w:hint="eastAsia" w:ascii="宋体" w:hAnsi="宋体" w:eastAsia="宋体" w:cs="宋体"/>
          <w:bCs/>
        </w:rPr>
        <w:t xml:space="preserve"> </w:t>
      </w:r>
      <w:r>
        <w:rPr>
          <w:rFonts w:hint="eastAsia" w:eastAsia="宋体" w:cs="宋体"/>
          <w:bCs/>
          <w:lang w:val="en-US" w:eastAsia="zh-CN"/>
        </w:rPr>
        <w:t>9</w:t>
      </w:r>
      <w:r>
        <w:rPr>
          <w:rFonts w:hint="eastAsia" w:ascii="宋体" w:hAnsi="宋体" w:eastAsia="宋体" w:cs="宋体"/>
          <w:bCs/>
        </w:rPr>
        <w:t>月</w:t>
      </w:r>
      <w:r>
        <w:rPr>
          <w:rFonts w:hint="eastAsia" w:eastAsia="宋体" w:cs="宋体"/>
          <w:bCs/>
          <w:lang w:val="en-US" w:eastAsia="zh-CN"/>
        </w:rPr>
        <w:t>28</w:t>
      </w:r>
      <w:r>
        <w:rPr>
          <w:rFonts w:hint="eastAsia" w:ascii="宋体" w:hAnsi="宋体" w:eastAsia="宋体" w:cs="宋体"/>
          <w:bCs/>
        </w:rPr>
        <w:t>日</w:t>
      </w:r>
      <w:r>
        <w:rPr>
          <w:rFonts w:hint="eastAsia" w:ascii="宋体" w:hAnsi="宋体" w:eastAsia="宋体" w:cs="宋体"/>
        </w:rPr>
        <w:t>（周</w:t>
      </w:r>
      <w:r>
        <w:rPr>
          <w:rFonts w:hint="eastAsia" w:eastAsia="宋体" w:cs="宋体"/>
          <w:lang w:val="en-US" w:eastAsia="zh-CN"/>
        </w:rPr>
        <w:t>一</w:t>
      </w:r>
      <w:r>
        <w:rPr>
          <w:rFonts w:hint="eastAsia" w:ascii="宋体" w:hAnsi="宋体" w:eastAsia="宋体" w:cs="宋体"/>
        </w:rPr>
        <w:t>）</w:t>
      </w:r>
      <w:r>
        <w:rPr>
          <w:rFonts w:hint="eastAsia" w:eastAsia="宋体" w:cs="宋体"/>
          <w:lang w:eastAsia="zh-CN"/>
        </w:rPr>
        <w:t>17点</w:t>
      </w:r>
      <w:r>
        <w:rPr>
          <w:rFonts w:hint="eastAsia" w:ascii="宋体" w:hAnsi="宋体" w:eastAsia="宋体" w:cs="宋体"/>
          <w:bCs/>
        </w:rPr>
        <w:t>前</w:t>
      </w:r>
    </w:p>
    <w:p>
      <w:pPr>
        <w:pStyle w:val="20"/>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技术答疑</w:t>
      </w:r>
    </w:p>
    <w:p>
      <w:pPr>
        <w:pStyle w:val="17"/>
        <w:ind w:firstLine="480"/>
        <w:rPr>
          <w:rFonts w:hint="eastAsia" w:ascii="宋体" w:hAnsi="宋体" w:eastAsia="宋体" w:cs="宋体"/>
        </w:rPr>
      </w:pPr>
      <w:r>
        <w:rPr>
          <w:rFonts w:hint="eastAsia" w:ascii="宋体" w:hAnsi="宋体" w:eastAsia="宋体" w:cs="宋体"/>
        </w:rPr>
        <w:t>答疑时间：截止至202</w:t>
      </w:r>
      <w:r>
        <w:rPr>
          <w:rFonts w:hint="eastAsia" w:eastAsia="宋体" w:cs="宋体"/>
          <w:lang w:val="en-US" w:eastAsia="zh-CN"/>
        </w:rPr>
        <w:t>6</w:t>
      </w:r>
      <w:r>
        <w:rPr>
          <w:rFonts w:hint="eastAsia" w:ascii="宋体" w:hAnsi="宋体" w:eastAsia="宋体" w:cs="宋体"/>
        </w:rPr>
        <w:t>年</w:t>
      </w:r>
      <w:r>
        <w:rPr>
          <w:rFonts w:hint="eastAsia" w:eastAsia="宋体" w:cs="宋体"/>
          <w:lang w:val="en-US" w:eastAsia="zh-CN"/>
        </w:rPr>
        <w:t>9</w:t>
      </w:r>
      <w:r>
        <w:rPr>
          <w:rFonts w:hint="eastAsia" w:ascii="宋体" w:hAnsi="宋体" w:eastAsia="宋体" w:cs="宋体"/>
        </w:rPr>
        <w:t>月</w:t>
      </w:r>
      <w:r>
        <w:rPr>
          <w:rFonts w:hint="eastAsia" w:eastAsia="宋体" w:cs="宋体"/>
          <w:lang w:val="en-US" w:eastAsia="zh-CN"/>
        </w:rPr>
        <w:t>29</w:t>
      </w:r>
      <w:r>
        <w:rPr>
          <w:rFonts w:hint="eastAsia" w:ascii="宋体" w:hAnsi="宋体" w:eastAsia="宋体" w:cs="宋体"/>
        </w:rPr>
        <w:t>日（周</w:t>
      </w:r>
      <w:r>
        <w:rPr>
          <w:rFonts w:hint="eastAsia" w:eastAsia="宋体" w:cs="宋体"/>
          <w:lang w:val="en-US" w:eastAsia="zh-CN"/>
        </w:rPr>
        <w:t>二</w:t>
      </w:r>
      <w:r>
        <w:rPr>
          <w:rFonts w:hint="eastAsia" w:ascii="宋体" w:hAnsi="宋体" w:eastAsia="宋体" w:cs="宋体"/>
        </w:rPr>
        <w:t>）</w:t>
      </w:r>
      <w:r>
        <w:rPr>
          <w:rFonts w:hint="eastAsia" w:eastAsia="宋体" w:cs="宋体"/>
          <w:lang w:eastAsia="zh-CN"/>
        </w:rPr>
        <w:t>17点</w:t>
      </w:r>
      <w:r>
        <w:rPr>
          <w:rFonts w:hint="eastAsia" w:ascii="宋体" w:hAnsi="宋体" w:eastAsia="宋体" w:cs="宋体"/>
        </w:rPr>
        <w:t>前，逾期不受理</w:t>
      </w:r>
    </w:p>
    <w:p>
      <w:pPr>
        <w:pStyle w:val="17"/>
        <w:ind w:firstLine="480"/>
        <w:rPr>
          <w:rFonts w:hint="eastAsia" w:ascii="宋体" w:hAnsi="宋体" w:eastAsia="宋体" w:cs="宋体"/>
        </w:rPr>
      </w:pPr>
      <w:r>
        <w:rPr>
          <w:rFonts w:hint="eastAsia" w:ascii="宋体" w:hAnsi="宋体" w:eastAsia="宋体" w:cs="宋体"/>
        </w:rPr>
        <w:t>答疑方式：书面及邮件</w:t>
      </w:r>
    </w:p>
    <w:p>
      <w:pPr>
        <w:pStyle w:val="17"/>
        <w:ind w:firstLine="480"/>
        <w:rPr>
          <w:rFonts w:hint="default" w:ascii="宋体" w:hAnsi="宋体" w:eastAsia="宋体" w:cs="宋体"/>
          <w:lang w:val="en-US" w:eastAsia="zh-CN"/>
        </w:rPr>
      </w:pPr>
      <w:r>
        <w:rPr>
          <w:rFonts w:hint="eastAsia" w:ascii="宋体" w:hAnsi="宋体" w:eastAsia="宋体" w:cs="宋体"/>
        </w:rPr>
        <w:t>联 系 人：</w:t>
      </w:r>
      <w:r>
        <w:rPr>
          <w:rFonts w:hint="eastAsia" w:eastAsia="宋体" w:cs="宋体"/>
          <w:lang w:val="en-US" w:eastAsia="zh-CN"/>
        </w:rPr>
        <w:t xml:space="preserve">焦荣涛   </w:t>
      </w:r>
    </w:p>
    <w:p>
      <w:pPr>
        <w:pStyle w:val="17"/>
        <w:ind w:firstLine="480"/>
        <w:rPr>
          <w:rFonts w:hint="eastAsia" w:ascii="宋体" w:hAnsi="宋体" w:eastAsia="宋体" w:cs="宋体"/>
          <w:lang w:val="en-US" w:eastAsia="zh-CN"/>
        </w:rPr>
      </w:pPr>
      <w:r>
        <w:rPr>
          <w:rFonts w:hint="eastAsia" w:ascii="宋体" w:hAnsi="宋体" w:eastAsia="宋体" w:cs="宋体"/>
        </w:rPr>
        <w:t>电    话：</w:t>
      </w:r>
      <w:r>
        <w:rPr>
          <w:rFonts w:hint="eastAsia" w:eastAsia="宋体" w:cs="宋体"/>
          <w:lang w:val="en-US" w:eastAsia="zh-CN"/>
        </w:rPr>
        <w:t xml:space="preserve">18722363414 </w:t>
      </w:r>
    </w:p>
    <w:p>
      <w:pPr>
        <w:pStyle w:val="17"/>
        <w:ind w:firstLine="480"/>
        <w:rPr>
          <w:rFonts w:hint="eastAsia" w:ascii="宋体" w:hAnsi="宋体" w:eastAsia="宋体" w:cs="宋体"/>
        </w:rPr>
      </w:pPr>
      <w:r>
        <w:rPr>
          <w:rFonts w:hint="eastAsia" w:ascii="宋体" w:hAnsi="宋体" w:eastAsia="宋体" w:cs="宋体"/>
        </w:rPr>
        <w:t>邮    箱：</w:t>
      </w:r>
      <w:r>
        <w:rPr>
          <w:rFonts w:hint="eastAsia" w:eastAsia="宋体" w:cs="宋体"/>
          <w:lang w:val="en-US" w:eastAsia="zh-CN"/>
        </w:rPr>
        <w:t>2014983323</w:t>
      </w:r>
      <w:r>
        <w:rPr>
          <w:rFonts w:hint="eastAsia" w:ascii="宋体" w:hAnsi="宋体" w:eastAsia="宋体" w:cs="宋体"/>
        </w:rPr>
        <w:t>@</w:t>
      </w:r>
      <w:r>
        <w:rPr>
          <w:rFonts w:hint="eastAsia" w:eastAsia="宋体" w:cs="宋体"/>
          <w:lang w:val="en-US" w:eastAsia="zh-CN"/>
        </w:rPr>
        <w:t>qq</w:t>
      </w:r>
      <w:r>
        <w:rPr>
          <w:rFonts w:hint="eastAsia" w:ascii="宋体" w:hAnsi="宋体" w:eastAsia="宋体" w:cs="宋体"/>
        </w:rPr>
        <w:t>.com</w:t>
      </w:r>
      <w:r>
        <w:rPr>
          <w:rFonts w:hint="eastAsia" w:eastAsia="宋体" w:cs="宋体"/>
          <w:lang w:val="en-US" w:eastAsia="zh-CN"/>
        </w:rPr>
        <w:t xml:space="preserve"> </w:t>
      </w:r>
    </w:p>
    <w:p>
      <w:pPr>
        <w:pStyle w:val="20"/>
        <w:ind w:firstLine="480"/>
        <w:rPr>
          <w:rFonts w:hint="eastAsia" w:ascii="宋体" w:hAnsi="宋体" w:eastAsia="宋体" w:cs="宋体"/>
        </w:rPr>
      </w:pPr>
      <w:r>
        <w:rPr>
          <w:rFonts w:hint="eastAsia" w:ascii="宋体" w:hAnsi="宋体" w:eastAsia="宋体" w:cs="宋体"/>
          <w:lang w:eastAsia="zh-CN"/>
        </w:rPr>
        <w:t>5.</w:t>
      </w:r>
      <w:r>
        <w:rPr>
          <w:rFonts w:hint="eastAsia" w:ascii="宋体" w:hAnsi="宋体" w:eastAsia="宋体" w:cs="宋体"/>
        </w:rPr>
        <w:t>商务答疑</w:t>
      </w:r>
    </w:p>
    <w:p>
      <w:pPr>
        <w:pStyle w:val="17"/>
        <w:ind w:firstLine="480"/>
        <w:rPr>
          <w:rFonts w:hint="eastAsia" w:ascii="宋体" w:hAnsi="宋体" w:eastAsia="宋体" w:cs="宋体"/>
        </w:rPr>
      </w:pPr>
      <w:r>
        <w:rPr>
          <w:rFonts w:hint="eastAsia" w:ascii="宋体" w:hAnsi="宋体" w:eastAsia="宋体" w:cs="宋体"/>
        </w:rPr>
        <w:t>答疑方式：书面及邮件</w:t>
      </w:r>
    </w:p>
    <w:p>
      <w:pPr>
        <w:pStyle w:val="17"/>
        <w:ind w:firstLine="480"/>
        <w:rPr>
          <w:rFonts w:hint="eastAsia" w:ascii="宋体" w:hAnsi="宋体" w:eastAsia="宋体" w:cs="宋体"/>
          <w:lang w:val="en-US" w:eastAsia="zh-CN"/>
        </w:rPr>
      </w:pPr>
      <w:r>
        <w:rPr>
          <w:rFonts w:hint="eastAsia" w:ascii="宋体" w:hAnsi="宋体" w:eastAsia="宋体" w:cs="宋体"/>
        </w:rPr>
        <w:t>联系人：</w:t>
      </w:r>
      <w:r>
        <w:rPr>
          <w:rFonts w:hint="eastAsia" w:eastAsia="宋体" w:cs="宋体"/>
          <w:lang w:val="en-US" w:eastAsia="zh-CN"/>
        </w:rPr>
        <w:t>管勤亮</w:t>
      </w:r>
    </w:p>
    <w:p>
      <w:pPr>
        <w:pStyle w:val="17"/>
        <w:ind w:firstLine="480"/>
        <w:rPr>
          <w:rFonts w:hint="default" w:ascii="宋体" w:hAnsi="宋体" w:eastAsia="宋体" w:cs="宋体"/>
          <w:lang w:val="en-US" w:eastAsia="zh-CN"/>
        </w:rPr>
      </w:pPr>
      <w:r>
        <w:rPr>
          <w:rFonts w:hint="eastAsia" w:ascii="宋体" w:hAnsi="宋体" w:eastAsia="宋体" w:cs="宋体"/>
        </w:rPr>
        <w:t>电话：</w:t>
      </w:r>
      <w:r>
        <w:rPr>
          <w:rFonts w:hint="eastAsia" w:eastAsia="宋体" w:cs="宋体"/>
          <w:lang w:val="en-US" w:eastAsia="zh-CN"/>
        </w:rPr>
        <w:t>19286088159</w:t>
      </w:r>
    </w:p>
    <w:p>
      <w:pPr>
        <w:pStyle w:val="17"/>
        <w:ind w:firstLine="480"/>
        <w:rPr>
          <w:rFonts w:hint="eastAsia" w:ascii="宋体" w:hAnsi="宋体" w:eastAsia="宋体" w:cs="宋体"/>
        </w:rPr>
      </w:pPr>
      <w:r>
        <w:rPr>
          <w:rFonts w:hint="eastAsia" w:ascii="宋体" w:hAnsi="宋体" w:eastAsia="宋体" w:cs="宋体"/>
        </w:rPr>
        <w:t>邮    箱：guanqinliang@sinotruk.com</w:t>
      </w:r>
    </w:p>
    <w:p>
      <w:pPr>
        <w:pStyle w:val="20"/>
        <w:keepNext/>
        <w:keepLines/>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eastAsia="zh-CN"/>
        </w:rPr>
        <w:t>6.</w:t>
      </w:r>
      <w:r>
        <w:rPr>
          <w:rFonts w:hint="eastAsia" w:ascii="宋体" w:hAnsi="宋体" w:eastAsia="宋体" w:cs="宋体"/>
        </w:rPr>
        <w:t>投标报名及注意事项</w:t>
      </w:r>
    </w:p>
    <w:p>
      <w:pPr>
        <w:pStyle w:val="16"/>
        <w:keepNext/>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详见 </w:t>
      </w:r>
      <w:r>
        <w:rPr>
          <w:rFonts w:hint="eastAsia" w:ascii="宋体" w:hAnsi="宋体" w:eastAsia="宋体" w:cs="宋体"/>
          <w:b/>
          <w:bCs w:val="0"/>
          <w:sz w:val="24"/>
          <w:szCs w:val="24"/>
        </w:rPr>
        <w:t>四、投标说明</w:t>
      </w:r>
      <w:r>
        <w:rPr>
          <w:rFonts w:hint="eastAsia" w:ascii="宋体" w:hAnsi="宋体" w:eastAsia="宋体" w:cs="宋体"/>
          <w:b/>
          <w:bCs w:val="0"/>
          <w:sz w:val="24"/>
          <w:szCs w:val="24"/>
          <w:lang w:val="en-US" w:eastAsia="zh-CN"/>
        </w:rPr>
        <w:t xml:space="preserve"> </w:t>
      </w:r>
      <w:r>
        <w:rPr>
          <w:rFonts w:hint="eastAsia" w:ascii="宋体" w:hAnsi="宋体" w:eastAsia="宋体" w:cs="宋体"/>
          <w:sz w:val="24"/>
          <w:szCs w:val="24"/>
          <w:lang w:val="en-US" w:eastAsia="zh-CN"/>
        </w:rPr>
        <w:t>-&gt;</w:t>
      </w:r>
      <w:r>
        <w:rPr>
          <w:rFonts w:hint="eastAsia" w:ascii="宋体" w:hAnsi="宋体" w:eastAsia="宋体" w:cs="宋体"/>
          <w:sz w:val="24"/>
          <w:szCs w:val="24"/>
        </w:rPr>
        <w:t>1、报名方式</w:t>
      </w:r>
    </w:p>
    <w:p>
      <w:pPr>
        <w:pStyle w:val="20"/>
        <w:pageBreakBefore w:val="0"/>
        <w:widowControl w:val="0"/>
        <w:kinsoku/>
        <w:wordWrap/>
        <w:overflowPunct/>
        <w:topLinePunct w:val="0"/>
        <w:autoSpaceDE/>
        <w:autoSpaceDN/>
        <w:bidi w:val="0"/>
        <w:adjustRightInd/>
        <w:snapToGrid/>
        <w:spacing w:line="360" w:lineRule="auto"/>
        <w:ind w:firstLine="480"/>
        <w:textAlignment w:val="auto"/>
        <w:rPr>
          <w:rFonts w:hint="default" w:ascii="宋体" w:hAnsi="宋体" w:eastAsia="宋体" w:cs="宋体"/>
          <w:lang w:val="en-US" w:eastAsia="zh-CN"/>
        </w:rPr>
      </w:pPr>
      <w:r>
        <w:rPr>
          <w:rFonts w:hint="eastAsia" w:ascii="宋体" w:hAnsi="宋体" w:eastAsia="宋体" w:cs="宋体"/>
          <w:lang w:eastAsia="zh-CN"/>
        </w:rPr>
        <w:t>7.</w:t>
      </w:r>
      <w:r>
        <w:rPr>
          <w:rFonts w:hint="eastAsia" w:ascii="宋体" w:hAnsi="宋体" w:eastAsia="宋体" w:cs="宋体"/>
        </w:rPr>
        <w:t>开标</w:t>
      </w:r>
      <w:r>
        <w:rPr>
          <w:rFonts w:hint="eastAsia" w:ascii="宋体" w:hAnsi="宋体" w:eastAsia="宋体" w:cs="宋体"/>
          <w:lang w:val="en-US" w:eastAsia="zh-CN"/>
        </w:rPr>
        <w:t>时间安排</w:t>
      </w:r>
    </w:p>
    <w:p>
      <w:pPr>
        <w:pStyle w:val="7"/>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cyan"/>
        </w:rPr>
        <w:t>202</w:t>
      </w:r>
      <w:r>
        <w:rPr>
          <w:rFonts w:hint="eastAsia" w:hAnsi="宋体" w:cs="宋体"/>
          <w:color w:val="000000"/>
          <w:sz w:val="24"/>
          <w:szCs w:val="24"/>
          <w:highlight w:val="cyan"/>
          <w:lang w:val="en-US" w:eastAsia="zh-CN"/>
        </w:rPr>
        <w:t>6</w:t>
      </w:r>
      <w:r>
        <w:rPr>
          <w:rFonts w:hint="eastAsia" w:ascii="宋体" w:hAnsi="宋体" w:eastAsia="宋体" w:cs="宋体"/>
          <w:color w:val="000000"/>
          <w:sz w:val="24"/>
          <w:szCs w:val="24"/>
          <w:highlight w:val="cyan"/>
        </w:rPr>
        <w:t>年</w:t>
      </w:r>
      <w:r>
        <w:rPr>
          <w:rFonts w:hint="eastAsia" w:hAnsi="宋体" w:cs="宋体"/>
          <w:color w:val="000000"/>
          <w:sz w:val="24"/>
          <w:szCs w:val="24"/>
          <w:highlight w:val="cyan"/>
          <w:lang w:val="en-US" w:eastAsia="zh-CN"/>
        </w:rPr>
        <w:t>9</w:t>
      </w:r>
      <w:r>
        <w:rPr>
          <w:rFonts w:hint="eastAsia" w:ascii="宋体" w:hAnsi="宋体" w:eastAsia="宋体" w:cs="宋体"/>
          <w:color w:val="000000"/>
          <w:sz w:val="24"/>
          <w:szCs w:val="24"/>
          <w:highlight w:val="cyan"/>
        </w:rPr>
        <w:t>月</w:t>
      </w:r>
      <w:r>
        <w:rPr>
          <w:rFonts w:hint="eastAsia" w:hAnsi="宋体" w:cs="宋体"/>
          <w:color w:val="000000"/>
          <w:sz w:val="24"/>
          <w:szCs w:val="24"/>
          <w:highlight w:val="cyan"/>
          <w:lang w:val="en-US" w:eastAsia="zh-CN"/>
        </w:rPr>
        <w:t>30</w:t>
      </w:r>
      <w:r>
        <w:rPr>
          <w:rFonts w:hint="eastAsia" w:ascii="宋体" w:hAnsi="宋体" w:eastAsia="宋体" w:cs="宋体"/>
          <w:color w:val="000000"/>
          <w:sz w:val="24"/>
          <w:szCs w:val="24"/>
          <w:highlight w:val="cyan"/>
        </w:rPr>
        <w:t>日（周</w:t>
      </w:r>
      <w:r>
        <w:rPr>
          <w:rFonts w:hint="eastAsia" w:hAnsi="宋体" w:cs="宋体"/>
          <w:color w:val="000000"/>
          <w:sz w:val="24"/>
          <w:szCs w:val="24"/>
          <w:highlight w:val="cyan"/>
          <w:lang w:val="en-US" w:eastAsia="zh-CN"/>
        </w:rPr>
        <w:t>三</w:t>
      </w:r>
      <w:r>
        <w:rPr>
          <w:rFonts w:hint="eastAsia" w:ascii="宋体" w:hAnsi="宋体" w:eastAsia="宋体" w:cs="宋体"/>
          <w:color w:val="000000"/>
          <w:sz w:val="24"/>
          <w:szCs w:val="24"/>
          <w:highlight w:val="cyan"/>
        </w:rPr>
        <w:t>）</w:t>
      </w:r>
      <w:r>
        <w:rPr>
          <w:rFonts w:hint="eastAsia" w:hAnsi="宋体" w:cs="宋体"/>
          <w:color w:val="000000"/>
          <w:sz w:val="24"/>
          <w:szCs w:val="24"/>
          <w:highlight w:val="cyan"/>
          <w:lang w:val="en-US" w:eastAsia="zh-CN"/>
        </w:rPr>
        <w:t>上午</w:t>
      </w:r>
      <w:r>
        <w:rPr>
          <w:rFonts w:hint="eastAsia" w:ascii="宋体" w:hAnsi="宋体" w:eastAsia="宋体" w:cs="宋体"/>
          <w:color w:val="000000"/>
          <w:sz w:val="24"/>
          <w:szCs w:val="24"/>
          <w:highlight w:val="cyan"/>
        </w:rPr>
        <w:t>午</w:t>
      </w:r>
      <w:r>
        <w:rPr>
          <w:rFonts w:hint="eastAsia" w:hAnsi="宋体" w:cs="宋体"/>
          <w:color w:val="000000"/>
          <w:sz w:val="24"/>
          <w:szCs w:val="24"/>
          <w:highlight w:val="cyan"/>
          <w:lang w:val="en-US" w:eastAsia="zh-CN"/>
        </w:rPr>
        <w:t>9:</w:t>
      </w:r>
      <w:r>
        <w:rPr>
          <w:rFonts w:hint="eastAsia" w:ascii="宋体" w:hAnsi="宋体" w:eastAsia="宋体" w:cs="宋体"/>
          <w:color w:val="000000"/>
          <w:sz w:val="24"/>
          <w:szCs w:val="24"/>
          <w:highlight w:val="cyan"/>
        </w:rPr>
        <w:t>30，</w:t>
      </w:r>
      <w:r>
        <w:rPr>
          <w:rFonts w:hint="eastAsia" w:ascii="宋体" w:hAnsi="宋体" w:eastAsia="宋体" w:cs="宋体"/>
          <w:color w:val="000000"/>
          <w:sz w:val="24"/>
          <w:szCs w:val="24"/>
        </w:rPr>
        <w:t>若有变动另行通知。</w:t>
      </w:r>
    </w:p>
    <w:p>
      <w:pPr>
        <w:pStyle w:val="20"/>
        <w:ind w:firstLine="480"/>
        <w:rPr>
          <w:rFonts w:hint="eastAsia" w:ascii="宋体" w:hAnsi="宋体" w:eastAsia="宋体" w:cs="宋体"/>
        </w:rPr>
      </w:pPr>
      <w:r>
        <w:rPr>
          <w:rFonts w:hint="eastAsia" w:ascii="宋体" w:hAnsi="宋体" w:eastAsia="宋体" w:cs="宋体"/>
          <w:lang w:eastAsia="zh-CN"/>
        </w:rPr>
        <w:t>8.</w:t>
      </w:r>
      <w:r>
        <w:rPr>
          <w:rFonts w:hint="eastAsia" w:ascii="宋体" w:hAnsi="宋体" w:eastAsia="宋体" w:cs="宋体"/>
        </w:rPr>
        <w:t>开标方式</w:t>
      </w:r>
    </w:p>
    <w:p>
      <w:pPr>
        <w:pStyle w:val="7"/>
        <w:spacing w:line="360" w:lineRule="auto"/>
        <w:ind w:firstLine="480" w:firstLineChars="200"/>
        <w:rPr>
          <w:rFonts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到场参与开标，自行携带</w:t>
      </w:r>
      <w:r>
        <w:rPr>
          <w:rFonts w:hint="eastAsia" w:hAnsi="宋体" w:cs="宋体"/>
          <w:bCs/>
          <w:sz w:val="24"/>
          <w:szCs w:val="24"/>
          <w:lang w:val="en-US" w:eastAsia="zh-CN"/>
        </w:rPr>
        <w:t>笔记本电脑</w:t>
      </w:r>
      <w:r>
        <w:rPr>
          <w:rFonts w:hint="eastAsia" w:hAnsi="宋体" w:cs="宋体"/>
          <w:bCs/>
          <w:sz w:val="24"/>
          <w:szCs w:val="24"/>
        </w:rPr>
        <w:t>至开标地点即可。</w:t>
      </w:r>
    </w:p>
    <w:p>
      <w:pPr>
        <w:pStyle w:val="7"/>
        <w:pageBreakBefore w:val="0"/>
        <w:kinsoku/>
        <w:overflowPunct/>
        <w:topLinePunct w:val="0"/>
        <w:autoSpaceDE/>
        <w:autoSpaceDN/>
        <w:bidi w:val="0"/>
        <w:spacing w:line="360" w:lineRule="auto"/>
        <w:ind w:firstLine="480" w:firstLineChars="200"/>
        <w:rPr>
          <w:rFonts w:hint="eastAsia" w:hAnsi="宋体" w:cs="宋体"/>
          <w:bCs/>
          <w:sz w:val="24"/>
          <w:szCs w:val="24"/>
          <w:lang w:val="en-US" w:eastAsia="zh-CN"/>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线上参与开标，</w:t>
      </w:r>
      <w:r>
        <w:rPr>
          <w:rFonts w:hint="eastAsia" w:hAnsi="宋体" w:cs="宋体"/>
          <w:bCs/>
          <w:sz w:val="24"/>
          <w:szCs w:val="24"/>
          <w:lang w:val="en-US" w:eastAsia="zh-CN"/>
        </w:rPr>
        <w:t>请在参会时登录E采通系统进行开标操作.</w:t>
      </w:r>
      <w:bookmarkStart w:id="2" w:name="_Toc457807428"/>
    </w:p>
    <w:p>
      <w:pPr>
        <w:pStyle w:val="7"/>
        <w:pageBreakBefore w:val="0"/>
        <w:kinsoku/>
        <w:overflowPunct/>
        <w:topLinePunct w:val="0"/>
        <w:autoSpaceDE/>
        <w:autoSpaceDN/>
        <w:bidi w:val="0"/>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备注：本次招标最终解释权归</w:t>
      </w:r>
      <w:r>
        <w:rPr>
          <w:rFonts w:hint="eastAsia" w:ascii="宋体" w:hAnsi="宋体" w:eastAsia="宋体" w:cs="宋体"/>
          <w:b/>
          <w:color w:val="000000"/>
          <w:sz w:val="24"/>
          <w:szCs w:val="24"/>
        </w:rPr>
        <w:t>中国重汽集团济南动力有限公司</w:t>
      </w:r>
      <w:r>
        <w:rPr>
          <w:rFonts w:hint="eastAsia" w:ascii="宋体" w:hAnsi="宋体" w:eastAsia="宋体" w:cs="宋体"/>
          <w:b/>
          <w:bCs/>
          <w:color w:val="000000"/>
          <w:sz w:val="24"/>
          <w:szCs w:val="24"/>
        </w:rPr>
        <w:t>。</w:t>
      </w:r>
      <w:bookmarkEnd w:id="2"/>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bookmarkStart w:id="3" w:name="_Toc425801541"/>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p>
    <w:p>
      <w:pPr>
        <w:pStyle w:val="15"/>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p>
    <w:p>
      <w:pPr>
        <w:pStyle w:val="15"/>
        <w:pageBreakBefore w:val="0"/>
        <w:widowControl w:val="0"/>
        <w:kinsoku/>
        <w:wordWrap/>
        <w:overflowPunct/>
        <w:topLinePunct w:val="0"/>
        <w:autoSpaceDE/>
        <w:autoSpaceDN/>
        <w:bidi w:val="0"/>
        <w:adjustRightInd/>
        <w:snapToGrid/>
        <w:spacing w:line="360" w:lineRule="auto"/>
        <w:ind w:left="2940" w:leftChars="0" w:firstLine="420" w:firstLineChars="0"/>
        <w:jc w:val="both"/>
        <w:textAlignment w:val="auto"/>
        <w:rPr>
          <w:rFonts w:hint="eastAsia" w:ascii="宋体" w:hAnsi="宋体" w:eastAsia="宋体" w:cs="宋体"/>
        </w:rPr>
      </w:pPr>
      <w:r>
        <w:rPr>
          <w:rFonts w:hint="eastAsia" w:ascii="宋体" w:hAnsi="宋体" w:eastAsia="宋体" w:cs="宋体"/>
        </w:rPr>
        <w:t>第二章</w:t>
      </w:r>
      <w:r>
        <w:rPr>
          <w:rFonts w:hint="eastAsia" w:ascii="宋体" w:hAnsi="宋体" w:eastAsia="宋体" w:cs="宋体"/>
          <w:lang w:eastAsia="zh-CN"/>
        </w:rPr>
        <w:t>技术标书</w:t>
      </w:r>
    </w:p>
    <w:bookmarkEnd w:id="3"/>
    <w:p>
      <w:pPr>
        <w:pStyle w:val="16"/>
        <w:rPr>
          <w:rFonts w:hint="eastAsia" w:ascii="宋体" w:hAnsi="宋体" w:eastAsia="宋体" w:cs="宋体"/>
        </w:rPr>
      </w:pPr>
      <w:r>
        <w:rPr>
          <w:rFonts w:hint="eastAsia" w:ascii="宋体" w:hAnsi="宋体" w:eastAsia="宋体" w:cs="宋体"/>
        </w:rPr>
        <w:t>一、项目说明</w:t>
      </w:r>
    </w:p>
    <w:p>
      <w:pPr>
        <w:spacing w:line="360" w:lineRule="auto"/>
        <w:ind w:right="2" w:firstLine="480" w:firstLineChars="2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r>
        <w:rPr>
          <w:rFonts w:hint="eastAsia" w:ascii="宋体" w:hAnsi="宋体" w:eastAsia="宋体" w:cs="宋体"/>
          <w:color w:val="000000"/>
          <w:sz w:val="24"/>
          <w:szCs w:val="24"/>
          <w:u w:val="single"/>
          <w:lang w:val="en-US" w:eastAsia="zh-CN"/>
        </w:rPr>
        <w:t>安徽捷通试验场</w:t>
      </w:r>
      <w:r>
        <w:rPr>
          <w:rFonts w:hint="eastAsia" w:ascii="宋体" w:hAnsi="宋体" w:cs="宋体"/>
          <w:color w:val="000000"/>
          <w:sz w:val="24"/>
          <w:szCs w:val="24"/>
          <w:u w:val="single"/>
          <w:lang w:val="en-US" w:eastAsia="zh-CN"/>
        </w:rPr>
        <w:t>车辆</w:t>
      </w:r>
      <w:r>
        <w:rPr>
          <w:rFonts w:hint="eastAsia" w:ascii="宋体" w:hAnsi="宋体" w:eastAsia="宋体" w:cs="宋体"/>
          <w:color w:val="000000"/>
          <w:sz w:val="24"/>
          <w:szCs w:val="24"/>
          <w:u w:val="single"/>
        </w:rPr>
        <w:t>驾驶</w:t>
      </w:r>
      <w:r>
        <w:rPr>
          <w:rFonts w:hint="eastAsia" w:ascii="宋体" w:hAnsi="宋体" w:cs="宋体"/>
          <w:color w:val="000000"/>
          <w:sz w:val="24"/>
          <w:szCs w:val="24"/>
          <w:u w:val="single"/>
          <w:lang w:val="en-US" w:eastAsia="zh-CN"/>
        </w:rPr>
        <w:t>服务</w:t>
      </w:r>
      <w:r>
        <w:rPr>
          <w:rFonts w:hint="eastAsia" w:ascii="宋体" w:hAnsi="宋体" w:eastAsia="宋体" w:cs="宋体"/>
          <w:color w:val="000000"/>
          <w:sz w:val="24"/>
          <w:szCs w:val="24"/>
          <w:u w:val="single"/>
        </w:rPr>
        <w:t>项目</w:t>
      </w:r>
    </w:p>
    <w:p>
      <w:pPr>
        <w:spacing w:line="360" w:lineRule="auto"/>
        <w:ind w:firstLine="480" w:firstLineChars="200"/>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rPr>
        <w:t>项目地点：</w:t>
      </w:r>
      <w:r>
        <w:rPr>
          <w:rFonts w:hint="eastAsia" w:ascii="宋体" w:hAnsi="宋体" w:cs="宋体"/>
          <w:color w:val="000000"/>
          <w:sz w:val="24"/>
          <w:szCs w:val="24"/>
          <w:highlight w:val="none"/>
          <w:lang w:val="en-US" w:eastAsia="zh-CN"/>
        </w:rPr>
        <w:t>安徽省滁州市凤阳县安徽捷通试验场</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项目概况：</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投标方每年需完成中重卡、轻卡、皮卡等试验车的整车性能</w:t>
      </w:r>
      <w:r>
        <w:rPr>
          <w:rFonts w:hint="eastAsia" w:ascii="宋体" w:hAnsi="宋体" w:cs="宋体"/>
          <w:sz w:val="24"/>
          <w:szCs w:val="24"/>
          <w:highlight w:val="none"/>
          <w:lang w:val="en-US" w:eastAsia="zh-CN"/>
        </w:rPr>
        <w:t>和</w:t>
      </w:r>
      <w:r>
        <w:rPr>
          <w:rFonts w:hint="eastAsia" w:ascii="宋体" w:hAnsi="宋体" w:eastAsia="宋体" w:cs="宋体"/>
          <w:sz w:val="24"/>
          <w:szCs w:val="24"/>
          <w:highlight w:val="none"/>
        </w:rPr>
        <w:t>可靠性等试验任务，</w:t>
      </w:r>
      <w:r>
        <w:rPr>
          <w:rFonts w:hint="eastAsia" w:ascii="宋体" w:hAnsi="宋体" w:cs="宋体"/>
          <w:sz w:val="24"/>
          <w:szCs w:val="24"/>
          <w:highlight w:val="none"/>
          <w:lang w:val="en-US" w:eastAsia="zh-CN"/>
        </w:rPr>
        <w:t>其中可靠性试验为强化坏路试验，主要包括搓板路、几内亚复制路（三个坑分为两个左右单坑和一个</w:t>
      </w:r>
      <w:r>
        <w:rPr>
          <w:rFonts w:hint="default" w:ascii="宋体" w:hAnsi="宋体" w:cs="宋体"/>
          <w:sz w:val="24"/>
          <w:szCs w:val="24"/>
          <w:highlight w:val="none"/>
          <w:lang w:eastAsia="zh-CN"/>
        </w:rPr>
        <w:t>横沟</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左右单坑深15cm，两个坑间距7m，横沟深20cm，宽度2m）和石块路，</w:t>
      </w:r>
      <w:r>
        <w:rPr>
          <w:rFonts w:hint="eastAsia" w:ascii="宋体" w:hAnsi="宋体" w:eastAsia="宋体" w:cs="宋体"/>
          <w:sz w:val="24"/>
          <w:szCs w:val="24"/>
          <w:highlight w:val="none"/>
        </w:rPr>
        <w:t>试验</w:t>
      </w:r>
      <w:r>
        <w:rPr>
          <w:rFonts w:hint="eastAsia" w:ascii="宋体" w:hAnsi="宋体" w:cs="宋体"/>
          <w:sz w:val="24"/>
          <w:szCs w:val="24"/>
          <w:highlight w:val="none"/>
          <w:lang w:val="en-US" w:eastAsia="zh-CN"/>
        </w:rPr>
        <w:t>难度和强度较大</w:t>
      </w:r>
      <w:r>
        <w:rPr>
          <w:rFonts w:hint="eastAsia" w:ascii="宋体" w:hAnsi="宋体" w:eastAsia="宋体" w:cs="宋体"/>
          <w:sz w:val="24"/>
          <w:szCs w:val="24"/>
          <w:highlight w:val="none"/>
        </w:rPr>
        <w:t>，现根据试验需求对上述试验驾驶服务进行</w:t>
      </w:r>
      <w:r>
        <w:rPr>
          <w:rFonts w:hint="eastAsia" w:ascii="宋体" w:hAnsi="宋体" w:cs="宋体"/>
          <w:sz w:val="24"/>
          <w:szCs w:val="24"/>
          <w:highlight w:val="none"/>
          <w:lang w:val="en-US" w:eastAsia="zh-CN"/>
        </w:rPr>
        <w:t>单独</w:t>
      </w:r>
      <w:r>
        <w:rPr>
          <w:rFonts w:hint="eastAsia" w:ascii="宋体" w:hAnsi="宋体" w:eastAsia="宋体" w:cs="宋体"/>
          <w:sz w:val="24"/>
          <w:szCs w:val="24"/>
          <w:highlight w:val="none"/>
        </w:rPr>
        <w:t>招标。</w:t>
      </w:r>
    </w:p>
    <w:p>
      <w:pPr>
        <w:pStyle w:val="16"/>
        <w:rPr>
          <w:rFonts w:hint="eastAsia" w:ascii="宋体" w:hAnsi="宋体" w:eastAsia="宋体" w:cs="宋体"/>
        </w:rPr>
      </w:pPr>
      <w:r>
        <w:rPr>
          <w:rFonts w:hint="eastAsia" w:ascii="宋体" w:hAnsi="宋体" w:eastAsia="宋体" w:cs="宋体"/>
        </w:rPr>
        <w:t>二、服务要求</w:t>
      </w:r>
    </w:p>
    <w:p>
      <w:pPr>
        <w:spacing w:line="360" w:lineRule="auto"/>
        <w:ind w:firstLine="480" w:firstLineChars="200"/>
        <w:jc w:val="left"/>
        <w:rPr>
          <w:rFonts w:hint="eastAsia" w:ascii="宋体" w:hAnsi="宋体" w:cs="宋体"/>
          <w:sz w:val="24"/>
          <w:szCs w:val="24"/>
          <w:highlight w:val="none"/>
          <w:lang w:val="en-US" w:eastAsia="zh-CN"/>
        </w:rPr>
      </w:pPr>
      <w:bookmarkStart w:id="4" w:name="_Toc26699"/>
      <w:bookmarkStart w:id="5" w:name="_Toc10152"/>
      <w:bookmarkStart w:id="6" w:name="_Toc24049"/>
      <w:bookmarkStart w:id="7" w:name="_Toc490750820"/>
      <w:bookmarkStart w:id="8" w:name="_Toc31558"/>
      <w:bookmarkStart w:id="9" w:name="_Toc385411768"/>
      <w:r>
        <w:rPr>
          <w:rFonts w:hint="eastAsia" w:ascii="宋体" w:hAnsi="宋体" w:cs="宋体"/>
          <w:sz w:val="24"/>
          <w:szCs w:val="24"/>
          <w:highlight w:val="none"/>
          <w:lang w:val="en-US" w:eastAsia="zh-CN"/>
        </w:rPr>
        <w:t>针对该项目，对所需驾驶服务做如下要求，且每一项均作为标星项，不满足则不予进入商务评标。</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24"/>
          <w:highlight w:val="none"/>
        </w:rPr>
      </w:pPr>
      <w:r>
        <w:rPr>
          <w:rFonts w:hint="eastAsia" w:ascii="宋体" w:hAnsi="宋体" w:cs="宋体"/>
          <w:color w:val="000000"/>
          <w:sz w:val="24"/>
          <w:szCs w:val="24"/>
          <w:highlight w:val="none"/>
        </w:rPr>
        <w:t>投标方提供的驾驶员应具有含A2等级的驾驶证件，驾驶员年龄在50岁及以下（已注册在库驾驶员年龄55岁以下），驾驶员身体健康，身体素质好，无疾病，适应环境能力强。</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24"/>
          <w:highlight w:val="none"/>
        </w:rPr>
      </w:pPr>
      <w:r>
        <w:rPr>
          <w:rFonts w:hint="eastAsia" w:ascii="宋体" w:hAnsi="宋体" w:cs="宋体"/>
          <w:color w:val="000000"/>
          <w:sz w:val="24"/>
          <w:szCs w:val="24"/>
          <w:highlight w:val="none"/>
        </w:rPr>
        <w:t>投标方能提供不少于</w:t>
      </w:r>
      <w:r>
        <w:rPr>
          <w:rFonts w:hint="eastAsia" w:hAnsi="宋体" w:cs="宋体"/>
          <w:color w:val="auto"/>
          <w:sz w:val="24"/>
          <w:szCs w:val="24"/>
          <w:highlight w:val="none"/>
          <w:lang w:val="en-US" w:eastAsia="zh-CN"/>
        </w:rPr>
        <w:t>10</w:t>
      </w:r>
      <w:r>
        <w:rPr>
          <w:rFonts w:hint="eastAsia" w:ascii="宋体" w:hAnsi="宋体" w:cs="宋体"/>
          <w:color w:val="000000"/>
          <w:sz w:val="24"/>
          <w:szCs w:val="24"/>
          <w:highlight w:val="none"/>
        </w:rPr>
        <w:t>名驾驶员资源</w:t>
      </w:r>
      <w:r>
        <w:rPr>
          <w:rFonts w:hint="eastAsia" w:hAnsi="宋体" w:cs="宋体"/>
          <w:color w:val="000000"/>
          <w:sz w:val="24"/>
          <w:szCs w:val="24"/>
          <w:highlight w:val="none"/>
          <w:lang w:eastAsia="zh-CN"/>
        </w:rPr>
        <w:t>，</w:t>
      </w:r>
      <w:r>
        <w:rPr>
          <w:rFonts w:hint="eastAsia" w:hAnsi="宋体" w:cs="宋体"/>
          <w:color w:val="000000"/>
          <w:sz w:val="24"/>
          <w:szCs w:val="24"/>
          <w:highlight w:val="none"/>
          <w:lang w:val="en-US" w:eastAsia="zh-CN"/>
        </w:rPr>
        <w:t>提供出驾驶员身份证及驾驶证复印件。</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24"/>
          <w:highlight w:val="none"/>
        </w:rPr>
      </w:pPr>
      <w:r>
        <w:rPr>
          <w:rFonts w:hint="eastAsia"/>
          <w:sz w:val="24"/>
          <w:szCs w:val="24"/>
          <w:highlight w:val="none"/>
        </w:rPr>
        <w:t>投标方需根据招标方</w:t>
      </w:r>
      <w:r>
        <w:rPr>
          <w:rFonts w:hint="eastAsia"/>
          <w:sz w:val="24"/>
          <w:szCs w:val="24"/>
          <w:highlight w:val="none"/>
          <w:lang w:val="en-US" w:eastAsia="zh-CN"/>
        </w:rPr>
        <w:t>出具的</w:t>
      </w:r>
      <w:r>
        <w:rPr>
          <w:rFonts w:hint="eastAsia"/>
          <w:sz w:val="24"/>
          <w:szCs w:val="24"/>
          <w:highlight w:val="none"/>
        </w:rPr>
        <w:t>试验驾驶员管理办法JNATCB0504A0-2024</w:t>
      </w:r>
      <w:r>
        <w:rPr>
          <w:rFonts w:hint="eastAsia"/>
          <w:sz w:val="24"/>
          <w:szCs w:val="24"/>
          <w:highlight w:val="none"/>
          <w:lang w:val="en-US" w:eastAsia="zh-CN"/>
        </w:rPr>
        <w:t>中</w:t>
      </w:r>
      <w:r>
        <w:rPr>
          <w:rFonts w:hint="eastAsia"/>
          <w:sz w:val="24"/>
          <w:szCs w:val="24"/>
          <w:highlight w:val="none"/>
        </w:rPr>
        <w:t>具体要求提供符合条件的驾驶员，中标方提供的驾驶员需通过招标方组织的</w:t>
      </w:r>
      <w:r>
        <w:rPr>
          <w:rFonts w:hint="eastAsia"/>
          <w:sz w:val="24"/>
          <w:szCs w:val="24"/>
          <w:highlight w:val="none"/>
          <w:lang w:val="en-US" w:eastAsia="zh-CN"/>
        </w:rPr>
        <w:t>含理论测评、实操测评和主观测评在内的场地准驾测评项目</w:t>
      </w:r>
      <w:r>
        <w:rPr>
          <w:rFonts w:hint="eastAsia"/>
          <w:sz w:val="24"/>
          <w:szCs w:val="24"/>
          <w:highlight w:val="none"/>
        </w:rPr>
        <w:t>评定方可上岗，招标方定期对驾驶员进行评估，在试验过程中若发现有不积极配合试验等现象发生，投标方需立刻协调更换符合要求的驾驶员保证招标方试验任务正常进行。</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24"/>
          <w:highlight w:val="none"/>
        </w:rPr>
      </w:pPr>
      <w:r>
        <w:rPr>
          <w:rFonts w:hint="eastAsia"/>
          <w:sz w:val="24"/>
          <w:szCs w:val="24"/>
          <w:highlight w:val="none"/>
        </w:rPr>
        <w:t>投标方中标相应项目后，根据招标方提出的试验需求，在规定时间内提供驾驶服务及相应驾驶员数量，若投标方因自身原因拒绝提供相应服务及驾驶员数量的</w:t>
      </w:r>
      <w:r>
        <w:rPr>
          <w:rFonts w:hint="eastAsia"/>
          <w:sz w:val="24"/>
          <w:szCs w:val="24"/>
          <w:highlight w:val="none"/>
          <w:lang w:eastAsia="zh-CN"/>
        </w:rPr>
        <w:t>（</w:t>
      </w:r>
      <w:r>
        <w:rPr>
          <w:rFonts w:hint="eastAsia"/>
          <w:sz w:val="24"/>
          <w:szCs w:val="24"/>
          <w:highlight w:val="none"/>
          <w:lang w:val="en-US" w:eastAsia="zh-CN"/>
        </w:rPr>
        <w:t>以邮件或书面形式通知招标方</w:t>
      </w:r>
      <w:r>
        <w:rPr>
          <w:rFonts w:hint="eastAsia"/>
          <w:sz w:val="24"/>
          <w:szCs w:val="24"/>
          <w:highlight w:val="none"/>
          <w:lang w:eastAsia="zh-CN"/>
        </w:rPr>
        <w:t>）</w:t>
      </w:r>
      <w:r>
        <w:rPr>
          <w:rFonts w:hint="eastAsia"/>
          <w:sz w:val="24"/>
          <w:szCs w:val="24"/>
          <w:highlight w:val="none"/>
        </w:rPr>
        <w:t>，超过三次，招标方有权取消该投标方的服务资格，不予结算该投标方当月</w:t>
      </w:r>
      <w:r>
        <w:rPr>
          <w:rFonts w:hint="eastAsia"/>
          <w:sz w:val="24"/>
          <w:szCs w:val="24"/>
          <w:highlight w:val="none"/>
          <w:lang w:val="en-US" w:eastAsia="zh-CN"/>
        </w:rPr>
        <w:t>发生</w:t>
      </w:r>
      <w:r>
        <w:rPr>
          <w:rFonts w:hint="eastAsia"/>
          <w:sz w:val="24"/>
          <w:szCs w:val="24"/>
          <w:highlight w:val="none"/>
        </w:rPr>
        <w:t>的驾驶服务费，并经招标方商议后列入重汽投标方黑名单。</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投标方</w:t>
      </w:r>
      <w:r>
        <w:rPr>
          <w:rFonts w:hint="eastAsia" w:ascii="宋体" w:hAnsi="宋体" w:cs="宋体"/>
          <w:color w:val="000000"/>
          <w:sz w:val="24"/>
          <w:szCs w:val="24"/>
          <w:highlight w:val="none"/>
        </w:rPr>
        <w:t>所提供的的驾驶员须有3年以上驾驶经验，并能够提供相关证明材料（包括但不限于驾驶证照片等）；试验驾驶员必须具备良好的职业道德,熟练的汽车驾驶技能和优良的团结合作精神,自觉遵守技术服务协议（或合同）的各项规章制度和汽车试验规范</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身体健康状况良好，</w:t>
      </w:r>
      <w:r>
        <w:rPr>
          <w:rFonts w:hint="eastAsia" w:ascii="宋体" w:hAnsi="宋体" w:cs="宋体"/>
          <w:color w:val="000000"/>
          <w:sz w:val="24"/>
          <w:szCs w:val="24"/>
          <w:highlight w:val="none"/>
        </w:rPr>
        <w:t>无犯罪记录，近三年无交通责任事故及重大违纪记录</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签订合同时需向招标方提供所提供的驾驶员的健康证明材料</w:t>
      </w:r>
      <w:r>
        <w:rPr>
          <w:rFonts w:hint="eastAsia" w:ascii="宋体" w:hAnsi="宋体" w:cs="宋体"/>
          <w:color w:val="000000"/>
          <w:sz w:val="24"/>
          <w:szCs w:val="24"/>
          <w:highlight w:val="none"/>
        </w:rPr>
        <w:t>。</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投标方需负责驾驶员的劳动保险、意外保险等商业保险，切实保障驾驶员合法权益。投标方负责试验期间驾驶人员产生的差旅费用。</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投标方所提供的驾驶人员应具有</w:t>
      </w:r>
      <w:r>
        <w:rPr>
          <w:rFonts w:hint="eastAsia" w:ascii="宋体" w:hAnsi="宋体" w:cs="宋体"/>
          <w:color w:val="000000"/>
          <w:sz w:val="24"/>
          <w:szCs w:val="24"/>
          <w:highlight w:val="none"/>
          <w:lang w:val="en-US" w:eastAsia="zh-CN"/>
        </w:rPr>
        <w:t>从事整车可靠性</w:t>
      </w:r>
      <w:r>
        <w:rPr>
          <w:rFonts w:hint="eastAsia" w:hAnsi="宋体" w:cs="宋体"/>
          <w:color w:val="000000"/>
          <w:sz w:val="24"/>
          <w:szCs w:val="24"/>
          <w:highlight w:val="none"/>
          <w:lang w:val="en-US" w:eastAsia="zh-CN"/>
        </w:rPr>
        <w:t>、</w:t>
      </w:r>
      <w:r>
        <w:rPr>
          <w:rFonts w:hint="eastAsia" w:ascii="宋体" w:hAnsi="宋体" w:cs="宋体"/>
          <w:color w:val="000000"/>
          <w:sz w:val="24"/>
          <w:szCs w:val="24"/>
          <w:highlight w:val="none"/>
          <w:lang w:val="en-US" w:eastAsia="zh-CN"/>
        </w:rPr>
        <w:t>性能试验等道路试验驾驶经验</w:t>
      </w:r>
      <w:r>
        <w:rPr>
          <w:rFonts w:hint="eastAsia" w:ascii="宋体" w:hAnsi="宋体" w:cs="宋体"/>
          <w:color w:val="000000"/>
          <w:sz w:val="24"/>
          <w:szCs w:val="24"/>
          <w:highlight w:val="none"/>
        </w:rPr>
        <w:t>，投标方应具有从事试验驾驶服务业绩，并提供相关证明材料。</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cs="宋体"/>
          <w:color w:val="000000"/>
          <w:sz w:val="24"/>
          <w:szCs w:val="24"/>
          <w:highlight w:val="none"/>
        </w:rPr>
      </w:pPr>
      <w:r>
        <w:rPr>
          <w:rFonts w:hint="eastAsia" w:hAnsi="宋体" w:cs="宋体"/>
          <w:color w:val="000000"/>
          <w:sz w:val="24"/>
          <w:szCs w:val="24"/>
          <w:highlight w:val="none"/>
          <w:lang w:val="en-US" w:eastAsia="zh-CN"/>
        </w:rPr>
        <w:t>针对招标方提出的完成试验的场地，如有驾驶员考试需求，投标方需自行解决相关费用。</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cs="宋体"/>
          <w:color w:val="000000"/>
          <w:sz w:val="24"/>
          <w:szCs w:val="24"/>
          <w:highlight w:val="none"/>
        </w:rPr>
      </w:pPr>
      <w:r>
        <w:rPr>
          <w:rFonts w:hint="eastAsia" w:hAnsi="宋体" w:cs="宋体"/>
          <w:color w:val="000000"/>
          <w:sz w:val="24"/>
          <w:szCs w:val="24"/>
          <w:highlight w:val="none"/>
          <w:lang w:val="en-US" w:eastAsia="zh-CN"/>
        </w:rPr>
        <w:t>试验车外出加油加气</w:t>
      </w:r>
      <w:r>
        <w:rPr>
          <w:rFonts w:hint="eastAsia" w:ascii="宋体" w:hAnsi="宋体" w:cs="宋体"/>
          <w:color w:val="000000"/>
          <w:sz w:val="24"/>
          <w:szCs w:val="24"/>
          <w:highlight w:val="none"/>
        </w:rPr>
        <w:t>需穿行市区，投标方需具备处理试验车外出加油加气</w:t>
      </w:r>
      <w:r>
        <w:rPr>
          <w:rFonts w:hint="eastAsia"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处理社会道路紧急情况</w:t>
      </w:r>
      <w:r>
        <w:rPr>
          <w:rFonts w:hint="eastAsia" w:hAnsi="宋体" w:cs="宋体"/>
          <w:color w:val="000000"/>
          <w:sz w:val="24"/>
          <w:szCs w:val="24"/>
          <w:highlight w:val="none"/>
          <w:lang w:val="en-US" w:eastAsia="zh-CN"/>
        </w:rPr>
        <w:t>、</w:t>
      </w:r>
      <w:r>
        <w:rPr>
          <w:rFonts w:hint="eastAsia" w:ascii="宋体" w:hAnsi="宋体" w:cs="宋体"/>
          <w:color w:val="000000"/>
          <w:sz w:val="24"/>
          <w:szCs w:val="24"/>
          <w:highlight w:val="none"/>
        </w:rPr>
        <w:t>协调当地关系</w:t>
      </w:r>
      <w:r>
        <w:rPr>
          <w:rFonts w:hint="eastAsia" w:hAnsi="宋体" w:cs="宋体"/>
          <w:color w:val="000000"/>
          <w:sz w:val="24"/>
          <w:szCs w:val="24"/>
          <w:highlight w:val="none"/>
          <w:lang w:val="en-US" w:eastAsia="zh-CN"/>
        </w:rPr>
        <w:t>的能力</w:t>
      </w:r>
      <w:r>
        <w:rPr>
          <w:rFonts w:hint="eastAsia" w:ascii="宋体" w:hAnsi="宋体" w:cs="宋体"/>
          <w:color w:val="000000"/>
          <w:sz w:val="24"/>
          <w:szCs w:val="24"/>
          <w:highlight w:val="none"/>
        </w:rPr>
        <w:t>。</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在试验过程中,</w:t>
      </w:r>
      <w:r>
        <w:rPr>
          <w:rFonts w:hint="eastAsia" w:hAnsi="宋体" w:cs="宋体"/>
          <w:color w:val="000000"/>
          <w:sz w:val="24"/>
          <w:szCs w:val="24"/>
          <w:highlight w:val="none"/>
          <w:lang w:val="en-US" w:eastAsia="zh-CN"/>
        </w:rPr>
        <w:t>投标方提供的驾驶人员</w:t>
      </w:r>
      <w:r>
        <w:rPr>
          <w:rFonts w:hint="eastAsia" w:ascii="宋体" w:hAnsi="宋体" w:cs="宋体"/>
          <w:color w:val="000000"/>
          <w:sz w:val="24"/>
          <w:szCs w:val="24"/>
          <w:highlight w:val="none"/>
        </w:rPr>
        <w:t>要自觉遵守道路安全法规,不得强行超车,不得影响其他车辆行驶,要确保试验车辆、仪器设备和人身安全,强化安全意识。</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cs="宋体"/>
          <w:color w:val="000000"/>
          <w:sz w:val="24"/>
          <w:szCs w:val="24"/>
          <w:highlight w:val="none"/>
        </w:rPr>
      </w:pPr>
      <w:r>
        <w:rPr>
          <w:rFonts w:hint="eastAsia" w:ascii="宋体" w:hAnsi="宋体" w:cs="宋体"/>
          <w:bCs/>
          <w:color w:val="000000"/>
          <w:sz w:val="24"/>
          <w:szCs w:val="24"/>
          <w:highlight w:val="none"/>
        </w:rPr>
        <w:t>在试验过程中，投标方提供的驾驶人员要保持良好的精神状态，严格执行试验规范的要求，在各种试验路段上要保持相应的车速，不得擅自更改试验路线和变更试验载核，认真填写试验记录，不得弄虚作假，出现违章行为自行负责。</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cs="宋体"/>
          <w:color w:val="000000"/>
          <w:sz w:val="24"/>
          <w:szCs w:val="24"/>
          <w:highlight w:val="none"/>
        </w:rPr>
      </w:pPr>
      <w:r>
        <w:rPr>
          <w:rFonts w:hint="eastAsia" w:hAnsi="宋体" w:cs="宋体"/>
          <w:color w:val="000000"/>
          <w:sz w:val="24"/>
          <w:szCs w:val="24"/>
          <w:highlight w:val="none"/>
          <w:lang w:val="en-US" w:eastAsia="zh-CN"/>
        </w:rPr>
        <w:t>投标方提供的驾驶人员</w:t>
      </w:r>
      <w:r>
        <w:rPr>
          <w:rFonts w:hint="eastAsia" w:ascii="宋体" w:hAnsi="宋体" w:cs="宋体"/>
          <w:color w:val="000000"/>
          <w:sz w:val="24"/>
          <w:szCs w:val="24"/>
          <w:highlight w:val="none"/>
        </w:rPr>
        <w:t>对试验车辆要严格按照操作规程，进行出车前，收车后的检查，对试验考核的零部件要重点巡检，发现问题要及时通报给试验员。</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cs="宋体"/>
          <w:color w:val="000000"/>
          <w:sz w:val="24"/>
          <w:szCs w:val="24"/>
          <w:highlight w:val="none"/>
        </w:rPr>
      </w:pPr>
      <w:r>
        <w:rPr>
          <w:rFonts w:hint="eastAsia" w:hAnsi="宋体" w:cs="宋体"/>
          <w:color w:val="000000"/>
          <w:sz w:val="24"/>
          <w:szCs w:val="24"/>
          <w:highlight w:val="none"/>
          <w:lang w:val="en-US" w:eastAsia="zh-CN"/>
        </w:rPr>
        <w:t>投标方提供的驾驶人员参与驾驶服务期间</w:t>
      </w:r>
      <w:r>
        <w:rPr>
          <w:rFonts w:hint="eastAsia" w:ascii="宋体" w:hAnsi="宋体" w:cs="宋体"/>
          <w:color w:val="000000"/>
          <w:sz w:val="24"/>
          <w:szCs w:val="24"/>
          <w:highlight w:val="none"/>
        </w:rPr>
        <w:t>严禁酗酒，打架斗殴，赌博等违纪行为。</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color w:val="000000"/>
          <w:sz w:val="24"/>
          <w:szCs w:val="24"/>
          <w:highlight w:val="none"/>
        </w:rPr>
      </w:pPr>
      <w:r>
        <w:rPr>
          <w:rFonts w:hint="eastAsia" w:hAnsi="宋体" w:cs="宋体"/>
          <w:color w:val="000000"/>
          <w:sz w:val="24"/>
          <w:szCs w:val="24"/>
          <w:highlight w:val="none"/>
        </w:rPr>
        <w:t>其他未约定项参照试验驾驶员管理办法</w:t>
      </w:r>
      <w:r>
        <w:rPr>
          <w:rFonts w:hint="eastAsia" w:hAnsi="宋体" w:cs="宋体"/>
          <w:color w:val="000000"/>
          <w:sz w:val="24"/>
          <w:szCs w:val="24"/>
          <w:highlight w:val="none"/>
          <w:lang w:val="en-US" w:eastAsia="zh-CN"/>
        </w:rPr>
        <w:t>JNATCB</w:t>
      </w:r>
      <w:r>
        <w:rPr>
          <w:rFonts w:hint="eastAsia" w:hAnsi="宋体" w:cs="宋体"/>
          <w:color w:val="000000"/>
          <w:sz w:val="24"/>
          <w:szCs w:val="24"/>
          <w:highlight w:val="none"/>
        </w:rPr>
        <w:t>0504A0-202</w:t>
      </w:r>
      <w:r>
        <w:rPr>
          <w:rFonts w:hint="eastAsia" w:hAnsi="宋体" w:cs="宋体"/>
          <w:color w:val="000000"/>
          <w:sz w:val="24"/>
          <w:szCs w:val="24"/>
          <w:highlight w:val="none"/>
          <w:lang w:val="en-US" w:eastAsia="zh-CN"/>
        </w:rPr>
        <w:t>4及最终版的合同内容</w:t>
      </w:r>
      <w:r>
        <w:rPr>
          <w:rFonts w:hint="eastAsia" w:hAnsi="宋体" w:cs="宋体"/>
          <w:color w:val="000000"/>
          <w:sz w:val="24"/>
          <w:szCs w:val="24"/>
          <w:highlight w:val="none"/>
        </w:rPr>
        <w:t>执行。</w:t>
      </w:r>
    </w:p>
    <w:p>
      <w:pPr>
        <w:pStyle w:val="16"/>
        <w:rPr>
          <w:rFonts w:hint="eastAsia" w:ascii="宋体" w:hAnsi="宋体" w:eastAsia="宋体" w:cs="宋体"/>
        </w:rPr>
      </w:pPr>
      <w:r>
        <w:rPr>
          <w:rFonts w:hint="eastAsia" w:ascii="宋体" w:hAnsi="宋体" w:eastAsia="宋体" w:cs="宋体"/>
        </w:rPr>
        <w:t>三、技术要求</w:t>
      </w:r>
      <w:bookmarkEnd w:id="4"/>
      <w:bookmarkEnd w:id="5"/>
      <w:bookmarkEnd w:id="6"/>
      <w:bookmarkEnd w:id="7"/>
      <w:bookmarkEnd w:id="8"/>
      <w:bookmarkEnd w:id="9"/>
    </w:p>
    <w:p>
      <w:pPr>
        <w:pStyle w:val="16"/>
        <w:keepNext/>
        <w:keepLines/>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投标方中标后需根据招标方出具的试验驾驶员管理办法JNATCB0504A0-2024中具体要求，组织多提供的驾驶员进行理论测评、实操测评和主观测评在内的场地准驾测评项目评定，通过后方可上岗，实操测评办法如下：</w:t>
      </w:r>
    </w:p>
    <w:p>
      <w:pPr>
        <w:pStyle w:val="7"/>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根据可开展试验项目的范围，试验驾驶资格等级划分为Ⅰ、Ⅱ、Ⅲ,共三级，初次报考可直接申请Ⅱ或Ⅰ等级，报考Ⅲ等级准驾需先取得Ⅱ等级准驾资格；人员获取准驾资格后，仅允许驾驶与所持中华人民共和国机动车驾驶证准驾车型相符的试验车辆。</w:t>
      </w:r>
    </w:p>
    <w:p>
      <w:pPr>
        <w:spacing w:line="360" w:lineRule="auto"/>
        <w:ind w:firstLine="480" w:firstLineChars="200"/>
        <w:jc w:val="left"/>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试验驾驶资格对应的资格权限如下表：</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4"/>
          <w:szCs w:val="24"/>
          <w:lang w:val="en-US" w:eastAsia="zh-CN"/>
        </w:rPr>
      </w:pPr>
      <w:r>
        <w:rPr>
          <w:rFonts w:hint="eastAsia"/>
          <w:sz w:val="24"/>
          <w:szCs w:val="24"/>
          <w:lang w:val="en-US" w:eastAsia="zh-CN"/>
        </w:rPr>
        <w:t>试验驾驶资格等级对应表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spacing w:line="480" w:lineRule="auto"/>
              <w:ind w:left="0" w:leftChars="0" w:firstLine="0" w:firstLineChars="0"/>
              <w:jc w:val="center"/>
              <w:rPr>
                <w:rFonts w:hint="eastAsia" w:ascii="仿宋" w:hAnsi="仿宋" w:eastAsia="仿宋" w:cs="仿宋"/>
                <w:b/>
                <w:bCs/>
                <w:sz w:val="21"/>
                <w:szCs w:val="21"/>
                <w:highlight w:val="none"/>
                <w:vertAlign w:val="baseline"/>
                <w:lang w:val="en-US" w:eastAsia="zh-CN"/>
              </w:rPr>
            </w:pPr>
            <w:r>
              <w:rPr>
                <w:rFonts w:hint="eastAsia" w:ascii="仿宋" w:hAnsi="仿宋" w:cs="仿宋"/>
                <w:b/>
                <w:bCs/>
                <w:sz w:val="21"/>
                <w:szCs w:val="21"/>
                <w:highlight w:val="none"/>
                <w:vertAlign w:val="baseline"/>
                <w:lang w:val="en-US" w:eastAsia="zh-CN"/>
              </w:rPr>
              <w:t>试验驾驶资格等级</w:t>
            </w:r>
          </w:p>
        </w:tc>
        <w:tc>
          <w:tcPr>
            <w:tcW w:w="2130" w:type="dxa"/>
            <w:vAlign w:val="center"/>
          </w:tcPr>
          <w:p>
            <w:pPr>
              <w:spacing w:line="480" w:lineRule="auto"/>
              <w:ind w:left="0" w:leftChars="0" w:firstLine="0" w:firstLineChars="0"/>
              <w:jc w:val="center"/>
              <w:rPr>
                <w:rFonts w:hint="eastAsia" w:ascii="仿宋" w:hAnsi="仿宋" w:eastAsia="仿宋" w:cs="仿宋"/>
                <w:b/>
                <w:bCs/>
                <w:sz w:val="21"/>
                <w:szCs w:val="21"/>
                <w:highlight w:val="none"/>
                <w:vertAlign w:val="baseline"/>
                <w:lang w:val="en-US" w:eastAsia="zh-CN"/>
              </w:rPr>
            </w:pPr>
            <w:r>
              <w:rPr>
                <w:rFonts w:hint="eastAsia" w:ascii="仿宋" w:hAnsi="仿宋" w:eastAsia="仿宋" w:cs="仿宋"/>
                <w:b/>
                <w:bCs/>
                <w:sz w:val="21"/>
                <w:szCs w:val="21"/>
                <w:highlight w:val="none"/>
                <w:vertAlign w:val="baseline"/>
                <w:lang w:val="en-US" w:eastAsia="zh-CN"/>
              </w:rPr>
              <w:t>Ⅰ</w:t>
            </w:r>
          </w:p>
        </w:tc>
        <w:tc>
          <w:tcPr>
            <w:tcW w:w="2131" w:type="dxa"/>
            <w:vAlign w:val="center"/>
          </w:tcPr>
          <w:p>
            <w:pPr>
              <w:spacing w:line="480" w:lineRule="auto"/>
              <w:ind w:left="0" w:leftChars="0" w:firstLine="0" w:firstLineChars="0"/>
              <w:jc w:val="center"/>
              <w:rPr>
                <w:rFonts w:hint="eastAsia" w:ascii="仿宋" w:hAnsi="仿宋" w:eastAsia="仿宋" w:cs="仿宋"/>
                <w:b/>
                <w:bCs/>
                <w:sz w:val="21"/>
                <w:szCs w:val="21"/>
                <w:highlight w:val="none"/>
                <w:vertAlign w:val="baseline"/>
                <w:lang w:val="en-US" w:eastAsia="zh-CN"/>
              </w:rPr>
            </w:pPr>
            <w:r>
              <w:rPr>
                <w:rFonts w:hint="eastAsia" w:ascii="仿宋" w:hAnsi="仿宋" w:eastAsia="仿宋" w:cs="仿宋"/>
                <w:b/>
                <w:bCs/>
                <w:sz w:val="21"/>
                <w:szCs w:val="21"/>
                <w:highlight w:val="none"/>
                <w:vertAlign w:val="baseline"/>
                <w:lang w:val="en-US" w:eastAsia="zh-CN"/>
              </w:rPr>
              <w:t>Ⅱ</w:t>
            </w:r>
          </w:p>
        </w:tc>
        <w:tc>
          <w:tcPr>
            <w:tcW w:w="2131" w:type="dxa"/>
            <w:vAlign w:val="center"/>
          </w:tcPr>
          <w:p>
            <w:pPr>
              <w:spacing w:line="480" w:lineRule="auto"/>
              <w:ind w:left="0" w:leftChars="0" w:firstLine="0" w:firstLineChars="0"/>
              <w:jc w:val="center"/>
              <w:rPr>
                <w:rFonts w:hint="eastAsia" w:ascii="仿宋" w:hAnsi="仿宋" w:eastAsia="仿宋" w:cs="仿宋"/>
                <w:b/>
                <w:bCs/>
                <w:sz w:val="21"/>
                <w:szCs w:val="21"/>
                <w:highlight w:val="none"/>
                <w:vertAlign w:val="baseline"/>
                <w:lang w:val="en-US" w:eastAsia="zh-CN"/>
              </w:rPr>
            </w:pPr>
            <w:r>
              <w:rPr>
                <w:rFonts w:hint="eastAsia" w:ascii="仿宋" w:hAnsi="仿宋" w:eastAsia="仿宋" w:cs="仿宋"/>
                <w:b/>
                <w:bCs/>
                <w:sz w:val="21"/>
                <w:szCs w:val="21"/>
                <w:highlight w:val="none"/>
                <w:vertAlign w:val="baseline"/>
                <w:lang w:val="en-US" w:eastAsia="zh-CN"/>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场内联络路</w:t>
            </w:r>
          </w:p>
        </w:tc>
        <w:tc>
          <w:tcPr>
            <w:tcW w:w="2130" w:type="dxa"/>
            <w:vAlign w:val="center"/>
          </w:tcPr>
          <w:p>
            <w:pPr>
              <w:spacing w:line="480" w:lineRule="auto"/>
              <w:ind w:left="0" w:leftChars="0" w:firstLine="0" w:firstLineChars="0"/>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可靠性试验（强化路）</w:t>
            </w:r>
          </w:p>
        </w:tc>
        <w:tc>
          <w:tcPr>
            <w:tcW w:w="2130" w:type="dxa"/>
            <w:vAlign w:val="center"/>
          </w:tcPr>
          <w:p>
            <w:pPr>
              <w:spacing w:line="480" w:lineRule="auto"/>
              <w:ind w:left="0" w:leftChars="0" w:firstLine="0" w:firstLineChars="0"/>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spacing w:line="480" w:lineRule="auto"/>
              <w:ind w:left="0" w:leftChars="0" w:firstLine="0" w:firstLineChars="0"/>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可靠性试验（高环）</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耐久性试验</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参数测量试验</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kern w:val="2"/>
                <w:sz w:val="21"/>
                <w:szCs w:val="21"/>
                <w:highlight w:val="none"/>
                <w:vertAlign w:val="baseline"/>
                <w:lang w:val="en-US" w:eastAsia="zh-CN" w:bidi="ar-SA"/>
              </w:rPr>
              <w:t>NVH试验</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动力性</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经济性</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keepNext w:val="0"/>
              <w:keepLines w:val="0"/>
              <w:widowControl/>
              <w:suppressLineNumbers w:val="0"/>
              <w:spacing w:line="480" w:lineRule="auto"/>
              <w:ind w:left="0" w:leftChars="0" w:firstLine="0" w:firstLineChars="0"/>
              <w:jc w:val="center"/>
              <w:textAlignment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0型制动</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keepNext w:val="0"/>
              <w:keepLines w:val="0"/>
              <w:widowControl/>
              <w:suppressLineNumbers w:val="0"/>
              <w:spacing w:line="480" w:lineRule="auto"/>
              <w:ind w:left="0" w:leftChars="0" w:firstLine="0" w:firstLineChars="0"/>
              <w:jc w:val="center"/>
              <w:textAlignment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Ⅰ型制动</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keepNext w:val="0"/>
              <w:keepLines w:val="0"/>
              <w:widowControl/>
              <w:suppressLineNumbers w:val="0"/>
              <w:spacing w:line="480" w:lineRule="auto"/>
              <w:ind w:left="0" w:leftChars="0" w:firstLine="0" w:firstLineChars="0"/>
              <w:jc w:val="center"/>
              <w:textAlignment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Ⅱ型制动</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tabs>
                <w:tab w:val="left" w:pos="920"/>
                <w:tab w:val="center" w:pos="1207"/>
              </w:tabs>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keepNext w:val="0"/>
              <w:keepLines w:val="0"/>
              <w:widowControl/>
              <w:suppressLineNumbers w:val="0"/>
              <w:spacing w:line="480" w:lineRule="auto"/>
              <w:ind w:left="0" w:leftChars="0" w:firstLine="0" w:firstLineChars="0"/>
              <w:jc w:val="center"/>
              <w:textAlignment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驻车制动</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keepNext w:val="0"/>
              <w:keepLines w:val="0"/>
              <w:widowControl/>
              <w:suppressLineNumbers w:val="0"/>
              <w:spacing w:line="480" w:lineRule="auto"/>
              <w:ind w:left="0" w:leftChars="0" w:firstLine="0" w:firstLineChars="0"/>
              <w:jc w:val="center"/>
              <w:textAlignment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应急制动</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kern w:val="2"/>
                <w:sz w:val="21"/>
                <w:szCs w:val="21"/>
                <w:highlight w:val="none"/>
                <w:vertAlign w:val="baseline"/>
                <w:lang w:val="en-US" w:eastAsia="zh-CN" w:bidi="ar-SA"/>
              </w:rPr>
              <w:t>滑行距离测试</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行驶阻力系数测定</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keepNext w:val="0"/>
              <w:keepLines w:val="0"/>
              <w:widowControl/>
              <w:suppressLineNumbers w:val="0"/>
              <w:spacing w:line="480" w:lineRule="auto"/>
              <w:ind w:left="0" w:leftChars="0" w:firstLine="0" w:firstLineChars="0"/>
              <w:jc w:val="center"/>
              <w:textAlignment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i w:val="0"/>
                <w:iCs w:val="0"/>
                <w:color w:val="000000"/>
                <w:kern w:val="0"/>
                <w:sz w:val="21"/>
                <w:szCs w:val="21"/>
                <w:highlight w:val="none"/>
                <w:u w:val="none"/>
                <w:lang w:val="en-US" w:eastAsia="zh-CN" w:bidi="ar"/>
              </w:rPr>
              <w:t>ACC自适应巡航</w:t>
            </w:r>
          </w:p>
        </w:tc>
        <w:tc>
          <w:tcPr>
            <w:tcW w:w="2130" w:type="dxa"/>
            <w:vAlign w:val="center"/>
          </w:tcPr>
          <w:p>
            <w:pPr>
              <w:spacing w:line="480" w:lineRule="auto"/>
              <w:ind w:left="0" w:leftChars="0" w:firstLine="0" w:firstLineChars="0"/>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keepNext w:val="0"/>
              <w:keepLines w:val="0"/>
              <w:widowControl/>
              <w:suppressLineNumbers w:val="0"/>
              <w:spacing w:line="480" w:lineRule="auto"/>
              <w:ind w:left="0" w:leftChars="0" w:firstLine="0" w:firstLineChars="0"/>
              <w:jc w:val="center"/>
              <w:textAlignment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LDW车道偏离预警</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keepNext w:val="0"/>
              <w:keepLines w:val="0"/>
              <w:widowControl/>
              <w:suppressLineNumbers w:val="0"/>
              <w:spacing w:line="480" w:lineRule="auto"/>
              <w:ind w:left="0" w:leftChars="0" w:firstLine="0" w:firstLineChars="0"/>
              <w:jc w:val="center"/>
              <w:textAlignment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LKA车道保持</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keepNext w:val="0"/>
              <w:keepLines w:val="0"/>
              <w:widowControl/>
              <w:suppressLineNumbers w:val="0"/>
              <w:spacing w:line="480" w:lineRule="auto"/>
              <w:ind w:left="0" w:leftChars="0" w:firstLine="0" w:firstLineChars="0"/>
              <w:jc w:val="center"/>
              <w:textAlignment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FCW前碰预警</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keepNext w:val="0"/>
              <w:keepLines w:val="0"/>
              <w:widowControl/>
              <w:suppressLineNumbers w:val="0"/>
              <w:spacing w:line="480" w:lineRule="auto"/>
              <w:ind w:left="0" w:leftChars="0" w:firstLine="0" w:firstLineChars="0"/>
              <w:jc w:val="center"/>
              <w:textAlignment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AEB自动紧急制动</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spacing w:line="480" w:lineRule="auto"/>
              <w:ind w:left="0" w:leftChars="0" w:firstLine="0" w:firstLineChars="0"/>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操稳试验</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ADAS</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ESC</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ABS制动</w:t>
            </w:r>
          </w:p>
        </w:tc>
        <w:tc>
          <w:tcPr>
            <w:tcW w:w="2130"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c>
          <w:tcPr>
            <w:tcW w:w="2131" w:type="dxa"/>
            <w:vAlign w:val="center"/>
          </w:tcPr>
          <w:p>
            <w:pPr>
              <w:spacing w:line="480" w:lineRule="auto"/>
              <w:ind w:left="0" w:leftChars="0" w:firstLine="0" w:firstLineChars="0"/>
              <w:jc w:val="center"/>
              <w:rPr>
                <w:rFonts w:hint="eastAsia" w:ascii="仿宋" w:hAnsi="仿宋" w:eastAsia="仿宋" w:cs="仿宋"/>
                <w:kern w:val="2"/>
                <w:sz w:val="21"/>
                <w:szCs w:val="21"/>
                <w:highlight w:val="none"/>
                <w:vertAlign w:val="baseline"/>
                <w:lang w:val="en-US" w:eastAsia="zh-CN" w:bidi="ar-SA"/>
              </w:rPr>
            </w:pPr>
            <w:r>
              <w:rPr>
                <w:rFonts w:hint="eastAsia" w:ascii="仿宋" w:hAnsi="仿宋" w:eastAsia="仿宋" w:cs="仿宋"/>
                <w:sz w:val="21"/>
                <w:szCs w:val="21"/>
                <w:highlight w:val="none"/>
                <w:vertAlign w:val="baseline"/>
                <w:lang w:val="en-US" w:eastAsia="zh-CN"/>
              </w:rPr>
              <w:t>√</w:t>
            </w:r>
          </w:p>
        </w:tc>
      </w:tr>
    </w:tbl>
    <w:p>
      <w:pPr>
        <w:pStyle w:val="7"/>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highlight w:val="none"/>
          <w:lang w:val="en-US" w:eastAsia="zh-CN"/>
        </w:rPr>
        <w:sectPr>
          <w:headerReference r:id="rId3" w:type="default"/>
          <w:footerReference r:id="rId4" w:type="default"/>
          <w:pgSz w:w="11906" w:h="16838"/>
          <w:pgMar w:top="1588" w:right="1418" w:bottom="1134" w:left="1418" w:header="851" w:footer="992" w:gutter="0"/>
          <w:pgNumType w:fmt="numberInDash"/>
          <w:cols w:space="720" w:num="1"/>
          <w:docGrid w:type="lines" w:linePitch="312" w:charSpace="0"/>
        </w:sectPr>
      </w:pPr>
      <w:r>
        <w:rPr>
          <w:rFonts w:hint="eastAsia" w:ascii="宋体" w:hAnsi="宋体" w:cs="宋体"/>
          <w:color w:val="000000"/>
          <w:sz w:val="24"/>
          <w:szCs w:val="24"/>
          <w:highlight w:val="none"/>
        </w:rPr>
        <w:t>领取对应等级准入资格</w:t>
      </w:r>
      <w:r>
        <w:rPr>
          <w:rFonts w:hint="eastAsia" w:hAnsi="宋体" w:cs="宋体"/>
          <w:color w:val="000000"/>
          <w:sz w:val="24"/>
          <w:szCs w:val="24"/>
          <w:highlight w:val="none"/>
          <w:lang w:val="en-US" w:eastAsia="zh-CN"/>
        </w:rPr>
        <w:t>并完成材料初审后进行驾驶能力综合评价考试，</w:t>
      </w:r>
      <w:r>
        <w:rPr>
          <w:rFonts w:hint="eastAsia"/>
          <w:sz w:val="24"/>
          <w:szCs w:val="24"/>
          <w:highlight w:val="none"/>
          <w:lang w:val="en-US" w:eastAsia="zh-CN"/>
        </w:rPr>
        <w:t>包含理论测评、实操测评和主观测评，其中实操测评各测评项目均达到评判标准的即为实操通过，测评项目存在1项或多项未达到评判标准的为实操未通过。</w:t>
      </w:r>
    </w:p>
    <w:p>
      <w:pPr>
        <w:pStyle w:val="7"/>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highlight w:val="none"/>
          <w:u w:val="none"/>
          <w:lang w:val="en-US" w:eastAsia="zh-CN"/>
        </w:rPr>
      </w:pPr>
      <w:r>
        <w:rPr>
          <w:rFonts w:hint="eastAsia" w:hAnsi="宋体" w:cs="宋体"/>
          <w:color w:val="000000"/>
          <w:sz w:val="24"/>
          <w:szCs w:val="24"/>
          <w:highlight w:val="none"/>
          <w:u w:val="none"/>
          <w:lang w:val="en-US" w:eastAsia="zh-CN"/>
        </w:rPr>
        <w:t>实操测评项目与细则</w:t>
      </w:r>
    </w:p>
    <w:tbl>
      <w:tblPr>
        <w:tblStyle w:val="21"/>
        <w:tblW w:w="147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72"/>
        <w:gridCol w:w="3654"/>
        <w:gridCol w:w="3670"/>
        <w:gridCol w:w="53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jc w:val="center"/>
        </w:trPr>
        <w:tc>
          <w:tcPr>
            <w:tcW w:w="207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b/>
                <w:bCs/>
                <w:sz w:val="32"/>
                <w:szCs w:val="32"/>
                <w:highlight w:val="none"/>
                <w:lang w:val="en-US" w:eastAsia="zh-CN"/>
              </w:rPr>
            </w:pPr>
            <w:r>
              <w:rPr>
                <w:rFonts w:ascii="仿宋" w:hAnsi="仿宋" w:eastAsia="仿宋" w:cs="仿宋"/>
                <w:b/>
                <w:bCs/>
                <w:color w:val="000000"/>
                <w:sz w:val="22"/>
                <w:szCs w:val="22"/>
              </w:rPr>
              <w:t>试验驾驶资格等级</w:t>
            </w: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b/>
                <w:bCs/>
                <w:sz w:val="32"/>
                <w:szCs w:val="32"/>
                <w:highlight w:val="none"/>
                <w:lang w:val="en-US"/>
              </w:rPr>
            </w:pPr>
            <w:r>
              <w:rPr>
                <w:rFonts w:hint="eastAsia" w:ascii="仿宋" w:hAnsi="仿宋" w:eastAsia="仿宋" w:cs="仿宋"/>
                <w:b/>
                <w:bCs/>
                <w:color w:val="000000"/>
                <w:sz w:val="22"/>
                <w:szCs w:val="22"/>
              </w:rPr>
              <w:t>测评项目</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b/>
                <w:bCs/>
                <w:sz w:val="32"/>
                <w:szCs w:val="32"/>
                <w:highlight w:val="none"/>
                <w:lang w:val="en-US"/>
              </w:rPr>
            </w:pPr>
            <w:r>
              <w:rPr>
                <w:rFonts w:hint="eastAsia" w:ascii="仿宋" w:hAnsi="仿宋" w:eastAsia="仿宋" w:cs="仿宋"/>
                <w:b/>
                <w:bCs/>
                <w:color w:val="000000"/>
                <w:sz w:val="22"/>
                <w:szCs w:val="22"/>
              </w:rPr>
              <w:t>测评车型</w:t>
            </w:r>
          </w:p>
        </w:tc>
        <w:tc>
          <w:tcPr>
            <w:tcW w:w="5342" w:type="dxa"/>
            <w:vAlign w:val="center"/>
          </w:tcPr>
          <w:p>
            <w:pPr>
              <w:pStyle w:val="10"/>
              <w:keepNext w:val="0"/>
              <w:keepLines w:val="0"/>
              <w:widowControl/>
              <w:suppressLineNumbers w:val="0"/>
              <w:ind w:left="0" w:leftChars="0" w:right="0" w:rightChars="0" w:firstLine="440" w:firstLineChars="200"/>
              <w:jc w:val="center"/>
              <w:rPr>
                <w:rFonts w:hint="default" w:ascii="仿宋" w:hAnsi="仿宋" w:eastAsia="仿宋" w:cs="仿宋"/>
                <w:b/>
                <w:bCs/>
                <w:sz w:val="32"/>
                <w:szCs w:val="32"/>
                <w:highlight w:val="none"/>
                <w:lang w:val="en-US"/>
              </w:rPr>
            </w:pPr>
            <w:r>
              <w:rPr>
                <w:rFonts w:hint="eastAsia" w:ascii="仿宋" w:hAnsi="仿宋" w:eastAsia="仿宋" w:cs="仿宋"/>
                <w:b/>
                <w:bCs/>
                <w:color w:val="000000"/>
                <w:sz w:val="22"/>
                <w:szCs w:val="22"/>
              </w:rPr>
              <w:t>合格判定标准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2072" w:type="dxa"/>
            <w:vMerge w:val="restart"/>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b/>
                <w:bCs/>
                <w:sz w:val="21"/>
                <w:szCs w:val="21"/>
                <w:highlight w:val="none"/>
                <w:lang w:val="en-US" w:eastAsia="zh-CN"/>
              </w:rPr>
            </w:pPr>
            <w:r>
              <w:rPr>
                <w:rFonts w:hint="eastAsia" w:ascii="仿宋" w:hAnsi="仿宋" w:eastAsia="仿宋" w:cs="仿宋"/>
                <w:b/>
                <w:bCs/>
                <w:color w:val="000000"/>
                <w:sz w:val="20"/>
                <w:szCs w:val="20"/>
              </w:rPr>
              <w:t>Ⅰ</w:t>
            </w: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eastAsia="zh-CN"/>
              </w:rPr>
            </w:pPr>
            <w:r>
              <w:rPr>
                <w:rFonts w:hint="eastAsia" w:ascii="仿宋" w:hAnsi="仿宋" w:eastAsia="仿宋" w:cs="仿宋"/>
                <w:color w:val="000000"/>
                <w:sz w:val="20"/>
                <w:szCs w:val="20"/>
              </w:rPr>
              <w:t>(1)倒车入库（正库）</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商用车</w:t>
            </w:r>
          </w:p>
        </w:tc>
        <w:tc>
          <w:tcPr>
            <w:tcW w:w="534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不触碰任何锥桩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jc w:val="center"/>
        </w:trPr>
        <w:tc>
          <w:tcPr>
            <w:tcW w:w="2072" w:type="dxa"/>
            <w:vMerge w:val="continue"/>
            <w:vAlign w:val="center"/>
          </w:tcPr>
          <w:p>
            <w:pPr>
              <w:jc w:val="center"/>
              <w:rPr>
                <w:rFonts w:hint="default" w:ascii="仿宋" w:hAnsi="仿宋" w:eastAsia="仿宋" w:cs="仿宋"/>
                <w:b/>
                <w:bCs/>
                <w:sz w:val="21"/>
                <w:szCs w:val="21"/>
                <w:highlight w:val="none"/>
                <w:lang w:val="en-US"/>
              </w:rPr>
            </w:pP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yellow"/>
                <w:lang w:val="en-US"/>
              </w:rPr>
            </w:pPr>
            <w:r>
              <w:rPr>
                <w:rFonts w:hint="eastAsia" w:ascii="仿宋" w:hAnsi="仿宋" w:eastAsia="仿宋" w:cs="仿宋"/>
                <w:color w:val="000000"/>
                <w:sz w:val="20"/>
                <w:szCs w:val="20"/>
              </w:rPr>
              <w:t>(2)15米等距绕桩初级测评</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yellow"/>
                <w:lang w:val="en-US"/>
              </w:rPr>
            </w:pPr>
            <w:r>
              <w:rPr>
                <w:rFonts w:hint="eastAsia" w:ascii="仿宋" w:hAnsi="仿宋" w:eastAsia="仿宋" w:cs="仿宋"/>
                <w:color w:val="000000"/>
                <w:sz w:val="20"/>
                <w:szCs w:val="20"/>
              </w:rPr>
              <w:t>乘用车</w:t>
            </w:r>
          </w:p>
        </w:tc>
        <w:tc>
          <w:tcPr>
            <w:tcW w:w="534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yellow"/>
                <w:lang w:val="en-US" w:eastAsia="zh-CN"/>
              </w:rPr>
            </w:pPr>
            <w:r>
              <w:rPr>
                <w:rFonts w:hint="eastAsia" w:ascii="仿宋" w:hAnsi="仿宋" w:eastAsia="仿宋" w:cs="仿宋"/>
                <w:color w:val="000000"/>
                <w:sz w:val="20"/>
                <w:szCs w:val="20"/>
              </w:rPr>
              <w:t>设置6个桩，从桩1出发，绕桩行驶至桩6后调头绕桩返回至桩1，转向准确，节奏均匀，不碰桩且时间不高于3</w:t>
            </w:r>
            <w:r>
              <w:rPr>
                <w:rFonts w:hint="eastAsia" w:ascii="仿宋" w:hAnsi="仿宋" w:cs="仿宋"/>
                <w:color w:val="000000"/>
                <w:sz w:val="20"/>
                <w:szCs w:val="20"/>
                <w:lang w:val="en-US" w:eastAsia="zh-CN"/>
              </w:rPr>
              <w:t>5</w:t>
            </w:r>
            <w:r>
              <w:rPr>
                <w:rFonts w:hint="eastAsia" w:ascii="仿宋" w:hAnsi="仿宋" w:eastAsia="仿宋" w:cs="仿宋"/>
                <w:color w:val="000000"/>
                <w:sz w:val="20"/>
                <w:szCs w:val="20"/>
              </w:rPr>
              <w:t>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2072" w:type="dxa"/>
            <w:vMerge w:val="restart"/>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b/>
                <w:bCs/>
                <w:sz w:val="21"/>
                <w:szCs w:val="21"/>
                <w:highlight w:val="none"/>
                <w:lang w:val="en-US" w:eastAsia="zh-CN"/>
              </w:rPr>
            </w:pPr>
            <w:r>
              <w:rPr>
                <w:rFonts w:hint="eastAsia" w:ascii="仿宋" w:hAnsi="仿宋" w:eastAsia="仿宋" w:cs="仿宋"/>
                <w:b/>
                <w:bCs/>
                <w:color w:val="000000"/>
                <w:sz w:val="20"/>
                <w:szCs w:val="20"/>
              </w:rPr>
              <w:t>Ⅱ</w:t>
            </w: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(1)倒车入库（反库）</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kern w:val="2"/>
                <w:sz w:val="21"/>
                <w:szCs w:val="21"/>
                <w:highlight w:val="none"/>
                <w:lang w:val="en-US" w:eastAsia="zh-CN" w:bidi="ar-SA"/>
              </w:rPr>
            </w:pPr>
            <w:r>
              <w:rPr>
                <w:rFonts w:hint="eastAsia" w:ascii="仿宋" w:hAnsi="仿宋" w:eastAsia="仿宋" w:cs="仿宋"/>
                <w:color w:val="000000"/>
                <w:sz w:val="20"/>
                <w:szCs w:val="20"/>
              </w:rPr>
              <w:t>商用车</w:t>
            </w:r>
          </w:p>
        </w:tc>
        <w:tc>
          <w:tcPr>
            <w:tcW w:w="534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kern w:val="2"/>
                <w:sz w:val="21"/>
                <w:szCs w:val="21"/>
                <w:highlight w:val="none"/>
                <w:lang w:val="en-US" w:eastAsia="zh-CN" w:bidi="ar-SA"/>
              </w:rPr>
            </w:pPr>
            <w:r>
              <w:rPr>
                <w:rFonts w:hint="eastAsia" w:ascii="仿宋" w:hAnsi="仿宋" w:eastAsia="仿宋" w:cs="仿宋"/>
                <w:color w:val="000000"/>
                <w:sz w:val="20"/>
                <w:szCs w:val="20"/>
              </w:rPr>
              <w:t>不触碰任何锥桩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2072" w:type="dxa"/>
            <w:vMerge w:val="continue"/>
            <w:vAlign w:val="center"/>
          </w:tcPr>
          <w:p>
            <w:pPr>
              <w:jc w:val="center"/>
              <w:rPr>
                <w:rFonts w:hint="default" w:ascii="仿宋" w:hAnsi="仿宋" w:eastAsia="仿宋" w:cs="仿宋"/>
                <w:b/>
                <w:bCs/>
                <w:sz w:val="21"/>
                <w:szCs w:val="21"/>
                <w:highlight w:val="none"/>
                <w:lang w:val="en-US" w:eastAsia="zh-CN"/>
              </w:rPr>
            </w:pP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(2)有ABS制动避障测评</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乘用车</w:t>
            </w:r>
          </w:p>
        </w:tc>
        <w:tc>
          <w:tcPr>
            <w:tcW w:w="534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eastAsia="zh-CN"/>
              </w:rPr>
            </w:pPr>
            <w:r>
              <w:rPr>
                <w:rFonts w:hint="eastAsia" w:ascii="仿宋" w:hAnsi="仿宋" w:eastAsia="仿宋" w:cs="仿宋"/>
                <w:color w:val="000000"/>
                <w:sz w:val="20"/>
                <w:szCs w:val="20"/>
              </w:rPr>
              <w:t>车辆到达制动点时车速不低于120KPH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2072" w:type="dxa"/>
            <w:vMerge w:val="continue"/>
            <w:vAlign w:val="center"/>
          </w:tcPr>
          <w:p>
            <w:pPr>
              <w:jc w:val="center"/>
              <w:rPr>
                <w:rFonts w:hint="default" w:ascii="仿宋" w:hAnsi="仿宋" w:eastAsia="仿宋" w:cs="仿宋"/>
                <w:b/>
                <w:bCs/>
                <w:sz w:val="21"/>
                <w:szCs w:val="21"/>
                <w:highlight w:val="none"/>
                <w:lang w:val="en-US"/>
              </w:rPr>
            </w:pP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(3)无ABS制动避障测评</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乘用车</w:t>
            </w:r>
          </w:p>
        </w:tc>
        <w:tc>
          <w:tcPr>
            <w:tcW w:w="534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车辆到达制动点时车速不低于80KPH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jc w:val="center"/>
        </w:trPr>
        <w:tc>
          <w:tcPr>
            <w:tcW w:w="2072" w:type="dxa"/>
            <w:vMerge w:val="continue"/>
            <w:vAlign w:val="center"/>
          </w:tcPr>
          <w:p>
            <w:pPr>
              <w:jc w:val="center"/>
              <w:rPr>
                <w:rFonts w:hint="default" w:ascii="仿宋" w:hAnsi="仿宋" w:eastAsia="仿宋" w:cs="仿宋"/>
                <w:b/>
                <w:bCs/>
                <w:sz w:val="21"/>
                <w:szCs w:val="21"/>
                <w:highlight w:val="none"/>
                <w:lang w:val="en-US"/>
              </w:rPr>
            </w:pP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yellow"/>
                <w:lang w:val="en-US"/>
              </w:rPr>
            </w:pPr>
            <w:r>
              <w:rPr>
                <w:rFonts w:hint="eastAsia" w:ascii="仿宋" w:hAnsi="仿宋" w:eastAsia="仿宋" w:cs="仿宋"/>
                <w:color w:val="000000"/>
                <w:sz w:val="20"/>
                <w:szCs w:val="20"/>
              </w:rPr>
              <w:t>(4)15米等距绕桩测评</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yellow"/>
                <w:lang w:val="en-US"/>
              </w:rPr>
            </w:pPr>
            <w:r>
              <w:rPr>
                <w:rFonts w:hint="eastAsia" w:ascii="仿宋" w:hAnsi="仿宋" w:eastAsia="仿宋" w:cs="仿宋"/>
                <w:color w:val="000000"/>
                <w:sz w:val="20"/>
                <w:szCs w:val="20"/>
              </w:rPr>
              <w:t>商用车</w:t>
            </w:r>
          </w:p>
        </w:tc>
        <w:tc>
          <w:tcPr>
            <w:tcW w:w="534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yellow"/>
                <w:lang w:val="en-US"/>
              </w:rPr>
            </w:pPr>
            <w:r>
              <w:rPr>
                <w:rFonts w:hint="eastAsia" w:ascii="仿宋" w:hAnsi="仿宋" w:eastAsia="仿宋" w:cs="仿宋"/>
                <w:color w:val="000000"/>
                <w:sz w:val="20"/>
                <w:szCs w:val="20"/>
              </w:rPr>
              <w:t>设置6个桩，从桩1出发，绕桩行驶至桩6，时间不高于50s,且不触碰任何锥桩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2072" w:type="dxa"/>
            <w:vMerge w:val="continue"/>
            <w:vAlign w:val="center"/>
          </w:tcPr>
          <w:p>
            <w:pPr>
              <w:jc w:val="center"/>
              <w:rPr>
                <w:rFonts w:hint="default" w:ascii="仿宋" w:hAnsi="仿宋" w:eastAsia="仿宋" w:cs="仿宋"/>
                <w:b/>
                <w:bCs/>
                <w:sz w:val="21"/>
                <w:szCs w:val="21"/>
                <w:highlight w:val="none"/>
                <w:lang w:val="en-US"/>
              </w:rPr>
            </w:pP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(5)60KPH避让测评</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乘用车</w:t>
            </w:r>
          </w:p>
        </w:tc>
        <w:tc>
          <w:tcPr>
            <w:tcW w:w="534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车辆避让时速度不低60KPH,且不触碰任何锥桩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2072" w:type="dxa"/>
            <w:vMerge w:val="continue"/>
            <w:vAlign w:val="center"/>
          </w:tcPr>
          <w:p>
            <w:pPr>
              <w:jc w:val="center"/>
              <w:rPr>
                <w:rFonts w:hint="default" w:ascii="仿宋" w:hAnsi="仿宋" w:eastAsia="仿宋" w:cs="仿宋"/>
                <w:b/>
                <w:bCs/>
                <w:sz w:val="21"/>
                <w:szCs w:val="21"/>
                <w:highlight w:val="none"/>
                <w:lang w:val="en-US"/>
              </w:rPr>
            </w:pP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(6)高速环道稳速驾驶初级测评</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商用车</w:t>
            </w:r>
          </w:p>
        </w:tc>
        <w:tc>
          <w:tcPr>
            <w:tcW w:w="534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eastAsia="zh-CN"/>
              </w:rPr>
            </w:pPr>
            <w:r>
              <w:rPr>
                <w:rFonts w:hint="eastAsia" w:ascii="仿宋" w:hAnsi="仿宋" w:eastAsia="仿宋" w:cs="仿宋"/>
                <w:color w:val="000000"/>
                <w:sz w:val="20"/>
                <w:szCs w:val="20"/>
              </w:rPr>
              <w:t>100KPH稳速行驶5Km，稳速偏差不得超过±5KPH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2072" w:type="dxa"/>
            <w:vMerge w:val="restart"/>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b/>
                <w:bCs/>
                <w:sz w:val="21"/>
                <w:szCs w:val="21"/>
                <w:highlight w:val="none"/>
                <w:lang w:val="en-US" w:eastAsia="zh-CN"/>
              </w:rPr>
            </w:pPr>
            <w:r>
              <w:rPr>
                <w:rFonts w:hint="eastAsia" w:ascii="仿宋" w:hAnsi="仿宋" w:eastAsia="仿宋" w:cs="仿宋"/>
                <w:b/>
                <w:bCs/>
                <w:color w:val="000000"/>
                <w:sz w:val="20"/>
                <w:szCs w:val="20"/>
              </w:rPr>
              <w:t>Ⅲ</w:t>
            </w: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eastAsia="zh-CN"/>
              </w:rPr>
            </w:pPr>
            <w:r>
              <w:rPr>
                <w:rFonts w:hint="eastAsia" w:ascii="仿宋" w:hAnsi="仿宋" w:eastAsia="仿宋" w:cs="仿宋"/>
                <w:color w:val="000000"/>
                <w:sz w:val="20"/>
                <w:szCs w:val="20"/>
              </w:rPr>
              <w:t>(1)倒车绕三桩加倒车入库</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kern w:val="2"/>
                <w:sz w:val="21"/>
                <w:szCs w:val="21"/>
                <w:highlight w:val="none"/>
                <w:lang w:val="en-US" w:eastAsia="zh-CN" w:bidi="ar-SA"/>
              </w:rPr>
            </w:pPr>
            <w:r>
              <w:rPr>
                <w:rFonts w:hint="eastAsia" w:ascii="仿宋" w:hAnsi="仿宋" w:eastAsia="仿宋" w:cs="仿宋"/>
                <w:color w:val="000000"/>
                <w:sz w:val="20"/>
                <w:szCs w:val="20"/>
              </w:rPr>
              <w:t>商用车</w:t>
            </w:r>
          </w:p>
        </w:tc>
        <w:tc>
          <w:tcPr>
            <w:tcW w:w="534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kern w:val="2"/>
                <w:sz w:val="21"/>
                <w:szCs w:val="21"/>
                <w:highlight w:val="none"/>
                <w:lang w:val="en-US" w:eastAsia="zh-CN" w:bidi="ar-SA"/>
              </w:rPr>
            </w:pPr>
            <w:r>
              <w:rPr>
                <w:rFonts w:hint="eastAsia" w:ascii="仿宋" w:hAnsi="仿宋" w:eastAsia="仿宋" w:cs="仿宋"/>
                <w:color w:val="000000"/>
                <w:sz w:val="20"/>
                <w:szCs w:val="20"/>
              </w:rPr>
              <w:t>不触碰任何锥桩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2072" w:type="dxa"/>
            <w:vMerge w:val="continue"/>
            <w:vAlign w:val="center"/>
          </w:tcPr>
          <w:p>
            <w:pPr>
              <w:jc w:val="center"/>
              <w:rPr>
                <w:rFonts w:hint="default" w:ascii="仿宋" w:hAnsi="仿宋" w:eastAsia="仿宋" w:cs="仿宋"/>
                <w:b/>
                <w:bCs/>
                <w:sz w:val="21"/>
                <w:szCs w:val="21"/>
                <w:highlight w:val="none"/>
                <w:lang w:val="en-US" w:eastAsia="zh-CN"/>
              </w:rPr>
            </w:pP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(2)有ABS制动避障测评</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乘用车</w:t>
            </w:r>
          </w:p>
        </w:tc>
        <w:tc>
          <w:tcPr>
            <w:tcW w:w="534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车辆到达制动点时车速不低于120KPH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2072" w:type="dxa"/>
            <w:vMerge w:val="continue"/>
            <w:vAlign w:val="center"/>
          </w:tcPr>
          <w:p>
            <w:pPr>
              <w:jc w:val="center"/>
              <w:rPr>
                <w:rFonts w:hint="default" w:ascii="仿宋" w:hAnsi="仿宋" w:eastAsia="仿宋" w:cs="仿宋"/>
                <w:sz w:val="21"/>
                <w:szCs w:val="21"/>
                <w:highlight w:val="none"/>
                <w:lang w:val="en-US"/>
              </w:rPr>
            </w:pP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(3)无ABS制动避障测评</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乘用车</w:t>
            </w:r>
          </w:p>
        </w:tc>
        <w:tc>
          <w:tcPr>
            <w:tcW w:w="534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车辆到达制动点时车速不低于80KPH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jc w:val="center"/>
        </w:trPr>
        <w:tc>
          <w:tcPr>
            <w:tcW w:w="2072" w:type="dxa"/>
            <w:vMerge w:val="continue"/>
            <w:vAlign w:val="center"/>
          </w:tcPr>
          <w:p>
            <w:pPr>
              <w:jc w:val="center"/>
              <w:rPr>
                <w:rFonts w:hint="default" w:ascii="仿宋" w:hAnsi="仿宋" w:eastAsia="仿宋" w:cs="仿宋"/>
                <w:sz w:val="21"/>
                <w:szCs w:val="21"/>
                <w:highlight w:val="none"/>
                <w:lang w:val="en-US"/>
              </w:rPr>
            </w:pP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yellow"/>
                <w:lang w:val="en-US"/>
              </w:rPr>
            </w:pPr>
            <w:r>
              <w:rPr>
                <w:rFonts w:hint="eastAsia" w:ascii="仿宋" w:hAnsi="仿宋" w:eastAsia="仿宋" w:cs="仿宋"/>
                <w:color w:val="000000"/>
                <w:sz w:val="20"/>
                <w:szCs w:val="20"/>
              </w:rPr>
              <w:t>(4)15米等距绕桩中级测评</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yellow"/>
                <w:lang w:val="en-US"/>
              </w:rPr>
            </w:pPr>
            <w:r>
              <w:rPr>
                <w:rFonts w:hint="eastAsia" w:ascii="仿宋" w:hAnsi="仿宋" w:eastAsia="仿宋" w:cs="仿宋"/>
                <w:color w:val="000000"/>
                <w:sz w:val="20"/>
                <w:szCs w:val="20"/>
              </w:rPr>
              <w:t>商用车</w:t>
            </w:r>
          </w:p>
        </w:tc>
        <w:tc>
          <w:tcPr>
            <w:tcW w:w="534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yellow"/>
                <w:lang w:val="en-US"/>
              </w:rPr>
            </w:pPr>
            <w:r>
              <w:rPr>
                <w:rFonts w:hint="eastAsia" w:ascii="仿宋" w:hAnsi="仿宋" w:eastAsia="仿宋" w:cs="仿宋"/>
                <w:color w:val="000000"/>
                <w:sz w:val="20"/>
                <w:szCs w:val="20"/>
              </w:rPr>
              <w:t>设置6个桩，从桩1出发，绕桩行驶至桩6，时间不高于40s,且不触碰任何锥桩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2072" w:type="dxa"/>
            <w:vMerge w:val="continue"/>
            <w:vAlign w:val="center"/>
          </w:tcPr>
          <w:p>
            <w:pPr>
              <w:jc w:val="center"/>
              <w:rPr>
                <w:rFonts w:hint="default" w:ascii="仿宋" w:hAnsi="仿宋" w:eastAsia="仿宋" w:cs="仿宋"/>
                <w:sz w:val="21"/>
                <w:szCs w:val="21"/>
                <w:highlight w:val="none"/>
                <w:lang w:val="en-US"/>
              </w:rPr>
            </w:pP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(5)80KPH高速避让测评</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乘用车</w:t>
            </w:r>
          </w:p>
        </w:tc>
        <w:tc>
          <w:tcPr>
            <w:tcW w:w="534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车辆避让时速度不低80KPH,且不触碰任何锥桩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2072" w:type="dxa"/>
            <w:vMerge w:val="continue"/>
            <w:vAlign w:val="center"/>
          </w:tcPr>
          <w:p>
            <w:pPr>
              <w:jc w:val="center"/>
              <w:rPr>
                <w:rFonts w:hint="default" w:ascii="仿宋" w:hAnsi="仿宋" w:eastAsia="仿宋" w:cs="仿宋"/>
                <w:sz w:val="21"/>
                <w:szCs w:val="21"/>
                <w:highlight w:val="none"/>
                <w:lang w:val="en-US"/>
              </w:rPr>
            </w:pP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(6)低附路面制动测评</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商用车</w:t>
            </w:r>
          </w:p>
        </w:tc>
        <w:tc>
          <w:tcPr>
            <w:tcW w:w="534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车速60KPH,停车位置不超过预设点位，且无明显路径偏移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6" w:hRule="atLeast"/>
          <w:jc w:val="center"/>
        </w:trPr>
        <w:tc>
          <w:tcPr>
            <w:tcW w:w="2072" w:type="dxa"/>
            <w:vMerge w:val="continue"/>
            <w:vAlign w:val="center"/>
          </w:tcPr>
          <w:p>
            <w:pPr>
              <w:jc w:val="center"/>
              <w:rPr>
                <w:rFonts w:hint="default" w:ascii="仿宋" w:hAnsi="仿宋" w:eastAsia="仿宋" w:cs="仿宋"/>
                <w:sz w:val="21"/>
                <w:szCs w:val="21"/>
                <w:highlight w:val="none"/>
                <w:lang w:val="en-US"/>
              </w:rPr>
            </w:pPr>
          </w:p>
        </w:tc>
        <w:tc>
          <w:tcPr>
            <w:tcW w:w="3654"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(7)高速环道稳速驾驶中级测评</w:t>
            </w:r>
          </w:p>
        </w:tc>
        <w:tc>
          <w:tcPr>
            <w:tcW w:w="3670"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商用车</w:t>
            </w:r>
          </w:p>
        </w:tc>
        <w:tc>
          <w:tcPr>
            <w:tcW w:w="5342" w:type="dxa"/>
            <w:vAlign w:val="center"/>
          </w:tcPr>
          <w:p>
            <w:pPr>
              <w:pStyle w:val="10"/>
              <w:keepNext w:val="0"/>
              <w:keepLines w:val="0"/>
              <w:widowControl/>
              <w:suppressLineNumbers w:val="0"/>
              <w:ind w:left="0" w:leftChars="0" w:right="0" w:rightChars="0" w:firstLine="0" w:firstLineChars="0"/>
              <w:jc w:val="center"/>
              <w:rPr>
                <w:rFonts w:hint="default" w:ascii="仿宋" w:hAnsi="仿宋" w:eastAsia="仿宋" w:cs="仿宋"/>
                <w:sz w:val="21"/>
                <w:szCs w:val="21"/>
                <w:highlight w:val="none"/>
                <w:lang w:val="en-US"/>
              </w:rPr>
            </w:pPr>
            <w:r>
              <w:rPr>
                <w:rFonts w:hint="eastAsia" w:ascii="仿宋" w:hAnsi="仿宋" w:eastAsia="仿宋" w:cs="仿宋"/>
                <w:color w:val="000000"/>
                <w:sz w:val="20"/>
                <w:szCs w:val="20"/>
              </w:rPr>
              <w:t>100KPH稳速行驶5Km，稳速偏差不得超过士3KPH</w:t>
            </w:r>
          </w:p>
        </w:tc>
      </w:tr>
    </w:tbl>
    <w:p>
      <w:pPr>
        <w:ind w:left="0" w:leftChars="0" w:firstLine="0" w:firstLineChars="0"/>
        <w:rPr>
          <w:rFonts w:hint="eastAsia" w:ascii="Arial"/>
          <w:sz w:val="21"/>
          <w:highlight w:val="none"/>
          <w:lang w:val="en-US" w:eastAsia="zh-CN"/>
        </w:rPr>
      </w:pPr>
      <w:r>
        <w:rPr>
          <w:rFonts w:hint="eastAsia" w:ascii="Arial"/>
          <w:sz w:val="21"/>
          <w:highlight w:val="none"/>
          <w:lang w:val="en-US" w:eastAsia="zh-CN"/>
        </w:rPr>
        <w:t>注：</w:t>
      </w:r>
    </w:p>
    <w:p>
      <w:pPr>
        <w:numPr>
          <w:ilvl w:val="1"/>
          <w:numId w:val="6"/>
        </w:numPr>
        <w:ind w:left="1260" w:leftChars="0" w:hanging="420" w:firstLineChars="0"/>
        <w:rPr>
          <w:rFonts w:hint="eastAsia" w:ascii="Arial"/>
          <w:sz w:val="21"/>
          <w:highlight w:val="none"/>
          <w:lang w:val="en-US" w:eastAsia="zh-CN"/>
        </w:rPr>
      </w:pPr>
      <w:r>
        <w:rPr>
          <w:rFonts w:hint="eastAsia" w:ascii="Arial"/>
          <w:sz w:val="21"/>
          <w:highlight w:val="none"/>
          <w:lang w:val="en-US" w:eastAsia="zh-CN"/>
        </w:rPr>
        <w:t>乘用车需申请考试单位自行准备。商用车根据报考人持有的机动车驾驶证准驾车型确定，如报考人持A2驾驶证，选用中国重汽手动挡牵引汽车，牵引车加挂总长为17m，宽为2.6m，车辆总重为49t，产品试验检测中心提供。</w:t>
      </w:r>
    </w:p>
    <w:p>
      <w:pPr>
        <w:numPr>
          <w:ilvl w:val="1"/>
          <w:numId w:val="6"/>
        </w:numPr>
        <w:ind w:left="1260" w:leftChars="0" w:hanging="420" w:firstLineChars="0"/>
        <w:rPr>
          <w:rFonts w:hint="default" w:ascii="Arial"/>
          <w:sz w:val="21"/>
          <w:highlight w:val="none"/>
          <w:lang w:val="en-US" w:eastAsia="zh-CN"/>
        </w:rPr>
      </w:pPr>
      <w:r>
        <w:rPr>
          <w:rFonts w:hint="eastAsia" w:ascii="Arial"/>
          <w:sz w:val="21"/>
          <w:highlight w:val="none"/>
          <w:lang w:val="en-US" w:eastAsia="zh-CN"/>
        </w:rPr>
        <w:t>实测项目每项共有两次机会，若两次均未通过，则判定为不合格。</w:t>
      </w:r>
    </w:p>
    <w:p>
      <w:pPr>
        <w:numPr>
          <w:ilvl w:val="1"/>
          <w:numId w:val="6"/>
        </w:numPr>
        <w:ind w:left="1260" w:leftChars="0" w:hanging="420" w:firstLineChars="0"/>
        <w:rPr>
          <w:rFonts w:hint="default" w:ascii="Arial"/>
          <w:sz w:val="21"/>
          <w:highlight w:val="none"/>
          <w:lang w:val="en-US" w:eastAsia="zh-CN"/>
        </w:rPr>
      </w:pPr>
      <w:r>
        <w:rPr>
          <w:rFonts w:hint="eastAsia" w:ascii="Arial"/>
          <w:sz w:val="21"/>
          <w:highlight w:val="none"/>
          <w:lang w:val="en-US" w:eastAsia="zh-CN"/>
        </w:rPr>
        <w:t>实测项目若涉及场地费用，需申请单位自行支付。</w:t>
      </w:r>
    </w:p>
    <w:p>
      <w:pPr>
        <w:numPr>
          <w:ilvl w:val="1"/>
          <w:numId w:val="6"/>
        </w:numPr>
        <w:ind w:left="1260" w:leftChars="0" w:hanging="420" w:firstLineChars="0"/>
        <w:rPr>
          <w:rFonts w:hint="eastAsia" w:ascii="宋体" w:hAnsi="宋体" w:eastAsia="宋体" w:cs="宋体"/>
          <w:color w:val="000000"/>
          <w:sz w:val="24"/>
          <w:szCs w:val="24"/>
          <w:highlight w:val="none"/>
          <w:u w:val="none"/>
          <w:lang w:val="en-US" w:eastAsia="zh-CN"/>
        </w:rPr>
        <w:sectPr>
          <w:pgSz w:w="16838" w:h="11906" w:orient="landscape"/>
          <w:pgMar w:top="403" w:right="437" w:bottom="0" w:left="1145" w:header="0" w:footer="0" w:gutter="0"/>
          <w:pgNumType w:fmt="numberInDash"/>
          <w:cols w:space="0" w:num="1"/>
          <w:rtlGutter w:val="0"/>
          <w:docGrid w:type="lines" w:linePitch="312" w:charSpace="0"/>
        </w:sectPr>
      </w:pPr>
    </w:p>
    <w:p>
      <w:pPr>
        <w:pStyle w:val="6"/>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w:t>
      </w:r>
      <w:r>
        <w:rPr>
          <w:rFonts w:hint="eastAsia" w:ascii="宋体" w:hAnsi="宋体" w:eastAsia="宋体" w:cs="宋体"/>
          <w:sz w:val="24"/>
          <w:szCs w:val="24"/>
        </w:rPr>
        <w:t>倒车入库</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正库）</w:t>
      </w:r>
    </w:p>
    <w:p>
      <w:pPr>
        <w:pStyle w:val="6"/>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倒车入库根据场内空间以及相关驾考规定进行。考察驾驶人在场地操作汽车的能力，即在运动中操纵车辆正确倒入车库。具体考试场地见图1。</w:t>
      </w:r>
    </w:p>
    <w:p>
      <w:pPr>
        <w:pStyle w:val="6"/>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1</w:t>
      </w:r>
      <w:r>
        <w:rPr>
          <w:rFonts w:hint="eastAsia" w:ascii="宋体" w:hAnsi="宋体" w:eastAsia="宋体" w:cs="宋体"/>
          <w:sz w:val="24"/>
          <w:szCs w:val="24"/>
        </w:rPr>
        <w:t>.1考试车辆</w:t>
      </w:r>
    </w:p>
    <w:p>
      <w:pPr>
        <w:pStyle w:val="6"/>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试验驾驶员准入考试车辆为中国重汽手动挡牵引车，牵引车加挂总长为17m，宽为2.6m，车辆总质量为49t。</w:t>
      </w:r>
    </w:p>
    <w:p>
      <w:pPr>
        <w:pStyle w:val="6"/>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3.1.2</w:t>
      </w:r>
      <w:r>
        <w:rPr>
          <w:rFonts w:hint="eastAsia" w:ascii="宋体" w:hAnsi="宋体" w:eastAsia="宋体" w:cs="宋体"/>
          <w:sz w:val="24"/>
          <w:szCs w:val="24"/>
        </w:rPr>
        <w:t>场地布置</w:t>
      </w:r>
    </w:p>
    <w:p>
      <w:pPr>
        <w:pStyle w:val="6"/>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1.考试区域长52m，宽45m；</w:t>
      </w:r>
    </w:p>
    <w:p>
      <w:pPr>
        <w:pStyle w:val="6"/>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2.车库长18m,宽3.4m。</w:t>
      </w:r>
    </w:p>
    <w:p>
      <w:pPr>
        <w:pStyle w:val="6"/>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3考试内容</w:t>
      </w:r>
    </w:p>
    <w:p>
      <w:pPr>
        <w:pStyle w:val="6"/>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从起点A前进到车库B，并停正；</w:t>
      </w:r>
    </w:p>
    <w:p>
      <w:pPr>
        <w:pStyle w:val="6"/>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从车库B倒车到车库A，并停正，考试完成。</w:t>
      </w:r>
    </w:p>
    <w:p>
      <w:pPr>
        <w:pStyle w:val="6"/>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4评判标准</w:t>
      </w:r>
    </w:p>
    <w:p>
      <w:pPr>
        <w:pStyle w:val="6"/>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不按规定路线行驶、压桩碰桩、车身出线、倒车不入，不合格；</w:t>
      </w:r>
    </w:p>
    <w:p>
      <w:pPr>
        <w:pStyle w:val="6"/>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牵引车和半挂车倒车时夹角超过70°，不合格；</w:t>
      </w:r>
    </w:p>
    <w:p>
      <w:pPr>
        <w:pStyle w:val="6"/>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倒车入库期间允许中途停车，但每次不得停车时间超过10秒，只许向前行驶调整一次，否则考试不合格。</w:t>
      </w:r>
    </w:p>
    <w:p>
      <w:pPr>
        <w:pStyle w:val="6"/>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4.总时间限制为210S。</w:t>
      </w:r>
    </w:p>
    <w:p>
      <w:pPr>
        <w:jc w:val="center"/>
        <w:rPr>
          <w:rFonts w:ascii="仿宋" w:hAnsi="仿宋" w:eastAsia="仿宋"/>
          <w:sz w:val="28"/>
          <w:szCs w:val="28"/>
          <w:highlight w:val="yellow"/>
        </w:rPr>
      </w:pPr>
      <w:r>
        <w:rPr>
          <w:highlight w:val="yellow"/>
        </w:rPr>
        <w:drawing>
          <wp:inline distT="0" distB="0" distL="0" distR="0">
            <wp:extent cx="2762250" cy="3972560"/>
            <wp:effectExtent l="0" t="0" r="254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rot="5400000">
                      <a:off x="0" y="0"/>
                      <a:ext cx="2762250" cy="3972560"/>
                    </a:xfrm>
                    <a:prstGeom prst="rect">
                      <a:avLst/>
                    </a:prstGeom>
                  </pic:spPr>
                </pic:pic>
              </a:graphicData>
            </a:graphic>
          </wp:inline>
        </w:drawing>
      </w:r>
    </w:p>
    <w:p>
      <w:pPr>
        <w:pStyle w:val="6"/>
        <w:shd w:val="clear"/>
        <w:bidi w:val="0"/>
        <w:jc w:val="center"/>
        <w:rPr>
          <w:rFonts w:hint="eastAsia" w:ascii="宋体" w:hAnsi="宋体" w:eastAsia="宋体" w:cs="宋体"/>
          <w:b/>
          <w:bCs/>
          <w:spacing w:val="25"/>
          <w:sz w:val="24"/>
          <w:szCs w:val="24"/>
          <w:highlight w:val="yellow"/>
        </w:rPr>
      </w:pPr>
      <w:r>
        <w:rPr>
          <w:rFonts w:hint="eastAsia" w:ascii="宋体" w:hAnsi="宋体" w:eastAsia="宋体" w:cs="宋体"/>
          <w:sz w:val="24"/>
          <w:szCs w:val="24"/>
        </w:rPr>
        <w:t>图1 倒车入库场地示意图</w:t>
      </w:r>
    </w:p>
    <w:p>
      <w:pPr>
        <w:rPr>
          <w:b/>
          <w:bCs/>
          <w:spacing w:val="25"/>
          <w:sz w:val="27"/>
          <w:szCs w:val="27"/>
          <w:highlight w:val="yellow"/>
        </w:rPr>
      </w:pPr>
      <w:r>
        <w:rPr>
          <w:b/>
          <w:bCs/>
          <w:spacing w:val="25"/>
          <w:sz w:val="27"/>
          <w:szCs w:val="27"/>
          <w:highlight w:val="yellow"/>
        </w:rPr>
        <w:br w:type="page"/>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kern w:val="2"/>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3.2  </w:t>
      </w:r>
      <w:r>
        <w:rPr>
          <w:rFonts w:hint="eastAsia" w:ascii="宋体" w:hAnsi="宋体" w:eastAsia="宋体" w:cs="宋体"/>
          <w:color w:val="000000" w:themeColor="text1"/>
          <w:kern w:val="2"/>
          <w:sz w:val="24"/>
          <w:szCs w:val="24"/>
          <w:highlight w:val="none"/>
          <w:lang w:val="en-US" w:eastAsia="en-US" w:bidi="ar-SA"/>
          <w14:textFill>
            <w14:solidFill>
              <w14:schemeClr w14:val="tx1"/>
            </w14:solidFill>
          </w14:textFill>
        </w:rPr>
        <w:t>15米等距绕桩初级测评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绕桩考试区域设置起步车位、50米加速区、蛇形绕桩区和停止车位。设置考场整体宽不得低于20米，长不得低于150米，如下图所示。本项考试时长共计35秒，超出时长则视为不合格，每位考生2次考试机会。</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5266055" cy="1965325"/>
            <wp:effectExtent l="0" t="0" r="4445" b="3175"/>
            <wp:docPr id="2" name="图片 2" descr="蛇形绕桩考试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蛇形绕桩考试示意图"/>
                    <pic:cNvPicPr>
                      <a:picLocks noChangeAspect="1"/>
                    </pic:cNvPicPr>
                  </pic:nvPicPr>
                  <pic:blipFill>
                    <a:blip r:embed="rId7"/>
                    <a:stretch>
                      <a:fillRect/>
                    </a:stretch>
                  </pic:blipFill>
                  <pic:spPr>
                    <a:xfrm>
                      <a:off x="0" y="0"/>
                      <a:ext cx="5266055" cy="196532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图1  绕桩考试示意图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起步车位：</w:t>
      </w:r>
      <w:r>
        <w:rPr>
          <w:rFonts w:hint="eastAsia" w:ascii="宋体" w:hAnsi="宋体" w:eastAsia="宋体" w:cs="宋体"/>
          <w:b w:val="0"/>
          <w:bCs w:val="0"/>
          <w:sz w:val="24"/>
          <w:szCs w:val="24"/>
          <w:lang w:val="en-US" w:eastAsia="zh-CN"/>
        </w:rPr>
        <w:t>起步车位仅设置车头起步线，车辆从停止车位行驶至起步车位怠速5秒以上开始考试。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蛇形绕桩区间：</w:t>
      </w:r>
      <w:r>
        <w:rPr>
          <w:rFonts w:hint="eastAsia" w:ascii="宋体" w:hAnsi="宋体" w:eastAsia="宋体" w:cs="宋体"/>
          <w:b w:val="0"/>
          <w:bCs w:val="0"/>
          <w:sz w:val="24"/>
          <w:szCs w:val="24"/>
          <w:lang w:val="en-US" w:eastAsia="zh-CN"/>
        </w:rPr>
        <w:t>共设置6个桩，桩距15米。考生应以适当车速绕桩蛇形行驶，车轮应尽量接近桩基且不碰桩，行驶过最后一个桩基后择机掉头，反向进行，按绿色箭头行驶至停车区间。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加速区间：</w:t>
      </w:r>
      <w:r>
        <w:rPr>
          <w:rFonts w:hint="eastAsia" w:ascii="宋体" w:hAnsi="宋体" w:eastAsia="宋体" w:cs="宋体"/>
          <w:b w:val="0"/>
          <w:bCs w:val="0"/>
          <w:sz w:val="24"/>
          <w:szCs w:val="24"/>
          <w:lang w:val="en-US" w:eastAsia="zh-CN"/>
        </w:rPr>
        <w:t>长50米。加速区间考生应当将车速提至适当车速区间，并按图示蓝色箭头指示位置进入绕桩区域进行蛇形绕桩。</w:t>
      </w:r>
    </w:p>
    <w:p>
      <w:pPr>
        <w:pStyle w:val="2"/>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停止车位：</w:t>
      </w:r>
      <w:r>
        <w:rPr>
          <w:rFonts w:hint="eastAsia" w:ascii="宋体" w:hAnsi="宋体" w:eastAsia="宋体" w:cs="宋体"/>
          <w:b w:val="0"/>
          <w:bCs w:val="0"/>
          <w:sz w:val="24"/>
          <w:szCs w:val="24"/>
          <w:lang w:val="en-US" w:eastAsia="zh-CN"/>
        </w:rPr>
        <w:t>宽3米长6米。</w:t>
      </w:r>
    </w:p>
    <w:p>
      <w:pPr>
        <w:pStyle w:val="7"/>
        <w:ind w:firstLine="480" w:firstLineChars="200"/>
        <w:outlineLvl w:val="2"/>
        <w:rPr>
          <w:rFonts w:hint="eastAsia" w:hAnsi="宋体" w:cs="宋体"/>
          <w:b/>
          <w:bCs/>
          <w:color w:val="000000"/>
          <w:sz w:val="24"/>
          <w:szCs w:val="24"/>
          <w:lang w:eastAsia="zh-CN"/>
        </w:rPr>
      </w:pPr>
    </w:p>
    <w:p>
      <w:pPr>
        <w:pStyle w:val="7"/>
        <w:ind w:firstLine="480" w:firstLineChars="200"/>
        <w:outlineLvl w:val="2"/>
        <w:rPr>
          <w:rFonts w:hint="eastAsia" w:hAnsi="宋体" w:cs="宋体"/>
          <w:b/>
          <w:bCs/>
          <w:color w:val="000000"/>
          <w:sz w:val="24"/>
          <w:szCs w:val="24"/>
          <w:lang w:eastAsia="zh-CN"/>
        </w:rPr>
      </w:pPr>
    </w:p>
    <w:p>
      <w:pPr>
        <w:pStyle w:val="7"/>
        <w:ind w:firstLine="480" w:firstLineChars="200"/>
        <w:outlineLvl w:val="2"/>
        <w:rPr>
          <w:rFonts w:hint="eastAsia" w:hAnsi="宋体" w:cs="宋体"/>
          <w:b/>
          <w:bCs/>
          <w:color w:val="000000"/>
          <w:sz w:val="24"/>
          <w:szCs w:val="24"/>
          <w:lang w:eastAsia="zh-CN"/>
        </w:rPr>
      </w:pPr>
    </w:p>
    <w:p>
      <w:pPr>
        <w:pStyle w:val="7"/>
        <w:ind w:firstLine="480" w:firstLineChars="200"/>
        <w:outlineLvl w:val="2"/>
        <w:rPr>
          <w:rFonts w:hint="eastAsia" w:hAnsi="宋体" w:cs="宋体"/>
          <w:b/>
          <w:bCs/>
          <w:color w:val="000000"/>
          <w:sz w:val="24"/>
          <w:szCs w:val="24"/>
          <w:lang w:eastAsia="zh-CN"/>
        </w:rPr>
      </w:pPr>
    </w:p>
    <w:p>
      <w:pPr>
        <w:pStyle w:val="7"/>
        <w:ind w:firstLine="480" w:firstLineChars="200"/>
        <w:outlineLvl w:val="2"/>
        <w:rPr>
          <w:rFonts w:hint="eastAsia" w:hAnsi="宋体" w:cs="宋体"/>
          <w:b/>
          <w:bCs/>
          <w:color w:val="000000"/>
          <w:sz w:val="24"/>
          <w:szCs w:val="24"/>
          <w:lang w:eastAsia="zh-CN"/>
        </w:rPr>
      </w:pPr>
    </w:p>
    <w:p>
      <w:pPr>
        <w:pStyle w:val="7"/>
        <w:ind w:firstLine="480" w:firstLineChars="200"/>
        <w:outlineLvl w:val="2"/>
        <w:rPr>
          <w:rFonts w:hint="eastAsia" w:hAnsi="宋体" w:cs="宋体"/>
          <w:b/>
          <w:bCs/>
          <w:color w:val="000000"/>
          <w:sz w:val="24"/>
          <w:szCs w:val="24"/>
          <w:lang w:eastAsia="zh-CN"/>
        </w:rPr>
      </w:pPr>
    </w:p>
    <w:p>
      <w:pPr>
        <w:pStyle w:val="7"/>
        <w:ind w:firstLine="480" w:firstLineChars="200"/>
        <w:outlineLvl w:val="2"/>
        <w:rPr>
          <w:rFonts w:hint="eastAsia" w:hAnsi="宋体" w:cs="宋体"/>
          <w:b/>
          <w:bCs/>
          <w:color w:val="000000"/>
          <w:sz w:val="24"/>
          <w:szCs w:val="24"/>
          <w:lang w:eastAsia="zh-CN"/>
        </w:rPr>
      </w:pPr>
    </w:p>
    <w:p>
      <w:pPr>
        <w:pStyle w:val="7"/>
        <w:ind w:firstLine="480" w:firstLineChars="200"/>
        <w:outlineLvl w:val="2"/>
        <w:rPr>
          <w:rFonts w:hint="eastAsia" w:hAnsi="宋体" w:cs="宋体"/>
          <w:b/>
          <w:bCs/>
          <w:color w:val="000000"/>
          <w:sz w:val="24"/>
          <w:szCs w:val="24"/>
          <w:lang w:eastAsia="zh-CN"/>
        </w:rPr>
      </w:pPr>
    </w:p>
    <w:p>
      <w:pPr>
        <w:pStyle w:val="7"/>
        <w:ind w:firstLine="480" w:firstLineChars="200"/>
        <w:outlineLvl w:val="2"/>
        <w:rPr>
          <w:rFonts w:hint="eastAsia" w:hAnsi="宋体" w:cs="宋体"/>
          <w:b/>
          <w:bCs/>
          <w:color w:val="000000"/>
          <w:sz w:val="24"/>
          <w:szCs w:val="24"/>
          <w:lang w:eastAsia="zh-CN"/>
        </w:rPr>
      </w:pPr>
    </w:p>
    <w:p>
      <w:pPr>
        <w:pStyle w:val="7"/>
        <w:ind w:firstLine="480" w:firstLineChars="200"/>
        <w:outlineLvl w:val="2"/>
        <w:rPr>
          <w:rFonts w:hint="eastAsia" w:hAnsi="宋体" w:cs="宋体"/>
          <w:b/>
          <w:bCs/>
          <w:color w:val="000000"/>
          <w:sz w:val="24"/>
          <w:szCs w:val="24"/>
          <w:lang w:eastAsia="zh-CN"/>
        </w:rPr>
      </w:pPr>
    </w:p>
    <w:p>
      <w:pPr>
        <w:pStyle w:val="7"/>
        <w:ind w:firstLine="480" w:firstLineChars="200"/>
        <w:outlineLvl w:val="2"/>
        <w:rPr>
          <w:rFonts w:hint="eastAsia" w:hAnsi="宋体" w:cs="宋体"/>
          <w:b/>
          <w:bCs/>
          <w:color w:val="000000"/>
          <w:sz w:val="24"/>
          <w:szCs w:val="24"/>
          <w:lang w:eastAsia="zh-CN"/>
        </w:rPr>
      </w:pPr>
    </w:p>
    <w:p>
      <w:pPr>
        <w:pStyle w:val="7"/>
        <w:ind w:firstLine="480" w:firstLineChars="200"/>
        <w:outlineLvl w:val="2"/>
        <w:rPr>
          <w:rFonts w:hint="eastAsia" w:hAnsi="宋体" w:cs="宋体"/>
          <w:b/>
          <w:bCs/>
          <w:color w:val="000000"/>
          <w:sz w:val="24"/>
          <w:szCs w:val="24"/>
          <w:lang w:eastAsia="zh-CN"/>
        </w:rPr>
      </w:pPr>
    </w:p>
    <w:p>
      <w:pPr>
        <w:pStyle w:val="7"/>
        <w:ind w:firstLine="480" w:firstLineChars="200"/>
        <w:outlineLvl w:val="2"/>
        <w:rPr>
          <w:rFonts w:hint="eastAsia" w:hAnsi="宋体" w:cs="宋体"/>
          <w:b/>
          <w:bCs/>
          <w:color w:val="000000"/>
          <w:sz w:val="24"/>
          <w:szCs w:val="24"/>
          <w:lang w:eastAsia="zh-CN"/>
        </w:rPr>
      </w:pPr>
    </w:p>
    <w:p>
      <w:pPr>
        <w:pStyle w:val="7"/>
        <w:ind w:firstLine="480" w:firstLineChars="200"/>
        <w:outlineLvl w:val="2"/>
        <w:rPr>
          <w:rFonts w:hint="eastAsia" w:ascii="宋体" w:hAnsi="宋体" w:eastAsia="宋体" w:cs="宋体"/>
          <w:b/>
          <w:color w:val="000000"/>
          <w:sz w:val="24"/>
          <w:szCs w:val="24"/>
        </w:rPr>
      </w:pPr>
      <w:r>
        <w:rPr>
          <w:rFonts w:hint="eastAsia" w:hAnsi="宋体" w:cs="宋体"/>
          <w:b/>
          <w:bCs/>
          <w:color w:val="000000"/>
          <w:sz w:val="24"/>
          <w:szCs w:val="24"/>
          <w:lang w:eastAsia="zh-CN"/>
        </w:rPr>
        <w:t>附件13</w:t>
      </w:r>
      <w:r>
        <w:rPr>
          <w:rFonts w:hint="eastAsia" w:ascii="宋体" w:hAnsi="宋体" w:eastAsia="宋体" w:cs="宋体"/>
          <w:b/>
          <w:bCs/>
          <w:color w:val="000000"/>
          <w:sz w:val="24"/>
          <w:szCs w:val="24"/>
        </w:rPr>
        <w:t xml:space="preserve"> </w:t>
      </w:r>
      <w:r>
        <w:rPr>
          <w:rFonts w:hint="eastAsia" w:ascii="宋体" w:hAnsi="宋体" w:eastAsia="宋体" w:cs="宋体"/>
          <w:b/>
          <w:color w:val="000000"/>
          <w:sz w:val="24"/>
          <w:szCs w:val="24"/>
        </w:rPr>
        <w:t>SRM系统供应商用户手册</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ascii="宋体" w:hAnsi="宋体" w:eastAsia="宋体" w:cs="宋体"/>
        </w:rPr>
        <w:fldChar w:fldCharType="begin"/>
      </w:r>
      <w:r>
        <w:rPr>
          <w:rFonts w:hint="eastAsia" w:ascii="宋体" w:hAnsi="宋体" w:eastAsia="宋体" w:cs="宋体"/>
        </w:rPr>
        <w:instrText xml:space="preserve"> HYPERLINK "http://ecaitong.sinotruk.com:8012/" \t "dlt" </w:instrText>
      </w:r>
      <w:r>
        <w:rPr>
          <w:rFonts w:hint="eastAsia" w:ascii="宋体" w:hAnsi="宋体" w:eastAsia="宋体" w:cs="宋体"/>
        </w:rPr>
        <w:fldChar w:fldCharType="separate"/>
      </w:r>
      <w:r>
        <w:rPr>
          <w:rStyle w:val="14"/>
          <w:rFonts w:hint="eastAsia" w:ascii="宋体" w:hAnsi="宋体" w:cs="宋体"/>
          <w:sz w:val="24"/>
          <w:szCs w:val="24"/>
          <w:lang w:eastAsia="zh-CN"/>
        </w:rPr>
        <w:t>https</w:t>
      </w:r>
      <w:r>
        <w:rPr>
          <w:rStyle w:val="14"/>
          <w:rFonts w:hint="eastAsia" w:ascii="宋体" w:hAnsi="宋体" w:eastAsia="宋体" w:cs="宋体"/>
          <w:sz w:val="24"/>
          <w:szCs w:val="24"/>
        </w:rPr>
        <w:t>://ecaitong.sinotruk.com:8012/</w:t>
      </w:r>
      <w:r>
        <w:rPr>
          <w:rStyle w:val="14"/>
          <w:rFonts w:hint="eastAsia" w:ascii="宋体" w:hAnsi="宋体" w:eastAsia="宋体" w:cs="宋体"/>
          <w:sz w:val="24"/>
          <w:szCs w:val="24"/>
        </w:rPr>
        <w:fldChar w:fldCharType="end"/>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pPr>
        <w:spacing w:line="360" w:lineRule="auto"/>
        <w:rPr>
          <w:rFonts w:hint="eastAsia" w:ascii="宋体" w:hAnsi="宋体" w:eastAsia="宋体" w:cs="宋体"/>
          <w:b/>
          <w:bCs/>
          <w:lang w:val="en-US" w:eastAsia="zh-CN"/>
        </w:rPr>
      </w:pPr>
      <w:r>
        <w:rPr>
          <w:rFonts w:hint="eastAsia" w:ascii="宋体" w:hAnsi="宋体" w:eastAsia="宋体" w:cs="宋体"/>
          <w:color w:val="000000"/>
          <w:sz w:val="24"/>
          <w:szCs w:val="24"/>
        </w:rPr>
        <w:t>初始密码：</w:t>
      </w:r>
      <w:r>
        <w:rPr>
          <w:rFonts w:hint="eastAsia" w:ascii="宋体" w:hAnsi="宋体" w:cs="宋体"/>
          <w:b/>
          <w:bCs/>
          <w:lang w:val="en-US" w:eastAsia="zh-CN"/>
        </w:rPr>
        <w:t>详见注册成功后短信</w:t>
      </w: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供应商应标</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点击应标，上传文件之后点击提交。</w:t>
      </w:r>
    </w:p>
    <w:p>
      <w:pPr>
        <w:rPr>
          <w:rFonts w:hint="eastAsia" w:ascii="宋体" w:hAnsi="宋体" w:eastAsia="宋体" w:cs="宋体"/>
        </w:rPr>
      </w:pPr>
      <w:r>
        <w:rPr>
          <w:rFonts w:hint="eastAsia" w:ascii="宋体" w:hAnsi="宋体" w:eastAsia="宋体" w:cs="宋体"/>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8"/>
                    <a:stretch>
                      <a:fillRect/>
                    </a:stretch>
                  </pic:blipFill>
                  <pic:spPr>
                    <a:xfrm>
                      <a:off x="0" y="0"/>
                      <a:ext cx="5760085" cy="2269864"/>
                    </a:xfrm>
                    <a:prstGeom prst="rect">
                      <a:avLst/>
                    </a:prstGeom>
                  </pic:spPr>
                </pic:pic>
              </a:graphicData>
            </a:graphic>
          </wp:inline>
        </w:drawing>
      </w:r>
    </w:p>
    <w:p>
      <w:pPr>
        <w:rPr>
          <w:rFonts w:hint="eastAsia" w:ascii="宋体" w:hAnsi="宋体" w:eastAsia="宋体" w:cs="宋体"/>
        </w:rPr>
      </w:pP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供应商投标</w:t>
      </w:r>
    </w:p>
    <w:p>
      <w:pPr>
        <w:rPr>
          <w:rFonts w:hint="eastAsia" w:ascii="宋体" w:hAnsi="宋体" w:eastAsia="宋体" w:cs="宋体"/>
          <w:color w:val="000000"/>
        </w:rPr>
      </w:pPr>
      <w:r>
        <w:rPr>
          <w:rFonts w:hint="eastAsia" w:ascii="宋体" w:hAnsi="宋体" w:eastAsia="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9"/>
                    <a:stretch>
                      <a:fillRect/>
                    </a:stretch>
                  </pic:blipFill>
                  <pic:spPr>
                    <a:xfrm>
                      <a:off x="0" y="0"/>
                      <a:ext cx="5760085" cy="2125673"/>
                    </a:xfrm>
                    <a:prstGeom prst="rect">
                      <a:avLst/>
                    </a:prstGeom>
                  </pic:spPr>
                </pic:pic>
              </a:graphicData>
            </a:graphic>
          </wp:inline>
        </w:drawing>
      </w:r>
    </w:p>
    <w:p>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点击投标按钮，进入详情页，输入投标报价并上传相应的附件。</w:t>
      </w:r>
    </w:p>
    <w:p>
      <w:pPr>
        <w:pStyle w:val="5"/>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0"/>
                    <a:stretch>
                      <a:fillRect/>
                    </a:stretch>
                  </pic:blipFill>
                  <pic:spPr>
                    <a:xfrm>
                      <a:off x="0" y="0"/>
                      <a:ext cx="5490210" cy="2669498"/>
                    </a:xfrm>
                    <a:prstGeom prst="rect">
                      <a:avLst/>
                    </a:prstGeom>
                  </pic:spPr>
                </pic:pic>
              </a:graphicData>
            </a:graphic>
          </wp:inline>
        </w:drawing>
      </w: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供应商技术标澄清函</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点击编辑按钮进入系统，上传技术标澄清函。</w:t>
      </w:r>
    </w:p>
    <w:p>
      <w:pPr>
        <w:spacing w:line="360" w:lineRule="auto"/>
        <w:rPr>
          <w:rFonts w:hint="eastAsia" w:ascii="宋体" w:hAnsi="宋体" w:eastAsia="宋体" w:cs="宋体"/>
          <w:color w:val="000000"/>
          <w:sz w:val="28"/>
        </w:rPr>
      </w:pPr>
      <w:r>
        <w:rPr>
          <w:rFonts w:hint="eastAsia" w:ascii="宋体" w:hAnsi="宋体" w:eastAsia="宋体" w:cs="宋体"/>
          <w:color w:val="000000"/>
          <w:sz w:val="24"/>
          <w:szCs w:val="24"/>
        </w:rPr>
        <w:t>开标之后所有投标的供应商都可编辑提交，技术标入围之后 都不可编辑</w:t>
      </w:r>
      <w:r>
        <w:rPr>
          <w:rFonts w:hint="eastAsia" w:ascii="宋体" w:hAnsi="宋体" w:eastAsia="宋体" w:cs="宋体"/>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1"/>
                    <a:stretch>
                      <a:fillRect/>
                    </a:stretch>
                  </pic:blipFill>
                  <pic:spPr>
                    <a:xfrm>
                      <a:off x="0" y="0"/>
                      <a:ext cx="5490210" cy="1992743"/>
                    </a:xfrm>
                    <a:prstGeom prst="rect">
                      <a:avLst/>
                    </a:prstGeom>
                  </pic:spPr>
                </pic:pic>
              </a:graphicData>
            </a:graphic>
          </wp:inline>
        </w:drawing>
      </w: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供应商报价</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点击报价按钮进入报价详情界面，请在此轮报价起止时间内报价，否则无法报价。</w:t>
      </w: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供应商澄清报价</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pPr>
        <w:pStyle w:val="5"/>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2"/>
                    <a:stretch>
                      <a:fillRect/>
                    </a:stretch>
                  </pic:blipFill>
                  <pic:spPr>
                    <a:xfrm>
                      <a:off x="0" y="0"/>
                      <a:ext cx="5490210" cy="2544669"/>
                    </a:xfrm>
                    <a:prstGeom prst="rect">
                      <a:avLst/>
                    </a:prstGeom>
                  </pic:spPr>
                </pic:pic>
              </a:graphicData>
            </a:graphic>
          </wp:inline>
        </w:drawing>
      </w: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中标项目</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点击查看进入查看中标项目详情</w:t>
      </w:r>
    </w:p>
    <w:p>
      <w:pPr>
        <w:rPr>
          <w:rFonts w:hint="eastAsia" w:ascii="宋体" w:hAnsi="宋体" w:eastAsia="宋体" w:cs="宋体"/>
        </w:rPr>
      </w:pPr>
      <w:r>
        <w:rPr>
          <w:rFonts w:hint="eastAsia" w:ascii="宋体" w:hAnsi="宋体" w:eastAsia="宋体" w:cs="宋体"/>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13"/>
                    <a:stretch>
                      <a:fillRect/>
                    </a:stretch>
                  </pic:blipFill>
                  <pic:spPr>
                    <a:xfrm>
                      <a:off x="0" y="0"/>
                      <a:ext cx="5760085" cy="1956600"/>
                    </a:xfrm>
                    <a:prstGeom prst="rect">
                      <a:avLst/>
                    </a:prstGeom>
                  </pic:spPr>
                </pic:pic>
              </a:graphicData>
            </a:graphic>
          </wp:inline>
        </w:drawing>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仿宋_GB2312">
    <w:altName w:val="汉仪仿宋KW"/>
    <w:panose1 w:val="02010609030101010101"/>
    <w:charset w:val="86"/>
    <w:family w:val="modern"/>
    <w:pitch w:val="default"/>
    <w:sig w:usb0="00000000" w:usb1="00000000" w:usb2="00000000" w:usb3="00000000" w:csb0="00040000" w:csb1="00000000"/>
  </w:font>
  <w:font w:name="仿宋">
    <w:altName w:val="汉仪仿宋KW"/>
    <w:panose1 w:val="02010609060101010101"/>
    <w:charset w:val="86"/>
    <w:family w:val="auto"/>
    <w:pitch w:val="default"/>
    <w:sig w:usb0="00000000" w:usb1="00000000" w:usb2="00000016" w:usb3="00000000" w:csb0="00040001" w:csb1="00000000"/>
  </w:font>
  <w:font w:name="Georgia">
    <w:panose1 w:val="02040502050405020303"/>
    <w:charset w:val="00"/>
    <w:family w:val="auto"/>
    <w:pitch w:val="default"/>
    <w:sig w:usb0="00000287" w:usb1="00000000" w:usb2="00000000" w:usb3="00000000" w:csb0="2000009F"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47CD2A"/>
    <w:multiLevelType w:val="singleLevel"/>
    <w:tmpl w:val="CE47CD2A"/>
    <w:lvl w:ilvl="0" w:tentative="0">
      <w:start w:val="1"/>
      <w:numFmt w:val="decimal"/>
      <w:suff w:val="nothing"/>
      <w:lvlText w:val="%1、"/>
      <w:lvlJc w:val="left"/>
      <w:rPr>
        <w:rFonts w:hint="default" w:ascii="Times New Roman" w:hAnsi="Times New Roman" w:cs="Times New Roman"/>
        <w:sz w:val="24"/>
        <w:szCs w:val="24"/>
      </w:rPr>
    </w:lvl>
  </w:abstractNum>
  <w:abstractNum w:abstractNumId="1">
    <w:nsid w:val="FBA2058E"/>
    <w:multiLevelType w:val="singleLevel"/>
    <w:tmpl w:val="FBA2058E"/>
    <w:lvl w:ilvl="0" w:tentative="0">
      <w:start w:val="1"/>
      <w:numFmt w:val="decimal"/>
      <w:suff w:val="nothing"/>
      <w:lvlText w:val="%1、"/>
      <w:lvlJc w:val="left"/>
      <w:rPr>
        <w:rFonts w:hint="default" w:ascii="Times New Roman" w:hAnsi="Times New Roman" w:cs="Times New Roman"/>
        <w:sz w:val="24"/>
        <w:szCs w:val="24"/>
      </w:rPr>
    </w:lvl>
  </w:abstractNum>
  <w:abstractNum w:abstractNumId="2">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
    <w:nsid w:val="0C2CBA9C"/>
    <w:multiLevelType w:val="multilevel"/>
    <w:tmpl w:val="0C2CBA9C"/>
    <w:lvl w:ilvl="0" w:tentative="0">
      <w:start w:val="1"/>
      <w:numFmt w:val="decimal"/>
      <w:lvlText w:val="%1."/>
      <w:lvlJc w:val="left"/>
      <w:pPr>
        <w:tabs>
          <w:tab w:val="left" w:pos="420"/>
        </w:tabs>
        <w:ind w:left="845" w:hanging="425"/>
      </w:pPr>
      <w:rPr>
        <w:rFonts w:hint="default" w:ascii="宋体" w:hAnsi="宋体" w:eastAsia="宋体" w:cs="宋体"/>
        <w:sz w:val="24"/>
        <w:szCs w:val="24"/>
      </w:rPr>
    </w:lvl>
    <w:lvl w:ilvl="1" w:tentative="0">
      <w:start w:val="1"/>
      <w:numFmt w:val="decimal"/>
      <w:lvlText w:val="(%2)"/>
      <w:lvlJc w:val="left"/>
      <w:pPr>
        <w:tabs>
          <w:tab w:val="left" w:pos="840"/>
        </w:tabs>
        <w:ind w:left="1260" w:leftChars="0" w:hanging="420" w:firstLineChars="0"/>
      </w:pPr>
      <w:rPr>
        <w:rFonts w:hint="default"/>
      </w:rPr>
    </w:lvl>
    <w:lvl w:ilvl="2" w:tentative="0">
      <w:start w:val="1"/>
      <w:numFmt w:val="decimalEnclosedCircleChinese"/>
      <w:lvlText w:val="%3"/>
      <w:lvlJc w:val="left"/>
      <w:pPr>
        <w:tabs>
          <w:tab w:val="left" w:pos="1260"/>
        </w:tabs>
        <w:ind w:left="1680" w:leftChars="0" w:hanging="420" w:firstLineChars="0"/>
      </w:pPr>
      <w:rPr>
        <w:rFonts w:hint="default"/>
      </w:rPr>
    </w:lvl>
    <w:lvl w:ilvl="3" w:tentative="0">
      <w:start w:val="1"/>
      <w:numFmt w:val="decimal"/>
      <w:lvlText w:val="%4)"/>
      <w:lvlJc w:val="left"/>
      <w:pPr>
        <w:tabs>
          <w:tab w:val="left" w:pos="1680"/>
        </w:tabs>
        <w:ind w:left="2100" w:leftChars="0" w:hanging="420" w:firstLineChars="0"/>
      </w:pPr>
      <w:rPr>
        <w:rFonts w:hint="default"/>
      </w:rPr>
    </w:lvl>
    <w:lvl w:ilvl="4" w:tentative="0">
      <w:start w:val="1"/>
      <w:numFmt w:val="lowerLetter"/>
      <w:lvlText w:val="%5."/>
      <w:lvlJc w:val="left"/>
      <w:pPr>
        <w:tabs>
          <w:tab w:val="left" w:pos="2100"/>
        </w:tabs>
        <w:ind w:left="2520" w:leftChars="0" w:hanging="420" w:firstLineChars="0"/>
      </w:pPr>
      <w:rPr>
        <w:rFonts w:hint="default"/>
      </w:rPr>
    </w:lvl>
    <w:lvl w:ilvl="5" w:tentative="0">
      <w:start w:val="1"/>
      <w:numFmt w:val="lowerLetter"/>
      <w:lvlText w:val="%6)"/>
      <w:lvlJc w:val="left"/>
      <w:pPr>
        <w:tabs>
          <w:tab w:val="left" w:pos="2520"/>
        </w:tabs>
        <w:ind w:left="2940" w:leftChars="0" w:hanging="420" w:firstLineChars="0"/>
      </w:pPr>
      <w:rPr>
        <w:rFonts w:hint="default"/>
      </w:rPr>
    </w:lvl>
    <w:lvl w:ilvl="6" w:tentative="0">
      <w:start w:val="1"/>
      <w:numFmt w:val="lowerRoman"/>
      <w:lvlText w:val="%7."/>
      <w:lvlJc w:val="left"/>
      <w:pPr>
        <w:tabs>
          <w:tab w:val="left" w:pos="2940"/>
        </w:tabs>
        <w:ind w:left="3360" w:leftChars="0" w:hanging="420" w:firstLineChars="0"/>
      </w:pPr>
      <w:rPr>
        <w:rFonts w:hint="default"/>
      </w:rPr>
    </w:lvl>
    <w:lvl w:ilvl="7" w:tentative="0">
      <w:start w:val="1"/>
      <w:numFmt w:val="lowerRoman"/>
      <w:lvlText w:val="%8)"/>
      <w:lvlJc w:val="left"/>
      <w:pPr>
        <w:tabs>
          <w:tab w:val="left" w:pos="3360"/>
        </w:tabs>
        <w:ind w:left="3780" w:leftChars="0" w:hanging="420" w:firstLineChars="0"/>
      </w:pPr>
      <w:rPr>
        <w:rFonts w:hint="default"/>
      </w:rPr>
    </w:lvl>
    <w:lvl w:ilvl="8" w:tentative="0">
      <w:start w:val="1"/>
      <w:numFmt w:val="lowerLetter"/>
      <w:lvlText w:val="%9."/>
      <w:lvlJc w:val="left"/>
      <w:pPr>
        <w:tabs>
          <w:tab w:val="left" w:pos="3780"/>
        </w:tabs>
        <w:ind w:left="4200" w:leftChars="0" w:hanging="420" w:firstLineChars="0"/>
      </w:pPr>
      <w:rPr>
        <w:rFonts w:hint="default"/>
      </w:rPr>
    </w:lvl>
  </w:abstractNum>
  <w:abstractNum w:abstractNumId="4">
    <w:nsid w:val="0D8ADBC8"/>
    <w:multiLevelType w:val="singleLevel"/>
    <w:tmpl w:val="0D8ADBC8"/>
    <w:lvl w:ilvl="0" w:tentative="0">
      <w:start w:val="2"/>
      <w:numFmt w:val="decimal"/>
      <w:suff w:val="nothing"/>
      <w:lvlText w:val="（%1）"/>
      <w:lvlJc w:val="left"/>
    </w:lvl>
  </w:abstractNum>
  <w:abstractNum w:abstractNumId="5">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5"/>
  </w:num>
  <w:num w:numId="2">
    <w:abstractNumId w:val="4"/>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DA1B01"/>
    <w:rsid w:val="02DA1B01"/>
    <w:rsid w:val="157A3C25"/>
    <w:rsid w:val="3BCF18D6"/>
    <w:rsid w:val="5F192012"/>
    <w:rsid w:val="63993E26"/>
    <w:rsid w:val="6B476E8A"/>
    <w:rsid w:val="76982D66"/>
    <w:rsid w:val="C73A3CD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lang w:val="zh-CN" w:eastAsia="zh-CN"/>
    </w:rPr>
  </w:style>
  <w:style w:type="paragraph" w:styleId="2">
    <w:name w:val="heading 2"/>
    <w:basedOn w:val="1"/>
    <w:next w:val="1"/>
    <w:qFormat/>
    <w:uiPriority w:val="0"/>
    <w:pPr>
      <w:keepNext/>
      <w:keepLines/>
      <w:spacing w:before="260" w:after="260" w:line="413" w:lineRule="auto"/>
      <w:outlineLvl w:val="1"/>
    </w:pPr>
    <w:rPr>
      <w:rFonts w:ascii="Arial" w:hAnsi="Arial" w:eastAsia="黑体"/>
      <w:b/>
      <w:bCs/>
      <w:sz w:val="32"/>
      <w:szCs w:val="32"/>
      <w:lang w:val="zh-CN" w:eastAsia="zh-CN"/>
    </w:rPr>
  </w:style>
  <w:style w:type="paragraph" w:styleId="4">
    <w:name w:val="heading 3"/>
    <w:basedOn w:val="1"/>
    <w:next w:val="1"/>
    <w:qFormat/>
    <w:uiPriority w:val="0"/>
    <w:pPr>
      <w:keepNext/>
      <w:keepLines/>
      <w:spacing w:before="260" w:after="260" w:line="416" w:lineRule="auto"/>
      <w:outlineLvl w:val="2"/>
    </w:pPr>
    <w:rPr>
      <w:b/>
      <w:bCs/>
      <w:sz w:val="32"/>
      <w:szCs w:val="32"/>
      <w:lang w:val="zh-CN" w:eastAsia="zh-CN"/>
    </w:rPr>
  </w:style>
  <w:style w:type="paragraph" w:styleId="5">
    <w:name w:val="heading 4"/>
    <w:basedOn w:val="1"/>
    <w:next w:val="1"/>
    <w:semiHidden/>
    <w:unhideWhenUsed/>
    <w:qFormat/>
    <w:uiPriority w:val="0"/>
    <w:pPr>
      <w:keepNext/>
      <w:keepLines/>
      <w:spacing w:before="280" w:after="290" w:line="376" w:lineRule="auto"/>
      <w:outlineLvl w:val="3"/>
    </w:pPr>
    <w:rPr>
      <w:rFonts w:ascii="Cambria" w:hAnsi="Cambria"/>
      <w:b/>
      <w:bCs/>
      <w:sz w:val="28"/>
      <w:szCs w:val="28"/>
      <w:lang w:val="zh-CN" w:eastAsia="zh-CN"/>
    </w:rPr>
  </w:style>
  <w:style w:type="character" w:default="1" w:styleId="13">
    <w:name w:val="Default Paragraph Font"/>
    <w:semiHidden/>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0"/>
    <w:rPr>
      <w:rFonts w:ascii="仿宋_GB2312" w:eastAsia="仿宋_GB2312"/>
      <w:sz w:val="32"/>
      <w:lang w:val="zh-CN" w:eastAsia="zh-CN"/>
    </w:rPr>
  </w:style>
  <w:style w:type="paragraph" w:styleId="7">
    <w:name w:val="Plain Text"/>
    <w:basedOn w:val="1"/>
    <w:qFormat/>
    <w:uiPriority w:val="0"/>
    <w:rPr>
      <w:rFonts w:ascii="宋体" w:hAnsi="Courier New" w:cstheme="minorBidi"/>
      <w:szCs w:val="22"/>
    </w:rPr>
  </w:style>
  <w:style w:type="paragraph" w:styleId="8">
    <w:name w:val="footer"/>
    <w:basedOn w:val="1"/>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rFonts w:cs="Times New Roman"/>
      <w:color w:val="1F4F88"/>
      <w:u w:val="none"/>
    </w:rPr>
  </w:style>
  <w:style w:type="paragraph" w:customStyle="1" w:styleId="15">
    <w:name w:val="标书一级标题"/>
    <w:basedOn w:val="3"/>
    <w:qFormat/>
    <w:uiPriority w:val="0"/>
    <w:pPr>
      <w:spacing w:before="0" w:after="0" w:line="240" w:lineRule="auto"/>
      <w:jc w:val="center"/>
    </w:pPr>
    <w:rPr>
      <w:rFonts w:eastAsia="黑体" w:asciiTheme="minorHAnsi" w:hAnsiTheme="minorHAnsi" w:cstheme="minorBidi"/>
      <w:b w:val="0"/>
      <w:color w:val="000000"/>
      <w:sz w:val="30"/>
      <w:szCs w:val="24"/>
      <w:lang w:val="en-US" w:eastAsia="zh-CN"/>
    </w:rPr>
  </w:style>
  <w:style w:type="paragraph" w:customStyle="1" w:styleId="16">
    <w:name w:val="标书二级标题"/>
    <w:basedOn w:val="2"/>
    <w:qFormat/>
    <w:uiPriority w:val="0"/>
    <w:pPr>
      <w:spacing w:before="0" w:after="0" w:line="240" w:lineRule="auto"/>
      <w:jc w:val="left"/>
    </w:pPr>
    <w:rPr>
      <w:rFonts w:ascii="宋体" w:hAnsi="宋体" w:cstheme="minorBidi"/>
      <w:b w:val="0"/>
      <w:sz w:val="28"/>
      <w:szCs w:val="30"/>
      <w:lang w:val="en-US" w:eastAsia="zh-CN"/>
    </w:rPr>
  </w:style>
  <w:style w:type="paragraph" w:customStyle="1" w:styleId="17">
    <w:name w:val="标书正文格式"/>
    <w:basedOn w:val="7"/>
    <w:qFormat/>
    <w:uiPriority w:val="0"/>
    <w:pPr>
      <w:spacing w:line="360" w:lineRule="auto"/>
      <w:ind w:firstLine="200" w:firstLineChars="200"/>
    </w:pPr>
    <w:rPr>
      <w:rFonts w:hAnsi="宋体" w:eastAsiaTheme="minorEastAsia"/>
      <w:color w:val="000000"/>
      <w:sz w:val="24"/>
      <w:szCs w:val="24"/>
    </w:rPr>
  </w:style>
  <w:style w:type="paragraph" w:customStyle="1" w:styleId="18">
    <w:name w:val="标书表格"/>
    <w:basedOn w:val="1"/>
    <w:qFormat/>
    <w:uiPriority w:val="0"/>
    <w:pPr>
      <w:jc w:val="center"/>
    </w:pPr>
    <w:rPr>
      <w:rFonts w:asciiTheme="minorHAnsi" w:hAnsiTheme="minorHAnsi" w:eastAsiaTheme="minorEastAsia" w:cstheme="minorBidi"/>
      <w:b/>
      <w:szCs w:val="22"/>
    </w:rPr>
  </w:style>
  <w:style w:type="paragraph" w:customStyle="1" w:styleId="19">
    <w:name w:val="标三级标题"/>
    <w:basedOn w:val="20"/>
    <w:qFormat/>
    <w:uiPriority w:val="0"/>
  </w:style>
  <w:style w:type="paragraph" w:customStyle="1" w:styleId="20">
    <w:name w:val="标书三级标题"/>
    <w:basedOn w:val="4"/>
    <w:next w:val="17"/>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table" w:customStyle="1" w:styleId="2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18</Pages>
  <Words>7284</Words>
  <Characters>7804</Characters>
  <Lines>0</Lines>
  <Paragraphs>0</Paragraphs>
  <TotalTime>8</TotalTime>
  <ScaleCrop>false</ScaleCrop>
  <LinksUpToDate>false</LinksUpToDate>
  <CharactersWithSpaces>7854</CharactersWithSpaces>
  <Application>WPS Office WWO_dingtalk_20251229114113-512ad6072f</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2026-09-18T10:29:00Z</dcterms:created>
  <dc:creator>管勤亮</dc:creator>
  <cp:lastModifiedBy>管勤亮</cp:lastModifiedBy>
  <dcterms:modified xsi:type="dcterms:W3CDTF">2026-09-18T14:59:39Z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2052-11.8.2.10440</vt:lpwstr>
  </property>
  <property fmtid="{D5CDD505-2E9C-101B-9397-08002B2CF9AE}" pid="3" name="ICV">
    <vt:lpwstr>9487FEE7713242F4BD466EFC5EE95275_13</vt:lpwstr>
  </property>
  <property fmtid="{D5CDD505-2E9C-101B-9397-08002B2CF9AE}" pid="4" name="KSOTemplateDocerSaveRecord">
    <vt:lpwstr>eyJoZGlkIjoiZjJhOTI4NzUxZTNhNTIyZjI2NjI3MGE0YWMzMzBlMmUiLCJ1c2VySWQiOiIxODg2MDI0Mjc4In0=</vt:lpwstr>
  </property>
</Properties>
</file>