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9E283">
      <w:pPr>
        <w:pStyle w:val="96"/>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C7D50DF">
      <w:pPr>
        <w:ind w:right="280"/>
        <w:jc w:val="center"/>
        <w:rPr>
          <w:rFonts w:ascii="宋体" w:hAnsi="宋体"/>
          <w:sz w:val="48"/>
          <w:szCs w:val="48"/>
        </w:rPr>
      </w:pPr>
    </w:p>
    <w:p w14:paraId="0E641B5F">
      <w:pPr>
        <w:ind w:right="280"/>
        <w:jc w:val="center"/>
        <w:rPr>
          <w:rFonts w:ascii="宋体" w:hAnsi="宋体"/>
          <w:sz w:val="48"/>
          <w:szCs w:val="48"/>
        </w:rPr>
      </w:pPr>
    </w:p>
    <w:p w14:paraId="729FE239">
      <w:pPr>
        <w:ind w:right="280"/>
        <w:jc w:val="center"/>
        <w:rPr>
          <w:rFonts w:ascii="宋体" w:hAnsi="宋体"/>
          <w:sz w:val="48"/>
          <w:szCs w:val="48"/>
        </w:rPr>
      </w:pPr>
    </w:p>
    <w:p w14:paraId="4A2004E5">
      <w:pPr>
        <w:ind w:right="280"/>
        <w:jc w:val="center"/>
        <w:rPr>
          <w:rFonts w:ascii="宋体" w:hAnsi="宋体"/>
          <w:sz w:val="48"/>
          <w:szCs w:val="48"/>
        </w:rPr>
      </w:pPr>
    </w:p>
    <w:p w14:paraId="42A27051">
      <w:pPr>
        <w:ind w:right="280"/>
        <w:jc w:val="center"/>
        <w:rPr>
          <w:rFonts w:ascii="楷体_GB2312" w:hAnsi="宋体" w:eastAsia="楷体_GB2312"/>
          <w:sz w:val="52"/>
          <w:szCs w:val="52"/>
        </w:rPr>
      </w:pPr>
    </w:p>
    <w:p w14:paraId="5765B575">
      <w:pPr>
        <w:ind w:right="280"/>
        <w:jc w:val="center"/>
        <w:rPr>
          <w:rFonts w:ascii="楷体_GB2312" w:hAnsi="宋体" w:eastAsia="楷体_GB2312"/>
          <w:sz w:val="52"/>
          <w:szCs w:val="52"/>
        </w:rPr>
      </w:pPr>
      <w:r>
        <w:rPr>
          <w:rFonts w:hint="eastAsia" w:ascii="楷体_GB2312" w:hAnsi="宋体" w:eastAsia="楷体_GB2312"/>
          <w:sz w:val="52"/>
          <w:szCs w:val="52"/>
        </w:rPr>
        <w:t>杭发公司电梯维护保养项目</w:t>
      </w:r>
    </w:p>
    <w:p w14:paraId="2FA3E35A">
      <w:pPr>
        <w:ind w:right="280"/>
        <w:jc w:val="center"/>
        <w:rPr>
          <w:sz w:val="28"/>
          <w:szCs w:val="28"/>
        </w:rPr>
      </w:pPr>
    </w:p>
    <w:p w14:paraId="76855C16">
      <w:pPr>
        <w:ind w:right="280"/>
        <w:jc w:val="center"/>
        <w:rPr>
          <w:sz w:val="28"/>
          <w:szCs w:val="28"/>
        </w:rPr>
      </w:pPr>
    </w:p>
    <w:p w14:paraId="6F59D8ED">
      <w:pPr>
        <w:jc w:val="center"/>
        <w:rPr>
          <w:rFonts w:ascii="宋体" w:hAnsi="宋体" w:cs="宋体"/>
          <w:sz w:val="72"/>
          <w:szCs w:val="72"/>
        </w:rPr>
      </w:pPr>
      <w:r>
        <w:rPr>
          <w:rFonts w:hint="eastAsia" w:ascii="宋体" w:hAnsi="宋体" w:cs="宋体"/>
          <w:sz w:val="72"/>
          <w:szCs w:val="72"/>
        </w:rPr>
        <w:t>招标文件</w:t>
      </w:r>
    </w:p>
    <w:p w14:paraId="0F239001">
      <w:pPr>
        <w:jc w:val="center"/>
        <w:rPr>
          <w:rFonts w:ascii="宋体" w:hAnsi="宋体"/>
          <w:sz w:val="48"/>
          <w:szCs w:val="48"/>
        </w:rPr>
      </w:pPr>
    </w:p>
    <w:p w14:paraId="0E87E863">
      <w:pPr>
        <w:jc w:val="center"/>
        <w:rPr>
          <w:rFonts w:hint="eastAsia" w:ascii="宋体" w:hAnsi="宋体" w:eastAsia="宋体"/>
          <w:sz w:val="48"/>
          <w:szCs w:val="48"/>
          <w:lang w:val="en-US" w:eastAsia="zh-CN"/>
        </w:rPr>
      </w:pPr>
    </w:p>
    <w:p w14:paraId="7323B800">
      <w:pPr>
        <w:widowControl/>
        <w:spacing w:line="360" w:lineRule="auto"/>
        <w:jc w:val="center"/>
        <w:rPr>
          <w:rFonts w:hint="eastAsia" w:ascii="宋体" w:hAnsi="宋体" w:eastAsia="宋体" w:cs="宋体"/>
          <w:b/>
          <w:bCs/>
          <w:kern w:val="0"/>
          <w:sz w:val="32"/>
          <w:szCs w:val="32"/>
          <w:highlight w:val="none"/>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highlight w:val="none"/>
          <w:u w:val="single"/>
          <w:lang w:eastAsia="zh-CN"/>
        </w:rPr>
        <w:t>ZBGL2026080251</w:t>
      </w:r>
    </w:p>
    <w:p w14:paraId="30670CC2">
      <w:pPr>
        <w:jc w:val="both"/>
        <w:rPr>
          <w:rFonts w:ascii="宋体" w:hAnsi="宋体"/>
          <w:sz w:val="28"/>
          <w:szCs w:val="28"/>
        </w:rPr>
      </w:pPr>
    </w:p>
    <w:p w14:paraId="37DCF673">
      <w:pPr>
        <w:jc w:val="center"/>
        <w:rPr>
          <w:rFonts w:ascii="宋体" w:hAnsi="宋体"/>
          <w:sz w:val="28"/>
          <w:szCs w:val="28"/>
        </w:rPr>
      </w:pPr>
    </w:p>
    <w:p w14:paraId="1158682D">
      <w:pPr>
        <w:jc w:val="center"/>
        <w:rPr>
          <w:rFonts w:ascii="宋体" w:hAnsi="宋体"/>
          <w:sz w:val="28"/>
          <w:szCs w:val="28"/>
        </w:rPr>
      </w:pPr>
      <w:r>
        <w:rPr>
          <w:rFonts w:hint="eastAsia" w:ascii="宋体" w:hAnsi="宋体"/>
          <w:sz w:val="28"/>
          <w:szCs w:val="28"/>
        </w:rPr>
        <w:t>招 标 人：中国重汽集团</w:t>
      </w:r>
      <w:r>
        <w:rPr>
          <w:rFonts w:hint="eastAsia" w:ascii="宋体" w:hAnsi="宋体"/>
          <w:sz w:val="28"/>
          <w:szCs w:val="28"/>
          <w:lang w:val="en-US" w:eastAsia="zh-CN"/>
        </w:rPr>
        <w:t>杭州发动机</w:t>
      </w:r>
      <w:r>
        <w:rPr>
          <w:rFonts w:hint="eastAsia" w:ascii="宋体" w:hAnsi="宋体"/>
          <w:sz w:val="28"/>
          <w:szCs w:val="28"/>
        </w:rPr>
        <w:t>有限公司</w:t>
      </w:r>
    </w:p>
    <w:p w14:paraId="4D1DB6C3">
      <w:pPr>
        <w:jc w:val="center"/>
        <w:rPr>
          <w:rFonts w:ascii="宋体" w:hAnsi="宋体"/>
          <w:sz w:val="28"/>
          <w:szCs w:val="28"/>
        </w:rPr>
      </w:pPr>
    </w:p>
    <w:p w14:paraId="16476546">
      <w:pPr>
        <w:jc w:val="center"/>
        <w:rPr>
          <w:rFonts w:ascii="宋体" w:hAnsi="宋体"/>
          <w:b/>
          <w:bCs/>
          <w:sz w:val="48"/>
          <w:szCs w:val="48"/>
        </w:rPr>
      </w:pPr>
      <w:r>
        <w:rPr>
          <w:rFonts w:hint="eastAsia" w:ascii="宋体" w:hAnsi="宋体"/>
          <w:sz w:val="28"/>
          <w:szCs w:val="28"/>
          <w:u w:val="single"/>
        </w:rPr>
        <w:t>2</w:t>
      </w:r>
      <w:r>
        <w:rPr>
          <w:rFonts w:hint="eastAsia" w:ascii="宋体" w:hAnsi="宋体"/>
          <w:sz w:val="28"/>
          <w:szCs w:val="28"/>
          <w:highlight w:val="none"/>
          <w:u w:val="single"/>
        </w:rPr>
        <w:t>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8</w:t>
      </w:r>
      <w:r>
        <w:rPr>
          <w:rFonts w:hint="eastAsia" w:ascii="宋体" w:hAnsi="宋体"/>
          <w:sz w:val="28"/>
          <w:szCs w:val="28"/>
          <w:highlight w:val="none"/>
          <w:u w:val="single"/>
        </w:rPr>
        <w:t>月</w:t>
      </w:r>
    </w:p>
    <w:p w14:paraId="3D3382BE">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2203DC88">
          <w:pPr>
            <w:pStyle w:val="70"/>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1BF168EA">
          <w:pPr>
            <w:pStyle w:val="22"/>
            <w:tabs>
              <w:tab w:val="right" w:leader="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_Toc29363 </w:instrText>
          </w:r>
          <w:r>
            <w:rPr>
              <w:rFonts w:hint="eastAsia" w:ascii="Calibri" w:hAnsi="Calibri"/>
              <w:bCs/>
              <w:kern w:val="44"/>
              <w:szCs w:val="44"/>
            </w:rPr>
            <w:fldChar w:fldCharType="separate"/>
          </w:r>
          <w:r>
            <w:rPr>
              <w:rFonts w:hint="eastAsia"/>
            </w:rPr>
            <w:t>招标公告（适用于公开招标）</w:t>
          </w:r>
          <w:r>
            <w:tab/>
          </w:r>
          <w:r>
            <w:fldChar w:fldCharType="begin"/>
          </w:r>
          <w:r>
            <w:instrText xml:space="preserve"> PAGEREF _Toc29363 \h </w:instrText>
          </w:r>
          <w:r>
            <w:fldChar w:fldCharType="separate"/>
          </w:r>
          <w:r>
            <w:t>- 1 -</w:t>
          </w:r>
          <w:r>
            <w:fldChar w:fldCharType="end"/>
          </w:r>
          <w:r>
            <w:rPr>
              <w:rFonts w:hint="eastAsia" w:ascii="Calibri" w:hAnsi="Calibri"/>
              <w:bCs/>
              <w:kern w:val="44"/>
              <w:szCs w:val="44"/>
            </w:rPr>
            <w:fldChar w:fldCharType="end"/>
          </w:r>
        </w:p>
        <w:p w14:paraId="013EAB51">
          <w:pPr>
            <w:pStyle w:val="22"/>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_Toc4888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_Toc4888 \h </w:instrText>
          </w:r>
          <w:r>
            <w:fldChar w:fldCharType="separate"/>
          </w:r>
          <w:r>
            <w:t>- 4 -</w:t>
          </w:r>
          <w:r>
            <w:fldChar w:fldCharType="end"/>
          </w:r>
          <w:r>
            <w:rPr>
              <w:rFonts w:hint="eastAsia" w:ascii="Calibri" w:hAnsi="Calibri" w:eastAsia="宋体" w:cs="Times New Roman"/>
              <w:bCs/>
              <w:kern w:val="44"/>
              <w:szCs w:val="44"/>
            </w:rPr>
            <w:fldChar w:fldCharType="end"/>
          </w:r>
        </w:p>
        <w:p w14:paraId="5C6A4916">
          <w:pPr>
            <w:pStyle w:val="22"/>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_Toc855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_Toc855 \h </w:instrText>
          </w:r>
          <w:r>
            <w:fldChar w:fldCharType="separate"/>
          </w:r>
          <w:r>
            <w:t>- 15 -</w:t>
          </w:r>
          <w:r>
            <w:fldChar w:fldCharType="end"/>
          </w:r>
          <w:r>
            <w:rPr>
              <w:rFonts w:hint="eastAsia" w:ascii="Calibri" w:hAnsi="Calibri" w:eastAsia="宋体" w:cs="Times New Roman"/>
              <w:bCs/>
              <w:kern w:val="44"/>
              <w:szCs w:val="44"/>
            </w:rPr>
            <w:fldChar w:fldCharType="end"/>
          </w:r>
        </w:p>
        <w:p w14:paraId="066CEFD7">
          <w:pPr>
            <w:pStyle w:val="22"/>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_Toc26245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_Toc26245 \h </w:instrText>
          </w:r>
          <w:r>
            <w:fldChar w:fldCharType="separate"/>
          </w:r>
          <w:r>
            <w:t>- 19 -</w:t>
          </w:r>
          <w:r>
            <w:fldChar w:fldCharType="end"/>
          </w:r>
          <w:r>
            <w:rPr>
              <w:rFonts w:hint="eastAsia" w:ascii="Calibri" w:hAnsi="Calibri" w:eastAsia="宋体" w:cs="Times New Roman"/>
              <w:bCs/>
              <w:kern w:val="44"/>
              <w:szCs w:val="44"/>
            </w:rPr>
            <w:fldChar w:fldCharType="end"/>
          </w:r>
        </w:p>
        <w:p w14:paraId="17472759">
          <w:pPr>
            <w:pStyle w:val="22"/>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_Toc28138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_Toc28138 \h </w:instrText>
          </w:r>
          <w:r>
            <w:fldChar w:fldCharType="separate"/>
          </w:r>
          <w:r>
            <w:t>- 23 -</w:t>
          </w:r>
          <w:r>
            <w:fldChar w:fldCharType="end"/>
          </w:r>
          <w:r>
            <w:rPr>
              <w:rFonts w:hint="eastAsia" w:ascii="Calibri" w:hAnsi="Calibri" w:eastAsia="宋体" w:cs="Times New Roman"/>
              <w:bCs/>
              <w:kern w:val="44"/>
              <w:szCs w:val="44"/>
            </w:rPr>
            <w:fldChar w:fldCharType="end"/>
          </w:r>
        </w:p>
        <w:p w14:paraId="03129F1C">
          <w:pPr>
            <w:pStyle w:val="22"/>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_Toc7905 </w:instrText>
          </w:r>
          <w:r>
            <w:rPr>
              <w:rFonts w:hint="eastAsia" w:ascii="Calibri" w:hAnsi="Calibri" w:eastAsia="宋体" w:cs="Times New Roman"/>
              <w:bCs/>
              <w:kern w:val="44"/>
              <w:szCs w:val="44"/>
            </w:rPr>
            <w:fldChar w:fldCharType="separate"/>
          </w:r>
          <w:r>
            <w:rPr>
              <w:rFonts w:hint="eastAsia" w:ascii="宋体" w:hAnsi="宋体" w:eastAsia="宋体" w:cs="宋体"/>
              <w:szCs w:val="32"/>
              <w:highlight w:val="none"/>
            </w:rPr>
            <w:t>附件</w:t>
          </w:r>
          <w:r>
            <w:tab/>
          </w:r>
          <w:r>
            <w:fldChar w:fldCharType="begin"/>
          </w:r>
          <w:r>
            <w:instrText xml:space="preserve"> PAGEREF _Toc7905 \h </w:instrText>
          </w:r>
          <w:r>
            <w:fldChar w:fldCharType="separate"/>
          </w:r>
          <w:r>
            <w:t>- 23 -</w:t>
          </w:r>
          <w:r>
            <w:fldChar w:fldCharType="end"/>
          </w:r>
          <w:r>
            <w:rPr>
              <w:rFonts w:hint="eastAsia" w:ascii="Calibri" w:hAnsi="Calibri" w:eastAsia="宋体" w:cs="Times New Roman"/>
              <w:bCs/>
              <w:kern w:val="44"/>
              <w:szCs w:val="44"/>
            </w:rPr>
            <w:fldChar w:fldCharType="end"/>
          </w:r>
        </w:p>
        <w:p w14:paraId="46E2DEE0">
          <w:pPr>
            <w:pStyle w:val="22"/>
          </w:pPr>
          <w:r>
            <w:rPr>
              <w:rFonts w:hint="eastAsia" w:ascii="Calibri" w:hAnsi="Calibri" w:eastAsia="宋体" w:cs="Times New Roman"/>
              <w:bCs/>
              <w:kern w:val="44"/>
              <w:szCs w:val="44"/>
            </w:rPr>
            <w:fldChar w:fldCharType="end"/>
          </w:r>
        </w:p>
      </w:sdtContent>
    </w:sdt>
    <w:p w14:paraId="10689DFC">
      <w:pPr>
        <w:pStyle w:val="16"/>
        <w:tabs>
          <w:tab w:val="left" w:pos="2940"/>
        </w:tabs>
        <w:spacing w:line="360" w:lineRule="auto"/>
      </w:pPr>
      <w:r>
        <w:tab/>
      </w:r>
    </w:p>
    <w:p w14:paraId="20AE4C19">
      <w:pPr>
        <w:pStyle w:val="16"/>
        <w:spacing w:line="360" w:lineRule="auto"/>
        <w:jc w:val="center"/>
      </w:pPr>
    </w:p>
    <w:p w14:paraId="1226C55A">
      <w:pPr>
        <w:pStyle w:val="16"/>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4D838DB9">
      <w:pPr>
        <w:pStyle w:val="73"/>
      </w:pPr>
      <w:bookmarkStart w:id="0" w:name="_Toc47976587"/>
      <w:bookmarkStart w:id="1" w:name="_Toc29363"/>
      <w:r>
        <w:rPr>
          <w:rFonts w:hint="eastAsia"/>
        </w:rPr>
        <w:t>招标公告</w:t>
      </w:r>
      <w:bookmarkEnd w:id="0"/>
      <w:r>
        <w:rPr>
          <w:rFonts w:hint="eastAsia"/>
        </w:rPr>
        <w:t>（适用于公开招标）</w:t>
      </w:r>
      <w:bookmarkEnd w:id="1"/>
    </w:p>
    <w:p w14:paraId="2160E379">
      <w:pPr>
        <w:pStyle w:val="73"/>
        <w:jc w:val="center"/>
        <w:rPr>
          <w:rFonts w:hint="eastAsia"/>
        </w:rPr>
      </w:pPr>
      <w:bookmarkStart w:id="2" w:name="_Toc32474"/>
      <w:bookmarkStart w:id="3" w:name="_Toc18491"/>
      <w:r>
        <w:rPr>
          <w:rFonts w:hint="eastAsia"/>
          <w:sz w:val="28"/>
          <w:lang w:val="en-US" w:eastAsia="zh-CN"/>
        </w:rPr>
        <w:t>杭发公司电梯维护保养招标项目</w:t>
      </w:r>
      <w:r>
        <w:rPr>
          <w:rFonts w:hint="eastAsia"/>
          <w:sz w:val="28"/>
        </w:rPr>
        <w:t>招标公告</w:t>
      </w:r>
      <w:bookmarkEnd w:id="2"/>
      <w:bookmarkEnd w:id="3"/>
    </w:p>
    <w:p w14:paraId="4339C3AD">
      <w:pPr>
        <w:pStyle w:val="74"/>
      </w:pPr>
      <w:bookmarkStart w:id="4" w:name="_Toc47976588"/>
      <w:r>
        <w:rPr>
          <w:rFonts w:hint="eastAsia"/>
        </w:rPr>
        <w:t>项目名称及项目编号</w:t>
      </w:r>
      <w:bookmarkEnd w:id="4"/>
    </w:p>
    <w:p w14:paraId="1822AC25">
      <w:pPr>
        <w:pStyle w:val="75"/>
        <w:rPr>
          <w:highlight w:val="none"/>
        </w:rPr>
      </w:pPr>
      <w:r>
        <w:rPr>
          <w:rFonts w:hint="eastAsia"/>
        </w:rPr>
        <w:t>项目名称：</w:t>
      </w:r>
      <w:r>
        <w:rPr>
          <w:rFonts w:hint="eastAsia" w:ascii="宋体" w:hAnsi="Courier New" w:eastAsia="宋体" w:cs="Times New Roman"/>
          <w:b/>
          <w:bCs w:val="0"/>
          <w:kern w:val="2"/>
          <w:sz w:val="21"/>
          <w:szCs w:val="20"/>
          <w:highlight w:val="none"/>
          <w:lang w:val="en-US" w:eastAsia="zh-CN" w:bidi="ar-SA"/>
        </w:rPr>
        <w:t>杭发公司电梯维护保养招标项目</w:t>
      </w:r>
    </w:p>
    <w:p w14:paraId="581A28A9">
      <w:pPr>
        <w:pStyle w:val="75"/>
      </w:pPr>
      <w:r>
        <w:rPr>
          <w:rFonts w:hint="eastAsia"/>
        </w:rPr>
        <w:t>项目编号：</w:t>
      </w:r>
      <w:r>
        <w:rPr>
          <w:rFonts w:hint="eastAsia" w:ascii="宋体" w:hAnsi="Courier New" w:eastAsia="宋体" w:cs="Times New Roman"/>
          <w:b/>
          <w:bCs w:val="0"/>
          <w:kern w:val="2"/>
          <w:sz w:val="21"/>
          <w:szCs w:val="20"/>
          <w:highlight w:val="none"/>
          <w:lang w:val="en-US" w:eastAsia="zh-CN" w:bidi="ar-SA"/>
        </w:rPr>
        <w:t xml:space="preserve"> ZBGL2026080251</w:t>
      </w:r>
    </w:p>
    <w:p w14:paraId="46206420">
      <w:pPr>
        <w:pStyle w:val="74"/>
      </w:pPr>
      <w:bookmarkStart w:id="5" w:name="_Toc47976589"/>
      <w:r>
        <w:rPr>
          <w:rFonts w:hint="eastAsia"/>
          <w:lang w:val="en-US" w:eastAsia="zh-CN"/>
        </w:rPr>
        <w:t>项目概况</w:t>
      </w:r>
      <w:r>
        <w:rPr>
          <w:rFonts w:hint="eastAsia"/>
        </w:rPr>
        <w:t>及招标形式</w:t>
      </w:r>
      <w:bookmarkEnd w:id="5"/>
    </w:p>
    <w:p w14:paraId="40576117">
      <w:pPr>
        <w:pStyle w:val="75"/>
        <w:numPr>
          <w:ilvl w:val="0"/>
          <w:numId w:val="9"/>
        </w:numPr>
      </w:pPr>
      <w:r>
        <w:rPr>
          <w:rFonts w:hint="eastAsia"/>
        </w:rPr>
        <w:t>招标内容：</w:t>
      </w:r>
      <w:r>
        <w:rPr>
          <w:rFonts w:hint="eastAsia"/>
          <w:lang w:val="en-US" w:eastAsia="zh-CN"/>
        </w:rPr>
        <w:t xml:space="preserve">杭发公司5台电梯维护保养项目，具体明细见第三章技术协议。  </w:t>
      </w:r>
    </w:p>
    <w:p w14:paraId="44191089">
      <w:pPr>
        <w:pStyle w:val="75"/>
      </w:pPr>
      <w:r>
        <w:rPr>
          <w:rFonts w:hint="eastAsia"/>
        </w:rPr>
        <w:t>招标形式：</w:t>
      </w:r>
      <w:r>
        <w:rPr>
          <w:rFonts w:hint="eastAsia"/>
          <w:lang w:val="en-US" w:eastAsia="zh-CN"/>
        </w:rPr>
        <w:t>公开招标</w:t>
      </w:r>
      <w:r>
        <w:rPr>
          <w:rFonts w:hint="eastAsia"/>
        </w:rPr>
        <w:t>。</w:t>
      </w:r>
    </w:p>
    <w:p w14:paraId="131F7602">
      <w:pPr>
        <w:pStyle w:val="74"/>
        <w:rPr>
          <w:highlight w:val="none"/>
        </w:rPr>
      </w:pPr>
      <w:bookmarkStart w:id="6" w:name="_Toc47976590"/>
      <w:r>
        <w:rPr>
          <w:rFonts w:hint="eastAsia"/>
          <w:highlight w:val="none"/>
        </w:rPr>
        <w:t>投标人资格要求</w:t>
      </w:r>
      <w:bookmarkEnd w:id="6"/>
    </w:p>
    <w:p w14:paraId="3B3E27BB">
      <w:pPr>
        <w:pStyle w:val="16"/>
        <w:spacing w:line="360" w:lineRule="auto"/>
        <w:ind w:firstLine="420" w:firstLineChars="200"/>
        <w:rPr>
          <w:rFonts w:hint="eastAsia" w:ascii="宋体" w:hAnsi="宋体" w:eastAsia="宋体" w:cs="宋体"/>
          <w:b/>
          <w:sz w:val="21"/>
          <w:szCs w:val="21"/>
        </w:rPr>
      </w:pPr>
      <w:r>
        <w:rPr>
          <w:rFonts w:hint="eastAsia" w:ascii="宋体" w:hAnsi="宋体" w:eastAsia="宋体" w:cs="宋体"/>
          <w:sz w:val="21"/>
          <w:szCs w:val="21"/>
        </w:rPr>
        <w:t>1.投标人须遵守《中华人民共和国招标投标法》、《中华人民共和国民法典》及其它有关的法律和法规；为中华人民共和国境内注册的独立法人机构，具有独立承担民事责任能力；</w:t>
      </w:r>
    </w:p>
    <w:p w14:paraId="4651B71C">
      <w:pPr>
        <w:pStyle w:val="16"/>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2.公司</w:t>
      </w:r>
      <w:r>
        <w:rPr>
          <w:rFonts w:hint="eastAsia" w:ascii="宋体" w:hAnsi="宋体" w:eastAsia="宋体" w:cs="宋体"/>
          <w:b w:val="0"/>
          <w:bCs w:val="0"/>
          <w:sz w:val="21"/>
          <w:szCs w:val="21"/>
          <w:u w:val="single"/>
        </w:rPr>
        <w:t>成立三年以上</w:t>
      </w:r>
      <w:r>
        <w:rPr>
          <w:rFonts w:hint="eastAsia" w:ascii="宋体" w:hAnsi="宋体" w:eastAsia="宋体" w:cs="宋体"/>
          <w:b w:val="0"/>
          <w:bCs w:val="0"/>
          <w:sz w:val="21"/>
          <w:szCs w:val="21"/>
        </w:rPr>
        <w:t>（以营业执照成立日期到开标当日满三年为准）注册资金</w:t>
      </w:r>
      <w:r>
        <w:rPr>
          <w:rFonts w:hint="eastAsia" w:ascii="宋体" w:hAnsi="宋体" w:eastAsia="宋体" w:cs="宋体"/>
          <w:b w:val="0"/>
          <w:bCs w:val="0"/>
          <w:sz w:val="21"/>
          <w:szCs w:val="21"/>
          <w:u w:val="single"/>
        </w:rPr>
        <w:t>不</w:t>
      </w:r>
      <w:r>
        <w:rPr>
          <w:rFonts w:hint="eastAsia" w:ascii="宋体" w:hAnsi="宋体" w:eastAsia="宋体" w:cs="宋体"/>
          <w:b w:val="0"/>
          <w:bCs w:val="0"/>
          <w:sz w:val="21"/>
          <w:szCs w:val="21"/>
          <w:highlight w:val="none"/>
          <w:u w:val="single"/>
        </w:rPr>
        <w:t>能少于50万</w:t>
      </w:r>
      <w:r>
        <w:rPr>
          <w:rFonts w:hint="eastAsia" w:ascii="宋体" w:hAnsi="宋体" w:eastAsia="宋体" w:cs="宋体"/>
          <w:b w:val="0"/>
          <w:bCs w:val="0"/>
          <w:sz w:val="21"/>
          <w:szCs w:val="21"/>
          <w:highlight w:val="none"/>
        </w:rPr>
        <w:t>；经</w:t>
      </w:r>
      <w:r>
        <w:rPr>
          <w:rFonts w:hint="eastAsia" w:ascii="宋体" w:hAnsi="宋体" w:eastAsia="宋体" w:cs="宋体"/>
          <w:b w:val="0"/>
          <w:bCs w:val="0"/>
          <w:sz w:val="21"/>
          <w:szCs w:val="21"/>
        </w:rPr>
        <w:t>营范围满足招标项目需求；</w:t>
      </w:r>
    </w:p>
    <w:p w14:paraId="189FB9A5">
      <w:pPr>
        <w:pStyle w:val="16"/>
        <w:spacing w:line="360" w:lineRule="auto"/>
        <w:ind w:firstLine="422" w:firstLineChars="200"/>
        <w:rPr>
          <w:rFonts w:hint="eastAsia" w:ascii="宋体" w:hAnsi="宋体" w:eastAsia="宋体" w:cs="宋体"/>
          <w:b w:val="0"/>
          <w:bCs w:val="0"/>
          <w:sz w:val="21"/>
          <w:szCs w:val="21"/>
        </w:rPr>
      </w:pPr>
      <w:r>
        <w:rPr>
          <w:rFonts w:hint="eastAsia" w:ascii="宋体" w:hAnsi="宋体" w:eastAsia="宋体" w:cs="宋体"/>
          <w:b/>
          <w:bCs/>
          <w:color w:val="FF0000"/>
          <w:sz w:val="21"/>
          <w:szCs w:val="21"/>
          <w:lang w:val="en-US" w:eastAsia="zh-CN"/>
        </w:rPr>
        <w:t>*</w:t>
      </w:r>
      <w:r>
        <w:rPr>
          <w:rFonts w:hint="eastAsia" w:ascii="宋体" w:hAnsi="宋体" w:eastAsia="宋体" w:cs="宋体"/>
          <w:b w:val="0"/>
          <w:bCs w:val="0"/>
          <w:sz w:val="21"/>
          <w:szCs w:val="21"/>
        </w:rPr>
        <w:t>3.投标人须提供具有统一社会信用代码的新版营业执照副本原件及复印件（加盖公章）；</w:t>
      </w:r>
    </w:p>
    <w:p w14:paraId="69F2C5FB">
      <w:pPr>
        <w:pStyle w:val="16"/>
        <w:spacing w:line="360" w:lineRule="auto"/>
        <w:ind w:firstLine="420" w:firstLineChars="200"/>
        <w:rPr>
          <w:rFonts w:hint="eastAsia" w:ascii="宋体" w:hAnsi="宋体" w:eastAsia="宋体" w:cs="宋体"/>
          <w:b w:val="0"/>
          <w:bCs w:val="0"/>
          <w:sz w:val="21"/>
          <w:szCs w:val="21"/>
        </w:rPr>
      </w:pPr>
      <w:r>
        <w:rPr>
          <w:rFonts w:hint="eastAsia" w:hAnsi="宋体" w:cs="宋体"/>
          <w:sz w:val="21"/>
          <w:szCs w:val="21"/>
          <w:lang w:val="en-US" w:eastAsia="zh-CN" w:bidi="ar"/>
        </w:rPr>
        <w:t>4.</w:t>
      </w:r>
      <w:r>
        <w:rPr>
          <w:rFonts w:hint="eastAsia" w:ascii="宋体" w:hAnsi="宋体" w:cs="宋体"/>
          <w:sz w:val="21"/>
          <w:szCs w:val="21"/>
          <w:lang w:bidi="ar"/>
        </w:rPr>
        <w:t>具有良好的商业信誉，在国家企业信用信息公示系统中无与本项目有关的行政处罚、列入经营异常名录和列入严重违法失信企业名单（黑名单）信息但上述信息已被移除的可参与投标；</w:t>
      </w:r>
    </w:p>
    <w:p w14:paraId="62C23981">
      <w:pPr>
        <w:pStyle w:val="16"/>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5</w:t>
      </w:r>
      <w:r>
        <w:rPr>
          <w:rFonts w:hint="eastAsia" w:ascii="宋体" w:hAnsi="宋体" w:eastAsia="宋体" w:cs="宋体"/>
          <w:sz w:val="21"/>
          <w:szCs w:val="21"/>
        </w:rPr>
        <w:t>.投标人在近三年内在经营活动中无违法记录。</w:t>
      </w:r>
    </w:p>
    <w:p w14:paraId="48793177">
      <w:pPr>
        <w:pStyle w:val="16"/>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6</w:t>
      </w:r>
      <w:r>
        <w:rPr>
          <w:rFonts w:hint="eastAsia" w:ascii="宋体" w:hAnsi="宋体" w:eastAsia="宋体" w:cs="宋体"/>
          <w:sz w:val="21"/>
          <w:szCs w:val="21"/>
        </w:rPr>
        <w:t>.具有健全的财务会计制度，财务状况和市场行为良好。没有处于被有权机关吊销营业执照、吊销资质、停业整顿、取消投标资格以及财产被接管、冻结或进入破产程序等。</w:t>
      </w:r>
    </w:p>
    <w:p w14:paraId="26FF4376">
      <w:pPr>
        <w:pStyle w:val="16"/>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7</w:t>
      </w:r>
      <w:r>
        <w:rPr>
          <w:rFonts w:hint="eastAsia" w:ascii="宋体" w:hAnsi="宋体" w:eastAsia="宋体" w:cs="宋体"/>
          <w:sz w:val="21"/>
          <w:szCs w:val="21"/>
        </w:rPr>
        <w:t>.投标人没有被列入招标人处《黑名单》（《黑名单》指投标人与招标人在以往或正在进行的合作中，存在招标人认为的违反合同约定或违反法律法规等的失信行为）的。投标人过往项目（和杭发公司合作项目）存在明显质量问题，经综合判定不合格的，视为不合格投标方。</w:t>
      </w:r>
    </w:p>
    <w:p w14:paraId="6FF62D71">
      <w:pPr>
        <w:pStyle w:val="16"/>
        <w:spacing w:line="360" w:lineRule="auto"/>
        <w:ind w:firstLine="422" w:firstLineChars="200"/>
        <w:rPr>
          <w:rFonts w:hint="eastAsia" w:ascii="宋体" w:hAnsi="宋体" w:eastAsia="宋体" w:cs="宋体"/>
          <w:sz w:val="21"/>
          <w:szCs w:val="21"/>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8</w:t>
      </w:r>
      <w:r>
        <w:rPr>
          <w:rFonts w:hint="eastAsia" w:ascii="宋体" w:hAnsi="宋体" w:eastAsia="宋体" w:cs="宋体"/>
          <w:sz w:val="21"/>
          <w:szCs w:val="21"/>
        </w:rPr>
        <w:t>.投标人须提供</w:t>
      </w:r>
    </w:p>
    <w:p w14:paraId="01B93804">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且三年财务报表需要同e采通系统内提供的数据一致。</w:t>
      </w:r>
    </w:p>
    <w:p w14:paraId="5AFAB75F">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（2）企业最近半年完税证明、信用证明材料（中国人民银行信用代码证+征信报告） ；</w:t>
      </w:r>
    </w:p>
    <w:p w14:paraId="54EE1E82">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（3）年度纳税信用评价信息（可从电子税务局查询截图，需加盖公章）； </w:t>
      </w:r>
    </w:p>
    <w:p w14:paraId="52DD14B8">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（4）企业对外担保说明（写明贵单位对外有无对外担保和质押业务，需加盖公章）。 </w:t>
      </w:r>
    </w:p>
    <w:p w14:paraId="6B2CD300">
      <w:pPr>
        <w:pStyle w:val="16"/>
        <w:spacing w:line="360" w:lineRule="auto"/>
        <w:ind w:firstLine="422" w:firstLineChars="200"/>
        <w:rPr>
          <w:rFonts w:hint="eastAsia" w:ascii="宋体" w:hAnsi="宋体" w:eastAsia="宋体" w:cs="宋体"/>
          <w:sz w:val="21"/>
          <w:szCs w:val="21"/>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9</w:t>
      </w:r>
      <w:r>
        <w:rPr>
          <w:rFonts w:hint="eastAsia" w:ascii="宋体" w:hAnsi="宋体" w:eastAsia="宋体" w:cs="宋体"/>
          <w:sz w:val="21"/>
          <w:szCs w:val="21"/>
        </w:rPr>
        <w:t>.投标人须提供法人授权委托书</w:t>
      </w:r>
      <w:r>
        <w:rPr>
          <w:rFonts w:hint="eastAsia" w:ascii="宋体" w:hAnsi="宋体" w:eastAsia="宋体" w:cs="宋体"/>
          <w:b/>
          <w:sz w:val="21"/>
          <w:szCs w:val="21"/>
        </w:rPr>
        <w:t>原件</w:t>
      </w:r>
      <w:r>
        <w:rPr>
          <w:rFonts w:hint="eastAsia" w:ascii="宋体" w:hAnsi="宋体" w:eastAsia="宋体" w:cs="宋体"/>
          <w:sz w:val="21"/>
          <w:szCs w:val="21"/>
        </w:rPr>
        <w:t>（在投标文件副本中可用复印件）及投标单位的法定代表人或授权代表的身份证</w:t>
      </w:r>
      <w:r>
        <w:rPr>
          <w:rFonts w:hint="eastAsia" w:ascii="宋体" w:hAnsi="宋体" w:eastAsia="宋体" w:cs="宋体"/>
          <w:b/>
          <w:sz w:val="21"/>
          <w:szCs w:val="21"/>
        </w:rPr>
        <w:t>原件</w:t>
      </w:r>
      <w:r>
        <w:rPr>
          <w:rFonts w:hint="eastAsia" w:ascii="宋体" w:hAnsi="宋体" w:eastAsia="宋体" w:cs="宋体"/>
          <w:sz w:val="21"/>
          <w:szCs w:val="21"/>
        </w:rPr>
        <w:t>及复印件（加盖公章）；</w:t>
      </w:r>
    </w:p>
    <w:p w14:paraId="1810C764">
      <w:pPr>
        <w:pStyle w:val="16"/>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10</w:t>
      </w:r>
      <w:r>
        <w:rPr>
          <w:rFonts w:hint="eastAsia" w:ascii="宋体" w:hAnsi="宋体" w:eastAsia="宋体" w:cs="宋体"/>
          <w:sz w:val="21"/>
          <w:szCs w:val="21"/>
        </w:rPr>
        <w:t>.投标人须具有履行合同所必须的设备、财务、技术、服务等方面的资质和能力；</w:t>
      </w:r>
    </w:p>
    <w:p w14:paraId="09A2888B">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1</w:t>
      </w:r>
      <w:r>
        <w:rPr>
          <w:rFonts w:hint="eastAsia" w:ascii="宋体" w:hAnsi="宋体" w:eastAsia="宋体" w:cs="宋体"/>
          <w:sz w:val="21"/>
          <w:szCs w:val="21"/>
        </w:rPr>
        <w:t>.投标人须具有完全履行招标文件的所有要求的能力；</w:t>
      </w:r>
    </w:p>
    <w:p w14:paraId="2C892C16">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2</w:t>
      </w:r>
      <w:r>
        <w:rPr>
          <w:rFonts w:hint="eastAsia" w:ascii="宋体" w:hAnsi="宋体" w:eastAsia="宋体" w:cs="宋体"/>
          <w:sz w:val="21"/>
          <w:szCs w:val="21"/>
        </w:rPr>
        <w:t>.投标人须认可招标人的工作指令，包括节、假日能正常开展工作的要求；</w:t>
      </w:r>
    </w:p>
    <w:p w14:paraId="6F6785C1">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3</w:t>
      </w:r>
      <w:r>
        <w:rPr>
          <w:rFonts w:hint="eastAsia" w:ascii="宋体" w:hAnsi="宋体" w:eastAsia="宋体" w:cs="宋体"/>
          <w:sz w:val="21"/>
          <w:szCs w:val="21"/>
        </w:rPr>
        <w:t>.投标人必须是最终投标、签订合同的单位，不得以任何理由将已中标项目以任何形式转包给其他单位；</w:t>
      </w:r>
    </w:p>
    <w:p w14:paraId="6A42952A">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4</w:t>
      </w:r>
      <w:r>
        <w:rPr>
          <w:rFonts w:hint="eastAsia" w:ascii="宋体" w:hAnsi="宋体" w:eastAsia="宋体" w:cs="宋体"/>
          <w:sz w:val="21"/>
          <w:szCs w:val="21"/>
        </w:rPr>
        <w:t>.本次招标项目不接受联合体投标；</w:t>
      </w:r>
    </w:p>
    <w:p w14:paraId="7B428B6D">
      <w:pPr>
        <w:pStyle w:val="16"/>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hAnsi="宋体" w:cs="宋体"/>
          <w:b w:val="0"/>
          <w:bCs w:val="0"/>
          <w:sz w:val="21"/>
          <w:szCs w:val="21"/>
          <w:lang w:val="en-US" w:eastAsia="zh-CN"/>
        </w:rPr>
        <w:t>5</w:t>
      </w:r>
      <w:r>
        <w:rPr>
          <w:rFonts w:hint="eastAsia" w:ascii="宋体" w:hAnsi="宋体" w:eastAsia="宋体" w:cs="宋体"/>
          <w:b w:val="0"/>
          <w:bCs w:val="0"/>
          <w:sz w:val="21"/>
          <w:szCs w:val="21"/>
        </w:rPr>
        <w:t>.投标文件</w:t>
      </w:r>
      <w:r>
        <w:rPr>
          <w:rFonts w:hint="eastAsia" w:ascii="宋体" w:hAnsi="宋体" w:eastAsia="宋体" w:cs="宋体"/>
          <w:b w:val="0"/>
          <w:bCs w:val="0"/>
          <w:sz w:val="21"/>
          <w:szCs w:val="21"/>
          <w:lang w:val="en-US" w:eastAsia="zh-CN"/>
        </w:rPr>
        <w:t>提供1份正本</w:t>
      </w:r>
      <w:r>
        <w:rPr>
          <w:rFonts w:hint="eastAsia" w:ascii="宋体" w:hAnsi="宋体" w:eastAsia="宋体" w:cs="宋体"/>
          <w:b w:val="0"/>
          <w:bCs w:val="0"/>
          <w:sz w:val="21"/>
          <w:szCs w:val="21"/>
        </w:rPr>
        <w:t>（详见本招标文件“投标文件编制”），</w:t>
      </w:r>
      <w:r>
        <w:rPr>
          <w:rFonts w:hint="eastAsia" w:ascii="宋体" w:hAnsi="宋体" w:eastAsia="宋体" w:cs="宋体"/>
          <w:b w:val="0"/>
          <w:bCs w:val="0"/>
          <w:sz w:val="21"/>
          <w:szCs w:val="21"/>
          <w:lang w:val="en-US" w:eastAsia="zh-CN"/>
        </w:rPr>
        <w:t>同时必须将正本扫描</w:t>
      </w:r>
      <w:r>
        <w:rPr>
          <w:rFonts w:hint="eastAsia" w:ascii="宋体" w:hAnsi="宋体" w:eastAsia="宋体" w:cs="宋体"/>
          <w:b w:val="0"/>
          <w:bCs w:val="0"/>
          <w:sz w:val="21"/>
          <w:szCs w:val="21"/>
        </w:rPr>
        <w:t>电子版上传e采通系统。</w:t>
      </w:r>
    </w:p>
    <w:p w14:paraId="77F17A45">
      <w:pPr>
        <w:pStyle w:val="16"/>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6</w:t>
      </w:r>
      <w:r>
        <w:rPr>
          <w:rFonts w:hint="eastAsia" w:ascii="宋体" w:hAnsi="宋体" w:eastAsia="宋体" w:cs="宋体"/>
          <w:sz w:val="21"/>
          <w:szCs w:val="21"/>
        </w:rPr>
        <w:t>.如为代理商投标，需获得生产厂家正式授权，并提供授权书</w:t>
      </w:r>
      <w:r>
        <w:rPr>
          <w:rFonts w:hint="eastAsia" w:ascii="宋体" w:hAnsi="宋体" w:eastAsia="宋体" w:cs="宋体"/>
          <w:b/>
          <w:bCs/>
          <w:sz w:val="21"/>
          <w:szCs w:val="21"/>
        </w:rPr>
        <w:t>原件</w:t>
      </w:r>
      <w:r>
        <w:rPr>
          <w:rFonts w:hint="eastAsia" w:ascii="宋体" w:hAnsi="宋体" w:eastAsia="宋体" w:cs="宋体"/>
          <w:sz w:val="21"/>
          <w:szCs w:val="21"/>
        </w:rPr>
        <w:t>，保证提供原厂售后服务并提供承诺书</w:t>
      </w:r>
      <w:r>
        <w:rPr>
          <w:rFonts w:hint="eastAsia" w:ascii="宋体" w:hAnsi="宋体" w:eastAsia="宋体" w:cs="宋体"/>
          <w:b/>
          <w:bCs/>
          <w:sz w:val="21"/>
          <w:szCs w:val="21"/>
        </w:rPr>
        <w:t>原件</w:t>
      </w:r>
      <w:r>
        <w:rPr>
          <w:rFonts w:hint="eastAsia" w:ascii="宋体" w:hAnsi="宋体" w:eastAsia="宋体" w:cs="宋体"/>
          <w:sz w:val="21"/>
          <w:szCs w:val="21"/>
        </w:rPr>
        <w:t>。</w:t>
      </w:r>
    </w:p>
    <w:p w14:paraId="5B672E3D">
      <w:pPr>
        <w:pStyle w:val="16"/>
        <w:spacing w:line="360" w:lineRule="auto"/>
        <w:ind w:firstLine="422" w:firstLineChars="200"/>
        <w:rPr>
          <w:rFonts w:hint="eastAsia" w:ascii="宋体" w:hAnsi="宋体" w:eastAsia="宋体" w:cs="宋体"/>
          <w:sz w:val="21"/>
          <w:szCs w:val="21"/>
          <w:lang w:val="en-US" w:eastAsia="zh-CN"/>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17</w:t>
      </w:r>
      <w:r>
        <w:rPr>
          <w:rFonts w:hint="eastAsia" w:ascii="宋体" w:hAnsi="宋体" w:eastAsia="宋体" w:cs="宋体"/>
          <w:sz w:val="21"/>
          <w:szCs w:val="21"/>
          <w:lang w:val="en-US" w:eastAsia="zh-CN"/>
        </w:rPr>
        <w:t>.投标单位应提供近三年相同项目或类似项目的销售业绩（加盖公章）;</w:t>
      </w:r>
    </w:p>
    <w:p w14:paraId="555BF22E">
      <w:pPr>
        <w:pStyle w:val="16"/>
        <w:spacing w:line="360" w:lineRule="auto"/>
        <w:ind w:firstLine="422" w:firstLineChars="200"/>
        <w:rPr>
          <w:rFonts w:hint="default" w:ascii="宋体" w:hAnsi="宋体" w:eastAsia="宋体" w:cs="宋体"/>
          <w:sz w:val="21"/>
          <w:szCs w:val="21"/>
          <w:lang w:val="en-US" w:eastAsia="zh-CN"/>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18</w:t>
      </w:r>
      <w:r>
        <w:rPr>
          <w:rFonts w:hint="eastAsia" w:ascii="宋体" w:hAnsi="宋体" w:eastAsia="宋体" w:cs="宋体"/>
          <w:sz w:val="21"/>
          <w:szCs w:val="21"/>
          <w:lang w:val="en-US" w:eastAsia="zh-CN"/>
        </w:rPr>
        <w:t>.投标单位应提供近三年相同项目或类似项目的销售业绩（加盖公章）;</w:t>
      </w:r>
    </w:p>
    <w:p w14:paraId="5A13DBAD">
      <w:pPr>
        <w:pStyle w:val="16"/>
        <w:spacing w:line="360" w:lineRule="auto"/>
        <w:ind w:firstLine="422" w:firstLineChars="200"/>
        <w:rPr>
          <w:highlight w:val="yellow"/>
        </w:rPr>
      </w:pPr>
      <w:r>
        <w:rPr>
          <w:rFonts w:hint="eastAsia" w:ascii="宋体" w:hAnsi="宋体" w:eastAsia="宋体" w:cs="宋体"/>
          <w:b/>
          <w:bCs/>
          <w:sz w:val="21"/>
          <w:szCs w:val="21"/>
        </w:rPr>
        <w:t>注：</w:t>
      </w:r>
      <w:r>
        <w:rPr>
          <w:rFonts w:hint="eastAsia" w:ascii="宋体" w:hAnsi="宋体" w:eastAsia="宋体" w:cs="宋体"/>
          <w:b/>
          <w:bCs/>
          <w:color w:val="FF0000"/>
          <w:sz w:val="21"/>
          <w:szCs w:val="21"/>
          <w:highlight w:val="none"/>
        </w:rPr>
        <w:t>上述带“*”项为必备的资格文件，</w:t>
      </w:r>
      <w:r>
        <w:rPr>
          <w:rFonts w:hint="eastAsia" w:ascii="宋体" w:hAnsi="宋体" w:eastAsia="宋体" w:cs="宋体"/>
          <w:b/>
          <w:bCs/>
          <w:sz w:val="21"/>
          <w:szCs w:val="21"/>
        </w:rPr>
        <w:t>缺项按不响应招标文件或无效投标处理，由专家组评定</w:t>
      </w:r>
      <w:r>
        <w:rPr>
          <w:rFonts w:hint="eastAsia" w:ascii="宋体" w:hAnsi="宋体" w:eastAsia="宋体" w:cs="宋体"/>
          <w:b/>
          <w:bCs/>
          <w:sz w:val="21"/>
          <w:szCs w:val="21"/>
          <w:highlight w:val="none"/>
        </w:rPr>
        <w:t>扣分或废标处理。</w:t>
      </w:r>
    </w:p>
    <w:p w14:paraId="6B2B8192">
      <w:pPr>
        <w:pStyle w:val="74"/>
        <w:rPr>
          <w:highlight w:val="none"/>
        </w:rPr>
      </w:pPr>
      <w:bookmarkStart w:id="7" w:name="_Toc47976591"/>
      <w:r>
        <w:rPr>
          <w:rFonts w:hint="eastAsia"/>
          <w:highlight w:val="none"/>
        </w:rPr>
        <w:t>报名及招标文件的获取</w:t>
      </w:r>
      <w:bookmarkEnd w:id="7"/>
    </w:p>
    <w:p w14:paraId="03694F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yellow"/>
        </w:rPr>
      </w:pPr>
      <w:r>
        <w:rPr>
          <w:rFonts w:hint="eastAsia" w:ascii="宋体" w:hAnsi="宋体" w:eastAsia="宋体" w:cs="宋体"/>
          <w:sz w:val="21"/>
          <w:szCs w:val="21"/>
          <w:lang w:val="en-US" w:eastAsia="zh-CN"/>
        </w:rPr>
        <w:t>1.</w:t>
      </w:r>
      <w:r>
        <w:rPr>
          <w:rFonts w:hint="eastAsia" w:ascii="宋体" w:hAnsi="宋体" w:eastAsia="宋体" w:cs="宋体"/>
          <w:sz w:val="21"/>
          <w:szCs w:val="21"/>
        </w:rPr>
        <w:t>报名方式：投标方需在重汽e采通平台完成注册，并完善信息，具体可参考网址首页下放的《供应商用户手册》。（重汽e采通官方网址：https://ecaitong.sinotruk.com:8012/#/login）,在报名截止时间前在重汽e采通上完成应标。</w:t>
      </w:r>
    </w:p>
    <w:p w14:paraId="6C3DB535">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FF0000"/>
          <w:sz w:val="21"/>
          <w:szCs w:val="21"/>
          <w:highlight w:val="none"/>
        </w:rPr>
      </w:pPr>
      <w:r>
        <w:rPr>
          <w:rFonts w:hint="eastAsia" w:ascii="宋体" w:hAnsi="宋体" w:eastAsia="宋体" w:cs="宋体"/>
          <w:color w:val="FF0000"/>
          <w:sz w:val="21"/>
          <w:szCs w:val="21"/>
          <w:lang w:val="en-US" w:eastAsia="zh-CN"/>
        </w:rPr>
        <w:t>2.</w:t>
      </w:r>
      <w:r>
        <w:rPr>
          <w:rFonts w:hint="eastAsia" w:ascii="宋体" w:hAnsi="宋体" w:eastAsia="宋体" w:cs="宋体"/>
          <w:color w:val="FF0000"/>
          <w:sz w:val="21"/>
          <w:szCs w:val="21"/>
        </w:rPr>
        <w:t>应标截止时间：</w:t>
      </w:r>
      <w:r>
        <w:rPr>
          <w:rFonts w:hint="eastAsia" w:hAnsi="宋体" w:cs="宋体"/>
          <w:color w:val="FF0000"/>
          <w:sz w:val="21"/>
          <w:szCs w:val="21"/>
          <w:highlight w:val="none"/>
          <w:lang w:eastAsia="zh-CN"/>
        </w:rPr>
        <w:t>2026年9月21日</w:t>
      </w:r>
      <w:r>
        <w:rPr>
          <w:rFonts w:hint="eastAsia" w:ascii="宋体" w:hAnsi="宋体" w:eastAsia="宋体" w:cs="宋体"/>
          <w:color w:val="FF0000"/>
          <w:sz w:val="21"/>
          <w:szCs w:val="21"/>
          <w:highlight w:val="none"/>
          <w:lang w:val="en-US" w:eastAsia="zh-CN"/>
        </w:rPr>
        <w:t>17:00</w:t>
      </w:r>
      <w:r>
        <w:rPr>
          <w:rFonts w:hint="eastAsia" w:ascii="宋体" w:hAnsi="宋体" w:eastAsia="宋体" w:cs="宋体"/>
          <w:color w:val="FF0000"/>
          <w:sz w:val="21"/>
          <w:szCs w:val="21"/>
          <w:highlight w:val="none"/>
        </w:rPr>
        <w:t>前（以</w:t>
      </w:r>
      <w:r>
        <w:rPr>
          <w:rFonts w:hint="eastAsia" w:ascii="宋体" w:hAnsi="宋体" w:eastAsia="宋体" w:cs="宋体"/>
          <w:color w:val="FF0000"/>
          <w:sz w:val="21"/>
          <w:szCs w:val="21"/>
          <w:highlight w:val="none"/>
          <w:lang w:val="en-US" w:eastAsia="zh-CN"/>
        </w:rPr>
        <w:t>e</w:t>
      </w:r>
      <w:r>
        <w:rPr>
          <w:rFonts w:hint="eastAsia" w:ascii="宋体" w:hAnsi="宋体" w:eastAsia="宋体" w:cs="宋体"/>
          <w:color w:val="FF0000"/>
          <w:sz w:val="21"/>
          <w:szCs w:val="21"/>
          <w:highlight w:val="none"/>
        </w:rPr>
        <w:t>采通显示为准）；</w:t>
      </w:r>
    </w:p>
    <w:p w14:paraId="017BD4D9">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highlight w:val="yellow"/>
        </w:rPr>
      </w:pPr>
      <w:r>
        <w:rPr>
          <w:rFonts w:hint="eastAsia" w:ascii="宋体" w:hAnsi="宋体" w:eastAsia="宋体" w:cs="宋体"/>
          <w:b w:val="0"/>
          <w:bCs w:val="0"/>
          <w:color w:val="auto"/>
          <w:sz w:val="21"/>
          <w:szCs w:val="21"/>
          <w:highlight w:val="none"/>
          <w:lang w:val="en-US" w:eastAsia="zh-CN"/>
        </w:rPr>
        <w:t>3.招标文件获取：招</w:t>
      </w:r>
      <w:r>
        <w:rPr>
          <w:rFonts w:hint="eastAsia" w:ascii="宋体" w:hAnsi="宋体" w:eastAsia="宋体" w:cs="宋体"/>
          <w:b w:val="0"/>
          <w:bCs w:val="0"/>
          <w:sz w:val="21"/>
          <w:szCs w:val="21"/>
        </w:rPr>
        <w:t>标人首先对投标报名单位</w:t>
      </w:r>
      <w:r>
        <w:rPr>
          <w:rFonts w:hint="eastAsia" w:ascii="宋体" w:hAnsi="宋体" w:eastAsia="宋体" w:cs="宋体"/>
          <w:b w:val="0"/>
          <w:bCs w:val="0"/>
          <w:sz w:val="21"/>
          <w:szCs w:val="21"/>
          <w:lang w:val="en-US" w:eastAsia="zh-CN"/>
        </w:rPr>
        <w:t>的</w:t>
      </w:r>
      <w:r>
        <w:rPr>
          <w:rFonts w:hint="eastAsia" w:ascii="宋体" w:hAnsi="宋体" w:eastAsia="宋体" w:cs="宋体"/>
          <w:b w:val="0"/>
          <w:bCs w:val="0"/>
          <w:sz w:val="21"/>
          <w:szCs w:val="21"/>
        </w:rPr>
        <w:t>资格证明文件</w:t>
      </w:r>
      <w:r>
        <w:rPr>
          <w:rFonts w:hint="eastAsia" w:ascii="宋体" w:hAnsi="宋体" w:eastAsia="宋体" w:cs="宋体"/>
          <w:b w:val="0"/>
          <w:bCs w:val="0"/>
          <w:sz w:val="21"/>
          <w:szCs w:val="21"/>
          <w:lang w:val="en-US" w:eastAsia="zh-CN"/>
        </w:rPr>
        <w:t>进行</w:t>
      </w:r>
      <w:r>
        <w:rPr>
          <w:rFonts w:hint="eastAsia" w:ascii="宋体" w:hAnsi="宋体" w:eastAsia="宋体" w:cs="宋体"/>
          <w:b w:val="0"/>
          <w:bCs w:val="0"/>
          <w:sz w:val="21"/>
          <w:szCs w:val="21"/>
        </w:rPr>
        <w:t>审核，对于资格审核通过的投标人，e采通自动推送</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技术细节所需材料或部分相关图纸向答疑人获取。</w:t>
      </w:r>
    </w:p>
    <w:p w14:paraId="5AAC9B0C">
      <w:pPr>
        <w:pStyle w:val="74"/>
        <w:rPr>
          <w:highlight w:val="none"/>
        </w:rPr>
      </w:pPr>
      <w:bookmarkStart w:id="8" w:name="_Toc47976592"/>
      <w:r>
        <w:rPr>
          <w:rFonts w:hint="eastAsia"/>
          <w:highlight w:val="none"/>
        </w:rPr>
        <w:t>投标文件的递交</w:t>
      </w:r>
      <w:bookmarkEnd w:id="8"/>
    </w:p>
    <w:p w14:paraId="7E408261">
      <w:pPr>
        <w:pStyle w:val="74"/>
        <w:numPr>
          <w:ilvl w:val="0"/>
          <w:numId w:val="0"/>
        </w:numPr>
        <w:ind w:leftChars="0" w:firstLine="422" w:firstLineChars="200"/>
        <w:jc w:val="left"/>
        <w:rPr>
          <w:rFonts w:hint="eastAsia" w:ascii="宋体" w:hAnsi="宋体" w:eastAsia="宋体" w:cs="宋体"/>
          <w:b/>
          <w:bCs/>
          <w:color w:val="FF0000"/>
          <w:sz w:val="21"/>
          <w:szCs w:val="21"/>
          <w:highlight w:val="none"/>
        </w:rPr>
      </w:pPr>
      <w:r>
        <w:rPr>
          <w:rFonts w:hint="eastAsia" w:ascii="宋体" w:hAnsi="宋体" w:eastAsia="宋体" w:cs="宋体"/>
          <w:color w:val="FF0000"/>
          <w:sz w:val="21"/>
          <w:szCs w:val="21"/>
          <w:highlight w:val="none"/>
        </w:rPr>
        <w:t>投标截止时间：2026年</w:t>
      </w:r>
      <w:r>
        <w:rPr>
          <w:rFonts w:hint="eastAsia" w:hAnsi="宋体" w:cs="宋体"/>
          <w:color w:val="FF0000"/>
          <w:sz w:val="21"/>
          <w:szCs w:val="21"/>
          <w:highlight w:val="none"/>
          <w:lang w:val="en-US" w:eastAsia="zh-CN"/>
        </w:rPr>
        <w:t>9月28日</w:t>
      </w:r>
      <w:r>
        <w:rPr>
          <w:rFonts w:hint="eastAsia" w:ascii="宋体" w:hAnsi="宋体" w:eastAsia="宋体" w:cs="宋体"/>
          <w:color w:val="FF0000"/>
          <w:sz w:val="21"/>
          <w:szCs w:val="21"/>
          <w:highlight w:val="none"/>
          <w:lang w:val="en-US" w:eastAsia="zh-CN"/>
        </w:rPr>
        <w:t>17：00</w:t>
      </w:r>
      <w:r>
        <w:rPr>
          <w:rFonts w:hint="eastAsia" w:ascii="宋体" w:hAnsi="宋体" w:eastAsia="宋体" w:cs="宋体"/>
          <w:color w:val="FF0000"/>
          <w:sz w:val="21"/>
          <w:szCs w:val="21"/>
          <w:highlight w:val="none"/>
        </w:rPr>
        <w:t>前（以</w:t>
      </w:r>
      <w:r>
        <w:rPr>
          <w:rFonts w:hint="eastAsia" w:ascii="宋体" w:hAnsi="宋体" w:eastAsia="宋体" w:cs="宋体"/>
          <w:color w:val="FF0000"/>
          <w:sz w:val="21"/>
          <w:szCs w:val="21"/>
          <w:highlight w:val="none"/>
          <w:lang w:val="en-US" w:eastAsia="zh-CN"/>
        </w:rPr>
        <w:t>e</w:t>
      </w:r>
      <w:r>
        <w:rPr>
          <w:rFonts w:hint="eastAsia" w:ascii="宋体" w:hAnsi="宋体" w:eastAsia="宋体" w:cs="宋体"/>
          <w:color w:val="FF0000"/>
          <w:sz w:val="21"/>
          <w:szCs w:val="21"/>
          <w:highlight w:val="none"/>
        </w:rPr>
        <w:t>采通显示为准）</w:t>
      </w:r>
      <w:r>
        <w:rPr>
          <w:rFonts w:hint="eastAsia" w:ascii="宋体" w:hAnsi="宋体" w:eastAsia="宋体" w:cs="宋体"/>
          <w:b/>
          <w:bCs/>
          <w:color w:val="FF0000"/>
          <w:sz w:val="21"/>
          <w:szCs w:val="21"/>
          <w:highlight w:val="none"/>
        </w:rPr>
        <w:t>；</w:t>
      </w:r>
      <w:r>
        <w:rPr>
          <w:rFonts w:hint="eastAsia" w:hAnsi="宋体" w:cs="宋体"/>
          <w:b w:val="0"/>
          <w:bCs w:val="0"/>
          <w:sz w:val="21"/>
          <w:szCs w:val="21"/>
          <w:highlight w:val="yellow"/>
          <w:lang w:eastAsia="zh-CN"/>
        </w:rPr>
        <w:t>（</w:t>
      </w:r>
      <w:r>
        <w:rPr>
          <w:rFonts w:hint="eastAsia" w:ascii="宋体" w:hAnsi="宋体" w:eastAsia="宋体" w:cs="宋体"/>
          <w:b w:val="0"/>
          <w:bCs w:val="0"/>
          <w:sz w:val="21"/>
          <w:szCs w:val="21"/>
          <w:highlight w:val="yellow"/>
          <w:lang w:val="en-US" w:eastAsia="zh-CN"/>
        </w:rPr>
        <w:t>应标后需要将《</w:t>
      </w:r>
      <w:r>
        <w:rPr>
          <w:rFonts w:hint="eastAsia" w:ascii="宋体" w:hAnsi="宋体" w:eastAsia="宋体" w:cs="宋体"/>
          <w:b w:val="0"/>
          <w:bCs w:val="0"/>
          <w:sz w:val="21"/>
          <w:szCs w:val="21"/>
          <w:highlight w:val="yellow"/>
        </w:rPr>
        <w:t>投标保证金缴纳凭证</w:t>
      </w:r>
      <w:r>
        <w:rPr>
          <w:rFonts w:hint="eastAsia" w:ascii="宋体" w:hAnsi="宋体" w:eastAsia="宋体" w:cs="宋体"/>
          <w:b w:val="0"/>
          <w:bCs w:val="0"/>
          <w:sz w:val="21"/>
          <w:szCs w:val="21"/>
          <w:highlight w:val="yellow"/>
          <w:lang w:val="en-US" w:eastAsia="zh-CN"/>
        </w:rPr>
        <w:t>》、《</w:t>
      </w:r>
      <w:r>
        <w:rPr>
          <w:rFonts w:hint="eastAsia" w:ascii="宋体" w:hAnsi="宋体" w:eastAsia="宋体" w:cs="宋体"/>
          <w:b w:val="0"/>
          <w:bCs w:val="0"/>
          <w:sz w:val="21"/>
          <w:szCs w:val="21"/>
          <w:highlight w:val="yellow"/>
        </w:rPr>
        <w:t>投标承诺书</w:t>
      </w:r>
      <w:r>
        <w:rPr>
          <w:rFonts w:hint="eastAsia" w:ascii="宋体" w:hAnsi="宋体" w:eastAsia="宋体" w:cs="宋体"/>
          <w:b w:val="0"/>
          <w:bCs w:val="0"/>
          <w:sz w:val="21"/>
          <w:szCs w:val="21"/>
          <w:highlight w:val="yellow"/>
          <w:lang w:val="en-US" w:eastAsia="zh-CN"/>
        </w:rPr>
        <w:t>》、以及应标时的IP地址截图，三份材料发商务联系人</w:t>
      </w:r>
      <w:r>
        <w:rPr>
          <w:rFonts w:hint="eastAsia" w:ascii="宋体" w:hAnsi="宋体" w:eastAsia="宋体" w:cs="宋体"/>
          <w:b w:val="0"/>
          <w:bCs w:val="0"/>
          <w:sz w:val="21"/>
          <w:szCs w:val="21"/>
          <w:highlight w:val="yellow"/>
          <w:lang w:eastAsia="zh-CN"/>
        </w:rPr>
        <w:t>））</w:t>
      </w:r>
    </w:p>
    <w:p w14:paraId="265083F8">
      <w:pPr>
        <w:spacing w:line="360" w:lineRule="auto"/>
        <w:ind w:firstLine="420" w:firstLineChars="200"/>
        <w:rPr>
          <w:b w:val="0"/>
          <w:bCs w:val="0"/>
        </w:rPr>
      </w:pPr>
      <w:r>
        <w:rPr>
          <w:b w:val="0"/>
          <w:bCs w:val="0"/>
        </w:rPr>
        <w:t>注：请务必在投标文件递交截止时间前完成投标操作，截止时间精确到秒，逾期将无法投标。请自行掌握时间，避免无法投标。</w:t>
      </w:r>
    </w:p>
    <w:p w14:paraId="27BAE8E7">
      <w:pPr>
        <w:spacing w:line="360" w:lineRule="auto"/>
        <w:ind w:firstLine="420" w:firstLineChars="200"/>
        <w:rPr>
          <w:b w:val="0"/>
          <w:bCs w:val="0"/>
        </w:rPr>
      </w:pPr>
      <w:r>
        <w:rPr>
          <w:rFonts w:hint="eastAsia"/>
          <w:b w:val="0"/>
          <w:bCs w:val="0"/>
        </w:rPr>
        <w:t>投标文件的组成：项目投标文件为电子版投标文件（电子版为纸质盖章版的扫描件或加盖电子章，不盖章无效），由《投标文件（资质标）》、《投标文件（技术标）》、《投标文件（商务标）》（开标一览表）文件组成，共计3个文件。</w:t>
      </w:r>
    </w:p>
    <w:p w14:paraId="5FBE4FE0">
      <w:pPr>
        <w:spacing w:line="360" w:lineRule="auto"/>
        <w:ind w:firstLine="420" w:firstLineChars="200"/>
        <w:rPr>
          <w:b w:val="0"/>
          <w:bCs w:val="0"/>
        </w:rPr>
      </w:pPr>
      <w:r>
        <w:rPr>
          <w:b w:val="0"/>
          <w:bCs w:val="0"/>
        </w:rPr>
        <w:t>《投标文件（资质标）》一个文件（里面是全部资质投标书），投标文件（技术标）》一个文件（里面是全部技术投标书）</w:t>
      </w:r>
      <w:r>
        <w:rPr>
          <w:rFonts w:hint="eastAsia"/>
          <w:b w:val="0"/>
          <w:bCs w:val="0"/>
        </w:rPr>
        <w:t>，</w:t>
      </w:r>
      <w:r>
        <w:rPr>
          <w:b w:val="0"/>
          <w:bCs w:val="0"/>
        </w:rPr>
        <w:t>《投标文件（商务标）》（开标一览表）一个文件（里面是全部商务投标书），具体组成等详细要求见招标文件“第一部分投标人须知-投标说明-投标文件的组成”。</w:t>
      </w:r>
    </w:p>
    <w:p w14:paraId="6644B0EE">
      <w:pPr>
        <w:spacing w:line="360" w:lineRule="auto"/>
        <w:ind w:firstLine="420" w:firstLineChars="200"/>
        <w:rPr>
          <w:b w:val="0"/>
          <w:bCs w:val="0"/>
        </w:rPr>
      </w:pPr>
      <w:r>
        <w:rPr>
          <w:b w:val="0"/>
          <w:bCs w:val="0"/>
        </w:rPr>
        <w:t>注意不按此要求提供投标文件的，投标文件做无效标处理。以中国重汽e采通系统提交的材料为准。</w:t>
      </w:r>
    </w:p>
    <w:p w14:paraId="77B86A8F">
      <w:pPr>
        <w:spacing w:line="360" w:lineRule="auto"/>
        <w:ind w:firstLine="420" w:firstLineChars="200"/>
        <w:rPr>
          <w:color w:val="FF0000"/>
          <w:highlight w:val="none"/>
        </w:rPr>
      </w:pPr>
      <w:r>
        <w:rPr>
          <w:rFonts w:hint="eastAsia"/>
          <w:b w:val="0"/>
          <w:bCs w:val="0"/>
        </w:rPr>
        <w:t>投标方式：在中国重汽e采通平台应标成功后，进入“供应商投标”环节，投递盖章扫描版电子标书（包含资质标书、技术标书、商务标书），若逾期未在中国重汽e采通平台上传电子标书，一律视为无效投标。</w:t>
      </w:r>
    </w:p>
    <w:p w14:paraId="2BF857E7">
      <w:pPr>
        <w:pStyle w:val="74"/>
        <w:rPr>
          <w:highlight w:val="none"/>
        </w:rPr>
      </w:pPr>
      <w:r>
        <w:rPr>
          <w:rFonts w:hint="eastAsia"/>
          <w:highlight w:val="none"/>
          <w:lang w:val="en-US" w:eastAsia="zh-CN"/>
        </w:rPr>
        <w:t>开标时间和地点</w:t>
      </w:r>
    </w:p>
    <w:p w14:paraId="57161C32">
      <w:pPr>
        <w:pStyle w:val="16"/>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FF0000"/>
          <w:sz w:val="21"/>
          <w:szCs w:val="21"/>
          <w:highlight w:val="none"/>
          <w:lang w:eastAsia="zh-CN"/>
        </w:rPr>
      </w:pPr>
      <w:r>
        <w:rPr>
          <w:rFonts w:hint="eastAsia" w:ascii="宋体" w:hAnsi="宋体" w:eastAsia="宋体" w:cs="宋体"/>
          <w:color w:val="FF0000"/>
          <w:sz w:val="21"/>
          <w:szCs w:val="21"/>
          <w:highlight w:val="none"/>
        </w:rPr>
        <w:t>预计开标时间：2026年</w:t>
      </w:r>
      <w:bookmarkStart w:id="42" w:name="_GoBack"/>
      <w:bookmarkEnd w:id="42"/>
      <w:r>
        <w:rPr>
          <w:rFonts w:hint="eastAsia" w:hAnsi="宋体" w:cs="宋体"/>
          <w:color w:val="FF0000"/>
          <w:sz w:val="21"/>
          <w:szCs w:val="21"/>
          <w:highlight w:val="none"/>
          <w:lang w:val="en-US" w:eastAsia="zh-CN"/>
        </w:rPr>
        <w:t>9月29日9</w:t>
      </w:r>
      <w:r>
        <w:rPr>
          <w:rFonts w:hint="eastAsia" w:ascii="宋体" w:hAnsi="宋体" w:eastAsia="宋体" w:cs="宋体"/>
          <w:color w:val="FF0000"/>
          <w:sz w:val="21"/>
          <w:szCs w:val="21"/>
          <w:highlight w:val="none"/>
          <w:lang w:val="en-US" w:eastAsia="zh-CN"/>
        </w:rPr>
        <w:t>:</w:t>
      </w:r>
      <w:r>
        <w:rPr>
          <w:rFonts w:hint="eastAsia" w:hAnsi="宋体" w:cs="宋体"/>
          <w:color w:val="FF0000"/>
          <w:sz w:val="21"/>
          <w:szCs w:val="21"/>
          <w:highlight w:val="none"/>
          <w:lang w:val="en-US" w:eastAsia="zh-CN"/>
        </w:rPr>
        <w:t>3</w:t>
      </w:r>
      <w:r>
        <w:rPr>
          <w:rFonts w:hint="eastAsia" w:ascii="宋体" w:hAnsi="宋体" w:eastAsia="宋体" w:cs="宋体"/>
          <w:color w:val="FF0000"/>
          <w:sz w:val="21"/>
          <w:szCs w:val="21"/>
          <w:highlight w:val="none"/>
          <w:lang w:val="en-US" w:eastAsia="zh-CN"/>
        </w:rPr>
        <w:t>0</w:t>
      </w:r>
      <w:r>
        <w:rPr>
          <w:rFonts w:hint="eastAsia" w:ascii="宋体" w:hAnsi="宋体" w:eastAsia="宋体" w:cs="宋体"/>
          <w:color w:val="FF0000"/>
          <w:sz w:val="21"/>
          <w:szCs w:val="21"/>
          <w:highlight w:val="none"/>
        </w:rPr>
        <w:t>（</w:t>
      </w:r>
      <w:r>
        <w:rPr>
          <w:rFonts w:hint="eastAsia" w:ascii="宋体" w:hAnsi="宋体" w:eastAsia="宋体" w:cs="宋体"/>
          <w:color w:val="FF0000"/>
          <w:sz w:val="21"/>
          <w:szCs w:val="21"/>
          <w:highlight w:val="none"/>
          <w:lang w:val="en-US" w:eastAsia="zh-CN"/>
        </w:rPr>
        <w:t>暂定时间，以实际通知为准</w:t>
      </w:r>
      <w:r>
        <w:rPr>
          <w:rFonts w:hint="eastAsia" w:ascii="宋体" w:hAnsi="宋体" w:eastAsia="宋体" w:cs="宋体"/>
          <w:color w:val="FF0000"/>
          <w:sz w:val="21"/>
          <w:szCs w:val="21"/>
          <w:highlight w:val="none"/>
        </w:rPr>
        <w:t>）</w:t>
      </w:r>
      <w:r>
        <w:rPr>
          <w:rFonts w:hint="eastAsia" w:ascii="宋体" w:hAnsi="宋体" w:eastAsia="宋体" w:cs="宋体"/>
          <w:color w:val="FF0000"/>
          <w:sz w:val="21"/>
          <w:szCs w:val="21"/>
          <w:highlight w:val="none"/>
          <w:lang w:eastAsia="zh-CN"/>
        </w:rPr>
        <w:t>；</w:t>
      </w:r>
    </w:p>
    <w:p w14:paraId="67087957">
      <w:pPr>
        <w:pStyle w:val="16"/>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rPr>
      </w:pPr>
      <w:r>
        <w:rPr>
          <w:rFonts w:hint="eastAsia" w:ascii="宋体" w:hAnsi="宋体" w:eastAsia="宋体" w:cs="宋体"/>
          <w:color w:val="auto"/>
          <w:sz w:val="21"/>
          <w:szCs w:val="21"/>
          <w:highlight w:val="none"/>
          <w:lang w:val="en-US" w:eastAsia="zh-CN"/>
        </w:rPr>
        <w:t>开标地点：</w:t>
      </w:r>
      <w:r>
        <w:rPr>
          <w:rFonts w:hint="eastAsia" w:hAnsi="宋体" w:cs="宋体"/>
          <w:color w:val="auto"/>
          <w:sz w:val="21"/>
          <w:szCs w:val="21"/>
          <w:highlight w:val="none"/>
          <w:lang w:val="en-US" w:eastAsia="zh-CN"/>
        </w:rPr>
        <w:t>线上会议</w:t>
      </w:r>
    </w:p>
    <w:p w14:paraId="0B5AAB2D">
      <w:pPr>
        <w:pStyle w:val="74"/>
      </w:pPr>
      <w:bookmarkStart w:id="9" w:name="_Toc47976593"/>
      <w:r>
        <w:rPr>
          <w:rFonts w:hint="eastAsia"/>
        </w:rPr>
        <w:t>招标公告发布媒介</w:t>
      </w:r>
      <w:bookmarkEnd w:id="9"/>
    </w:p>
    <w:p w14:paraId="15C59335">
      <w:pPr>
        <w:pStyle w:val="75"/>
        <w:numPr>
          <w:ilvl w:val="0"/>
          <w:numId w:val="0"/>
        </w:numPr>
        <w:ind w:left="1130" w:hanging="420"/>
        <w:rPr>
          <w:rFonts w:hint="eastAsia" w:ascii="宋体" w:hAnsi="宋体" w:eastAsia="宋体" w:cs="宋体"/>
          <w:b w:val="0"/>
          <w:color w:val="auto"/>
          <w:kern w:val="2"/>
          <w:sz w:val="21"/>
          <w:szCs w:val="21"/>
          <w:highlight w:val="none"/>
          <w:lang w:val="en-US" w:eastAsia="zh-CN" w:bidi="ar-SA"/>
        </w:rPr>
      </w:pPr>
      <w:bookmarkStart w:id="10" w:name="_Toc47976594"/>
      <w:r>
        <w:rPr>
          <w:rFonts w:hint="eastAsia" w:ascii="宋体" w:hAnsi="宋体" w:eastAsia="宋体" w:cs="宋体"/>
          <w:b w:val="0"/>
          <w:color w:val="auto"/>
          <w:kern w:val="2"/>
          <w:sz w:val="21"/>
          <w:szCs w:val="21"/>
          <w:highlight w:val="none"/>
          <w:lang w:val="en-US" w:eastAsia="zh-CN" w:bidi="ar-SA"/>
        </w:rPr>
        <w:t>本次招标公告同时在中国重型汽车集团有限公司官网上发布。</w:t>
      </w:r>
    </w:p>
    <w:p w14:paraId="683C4C96">
      <w:pPr>
        <w:pStyle w:val="74"/>
        <w:rPr>
          <w:highlight w:val="none"/>
        </w:rPr>
      </w:pPr>
      <w:r>
        <w:rPr>
          <w:rFonts w:hint="eastAsia"/>
          <w:highlight w:val="none"/>
        </w:rPr>
        <w:t>联系方式</w:t>
      </w:r>
      <w:bookmarkEnd w:id="10"/>
    </w:p>
    <w:p w14:paraId="6FF65B94">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技术联系人：朱工 13600535241</w:t>
      </w:r>
    </w:p>
    <w:p w14:paraId="1144B770">
      <w:pPr>
        <w:pStyle w:val="74"/>
        <w:numPr>
          <w:ilvl w:val="0"/>
          <w:numId w:val="0"/>
        </w:numPr>
        <w:ind w:leftChars="0" w:firstLine="420" w:firstLineChars="200"/>
      </w:pPr>
      <w:r>
        <w:rPr>
          <w:rFonts w:hint="eastAsia" w:ascii="宋体" w:hAnsi="宋体" w:eastAsia="宋体" w:cs="宋体"/>
          <w:b w:val="0"/>
          <w:bCs w:val="0"/>
          <w:color w:val="auto"/>
          <w:kern w:val="2"/>
          <w:sz w:val="21"/>
          <w:szCs w:val="21"/>
          <w:highlight w:val="none"/>
          <w:lang w:val="en-US" w:eastAsia="zh-CN" w:bidi="ar-SA"/>
        </w:rPr>
        <w:t>商务联系人：高工 18758117571</w:t>
      </w:r>
    </w:p>
    <w:p w14:paraId="5286D1AA">
      <w:pPr>
        <w:pStyle w:val="78"/>
      </w:pPr>
    </w:p>
    <w:p w14:paraId="1DA38EA3">
      <w:pPr>
        <w:pStyle w:val="73"/>
      </w:pPr>
      <w:bookmarkStart w:id="11" w:name="_Toc47976595"/>
      <w:bookmarkStart w:id="12" w:name="_Toc4888"/>
      <w:r>
        <w:rPr>
          <w:rFonts w:hint="eastAsia"/>
        </w:rPr>
        <w:t>第一部分  投标人须知</w:t>
      </w:r>
      <w:bookmarkEnd w:id="11"/>
      <w:bookmarkEnd w:id="12"/>
    </w:p>
    <w:p w14:paraId="7DCB5F63">
      <w:pPr>
        <w:pStyle w:val="74"/>
        <w:numPr>
          <w:ilvl w:val="0"/>
          <w:numId w:val="10"/>
        </w:numPr>
        <w:ind w:left="420"/>
        <w:jc w:val="left"/>
      </w:pPr>
      <w:bookmarkStart w:id="13" w:name="_Toc47976596"/>
      <w:r>
        <w:rPr>
          <w:rFonts w:hint="eastAsia"/>
        </w:rPr>
        <w:t>项目介绍</w:t>
      </w:r>
      <w:bookmarkEnd w:id="13"/>
    </w:p>
    <w:p w14:paraId="2CFA4747">
      <w:pPr>
        <w:pStyle w:val="78"/>
        <w:numPr>
          <w:ilvl w:val="0"/>
          <w:numId w:val="11"/>
        </w:numPr>
        <w:ind w:left="425" w:leftChars="0" w:hanging="425" w:firstLineChars="0"/>
      </w:pPr>
      <w:r>
        <w:rPr>
          <w:rFonts w:hint="eastAsia"/>
        </w:rPr>
        <w:t>项目名称：</w:t>
      </w:r>
      <w:r>
        <w:rPr>
          <w:rFonts w:hint="eastAsia" w:ascii="宋体" w:hAnsi="宋体"/>
          <w:bCs/>
          <w:sz w:val="21"/>
          <w:szCs w:val="21"/>
        </w:rPr>
        <w:t>杭发公司电梯维护保养</w:t>
      </w:r>
    </w:p>
    <w:p w14:paraId="45DF5A21">
      <w:pPr>
        <w:pStyle w:val="78"/>
        <w:numPr>
          <w:ilvl w:val="0"/>
          <w:numId w:val="11"/>
        </w:numPr>
        <w:ind w:left="425" w:leftChars="0" w:hanging="425" w:firstLineChars="0"/>
      </w:pPr>
      <w:r>
        <w:rPr>
          <w:rFonts w:hint="eastAsia"/>
        </w:rPr>
        <w:t>项目编号：</w:t>
      </w:r>
      <w:r>
        <w:rPr>
          <w:rFonts w:hint="eastAsia" w:hAnsi="宋体"/>
          <w:bCs/>
          <w:sz w:val="21"/>
          <w:szCs w:val="21"/>
          <w:lang w:eastAsia="zh-CN"/>
        </w:rPr>
        <w:t>ZBGL2026080251</w:t>
      </w:r>
    </w:p>
    <w:p w14:paraId="099AADE3">
      <w:pPr>
        <w:pStyle w:val="78"/>
        <w:numPr>
          <w:ilvl w:val="0"/>
          <w:numId w:val="11"/>
        </w:numPr>
        <w:ind w:left="425" w:leftChars="0" w:hanging="425" w:firstLineChars="0"/>
      </w:pPr>
      <w:r>
        <w:rPr>
          <w:rFonts w:hint="eastAsia"/>
        </w:rPr>
        <w:t>招标形式：</w:t>
      </w:r>
      <w:bookmarkStart w:id="14" w:name="_Toc47112482"/>
      <w:r>
        <w:rPr>
          <w:rFonts w:hint="eastAsia"/>
          <w:highlight w:val="none"/>
          <w:lang w:val="en-US" w:eastAsia="zh-CN"/>
        </w:rPr>
        <w:t>公开招标</w:t>
      </w:r>
    </w:p>
    <w:p w14:paraId="7EF1385C">
      <w:pPr>
        <w:pStyle w:val="78"/>
        <w:numPr>
          <w:ilvl w:val="0"/>
          <w:numId w:val="11"/>
        </w:numPr>
        <w:ind w:left="425" w:leftChars="0" w:hanging="425" w:firstLineChars="0"/>
      </w:pPr>
      <w:r>
        <w:rPr>
          <w:rFonts w:hint="eastAsia"/>
          <w:lang w:val="en-US" w:eastAsia="zh-CN"/>
        </w:rPr>
        <w:t>项目概况：</w:t>
      </w:r>
      <w:r>
        <w:rPr>
          <w:rFonts w:hint="eastAsia" w:ascii="宋体" w:hAnsi="宋体" w:cs="Times New Roman"/>
          <w:bCs/>
          <w:sz w:val="21"/>
          <w:szCs w:val="21"/>
          <w:lang w:eastAsia="zh-CN"/>
        </w:rPr>
        <w:t>杭发公司电梯维保项目，共5台电梯，项目内容为保养、维修、年检等，确保电梯安全、可靠运行</w:t>
      </w:r>
    </w:p>
    <w:p w14:paraId="42C67F0D">
      <w:pPr>
        <w:pStyle w:val="78"/>
        <w:numPr>
          <w:ilvl w:val="0"/>
          <w:numId w:val="0"/>
        </w:numPr>
        <w:ind w:leftChars="0"/>
      </w:pPr>
    </w:p>
    <w:p w14:paraId="151561C8">
      <w:pPr>
        <w:pStyle w:val="78"/>
        <w:numPr>
          <w:ilvl w:val="0"/>
          <w:numId w:val="11"/>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17566888">
      <w:pPr>
        <w:pStyle w:val="78"/>
        <w:rPr>
          <w:rFonts w:hint="eastAsia"/>
          <w:lang w:val="en-US" w:eastAsia="zh-CN"/>
        </w:rPr>
      </w:pPr>
      <w:r>
        <w:rPr>
          <w:rFonts w:hint="eastAsia"/>
          <w:lang w:val="en-US" w:eastAsia="zh-CN"/>
        </w:rPr>
        <w:t>报价：</w:t>
      </w:r>
    </w:p>
    <w:p w14:paraId="0E7F6FC4">
      <w:pPr>
        <w:pStyle w:val="78"/>
        <w:numPr>
          <w:ilvl w:val="0"/>
          <w:numId w:val="0"/>
        </w:numPr>
        <w:rPr>
          <w:rFonts w:hint="eastAsia" w:ascii="宋体" w:hAnsi="宋体" w:eastAsia="宋体" w:cs="宋体"/>
          <w:sz w:val="21"/>
          <w:szCs w:val="21"/>
          <w:highlight w:val="none"/>
        </w:rPr>
      </w:pPr>
      <w:r>
        <w:rPr>
          <w:rFonts w:hint="eastAsia" w:hAnsi="宋体" w:cs="宋体"/>
          <w:sz w:val="21"/>
          <w:szCs w:val="21"/>
          <w:lang w:val="en-US" w:eastAsia="zh-CN"/>
        </w:rPr>
        <w:t>6.1</w:t>
      </w:r>
      <w:r>
        <w:rPr>
          <w:rFonts w:hint="eastAsia" w:ascii="宋体" w:hAnsi="宋体" w:eastAsia="宋体" w:cs="宋体"/>
          <w:sz w:val="21"/>
          <w:szCs w:val="21"/>
        </w:rPr>
        <w:t>本次招标为公开招标，报价应为：投标方与招标人或其指派的答疑人员充分沟通确认基础上，由投标人在满足招标人所提出的、与本项目所有相关环节有关的所有费用；</w:t>
      </w:r>
      <w:r>
        <w:rPr>
          <w:rFonts w:hint="eastAsia" w:ascii="宋体" w:hAnsi="宋体" w:eastAsia="宋体" w:cs="宋体"/>
          <w:sz w:val="21"/>
          <w:szCs w:val="21"/>
          <w:highlight w:val="none"/>
        </w:rPr>
        <w:t>详见本招标书之“第</w:t>
      </w:r>
      <w:r>
        <w:rPr>
          <w:rFonts w:hint="eastAsia" w:hAnsi="宋体" w:cs="宋体"/>
          <w:sz w:val="21"/>
          <w:szCs w:val="21"/>
          <w:highlight w:val="none"/>
          <w:lang w:val="en-US" w:eastAsia="zh-CN"/>
        </w:rPr>
        <w:t>四部分</w:t>
      </w:r>
      <w:r>
        <w:rPr>
          <w:rFonts w:hint="eastAsia" w:ascii="宋体" w:hAnsi="宋体" w:eastAsia="宋体" w:cs="宋体"/>
          <w:sz w:val="21"/>
          <w:szCs w:val="21"/>
          <w:highlight w:val="none"/>
        </w:rPr>
        <w:t xml:space="preserve"> 投标文件编制”之“</w:t>
      </w:r>
      <w:r>
        <w:rPr>
          <w:rFonts w:hint="eastAsia" w:hAnsi="宋体" w:cs="宋体"/>
          <w:sz w:val="21"/>
          <w:szCs w:val="21"/>
          <w:highlight w:val="none"/>
          <w:lang w:val="en-US" w:eastAsia="zh-CN"/>
        </w:rPr>
        <w:t>附件5</w:t>
      </w:r>
      <w:r>
        <w:rPr>
          <w:rFonts w:hint="eastAsia" w:ascii="宋体" w:hAnsi="宋体" w:eastAsia="宋体" w:cs="宋体"/>
          <w:sz w:val="21"/>
          <w:szCs w:val="21"/>
          <w:highlight w:val="none"/>
        </w:rPr>
        <w:t>”。</w:t>
      </w:r>
    </w:p>
    <w:p w14:paraId="605BB4A0">
      <w:pPr>
        <w:pStyle w:val="78"/>
        <w:numPr>
          <w:ilvl w:val="0"/>
          <w:numId w:val="0"/>
        </w:numPr>
        <w:rPr>
          <w:rFonts w:hint="eastAsia" w:ascii="宋体" w:hAnsi="宋体" w:eastAsia="宋体" w:cs="宋体"/>
          <w:bCs/>
          <w:color w:val="FF0000"/>
          <w:sz w:val="21"/>
          <w:szCs w:val="21"/>
          <w:highlight w:val="none"/>
        </w:rPr>
      </w:pPr>
      <w:r>
        <w:rPr>
          <w:rFonts w:hint="eastAsia" w:hAnsi="宋体" w:cs="宋体"/>
          <w:sz w:val="21"/>
          <w:szCs w:val="21"/>
          <w:highlight w:val="none"/>
          <w:lang w:val="en-US" w:eastAsia="zh-CN"/>
        </w:rPr>
        <w:t>6.2</w:t>
      </w:r>
      <w:r>
        <w:rPr>
          <w:rFonts w:hint="eastAsia" w:ascii="宋体" w:hAnsi="宋体" w:eastAsia="宋体" w:cs="宋体"/>
          <w:sz w:val="21"/>
          <w:szCs w:val="21"/>
          <w:highlight w:val="none"/>
        </w:rPr>
        <w:t>按分类报价：本次招标每</w:t>
      </w:r>
      <w:r>
        <w:rPr>
          <w:rFonts w:hint="eastAsia" w:hAnsi="宋体" w:cs="宋体"/>
          <w:sz w:val="21"/>
          <w:szCs w:val="21"/>
          <w:highlight w:val="none"/>
          <w:lang w:val="en-US" w:eastAsia="zh-CN"/>
        </w:rPr>
        <w:t>项</w:t>
      </w:r>
      <w:r>
        <w:rPr>
          <w:rFonts w:hint="eastAsia" w:ascii="宋体" w:hAnsi="宋体" w:eastAsia="宋体" w:cs="宋体"/>
          <w:sz w:val="21"/>
          <w:szCs w:val="21"/>
          <w:highlight w:val="none"/>
        </w:rPr>
        <w:t>必须全部报价，否则投标视为无效；报价保证清晰正确，所有报价货币单位为</w:t>
      </w:r>
      <w:r>
        <w:rPr>
          <w:rFonts w:hint="eastAsia" w:hAnsi="宋体" w:cs="宋体"/>
          <w:sz w:val="21"/>
          <w:szCs w:val="21"/>
          <w:highlight w:val="none"/>
          <w:lang w:eastAsia="zh-CN"/>
        </w:rPr>
        <w:t>：</w:t>
      </w:r>
      <w:r>
        <w:rPr>
          <w:rFonts w:hint="eastAsia" w:ascii="宋体" w:hAnsi="宋体" w:eastAsia="宋体" w:cs="宋体"/>
          <w:sz w:val="21"/>
          <w:szCs w:val="21"/>
          <w:highlight w:val="none"/>
        </w:rPr>
        <w:t>元（人民币），</w:t>
      </w:r>
      <w:r>
        <w:rPr>
          <w:rFonts w:hint="eastAsia" w:ascii="宋体" w:hAnsi="宋体" w:eastAsia="宋体" w:cs="宋体"/>
          <w:bCs/>
          <w:sz w:val="21"/>
          <w:szCs w:val="21"/>
          <w:highlight w:val="none"/>
        </w:rPr>
        <w:t>包含不含税金额、税率及价税合计金额。</w:t>
      </w:r>
      <w:r>
        <w:rPr>
          <w:rFonts w:hint="eastAsia" w:ascii="宋体" w:hAnsi="宋体" w:eastAsia="宋体" w:cs="宋体"/>
          <w:bCs/>
          <w:color w:val="FF0000"/>
          <w:sz w:val="21"/>
          <w:szCs w:val="21"/>
          <w:highlight w:val="none"/>
        </w:rPr>
        <w:t>基价仅供参考、投标总额不得超过基价计算的总额。</w:t>
      </w:r>
    </w:p>
    <w:p w14:paraId="46C40E21">
      <w:pPr>
        <w:pStyle w:val="16"/>
        <w:spacing w:line="360" w:lineRule="auto"/>
        <w:rPr>
          <w:rFonts w:hint="eastAsia" w:ascii="宋体" w:hAnsi="宋体" w:eastAsia="宋体" w:cs="宋体"/>
          <w:bCs/>
          <w:color w:val="FF0000"/>
          <w:sz w:val="21"/>
          <w:szCs w:val="21"/>
          <w:highlight w:val="none"/>
        </w:rPr>
      </w:pPr>
      <w:r>
        <w:rPr>
          <w:rFonts w:hint="eastAsia" w:ascii="宋体" w:hAnsi="宋体" w:eastAsia="宋体" w:cs="宋体"/>
          <w:bCs/>
          <w:color w:val="FF0000"/>
          <w:sz w:val="21"/>
          <w:szCs w:val="21"/>
          <w:highlight w:val="none"/>
        </w:rPr>
        <w:t>注：e采通内报价为含税价总价，但投标方需在商务标文件中明确每</w:t>
      </w:r>
      <w:r>
        <w:rPr>
          <w:rFonts w:hint="eastAsia" w:hAnsi="宋体" w:cs="宋体"/>
          <w:bCs/>
          <w:color w:val="FF0000"/>
          <w:sz w:val="21"/>
          <w:szCs w:val="21"/>
          <w:highlight w:val="none"/>
          <w:lang w:val="en-US" w:eastAsia="zh-CN"/>
        </w:rPr>
        <w:t>项</w:t>
      </w:r>
      <w:r>
        <w:rPr>
          <w:rFonts w:hint="eastAsia" w:ascii="宋体" w:hAnsi="宋体" w:eastAsia="宋体" w:cs="宋体"/>
          <w:bCs/>
          <w:color w:val="FF0000"/>
          <w:sz w:val="21"/>
          <w:szCs w:val="21"/>
          <w:highlight w:val="none"/>
        </w:rPr>
        <w:t>的不含税单价、税率、含税单价、含税总价。</w:t>
      </w:r>
    </w:p>
    <w:p w14:paraId="245993C0">
      <w:pPr>
        <w:pStyle w:val="74"/>
        <w:numPr>
          <w:ilvl w:val="0"/>
          <w:numId w:val="0"/>
        </w:numPr>
        <w:ind w:leftChars="0"/>
        <w:rPr>
          <w:rFonts w:hint="eastAsia" w:ascii="宋体" w:hAnsi="宋体" w:eastAsia="宋体" w:cs="宋体"/>
          <w:sz w:val="21"/>
          <w:szCs w:val="21"/>
          <w:highlight w:val="none"/>
        </w:rPr>
      </w:pPr>
      <w:r>
        <w:rPr>
          <w:rFonts w:hint="eastAsia" w:hAnsi="宋体" w:cs="宋体"/>
          <w:sz w:val="21"/>
          <w:szCs w:val="21"/>
          <w:highlight w:val="none"/>
          <w:lang w:val="en-US" w:eastAsia="zh-CN"/>
        </w:rPr>
        <w:t>6.3付款结算方式</w:t>
      </w:r>
      <w:r>
        <w:rPr>
          <w:rFonts w:hint="eastAsia" w:ascii="宋体" w:hAnsi="宋体" w:eastAsia="宋体" w:cs="宋体"/>
          <w:sz w:val="21"/>
          <w:szCs w:val="21"/>
          <w:highlight w:val="none"/>
        </w:rPr>
        <w:t>：</w:t>
      </w:r>
      <w:r>
        <w:rPr>
          <w:rFonts w:hint="eastAsia" w:ascii="宋体" w:hAnsi="宋体" w:eastAsia="宋体" w:cs="宋体"/>
          <w:b w:val="0"/>
          <w:bCs w:val="0"/>
          <w:i w:val="0"/>
          <w:iCs w:val="0"/>
          <w:kern w:val="2"/>
          <w:sz w:val="21"/>
          <w:szCs w:val="21"/>
          <w:highlight w:val="none"/>
          <w:u w:val="single"/>
          <w:lang w:val="en-US" w:eastAsia="zh-CN" w:bidi="ar-SA"/>
        </w:rPr>
        <w:t>半年期商业汇票（包括银行承兑和商业承兑汇票）</w:t>
      </w:r>
      <w:r>
        <w:rPr>
          <w:rFonts w:hint="eastAsia" w:ascii="宋体" w:hAnsi="宋体" w:eastAsia="宋体" w:cs="宋体"/>
          <w:b w:val="0"/>
          <w:bCs w:val="0"/>
          <w:kern w:val="2"/>
          <w:sz w:val="21"/>
          <w:szCs w:val="21"/>
          <w:highlight w:val="none"/>
          <w:lang w:val="en-US" w:eastAsia="zh-CN" w:bidi="ar-SA"/>
        </w:rPr>
        <w:t>，具体以双方最终签署的合同为准。 具体以双方最终签署的合同为准</w:t>
      </w:r>
      <w:r>
        <w:rPr>
          <w:rFonts w:hint="eastAsia" w:ascii="宋体" w:hAnsi="宋体" w:eastAsia="宋体" w:cs="宋体"/>
          <w:sz w:val="21"/>
          <w:szCs w:val="21"/>
          <w:highlight w:val="none"/>
        </w:rPr>
        <w:t>。</w:t>
      </w:r>
    </w:p>
    <w:p w14:paraId="79EFFBA8">
      <w:pPr>
        <w:pStyle w:val="78"/>
        <w:numPr>
          <w:ilvl w:val="0"/>
          <w:numId w:val="0"/>
        </w:numPr>
        <w:rPr>
          <w:rFonts w:hint="default" w:cs="Times New Roman"/>
          <w:u w:val="none"/>
          <w:lang w:val="en-US" w:eastAsia="zh-CN"/>
        </w:rPr>
      </w:pPr>
      <w:r>
        <w:rPr>
          <w:rFonts w:hint="eastAsia" w:hAnsi="宋体" w:cs="宋体"/>
          <w:sz w:val="21"/>
          <w:szCs w:val="21"/>
          <w:highlight w:val="none"/>
          <w:lang w:val="en-US" w:eastAsia="zh-CN"/>
        </w:rPr>
        <w:t>6.4</w:t>
      </w:r>
      <w:r>
        <w:rPr>
          <w:rFonts w:hint="eastAsia" w:ascii="宋体" w:hAnsi="宋体" w:eastAsia="宋体" w:cs="宋体"/>
          <w:sz w:val="21"/>
          <w:szCs w:val="21"/>
          <w:highlight w:val="none"/>
        </w:rPr>
        <w:t>发票违规条款：因发票违规给付款方造成的增值税、所得税等损失，由开票方承担相关责任，包括但不限于税款、滞纳金、罚款及其它相关损失。</w:t>
      </w:r>
    </w:p>
    <w:p w14:paraId="00FBF3DD">
      <w:pPr>
        <w:pStyle w:val="78"/>
        <w:numPr>
          <w:ilvl w:val="0"/>
          <w:numId w:val="11"/>
        </w:numPr>
        <w:ind w:left="425" w:leftChars="0" w:hanging="425" w:firstLineChars="0"/>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14:paraId="108C40CE">
      <w:pPr>
        <w:pStyle w:val="78"/>
        <w:numPr>
          <w:ilvl w:val="0"/>
          <w:numId w:val="0"/>
        </w:numPr>
        <w:ind w:leftChars="0"/>
        <w:rPr>
          <w:rFonts w:hint="eastAsia" w:cs="Times New Roman"/>
          <w:highlight w:val="none"/>
          <w:lang w:val="en-US" w:eastAsia="zh-CN"/>
        </w:rPr>
      </w:pPr>
      <w:r>
        <w:rPr>
          <w:rFonts w:hint="eastAsia" w:cs="Times New Roman"/>
          <w:highlight w:val="none"/>
          <w:lang w:val="en-US" w:eastAsia="zh-CN"/>
        </w:rPr>
        <w:t>招标单位：中国重汽集团杭州发动机有限公司</w:t>
      </w:r>
    </w:p>
    <w:p w14:paraId="3405FBF2">
      <w:pPr>
        <w:pStyle w:val="78"/>
        <w:numPr>
          <w:ilvl w:val="0"/>
          <w:numId w:val="0"/>
        </w:numPr>
        <w:ind w:leftChars="0"/>
        <w:rPr>
          <w:rFonts w:hint="default" w:cs="Times New Roman"/>
          <w:highlight w:val="none"/>
          <w:lang w:val="en-US" w:eastAsia="zh-CN"/>
        </w:rPr>
      </w:pPr>
      <w:r>
        <w:rPr>
          <w:rFonts w:hint="eastAsia" w:cs="Times New Roman"/>
          <w:highlight w:val="none"/>
          <w:lang w:val="en-US" w:eastAsia="zh-CN"/>
        </w:rPr>
        <w:t>地址：浙江省杭州市萧山经济技术开发区红垦农场红泰六路699号</w:t>
      </w:r>
    </w:p>
    <w:p w14:paraId="1EAB2095">
      <w:pPr>
        <w:pStyle w:val="78"/>
        <w:numPr>
          <w:ilvl w:val="0"/>
          <w:numId w:val="0"/>
        </w:numPr>
        <w:ind w:leftChars="0"/>
        <w:rPr>
          <w:rFonts w:hint="eastAsia" w:cs="Times New Roman"/>
          <w:highlight w:val="none"/>
          <w:lang w:val="en-US" w:eastAsia="zh-CN"/>
        </w:rPr>
      </w:pPr>
      <w:r>
        <w:rPr>
          <w:rFonts w:hint="eastAsia" w:cs="Times New Roman"/>
          <w:highlight w:val="none"/>
          <w:lang w:val="en-US" w:eastAsia="zh-CN"/>
        </w:rPr>
        <w:t>技术联系人：朱工 13600535241</w:t>
      </w:r>
    </w:p>
    <w:p w14:paraId="45FCF2D2">
      <w:pPr>
        <w:pStyle w:val="78"/>
        <w:numPr>
          <w:ilvl w:val="0"/>
          <w:numId w:val="0"/>
        </w:numPr>
        <w:ind w:leftChars="0"/>
        <w:rPr>
          <w:rFonts w:hint="eastAsia" w:cs="Times New Roman"/>
          <w:highlight w:val="none"/>
          <w:lang w:val="en-US" w:eastAsia="zh-CN"/>
        </w:rPr>
      </w:pPr>
      <w:r>
        <w:rPr>
          <w:rFonts w:hint="eastAsia" w:cs="Times New Roman"/>
          <w:highlight w:val="none"/>
          <w:lang w:val="en-US" w:eastAsia="zh-CN"/>
        </w:rPr>
        <w:t xml:space="preserve">商务联系人：高工 18758117571 </w:t>
      </w:r>
    </w:p>
    <w:bookmarkEnd w:id="14"/>
    <w:p w14:paraId="56B64EF8">
      <w:pPr>
        <w:pStyle w:val="74"/>
      </w:pPr>
      <w:bookmarkStart w:id="15" w:name="_Toc47976598"/>
      <w:r>
        <w:rPr>
          <w:rFonts w:hint="eastAsia"/>
        </w:rPr>
        <w:t>合格的投标人。</w:t>
      </w:r>
      <w:bookmarkEnd w:id="15"/>
    </w:p>
    <w:p w14:paraId="1FEC18F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4384AD3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cs="Times New Roman"/>
          <w:b w:val="0"/>
          <w:bCs/>
          <w:strike w:val="0"/>
          <w:dstrike w:val="0"/>
          <w:highlight w:val="none"/>
          <w:u w:val="single"/>
          <w:lang w:val="en-US" w:eastAsia="zh-CN"/>
        </w:rPr>
        <w:t>50</w:t>
      </w:r>
      <w:r>
        <w:rPr>
          <w:rFonts w:hint="eastAsia" w:ascii="宋体" w:hAnsi="Courier New" w:eastAsia="宋体" w:cs="Times New Roman"/>
          <w:b w:val="0"/>
          <w:bCs/>
          <w:strike w:val="0"/>
          <w:dstrike w:val="0"/>
          <w:highlight w:val="none"/>
        </w:rPr>
        <w:t>万人民币（或等值其他货币）；公司成立</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rPr>
        <w:t>年以上（以营业执照成立日期到开标当日满</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427F7FCF">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7964159F">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9271F50">
      <w:pPr>
        <w:pStyle w:val="75"/>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486D0DEB">
      <w:pPr>
        <w:pStyle w:val="75"/>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4CD83FB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A142A2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7D146EA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7AD64BD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3DFBDE1F">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6C048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349D9D1B">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512E20D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267F791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18BE429E">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487803D3">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2F63E8F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lang w:val="en-US" w:eastAsia="zh-CN"/>
        </w:rPr>
        <w:t>投标人</w:t>
      </w:r>
      <w:r>
        <w:rPr>
          <w:rFonts w:hint="eastAsia"/>
          <w:b w:val="0"/>
          <w:bCs/>
          <w:strike w:val="0"/>
          <w:dstrike w:val="0"/>
          <w:highlight w:val="none"/>
        </w:rPr>
        <w:t>是招标货物的制造商或制造商授权的经销商；一个制造商对同一品牌同一型号的货物,仅能委托一个代理商参加投标</w:t>
      </w:r>
      <w:r>
        <w:rPr>
          <w:rFonts w:hint="eastAsia"/>
          <w:b w:val="0"/>
          <w:bCs/>
          <w:strike w:val="0"/>
          <w:dstrike w:val="0"/>
          <w:highlight w:val="none"/>
          <w:lang w:eastAsia="zh-CN"/>
        </w:rPr>
        <w:t>。</w:t>
      </w:r>
      <w:r>
        <w:rPr>
          <w:rFonts w:hint="eastAsia"/>
          <w:b w:val="0"/>
          <w:bCs/>
        </w:rPr>
        <w:t>如为代理商投标，需获得生产厂家正式授权，提供授权书原件，保证提供原厂售后服务并提供原厂售后服务承诺书原件</w:t>
      </w:r>
      <w:r>
        <w:rPr>
          <w:rFonts w:hint="eastAsia"/>
          <w:b w:val="0"/>
          <w:bCs/>
          <w:lang w:eastAsia="zh-CN"/>
        </w:rPr>
        <w:t>。</w:t>
      </w:r>
    </w:p>
    <w:p w14:paraId="6B6B08AB">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8D482E3">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9月</w:t>
      </w:r>
      <w:r>
        <w:rPr>
          <w:rFonts w:hint="eastAsia" w:cs="Times New Roman"/>
          <w:highlight w:val="none"/>
          <w:u w:val="none"/>
          <w:lang w:val="en-US" w:eastAsia="zh-CN"/>
        </w:rPr>
        <w:t>10</w:t>
      </w:r>
      <w:r>
        <w:rPr>
          <w:rFonts w:hint="eastAsia" w:ascii="宋体" w:hAnsi="Courier New" w:eastAsia="宋体" w:cs="Times New Roman"/>
          <w:highlight w:val="none"/>
          <w:lang w:val="en-US" w:eastAsia="zh-CN"/>
        </w:rPr>
        <w:t>日</w:t>
      </w:r>
    </w:p>
    <w:p w14:paraId="69369568">
      <w:pPr>
        <w:pStyle w:val="78"/>
        <w:numPr>
          <w:ilvl w:val="0"/>
          <w:numId w:val="13"/>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招标文件领取方式、地点及领取截止时间</w:t>
      </w:r>
    </w:p>
    <w:p w14:paraId="6468C723">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.1.时间：2026年</w:t>
      </w:r>
      <w:r>
        <w:rPr>
          <w:rFonts w:hint="eastAsia" w:cs="Times New Roman"/>
          <w:highlight w:val="none"/>
          <w:lang w:val="en-US" w:eastAsia="zh-CN"/>
        </w:rPr>
        <w:t>9月10</w:t>
      </w:r>
      <w:r>
        <w:rPr>
          <w:rFonts w:hint="default" w:ascii="宋体" w:hAnsi="Courier New" w:eastAsia="宋体" w:cs="Times New Roman"/>
          <w:highlight w:val="none"/>
          <w:lang w:val="en-US" w:eastAsia="zh-CN"/>
        </w:rPr>
        <w:t>日-</w:t>
      </w:r>
      <w:r>
        <w:rPr>
          <w:rFonts w:hint="eastAsia" w:cs="Times New Roman"/>
          <w:highlight w:val="none"/>
          <w:lang w:val="en-US" w:eastAsia="zh-CN"/>
        </w:rPr>
        <w:t>2026年9月21日</w:t>
      </w:r>
      <w:r>
        <w:rPr>
          <w:rFonts w:hint="default" w:ascii="宋体" w:hAnsi="Courier New" w:eastAsia="宋体" w:cs="Times New Roman"/>
          <w:highlight w:val="none"/>
          <w:lang w:val="en-US" w:eastAsia="zh-CN"/>
        </w:rPr>
        <w:t>（以重汽e采通显示为准）</w:t>
      </w:r>
      <w:r>
        <w:rPr>
          <w:rFonts w:hint="eastAsia" w:cs="Times New Roman"/>
          <w:highlight w:val="none"/>
          <w:lang w:val="en-US" w:eastAsia="zh-CN"/>
        </w:rPr>
        <w:t>；</w:t>
      </w:r>
    </w:p>
    <w:p w14:paraId="16E18054">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.2.方式：招标人首先</w:t>
      </w:r>
      <w:r>
        <w:rPr>
          <w:rFonts w:hint="eastAsia" w:cs="Times New Roman"/>
          <w:highlight w:val="none"/>
          <w:lang w:val="en-US" w:eastAsia="zh-CN"/>
        </w:rPr>
        <w:t>在e采通系统中</w:t>
      </w:r>
      <w:r>
        <w:rPr>
          <w:rFonts w:hint="default" w:ascii="宋体" w:hAnsi="Courier New" w:eastAsia="宋体" w:cs="Times New Roman"/>
          <w:highlight w:val="none"/>
          <w:lang w:val="en-US" w:eastAsia="zh-CN"/>
        </w:rPr>
        <w:t>对投标报名单位的资格证明文件进行审核，对于资格审核通过的投标人，e采通自动推送</w:t>
      </w:r>
      <w:r>
        <w:rPr>
          <w:rFonts w:hint="eastAsia" w:cs="Times New Roman"/>
          <w:highlight w:val="none"/>
          <w:lang w:val="en-US" w:eastAsia="zh-CN"/>
        </w:rPr>
        <w:t>；</w:t>
      </w:r>
    </w:p>
    <w:p w14:paraId="5D257757">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.3技术细节所需材料或部分相关图纸向答疑人获取。</w:t>
      </w:r>
    </w:p>
    <w:p w14:paraId="62084E4B">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w:t>
      </w:r>
      <w:r>
        <w:rPr>
          <w:rFonts w:hint="eastAsia" w:cs="Times New Roman"/>
          <w:highlight w:val="none"/>
          <w:lang w:val="en-US" w:eastAsia="zh-CN"/>
        </w:rPr>
        <w:t>2026年9月21日</w:t>
      </w:r>
      <w:r>
        <w:rPr>
          <w:rFonts w:hint="eastAsia" w:ascii="宋体" w:hAnsi="Courier New" w:eastAsia="宋体" w:cs="Times New Roman"/>
          <w:highlight w:val="none"/>
          <w:lang w:val="en-US" w:eastAsia="zh-CN"/>
        </w:rPr>
        <w:t>前</w:t>
      </w:r>
    </w:p>
    <w:p w14:paraId="6E98A96B">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18F0FD7A">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cs="Times New Roman"/>
          <w:highlight w:val="none"/>
          <w:lang w:val="en-US" w:eastAsia="zh-CN"/>
        </w:rPr>
        <w:t>2026年9月21日</w:t>
      </w:r>
      <w:r>
        <w:rPr>
          <w:rFonts w:hint="eastAsia" w:ascii="宋体" w:hAnsi="Courier New" w:eastAsia="宋体" w:cs="Times New Roman"/>
          <w:highlight w:val="none"/>
          <w:lang w:val="en-US" w:eastAsia="zh-CN"/>
        </w:rPr>
        <w:t>前：</w:t>
      </w:r>
    </w:p>
    <w:p w14:paraId="409BA99F">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6F1E0C6A">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：投标方需在重汽e采通平台完成注册，并完善信息，具体可参考网址首页下放的《供应商用户手册》。（重汽e采通官方网址：https://ecaitong.sinotruk.com:8012/#/login）,在报名截止时间前在重汽e采通上完成应标。</w:t>
      </w:r>
    </w:p>
    <w:p w14:paraId="6F4E0CD5">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应标截止时间</w:t>
      </w:r>
      <w:r>
        <w:rPr>
          <w:rFonts w:hint="eastAsia" w:cs="Times New Roman"/>
          <w:highlight w:val="none"/>
          <w:lang w:val="en-US" w:eastAsia="zh-CN"/>
        </w:rPr>
        <w:t>：2026年9月21日</w:t>
      </w:r>
    </w:p>
    <w:p w14:paraId="68BCFA7D">
      <w:pPr>
        <w:pStyle w:val="74"/>
        <w:rPr>
          <w:rFonts w:hint="eastAsia" w:ascii="宋体" w:hAnsi="Courier New" w:eastAsia="宋体" w:cs="Times New Roman"/>
          <w:highlight w:val="yellow"/>
          <w:lang w:val="en-US" w:eastAsia="zh-CN"/>
        </w:rPr>
      </w:pPr>
      <w:r>
        <w:rPr>
          <w:rFonts w:hint="eastAsia" w:hAnsi="Courier New" w:cs="Times New Roman"/>
          <w:highlight w:val="yellow"/>
        </w:rPr>
        <w:t>投标文件</w:t>
      </w:r>
      <w:r>
        <w:rPr>
          <w:rFonts w:hint="eastAsia" w:cs="Times New Roman"/>
          <w:highlight w:val="yellow"/>
          <w:lang w:val="en-US" w:eastAsia="zh-CN"/>
        </w:rPr>
        <w:t>编制</w:t>
      </w:r>
    </w:p>
    <w:p w14:paraId="5E6C179D">
      <w:pPr>
        <w:pStyle w:val="75"/>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highlight w:val="none"/>
        </w:rPr>
      </w:pPr>
      <w:r>
        <w:rPr>
          <w:rFonts w:hint="eastAsia"/>
          <w:b w:val="0"/>
          <w:highlight w:val="none"/>
          <w:lang w:val="en-US" w:eastAsia="zh-CN"/>
        </w:rPr>
        <w:t>投标文件的组成</w:t>
      </w:r>
    </w:p>
    <w:p w14:paraId="27AE2F19">
      <w:pPr>
        <w:pStyle w:val="7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投标人编写的投标文件由《投标文件（资质标）》、《投标文件（技术标）》(若有）、《投标文件（商务标）》</w:t>
      </w:r>
      <w:r>
        <w:rPr>
          <w:rFonts w:hint="eastAsia" w:cs="Times New Roman"/>
          <w:b w:val="0"/>
          <w:bCs/>
          <w:highlight w:val="none"/>
          <w:lang w:val="en-US" w:eastAsia="zh-CN"/>
        </w:rPr>
        <w:t>、《投标文件（开标一览表）》</w:t>
      </w:r>
      <w:r>
        <w:rPr>
          <w:rFonts w:hint="eastAsia" w:ascii="宋体" w:hAnsi="Courier New" w:eastAsia="宋体" w:cs="Times New Roman"/>
          <w:b w:val="0"/>
          <w:bCs/>
          <w:highlight w:val="none"/>
          <w:lang w:val="en-US" w:eastAsia="zh-CN"/>
        </w:rPr>
        <w:t>文件组成，共计</w:t>
      </w:r>
      <w:r>
        <w:rPr>
          <w:rFonts w:hint="eastAsia" w:cs="Times New Roman"/>
          <w:b w:val="0"/>
          <w:bCs/>
          <w:highlight w:val="none"/>
          <w:u w:val="single"/>
          <w:lang w:val="en-US" w:eastAsia="zh-CN"/>
        </w:rPr>
        <w:t>4</w:t>
      </w:r>
      <w:r>
        <w:rPr>
          <w:rFonts w:hint="eastAsia" w:ascii="宋体" w:hAnsi="Courier New" w:eastAsia="宋体" w:cs="Times New Roman"/>
          <w:b w:val="0"/>
          <w:bCs/>
          <w:highlight w:val="none"/>
          <w:lang w:val="en-US" w:eastAsia="zh-CN"/>
        </w:rPr>
        <w:t>个文件。</w:t>
      </w:r>
    </w:p>
    <w:p w14:paraId="169E4904">
      <w:pPr>
        <w:pStyle w:val="76"/>
        <w:numPr>
          <w:ilvl w:val="0"/>
          <w:numId w:val="15"/>
        </w:numPr>
        <w:ind w:left="425" w:leftChars="0" w:hanging="425" w:firstLineChars="0"/>
        <w:rPr>
          <w:b w:val="0"/>
          <w:bCs/>
          <w:highlight w:val="yellow"/>
        </w:rPr>
      </w:pPr>
      <w:r>
        <w:rPr>
          <w:rFonts w:hint="eastAsia"/>
          <w:b w:val="0"/>
          <w:bCs/>
          <w:highlight w:val="yellow"/>
        </w:rPr>
        <w:t>资质文件：</w:t>
      </w:r>
      <w:r>
        <w:rPr>
          <w:rFonts w:hint="eastAsia"/>
          <w:b w:val="0"/>
          <w:bCs/>
          <w:highlight w:val="yellow"/>
          <w:lang w:eastAsia="zh-CN"/>
        </w:rPr>
        <w:t>（</w:t>
      </w:r>
      <w:r>
        <w:rPr>
          <w:rFonts w:hint="eastAsia"/>
          <w:b w:val="0"/>
          <w:bCs/>
          <w:highlight w:val="yellow"/>
          <w:lang w:val="en-US" w:eastAsia="zh-CN"/>
        </w:rPr>
        <w:t>资质标文件需有目录并按照以下顺序排版</w:t>
      </w:r>
      <w:r>
        <w:rPr>
          <w:rFonts w:hint="eastAsia"/>
          <w:b w:val="0"/>
          <w:bCs/>
          <w:highlight w:val="yellow"/>
          <w:lang w:eastAsia="zh-CN"/>
        </w:rPr>
        <w:t>）</w:t>
      </w:r>
    </w:p>
    <w:p w14:paraId="4F478B47">
      <w:pPr>
        <w:pStyle w:val="77"/>
        <w:numPr>
          <w:ilvl w:val="0"/>
          <w:numId w:val="16"/>
        </w:numPr>
        <w:ind w:left="425" w:leftChars="0" w:hanging="425" w:firstLineChars="0"/>
        <w:rPr>
          <w:b w:val="0"/>
          <w:bCs/>
          <w:highlight w:val="none"/>
        </w:rPr>
      </w:pPr>
      <w:r>
        <w:rPr>
          <w:rFonts w:hint="eastAsia"/>
          <w:b w:val="0"/>
          <w:bCs/>
          <w:highlight w:val="none"/>
        </w:rPr>
        <w:t>法定代表人身份证明；</w:t>
      </w:r>
    </w:p>
    <w:p w14:paraId="2E99013A">
      <w:pPr>
        <w:pStyle w:val="77"/>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54130640">
      <w:pPr>
        <w:pStyle w:val="77"/>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7EA53B55">
      <w:pPr>
        <w:pStyle w:val="77"/>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1AC74AED">
      <w:pPr>
        <w:pStyle w:val="77"/>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09C63E3D">
      <w:pPr>
        <w:pStyle w:val="77"/>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F846495">
      <w:pPr>
        <w:pStyle w:val="77"/>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3B5AA033">
      <w:pPr>
        <w:pStyle w:val="77"/>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71BBD88">
      <w:pPr>
        <w:pStyle w:val="77"/>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1AD19187">
      <w:pPr>
        <w:pStyle w:val="77"/>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64DCF18A">
      <w:pPr>
        <w:pStyle w:val="77"/>
        <w:numPr>
          <w:ilvl w:val="0"/>
          <w:numId w:val="16"/>
        </w:numPr>
        <w:ind w:left="425" w:leftChars="0" w:hanging="425" w:firstLineChars="0"/>
        <w:rPr>
          <w:b w:val="0"/>
          <w:bCs/>
          <w:highlight w:val="none"/>
        </w:rPr>
      </w:pPr>
      <w:r>
        <w:rPr>
          <w:rFonts w:hint="eastAsia"/>
          <w:b w:val="0"/>
          <w:bCs/>
          <w:highlight w:val="none"/>
        </w:rPr>
        <w:t>投标保证金缴纳凭证</w:t>
      </w:r>
    </w:p>
    <w:p w14:paraId="461590AF">
      <w:pPr>
        <w:pStyle w:val="77"/>
        <w:numPr>
          <w:ilvl w:val="0"/>
          <w:numId w:val="16"/>
        </w:numPr>
        <w:ind w:left="425" w:leftChars="0" w:hanging="425" w:firstLineChars="0"/>
        <w:rPr>
          <w:b w:val="0"/>
          <w:bCs/>
          <w:highlight w:val="none"/>
        </w:rPr>
      </w:pPr>
      <w:r>
        <w:rPr>
          <w:rFonts w:hint="eastAsia"/>
          <w:b w:val="0"/>
          <w:bCs/>
          <w:highlight w:val="none"/>
        </w:rPr>
        <w:t>投标保证金退付表</w:t>
      </w:r>
    </w:p>
    <w:p w14:paraId="6479FBC3">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557BC091">
      <w:pPr>
        <w:pStyle w:val="76"/>
        <w:numPr>
          <w:ilvl w:val="0"/>
          <w:numId w:val="15"/>
        </w:numPr>
        <w:ind w:left="425" w:leftChars="0" w:hanging="425" w:firstLineChars="0"/>
        <w:rPr>
          <w:rFonts w:hint="eastAsia" w:cs="Times New Roman"/>
          <w:b w:val="0"/>
          <w:bCs/>
          <w:highlight w:val="none"/>
        </w:rPr>
      </w:pPr>
      <w:r>
        <w:rPr>
          <w:rFonts w:hint="eastAsia" w:cs="Times New Roman"/>
          <w:b w:val="0"/>
          <w:bCs/>
          <w:highlight w:val="none"/>
        </w:rPr>
        <w:t>技术标：</w:t>
      </w:r>
    </w:p>
    <w:p w14:paraId="5F9BD4FA">
      <w:pPr>
        <w:pStyle w:val="77"/>
        <w:numPr>
          <w:ilvl w:val="0"/>
          <w:numId w:val="18"/>
        </w:numPr>
        <w:ind w:left="425" w:leftChars="0" w:hanging="425" w:firstLineChars="0"/>
        <w:rPr>
          <w:b w:val="0"/>
          <w:bCs/>
          <w:highlight w:val="none"/>
        </w:rPr>
      </w:pPr>
      <w:r>
        <w:rPr>
          <w:rFonts w:hint="eastAsia"/>
          <w:b w:val="0"/>
          <w:bCs/>
          <w:highlight w:val="none"/>
        </w:rPr>
        <w:t>技术配置对比表。</w:t>
      </w:r>
    </w:p>
    <w:p w14:paraId="3CEBC71C">
      <w:pPr>
        <w:pStyle w:val="77"/>
        <w:numPr>
          <w:ilvl w:val="0"/>
          <w:numId w:val="18"/>
        </w:numPr>
        <w:ind w:left="425" w:leftChars="0" w:hanging="425" w:firstLineChars="0"/>
        <w:rPr>
          <w:b w:val="0"/>
          <w:bCs/>
          <w:highlight w:val="none"/>
        </w:rPr>
      </w:pPr>
      <w:r>
        <w:rPr>
          <w:rFonts w:hint="eastAsia"/>
          <w:b w:val="0"/>
          <w:bCs/>
          <w:highlight w:val="none"/>
        </w:rPr>
        <w:t>投标设备配置明细表；</w:t>
      </w:r>
    </w:p>
    <w:p w14:paraId="0E51105C">
      <w:pPr>
        <w:pStyle w:val="77"/>
        <w:numPr>
          <w:ilvl w:val="0"/>
          <w:numId w:val="18"/>
        </w:numPr>
        <w:ind w:left="425" w:leftChars="0" w:hanging="425" w:firstLineChars="0"/>
        <w:rPr>
          <w:b w:val="0"/>
          <w:bCs/>
          <w:highlight w:val="none"/>
        </w:rPr>
      </w:pPr>
      <w:r>
        <w:rPr>
          <w:rFonts w:hint="eastAsia"/>
          <w:b w:val="0"/>
          <w:bCs/>
          <w:highlight w:val="none"/>
        </w:rPr>
        <w:t>技术规格偏离表；</w:t>
      </w:r>
    </w:p>
    <w:p w14:paraId="3EA5D237">
      <w:pPr>
        <w:pStyle w:val="77"/>
        <w:numPr>
          <w:ilvl w:val="0"/>
          <w:numId w:val="18"/>
        </w:numPr>
        <w:ind w:left="425" w:leftChars="0" w:hanging="425" w:firstLineChars="0"/>
        <w:rPr>
          <w:b w:val="0"/>
          <w:bCs/>
          <w:highlight w:val="none"/>
        </w:rPr>
      </w:pPr>
      <w:r>
        <w:rPr>
          <w:rFonts w:hint="eastAsia"/>
          <w:b w:val="0"/>
          <w:bCs/>
          <w:highlight w:val="none"/>
        </w:rPr>
        <w:t>技术性能、参数的描述；</w:t>
      </w:r>
      <w:r>
        <w:rPr>
          <w:b w:val="0"/>
          <w:bCs/>
          <w:highlight w:val="none"/>
        </w:rPr>
        <w:t xml:space="preserve"> </w:t>
      </w:r>
    </w:p>
    <w:p w14:paraId="11E35FA7">
      <w:pPr>
        <w:pStyle w:val="77"/>
        <w:numPr>
          <w:ilvl w:val="0"/>
          <w:numId w:val="18"/>
        </w:numPr>
        <w:ind w:left="425" w:leftChars="0" w:hanging="425" w:firstLineChars="0"/>
        <w:rPr>
          <w:b w:val="0"/>
          <w:bCs/>
          <w:highlight w:val="none"/>
        </w:rPr>
      </w:pPr>
      <w:r>
        <w:rPr>
          <w:rFonts w:hint="eastAsia"/>
          <w:b w:val="0"/>
          <w:bCs/>
          <w:highlight w:val="none"/>
        </w:rPr>
        <w:t>备品备件工具材料明细表；</w:t>
      </w:r>
      <w:r>
        <w:rPr>
          <w:b w:val="0"/>
          <w:bCs/>
          <w:highlight w:val="none"/>
        </w:rPr>
        <w:t xml:space="preserve"> </w:t>
      </w:r>
    </w:p>
    <w:p w14:paraId="3758AA97">
      <w:pPr>
        <w:pStyle w:val="76"/>
        <w:numPr>
          <w:ilvl w:val="0"/>
          <w:numId w:val="15"/>
        </w:numPr>
        <w:ind w:left="425" w:leftChars="0" w:hanging="425" w:firstLineChars="0"/>
        <w:rPr>
          <w:rFonts w:hint="eastAsia" w:cs="Times New Roman"/>
          <w:b w:val="0"/>
          <w:bCs/>
          <w:highlight w:val="none"/>
        </w:rPr>
      </w:pPr>
      <w:r>
        <w:rPr>
          <w:rFonts w:hint="eastAsia" w:cs="Times New Roman"/>
          <w:b w:val="0"/>
          <w:bCs/>
          <w:highlight w:val="none"/>
        </w:rPr>
        <w:t>商务标：</w:t>
      </w:r>
    </w:p>
    <w:p w14:paraId="6699D0A3">
      <w:pPr>
        <w:pStyle w:val="77"/>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5C9AD501">
      <w:pPr>
        <w:pStyle w:val="77"/>
        <w:numPr>
          <w:ilvl w:val="0"/>
          <w:numId w:val="19"/>
        </w:numPr>
        <w:ind w:left="425" w:leftChars="0" w:hanging="425" w:firstLineChars="0"/>
        <w:rPr>
          <w:b w:val="0"/>
          <w:bCs/>
          <w:highlight w:val="none"/>
        </w:rPr>
      </w:pPr>
      <w:r>
        <w:rPr>
          <w:rFonts w:hint="eastAsia"/>
          <w:b w:val="0"/>
          <w:bCs/>
          <w:highlight w:val="none"/>
        </w:rPr>
        <w:t>投标函（格式见附件）;</w:t>
      </w:r>
    </w:p>
    <w:p w14:paraId="3C2D2FFB">
      <w:pPr>
        <w:pStyle w:val="77"/>
        <w:numPr>
          <w:ilvl w:val="0"/>
          <w:numId w:val="19"/>
        </w:numPr>
        <w:ind w:left="425" w:leftChars="0" w:hanging="425" w:firstLineChars="0"/>
        <w:rPr>
          <w:b w:val="0"/>
          <w:bCs/>
          <w:highlight w:val="none"/>
        </w:rPr>
      </w:pPr>
      <w:r>
        <w:rPr>
          <w:rFonts w:hint="eastAsia"/>
          <w:b w:val="0"/>
          <w:bCs/>
          <w:highlight w:val="none"/>
        </w:rPr>
        <w:t>商务条款偏离表；</w:t>
      </w:r>
    </w:p>
    <w:p w14:paraId="2D60FF2E">
      <w:pPr>
        <w:pStyle w:val="77"/>
        <w:numPr>
          <w:ilvl w:val="0"/>
          <w:numId w:val="19"/>
        </w:numPr>
        <w:ind w:left="425" w:leftChars="0" w:hanging="425" w:firstLineChars="0"/>
        <w:rPr>
          <w:b w:val="0"/>
          <w:bCs/>
          <w:highlight w:val="none"/>
        </w:rPr>
      </w:pPr>
      <w:r>
        <w:rPr>
          <w:rFonts w:hint="eastAsia"/>
          <w:b w:val="0"/>
          <w:bCs/>
          <w:highlight w:val="none"/>
        </w:rPr>
        <w:t>投标货物分项报价表；</w:t>
      </w:r>
    </w:p>
    <w:p w14:paraId="5897E833">
      <w:pPr>
        <w:pStyle w:val="77"/>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备配件目录价格及折扣报价表</w:t>
      </w:r>
    </w:p>
    <w:p w14:paraId="62600F4A">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eastAsia" w:cs="Times New Roman"/>
          <w:b w:val="0"/>
          <w:bCs/>
          <w:highlight w:val="none"/>
          <w:lang w:val="en-US" w:eastAsia="zh-CN"/>
        </w:rPr>
        <w:t>商务报价注意内容：</w:t>
      </w:r>
      <w:r>
        <w:rPr>
          <w:rFonts w:hint="eastAsia" w:cs="Times New Roman"/>
          <w:b w:val="0"/>
          <w:bCs/>
          <w:highlight w:val="none"/>
        </w:rPr>
        <w:t>最高投标限价（招标控制价）：</w:t>
      </w:r>
      <w:r>
        <w:rPr>
          <w:rFonts w:hint="eastAsia" w:cs="Times New Roman"/>
          <w:b w:val="0"/>
          <w:bCs/>
          <w:color w:val="FF0000"/>
          <w:highlight w:val="none"/>
        </w:rPr>
        <w:t>人民币</w:t>
      </w:r>
      <w:r>
        <w:rPr>
          <w:rFonts w:hint="eastAsia" w:cs="Times New Roman"/>
          <w:b w:val="0"/>
          <w:bCs/>
          <w:color w:val="FF0000"/>
          <w:highlight w:val="none"/>
          <w:u w:val="single"/>
          <w:lang w:val="en-US" w:eastAsia="zh-CN"/>
        </w:rPr>
        <w:t xml:space="preserve"> 2.53</w:t>
      </w:r>
      <w:r>
        <w:rPr>
          <w:rFonts w:hint="eastAsia" w:cs="Times New Roman"/>
          <w:b w:val="0"/>
          <w:bCs/>
          <w:color w:val="FF0000"/>
          <w:highlight w:val="none"/>
        </w:rPr>
        <w:t>万元（含</w:t>
      </w:r>
      <w:r>
        <w:rPr>
          <w:rFonts w:hint="eastAsia" w:cs="Times New Roman"/>
          <w:b w:val="0"/>
          <w:bCs/>
          <w:color w:val="FF0000"/>
          <w:highlight w:val="none"/>
          <w:u w:val="single"/>
          <w:lang w:val="en-US" w:eastAsia="zh-CN"/>
        </w:rPr>
        <w:t xml:space="preserve">6 </w:t>
      </w:r>
      <w:r>
        <w:rPr>
          <w:rFonts w:hint="eastAsia" w:cs="Times New Roman"/>
          <w:b w:val="0"/>
          <w:bCs/>
          <w:color w:val="FF0000"/>
          <w:highlight w:val="none"/>
        </w:rPr>
        <w:t>%增值税）</w:t>
      </w:r>
      <w:r>
        <w:rPr>
          <w:rFonts w:hint="eastAsia" w:cs="Times New Roman"/>
          <w:b w:val="0"/>
          <w:bCs/>
          <w:highlight w:val="none"/>
        </w:rPr>
        <w:t>，超过投标限价无法投标。</w:t>
      </w:r>
    </w:p>
    <w:p w14:paraId="7A6C6800">
      <w:pPr>
        <w:pStyle w:val="75"/>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投标文件的投递</w:t>
      </w:r>
    </w:p>
    <w:p w14:paraId="430BD106">
      <w:pPr>
        <w:numPr>
          <w:ilvl w:val="0"/>
          <w:numId w:val="20"/>
        </w:numPr>
        <w:spacing w:line="360" w:lineRule="auto"/>
        <w:rPr>
          <w:rFonts w:hint="eastAsia" w:ascii="宋体" w:hAnsi="Courier New" w:eastAsia="宋体" w:cs="Times New Roman"/>
          <w:b w:val="0"/>
          <w:bCs/>
          <w:kern w:val="2"/>
          <w:sz w:val="21"/>
          <w:highlight w:val="none"/>
          <w:lang w:val="en-US" w:eastAsia="zh-CN" w:bidi="ar-SA"/>
        </w:rPr>
      </w:pPr>
      <w:r>
        <w:rPr>
          <w:rFonts w:hint="eastAsia" w:ascii="宋体" w:hAnsi="Courier New" w:eastAsia="宋体" w:cs="Times New Roman"/>
          <w:b w:val="0"/>
          <w:bCs/>
          <w:kern w:val="2"/>
          <w:sz w:val="21"/>
          <w:highlight w:val="none"/>
          <w:lang w:val="en-US" w:eastAsia="zh-CN" w:bidi="ar-SA"/>
        </w:rPr>
        <w:t>投标方式：在中国重汽e采通平台应标成功后，进入“供应商投标”环节，投递盖章扫描版电子标书（包含资质标书、技术标书、商务标书），若逾期未在中国重汽e采通平台上传电子标书，一律视为无效投标。</w:t>
      </w:r>
    </w:p>
    <w:p w14:paraId="79AF9BE2">
      <w:pPr>
        <w:pStyle w:val="77"/>
        <w:numPr>
          <w:ilvl w:val="0"/>
          <w:numId w:val="0"/>
        </w:numPr>
        <w:ind w:leftChars="0"/>
        <w:rPr>
          <w:rFonts w:hint="eastAsia" w:ascii="宋体" w:hAnsi="Courier New" w:eastAsia="宋体" w:cs="Times New Roman"/>
          <w:b w:val="0"/>
          <w:bCs/>
          <w:highlight w:val="none"/>
          <w:lang w:val="en-US" w:eastAsia="zh-CN"/>
        </w:rPr>
      </w:pPr>
      <w:r>
        <w:rPr>
          <w:rFonts w:hint="eastAsia" w:cs="Times New Roman"/>
          <w:b w:val="0"/>
          <w:bCs/>
          <w:highlight w:val="none"/>
          <w:lang w:val="en-US" w:eastAsia="zh-CN"/>
        </w:rPr>
        <w:t>2.</w:t>
      </w:r>
      <w:r>
        <w:rPr>
          <w:rFonts w:hint="eastAsia" w:ascii="宋体" w:hAnsi="Courier New" w:eastAsia="宋体" w:cs="Times New Roman"/>
          <w:b w:val="0"/>
          <w:bCs/>
          <w:highlight w:val="none"/>
          <w:lang w:val="en-US" w:eastAsia="zh-CN"/>
        </w:rPr>
        <w:t>联系人及联系方式：</w:t>
      </w:r>
      <w:r>
        <w:rPr>
          <w:rFonts w:hint="eastAsia" w:cs="Times New Roman"/>
          <w:b w:val="0"/>
          <w:bCs/>
          <w:highlight w:val="none"/>
          <w:lang w:val="en-US" w:eastAsia="zh-CN"/>
        </w:rPr>
        <w:t>高工  18758117571</w:t>
      </w:r>
    </w:p>
    <w:p w14:paraId="1CA04552">
      <w:pPr>
        <w:pStyle w:val="77"/>
        <w:numPr>
          <w:ilvl w:val="0"/>
          <w:numId w:val="0"/>
        </w:numPr>
        <w:ind w:leftChars="0"/>
        <w:rPr>
          <w:rFonts w:hint="eastAsia" w:ascii="宋体" w:hAnsi="Courier New" w:eastAsia="宋体" w:cs="Times New Roman"/>
          <w:b w:val="0"/>
          <w:bCs/>
          <w:highlight w:val="none"/>
          <w:lang w:val="en-US" w:eastAsia="zh-CN"/>
        </w:rPr>
      </w:pPr>
      <w:r>
        <w:rPr>
          <w:rFonts w:hint="eastAsia" w:cs="Times New Roman"/>
          <w:b w:val="0"/>
          <w:bCs/>
          <w:highlight w:val="none"/>
          <w:lang w:val="en-US" w:eastAsia="zh-CN"/>
        </w:rPr>
        <w:t>3.</w:t>
      </w:r>
      <w:r>
        <w:rPr>
          <w:rFonts w:hint="eastAsia" w:ascii="宋体" w:hAnsi="Courier New" w:eastAsia="宋体" w:cs="Times New Roman"/>
          <w:b w:val="0"/>
          <w:bCs/>
          <w:highlight w:val="none"/>
          <w:lang w:val="en-US" w:eastAsia="zh-CN"/>
        </w:rPr>
        <w:t>投标文件递交截止时间：20</w:t>
      </w:r>
      <w:r>
        <w:rPr>
          <w:rFonts w:hint="eastAsia" w:cs="Times New Roman"/>
          <w:b w:val="0"/>
          <w:bCs/>
          <w:highlight w:val="none"/>
          <w:lang w:val="en-US" w:eastAsia="zh-CN"/>
        </w:rPr>
        <w:t>26</w:t>
      </w:r>
      <w:r>
        <w:rPr>
          <w:rFonts w:hint="eastAsia" w:ascii="宋体" w:hAnsi="Courier New" w:eastAsia="宋体" w:cs="Times New Roman"/>
          <w:b w:val="0"/>
          <w:bCs/>
          <w:highlight w:val="none"/>
          <w:lang w:val="en-US" w:eastAsia="zh-CN"/>
        </w:rPr>
        <w:t>年</w:t>
      </w:r>
      <w:r>
        <w:rPr>
          <w:rFonts w:hint="eastAsia" w:cs="Times New Roman"/>
          <w:b w:val="0"/>
          <w:bCs/>
          <w:highlight w:val="none"/>
          <w:lang w:val="en-US" w:eastAsia="zh-CN"/>
        </w:rPr>
        <w:t>9月28日17</w:t>
      </w:r>
      <w:r>
        <w:rPr>
          <w:rFonts w:hint="eastAsia" w:ascii="宋体" w:hAnsi="Courier New" w:eastAsia="宋体" w:cs="Times New Roman"/>
          <w:b w:val="0"/>
          <w:bCs/>
          <w:highlight w:val="none"/>
          <w:lang w:val="en-US" w:eastAsia="zh-CN"/>
        </w:rPr>
        <w:t>:</w:t>
      </w:r>
      <w:r>
        <w:rPr>
          <w:rFonts w:hint="eastAsia" w:cs="Times New Roman"/>
          <w:b w:val="0"/>
          <w:bCs/>
          <w:highlight w:val="none"/>
          <w:lang w:val="en-US" w:eastAsia="zh-CN"/>
        </w:rPr>
        <w:t>00</w:t>
      </w:r>
      <w:r>
        <w:rPr>
          <w:rFonts w:hint="eastAsia" w:ascii="宋体" w:hAnsi="Courier New" w:eastAsia="宋体" w:cs="Times New Roman"/>
          <w:b w:val="0"/>
          <w:bCs/>
          <w:highlight w:val="none"/>
          <w:lang w:val="en-US" w:eastAsia="zh-CN"/>
        </w:rPr>
        <w:t>:</w:t>
      </w:r>
      <w:r>
        <w:rPr>
          <w:rFonts w:hint="eastAsia" w:cs="Times New Roman"/>
          <w:b w:val="0"/>
          <w:bCs/>
          <w:highlight w:val="none"/>
          <w:lang w:val="en-US" w:eastAsia="zh-CN"/>
        </w:rPr>
        <w:t>00</w:t>
      </w:r>
    </w:p>
    <w:p w14:paraId="1999C33D">
      <w:pPr>
        <w:pStyle w:val="74"/>
        <w:rPr>
          <w:rFonts w:hint="eastAsia" w:hAnsi="Courier New" w:cs="Times New Roman"/>
          <w:highlight w:val="none"/>
        </w:rPr>
      </w:pPr>
      <w:bookmarkStart w:id="16"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1C3CA4EB">
      <w:pPr>
        <w:pStyle w:val="74"/>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2EF166E7">
      <w:pPr>
        <w:pStyle w:val="74"/>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4D7810FE">
      <w:pPr>
        <w:pStyle w:val="74"/>
        <w:numPr>
          <w:ilvl w:val="0"/>
          <w:numId w:val="22"/>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color w:val="FF0000"/>
          <w:sz w:val="21"/>
          <w:szCs w:val="21"/>
          <w:highlight w:val="none"/>
          <w:u w:val="single"/>
          <w:lang w:val="en-US" w:eastAsia="zh-CN"/>
        </w:rPr>
        <w:t>5000.00</w:t>
      </w:r>
      <w:r>
        <w:rPr>
          <w:rFonts w:hint="eastAsia" w:ascii="宋体" w:hAnsi="宋体" w:eastAsia="宋体" w:cs="宋体"/>
          <w:b w:val="0"/>
          <w:bCs w:val="0"/>
          <w:sz w:val="21"/>
          <w:szCs w:val="21"/>
          <w:highlight w:val="none"/>
        </w:rPr>
        <w:t>元</w:t>
      </w:r>
    </w:p>
    <w:p w14:paraId="09589DA6">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hAnsi="宋体" w:cs="宋体"/>
          <w:b w:val="0"/>
          <w:bCs w:val="0"/>
          <w:sz w:val="21"/>
          <w:szCs w:val="21"/>
          <w:highlight w:val="none"/>
          <w:lang w:val="en-US" w:eastAsia="zh-CN"/>
        </w:rPr>
        <w:t>转账信息：</w:t>
      </w:r>
    </w:p>
    <w:tbl>
      <w:tblPr>
        <w:tblStyle w:val="33"/>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3486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085EDF90">
            <w:pPr>
              <w:pStyle w:val="16"/>
              <w:spacing w:line="360" w:lineRule="auto"/>
              <w:ind w:firstLine="420" w:firstLineChars="200"/>
              <w:jc w:val="both"/>
              <w:rPr>
                <w:rFonts w:hint="eastAsia"/>
                <w:highlight w:val="none"/>
              </w:rPr>
            </w:pPr>
            <w:r>
              <w:rPr>
                <w:rFonts w:hint="eastAsia" w:ascii="宋体" w:hAnsi="宋体" w:eastAsia="宋体" w:cs="宋体"/>
                <w:b w:val="0"/>
                <w:bCs w:val="0"/>
                <w:sz w:val="21"/>
                <w:szCs w:val="21"/>
                <w:highlight w:val="none"/>
              </w:rPr>
              <w:t>开户名称</w:t>
            </w:r>
            <w:r>
              <w:rPr>
                <w:rFonts w:hint="eastAsia" w:hAnsi="宋体" w:cs="宋体"/>
                <w:b w:val="0"/>
                <w:bCs w:val="0"/>
                <w:sz w:val="21"/>
                <w:szCs w:val="21"/>
                <w:highlight w:val="none"/>
                <w:lang w:eastAsia="zh-CN"/>
              </w:rPr>
              <w:t>：</w:t>
            </w:r>
            <w:r>
              <w:rPr>
                <w:rFonts w:hint="eastAsia" w:ascii="宋体" w:hAnsi="宋体" w:eastAsia="宋体" w:cs="宋体"/>
                <w:b w:val="0"/>
                <w:bCs w:val="0"/>
                <w:sz w:val="21"/>
                <w:szCs w:val="21"/>
                <w:highlight w:val="none"/>
              </w:rPr>
              <w:t>中国重汽集团杭州发动机有限公司</w:t>
            </w:r>
          </w:p>
        </w:tc>
      </w:tr>
      <w:tr w14:paraId="4E9C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16B60F7C">
            <w:pPr>
              <w:pStyle w:val="16"/>
              <w:spacing w:line="360" w:lineRule="auto"/>
              <w:ind w:firstLine="420" w:firstLineChars="200"/>
              <w:jc w:val="both"/>
              <w:rPr>
                <w:highlight w:val="none"/>
              </w:rPr>
            </w:pPr>
            <w:r>
              <w:rPr>
                <w:rFonts w:hint="eastAsia"/>
                <w:highlight w:val="none"/>
              </w:rPr>
              <w:t>开户银行：工行半道红支行</w:t>
            </w:r>
          </w:p>
        </w:tc>
      </w:tr>
      <w:tr w14:paraId="7153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72638672">
            <w:pPr>
              <w:pStyle w:val="16"/>
              <w:spacing w:line="360" w:lineRule="auto"/>
              <w:ind w:firstLine="420" w:firstLineChars="200"/>
              <w:jc w:val="both"/>
              <w:rPr>
                <w:highlight w:val="none"/>
              </w:rPr>
            </w:pPr>
            <w:r>
              <w:rPr>
                <w:rFonts w:hint="eastAsia"/>
                <w:highlight w:val="none"/>
              </w:rPr>
              <w:t>户名：中国重汽集团杭州发动机有限公司</w:t>
            </w:r>
          </w:p>
        </w:tc>
      </w:tr>
      <w:tr w14:paraId="0D97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8287" w:type="dxa"/>
            <w:vAlign w:val="center"/>
          </w:tcPr>
          <w:p w14:paraId="761ACB41">
            <w:pPr>
              <w:pStyle w:val="16"/>
              <w:spacing w:line="360" w:lineRule="auto"/>
              <w:ind w:firstLine="420" w:firstLineChars="200"/>
              <w:jc w:val="both"/>
              <w:rPr>
                <w:highlight w:val="none"/>
              </w:rPr>
            </w:pPr>
            <w:r>
              <w:rPr>
                <w:rFonts w:hint="eastAsia"/>
                <w:highlight w:val="none"/>
              </w:rPr>
              <w:t>账号：</w:t>
            </w:r>
            <w:r>
              <w:rPr>
                <w:highlight w:val="none"/>
              </w:rPr>
              <w:t>1202051439900007785</w:t>
            </w:r>
          </w:p>
        </w:tc>
      </w:tr>
    </w:tbl>
    <w:p w14:paraId="00E01D81">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3CBBF78">
      <w:pPr>
        <w:pStyle w:val="74"/>
        <w:numPr>
          <w:ilvl w:val="0"/>
          <w:numId w:val="0"/>
        </w:numPr>
        <w:ind w:left="425" w:leftChars="0" w:hanging="425" w:firstLineChars="0"/>
        <w:rPr>
          <w:rFonts w:hint="eastAsia" w:ascii="宋体" w:hAnsi="宋体" w:eastAsia="宋体" w:cs="宋体"/>
          <w:b w:val="0"/>
          <w:bCs w:val="0"/>
          <w:color w:val="FF0000"/>
          <w:sz w:val="21"/>
          <w:szCs w:val="21"/>
          <w:highlight w:val="none"/>
        </w:rPr>
      </w:pPr>
      <w:r>
        <w:rPr>
          <w:rFonts w:hint="default" w:ascii="宋体" w:hAnsi="宋体" w:eastAsia="宋体" w:cs="宋体"/>
          <w:b w:val="0"/>
          <w:bCs w:val="0"/>
          <w:color w:val="FF0000"/>
          <w:kern w:val="2"/>
          <w:sz w:val="21"/>
          <w:szCs w:val="21"/>
          <w:lang w:val="en-US" w:eastAsia="zh-CN" w:bidi="ar-SA"/>
        </w:rPr>
        <w:t>(</w:t>
      </w:r>
      <w:r>
        <w:rPr>
          <w:rFonts w:hint="eastAsia" w:ascii="宋体" w:hAnsi="宋体" w:eastAsia="宋体" w:cs="宋体"/>
          <w:b w:val="0"/>
          <w:bCs w:val="0"/>
          <w:color w:val="FF0000"/>
          <w:kern w:val="2"/>
          <w:sz w:val="21"/>
          <w:szCs w:val="21"/>
          <w:lang w:val="en-US" w:eastAsia="zh-CN" w:bidi="ar-SA"/>
        </w:rPr>
        <w:t>3</w:t>
      </w:r>
      <w:r>
        <w:rPr>
          <w:rFonts w:hint="default" w:ascii="宋体" w:hAnsi="宋体" w:eastAsia="宋体" w:cs="宋体"/>
          <w:b w:val="0"/>
          <w:bCs w:val="0"/>
          <w:color w:val="FF0000"/>
          <w:kern w:val="2"/>
          <w:sz w:val="21"/>
          <w:szCs w:val="21"/>
          <w:lang w:val="en-US" w:eastAsia="zh-CN" w:bidi="ar-SA"/>
        </w:rPr>
        <w:t>)</w:t>
      </w:r>
      <w:r>
        <w:rPr>
          <w:rFonts w:hint="eastAsia" w:ascii="宋体" w:hAnsi="宋体" w:eastAsia="宋体" w:cs="宋体"/>
          <w:b w:val="0"/>
          <w:bCs w:val="0"/>
          <w:color w:val="FF0000"/>
          <w:sz w:val="21"/>
          <w:szCs w:val="21"/>
          <w:highlight w:val="none"/>
        </w:rPr>
        <w:t>保证金缴纳截止时间：202</w:t>
      </w:r>
      <w:r>
        <w:rPr>
          <w:rFonts w:hint="eastAsia" w:ascii="宋体" w:hAnsi="宋体" w:eastAsia="宋体" w:cs="宋体"/>
          <w:b w:val="0"/>
          <w:bCs w:val="0"/>
          <w:color w:val="FF0000"/>
          <w:sz w:val="21"/>
          <w:szCs w:val="21"/>
          <w:highlight w:val="none"/>
          <w:lang w:val="en-US" w:eastAsia="zh-CN"/>
        </w:rPr>
        <w:t>6</w:t>
      </w:r>
      <w:r>
        <w:rPr>
          <w:rFonts w:hint="eastAsia" w:ascii="宋体" w:hAnsi="宋体" w:eastAsia="宋体" w:cs="宋体"/>
          <w:b w:val="0"/>
          <w:bCs w:val="0"/>
          <w:color w:val="FF0000"/>
          <w:sz w:val="21"/>
          <w:szCs w:val="21"/>
          <w:highlight w:val="none"/>
        </w:rPr>
        <w:t>年</w:t>
      </w:r>
      <w:r>
        <w:rPr>
          <w:rFonts w:hint="eastAsia" w:ascii="宋体" w:hAnsi="宋体" w:eastAsia="宋体" w:cs="宋体"/>
          <w:b w:val="0"/>
          <w:bCs w:val="0"/>
          <w:color w:val="FF0000"/>
          <w:sz w:val="21"/>
          <w:szCs w:val="21"/>
          <w:highlight w:val="none"/>
          <w:lang w:val="en-US" w:eastAsia="zh-CN"/>
        </w:rPr>
        <w:t>9月28日17</w:t>
      </w:r>
      <w:r>
        <w:rPr>
          <w:rFonts w:hint="eastAsia" w:ascii="宋体" w:hAnsi="宋体" w:eastAsia="宋体" w:cs="宋体"/>
          <w:b w:val="0"/>
          <w:bCs w:val="0"/>
          <w:color w:val="FF0000"/>
          <w:sz w:val="21"/>
          <w:szCs w:val="21"/>
          <w:highlight w:val="none"/>
        </w:rPr>
        <w:t>：</w:t>
      </w:r>
      <w:r>
        <w:rPr>
          <w:rFonts w:hint="eastAsia" w:ascii="宋体" w:hAnsi="宋体" w:eastAsia="宋体" w:cs="宋体"/>
          <w:b w:val="0"/>
          <w:bCs w:val="0"/>
          <w:color w:val="FF0000"/>
          <w:sz w:val="21"/>
          <w:szCs w:val="21"/>
          <w:highlight w:val="none"/>
          <w:lang w:val="en-US" w:eastAsia="zh-CN"/>
        </w:rPr>
        <w:t>00</w:t>
      </w:r>
      <w:r>
        <w:rPr>
          <w:rFonts w:hint="eastAsia" w:ascii="宋体" w:hAnsi="宋体" w:eastAsia="宋体" w:cs="宋体"/>
          <w:b w:val="0"/>
          <w:bCs w:val="0"/>
          <w:color w:val="FF000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同应标截止时间</w:t>
      </w:r>
      <w:r>
        <w:rPr>
          <w:rFonts w:hint="eastAsia" w:ascii="宋体" w:hAnsi="宋体" w:eastAsia="宋体" w:cs="宋体"/>
          <w:b w:val="0"/>
          <w:bCs w:val="0"/>
          <w:sz w:val="21"/>
          <w:szCs w:val="21"/>
          <w:highlight w:val="none"/>
          <w:lang w:eastAsia="zh-CN"/>
        </w:rPr>
        <w:t>）</w:t>
      </w:r>
    </w:p>
    <w:p w14:paraId="09E6E209">
      <w:pPr>
        <w:pStyle w:val="74"/>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1010310E">
      <w:pPr>
        <w:pStyle w:val="74"/>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27A39928">
      <w:pPr>
        <w:pStyle w:val="74"/>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30</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none"/>
          <w:u w:val="single"/>
          <w:lang w:val="en-US" w:eastAsia="zh-CN"/>
        </w:rPr>
        <w:t>30</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4371FDBF">
      <w:pPr>
        <w:pStyle w:val="74"/>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6"/>
    <w:p w14:paraId="593B3CFC">
      <w:pPr>
        <w:pStyle w:val="74"/>
      </w:pPr>
      <w:r>
        <w:rPr>
          <w:rFonts w:hint="eastAsia"/>
          <w:lang w:val="en-US" w:eastAsia="zh-CN"/>
        </w:rPr>
        <w:t>开评标</w:t>
      </w:r>
    </w:p>
    <w:p w14:paraId="318D8C7B">
      <w:pPr>
        <w:pStyle w:val="74"/>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开标时间：2026年9月29日9:30（暂定时间，以实际通知为准）。</w:t>
      </w:r>
    </w:p>
    <w:p w14:paraId="175BDAFF">
      <w:pPr>
        <w:pStyle w:val="74"/>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开标地点：中国重汽集团杭州发动机有限公司</w:t>
      </w:r>
    </w:p>
    <w:p w14:paraId="4288BFFC">
      <w:pPr>
        <w:pStyle w:val="74"/>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w:t>
      </w:r>
    </w:p>
    <w:p w14:paraId="3BE7092A">
      <w:pPr>
        <w:pStyle w:val="74"/>
        <w:keepNext w:val="0"/>
        <w:keepLines w:val="0"/>
        <w:pageBreakBefore w:val="0"/>
        <w:widowControl w:val="0"/>
        <w:numPr>
          <w:ilvl w:val="0"/>
          <w:numId w:val="24"/>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color w:val="FF0000"/>
          <w:kern w:val="2"/>
          <w:sz w:val="21"/>
          <w:highlight w:val="none"/>
          <w:lang w:val="en-US" w:eastAsia="zh-CN" w:bidi="ar-SA"/>
        </w:rPr>
        <w:t>线上招标</w:t>
      </w:r>
      <w:r>
        <w:rPr>
          <w:rFonts w:hint="eastAsia" w:ascii="宋体" w:hAnsi="Courier New" w:eastAsia="宋体" w:cs="Times New Roman"/>
          <w:b w:val="0"/>
          <w:bCs/>
          <w:kern w:val="2"/>
          <w:sz w:val="21"/>
          <w:highlight w:val="none"/>
          <w:lang w:val="en-US" w:eastAsia="zh-CN" w:bidi="ar-SA"/>
        </w:rPr>
        <w:t>：</w:t>
      </w:r>
      <w:r>
        <w:rPr>
          <w:rFonts w:hint="eastAsia" w:ascii="宋体" w:hAnsi="宋体" w:eastAsia="宋体" w:cs="宋体"/>
          <w:b w:val="0"/>
          <w:bCs w:val="0"/>
          <w:sz w:val="21"/>
          <w:szCs w:val="21"/>
          <w:highlight w:val="none"/>
          <w:lang w:val="en-US" w:eastAsia="zh-CN"/>
        </w:rPr>
        <w:t>因招标人原因，允许各投标方通过视频会议等形式线上招标，所需过程资料均通过e采通进行提报，由</w:t>
      </w:r>
      <w:r>
        <w:rPr>
          <w:rFonts w:hint="eastAsia" w:ascii="宋体" w:hAnsi="宋体" w:eastAsia="宋体" w:cs="宋体"/>
          <w:color w:val="000000"/>
          <w:sz w:val="21"/>
          <w:szCs w:val="21"/>
          <w:highlight w:val="none"/>
        </w:rPr>
        <w:t>招标人创建视频链接</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并在报名结束后统一通知。</w:t>
      </w:r>
    </w:p>
    <w:p w14:paraId="637FB4DA">
      <w:pPr>
        <w:pStyle w:val="74"/>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41851478">
      <w:pPr>
        <w:pStyle w:val="74"/>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评标方法</w:t>
      </w:r>
    </w:p>
    <w:p w14:paraId="4121A209">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color w:val="FF0000"/>
          <w:highlight w:val="none"/>
          <w:lang w:val="en-US" w:eastAsia="zh-CN"/>
        </w:rPr>
      </w:pPr>
      <w:r>
        <w:rPr>
          <w:rFonts w:hint="eastAsia" w:cs="Times New Roman"/>
          <w:b w:val="0"/>
          <w:bCs/>
          <w:color w:val="FF0000"/>
          <w:highlight w:val="none"/>
          <w:lang w:val="en-US" w:eastAsia="zh-CN"/>
        </w:rPr>
        <w:t>评标方法（合理最低价中标）</w:t>
      </w:r>
    </w:p>
    <w:p w14:paraId="1298BA4F">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本次招标采用技术标入围后，原则上合理最低价中标。本着公平、公正、公开的原则，在通过技术标综合评审后入围的前提下，选择合理最低价确定中标人，对未中标单位不做任何解释。</w:t>
      </w:r>
    </w:p>
    <w:p w14:paraId="33C11545">
      <w:pPr>
        <w:pStyle w:val="74"/>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30C16CD">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cs="宋体"/>
          <w:b/>
          <w:bCs/>
          <w:color w:val="000000"/>
          <w:sz w:val="21"/>
          <w:szCs w:val="21"/>
          <w:highlight w:val="none"/>
          <w:lang w:val="en-US" w:eastAsia="zh-CN"/>
        </w:rPr>
        <w:t>3</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73D5A850">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4166E9DA">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131967DB">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48D91F83">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0B823985">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7AFC4E82">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30A55C4F">
      <w:pPr>
        <w:pStyle w:val="74"/>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评分标准</w:t>
      </w:r>
    </w:p>
    <w:p w14:paraId="37792A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注：</w:t>
      </w:r>
    </w:p>
    <w:p w14:paraId="0DB02C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r>
        <w:rPr>
          <w:rFonts w:hint="eastAsia" w:ascii="宋体" w:hAnsi="宋体" w:cs="宋体"/>
          <w:b/>
          <w:bCs/>
          <w:color w:val="FF0000"/>
          <w:sz w:val="21"/>
          <w:szCs w:val="21"/>
          <w:lang w:val="en-US" w:eastAsia="zh-CN"/>
        </w:rPr>
        <w:t>（1）</w:t>
      </w:r>
      <w:r>
        <w:rPr>
          <w:rFonts w:hint="eastAsia" w:ascii="宋体" w:hAnsi="宋体" w:eastAsia="宋体" w:cs="宋体"/>
          <w:b/>
          <w:bCs/>
          <w:color w:val="FF0000"/>
          <w:sz w:val="21"/>
          <w:szCs w:val="21"/>
          <w:lang w:val="en-US" w:eastAsia="zh-CN"/>
        </w:rPr>
        <w:t>本</w:t>
      </w:r>
      <w:r>
        <w:rPr>
          <w:rFonts w:hint="eastAsia" w:ascii="宋体" w:hAnsi="宋体" w:cs="宋体"/>
          <w:b/>
          <w:bCs/>
          <w:color w:val="FF0000"/>
          <w:sz w:val="21"/>
          <w:szCs w:val="21"/>
          <w:lang w:val="en-US" w:eastAsia="zh-CN"/>
        </w:rPr>
        <w:t>杭发公司电梯维护保养</w:t>
      </w:r>
      <w:r>
        <w:rPr>
          <w:rFonts w:hint="eastAsia" w:ascii="宋体" w:hAnsi="宋体" w:eastAsia="宋体" w:cs="宋体"/>
          <w:b/>
          <w:bCs/>
          <w:color w:val="FF0000"/>
          <w:sz w:val="21"/>
          <w:szCs w:val="21"/>
          <w:lang w:val="en-US" w:eastAsia="zh-CN"/>
        </w:rPr>
        <w:t>项目有效投标人不足三家的，不得组织开标。</w:t>
      </w:r>
    </w:p>
    <w:p w14:paraId="4E0F24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r>
        <w:rPr>
          <w:rFonts w:hint="eastAsia" w:ascii="宋体" w:hAnsi="宋体" w:cs="宋体"/>
          <w:b/>
          <w:bCs/>
          <w:color w:val="FF0000"/>
          <w:sz w:val="21"/>
          <w:szCs w:val="21"/>
          <w:lang w:val="en-US" w:eastAsia="zh-CN"/>
        </w:rPr>
        <w:t>（2）</w:t>
      </w:r>
      <w:r>
        <w:rPr>
          <w:rFonts w:hint="eastAsia" w:ascii="宋体" w:hAnsi="宋体" w:eastAsia="宋体" w:cs="宋体"/>
          <w:b/>
          <w:bCs/>
          <w:color w:val="FF0000"/>
          <w:sz w:val="21"/>
          <w:szCs w:val="21"/>
          <w:lang w:val="en-US" w:eastAsia="zh-CN"/>
        </w:rPr>
        <w:t>本项目采用合理最低价中标评标方式。</w:t>
      </w:r>
    </w:p>
    <w:p w14:paraId="1FC1F0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r>
        <w:rPr>
          <w:rFonts w:hint="eastAsia" w:ascii="宋体" w:hAnsi="宋体" w:cs="宋体"/>
          <w:b/>
          <w:bCs/>
          <w:color w:val="FF0000"/>
          <w:sz w:val="21"/>
          <w:szCs w:val="21"/>
          <w:lang w:val="en-US" w:eastAsia="zh-CN"/>
        </w:rPr>
        <w:t>（3）</w:t>
      </w:r>
      <w:r>
        <w:rPr>
          <w:rFonts w:hint="eastAsia" w:ascii="宋体" w:hAnsi="宋体" w:eastAsia="宋体" w:cs="宋体"/>
          <w:b/>
          <w:bCs/>
          <w:color w:val="FF0000"/>
          <w:sz w:val="21"/>
          <w:szCs w:val="21"/>
          <w:lang w:val="en-US" w:eastAsia="zh-CN"/>
        </w:rPr>
        <w:t>技术标评审满分100分，技术标得分低于</w:t>
      </w:r>
      <w:r>
        <w:rPr>
          <w:rFonts w:hint="eastAsia" w:ascii="宋体" w:hAnsi="宋体" w:cs="宋体"/>
          <w:b/>
          <w:bCs/>
          <w:color w:val="FF0000"/>
          <w:sz w:val="21"/>
          <w:szCs w:val="21"/>
          <w:lang w:val="en-US" w:eastAsia="zh-CN"/>
        </w:rPr>
        <w:t>70</w:t>
      </w:r>
      <w:r>
        <w:rPr>
          <w:rFonts w:hint="eastAsia" w:ascii="宋体" w:hAnsi="宋体" w:eastAsia="宋体" w:cs="宋体"/>
          <w:b/>
          <w:bCs/>
          <w:color w:val="FF0000"/>
          <w:sz w:val="21"/>
          <w:szCs w:val="21"/>
          <w:lang w:val="en-US" w:eastAsia="zh-CN"/>
        </w:rPr>
        <w:t>分的，作淘汰处理。</w:t>
      </w:r>
    </w:p>
    <w:p w14:paraId="25D8E4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r>
        <w:rPr>
          <w:rFonts w:hint="eastAsia" w:ascii="宋体" w:hAnsi="宋体" w:cs="宋体"/>
          <w:b/>
          <w:bCs/>
          <w:color w:val="FF0000"/>
          <w:sz w:val="21"/>
          <w:szCs w:val="21"/>
          <w:lang w:val="en-US" w:eastAsia="zh-CN"/>
        </w:rPr>
        <w:t>（4）</w:t>
      </w:r>
      <w:r>
        <w:rPr>
          <w:rFonts w:hint="eastAsia" w:ascii="宋体" w:hAnsi="宋体" w:eastAsia="宋体" w:cs="宋体"/>
          <w:b/>
          <w:bCs/>
          <w:color w:val="FF0000"/>
          <w:sz w:val="21"/>
          <w:szCs w:val="21"/>
          <w:lang w:val="en-US" w:eastAsia="zh-CN"/>
        </w:rPr>
        <w:t>经技术标评审后，有效投标人不足三家的，不再进入商务标评审环节。</w:t>
      </w:r>
    </w:p>
    <w:p w14:paraId="4F7E7A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p>
    <w:p w14:paraId="373A1E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宋体" w:hAnsi="宋体" w:eastAsia="宋体" w:cs="宋体"/>
          <w:b/>
          <w:bCs/>
          <w:color w:val="FF0000"/>
          <w:sz w:val="21"/>
          <w:szCs w:val="21"/>
          <w:lang w:val="en-US" w:eastAsia="zh-CN"/>
        </w:rPr>
      </w:pPr>
    </w:p>
    <w:p w14:paraId="1F3E1BA6">
      <w:pPr>
        <w:pStyle w:val="10"/>
        <w:numPr>
          <w:ilvl w:val="0"/>
          <w:numId w:val="0"/>
        </w:numPr>
        <w:rPr>
          <w:rFonts w:hint="default" w:ascii="宋体" w:hAnsi="宋体" w:eastAsia="宋体" w:cs="宋体"/>
          <w:sz w:val="21"/>
          <w:szCs w:val="21"/>
          <w:lang w:val="en-US" w:eastAsia="zh-CN"/>
        </w:rPr>
      </w:pPr>
    </w:p>
    <w:tbl>
      <w:tblPr>
        <w:tblStyle w:val="33"/>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970"/>
        <w:gridCol w:w="650"/>
        <w:gridCol w:w="6153"/>
      </w:tblGrid>
      <w:tr w14:paraId="7851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6EDD4FD9">
            <w:pPr>
              <w:spacing w:line="320" w:lineRule="exact"/>
              <w:ind w:right="34" w:rightChars="16"/>
              <w:jc w:val="center"/>
              <w:rPr>
                <w:b/>
                <w:szCs w:val="21"/>
              </w:rPr>
            </w:pPr>
            <w:r>
              <w:rPr>
                <w:rFonts w:hint="eastAsia"/>
                <w:b/>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3B4D3CD5">
            <w:pPr>
              <w:spacing w:line="320" w:lineRule="exact"/>
              <w:ind w:right="34" w:rightChars="16"/>
              <w:jc w:val="center"/>
              <w:rPr>
                <w:b/>
                <w:szCs w:val="21"/>
              </w:rPr>
            </w:pPr>
            <w:r>
              <w:rPr>
                <w:rFonts w:hint="eastAsia"/>
                <w:b/>
              </w:rPr>
              <w:t>总分</w:t>
            </w:r>
          </w:p>
        </w:tc>
        <w:tc>
          <w:tcPr>
            <w:tcW w:w="970" w:type="dxa"/>
            <w:tcBorders>
              <w:top w:val="single" w:color="auto" w:sz="4" w:space="0"/>
              <w:left w:val="single" w:color="auto" w:sz="4" w:space="0"/>
              <w:bottom w:val="single" w:color="auto" w:sz="4" w:space="0"/>
              <w:right w:val="single" w:color="auto" w:sz="4" w:space="0"/>
            </w:tcBorders>
            <w:vAlign w:val="center"/>
          </w:tcPr>
          <w:p w14:paraId="1D237ABE">
            <w:pPr>
              <w:spacing w:line="320" w:lineRule="exact"/>
              <w:ind w:right="34" w:rightChars="16"/>
              <w:jc w:val="center"/>
              <w:rPr>
                <w:rFonts w:hint="eastAsia" w:eastAsia="宋体"/>
                <w:b/>
                <w:szCs w:val="21"/>
                <w:lang w:eastAsia="zh-CN"/>
              </w:rPr>
            </w:pPr>
            <w:r>
              <w:rPr>
                <w:rFonts w:hint="eastAsia"/>
                <w:b/>
              </w:rPr>
              <w:t>评审内容</w:t>
            </w:r>
          </w:p>
        </w:tc>
        <w:tc>
          <w:tcPr>
            <w:tcW w:w="650" w:type="dxa"/>
            <w:tcBorders>
              <w:top w:val="single" w:color="auto" w:sz="4" w:space="0"/>
              <w:left w:val="single" w:color="auto" w:sz="4" w:space="0"/>
              <w:bottom w:val="single" w:color="auto" w:sz="4" w:space="0"/>
              <w:right w:val="single" w:color="auto" w:sz="4" w:space="0"/>
            </w:tcBorders>
            <w:vAlign w:val="center"/>
          </w:tcPr>
          <w:p w14:paraId="15214531">
            <w:pPr>
              <w:spacing w:line="320" w:lineRule="exact"/>
              <w:ind w:right="34" w:rightChars="16"/>
              <w:jc w:val="center"/>
              <w:rPr>
                <w:b/>
                <w:szCs w:val="21"/>
              </w:rPr>
            </w:pPr>
            <w:r>
              <w:rPr>
                <w:rFonts w:hint="eastAsia"/>
                <w:b/>
              </w:rPr>
              <w:t>最高</w:t>
            </w:r>
          </w:p>
          <w:p w14:paraId="5C6BAEF2">
            <w:pPr>
              <w:spacing w:line="320" w:lineRule="exact"/>
              <w:ind w:right="34" w:rightChars="16"/>
              <w:jc w:val="center"/>
              <w:rPr>
                <w:b/>
                <w:szCs w:val="21"/>
              </w:rPr>
            </w:pPr>
            <w:r>
              <w:rPr>
                <w:rFonts w:hint="eastAsia"/>
                <w:b/>
              </w:rPr>
              <w:t>得分</w:t>
            </w:r>
          </w:p>
        </w:tc>
        <w:tc>
          <w:tcPr>
            <w:tcW w:w="6153" w:type="dxa"/>
            <w:tcBorders>
              <w:top w:val="single" w:color="auto" w:sz="4" w:space="0"/>
              <w:left w:val="single" w:color="auto" w:sz="4" w:space="0"/>
              <w:bottom w:val="single" w:color="auto" w:sz="4" w:space="0"/>
              <w:right w:val="single" w:color="auto" w:sz="4" w:space="0"/>
            </w:tcBorders>
            <w:vAlign w:val="center"/>
          </w:tcPr>
          <w:p w14:paraId="250CD4F1">
            <w:pPr>
              <w:spacing w:line="320" w:lineRule="exact"/>
              <w:ind w:right="34" w:rightChars="16"/>
              <w:jc w:val="center"/>
              <w:rPr>
                <w:b/>
                <w:szCs w:val="21"/>
              </w:rPr>
            </w:pPr>
            <w:r>
              <w:rPr>
                <w:rFonts w:hint="eastAsia"/>
                <w:b/>
              </w:rPr>
              <w:t>评分标准</w:t>
            </w:r>
          </w:p>
        </w:tc>
      </w:tr>
      <w:tr w14:paraId="39228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78" w:hRule="atLeast"/>
          <w:jc w:val="center"/>
        </w:trPr>
        <w:tc>
          <w:tcPr>
            <w:tcW w:w="845" w:type="dxa"/>
            <w:vMerge w:val="restart"/>
            <w:tcBorders>
              <w:top w:val="single" w:color="auto" w:sz="4" w:space="0"/>
              <w:left w:val="single" w:color="auto" w:sz="4" w:space="0"/>
              <w:right w:val="single" w:color="auto" w:sz="4" w:space="0"/>
            </w:tcBorders>
            <w:vAlign w:val="center"/>
          </w:tcPr>
          <w:p w14:paraId="786E87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lang w:eastAsia="zh-CN"/>
              </w:rPr>
            </w:pPr>
            <w:r>
              <w:rPr>
                <w:rFonts w:hint="eastAsia" w:ascii="宋体"/>
              </w:rPr>
              <w:t>技术标</w:t>
            </w:r>
          </w:p>
        </w:tc>
        <w:tc>
          <w:tcPr>
            <w:tcW w:w="520" w:type="dxa"/>
            <w:vMerge w:val="restart"/>
            <w:tcBorders>
              <w:top w:val="single" w:color="auto" w:sz="4" w:space="0"/>
              <w:left w:val="single" w:color="auto" w:sz="4" w:space="0"/>
              <w:right w:val="single" w:color="auto" w:sz="4" w:space="0"/>
            </w:tcBorders>
            <w:vAlign w:val="center"/>
          </w:tcPr>
          <w:p w14:paraId="435CD8A8">
            <w:pPr>
              <w:spacing w:line="440" w:lineRule="exact"/>
              <w:jc w:val="center"/>
              <w:rPr>
                <w:rFonts w:hint="eastAsia" w:ascii="宋体" w:eastAsia="宋体"/>
                <w:lang w:val="en-US" w:eastAsia="zh-CN"/>
              </w:rPr>
            </w:pPr>
            <w:r>
              <w:rPr>
                <w:rFonts w:hint="eastAsia" w:ascii="宋体"/>
                <w:lang w:val="en-US" w:eastAsia="zh-CN"/>
              </w:rPr>
              <w:t>100</w:t>
            </w:r>
          </w:p>
        </w:tc>
        <w:tc>
          <w:tcPr>
            <w:tcW w:w="970" w:type="dxa"/>
            <w:tcBorders>
              <w:top w:val="single" w:color="auto" w:sz="4" w:space="0"/>
              <w:left w:val="single" w:color="auto" w:sz="4" w:space="0"/>
              <w:right w:val="single" w:color="auto" w:sz="4" w:space="0"/>
            </w:tcBorders>
            <w:vAlign w:val="center"/>
          </w:tcPr>
          <w:p w14:paraId="5BF07162">
            <w:pPr>
              <w:jc w:val="center"/>
              <w:rPr>
                <w:rFonts w:ascii="宋体"/>
              </w:rPr>
            </w:pPr>
            <w:r>
              <w:rPr>
                <w:rFonts w:hint="eastAsia" w:ascii="宋体" w:hAnsi="宋体" w:cs="宋体"/>
                <w:color w:val="000000"/>
                <w:kern w:val="0"/>
                <w:szCs w:val="21"/>
                <w:lang w:bidi="ar"/>
              </w:rPr>
              <w:t>技术方案</w:t>
            </w:r>
            <w:r>
              <w:rPr>
                <w:rFonts w:hint="eastAsia" w:ascii="宋体" w:hAnsi="宋体" w:cs="宋体"/>
                <w:color w:val="000000"/>
                <w:kern w:val="0"/>
                <w:szCs w:val="21"/>
                <w:lang w:val="en-US" w:eastAsia="zh-CN" w:bidi="ar"/>
              </w:rPr>
              <w:t>及组织措施</w:t>
            </w:r>
          </w:p>
        </w:tc>
        <w:tc>
          <w:tcPr>
            <w:tcW w:w="650" w:type="dxa"/>
            <w:tcBorders>
              <w:top w:val="single" w:color="auto" w:sz="4" w:space="0"/>
              <w:left w:val="single" w:color="auto" w:sz="4" w:space="0"/>
              <w:bottom w:val="single" w:color="auto" w:sz="4" w:space="0"/>
              <w:right w:val="single" w:color="auto" w:sz="4" w:space="0"/>
            </w:tcBorders>
            <w:vAlign w:val="center"/>
          </w:tcPr>
          <w:p w14:paraId="323A99F7">
            <w:pPr>
              <w:jc w:val="center"/>
              <w:rPr>
                <w:rFonts w:hint="default" w:ascii="宋体" w:eastAsia="宋体"/>
                <w:szCs w:val="21"/>
                <w:lang w:val="en-US" w:eastAsia="zh-CN"/>
              </w:rPr>
            </w:pPr>
            <w:r>
              <w:rPr>
                <w:rFonts w:hint="eastAsia" w:ascii="宋体"/>
                <w:lang w:val="en-US" w:eastAsia="zh-CN"/>
              </w:rPr>
              <w:t>60</w:t>
            </w:r>
          </w:p>
        </w:tc>
        <w:tc>
          <w:tcPr>
            <w:tcW w:w="6153" w:type="dxa"/>
            <w:tcBorders>
              <w:top w:val="single" w:color="auto" w:sz="4" w:space="0"/>
              <w:left w:val="single" w:color="auto" w:sz="4" w:space="0"/>
              <w:bottom w:val="single" w:color="auto" w:sz="4" w:space="0"/>
              <w:right w:val="single" w:color="auto" w:sz="4" w:space="0"/>
            </w:tcBorders>
            <w:vAlign w:val="center"/>
          </w:tcPr>
          <w:p w14:paraId="56782339">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1、投标人对项目各项技术方案及组织措施具体、技术先进，并列出较多具备相关资质与经验的施工人员及维修设备，酌情得36-60分；</w:t>
            </w:r>
          </w:p>
          <w:p w14:paraId="1172249D">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2、投标人对项目中各项技术方案及组织措施不详细、技术水平一般，施工人员具备一定资质，酌情得18-36分；</w:t>
            </w:r>
          </w:p>
          <w:p w14:paraId="3BC07A8D">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3、投标人在投标文件中没有列出技术方案及组织措施，没有相关资质的施工人员得0分。</w:t>
            </w:r>
          </w:p>
          <w:p w14:paraId="674B71F9">
            <w:pPr>
              <w:jc w:val="left"/>
            </w:pPr>
            <w:r>
              <w:rPr>
                <w:rFonts w:hint="eastAsia" w:ascii="宋体" w:hAnsi="宋体" w:cs="宋体"/>
                <w:color w:val="000000"/>
                <w:kern w:val="0"/>
                <w:szCs w:val="21"/>
                <w:lang w:val="en-US" w:eastAsia="zh-CN" w:bidi="ar"/>
              </w:rPr>
              <w:t>注：资质文件需有相关资质证明，原件或复印件</w:t>
            </w:r>
          </w:p>
        </w:tc>
      </w:tr>
      <w:tr w14:paraId="355F5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420C60BA">
            <w:pPr>
              <w:widowControl/>
              <w:jc w:val="center"/>
              <w:rPr>
                <w:rFonts w:ascii="宋体"/>
              </w:rPr>
            </w:pPr>
          </w:p>
        </w:tc>
        <w:tc>
          <w:tcPr>
            <w:tcW w:w="520" w:type="dxa"/>
            <w:vMerge w:val="continue"/>
            <w:tcBorders>
              <w:left w:val="single" w:color="auto" w:sz="4" w:space="0"/>
              <w:right w:val="single" w:color="auto" w:sz="4" w:space="0"/>
            </w:tcBorders>
            <w:vAlign w:val="center"/>
          </w:tcPr>
          <w:p w14:paraId="6FE7A64B">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24E38C93">
            <w:pPr>
              <w:jc w:val="center"/>
              <w:rPr>
                <w:rFonts w:ascii="宋体"/>
                <w:szCs w:val="21"/>
              </w:rPr>
            </w:pPr>
            <w:r>
              <w:rPr>
                <w:rFonts w:hint="eastAsia" w:ascii="宋体"/>
                <w:szCs w:val="21"/>
                <w:lang w:val="en-US" w:eastAsia="zh-CN"/>
              </w:rPr>
              <w:t>现场答疑</w:t>
            </w:r>
          </w:p>
        </w:tc>
        <w:tc>
          <w:tcPr>
            <w:tcW w:w="650" w:type="dxa"/>
            <w:tcBorders>
              <w:top w:val="single" w:color="auto" w:sz="4" w:space="0"/>
              <w:left w:val="single" w:color="auto" w:sz="4" w:space="0"/>
              <w:bottom w:val="nil"/>
              <w:right w:val="single" w:color="auto" w:sz="4" w:space="0"/>
            </w:tcBorders>
            <w:vAlign w:val="center"/>
          </w:tcPr>
          <w:p w14:paraId="4894AAA9">
            <w:pPr>
              <w:spacing w:line="440" w:lineRule="exact"/>
              <w:jc w:val="center"/>
              <w:rPr>
                <w:rFonts w:ascii="宋体"/>
                <w:szCs w:val="21"/>
              </w:rPr>
            </w:pPr>
            <w:r>
              <w:rPr>
                <w:rFonts w:hint="eastAsia" w:ascii="宋体"/>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63E546">
            <w:pPr>
              <w:widowControl/>
              <w:jc w:val="left"/>
              <w:textAlignment w:val="center"/>
            </w:pPr>
            <w:r>
              <w:rPr>
                <w:rFonts w:hint="eastAsia" w:ascii="宋体" w:hAnsi="宋体" w:cs="宋体"/>
                <w:kern w:val="0"/>
                <w:szCs w:val="21"/>
                <w:lang w:bidi="ar"/>
              </w:rPr>
              <w:t>在开标现场，投标人代表对方案、技术优势的讲解，以及就该项目难点回答评标专家现场提问。酌情得1-</w:t>
            </w:r>
            <w:r>
              <w:rPr>
                <w:rFonts w:hint="eastAsia" w:ascii="宋体" w:hAnsi="宋体" w:cs="宋体"/>
                <w:kern w:val="0"/>
                <w:szCs w:val="21"/>
                <w:lang w:val="en-US" w:eastAsia="zh-CN" w:bidi="ar"/>
              </w:rPr>
              <w:t>10</w:t>
            </w:r>
            <w:r>
              <w:rPr>
                <w:rFonts w:hint="eastAsia" w:ascii="宋体" w:hAnsi="宋体" w:cs="宋体"/>
                <w:kern w:val="0"/>
                <w:szCs w:val="21"/>
                <w:lang w:bidi="ar"/>
              </w:rPr>
              <w:t xml:space="preserve">分； </w:t>
            </w:r>
          </w:p>
        </w:tc>
      </w:tr>
      <w:tr w14:paraId="45D17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28" w:hRule="atLeast"/>
          <w:jc w:val="center"/>
        </w:trPr>
        <w:tc>
          <w:tcPr>
            <w:tcW w:w="845" w:type="dxa"/>
            <w:vMerge w:val="continue"/>
            <w:tcBorders>
              <w:left w:val="single" w:color="auto" w:sz="4" w:space="0"/>
              <w:right w:val="single" w:color="auto" w:sz="4" w:space="0"/>
            </w:tcBorders>
            <w:vAlign w:val="center"/>
          </w:tcPr>
          <w:p w14:paraId="2519AB87">
            <w:pPr>
              <w:widowControl/>
              <w:jc w:val="center"/>
              <w:rPr>
                <w:rFonts w:ascii="宋体"/>
              </w:rPr>
            </w:pPr>
          </w:p>
        </w:tc>
        <w:tc>
          <w:tcPr>
            <w:tcW w:w="520" w:type="dxa"/>
            <w:vMerge w:val="continue"/>
            <w:tcBorders>
              <w:left w:val="single" w:color="auto" w:sz="4" w:space="0"/>
              <w:right w:val="single" w:color="auto" w:sz="4" w:space="0"/>
            </w:tcBorders>
            <w:vAlign w:val="center"/>
          </w:tcPr>
          <w:p w14:paraId="64D61CCD">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051BDE9C">
            <w:pPr>
              <w:jc w:val="center"/>
              <w:rPr>
                <w:rFonts w:ascii="宋体"/>
                <w:szCs w:val="21"/>
              </w:rPr>
            </w:pPr>
            <w:r>
              <w:rPr>
                <w:rFonts w:hint="eastAsia" w:ascii="宋体"/>
                <w:szCs w:val="21"/>
                <w:lang w:val="en-US" w:eastAsia="zh-CN"/>
              </w:rPr>
              <w:t>条款响应</w:t>
            </w:r>
          </w:p>
        </w:tc>
        <w:tc>
          <w:tcPr>
            <w:tcW w:w="650" w:type="dxa"/>
            <w:tcBorders>
              <w:top w:val="single" w:color="auto" w:sz="4" w:space="0"/>
              <w:left w:val="single" w:color="auto" w:sz="4" w:space="0"/>
              <w:bottom w:val="nil"/>
              <w:right w:val="single" w:color="auto" w:sz="4" w:space="0"/>
            </w:tcBorders>
            <w:vAlign w:val="center"/>
          </w:tcPr>
          <w:p w14:paraId="1937BCFF">
            <w:pPr>
              <w:jc w:val="center"/>
              <w:rPr>
                <w:rFonts w:ascii="宋体"/>
                <w:szCs w:val="21"/>
              </w:rPr>
            </w:pPr>
            <w:r>
              <w:rPr>
                <w:rFonts w:hint="eastAsia" w:ascii="宋体"/>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5A5091">
            <w:pPr>
              <w:widowControl/>
              <w:jc w:val="left"/>
              <w:textAlignment w:val="cente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w:t>
            </w:r>
            <w:r>
              <w:rPr>
                <w:rFonts w:hint="eastAsia" w:ascii="Calibri" w:hAnsi="Calibri"/>
                <w:lang w:val="en-US" w:eastAsia="zh-CN"/>
              </w:rPr>
              <w:t>6</w:t>
            </w:r>
            <w:r>
              <w:rPr>
                <w:rFonts w:hint="eastAsia" w:ascii="Calibri" w:hAnsi="Calibri"/>
              </w:rPr>
              <w:t>分，每一条正偏离得</w:t>
            </w:r>
            <w:r>
              <w:rPr>
                <w:rFonts w:hint="eastAsia" w:ascii="Calibri" w:hAnsi="Calibri"/>
                <w:lang w:val="en-US" w:eastAsia="zh-CN"/>
              </w:rPr>
              <w:t>2</w:t>
            </w:r>
            <w:r>
              <w:rPr>
                <w:rFonts w:hint="eastAsia" w:ascii="Calibri" w:hAnsi="Calibri"/>
              </w:rPr>
              <w:t>分，上限</w:t>
            </w:r>
            <w:r>
              <w:rPr>
                <w:rFonts w:hint="eastAsia" w:ascii="Calibri" w:hAnsi="Calibri"/>
                <w:lang w:val="en-US" w:eastAsia="zh-CN"/>
              </w:rPr>
              <w:t>10</w:t>
            </w:r>
            <w:r>
              <w:rPr>
                <w:rFonts w:hint="eastAsia" w:ascii="Calibri" w:hAnsi="Calibri"/>
              </w:rPr>
              <w:t>分。每一条负偏离扣</w:t>
            </w:r>
            <w:r>
              <w:rPr>
                <w:rFonts w:hint="eastAsia" w:ascii="Calibri" w:hAnsi="Calibri"/>
                <w:lang w:val="en-US" w:eastAsia="zh-CN"/>
              </w:rPr>
              <w:t>2</w:t>
            </w:r>
            <w:r>
              <w:rPr>
                <w:rFonts w:hint="eastAsia" w:ascii="Calibri" w:hAnsi="Calibri"/>
              </w:rPr>
              <w:t>分，最低0分。</w:t>
            </w:r>
            <w:r>
              <w:rPr>
                <w:rFonts w:ascii="宋体" w:hAnsi="宋体" w:cs="宋体"/>
                <w:kern w:val="0"/>
                <w:szCs w:val="21"/>
                <w:lang w:bidi="ar"/>
              </w:rPr>
              <w:t xml:space="preserve"> </w:t>
            </w:r>
          </w:p>
        </w:tc>
      </w:tr>
      <w:tr w14:paraId="3E270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1057760D">
            <w:pPr>
              <w:widowControl/>
              <w:jc w:val="center"/>
              <w:rPr>
                <w:rFonts w:ascii="宋体"/>
              </w:rPr>
            </w:pPr>
          </w:p>
        </w:tc>
        <w:tc>
          <w:tcPr>
            <w:tcW w:w="520" w:type="dxa"/>
            <w:vMerge w:val="continue"/>
            <w:tcBorders>
              <w:left w:val="single" w:color="auto" w:sz="4" w:space="0"/>
              <w:right w:val="single" w:color="auto" w:sz="4" w:space="0"/>
            </w:tcBorders>
            <w:vAlign w:val="center"/>
          </w:tcPr>
          <w:p w14:paraId="065889BF">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0DA920A2">
            <w:pPr>
              <w:jc w:val="center"/>
            </w:pPr>
            <w:r>
              <w:rPr>
                <w:rFonts w:hint="eastAsia"/>
                <w:lang w:val="en-US" w:eastAsia="zh-CN"/>
              </w:rPr>
              <w:t>售后服务</w:t>
            </w:r>
          </w:p>
        </w:tc>
        <w:tc>
          <w:tcPr>
            <w:tcW w:w="650" w:type="dxa"/>
            <w:tcBorders>
              <w:top w:val="single" w:color="auto" w:sz="4" w:space="0"/>
              <w:left w:val="single" w:color="auto" w:sz="4" w:space="0"/>
              <w:bottom w:val="nil"/>
              <w:right w:val="single" w:color="auto" w:sz="4" w:space="0"/>
            </w:tcBorders>
            <w:vAlign w:val="center"/>
          </w:tcPr>
          <w:p w14:paraId="2C559BD4">
            <w:pPr>
              <w:jc w:val="center"/>
            </w:pPr>
            <w:r>
              <w:rPr>
                <w:rFonts w:hint="eastAsia" w:ascii="宋体" w:hAnsi="Times New Roman" w:cs="Times New Roman"/>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6B47D799">
            <w:pPr>
              <w:widowControl/>
              <w:jc w:val="left"/>
              <w:textAlignment w:val="center"/>
            </w:pPr>
            <w:r>
              <w:rPr>
                <w:rFonts w:hint="eastAsia" w:ascii="Calibri" w:hAnsi="Calibri"/>
              </w:rPr>
              <w:t>售后服务及时周到，有相应的服务承诺和具体的保证措施，对招标方人员的技术培训安排科学、合理、可行，酌情得1-</w:t>
            </w:r>
            <w:r>
              <w:rPr>
                <w:rFonts w:hint="eastAsia" w:ascii="Calibri" w:hAnsi="Calibri"/>
                <w:lang w:val="en-US" w:eastAsia="zh-CN"/>
              </w:rPr>
              <w:t>10</w:t>
            </w:r>
            <w:r>
              <w:rPr>
                <w:rFonts w:hint="eastAsia" w:ascii="Calibri" w:hAnsi="Calibri"/>
              </w:rPr>
              <w:t>分；</w:t>
            </w:r>
          </w:p>
        </w:tc>
      </w:tr>
      <w:tr w14:paraId="30C28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4B0C62D6">
            <w:pPr>
              <w:widowControl/>
              <w:jc w:val="center"/>
              <w:rPr>
                <w:rFonts w:ascii="宋体"/>
              </w:rPr>
            </w:pPr>
          </w:p>
        </w:tc>
        <w:tc>
          <w:tcPr>
            <w:tcW w:w="520" w:type="dxa"/>
            <w:vMerge w:val="continue"/>
            <w:tcBorders>
              <w:left w:val="single" w:color="auto" w:sz="4" w:space="0"/>
              <w:bottom w:val="single" w:color="auto" w:sz="4" w:space="0"/>
              <w:right w:val="single" w:color="auto" w:sz="4" w:space="0"/>
            </w:tcBorders>
            <w:vAlign w:val="center"/>
          </w:tcPr>
          <w:p w14:paraId="0ECB7929">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3C5F9C32">
            <w:pPr>
              <w:jc w:val="center"/>
              <w:rPr>
                <w:rFonts w:hint="default" w:eastAsia="宋体"/>
                <w:lang w:val="en-US" w:eastAsia="zh-CN"/>
              </w:rPr>
            </w:pPr>
            <w:r>
              <w:rPr>
                <w:rFonts w:hint="eastAsia"/>
                <w:lang w:val="en-US" w:eastAsia="zh-CN"/>
              </w:rPr>
              <w:t>业绩</w:t>
            </w:r>
          </w:p>
        </w:tc>
        <w:tc>
          <w:tcPr>
            <w:tcW w:w="650" w:type="dxa"/>
            <w:tcBorders>
              <w:top w:val="single" w:color="auto" w:sz="4" w:space="0"/>
              <w:left w:val="single" w:color="auto" w:sz="4" w:space="0"/>
              <w:bottom w:val="nil"/>
              <w:right w:val="single" w:color="auto" w:sz="4" w:space="0"/>
            </w:tcBorders>
            <w:vAlign w:val="center"/>
          </w:tcPr>
          <w:p w14:paraId="3205E9E1">
            <w:pPr>
              <w:jc w:val="center"/>
              <w:rPr>
                <w:rFonts w:hint="eastAsia" w:ascii="宋体"/>
                <w:lang w:val="en-US" w:eastAsia="zh-CN"/>
              </w:rPr>
            </w:pPr>
            <w:r>
              <w:rPr>
                <w:rFonts w:hint="eastAsia" w:ascii="宋体"/>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220B1BA5">
            <w:pPr>
              <w:widowControl/>
              <w:jc w:val="left"/>
              <w:textAlignment w:val="center"/>
            </w:pPr>
            <w:r>
              <w:rPr>
                <w:rFonts w:hint="eastAsia" w:ascii="宋体" w:hAnsi="宋体" w:cs="宋体"/>
                <w:bCs/>
                <w:szCs w:val="21"/>
              </w:rPr>
              <w:t>投标人在</w:t>
            </w:r>
            <w:r>
              <w:rPr>
                <w:rFonts w:hint="eastAsia" w:ascii="宋体" w:hAnsi="宋体" w:cs="Calibri"/>
                <w:bCs/>
                <w:szCs w:val="21"/>
              </w:rPr>
              <w:t>201</w:t>
            </w:r>
            <w:r>
              <w:rPr>
                <w:rFonts w:hint="eastAsia" w:ascii="宋体" w:hAnsi="宋体" w:cs="Calibri"/>
                <w:bCs/>
                <w:szCs w:val="21"/>
                <w:lang w:val="en-US" w:eastAsia="zh-CN"/>
              </w:rPr>
              <w:t>9</w:t>
            </w:r>
            <w:r>
              <w:rPr>
                <w:rFonts w:hint="eastAsia" w:ascii="宋体" w:hAnsi="宋体" w:cs="宋体"/>
                <w:bCs/>
                <w:szCs w:val="21"/>
              </w:rPr>
              <w:t>年</w:t>
            </w:r>
            <w:r>
              <w:rPr>
                <w:rFonts w:hint="eastAsia" w:ascii="宋体" w:hAnsi="宋体" w:cs="Calibri"/>
                <w:bCs/>
                <w:szCs w:val="21"/>
              </w:rPr>
              <w:t>1</w:t>
            </w:r>
            <w:r>
              <w:rPr>
                <w:rFonts w:hint="eastAsia" w:ascii="宋体" w:hAnsi="宋体" w:cs="宋体"/>
                <w:bCs/>
                <w:szCs w:val="21"/>
              </w:rPr>
              <w:t>月</w:t>
            </w:r>
            <w:r>
              <w:rPr>
                <w:rFonts w:hint="eastAsia" w:ascii="宋体" w:hAnsi="宋体" w:cs="Calibri"/>
                <w:bCs/>
                <w:szCs w:val="21"/>
              </w:rPr>
              <w:t>1</w:t>
            </w:r>
            <w:r>
              <w:rPr>
                <w:rFonts w:hint="eastAsia" w:ascii="宋体" w:hAnsi="宋体" w:cs="宋体"/>
                <w:bCs/>
                <w:szCs w:val="21"/>
              </w:rPr>
              <w:t>日以来在国内与本标同类规格</w:t>
            </w:r>
            <w:r>
              <w:rPr>
                <w:rFonts w:hint="eastAsia" w:ascii="宋体" w:hAnsi="宋体" w:cs="宋体"/>
              </w:rPr>
              <w:t>业绩及备件储备情况，每有一项业绩得</w:t>
            </w:r>
            <w:r>
              <w:rPr>
                <w:rFonts w:hint="eastAsia" w:ascii="宋体" w:hAnsi="宋体" w:cs="宋体"/>
                <w:lang w:val="en-US" w:eastAsia="zh-CN"/>
              </w:rPr>
              <w:t>2</w:t>
            </w:r>
            <w:r>
              <w:rPr>
                <w:rFonts w:hint="eastAsia" w:ascii="宋体" w:hAnsi="宋体" w:cs="宋体"/>
              </w:rPr>
              <w:t>分，最多得</w:t>
            </w:r>
            <w:r>
              <w:rPr>
                <w:rFonts w:hint="eastAsia" w:ascii="宋体" w:hAnsi="宋体" w:cs="宋体"/>
                <w:lang w:val="en-US" w:eastAsia="zh-CN"/>
              </w:rPr>
              <w:t>10</w:t>
            </w:r>
            <w:r>
              <w:rPr>
                <w:rFonts w:hint="eastAsia" w:ascii="宋体" w:hAnsi="宋体" w:cs="宋体"/>
              </w:rPr>
              <w:t>分(必须提供合同原件</w:t>
            </w:r>
            <w:r>
              <w:rPr>
                <w:rFonts w:hint="eastAsia" w:ascii="宋体" w:hAnsi="宋体" w:cs="宋体"/>
                <w:lang w:val="en-US" w:eastAsia="zh-CN"/>
              </w:rPr>
              <w:t>或者复印件</w:t>
            </w:r>
            <w:r>
              <w:rPr>
                <w:rFonts w:hint="eastAsia" w:ascii="宋体" w:hAnsi="宋体" w:cs="宋体"/>
              </w:rPr>
              <w:t>,否则不得分)。</w:t>
            </w:r>
          </w:p>
        </w:tc>
      </w:tr>
      <w:tr w14:paraId="21AA4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10"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7953E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szCs w:val="21"/>
                <w:highlight w:val="none"/>
              </w:rPr>
            </w:pPr>
            <w:r>
              <w:rPr>
                <w:rFonts w:hint="eastAsia" w:ascii="宋体"/>
                <w:szCs w:val="21"/>
                <w:highlight w:val="none"/>
              </w:rPr>
              <w:t>商务标</w:t>
            </w:r>
          </w:p>
          <w:p w14:paraId="4825A42F">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eastAsia="宋体"/>
                <w:szCs w:val="21"/>
                <w:highlight w:val="none"/>
                <w:lang w:eastAsia="zh-CN"/>
              </w:rPr>
            </w:pPr>
          </w:p>
        </w:tc>
        <w:tc>
          <w:tcPr>
            <w:tcW w:w="2140" w:type="dxa"/>
            <w:gridSpan w:val="3"/>
            <w:tcBorders>
              <w:top w:val="single" w:color="auto" w:sz="4" w:space="0"/>
              <w:left w:val="single" w:color="auto" w:sz="4" w:space="0"/>
              <w:bottom w:val="single" w:color="auto" w:sz="4" w:space="0"/>
              <w:right w:val="single" w:color="auto" w:sz="4" w:space="0"/>
            </w:tcBorders>
            <w:vAlign w:val="center"/>
          </w:tcPr>
          <w:p w14:paraId="4C22ADBD">
            <w:pPr>
              <w:spacing w:line="440" w:lineRule="exact"/>
              <w:jc w:val="center"/>
              <w:rPr>
                <w:rFonts w:hint="default" w:ascii="宋体" w:hAnsi="宋体" w:eastAsia="宋体"/>
                <w:highlight w:val="none"/>
                <w:lang w:val="en-US" w:eastAsia="zh-CN"/>
              </w:rPr>
            </w:pPr>
            <w:r>
              <w:rPr>
                <w:rFonts w:hint="eastAsia" w:ascii="宋体" w:hAnsi="宋体"/>
                <w:highlight w:val="none"/>
              </w:rPr>
              <w:t>投标报价</w:t>
            </w:r>
          </w:p>
        </w:tc>
        <w:tc>
          <w:tcPr>
            <w:tcW w:w="6153" w:type="dxa"/>
            <w:tcBorders>
              <w:top w:val="single" w:color="auto" w:sz="4" w:space="0"/>
              <w:left w:val="single" w:color="auto" w:sz="4" w:space="0"/>
              <w:bottom w:val="nil"/>
              <w:right w:val="single" w:color="auto" w:sz="4" w:space="0"/>
            </w:tcBorders>
            <w:vAlign w:val="center"/>
          </w:tcPr>
          <w:p w14:paraId="2D8D4E4B">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1.经初审合格的投标文件其投标报价为有效报价</w:t>
            </w:r>
            <w:r>
              <w:rPr>
                <w:rFonts w:hint="eastAsia" w:ascii="宋体" w:hAnsi="宋体" w:cs="宋体"/>
                <w:i w:val="0"/>
                <w:color w:val="000000"/>
                <w:kern w:val="0"/>
                <w:sz w:val="21"/>
                <w:szCs w:val="21"/>
                <w:highlight w:val="none"/>
                <w:u w:val="none"/>
                <w:lang w:val="en-US" w:eastAsia="zh-CN" w:bidi="ar"/>
              </w:rPr>
              <w:t>；</w:t>
            </w:r>
          </w:p>
          <w:p w14:paraId="09C9470C">
            <w:pPr>
              <w:jc w:val="left"/>
              <w:textAlignment w:val="center"/>
              <w:rPr>
                <w:rFonts w:hint="eastAsia" w:ascii="宋体" w:hAnsi="宋体" w:cs="宋体"/>
                <w:color w:val="000000"/>
                <w:kern w:val="0"/>
                <w:szCs w:val="21"/>
                <w:lang w:bidi="ar"/>
              </w:rPr>
            </w:pPr>
            <w:r>
              <w:rPr>
                <w:rFonts w:hint="eastAsia" w:ascii="宋体" w:hAnsi="宋体" w:cs="宋体"/>
                <w:i w:val="0"/>
                <w:color w:val="000000"/>
                <w:kern w:val="0"/>
                <w:sz w:val="21"/>
                <w:szCs w:val="21"/>
                <w:highlight w:val="none"/>
                <w:u w:val="none"/>
                <w:lang w:val="en-US" w:eastAsia="zh-CN" w:bidi="ar"/>
              </w:rPr>
              <w:t>2.</w:t>
            </w:r>
            <w:r>
              <w:rPr>
                <w:rFonts w:hint="eastAsia" w:ascii="宋体" w:hAnsi="宋体" w:cs="宋体"/>
                <w:color w:val="000000"/>
                <w:kern w:val="0"/>
                <w:szCs w:val="21"/>
                <w:lang w:bidi="ar"/>
              </w:rPr>
              <w:t>按照投标价格高低排名；</w:t>
            </w:r>
          </w:p>
          <w:p w14:paraId="0E8481B4">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3</w:t>
            </w:r>
            <w:r>
              <w:rPr>
                <w:rFonts w:hint="eastAsia" w:ascii="宋体" w:hAnsi="宋体" w:eastAsia="宋体" w:cs="宋体"/>
                <w:i w:val="0"/>
                <w:color w:val="000000"/>
                <w:kern w:val="0"/>
                <w:sz w:val="21"/>
                <w:szCs w:val="21"/>
                <w:highlight w:val="none"/>
                <w:u w:val="none"/>
                <w:lang w:val="en-US" w:eastAsia="zh-CN" w:bidi="ar"/>
              </w:rPr>
              <w:t>.评标价格均以元（</w:t>
            </w:r>
            <w:r>
              <w:rPr>
                <w:rFonts w:hint="eastAsia" w:ascii="宋体" w:hAnsi="宋体" w:cs="宋体"/>
                <w:i w:val="0"/>
                <w:color w:val="000000"/>
                <w:kern w:val="0"/>
                <w:sz w:val="21"/>
                <w:szCs w:val="21"/>
                <w:highlight w:val="none"/>
                <w:u w:val="none"/>
                <w:lang w:val="en-US" w:eastAsia="zh-CN" w:bidi="ar"/>
              </w:rPr>
              <w:t>人民币</w:t>
            </w:r>
            <w:r>
              <w:rPr>
                <w:rFonts w:hint="eastAsia" w:ascii="宋体" w:hAnsi="宋体" w:eastAsia="宋体" w:cs="宋体"/>
                <w:i w:val="0"/>
                <w:color w:val="000000"/>
                <w:kern w:val="0"/>
                <w:sz w:val="21"/>
                <w:szCs w:val="21"/>
                <w:highlight w:val="none"/>
                <w:u w:val="none"/>
                <w:lang w:val="en-US" w:eastAsia="zh-CN" w:bidi="ar"/>
              </w:rPr>
              <w:t>）为单位计算，百分率、得分值小数点后保留两位，第三位四舍五入</w:t>
            </w:r>
            <w:r>
              <w:rPr>
                <w:rFonts w:hint="eastAsia" w:ascii="宋体" w:hAnsi="宋体" w:cs="宋体"/>
                <w:i w:val="0"/>
                <w:color w:val="000000"/>
                <w:kern w:val="0"/>
                <w:sz w:val="21"/>
                <w:szCs w:val="21"/>
                <w:highlight w:val="none"/>
                <w:u w:val="none"/>
                <w:lang w:val="en-US" w:eastAsia="zh-CN" w:bidi="ar"/>
              </w:rPr>
              <w:t>；</w:t>
            </w:r>
          </w:p>
          <w:p w14:paraId="7D326F67">
            <w:pPr>
              <w:tabs>
                <w:tab w:val="left" w:pos="7854"/>
              </w:tabs>
              <w:spacing w:line="280" w:lineRule="exact"/>
              <w:rPr>
                <w:highlight w:val="yellow"/>
              </w:rPr>
            </w:pPr>
            <w:r>
              <w:rPr>
                <w:rFonts w:hint="eastAsia" w:ascii="宋体" w:hAnsi="宋体" w:cs="宋体"/>
                <w:i w:val="0"/>
                <w:color w:val="000000"/>
                <w:kern w:val="0"/>
                <w:sz w:val="21"/>
                <w:szCs w:val="21"/>
                <w:highlight w:val="none"/>
                <w:u w:val="none"/>
                <w:lang w:val="en-US" w:eastAsia="zh-CN" w:bidi="ar"/>
              </w:rPr>
              <w:t>4</w:t>
            </w:r>
            <w:r>
              <w:rPr>
                <w:rFonts w:hint="eastAsia" w:ascii="宋体" w:hAnsi="宋体" w:eastAsia="宋体" w:cs="宋体"/>
                <w:i w:val="0"/>
                <w:color w:val="000000"/>
                <w:kern w:val="0"/>
                <w:sz w:val="21"/>
                <w:szCs w:val="21"/>
                <w:highlight w:val="none"/>
                <w:u w:val="none"/>
                <w:lang w:val="en-US" w:eastAsia="zh-CN" w:bidi="ar"/>
              </w:rPr>
              <w:t>.评标委员会二分之一以上人员认为某投标总报价有低于成本价嫌疑的，视为无效报价，不进入下一步评审。</w:t>
            </w:r>
          </w:p>
        </w:tc>
      </w:tr>
      <w:tr w14:paraId="70D66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9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5D81FEDC">
            <w:pPr>
              <w:rPr>
                <w:rFonts w:ascii="宋体"/>
                <w:szCs w:val="21"/>
              </w:rPr>
            </w:pPr>
            <w:r>
              <w:rPr>
                <w:rFonts w:hint="eastAsia" w:ascii="宋体" w:hAnsi="宋体"/>
              </w:rPr>
              <w:t>备注：</w:t>
            </w:r>
          </w:p>
          <w:p w14:paraId="11FA6834">
            <w:pPr>
              <w:rPr>
                <w:rFonts w:ascii="宋体"/>
              </w:rPr>
            </w:pPr>
            <w:r>
              <w:rPr>
                <w:rFonts w:hint="eastAsia" w:ascii="宋体" w:hAnsi="宋体"/>
              </w:rPr>
              <w:t>1、通过初审者为有效投标。</w:t>
            </w:r>
          </w:p>
          <w:p w14:paraId="4C2805BF">
            <w:pPr>
              <w:rPr>
                <w:rFonts w:hint="eastAsia" w:ascii="宋体" w:eastAsia="宋体"/>
                <w:b/>
                <w:bCs/>
                <w:color w:val="FF0000"/>
                <w:sz w:val="18"/>
                <w:szCs w:val="18"/>
                <w:lang w:eastAsia="zh-CN"/>
              </w:rPr>
            </w:pPr>
            <w:r>
              <w:rPr>
                <w:rFonts w:hint="eastAsia" w:ascii="宋体" w:hAnsi="宋体"/>
              </w:rPr>
              <w:t>2、</w:t>
            </w:r>
            <w:r>
              <w:rPr>
                <w:rFonts w:hint="eastAsia" w:ascii="宋体" w:hAnsi="宋体" w:cs="宋体"/>
                <w:color w:val="000000"/>
                <w:kern w:val="0"/>
                <w:szCs w:val="21"/>
                <w:lang w:bidi="ar"/>
              </w:rPr>
              <w:t>按照投标价格高低排名；</w:t>
            </w:r>
          </w:p>
          <w:p w14:paraId="3FCD5898">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3</w:t>
            </w:r>
            <w:r>
              <w:rPr>
                <w:rFonts w:hint="eastAsia" w:ascii="宋体" w:hAnsi="宋体" w:eastAsia="宋体" w:cs="宋体"/>
                <w:i w:val="0"/>
                <w:color w:val="000000"/>
                <w:kern w:val="0"/>
                <w:sz w:val="21"/>
                <w:szCs w:val="21"/>
                <w:highlight w:val="none"/>
                <w:u w:val="none"/>
                <w:lang w:val="en-US" w:eastAsia="zh-CN" w:bidi="ar"/>
              </w:rPr>
              <w:t>.评标价格均以元（</w:t>
            </w:r>
            <w:r>
              <w:rPr>
                <w:rFonts w:hint="eastAsia" w:ascii="宋体" w:hAnsi="宋体" w:cs="宋体"/>
                <w:i w:val="0"/>
                <w:color w:val="000000"/>
                <w:kern w:val="0"/>
                <w:sz w:val="21"/>
                <w:szCs w:val="21"/>
                <w:highlight w:val="none"/>
                <w:u w:val="none"/>
                <w:lang w:val="en-US" w:eastAsia="zh-CN" w:bidi="ar"/>
              </w:rPr>
              <w:t>人民币</w:t>
            </w:r>
            <w:r>
              <w:rPr>
                <w:rFonts w:hint="eastAsia" w:ascii="宋体" w:hAnsi="宋体" w:eastAsia="宋体" w:cs="宋体"/>
                <w:i w:val="0"/>
                <w:color w:val="000000"/>
                <w:kern w:val="0"/>
                <w:sz w:val="21"/>
                <w:szCs w:val="21"/>
                <w:highlight w:val="none"/>
                <w:u w:val="none"/>
                <w:lang w:val="en-US" w:eastAsia="zh-CN" w:bidi="ar"/>
              </w:rPr>
              <w:t>）为单位计算，百分率、得分值小数点后保留两位，第三位四舍五入</w:t>
            </w:r>
            <w:r>
              <w:rPr>
                <w:rFonts w:hint="eastAsia" w:ascii="宋体" w:hAnsi="宋体" w:cs="宋体"/>
                <w:i w:val="0"/>
                <w:color w:val="000000"/>
                <w:kern w:val="0"/>
                <w:sz w:val="21"/>
                <w:szCs w:val="21"/>
                <w:highlight w:val="none"/>
                <w:u w:val="none"/>
                <w:lang w:val="en-US" w:eastAsia="zh-CN" w:bidi="ar"/>
              </w:rPr>
              <w:t>；</w:t>
            </w:r>
          </w:p>
          <w:p w14:paraId="6685EF3A">
            <w:pP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4</w:t>
            </w:r>
            <w:r>
              <w:rPr>
                <w:rFonts w:hint="eastAsia" w:ascii="宋体" w:hAnsi="宋体" w:eastAsia="宋体" w:cs="宋体"/>
                <w:i w:val="0"/>
                <w:color w:val="000000"/>
                <w:kern w:val="0"/>
                <w:sz w:val="21"/>
                <w:szCs w:val="21"/>
                <w:highlight w:val="none"/>
                <w:u w:val="none"/>
                <w:lang w:val="en-US" w:eastAsia="zh-CN" w:bidi="ar"/>
              </w:rPr>
              <w:t>.评标委员会二分之一以上人员认为某投标总报价有低于成本价嫌疑的，视为无效报价，不进入下一步评审。</w:t>
            </w:r>
          </w:p>
          <w:p w14:paraId="43DD9BB2">
            <w:pPr>
              <w:rPr>
                <w:rFonts w:ascii="宋体"/>
                <w:szCs w:val="21"/>
              </w:rPr>
            </w:pPr>
            <w:r>
              <w:rPr>
                <w:rFonts w:hint="eastAsia" w:ascii="宋体" w:hAnsi="宋体"/>
                <w:lang w:val="en-US" w:eastAsia="zh-CN"/>
              </w:rPr>
              <w:t>5</w:t>
            </w:r>
            <w:r>
              <w:rPr>
                <w:rFonts w:hint="eastAsia" w:ascii="宋体" w:hAnsi="宋体"/>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7324A9DB">
      <w:pPr>
        <w:pStyle w:val="74"/>
        <w:numPr>
          <w:ilvl w:val="0"/>
          <w:numId w:val="0"/>
        </w:numPr>
        <w:rPr>
          <w:rFonts w:hint="default" w:ascii="宋体" w:hAnsi="宋体" w:eastAsia="宋体" w:cs="宋体"/>
          <w:b w:val="0"/>
          <w:bCs w:val="0"/>
          <w:sz w:val="24"/>
          <w:szCs w:val="24"/>
          <w:highlight w:val="none"/>
          <w:lang w:val="en-US" w:eastAsia="zh-CN"/>
        </w:rPr>
      </w:pPr>
    </w:p>
    <w:p w14:paraId="34077173">
      <w:pPr>
        <w:pStyle w:val="74"/>
      </w:pPr>
      <w:r>
        <w:rPr>
          <w:rFonts w:hint="eastAsia"/>
          <w:lang w:val="en-US" w:eastAsia="zh-CN"/>
        </w:rPr>
        <w:t>定标</w:t>
      </w:r>
    </w:p>
    <w:p w14:paraId="1DC6EA06">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color w:val="FF0000"/>
          <w:sz w:val="21"/>
          <w:szCs w:val="21"/>
          <w:highlight w:val="none"/>
          <w:u w:val="single"/>
          <w:lang w:val="en-US" w:eastAsia="zh-CN"/>
        </w:rPr>
        <w:t>1</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1542CB5E">
      <w:pPr>
        <w:pStyle w:val="74"/>
      </w:pPr>
      <w:r>
        <w:rPr>
          <w:rFonts w:hint="eastAsia"/>
          <w:lang w:val="en-US" w:eastAsia="zh-CN"/>
        </w:rPr>
        <w:t>废标及终止招标</w:t>
      </w:r>
    </w:p>
    <w:p w14:paraId="7CB90A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5D296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16310A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C20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725142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0690D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yellow"/>
        </w:rPr>
      </w:pPr>
      <w:r>
        <w:rPr>
          <w:rFonts w:hint="default" w:ascii="宋体" w:hAnsi="宋体" w:eastAsia="宋体" w:cs="宋体"/>
          <w:color w:val="000000"/>
          <w:kern w:val="2"/>
          <w:sz w:val="21"/>
          <w:szCs w:val="21"/>
          <w:highlight w:val="yellow"/>
          <w:lang w:val="en-US" w:eastAsia="zh-CN" w:bidi="ar-SA"/>
        </w:rPr>
        <w:t>(5)</w:t>
      </w:r>
      <w:r>
        <w:rPr>
          <w:rFonts w:hint="eastAsia" w:ascii="宋体" w:hAnsi="宋体" w:eastAsia="宋体" w:cs="宋体"/>
          <w:color w:val="000000"/>
          <w:sz w:val="21"/>
          <w:szCs w:val="21"/>
          <w:highlight w:val="yellow"/>
        </w:rPr>
        <w:t>投标人串通投标；</w:t>
      </w:r>
    </w:p>
    <w:p w14:paraId="229F42BD">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71F5E5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54C0DD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yellow"/>
        </w:rPr>
      </w:pPr>
      <w:r>
        <w:rPr>
          <w:rFonts w:hint="default" w:ascii="宋体" w:hAnsi="宋体" w:eastAsia="宋体" w:cs="宋体"/>
          <w:kern w:val="2"/>
          <w:sz w:val="21"/>
          <w:szCs w:val="21"/>
          <w:highlight w:val="yellow"/>
          <w:lang w:val="en-US" w:eastAsia="zh-CN" w:bidi="ar-SA"/>
        </w:rPr>
        <w:t>(8)</w:t>
      </w:r>
      <w:r>
        <w:rPr>
          <w:rFonts w:hint="eastAsia" w:ascii="宋体" w:hAnsi="宋体" w:eastAsia="宋体" w:cs="宋体"/>
          <w:sz w:val="21"/>
          <w:szCs w:val="21"/>
          <w:highlight w:val="yellow"/>
        </w:rPr>
        <w:t>投标人负责人为同一人或者存在控股、管理关系的不同单位；</w:t>
      </w:r>
    </w:p>
    <w:p w14:paraId="73049E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yellow"/>
        </w:rPr>
      </w:pPr>
      <w:r>
        <w:rPr>
          <w:rFonts w:hint="default" w:ascii="宋体" w:hAnsi="宋体" w:eastAsia="宋体" w:cs="宋体"/>
          <w:kern w:val="2"/>
          <w:sz w:val="21"/>
          <w:szCs w:val="21"/>
          <w:highlight w:val="yellow"/>
          <w:lang w:val="en-US" w:eastAsia="zh-CN" w:bidi="ar-SA"/>
        </w:rPr>
        <w:t>(9)</w:t>
      </w:r>
      <w:r>
        <w:rPr>
          <w:rFonts w:hint="eastAsia" w:ascii="宋体" w:hAnsi="宋体" w:eastAsia="宋体" w:cs="宋体"/>
          <w:sz w:val="21"/>
          <w:szCs w:val="21"/>
          <w:highlight w:val="yellow"/>
        </w:rPr>
        <w:t>有效投标不足三家；</w:t>
      </w:r>
    </w:p>
    <w:p w14:paraId="2D9387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EAAB1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yellow"/>
        </w:rPr>
      </w:pPr>
      <w:r>
        <w:rPr>
          <w:rFonts w:hint="default" w:ascii="宋体" w:hAnsi="宋体" w:eastAsia="宋体" w:cs="宋体"/>
          <w:kern w:val="2"/>
          <w:sz w:val="21"/>
          <w:szCs w:val="21"/>
          <w:highlight w:val="yellow"/>
          <w:lang w:val="en-US" w:eastAsia="zh-CN" w:bidi="ar-SA"/>
        </w:rPr>
        <w:t>(11)</w:t>
      </w:r>
      <w:r>
        <w:rPr>
          <w:rFonts w:hint="eastAsia" w:ascii="宋体" w:hAnsi="宋体" w:eastAsia="宋体" w:cs="宋体"/>
          <w:sz w:val="21"/>
          <w:szCs w:val="21"/>
          <w:highlight w:val="yellow"/>
        </w:rPr>
        <w:t>投标人报价均超过</w:t>
      </w:r>
      <w:r>
        <w:rPr>
          <w:rFonts w:hint="eastAsia" w:ascii="宋体" w:hAnsi="宋体" w:cs="宋体"/>
          <w:sz w:val="21"/>
          <w:szCs w:val="21"/>
          <w:highlight w:val="yellow"/>
          <w:lang w:val="en-US" w:eastAsia="zh-CN"/>
        </w:rPr>
        <w:t>最高限价</w:t>
      </w:r>
      <w:r>
        <w:rPr>
          <w:rFonts w:hint="eastAsia" w:ascii="宋体" w:hAnsi="宋体" w:eastAsia="宋体" w:cs="宋体"/>
          <w:sz w:val="21"/>
          <w:szCs w:val="21"/>
          <w:highlight w:val="yellow"/>
        </w:rPr>
        <w:t>的；</w:t>
      </w:r>
    </w:p>
    <w:p w14:paraId="609E18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F7BA4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7CE31D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220C53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895B8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宋体" w:hAnsi="宋体" w:eastAsia="宋体" w:cs="宋体"/>
          <w:b/>
          <w:bCs/>
          <w:color w:val="FF0000"/>
          <w:sz w:val="18"/>
          <w:szCs w:val="18"/>
          <w:highlight w:val="none"/>
          <w:lang w:val="en-US"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r>
        <w:rPr>
          <w:rFonts w:hint="eastAsia" w:ascii="宋体" w:hAnsi="宋体" w:cs="宋体"/>
          <w:b/>
          <w:bCs/>
          <w:color w:val="FF0000"/>
          <w:sz w:val="18"/>
          <w:szCs w:val="18"/>
          <w:highlight w:val="none"/>
          <w:lang w:val="en-US" w:eastAsia="zh-CN"/>
        </w:rPr>
        <w:t xml:space="preserve">                              </w:t>
      </w:r>
    </w:p>
    <w:p w14:paraId="7C2326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1B9AF9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050D44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7" w:name="OLE_LINK25"/>
      <w:bookmarkStart w:id="18" w:name="OLE_LINK27"/>
      <w:bookmarkStart w:id="19" w:name="OLE_LINK26"/>
      <w:bookmarkStart w:id="20" w:name="OLE_LINK29"/>
      <w:bookmarkStart w:id="21" w:name="OLE_LINK28"/>
      <w:r>
        <w:rPr>
          <w:rFonts w:hint="eastAsia" w:ascii="宋体" w:hAnsi="宋体" w:eastAsia="宋体" w:cs="宋体"/>
          <w:bCs/>
          <w:sz w:val="21"/>
          <w:szCs w:val="21"/>
          <w:highlight w:val="none"/>
        </w:rPr>
        <w:t>；</w:t>
      </w:r>
      <w:bookmarkEnd w:id="17"/>
      <w:bookmarkEnd w:id="18"/>
      <w:bookmarkEnd w:id="19"/>
      <w:bookmarkEnd w:id="20"/>
      <w:bookmarkEnd w:id="21"/>
    </w:p>
    <w:p w14:paraId="10C216D4">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422E3D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266E313">
      <w:pPr>
        <w:pStyle w:val="74"/>
      </w:pPr>
      <w:r>
        <w:rPr>
          <w:rFonts w:hint="eastAsia"/>
          <w:lang w:val="en-US" w:eastAsia="zh-CN"/>
        </w:rPr>
        <w:t>合同签订</w:t>
      </w:r>
    </w:p>
    <w:p w14:paraId="3D45ED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528F8E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09A723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6E0508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22676B9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2BF49ECA">
      <w:pPr>
        <w:pStyle w:val="74"/>
      </w:pPr>
      <w:r>
        <w:rPr>
          <w:rFonts w:hint="eastAsia"/>
          <w:lang w:val="en-US" w:eastAsia="zh-CN"/>
        </w:rPr>
        <w:t>交货及付款</w:t>
      </w:r>
    </w:p>
    <w:p w14:paraId="0DD46053">
      <w:pPr>
        <w:pStyle w:val="74"/>
        <w:numPr>
          <w:ilvl w:val="0"/>
          <w:numId w:val="27"/>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交货期：根据甲方生产安排进行施工</w:t>
      </w:r>
    </w:p>
    <w:p w14:paraId="6AAC4A46">
      <w:pPr>
        <w:pStyle w:val="74"/>
        <w:numPr>
          <w:ilvl w:val="0"/>
          <w:numId w:val="27"/>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交货地点：中国重汽集团杭州发动机有限公司</w:t>
      </w:r>
    </w:p>
    <w:p w14:paraId="6C8560A2">
      <w:pPr>
        <w:pStyle w:val="74"/>
        <w:numPr>
          <w:ilvl w:val="0"/>
          <w:numId w:val="27"/>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交货方式：现场维修交付</w:t>
      </w:r>
    </w:p>
    <w:p w14:paraId="28D3906A">
      <w:pPr>
        <w:pStyle w:val="74"/>
        <w:numPr>
          <w:ilvl w:val="0"/>
          <w:numId w:val="27"/>
        </w:numPr>
        <w:ind w:left="425" w:leftChars="0" w:hanging="425" w:firstLineChars="0"/>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付款方式</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半年期商业汇票（包括银行承兑汇票和商业承兑汇票）</w:t>
      </w:r>
    </w:p>
    <w:p w14:paraId="0C3854D8">
      <w:pPr>
        <w:pStyle w:val="74"/>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5</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lang w:val="en-US" w:eastAsia="zh-CN"/>
        </w:rPr>
        <w:t>付款节点：100%：乙方完成甲方的需求，乙方开具合同价款100%的收据并增值税专用发票，经甲方核对无误后支付。</w:t>
      </w:r>
    </w:p>
    <w:p w14:paraId="2EC46926">
      <w:pPr>
        <w:pStyle w:val="74"/>
        <w:rPr>
          <w:rFonts w:hint="eastAsia"/>
          <w:lang w:val="en-US" w:eastAsia="zh-CN"/>
        </w:rPr>
      </w:pPr>
      <w:bookmarkStart w:id="22" w:name="_Toc47976607"/>
      <w:bookmarkStart w:id="23" w:name="_Toc855"/>
      <w:r>
        <w:rPr>
          <w:rFonts w:hint="eastAsia"/>
          <w:lang w:val="en-US" w:eastAsia="zh-CN"/>
        </w:rPr>
        <w:t>质保金</w:t>
      </w:r>
    </w:p>
    <w:p w14:paraId="7C6387E7">
      <w:pPr>
        <w:pStyle w:val="3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宋体" w:hAnsi="宋体" w:eastAsia="宋体" w:cs="宋体"/>
          <w:b w:val="0"/>
          <w:bCs w:val="0"/>
          <w:kern w:val="2"/>
          <w:sz w:val="21"/>
          <w:szCs w:val="21"/>
          <w:highlight w:val="none"/>
          <w:lang w:val="en-US" w:eastAsia="zh-CN" w:bidi="ar-SA"/>
        </w:rPr>
        <w:t>合同总价款的</w:t>
      </w:r>
      <w:r>
        <w:rPr>
          <w:rFonts w:hint="eastAsia" w:ascii="宋体" w:hAnsi="宋体" w:eastAsia="宋体" w:cs="宋体"/>
          <w:b w:val="0"/>
          <w:bCs w:val="0"/>
          <w:kern w:val="2"/>
          <w:sz w:val="21"/>
          <w:szCs w:val="21"/>
          <w:highlight w:val="none"/>
          <w:u w:val="single"/>
          <w:lang w:val="en-US" w:eastAsia="zh-CN" w:bidi="ar-SA"/>
        </w:rPr>
        <w:t>10 %</w:t>
      </w:r>
      <w:r>
        <w:rPr>
          <w:rFonts w:hint="eastAsia" w:ascii="宋体" w:hAnsi="宋体" w:eastAsia="宋体" w:cs="宋体"/>
          <w:b w:val="0"/>
          <w:bCs w:val="0"/>
          <w:kern w:val="2"/>
          <w:sz w:val="21"/>
          <w:szCs w:val="21"/>
          <w:highlight w:val="none"/>
          <w:lang w:val="en-US" w:eastAsia="zh-CN" w:bidi="ar-SA"/>
        </w:rPr>
        <w:t>作为本合同约定的质量保证金，质量保证金在本合同约定的质量保证期内不计利息，待设备质量保证期满后，设备运行稳定无故障，经甲方依照财务制度审核无误后30天支付；如有质量问题，质量保证金予以扣除</w:t>
      </w:r>
    </w:p>
    <w:p w14:paraId="0AB89B58">
      <w:pPr>
        <w:pStyle w:val="74"/>
        <w:rPr>
          <w:rFonts w:hint="eastAsia" w:ascii="宋体" w:hAnsi="宋体" w:eastAsia="宋体" w:cs="宋体"/>
          <w:b/>
          <w:color w:val="000000"/>
          <w:sz w:val="24"/>
          <w:szCs w:val="24"/>
          <w:highlight w:val="none"/>
        </w:rPr>
      </w:pPr>
      <w:r>
        <w:rPr>
          <w:rFonts w:hint="eastAsia"/>
          <w:highlight w:val="none"/>
          <w:lang w:val="en-US" w:eastAsia="zh-CN"/>
        </w:rPr>
        <w:t>其他</w:t>
      </w:r>
    </w:p>
    <w:p w14:paraId="69649F36">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78D8525">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613F05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 设备调试期间，乙方应保持甲方现场的清洁，负责清理工作，并服从甲方的组织协调。</w:t>
      </w:r>
    </w:p>
    <w:p w14:paraId="574A2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4、设备从拆解、运输、维修至设备安装调试完成期间所发生的设备毁损风险及责任全部由乙方承担。</w:t>
      </w:r>
    </w:p>
    <w:p w14:paraId="0429FF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宋体" w:hAnsi="宋体" w:eastAsia="宋体" w:cs="宋体"/>
          <w:b w:val="0"/>
          <w:bCs w:val="0"/>
          <w:kern w:val="2"/>
          <w:sz w:val="21"/>
          <w:szCs w:val="21"/>
          <w:highlight w:val="none"/>
          <w:lang w:val="en-US" w:eastAsia="zh-CN" w:bidi="ar-SA"/>
        </w:rPr>
        <w:t>5、乙方确认本合同中的地址为其可以接收到函件的有效送达地址，如有变更应在三日内以书面形式告知甲方。否则，甲方依本合同中的乙方地址寄发函件即视为送达。</w:t>
      </w:r>
    </w:p>
    <w:p w14:paraId="0E8360A3">
      <w:pPr>
        <w:pStyle w:val="74"/>
        <w:rPr>
          <w:rFonts w:hint="eastAsia"/>
          <w:lang w:val="en-US" w:eastAsia="zh-CN"/>
        </w:rPr>
      </w:pPr>
      <w:r>
        <w:rPr>
          <w:rFonts w:hint="eastAsia"/>
          <w:lang w:val="en-US" w:eastAsia="zh-CN"/>
        </w:rPr>
        <w:t>本次招标最终解释权归中国重汽集团</w:t>
      </w:r>
      <w:r>
        <w:rPr>
          <w:rFonts w:hint="eastAsia"/>
          <w:u w:val="single"/>
          <w:lang w:val="en-US" w:eastAsia="zh-CN"/>
        </w:rPr>
        <w:t>杭州发动机</w:t>
      </w:r>
      <w:r>
        <w:rPr>
          <w:rFonts w:hint="eastAsia"/>
          <w:lang w:val="en-US" w:eastAsia="zh-CN"/>
        </w:rPr>
        <w:t>有限公司。</w:t>
      </w:r>
    </w:p>
    <w:p w14:paraId="46488CEE">
      <w:pPr>
        <w:pStyle w:val="73"/>
        <w:jc w:val="center"/>
        <w:rPr>
          <w:rFonts w:hint="eastAsia"/>
        </w:rPr>
      </w:pPr>
    </w:p>
    <w:p w14:paraId="27E8448E">
      <w:pPr>
        <w:pStyle w:val="73"/>
        <w:jc w:val="center"/>
        <w:rPr>
          <w:rFonts w:hint="eastAsia"/>
        </w:rPr>
      </w:pPr>
    </w:p>
    <w:p w14:paraId="6AF465D8">
      <w:pPr>
        <w:pStyle w:val="73"/>
        <w:jc w:val="center"/>
        <w:rPr>
          <w:rFonts w:hint="eastAsia"/>
        </w:rPr>
      </w:pPr>
    </w:p>
    <w:p w14:paraId="40297017">
      <w:pPr>
        <w:pStyle w:val="73"/>
        <w:jc w:val="center"/>
        <w:rPr>
          <w:rFonts w:hint="eastAsia"/>
        </w:rPr>
      </w:pPr>
    </w:p>
    <w:p w14:paraId="53FE4B56">
      <w:pPr>
        <w:pStyle w:val="73"/>
        <w:jc w:val="center"/>
        <w:rPr>
          <w:rFonts w:hint="eastAsia"/>
        </w:rPr>
      </w:pPr>
    </w:p>
    <w:p w14:paraId="41948665">
      <w:pPr>
        <w:pStyle w:val="73"/>
        <w:jc w:val="center"/>
        <w:rPr>
          <w:rFonts w:hint="eastAsia"/>
        </w:rPr>
      </w:pPr>
    </w:p>
    <w:p w14:paraId="63FEF414">
      <w:pPr>
        <w:pStyle w:val="73"/>
        <w:jc w:val="center"/>
        <w:rPr>
          <w:rFonts w:hint="eastAsia"/>
        </w:rPr>
      </w:pPr>
    </w:p>
    <w:p w14:paraId="21F6AD18">
      <w:pPr>
        <w:pStyle w:val="73"/>
        <w:jc w:val="center"/>
        <w:rPr>
          <w:rFonts w:hint="eastAsia"/>
        </w:rPr>
      </w:pPr>
    </w:p>
    <w:p w14:paraId="52AB4B92">
      <w:pPr>
        <w:pStyle w:val="73"/>
        <w:jc w:val="center"/>
        <w:rPr>
          <w:rFonts w:hint="eastAsia"/>
        </w:rPr>
      </w:pPr>
    </w:p>
    <w:p w14:paraId="137F622D">
      <w:pPr>
        <w:pStyle w:val="73"/>
        <w:jc w:val="center"/>
        <w:rPr>
          <w:rFonts w:hint="eastAsia"/>
        </w:rPr>
      </w:pPr>
    </w:p>
    <w:p w14:paraId="6AE47908">
      <w:pPr>
        <w:pStyle w:val="73"/>
        <w:jc w:val="center"/>
        <w:rPr>
          <w:rFonts w:hint="eastAsia"/>
        </w:rPr>
      </w:pPr>
    </w:p>
    <w:p w14:paraId="64A7EB7C">
      <w:pPr>
        <w:pStyle w:val="73"/>
        <w:jc w:val="center"/>
        <w:rPr>
          <w:rFonts w:hint="eastAsia"/>
        </w:rPr>
      </w:pPr>
    </w:p>
    <w:p w14:paraId="401C5410">
      <w:pPr>
        <w:pStyle w:val="73"/>
        <w:jc w:val="center"/>
        <w:rPr>
          <w:rFonts w:hint="eastAsia"/>
        </w:rPr>
      </w:pPr>
    </w:p>
    <w:p w14:paraId="26875DD5">
      <w:pPr>
        <w:pStyle w:val="73"/>
        <w:jc w:val="center"/>
        <w:rPr>
          <w:rFonts w:hint="eastAsia"/>
        </w:rPr>
      </w:pPr>
    </w:p>
    <w:p w14:paraId="44B8CFB4">
      <w:pPr>
        <w:pStyle w:val="73"/>
        <w:jc w:val="center"/>
        <w:rPr>
          <w:rFonts w:hint="eastAsia"/>
        </w:rPr>
      </w:pPr>
    </w:p>
    <w:p w14:paraId="3142EBF8">
      <w:pPr>
        <w:pStyle w:val="73"/>
        <w:jc w:val="center"/>
        <w:rPr>
          <w:rFonts w:hint="eastAsia"/>
        </w:rPr>
      </w:pPr>
    </w:p>
    <w:p w14:paraId="4351C380">
      <w:pPr>
        <w:pStyle w:val="73"/>
        <w:jc w:val="center"/>
        <w:rPr>
          <w:rFonts w:hint="eastAsia"/>
        </w:rPr>
      </w:pPr>
    </w:p>
    <w:p w14:paraId="3E2D9B28">
      <w:pPr>
        <w:pStyle w:val="73"/>
        <w:jc w:val="center"/>
        <w:rPr>
          <w:rFonts w:hint="eastAsia"/>
        </w:rPr>
      </w:pPr>
    </w:p>
    <w:p w14:paraId="75839778">
      <w:pPr>
        <w:pStyle w:val="73"/>
        <w:jc w:val="center"/>
        <w:rPr>
          <w:rFonts w:hint="eastAsia"/>
        </w:rPr>
      </w:pPr>
    </w:p>
    <w:p w14:paraId="7550D5C4">
      <w:pPr>
        <w:pStyle w:val="73"/>
        <w:jc w:val="center"/>
        <w:rPr>
          <w:rFonts w:hint="default" w:eastAsia="黑体"/>
          <w:lang w:val="en-US" w:eastAsia="zh-CN"/>
        </w:rPr>
      </w:pPr>
      <w:r>
        <w:rPr>
          <w:rFonts w:hint="eastAsia"/>
        </w:rPr>
        <w:t>第二部分　</w:t>
      </w:r>
      <w:bookmarkEnd w:id="22"/>
      <w:r>
        <w:rPr>
          <w:rFonts w:hint="eastAsia"/>
          <w:lang w:val="en-US" w:eastAsia="zh-CN"/>
        </w:rPr>
        <w:t>技术标书</w:t>
      </w:r>
      <w:bookmarkEnd w:id="23"/>
    </w:p>
    <w:p w14:paraId="794C7A9A">
      <w:pPr>
        <w:pStyle w:val="78"/>
        <w:rPr>
          <w:b/>
          <w:bCs/>
        </w:rPr>
      </w:pPr>
    </w:p>
    <w:p w14:paraId="19638F24">
      <w:pPr>
        <w:pStyle w:val="3"/>
        <w:jc w:val="center"/>
        <w:rPr>
          <w:rFonts w:ascii="黑体" w:hAnsi="黑体" w:eastAsia="黑体"/>
        </w:rPr>
      </w:pPr>
      <w:bookmarkStart w:id="24" w:name="_Toc221091300"/>
      <w:r>
        <w:rPr>
          <w:rFonts w:hint="eastAsia" w:ascii="黑体" w:hAnsi="黑体" w:eastAsia="黑体"/>
        </w:rPr>
        <w:t>第一章 采购货物概况</w:t>
      </w:r>
      <w:bookmarkEnd w:id="24"/>
    </w:p>
    <w:p w14:paraId="340AA411">
      <w:pPr>
        <w:pStyle w:val="4"/>
        <w:numPr>
          <w:ilvl w:val="0"/>
          <w:numId w:val="28"/>
        </w:numPr>
        <w:spacing w:before="0" w:after="0"/>
        <w:rPr>
          <w:sz w:val="28"/>
          <w:szCs w:val="24"/>
        </w:rPr>
      </w:pPr>
      <w:bookmarkStart w:id="25" w:name="_Toc221091301"/>
      <w:r>
        <w:rPr>
          <w:rFonts w:hint="eastAsia"/>
          <w:sz w:val="28"/>
          <w:szCs w:val="24"/>
        </w:rPr>
        <w:t>使用环境</w:t>
      </w:r>
      <w:bookmarkEnd w:id="25"/>
    </w:p>
    <w:p w14:paraId="0560D85F">
      <w:pPr>
        <w:spacing w:line="360" w:lineRule="auto"/>
        <w:jc w:val="left"/>
        <w:rPr>
          <w:rFonts w:hint="eastAsia" w:ascii="宋体" w:hAnsi="宋体" w:eastAsia="宋体"/>
          <w:bCs/>
          <w:sz w:val="21"/>
          <w:szCs w:val="21"/>
          <w:lang w:val="en-US" w:eastAsia="zh-CN"/>
        </w:rPr>
      </w:pPr>
      <w:r>
        <w:rPr>
          <w:rFonts w:hint="eastAsia" w:ascii="宋体" w:hAnsi="宋体"/>
          <w:bCs/>
          <w:sz w:val="21"/>
          <w:szCs w:val="21"/>
        </w:rPr>
        <w:t>一、 项目名称：杭发公司电梯维护保养</w:t>
      </w:r>
      <w:r>
        <w:rPr>
          <w:rFonts w:hint="eastAsia" w:ascii="宋体" w:hAnsi="宋体"/>
          <w:bCs/>
          <w:sz w:val="21"/>
          <w:szCs w:val="21"/>
          <w:lang w:val="en-US" w:eastAsia="zh-CN"/>
        </w:rPr>
        <w:t>项目</w:t>
      </w:r>
    </w:p>
    <w:p w14:paraId="5B425879">
      <w:pPr>
        <w:spacing w:line="360" w:lineRule="auto"/>
        <w:jc w:val="left"/>
        <w:rPr>
          <w:rFonts w:hint="eastAsia" w:ascii="宋体" w:hAnsi="宋体"/>
          <w:bCs/>
          <w:sz w:val="21"/>
          <w:szCs w:val="21"/>
        </w:rPr>
      </w:pPr>
      <w:r>
        <w:rPr>
          <w:rFonts w:hint="eastAsia" w:ascii="宋体" w:hAnsi="宋体"/>
          <w:bCs/>
          <w:sz w:val="21"/>
          <w:szCs w:val="21"/>
        </w:rPr>
        <w:t>二、建设地点： 萧山区萧山经济技术开发区红垦农场红泰六路699号</w:t>
      </w:r>
    </w:p>
    <w:p w14:paraId="606F159A">
      <w:pPr>
        <w:spacing w:line="360" w:lineRule="auto"/>
        <w:jc w:val="left"/>
        <w:rPr>
          <w:rFonts w:hint="eastAsia" w:ascii="宋体" w:hAnsi="宋体"/>
          <w:bCs/>
          <w:sz w:val="21"/>
          <w:szCs w:val="21"/>
        </w:rPr>
      </w:pPr>
      <w:r>
        <w:rPr>
          <w:rFonts w:hint="eastAsia" w:ascii="宋体" w:hAnsi="宋体"/>
          <w:bCs/>
          <w:sz w:val="21"/>
          <w:szCs w:val="21"/>
        </w:rPr>
        <w:t>三、使用地点：中国重汽集团杭州发动机有限公司内</w:t>
      </w:r>
    </w:p>
    <w:p w14:paraId="6064E2AA">
      <w:pPr>
        <w:spacing w:line="360" w:lineRule="auto"/>
        <w:jc w:val="left"/>
        <w:rPr>
          <w:rFonts w:hint="eastAsia" w:ascii="宋体" w:hAnsi="宋体"/>
          <w:bCs/>
          <w:sz w:val="21"/>
          <w:szCs w:val="21"/>
        </w:rPr>
      </w:pPr>
      <w:r>
        <w:rPr>
          <w:rFonts w:hint="eastAsia" w:ascii="宋体" w:hAnsi="宋体"/>
          <w:bCs/>
          <w:sz w:val="21"/>
          <w:szCs w:val="21"/>
        </w:rPr>
        <w:t>四、工作制度：2班制</w:t>
      </w:r>
    </w:p>
    <w:p w14:paraId="4702F7AD">
      <w:pPr>
        <w:spacing w:line="360" w:lineRule="auto"/>
        <w:jc w:val="left"/>
        <w:rPr>
          <w:rFonts w:hint="eastAsia" w:ascii="宋体" w:hAnsi="宋体"/>
          <w:bCs/>
          <w:sz w:val="21"/>
          <w:szCs w:val="21"/>
        </w:rPr>
      </w:pPr>
      <w:r>
        <w:rPr>
          <w:rFonts w:hint="eastAsia" w:ascii="宋体" w:hAnsi="宋体"/>
          <w:bCs/>
          <w:sz w:val="21"/>
          <w:szCs w:val="21"/>
        </w:rPr>
        <w:t xml:space="preserve">五、 使用地点区域自然环境： </w:t>
      </w:r>
    </w:p>
    <w:p w14:paraId="0429052E">
      <w:pPr>
        <w:spacing w:line="360" w:lineRule="auto"/>
        <w:jc w:val="left"/>
        <w:rPr>
          <w:rFonts w:hint="eastAsia" w:ascii="宋体" w:hAnsi="宋体"/>
          <w:bCs/>
          <w:sz w:val="21"/>
          <w:szCs w:val="21"/>
        </w:rPr>
      </w:pPr>
      <w:r>
        <w:rPr>
          <w:rFonts w:hint="eastAsia" w:ascii="宋体" w:hAnsi="宋体"/>
          <w:bCs/>
          <w:sz w:val="21"/>
          <w:szCs w:val="21"/>
        </w:rPr>
        <w:t>1.海拨高度：1000m以下</w:t>
      </w:r>
    </w:p>
    <w:p w14:paraId="22DCA224">
      <w:pPr>
        <w:spacing w:line="360" w:lineRule="auto"/>
        <w:jc w:val="left"/>
        <w:rPr>
          <w:rFonts w:hint="eastAsia" w:ascii="宋体" w:hAnsi="宋体"/>
          <w:bCs/>
          <w:sz w:val="21"/>
          <w:szCs w:val="21"/>
        </w:rPr>
      </w:pPr>
      <w:r>
        <w:rPr>
          <w:rFonts w:hint="eastAsia" w:ascii="宋体" w:hAnsi="宋体"/>
          <w:bCs/>
          <w:sz w:val="21"/>
          <w:szCs w:val="21"/>
        </w:rPr>
        <w:t>2．环境温度：室外极端最低温度-10℃、极端最高温度45℃，</w:t>
      </w:r>
    </w:p>
    <w:p w14:paraId="2B0FFD22">
      <w:pPr>
        <w:spacing w:line="360" w:lineRule="auto"/>
        <w:jc w:val="left"/>
        <w:rPr>
          <w:rFonts w:hint="eastAsia" w:ascii="宋体" w:hAnsi="宋体"/>
          <w:bCs/>
          <w:sz w:val="21"/>
          <w:szCs w:val="21"/>
        </w:rPr>
      </w:pPr>
      <w:r>
        <w:rPr>
          <w:rFonts w:hint="eastAsia" w:ascii="宋体" w:hAnsi="宋体"/>
          <w:bCs/>
          <w:sz w:val="21"/>
          <w:szCs w:val="21"/>
        </w:rPr>
        <w:t>昼夜最大温差25℃；室内温度0～45℃。</w:t>
      </w:r>
    </w:p>
    <w:p w14:paraId="6F1D9415">
      <w:pPr>
        <w:spacing w:line="360" w:lineRule="auto"/>
        <w:jc w:val="left"/>
        <w:rPr>
          <w:rFonts w:hint="eastAsia" w:ascii="宋体" w:hAnsi="宋体"/>
          <w:bCs/>
          <w:sz w:val="21"/>
          <w:szCs w:val="21"/>
        </w:rPr>
      </w:pPr>
      <w:r>
        <w:rPr>
          <w:rFonts w:hint="eastAsia" w:ascii="宋体" w:hAnsi="宋体"/>
          <w:bCs/>
          <w:sz w:val="21"/>
          <w:szCs w:val="21"/>
        </w:rPr>
        <w:t>3．相对湿度：年平均59%，最大</w:t>
      </w:r>
      <w:r>
        <w:rPr>
          <w:rFonts w:hint="eastAsia" w:ascii="宋体" w:hAnsi="宋体"/>
          <w:bCs/>
          <w:sz w:val="21"/>
          <w:szCs w:val="21"/>
          <w:lang w:val="en-US" w:eastAsia="zh-CN"/>
        </w:rPr>
        <w:t>95</w:t>
      </w:r>
      <w:r>
        <w:rPr>
          <w:rFonts w:hint="eastAsia" w:ascii="宋体" w:hAnsi="宋体"/>
          <w:bCs/>
          <w:sz w:val="21"/>
          <w:szCs w:val="21"/>
        </w:rPr>
        <w:t>%、最小15%。</w:t>
      </w:r>
    </w:p>
    <w:p w14:paraId="382A47FF">
      <w:pPr>
        <w:spacing w:line="360" w:lineRule="auto"/>
        <w:jc w:val="left"/>
        <w:rPr>
          <w:rFonts w:hint="eastAsia" w:ascii="宋体" w:hAnsi="宋体"/>
          <w:bCs/>
          <w:sz w:val="21"/>
          <w:szCs w:val="21"/>
        </w:rPr>
      </w:pPr>
      <w:r>
        <w:rPr>
          <w:rFonts w:hint="eastAsia" w:ascii="宋体" w:hAnsi="宋体"/>
          <w:bCs/>
          <w:sz w:val="21"/>
          <w:szCs w:val="21"/>
        </w:rPr>
        <w:t xml:space="preserve">六、能源环境： </w:t>
      </w:r>
    </w:p>
    <w:p w14:paraId="4F0115E1">
      <w:pPr>
        <w:spacing w:line="360" w:lineRule="auto"/>
        <w:jc w:val="left"/>
        <w:rPr>
          <w:rFonts w:hint="eastAsia" w:ascii="宋体" w:hAnsi="宋体"/>
          <w:bCs/>
          <w:sz w:val="21"/>
          <w:szCs w:val="21"/>
        </w:rPr>
      </w:pPr>
      <w:r>
        <w:rPr>
          <w:rFonts w:hint="eastAsia" w:ascii="宋体" w:hAnsi="宋体"/>
          <w:bCs/>
          <w:sz w:val="21"/>
          <w:szCs w:val="21"/>
        </w:rPr>
        <w:t>1．电力：中国制式，供电电压380V±15%/220V±15%，供电频率50Hz±2%。</w:t>
      </w:r>
    </w:p>
    <w:p w14:paraId="74D44FAF">
      <w:pPr>
        <w:spacing w:line="360" w:lineRule="auto"/>
        <w:jc w:val="left"/>
        <w:rPr>
          <w:rFonts w:hint="eastAsia" w:ascii="宋体" w:hAnsi="宋体"/>
          <w:bCs/>
          <w:sz w:val="21"/>
          <w:szCs w:val="21"/>
        </w:rPr>
      </w:pPr>
      <w:r>
        <w:rPr>
          <w:rFonts w:hint="eastAsia" w:ascii="宋体" w:hAnsi="宋体"/>
          <w:bCs/>
          <w:sz w:val="21"/>
          <w:szCs w:val="21"/>
        </w:rPr>
        <w:t>2． 给水：市政自来水</w:t>
      </w:r>
    </w:p>
    <w:p w14:paraId="08C93F24">
      <w:pPr>
        <w:pStyle w:val="4"/>
        <w:numPr>
          <w:ilvl w:val="0"/>
          <w:numId w:val="28"/>
        </w:numPr>
        <w:spacing w:before="0" w:after="0"/>
        <w:rPr>
          <w:sz w:val="28"/>
          <w:szCs w:val="24"/>
        </w:rPr>
      </w:pPr>
      <w:bookmarkStart w:id="26" w:name="_Toc221091302"/>
      <w:r>
        <w:rPr>
          <w:rFonts w:hint="eastAsia"/>
          <w:sz w:val="28"/>
          <w:szCs w:val="24"/>
        </w:rPr>
        <w:t>采购货物概况</w:t>
      </w:r>
      <w:bookmarkEnd w:id="26"/>
    </w:p>
    <w:p w14:paraId="3EECCDDA">
      <w:pPr>
        <w:numPr>
          <w:ilvl w:val="0"/>
          <w:numId w:val="29"/>
        </w:numPr>
        <w:spacing w:line="360" w:lineRule="auto"/>
        <w:jc w:val="left"/>
        <w:rPr>
          <w:rFonts w:hint="eastAsia" w:ascii="宋体" w:hAnsi="宋体" w:cs="Times New Roman"/>
          <w:bCs/>
          <w:sz w:val="21"/>
          <w:szCs w:val="21"/>
        </w:rPr>
      </w:pPr>
      <w:r>
        <w:rPr>
          <w:rFonts w:hint="eastAsia" w:ascii="宋体" w:hAnsi="宋体" w:cs="Times New Roman"/>
          <w:bCs/>
          <w:sz w:val="21"/>
          <w:szCs w:val="21"/>
        </w:rPr>
        <w:t>采购货物（或生产线）主要构成一览表：详见第三章第</w:t>
      </w:r>
      <w:r>
        <w:rPr>
          <w:rFonts w:hint="eastAsia" w:ascii="宋体" w:hAnsi="宋体" w:cs="Times New Roman"/>
          <w:bCs/>
          <w:sz w:val="21"/>
          <w:szCs w:val="21"/>
          <w:lang w:val="en-US" w:eastAsia="zh-CN"/>
        </w:rPr>
        <w:t>二</w:t>
      </w:r>
      <w:r>
        <w:rPr>
          <w:rFonts w:hint="eastAsia" w:ascii="宋体" w:hAnsi="宋体" w:cs="Times New Roman"/>
          <w:bCs/>
          <w:sz w:val="21"/>
          <w:szCs w:val="21"/>
        </w:rPr>
        <w:t>节主要技术状态说明</w:t>
      </w:r>
    </w:p>
    <w:p w14:paraId="7E6C48D4">
      <w:pPr>
        <w:numPr>
          <w:ilvl w:val="0"/>
          <w:numId w:val="0"/>
        </w:numPr>
        <w:spacing w:line="360" w:lineRule="auto"/>
        <w:jc w:val="left"/>
        <w:rPr>
          <w:rFonts w:hint="eastAsia" w:ascii="宋体" w:hAnsi="宋体" w:cs="Times New Roman"/>
          <w:bCs/>
          <w:sz w:val="21"/>
          <w:szCs w:val="21"/>
        </w:rPr>
      </w:pPr>
      <w:r>
        <w:rPr>
          <w:rFonts w:hint="eastAsia" w:ascii="宋体" w:hAnsi="宋体" w:cs="Times New Roman"/>
          <w:bCs/>
          <w:sz w:val="21"/>
          <w:szCs w:val="21"/>
        </w:rPr>
        <w:t xml:space="preserve">2.分投分中：不允许。 </w:t>
      </w:r>
    </w:p>
    <w:p w14:paraId="55666AE6">
      <w:pPr>
        <w:spacing w:line="360" w:lineRule="auto"/>
        <w:jc w:val="left"/>
        <w:rPr>
          <w:rFonts w:hint="eastAsia" w:ascii="宋体" w:hAnsi="宋体" w:cs="Times New Roman"/>
          <w:bCs/>
          <w:sz w:val="21"/>
          <w:szCs w:val="21"/>
        </w:rPr>
      </w:pPr>
      <w:r>
        <w:rPr>
          <w:rFonts w:hint="eastAsia" w:ascii="宋体" w:hAnsi="宋体" w:cs="Times New Roman"/>
          <w:bCs/>
          <w:sz w:val="21"/>
          <w:szCs w:val="21"/>
        </w:rPr>
        <w:t>3.备注：</w:t>
      </w:r>
    </w:p>
    <w:p w14:paraId="14697520">
      <w:pPr>
        <w:numPr>
          <w:ilvl w:val="0"/>
          <w:numId w:val="0"/>
        </w:numPr>
        <w:spacing w:line="360" w:lineRule="auto"/>
        <w:rPr>
          <w:rFonts w:hint="eastAsia" w:ascii="宋体" w:hAnsi="宋体" w:cs="Times New Roman"/>
          <w:bCs/>
          <w:sz w:val="21"/>
          <w:szCs w:val="21"/>
        </w:rPr>
      </w:pPr>
      <w:r>
        <w:rPr>
          <w:rFonts w:hint="eastAsia" w:ascii="宋体" w:hAnsi="宋体" w:cs="Times New Roman"/>
          <w:bCs/>
          <w:sz w:val="21"/>
          <w:szCs w:val="21"/>
        </w:rPr>
        <w:t>3.1请投标人认真阅读“</w:t>
      </w:r>
      <w:r>
        <w:rPr>
          <w:rFonts w:hint="eastAsia"/>
          <w:szCs w:val="21"/>
        </w:rPr>
        <w:t>维护保养产品名称、品牌、型号、数量</w:t>
      </w:r>
      <w:r>
        <w:rPr>
          <w:rFonts w:hint="eastAsia" w:ascii="宋体" w:hAnsi="宋体" w:cs="Times New Roman"/>
          <w:bCs/>
          <w:sz w:val="21"/>
          <w:szCs w:val="21"/>
        </w:rPr>
        <w:t>”。若有异议，不管是多么微小，都应在投标档“商务偏离”章节中予以详细说明。</w:t>
      </w:r>
    </w:p>
    <w:p w14:paraId="73A3D34D">
      <w:pPr>
        <w:spacing w:line="360" w:lineRule="auto"/>
        <w:jc w:val="left"/>
        <w:rPr>
          <w:rFonts w:hint="eastAsia" w:ascii="宋体" w:hAnsi="宋体" w:cs="Times New Roman"/>
          <w:bCs/>
          <w:sz w:val="21"/>
          <w:szCs w:val="21"/>
        </w:rPr>
      </w:pPr>
      <w:r>
        <w:rPr>
          <w:rFonts w:hint="eastAsia" w:ascii="宋体" w:hAnsi="宋体" w:cs="Times New Roman"/>
          <w:bCs/>
          <w:sz w:val="21"/>
          <w:szCs w:val="21"/>
        </w:rPr>
        <w:t>3.</w:t>
      </w:r>
      <w:r>
        <w:rPr>
          <w:rFonts w:hint="eastAsia" w:ascii="宋体" w:hAnsi="宋体" w:cs="Times New Roman"/>
          <w:bCs/>
          <w:sz w:val="21"/>
          <w:szCs w:val="21"/>
          <w:lang w:val="en-US" w:eastAsia="zh-CN"/>
        </w:rPr>
        <w:t>2</w:t>
      </w:r>
      <w:r>
        <w:rPr>
          <w:rFonts w:hint="eastAsia" w:ascii="宋体" w:hAnsi="宋体" w:cs="Times New Roman"/>
          <w:bCs/>
          <w:sz w:val="21"/>
          <w:szCs w:val="21"/>
        </w:rPr>
        <w:t>招标人所列货物的名称和规格型号，如为某一供应商所特有，则该名称和规格型号可作参考，但要求投标人所提供的货物必须满足本技术标书实质性要求。</w:t>
      </w:r>
    </w:p>
    <w:p w14:paraId="0575EFCB">
      <w:pPr>
        <w:pStyle w:val="12"/>
        <w:rPr>
          <w:rFonts w:hint="eastAsia" w:ascii="宋体" w:hAnsi="宋体"/>
          <w:bCs/>
          <w:sz w:val="21"/>
          <w:szCs w:val="21"/>
        </w:rPr>
      </w:pPr>
    </w:p>
    <w:p w14:paraId="7594A2CC">
      <w:pPr>
        <w:pStyle w:val="12"/>
        <w:rPr>
          <w:rFonts w:hint="eastAsia" w:ascii="宋体" w:hAnsi="宋体"/>
          <w:bCs/>
          <w:sz w:val="21"/>
          <w:szCs w:val="21"/>
        </w:rPr>
      </w:pPr>
    </w:p>
    <w:p w14:paraId="125BF1DF">
      <w:pPr>
        <w:pStyle w:val="12"/>
        <w:rPr>
          <w:rFonts w:hint="eastAsia" w:ascii="宋体" w:hAnsi="宋体"/>
          <w:bCs/>
          <w:sz w:val="21"/>
          <w:szCs w:val="21"/>
        </w:rPr>
      </w:pPr>
    </w:p>
    <w:p w14:paraId="4ECFDD10">
      <w:pPr>
        <w:pStyle w:val="12"/>
        <w:rPr>
          <w:rFonts w:hint="eastAsia" w:ascii="宋体" w:hAnsi="宋体"/>
          <w:bCs/>
          <w:sz w:val="21"/>
          <w:szCs w:val="21"/>
        </w:rPr>
      </w:pPr>
    </w:p>
    <w:p w14:paraId="25393BCF">
      <w:pPr>
        <w:spacing w:line="360" w:lineRule="auto"/>
        <w:jc w:val="center"/>
        <w:rPr>
          <w:rFonts w:hint="eastAsia" w:ascii="黑体" w:hAnsi="Courier New" w:eastAsia="黑体"/>
          <w:bCs/>
          <w:sz w:val="32"/>
          <w:szCs w:val="32"/>
        </w:rPr>
      </w:pPr>
      <w:r>
        <w:rPr>
          <w:rFonts w:hint="eastAsia" w:ascii="黑体" w:hAnsi="Courier New" w:eastAsia="黑体"/>
          <w:bCs/>
          <w:sz w:val="32"/>
          <w:szCs w:val="32"/>
        </w:rPr>
        <w:t xml:space="preserve">第二节  </w:t>
      </w:r>
      <w:r>
        <w:rPr>
          <w:rFonts w:hint="eastAsia" w:ascii="黑体" w:hAnsi="Courier New" w:eastAsia="黑体"/>
          <w:b/>
          <w:sz w:val="32"/>
          <w:szCs w:val="32"/>
        </w:rPr>
        <w:t>主要技术状态说明</w:t>
      </w:r>
    </w:p>
    <w:p w14:paraId="4FB1FE96">
      <w:pPr>
        <w:spacing w:line="360" w:lineRule="auto"/>
        <w:rPr>
          <w:rFonts w:hint="eastAsia" w:ascii="宋体" w:hAnsi="宋体"/>
          <w:bCs/>
          <w:sz w:val="21"/>
          <w:szCs w:val="21"/>
        </w:rPr>
      </w:pPr>
      <w:r>
        <w:rPr>
          <w:rFonts w:hint="eastAsia" w:ascii="宋体" w:hAnsi="宋体"/>
          <w:b/>
          <w:bCs/>
          <w:sz w:val="21"/>
          <w:szCs w:val="21"/>
        </w:rPr>
        <w:t>一、项目名称</w:t>
      </w:r>
      <w:r>
        <w:rPr>
          <w:rFonts w:hint="eastAsia" w:ascii="宋体" w:hAnsi="宋体"/>
          <w:bCs/>
          <w:sz w:val="21"/>
          <w:szCs w:val="21"/>
        </w:rPr>
        <w:t>：杭发公司电梯维护保养</w:t>
      </w:r>
    </w:p>
    <w:p w14:paraId="44D910A8">
      <w:pPr>
        <w:spacing w:line="360" w:lineRule="auto"/>
        <w:rPr>
          <w:rFonts w:hint="eastAsia" w:ascii="宋体" w:hAnsi="宋体"/>
          <w:bCs/>
          <w:sz w:val="21"/>
          <w:szCs w:val="21"/>
        </w:rPr>
      </w:pPr>
      <w:r>
        <w:rPr>
          <w:rFonts w:hint="eastAsia" w:ascii="宋体" w:hAnsi="宋体"/>
          <w:b/>
          <w:bCs/>
          <w:sz w:val="21"/>
          <w:szCs w:val="21"/>
        </w:rPr>
        <w:t>二、项目整体需求</w:t>
      </w:r>
      <w:r>
        <w:rPr>
          <w:rFonts w:hint="eastAsia" w:ascii="宋体" w:hAnsi="宋体"/>
          <w:bCs/>
          <w:sz w:val="21"/>
          <w:szCs w:val="21"/>
        </w:rPr>
        <w:t>：</w:t>
      </w:r>
    </w:p>
    <w:p w14:paraId="22D7737F">
      <w:pPr>
        <w:spacing w:line="360" w:lineRule="auto"/>
        <w:rPr>
          <w:rFonts w:hint="eastAsia"/>
          <w:sz w:val="21"/>
          <w:szCs w:val="21"/>
        </w:rPr>
      </w:pPr>
      <w:r>
        <w:rPr>
          <w:rFonts w:hint="eastAsia" w:ascii="宋体" w:hAnsi="宋体"/>
          <w:bCs/>
          <w:sz w:val="21"/>
          <w:szCs w:val="21"/>
        </w:rPr>
        <w:t>投标方负责杭发公司电梯维护保养</w:t>
      </w:r>
      <w:r>
        <w:rPr>
          <w:rFonts w:hint="eastAsia" w:ascii="宋体" w:hAnsi="宋体"/>
          <w:bCs/>
          <w:sz w:val="21"/>
          <w:szCs w:val="21"/>
          <w:lang w:eastAsia="zh-CN"/>
        </w:rPr>
        <w:t>、</w:t>
      </w:r>
      <w:r>
        <w:rPr>
          <w:rFonts w:hint="eastAsia" w:ascii="宋体" w:hAnsi="宋体"/>
          <w:bCs/>
          <w:sz w:val="21"/>
          <w:szCs w:val="21"/>
          <w:lang w:val="en-US" w:eastAsia="zh-CN"/>
        </w:rPr>
        <w:t>维修、年检等，</w:t>
      </w:r>
      <w:r>
        <w:rPr>
          <w:rFonts w:hint="eastAsia" w:ascii="宋体" w:hAnsi="宋体"/>
          <w:bCs/>
          <w:sz w:val="21"/>
          <w:szCs w:val="21"/>
        </w:rPr>
        <w:t>确保</w:t>
      </w:r>
      <w:r>
        <w:rPr>
          <w:rFonts w:hint="eastAsia" w:ascii="宋体" w:hAnsi="宋体"/>
          <w:bCs/>
          <w:sz w:val="21"/>
          <w:szCs w:val="21"/>
          <w:lang w:val="en-US" w:eastAsia="zh-CN"/>
        </w:rPr>
        <w:t>电梯安全、</w:t>
      </w:r>
      <w:r>
        <w:rPr>
          <w:rFonts w:hint="eastAsia" w:ascii="宋体" w:hAnsi="宋体" w:cs="宋体"/>
          <w:sz w:val="21"/>
          <w:szCs w:val="21"/>
        </w:rPr>
        <w:t>可靠运行</w:t>
      </w:r>
      <w:r>
        <w:rPr>
          <w:rFonts w:hint="eastAsia" w:ascii="宋体" w:hAnsi="宋体"/>
          <w:bCs/>
          <w:sz w:val="21"/>
          <w:szCs w:val="21"/>
        </w:rPr>
        <w:t>。</w:t>
      </w:r>
    </w:p>
    <w:p w14:paraId="7132641A">
      <w:pPr>
        <w:numPr>
          <w:ilvl w:val="0"/>
          <w:numId w:val="30"/>
        </w:numPr>
        <w:spacing w:line="360" w:lineRule="auto"/>
        <w:rPr>
          <w:rFonts w:hint="eastAsia" w:ascii="宋体" w:hAnsi="宋体" w:cs="宋体"/>
          <w:b/>
          <w:sz w:val="21"/>
          <w:szCs w:val="21"/>
        </w:rPr>
      </w:pPr>
      <w:r>
        <w:rPr>
          <w:rFonts w:hint="eastAsia" w:ascii="宋体" w:hAnsi="宋体"/>
          <w:b/>
          <w:bCs/>
          <w:sz w:val="21"/>
          <w:szCs w:val="21"/>
        </w:rPr>
        <w:t>项目</w:t>
      </w:r>
      <w:r>
        <w:rPr>
          <w:rFonts w:hint="eastAsia" w:ascii="宋体" w:hAnsi="宋体" w:cs="宋体"/>
          <w:b/>
          <w:sz w:val="21"/>
          <w:szCs w:val="21"/>
        </w:rPr>
        <w:t>内容及要求</w:t>
      </w:r>
    </w:p>
    <w:p w14:paraId="54F6B172">
      <w:pPr>
        <w:numPr>
          <w:ilvl w:val="0"/>
          <w:numId w:val="31"/>
        </w:numPr>
        <w:spacing w:line="360" w:lineRule="auto"/>
        <w:ind w:firstLine="420" w:firstLineChars="200"/>
        <w:rPr>
          <w:rFonts w:hint="default"/>
          <w:lang w:val="en-US" w:eastAsia="zh-CN"/>
        </w:rPr>
      </w:pPr>
      <w:r>
        <w:rPr>
          <w:rFonts w:hint="eastAsia"/>
          <w:szCs w:val="21"/>
        </w:rPr>
        <w:t>维护保养产品名称、品牌、型号、数量</w:t>
      </w:r>
    </w:p>
    <w:tbl>
      <w:tblPr>
        <w:tblStyle w:val="33"/>
        <w:tblW w:w="8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1347"/>
        <w:gridCol w:w="2625"/>
        <w:gridCol w:w="1065"/>
        <w:gridCol w:w="750"/>
        <w:gridCol w:w="866"/>
      </w:tblGrid>
      <w:tr w14:paraId="01CD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815" w:type="dxa"/>
            <w:noWrap w:val="0"/>
            <w:vAlign w:val="center"/>
          </w:tcPr>
          <w:p w14:paraId="74762418">
            <w:pPr>
              <w:spacing w:line="6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项目名称</w:t>
            </w:r>
          </w:p>
        </w:tc>
        <w:tc>
          <w:tcPr>
            <w:tcW w:w="1347" w:type="dxa"/>
            <w:noWrap w:val="0"/>
            <w:vAlign w:val="center"/>
          </w:tcPr>
          <w:p w14:paraId="3D53ACBC">
            <w:pPr>
              <w:spacing w:line="600" w:lineRule="exact"/>
              <w:jc w:val="center"/>
              <w:rPr>
                <w:rFonts w:hint="eastAsia" w:ascii="宋体" w:hAnsi="宋体" w:eastAsia="宋体" w:cs="宋体"/>
                <w:sz w:val="21"/>
                <w:szCs w:val="21"/>
              </w:rPr>
            </w:pPr>
            <w:r>
              <w:rPr>
                <w:rFonts w:hint="eastAsia" w:ascii="宋体" w:hAnsi="宋体" w:eastAsia="宋体" w:cs="宋体"/>
                <w:sz w:val="21"/>
                <w:szCs w:val="21"/>
              </w:rPr>
              <w:t>品牌</w:t>
            </w:r>
          </w:p>
        </w:tc>
        <w:tc>
          <w:tcPr>
            <w:tcW w:w="2625" w:type="dxa"/>
            <w:noWrap w:val="0"/>
            <w:vAlign w:val="center"/>
          </w:tcPr>
          <w:p w14:paraId="0B706B0B">
            <w:pPr>
              <w:spacing w:line="600" w:lineRule="exact"/>
              <w:jc w:val="center"/>
              <w:rPr>
                <w:rFonts w:hint="eastAsia" w:ascii="宋体" w:hAnsi="宋体" w:eastAsia="宋体" w:cs="宋体"/>
                <w:sz w:val="21"/>
                <w:szCs w:val="21"/>
              </w:rPr>
            </w:pPr>
            <w:r>
              <w:rPr>
                <w:rFonts w:hint="eastAsia" w:ascii="宋体" w:hAnsi="宋体" w:eastAsia="宋体" w:cs="宋体"/>
                <w:sz w:val="21"/>
                <w:szCs w:val="21"/>
              </w:rPr>
              <w:t>规格型号</w:t>
            </w:r>
          </w:p>
        </w:tc>
        <w:tc>
          <w:tcPr>
            <w:tcW w:w="1065" w:type="dxa"/>
            <w:noWrap w:val="0"/>
            <w:vAlign w:val="center"/>
          </w:tcPr>
          <w:p w14:paraId="4735709B">
            <w:pPr>
              <w:spacing w:line="0" w:lineRule="atLeast"/>
              <w:jc w:val="center"/>
              <w:rPr>
                <w:rFonts w:hint="eastAsia" w:ascii="宋体" w:hAnsi="宋体" w:eastAsia="宋体" w:cs="宋体"/>
                <w:sz w:val="21"/>
                <w:szCs w:val="21"/>
              </w:rPr>
            </w:pPr>
            <w:r>
              <w:rPr>
                <w:rFonts w:hint="eastAsia" w:ascii="宋体" w:hAnsi="宋体" w:eastAsia="宋体" w:cs="宋体"/>
                <w:sz w:val="21"/>
                <w:szCs w:val="21"/>
              </w:rPr>
              <w:t>计量单位</w:t>
            </w:r>
          </w:p>
        </w:tc>
        <w:tc>
          <w:tcPr>
            <w:tcW w:w="750" w:type="dxa"/>
            <w:noWrap w:val="0"/>
            <w:vAlign w:val="center"/>
          </w:tcPr>
          <w:p w14:paraId="1B661F6F">
            <w:pPr>
              <w:spacing w:line="0" w:lineRule="atLeast"/>
              <w:jc w:val="center"/>
              <w:rPr>
                <w:rFonts w:hint="eastAsia" w:ascii="宋体" w:hAnsi="宋体" w:eastAsia="宋体" w:cs="宋体"/>
                <w:sz w:val="21"/>
                <w:szCs w:val="21"/>
              </w:rPr>
            </w:pPr>
            <w:r>
              <w:rPr>
                <w:rFonts w:hint="eastAsia" w:ascii="宋体" w:hAnsi="宋体" w:eastAsia="宋体" w:cs="宋体"/>
                <w:sz w:val="21"/>
                <w:szCs w:val="21"/>
              </w:rPr>
              <w:t>数量</w:t>
            </w:r>
          </w:p>
        </w:tc>
        <w:tc>
          <w:tcPr>
            <w:tcW w:w="866" w:type="dxa"/>
            <w:noWrap w:val="0"/>
            <w:vAlign w:val="center"/>
          </w:tcPr>
          <w:p w14:paraId="72FD05AE">
            <w:pPr>
              <w:spacing w:line="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14:paraId="59D5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815" w:type="dxa"/>
            <w:noWrap w:val="0"/>
            <w:vAlign w:val="center"/>
          </w:tcPr>
          <w:p w14:paraId="6F927B66">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餐梯电梯保养（3次/月）</w:t>
            </w:r>
          </w:p>
        </w:tc>
        <w:tc>
          <w:tcPr>
            <w:tcW w:w="1347" w:type="dxa"/>
            <w:noWrap w:val="0"/>
            <w:vAlign w:val="center"/>
          </w:tcPr>
          <w:p w14:paraId="2C75D31A">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顺达</w:t>
            </w:r>
          </w:p>
        </w:tc>
        <w:tc>
          <w:tcPr>
            <w:tcW w:w="2625" w:type="dxa"/>
            <w:noWrap w:val="0"/>
            <w:vAlign w:val="center"/>
          </w:tcPr>
          <w:p w14:paraId="2A1725FB">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TWJ200/0.4-ASW 2/2/4</w:t>
            </w:r>
          </w:p>
        </w:tc>
        <w:tc>
          <w:tcPr>
            <w:tcW w:w="1065" w:type="dxa"/>
            <w:noWrap w:val="0"/>
            <w:vAlign w:val="center"/>
          </w:tcPr>
          <w:p w14:paraId="1167523A">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台/月</w:t>
            </w:r>
          </w:p>
        </w:tc>
        <w:tc>
          <w:tcPr>
            <w:tcW w:w="750" w:type="dxa"/>
            <w:noWrap w:val="0"/>
            <w:vAlign w:val="center"/>
          </w:tcPr>
          <w:p w14:paraId="751D9AA6">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12C09E42">
            <w:pPr>
              <w:spacing w:line="600" w:lineRule="exact"/>
              <w:jc w:val="center"/>
              <w:rPr>
                <w:rFonts w:hint="eastAsia" w:ascii="宋体" w:hAnsi="宋体" w:eastAsia="宋体" w:cs="宋体"/>
                <w:sz w:val="21"/>
                <w:szCs w:val="21"/>
              </w:rPr>
            </w:pPr>
          </w:p>
        </w:tc>
      </w:tr>
      <w:tr w14:paraId="488C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815" w:type="dxa"/>
            <w:noWrap w:val="0"/>
            <w:vAlign w:val="center"/>
          </w:tcPr>
          <w:p w14:paraId="701D2883">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餐梯电梯保养（3次/月）</w:t>
            </w:r>
          </w:p>
        </w:tc>
        <w:tc>
          <w:tcPr>
            <w:tcW w:w="1347" w:type="dxa"/>
            <w:noWrap w:val="0"/>
            <w:vAlign w:val="center"/>
          </w:tcPr>
          <w:p w14:paraId="44B4FC24">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顺达</w:t>
            </w:r>
          </w:p>
        </w:tc>
        <w:tc>
          <w:tcPr>
            <w:tcW w:w="2625" w:type="dxa"/>
            <w:noWrap w:val="0"/>
            <w:vAlign w:val="center"/>
          </w:tcPr>
          <w:p w14:paraId="29A54A44">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TWJ200/0.4-ASW 2/2/4</w:t>
            </w:r>
          </w:p>
        </w:tc>
        <w:tc>
          <w:tcPr>
            <w:tcW w:w="1065" w:type="dxa"/>
            <w:noWrap w:val="0"/>
            <w:vAlign w:val="center"/>
          </w:tcPr>
          <w:p w14:paraId="60D8E262">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台/月</w:t>
            </w:r>
          </w:p>
        </w:tc>
        <w:tc>
          <w:tcPr>
            <w:tcW w:w="750" w:type="dxa"/>
            <w:noWrap w:val="0"/>
            <w:vAlign w:val="center"/>
          </w:tcPr>
          <w:p w14:paraId="1BCA7925">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3EF17BB4">
            <w:pPr>
              <w:spacing w:line="600" w:lineRule="exact"/>
              <w:jc w:val="center"/>
              <w:rPr>
                <w:rFonts w:hint="eastAsia" w:ascii="宋体" w:hAnsi="宋体" w:eastAsia="宋体" w:cs="宋体"/>
                <w:sz w:val="21"/>
                <w:szCs w:val="21"/>
              </w:rPr>
            </w:pPr>
          </w:p>
        </w:tc>
      </w:tr>
      <w:tr w14:paraId="4575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03503F8A">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载货电梯保养（3次/月）</w:t>
            </w:r>
          </w:p>
        </w:tc>
        <w:tc>
          <w:tcPr>
            <w:tcW w:w="1347" w:type="dxa"/>
            <w:noWrap w:val="0"/>
            <w:vAlign w:val="center"/>
          </w:tcPr>
          <w:p w14:paraId="19E20F1B">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东芝</w:t>
            </w:r>
          </w:p>
        </w:tc>
        <w:tc>
          <w:tcPr>
            <w:tcW w:w="2625" w:type="dxa"/>
            <w:noWrap w:val="0"/>
            <w:vAlign w:val="center"/>
          </w:tcPr>
          <w:p w14:paraId="787C7823">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THJ1000/1.0-JXW 3/3/3</w:t>
            </w:r>
          </w:p>
        </w:tc>
        <w:tc>
          <w:tcPr>
            <w:tcW w:w="1065" w:type="dxa"/>
            <w:noWrap w:val="0"/>
            <w:vAlign w:val="center"/>
          </w:tcPr>
          <w:p w14:paraId="3402D095">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台/月</w:t>
            </w:r>
          </w:p>
        </w:tc>
        <w:tc>
          <w:tcPr>
            <w:tcW w:w="750" w:type="dxa"/>
            <w:tcBorders>
              <w:bottom w:val="single" w:color="auto" w:sz="4" w:space="0"/>
            </w:tcBorders>
            <w:noWrap w:val="0"/>
            <w:vAlign w:val="center"/>
          </w:tcPr>
          <w:p w14:paraId="0F57DAE5">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1</w:t>
            </w:r>
          </w:p>
        </w:tc>
        <w:tc>
          <w:tcPr>
            <w:tcW w:w="866" w:type="dxa"/>
            <w:tcBorders>
              <w:bottom w:val="single" w:color="auto" w:sz="4" w:space="0"/>
            </w:tcBorders>
            <w:noWrap w:val="0"/>
            <w:vAlign w:val="center"/>
          </w:tcPr>
          <w:p w14:paraId="186B0FEB">
            <w:pPr>
              <w:spacing w:line="600" w:lineRule="exact"/>
              <w:jc w:val="center"/>
              <w:rPr>
                <w:rFonts w:hint="eastAsia" w:ascii="宋体" w:hAnsi="宋体" w:eastAsia="宋体" w:cs="宋体"/>
                <w:sz w:val="21"/>
                <w:szCs w:val="21"/>
              </w:rPr>
            </w:pPr>
          </w:p>
        </w:tc>
      </w:tr>
      <w:tr w14:paraId="55A6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68B2AFCE">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乘客电梯保养（3次/月）</w:t>
            </w:r>
          </w:p>
        </w:tc>
        <w:tc>
          <w:tcPr>
            <w:tcW w:w="1347" w:type="dxa"/>
            <w:noWrap w:val="0"/>
            <w:vAlign w:val="center"/>
          </w:tcPr>
          <w:p w14:paraId="079BF10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东芝</w:t>
            </w:r>
          </w:p>
        </w:tc>
        <w:tc>
          <w:tcPr>
            <w:tcW w:w="2625" w:type="dxa"/>
            <w:noWrap w:val="0"/>
            <w:vAlign w:val="center"/>
          </w:tcPr>
          <w:p w14:paraId="2E9F1FD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TKJ1000/1.0-JXW 5/5/5</w:t>
            </w:r>
          </w:p>
        </w:tc>
        <w:tc>
          <w:tcPr>
            <w:tcW w:w="1065" w:type="dxa"/>
            <w:noWrap w:val="0"/>
            <w:vAlign w:val="center"/>
          </w:tcPr>
          <w:p w14:paraId="38A1788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等线" w:hAnsi="等线" w:eastAsia="等线" w:cs="等线"/>
                <w:i w:val="0"/>
                <w:iCs w:val="0"/>
                <w:color w:val="000000"/>
                <w:kern w:val="0"/>
                <w:sz w:val="22"/>
                <w:szCs w:val="22"/>
                <w:u w:val="none"/>
                <w:lang w:val="en-US" w:eastAsia="zh-CN" w:bidi="ar"/>
              </w:rPr>
              <w:t>台/月</w:t>
            </w:r>
          </w:p>
        </w:tc>
        <w:tc>
          <w:tcPr>
            <w:tcW w:w="750" w:type="dxa"/>
            <w:tcBorders>
              <w:bottom w:val="single" w:color="auto" w:sz="4" w:space="0"/>
            </w:tcBorders>
            <w:noWrap w:val="0"/>
            <w:vAlign w:val="center"/>
          </w:tcPr>
          <w:p w14:paraId="10810993">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等线" w:hAnsi="等线" w:eastAsia="等线" w:cs="等线"/>
                <w:i w:val="0"/>
                <w:iCs w:val="0"/>
                <w:color w:val="000000"/>
                <w:kern w:val="0"/>
                <w:sz w:val="22"/>
                <w:szCs w:val="22"/>
                <w:u w:val="none"/>
                <w:lang w:val="en-US" w:eastAsia="zh-CN" w:bidi="ar"/>
              </w:rPr>
              <w:t>1</w:t>
            </w:r>
          </w:p>
        </w:tc>
        <w:tc>
          <w:tcPr>
            <w:tcW w:w="866" w:type="dxa"/>
            <w:tcBorders>
              <w:bottom w:val="single" w:color="auto" w:sz="4" w:space="0"/>
            </w:tcBorders>
            <w:noWrap w:val="0"/>
            <w:vAlign w:val="center"/>
          </w:tcPr>
          <w:p w14:paraId="215927EF">
            <w:pPr>
              <w:spacing w:line="600" w:lineRule="exact"/>
              <w:jc w:val="center"/>
              <w:rPr>
                <w:rFonts w:hint="eastAsia" w:ascii="宋体" w:hAnsi="宋体" w:eastAsia="宋体" w:cs="宋体"/>
                <w:sz w:val="21"/>
                <w:szCs w:val="21"/>
              </w:rPr>
            </w:pPr>
          </w:p>
        </w:tc>
      </w:tr>
      <w:tr w14:paraId="6157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5588D668">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乘客电梯保养（3次/月）</w:t>
            </w:r>
          </w:p>
        </w:tc>
        <w:tc>
          <w:tcPr>
            <w:tcW w:w="1347" w:type="dxa"/>
            <w:noWrap w:val="0"/>
            <w:vAlign w:val="center"/>
          </w:tcPr>
          <w:p w14:paraId="608341E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西子奥的斯</w:t>
            </w:r>
          </w:p>
        </w:tc>
        <w:tc>
          <w:tcPr>
            <w:tcW w:w="2625" w:type="dxa"/>
            <w:noWrap w:val="0"/>
            <w:vAlign w:val="center"/>
          </w:tcPr>
          <w:p w14:paraId="7180CDAF">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F8NGF180</w:t>
            </w:r>
          </w:p>
        </w:tc>
        <w:tc>
          <w:tcPr>
            <w:tcW w:w="1065" w:type="dxa"/>
            <w:noWrap w:val="0"/>
            <w:vAlign w:val="center"/>
          </w:tcPr>
          <w:p w14:paraId="3CFC045A">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台/月</w:t>
            </w:r>
          </w:p>
        </w:tc>
        <w:tc>
          <w:tcPr>
            <w:tcW w:w="750" w:type="dxa"/>
            <w:noWrap w:val="0"/>
            <w:vAlign w:val="center"/>
          </w:tcPr>
          <w:p w14:paraId="4643E2E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48B5AFC3">
            <w:pPr>
              <w:spacing w:line="600" w:lineRule="exact"/>
              <w:jc w:val="center"/>
              <w:rPr>
                <w:rFonts w:hint="eastAsia" w:ascii="宋体" w:hAnsi="宋体" w:eastAsia="宋体" w:cs="宋体"/>
                <w:sz w:val="21"/>
                <w:szCs w:val="21"/>
              </w:rPr>
            </w:pPr>
          </w:p>
        </w:tc>
      </w:tr>
      <w:tr w14:paraId="166F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1ACD3C67">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电梯保险</w:t>
            </w:r>
          </w:p>
        </w:tc>
        <w:tc>
          <w:tcPr>
            <w:tcW w:w="1347" w:type="dxa"/>
            <w:noWrap w:val="0"/>
            <w:vAlign w:val="center"/>
          </w:tcPr>
          <w:p w14:paraId="3909698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平安保险</w:t>
            </w:r>
          </w:p>
        </w:tc>
        <w:tc>
          <w:tcPr>
            <w:tcW w:w="2625" w:type="dxa"/>
            <w:noWrap w:val="0"/>
            <w:vAlign w:val="center"/>
          </w:tcPr>
          <w:p w14:paraId="70E80B5F">
            <w:pPr>
              <w:jc w:val="center"/>
              <w:rPr>
                <w:rFonts w:hint="eastAsia" w:ascii="宋体" w:hAnsi="宋体" w:eastAsia="宋体" w:cs="宋体"/>
                <w:sz w:val="21"/>
                <w:szCs w:val="21"/>
                <w:lang w:eastAsia="zh-CN"/>
              </w:rPr>
            </w:pPr>
          </w:p>
        </w:tc>
        <w:tc>
          <w:tcPr>
            <w:tcW w:w="1065" w:type="dxa"/>
            <w:noWrap w:val="0"/>
            <w:vAlign w:val="center"/>
          </w:tcPr>
          <w:p w14:paraId="0CAA73CD">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台/年</w:t>
            </w:r>
          </w:p>
        </w:tc>
        <w:tc>
          <w:tcPr>
            <w:tcW w:w="750" w:type="dxa"/>
            <w:noWrap w:val="0"/>
            <w:vAlign w:val="center"/>
          </w:tcPr>
          <w:p w14:paraId="2E4928D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5</w:t>
            </w:r>
          </w:p>
        </w:tc>
        <w:tc>
          <w:tcPr>
            <w:tcW w:w="866" w:type="dxa"/>
            <w:noWrap w:val="0"/>
            <w:vAlign w:val="center"/>
          </w:tcPr>
          <w:p w14:paraId="660A7318">
            <w:pPr>
              <w:spacing w:line="600" w:lineRule="exact"/>
              <w:jc w:val="center"/>
              <w:rPr>
                <w:rFonts w:hint="eastAsia" w:ascii="宋体" w:hAnsi="宋体" w:eastAsia="宋体" w:cs="宋体"/>
                <w:sz w:val="21"/>
                <w:szCs w:val="21"/>
              </w:rPr>
            </w:pPr>
          </w:p>
        </w:tc>
      </w:tr>
      <w:tr w14:paraId="7B81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0074EB85">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电梯检验费</w:t>
            </w:r>
          </w:p>
        </w:tc>
        <w:tc>
          <w:tcPr>
            <w:tcW w:w="1347" w:type="dxa"/>
            <w:noWrap w:val="0"/>
            <w:vAlign w:val="center"/>
          </w:tcPr>
          <w:p w14:paraId="75D3B7AF">
            <w:pPr>
              <w:jc w:val="center"/>
              <w:rPr>
                <w:rFonts w:hint="eastAsia" w:ascii="宋体" w:hAnsi="宋体" w:eastAsia="宋体" w:cs="宋体"/>
                <w:sz w:val="21"/>
                <w:szCs w:val="21"/>
                <w:lang w:val="en-US" w:eastAsia="zh-CN"/>
              </w:rPr>
            </w:pPr>
          </w:p>
        </w:tc>
        <w:tc>
          <w:tcPr>
            <w:tcW w:w="2625" w:type="dxa"/>
            <w:noWrap w:val="0"/>
            <w:vAlign w:val="center"/>
          </w:tcPr>
          <w:p w14:paraId="0A35C2BA">
            <w:pPr>
              <w:jc w:val="center"/>
              <w:rPr>
                <w:rFonts w:hint="eastAsia" w:ascii="宋体" w:hAnsi="宋体" w:eastAsia="宋体" w:cs="宋体"/>
                <w:sz w:val="21"/>
                <w:szCs w:val="21"/>
                <w:lang w:eastAsia="zh-CN"/>
              </w:rPr>
            </w:pPr>
          </w:p>
        </w:tc>
        <w:tc>
          <w:tcPr>
            <w:tcW w:w="1065" w:type="dxa"/>
            <w:noWrap w:val="0"/>
            <w:vAlign w:val="center"/>
          </w:tcPr>
          <w:p w14:paraId="73376431">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台/年</w:t>
            </w:r>
          </w:p>
        </w:tc>
        <w:tc>
          <w:tcPr>
            <w:tcW w:w="750" w:type="dxa"/>
            <w:noWrap w:val="0"/>
            <w:vAlign w:val="center"/>
          </w:tcPr>
          <w:p w14:paraId="1C695F1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5</w:t>
            </w:r>
          </w:p>
        </w:tc>
        <w:tc>
          <w:tcPr>
            <w:tcW w:w="866" w:type="dxa"/>
            <w:noWrap w:val="0"/>
            <w:vAlign w:val="center"/>
          </w:tcPr>
          <w:p w14:paraId="41C14649">
            <w:pPr>
              <w:spacing w:line="600" w:lineRule="exact"/>
              <w:jc w:val="center"/>
              <w:rPr>
                <w:rFonts w:hint="eastAsia" w:ascii="宋体" w:hAnsi="宋体" w:eastAsia="宋体" w:cs="宋体"/>
                <w:sz w:val="21"/>
                <w:szCs w:val="21"/>
              </w:rPr>
            </w:pPr>
          </w:p>
        </w:tc>
      </w:tr>
      <w:tr w14:paraId="0C0E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4EA4A932">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制动器闸瓦</w:t>
            </w:r>
          </w:p>
        </w:tc>
        <w:tc>
          <w:tcPr>
            <w:tcW w:w="1347" w:type="dxa"/>
            <w:noWrap w:val="0"/>
            <w:vAlign w:val="center"/>
          </w:tcPr>
          <w:p w14:paraId="76401E2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F120</w:t>
            </w:r>
          </w:p>
        </w:tc>
        <w:tc>
          <w:tcPr>
            <w:tcW w:w="2625" w:type="dxa"/>
            <w:noWrap w:val="0"/>
            <w:vAlign w:val="center"/>
          </w:tcPr>
          <w:p w14:paraId="3AD241BA">
            <w:pPr>
              <w:jc w:val="center"/>
              <w:rPr>
                <w:rFonts w:hint="eastAsia" w:ascii="宋体" w:hAnsi="宋体" w:eastAsia="宋体" w:cs="宋体"/>
                <w:sz w:val="21"/>
                <w:szCs w:val="21"/>
                <w:lang w:eastAsia="zh-CN"/>
              </w:rPr>
            </w:pPr>
          </w:p>
        </w:tc>
        <w:tc>
          <w:tcPr>
            <w:tcW w:w="1065" w:type="dxa"/>
            <w:noWrap w:val="0"/>
            <w:vAlign w:val="center"/>
          </w:tcPr>
          <w:p w14:paraId="07C3B200">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对</w:t>
            </w:r>
          </w:p>
        </w:tc>
        <w:tc>
          <w:tcPr>
            <w:tcW w:w="750" w:type="dxa"/>
            <w:noWrap w:val="0"/>
            <w:vAlign w:val="center"/>
          </w:tcPr>
          <w:p w14:paraId="2BC2DAF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4</w:t>
            </w:r>
          </w:p>
        </w:tc>
        <w:tc>
          <w:tcPr>
            <w:tcW w:w="866" w:type="dxa"/>
            <w:noWrap w:val="0"/>
            <w:vAlign w:val="center"/>
          </w:tcPr>
          <w:p w14:paraId="69489951">
            <w:pPr>
              <w:spacing w:line="600" w:lineRule="exact"/>
              <w:jc w:val="center"/>
              <w:rPr>
                <w:rFonts w:hint="eastAsia" w:ascii="宋体" w:hAnsi="宋体" w:eastAsia="宋体" w:cs="宋体"/>
                <w:sz w:val="21"/>
                <w:szCs w:val="21"/>
              </w:rPr>
            </w:pPr>
          </w:p>
        </w:tc>
      </w:tr>
      <w:tr w14:paraId="5134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41F7D4B0">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按钮</w:t>
            </w:r>
          </w:p>
        </w:tc>
        <w:tc>
          <w:tcPr>
            <w:tcW w:w="1347" w:type="dxa"/>
            <w:noWrap w:val="0"/>
            <w:vAlign w:val="center"/>
          </w:tcPr>
          <w:p w14:paraId="599C6AE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东芝</w:t>
            </w:r>
          </w:p>
        </w:tc>
        <w:tc>
          <w:tcPr>
            <w:tcW w:w="2625" w:type="dxa"/>
            <w:noWrap w:val="0"/>
            <w:vAlign w:val="center"/>
          </w:tcPr>
          <w:p w14:paraId="196A5662">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等线" w:hAnsi="等线" w:eastAsia="等线" w:cs="等线"/>
                <w:i w:val="0"/>
                <w:iCs w:val="0"/>
                <w:color w:val="000000"/>
                <w:kern w:val="0"/>
                <w:sz w:val="22"/>
                <w:szCs w:val="22"/>
                <w:u w:val="none"/>
                <w:lang w:val="en-US" w:eastAsia="zh-CN" w:bidi="ar"/>
              </w:rPr>
              <w:t>A5P00032P</w:t>
            </w:r>
          </w:p>
        </w:tc>
        <w:tc>
          <w:tcPr>
            <w:tcW w:w="1065" w:type="dxa"/>
            <w:noWrap w:val="0"/>
            <w:vAlign w:val="center"/>
          </w:tcPr>
          <w:p w14:paraId="332AF7E1">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36621FC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5</w:t>
            </w:r>
          </w:p>
        </w:tc>
        <w:tc>
          <w:tcPr>
            <w:tcW w:w="866" w:type="dxa"/>
            <w:noWrap w:val="0"/>
            <w:vAlign w:val="center"/>
          </w:tcPr>
          <w:p w14:paraId="34B88510">
            <w:pPr>
              <w:spacing w:line="600" w:lineRule="exact"/>
              <w:jc w:val="center"/>
              <w:rPr>
                <w:rFonts w:hint="eastAsia" w:ascii="宋体" w:hAnsi="宋体" w:eastAsia="宋体" w:cs="宋体"/>
                <w:sz w:val="21"/>
                <w:szCs w:val="21"/>
              </w:rPr>
            </w:pPr>
          </w:p>
        </w:tc>
      </w:tr>
      <w:tr w14:paraId="4E3D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3F589680">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接触器</w:t>
            </w:r>
          </w:p>
        </w:tc>
        <w:tc>
          <w:tcPr>
            <w:tcW w:w="1347" w:type="dxa"/>
            <w:noWrap w:val="0"/>
            <w:vAlign w:val="center"/>
          </w:tcPr>
          <w:p w14:paraId="63CF714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施耐德</w:t>
            </w:r>
          </w:p>
        </w:tc>
        <w:tc>
          <w:tcPr>
            <w:tcW w:w="2625" w:type="dxa"/>
            <w:noWrap w:val="0"/>
            <w:vAlign w:val="center"/>
          </w:tcPr>
          <w:p w14:paraId="4EDF2B9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LC1D186</w:t>
            </w:r>
          </w:p>
        </w:tc>
        <w:tc>
          <w:tcPr>
            <w:tcW w:w="1065" w:type="dxa"/>
            <w:noWrap w:val="0"/>
            <w:vAlign w:val="center"/>
          </w:tcPr>
          <w:p w14:paraId="6796EF23">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2F144BD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2</w:t>
            </w:r>
          </w:p>
        </w:tc>
        <w:tc>
          <w:tcPr>
            <w:tcW w:w="866" w:type="dxa"/>
            <w:noWrap w:val="0"/>
            <w:vAlign w:val="center"/>
          </w:tcPr>
          <w:p w14:paraId="7DE25710">
            <w:pPr>
              <w:spacing w:line="600" w:lineRule="exact"/>
              <w:jc w:val="center"/>
              <w:rPr>
                <w:rFonts w:hint="eastAsia" w:ascii="宋体" w:hAnsi="宋体" w:eastAsia="宋体" w:cs="宋体"/>
                <w:sz w:val="21"/>
                <w:szCs w:val="21"/>
              </w:rPr>
            </w:pPr>
          </w:p>
        </w:tc>
      </w:tr>
      <w:tr w14:paraId="5151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529EBA84">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外招显示板</w:t>
            </w:r>
          </w:p>
        </w:tc>
        <w:tc>
          <w:tcPr>
            <w:tcW w:w="1347" w:type="dxa"/>
            <w:noWrap w:val="0"/>
            <w:vAlign w:val="center"/>
          </w:tcPr>
          <w:p w14:paraId="689A58E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东芝</w:t>
            </w:r>
          </w:p>
        </w:tc>
        <w:tc>
          <w:tcPr>
            <w:tcW w:w="2625" w:type="dxa"/>
            <w:noWrap w:val="0"/>
            <w:vAlign w:val="center"/>
          </w:tcPr>
          <w:p w14:paraId="265178B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等线" w:hAnsi="等线" w:eastAsia="等线" w:cs="等线"/>
                <w:i w:val="0"/>
                <w:iCs w:val="0"/>
                <w:color w:val="000000"/>
                <w:kern w:val="0"/>
                <w:sz w:val="22"/>
                <w:szCs w:val="22"/>
                <w:u w:val="none"/>
                <w:lang w:val="en-US" w:eastAsia="zh-CN" w:bidi="ar"/>
              </w:rPr>
              <w:t>LED</w:t>
            </w:r>
          </w:p>
        </w:tc>
        <w:tc>
          <w:tcPr>
            <w:tcW w:w="1065" w:type="dxa"/>
            <w:noWrap w:val="0"/>
            <w:vAlign w:val="center"/>
          </w:tcPr>
          <w:p w14:paraId="0010F171">
            <w:pPr>
              <w:keepNext w:val="0"/>
              <w:keepLines w:val="0"/>
              <w:widowControl/>
              <w:suppressLineNumbers w:val="0"/>
              <w:jc w:val="center"/>
              <w:textAlignment w:val="center"/>
              <w:rPr>
                <w:rFonts w:hint="eastAsia" w:ascii="宋体" w:hAnsi="宋体" w:eastAsia="宋体" w:cs="宋体"/>
                <w:sz w:val="21"/>
                <w:szCs w:val="21"/>
              </w:rPr>
            </w:pPr>
            <w:r>
              <w:rPr>
                <w:rFonts w:hint="eastAsia" w:ascii="等线" w:hAnsi="等线" w:eastAsia="等线" w:cs="等线"/>
                <w:i w:val="0"/>
                <w:iCs w:val="0"/>
                <w:color w:val="000000"/>
                <w:kern w:val="0"/>
                <w:sz w:val="22"/>
                <w:szCs w:val="22"/>
                <w:u w:val="none"/>
                <w:lang w:val="en-US" w:eastAsia="zh-CN" w:bidi="ar"/>
              </w:rPr>
              <w:t>块</w:t>
            </w:r>
          </w:p>
        </w:tc>
        <w:tc>
          <w:tcPr>
            <w:tcW w:w="750" w:type="dxa"/>
            <w:noWrap w:val="0"/>
            <w:vAlign w:val="center"/>
          </w:tcPr>
          <w:p w14:paraId="771B386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49682A00">
            <w:pPr>
              <w:spacing w:line="600" w:lineRule="exact"/>
              <w:jc w:val="center"/>
              <w:rPr>
                <w:rFonts w:hint="eastAsia" w:ascii="宋体" w:hAnsi="宋体" w:eastAsia="宋体" w:cs="宋体"/>
                <w:sz w:val="21"/>
                <w:szCs w:val="21"/>
              </w:rPr>
            </w:pPr>
          </w:p>
        </w:tc>
      </w:tr>
      <w:tr w14:paraId="6716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13012A0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触点</w:t>
            </w:r>
          </w:p>
        </w:tc>
        <w:tc>
          <w:tcPr>
            <w:tcW w:w="1347" w:type="dxa"/>
            <w:noWrap w:val="0"/>
            <w:vAlign w:val="center"/>
          </w:tcPr>
          <w:p w14:paraId="5CDFB8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瑞鑫</w:t>
            </w:r>
          </w:p>
        </w:tc>
        <w:tc>
          <w:tcPr>
            <w:tcW w:w="2625" w:type="dxa"/>
            <w:noWrap w:val="0"/>
            <w:vAlign w:val="center"/>
          </w:tcPr>
          <w:p w14:paraId="2DE6CD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AZ-06</w:t>
            </w:r>
          </w:p>
        </w:tc>
        <w:tc>
          <w:tcPr>
            <w:tcW w:w="1065" w:type="dxa"/>
            <w:noWrap w:val="0"/>
            <w:vAlign w:val="center"/>
          </w:tcPr>
          <w:p w14:paraId="22462B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1985F2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8</w:t>
            </w:r>
          </w:p>
        </w:tc>
        <w:tc>
          <w:tcPr>
            <w:tcW w:w="866" w:type="dxa"/>
            <w:noWrap w:val="0"/>
            <w:vAlign w:val="center"/>
          </w:tcPr>
          <w:p w14:paraId="7F1D503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F4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0772DE2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接触器</w:t>
            </w:r>
          </w:p>
        </w:tc>
        <w:tc>
          <w:tcPr>
            <w:tcW w:w="1347" w:type="dxa"/>
            <w:noWrap w:val="0"/>
            <w:vAlign w:val="center"/>
          </w:tcPr>
          <w:p w14:paraId="170550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正泰</w:t>
            </w:r>
          </w:p>
        </w:tc>
        <w:tc>
          <w:tcPr>
            <w:tcW w:w="2625" w:type="dxa"/>
            <w:noWrap w:val="0"/>
            <w:vAlign w:val="center"/>
          </w:tcPr>
          <w:p w14:paraId="7DD3AEF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CJX2</w:t>
            </w:r>
          </w:p>
        </w:tc>
        <w:tc>
          <w:tcPr>
            <w:tcW w:w="1065" w:type="dxa"/>
            <w:noWrap w:val="0"/>
            <w:vAlign w:val="center"/>
          </w:tcPr>
          <w:p w14:paraId="041722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61F6C4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2</w:t>
            </w:r>
          </w:p>
        </w:tc>
        <w:tc>
          <w:tcPr>
            <w:tcW w:w="866" w:type="dxa"/>
            <w:noWrap w:val="0"/>
            <w:vAlign w:val="center"/>
          </w:tcPr>
          <w:p w14:paraId="2EA50A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12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5B6C0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滑动导靴靴衬</w:t>
            </w:r>
          </w:p>
        </w:tc>
        <w:tc>
          <w:tcPr>
            <w:tcW w:w="1347" w:type="dxa"/>
            <w:noWrap w:val="0"/>
            <w:vAlign w:val="center"/>
          </w:tcPr>
          <w:p w14:paraId="06CD75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三菱</w:t>
            </w:r>
          </w:p>
        </w:tc>
        <w:tc>
          <w:tcPr>
            <w:tcW w:w="2625" w:type="dxa"/>
            <w:noWrap w:val="0"/>
            <w:vAlign w:val="center"/>
          </w:tcPr>
          <w:p w14:paraId="11A2FA9F">
            <w:pPr>
              <w:jc w:val="center"/>
              <w:rPr>
                <w:rFonts w:hint="eastAsia" w:ascii="宋体" w:hAnsi="宋体" w:eastAsia="宋体" w:cs="宋体"/>
                <w:i w:val="0"/>
                <w:iCs w:val="0"/>
                <w:color w:val="000000"/>
                <w:kern w:val="0"/>
                <w:sz w:val="21"/>
                <w:szCs w:val="21"/>
                <w:u w:val="none"/>
                <w:lang w:val="en-US" w:eastAsia="zh-CN" w:bidi="ar"/>
              </w:rPr>
            </w:pPr>
          </w:p>
        </w:tc>
        <w:tc>
          <w:tcPr>
            <w:tcW w:w="1065" w:type="dxa"/>
            <w:noWrap w:val="0"/>
            <w:vAlign w:val="center"/>
          </w:tcPr>
          <w:p w14:paraId="279F4B7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3A2932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4</w:t>
            </w:r>
          </w:p>
        </w:tc>
        <w:tc>
          <w:tcPr>
            <w:tcW w:w="866" w:type="dxa"/>
            <w:noWrap w:val="0"/>
            <w:vAlign w:val="center"/>
          </w:tcPr>
          <w:p w14:paraId="075B1A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5EB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6A2528C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相序保护器</w:t>
            </w:r>
          </w:p>
        </w:tc>
        <w:tc>
          <w:tcPr>
            <w:tcW w:w="1347" w:type="dxa"/>
            <w:noWrap w:val="0"/>
            <w:vAlign w:val="center"/>
          </w:tcPr>
          <w:p w14:paraId="100736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上海超时</w:t>
            </w:r>
          </w:p>
        </w:tc>
        <w:tc>
          <w:tcPr>
            <w:tcW w:w="2625" w:type="dxa"/>
            <w:noWrap w:val="0"/>
            <w:vAlign w:val="center"/>
          </w:tcPr>
          <w:p w14:paraId="1C50F9DE">
            <w:pPr>
              <w:jc w:val="center"/>
              <w:rPr>
                <w:rFonts w:hint="eastAsia" w:ascii="宋体" w:hAnsi="宋体" w:eastAsia="宋体" w:cs="宋体"/>
                <w:i w:val="0"/>
                <w:iCs w:val="0"/>
                <w:color w:val="000000"/>
                <w:kern w:val="0"/>
                <w:sz w:val="21"/>
                <w:szCs w:val="21"/>
                <w:u w:val="none"/>
                <w:lang w:val="en-US" w:eastAsia="zh-CN" w:bidi="ar"/>
              </w:rPr>
            </w:pPr>
          </w:p>
        </w:tc>
        <w:tc>
          <w:tcPr>
            <w:tcW w:w="1065" w:type="dxa"/>
            <w:noWrap w:val="0"/>
            <w:vAlign w:val="center"/>
          </w:tcPr>
          <w:p w14:paraId="317832B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个</w:t>
            </w:r>
          </w:p>
        </w:tc>
        <w:tc>
          <w:tcPr>
            <w:tcW w:w="750" w:type="dxa"/>
            <w:noWrap w:val="0"/>
            <w:vAlign w:val="center"/>
          </w:tcPr>
          <w:p w14:paraId="23CE2A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2C7807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E20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59CF5A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无线对讲</w:t>
            </w:r>
          </w:p>
        </w:tc>
        <w:tc>
          <w:tcPr>
            <w:tcW w:w="1347" w:type="dxa"/>
            <w:noWrap w:val="0"/>
            <w:vAlign w:val="center"/>
          </w:tcPr>
          <w:p w14:paraId="710A4A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鼎盛</w:t>
            </w:r>
          </w:p>
        </w:tc>
        <w:tc>
          <w:tcPr>
            <w:tcW w:w="2625" w:type="dxa"/>
            <w:noWrap w:val="0"/>
            <w:vAlign w:val="center"/>
          </w:tcPr>
          <w:p w14:paraId="44D481A6">
            <w:pPr>
              <w:jc w:val="center"/>
              <w:rPr>
                <w:rFonts w:hint="eastAsia" w:ascii="宋体" w:hAnsi="宋体" w:eastAsia="宋体" w:cs="宋体"/>
                <w:i w:val="0"/>
                <w:iCs w:val="0"/>
                <w:color w:val="000000"/>
                <w:kern w:val="0"/>
                <w:sz w:val="21"/>
                <w:szCs w:val="21"/>
                <w:u w:val="none"/>
                <w:lang w:val="en-US" w:eastAsia="zh-CN" w:bidi="ar"/>
              </w:rPr>
            </w:pPr>
          </w:p>
        </w:tc>
        <w:tc>
          <w:tcPr>
            <w:tcW w:w="1065" w:type="dxa"/>
            <w:noWrap w:val="0"/>
            <w:vAlign w:val="center"/>
          </w:tcPr>
          <w:p w14:paraId="6DEBC6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套</w:t>
            </w:r>
          </w:p>
        </w:tc>
        <w:tc>
          <w:tcPr>
            <w:tcW w:w="750" w:type="dxa"/>
            <w:noWrap w:val="0"/>
            <w:vAlign w:val="center"/>
          </w:tcPr>
          <w:p w14:paraId="1A9F5E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26410C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B1A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15" w:type="dxa"/>
            <w:noWrap w:val="0"/>
            <w:vAlign w:val="center"/>
          </w:tcPr>
          <w:p w14:paraId="7C8BE62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物联网卡</w:t>
            </w:r>
          </w:p>
        </w:tc>
        <w:tc>
          <w:tcPr>
            <w:tcW w:w="1347" w:type="dxa"/>
            <w:noWrap w:val="0"/>
            <w:vAlign w:val="center"/>
          </w:tcPr>
          <w:p w14:paraId="784C6DFD">
            <w:pPr>
              <w:jc w:val="center"/>
              <w:rPr>
                <w:rFonts w:hint="eastAsia" w:ascii="宋体" w:hAnsi="宋体" w:eastAsia="宋体" w:cs="宋体"/>
                <w:i w:val="0"/>
                <w:iCs w:val="0"/>
                <w:color w:val="000000"/>
                <w:kern w:val="0"/>
                <w:sz w:val="21"/>
                <w:szCs w:val="21"/>
                <w:u w:val="none"/>
                <w:lang w:val="en-US" w:eastAsia="zh-CN" w:bidi="ar"/>
              </w:rPr>
            </w:pPr>
          </w:p>
        </w:tc>
        <w:tc>
          <w:tcPr>
            <w:tcW w:w="2625" w:type="dxa"/>
            <w:noWrap w:val="0"/>
            <w:vAlign w:val="center"/>
          </w:tcPr>
          <w:p w14:paraId="6CFD9A8B">
            <w:pPr>
              <w:jc w:val="center"/>
              <w:rPr>
                <w:rFonts w:hint="eastAsia" w:ascii="宋体" w:hAnsi="宋体" w:eastAsia="宋体" w:cs="宋体"/>
                <w:i w:val="0"/>
                <w:iCs w:val="0"/>
                <w:color w:val="000000"/>
                <w:kern w:val="0"/>
                <w:sz w:val="21"/>
                <w:szCs w:val="21"/>
                <w:u w:val="none"/>
                <w:lang w:val="en-US" w:eastAsia="zh-CN" w:bidi="ar"/>
              </w:rPr>
            </w:pPr>
          </w:p>
        </w:tc>
        <w:tc>
          <w:tcPr>
            <w:tcW w:w="1065" w:type="dxa"/>
            <w:noWrap w:val="0"/>
            <w:vAlign w:val="center"/>
          </w:tcPr>
          <w:p w14:paraId="1537AA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张/年</w:t>
            </w:r>
          </w:p>
        </w:tc>
        <w:tc>
          <w:tcPr>
            <w:tcW w:w="750" w:type="dxa"/>
            <w:noWrap w:val="0"/>
            <w:vAlign w:val="center"/>
          </w:tcPr>
          <w:p w14:paraId="23C02D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1</w:t>
            </w:r>
          </w:p>
        </w:tc>
        <w:tc>
          <w:tcPr>
            <w:tcW w:w="866" w:type="dxa"/>
            <w:noWrap w:val="0"/>
            <w:vAlign w:val="center"/>
          </w:tcPr>
          <w:p w14:paraId="274150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5D5FDBCB">
      <w:pPr>
        <w:spacing w:line="360" w:lineRule="auto"/>
        <w:ind w:firstLine="420"/>
        <w:jc w:val="left"/>
        <w:rPr>
          <w:rFonts w:hint="eastAsia" w:ascii="宋体" w:hAnsi="宋体" w:cs="宋体"/>
          <w:sz w:val="21"/>
          <w:szCs w:val="21"/>
          <w:lang w:val="en-US" w:eastAsia="zh-CN"/>
        </w:rPr>
      </w:pPr>
    </w:p>
    <w:p w14:paraId="3AD600EF">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维护、保养内容及要求：</w:t>
      </w:r>
    </w:p>
    <w:p w14:paraId="1C36CA3F">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1 乙方按照国家法规、地方法规、以及电梯生产厂家的有关维护 、保养内容，对甲方</w:t>
      </w:r>
      <w:r>
        <w:rPr>
          <w:rFonts w:hint="eastAsia" w:ascii="宋体" w:hAnsi="宋体" w:cs="宋体"/>
          <w:sz w:val="21"/>
          <w:szCs w:val="21"/>
          <w:lang w:val="en-US" w:eastAsia="zh-CN"/>
        </w:rPr>
        <w:t>5</w:t>
      </w:r>
      <w:r>
        <w:rPr>
          <w:rFonts w:hint="eastAsia" w:ascii="宋体" w:hAnsi="宋体" w:cs="宋体"/>
          <w:sz w:val="21"/>
          <w:szCs w:val="21"/>
        </w:rPr>
        <w:t>台电梯进行常规性保养（</w:t>
      </w:r>
      <w:r>
        <w:rPr>
          <w:rFonts w:hint="eastAsia" w:ascii="宋体" w:hAnsi="宋体" w:cs="宋体"/>
          <w:sz w:val="21"/>
          <w:szCs w:val="21"/>
          <w:lang w:val="en-US" w:eastAsia="zh-CN"/>
        </w:rPr>
        <w:t>每月4次</w:t>
      </w:r>
      <w:r>
        <w:rPr>
          <w:rFonts w:hint="eastAsia" w:ascii="宋体" w:hAnsi="宋体" w:cs="宋体"/>
          <w:sz w:val="21"/>
          <w:szCs w:val="21"/>
        </w:rPr>
        <w:t>），并向甲方提供维护、保养记录单，确保电梯能正常运行。</w:t>
      </w:r>
    </w:p>
    <w:p w14:paraId="56827B5C">
      <w:pPr>
        <w:spacing w:line="360" w:lineRule="auto"/>
        <w:ind w:firstLine="420"/>
        <w:jc w:val="left"/>
        <w:rPr>
          <w:rFonts w:hint="eastAsia" w:ascii="宋体" w:hAnsi="宋体" w:cs="宋体"/>
          <w:sz w:val="21"/>
          <w:szCs w:val="21"/>
        </w:rPr>
      </w:pPr>
      <w:r>
        <w:rPr>
          <w:rFonts w:hint="eastAsia" w:ascii="宋体" w:hAnsi="宋体" w:cs="宋体"/>
          <w:sz w:val="21"/>
          <w:szCs w:val="21"/>
        </w:rPr>
        <w:t>2.</w:t>
      </w:r>
      <w:r>
        <w:rPr>
          <w:rFonts w:hint="eastAsia" w:ascii="宋体" w:hAnsi="宋体" w:cs="宋体"/>
          <w:sz w:val="21"/>
          <w:szCs w:val="21"/>
          <w:lang w:val="en-US" w:eastAsia="zh-CN"/>
        </w:rPr>
        <w:t>2</w:t>
      </w:r>
      <w:r>
        <w:rPr>
          <w:rFonts w:hint="eastAsia" w:ascii="宋体" w:hAnsi="宋体" w:cs="宋体"/>
          <w:sz w:val="21"/>
          <w:szCs w:val="21"/>
        </w:rPr>
        <w:t xml:space="preserve"> 乙方全天24小时提供紧急救援服务和故障维修服务。电梯急修必须第一时间到达现场，时间为60分钟。当电梯发生特殊故障时，排除故障原则上在3个工作日解决。</w:t>
      </w:r>
    </w:p>
    <w:p w14:paraId="56996A0E">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3</w:t>
      </w:r>
      <w:r>
        <w:rPr>
          <w:rFonts w:hint="eastAsia" w:ascii="宋体" w:hAnsi="宋体" w:cs="宋体"/>
          <w:sz w:val="21"/>
          <w:szCs w:val="21"/>
          <w:lang w:val="en-US" w:eastAsia="zh-CN"/>
        </w:rPr>
        <w:t xml:space="preserve"> </w:t>
      </w:r>
      <w:r>
        <w:rPr>
          <w:rFonts w:hint="eastAsia" w:ascii="宋体" w:hAnsi="宋体" w:cs="宋体"/>
          <w:sz w:val="21"/>
          <w:szCs w:val="21"/>
        </w:rPr>
        <w:t>乙方提供每年一次的全面测试，测试所有安全装置和限速器，确保电梯通过浙江省质量技术监督局（技术检验中心）验收，如因乙方原因一检没通过，产生的整改项目免费整改，复检费由乙方承担。检验合格后,乙方向甲方提交检测报告及准用证。</w:t>
      </w:r>
    </w:p>
    <w:p w14:paraId="280813A5">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4</w:t>
      </w:r>
      <w:r>
        <w:rPr>
          <w:rFonts w:hint="eastAsia" w:ascii="宋体" w:hAnsi="宋体" w:cs="宋体"/>
          <w:sz w:val="21"/>
          <w:szCs w:val="21"/>
          <w:lang w:val="en-US" w:eastAsia="zh-CN"/>
        </w:rPr>
        <w:t xml:space="preserve"> </w:t>
      </w:r>
      <w:r>
        <w:rPr>
          <w:rFonts w:hint="eastAsia" w:ascii="宋体" w:hAnsi="宋体" w:cs="宋体"/>
          <w:sz w:val="21"/>
          <w:szCs w:val="21"/>
        </w:rPr>
        <w:t>电梯年检由乙方协助负责办妥，应在使用证到期前10天通过年检，甲方支付校验合格后的费用（具体费用按浙江省质量技术监督局收费标准执行），接送检验人员的车辆由乙方负责。</w:t>
      </w:r>
    </w:p>
    <w:p w14:paraId="528B6610">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5</w:t>
      </w:r>
      <w:r>
        <w:rPr>
          <w:rFonts w:hint="eastAsia" w:ascii="宋体" w:hAnsi="宋体" w:cs="宋体"/>
          <w:sz w:val="21"/>
          <w:szCs w:val="21"/>
          <w:lang w:val="en-US" w:eastAsia="zh-CN"/>
        </w:rPr>
        <w:t xml:space="preserve"> </w:t>
      </w:r>
      <w:r>
        <w:rPr>
          <w:rFonts w:hint="eastAsia" w:ascii="宋体" w:hAnsi="宋体" w:cs="宋体"/>
          <w:sz w:val="21"/>
          <w:szCs w:val="21"/>
        </w:rPr>
        <w:t>日常电梯急修免人工费，但如发生以下情况则酌情收取人工费，电梯换曳引钢丝绳、换马达、曳引机漏油、拆马达换油封以及人为造成层门等损坏十分严重，电梯进水，造成严重后果等（附：维修项目人工费清单）。</w:t>
      </w:r>
    </w:p>
    <w:p w14:paraId="4E5DDA99">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6</w:t>
      </w:r>
      <w:r>
        <w:rPr>
          <w:rFonts w:hint="eastAsia" w:ascii="宋体" w:hAnsi="宋体" w:cs="宋体"/>
          <w:sz w:val="21"/>
          <w:szCs w:val="21"/>
          <w:lang w:val="en-US" w:eastAsia="zh-CN"/>
        </w:rPr>
        <w:t xml:space="preserve"> </w:t>
      </w:r>
      <w:r>
        <w:rPr>
          <w:rFonts w:hint="eastAsia" w:ascii="宋体" w:hAnsi="宋体" w:cs="宋体"/>
          <w:sz w:val="21"/>
          <w:szCs w:val="21"/>
        </w:rPr>
        <w:t>乙方应做好电梯轿厢、机房、井道等部位的各部件的检查调整、润滑和清洁，做好电梯曳引机钢丝绳、补偿链、限速钢丝绳的清洁和张力调整。</w:t>
      </w:r>
    </w:p>
    <w:p w14:paraId="73CAE2A4">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7</w:t>
      </w:r>
      <w:r>
        <w:rPr>
          <w:rFonts w:hint="eastAsia" w:ascii="宋体" w:hAnsi="宋体" w:cs="宋体"/>
          <w:sz w:val="21"/>
          <w:szCs w:val="21"/>
          <w:lang w:val="en-US" w:eastAsia="zh-CN"/>
        </w:rPr>
        <w:t xml:space="preserve"> </w:t>
      </w:r>
      <w:r>
        <w:rPr>
          <w:rFonts w:hint="eastAsia" w:ascii="宋体" w:hAnsi="宋体" w:cs="宋体"/>
          <w:sz w:val="21"/>
          <w:szCs w:val="21"/>
        </w:rPr>
        <w:t>乙方在维修、保养期间如需更换材料，须经甲方认可，费用由甲方支付。</w:t>
      </w:r>
    </w:p>
    <w:p w14:paraId="7470DF45">
      <w:pPr>
        <w:spacing w:line="360" w:lineRule="auto"/>
        <w:ind w:firstLine="420"/>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8</w:t>
      </w:r>
      <w:r>
        <w:rPr>
          <w:rFonts w:hint="eastAsia" w:ascii="宋体" w:hAnsi="宋体" w:cs="宋体"/>
          <w:sz w:val="21"/>
          <w:szCs w:val="21"/>
          <w:lang w:val="en-US" w:eastAsia="zh-CN"/>
        </w:rPr>
        <w:t xml:space="preserve"> </w:t>
      </w:r>
      <w:r>
        <w:rPr>
          <w:rFonts w:hint="eastAsia" w:ascii="宋体" w:hAnsi="宋体" w:cs="宋体"/>
          <w:sz w:val="21"/>
          <w:szCs w:val="21"/>
        </w:rPr>
        <w:t>乙方工作人员必须具有国家颁发的相应上岗证，维保人员证件复印件在电梯使用单位存档</w:t>
      </w:r>
      <w:r>
        <w:rPr>
          <w:rFonts w:hint="eastAsia" w:ascii="宋体" w:hAnsi="宋体" w:cs="宋体"/>
          <w:sz w:val="21"/>
          <w:szCs w:val="21"/>
          <w:lang w:eastAsia="zh-CN"/>
        </w:rPr>
        <w:t>。</w:t>
      </w:r>
      <w:r>
        <w:rPr>
          <w:rFonts w:hint="eastAsia" w:ascii="宋体" w:hAnsi="宋体" w:cs="宋体"/>
          <w:sz w:val="21"/>
          <w:szCs w:val="21"/>
        </w:rPr>
        <w:t>在电梯维修，保养过程中应采取必要的安全措施，若因乙方工作人员疏忽或失取造成任何人身、设备、财产等事故，是乙方责任，由乙方负责处理与赔偿，甲方不承担责任。如有不可抗拒力量造成其他事故，以政府主管部门事故鉴定报告为准，分别承担各自责任。</w:t>
      </w:r>
    </w:p>
    <w:p w14:paraId="4305E47E">
      <w:pPr>
        <w:spacing w:line="360" w:lineRule="auto"/>
        <w:jc w:val="left"/>
        <w:rPr>
          <w:rFonts w:hint="eastAsia" w:ascii="宋体" w:hAnsi="宋体"/>
          <w:b/>
          <w:sz w:val="21"/>
          <w:szCs w:val="21"/>
        </w:rPr>
      </w:pPr>
      <w:r>
        <w:rPr>
          <w:rFonts w:hint="eastAsia" w:ascii="宋体" w:hAnsi="宋体"/>
          <w:b/>
          <w:sz w:val="21"/>
          <w:szCs w:val="21"/>
          <w:lang w:val="en-US" w:eastAsia="zh-CN"/>
        </w:rPr>
        <w:t>四</w:t>
      </w:r>
      <w:r>
        <w:rPr>
          <w:rFonts w:hint="eastAsia" w:ascii="宋体" w:hAnsi="宋体"/>
          <w:b/>
          <w:sz w:val="21"/>
          <w:szCs w:val="21"/>
        </w:rPr>
        <w:t>、基本要求</w:t>
      </w:r>
    </w:p>
    <w:p w14:paraId="1822A37B">
      <w:pPr>
        <w:spacing w:line="360" w:lineRule="auto"/>
        <w:ind w:firstLine="420" w:firstLineChars="200"/>
        <w:jc w:val="left"/>
        <w:rPr>
          <w:rFonts w:hint="eastAsia" w:ascii="宋体" w:hAnsi="宋体"/>
          <w:sz w:val="21"/>
          <w:szCs w:val="21"/>
        </w:rPr>
      </w:pPr>
      <w:r>
        <w:rPr>
          <w:rFonts w:hint="eastAsia" w:ascii="宋体" w:hAnsi="宋体"/>
          <w:sz w:val="21"/>
          <w:szCs w:val="21"/>
        </w:rPr>
        <w:t>1、投标方所供材料或设备涉及的专利权技术以及知识产权保护的其它技术等，应保证招标方不因此受到任何侵权指控以及实际损失。</w:t>
      </w:r>
    </w:p>
    <w:p w14:paraId="4398F165">
      <w:pPr>
        <w:spacing w:line="360" w:lineRule="auto"/>
        <w:ind w:firstLine="420" w:firstLineChars="200"/>
        <w:jc w:val="left"/>
        <w:rPr>
          <w:rFonts w:hint="eastAsia" w:ascii="宋体" w:hAnsi="宋体"/>
          <w:sz w:val="21"/>
          <w:szCs w:val="21"/>
        </w:rPr>
      </w:pPr>
      <w:r>
        <w:rPr>
          <w:rFonts w:hint="eastAsia" w:ascii="宋体" w:hAnsi="宋体"/>
          <w:sz w:val="21"/>
          <w:szCs w:val="21"/>
        </w:rPr>
        <w:t>2、投标方应满足招标方提出的各项技术要求，必要时应当免费提供技术承诺或担保。</w:t>
      </w:r>
    </w:p>
    <w:p w14:paraId="4EEE8C94">
      <w:pPr>
        <w:spacing w:line="360" w:lineRule="auto"/>
        <w:ind w:firstLine="420" w:firstLineChars="200"/>
        <w:jc w:val="left"/>
        <w:rPr>
          <w:rFonts w:hint="eastAsia" w:ascii="宋体" w:hAnsi="宋体"/>
          <w:sz w:val="21"/>
          <w:szCs w:val="21"/>
        </w:rPr>
      </w:pPr>
      <w:r>
        <w:rPr>
          <w:rFonts w:hint="eastAsia" w:ascii="宋体" w:hAnsi="宋体"/>
          <w:sz w:val="21"/>
          <w:szCs w:val="21"/>
        </w:rPr>
        <w:t>3、投标方应保证所供设备（或材料）为中国公布的非淘汰设备（或材料），并为中国指定或规定的主管部门认可的环保型和节能型设备（或材料）。</w:t>
      </w:r>
    </w:p>
    <w:p w14:paraId="1199C63D">
      <w:pPr>
        <w:spacing w:line="360" w:lineRule="auto"/>
        <w:ind w:firstLine="420" w:firstLineChars="200"/>
        <w:jc w:val="left"/>
        <w:rPr>
          <w:rFonts w:hint="eastAsia" w:ascii="宋体" w:hAnsi="宋体"/>
          <w:sz w:val="21"/>
          <w:szCs w:val="21"/>
        </w:rPr>
      </w:pPr>
      <w:r>
        <w:rPr>
          <w:rFonts w:hint="eastAsia" w:ascii="宋体" w:hAnsi="宋体"/>
          <w:sz w:val="21"/>
          <w:szCs w:val="21"/>
        </w:rPr>
        <w:t>4、投标方应对招标方采购的设备或材料所涉及的技术、产能等信息负有保密义务，招标方拥有追究投标方泄密责任的权利；招标方如有需要，投标方应无条件签署保密协议。</w:t>
      </w:r>
    </w:p>
    <w:p w14:paraId="15D4A3F4">
      <w:pPr>
        <w:pStyle w:val="16"/>
        <w:spacing w:line="360" w:lineRule="auto"/>
        <w:rPr>
          <w:rFonts w:hint="eastAsia" w:ascii="黑体" w:hAnsi="黑体" w:eastAsia="黑体"/>
          <w:b/>
          <w:bCs/>
          <w:sz w:val="28"/>
          <w:szCs w:val="28"/>
        </w:rPr>
      </w:pPr>
      <w:r>
        <w:rPr>
          <w:rFonts w:hint="eastAsia" w:ascii="黑体" w:hAnsi="黑体" w:eastAsia="黑体"/>
          <w:b/>
          <w:bCs/>
          <w:sz w:val="28"/>
          <w:szCs w:val="28"/>
          <w:lang w:val="en-US" w:eastAsia="zh-CN"/>
        </w:rPr>
        <w:t>四</w:t>
      </w:r>
      <w:r>
        <w:rPr>
          <w:rFonts w:hint="eastAsia" w:ascii="黑体" w:hAnsi="黑体" w:eastAsia="黑体"/>
          <w:b/>
          <w:bCs/>
          <w:sz w:val="28"/>
          <w:szCs w:val="28"/>
        </w:rPr>
        <w:t>、质量要求</w:t>
      </w:r>
    </w:p>
    <w:p w14:paraId="287D79FE">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szCs w:val="21"/>
        </w:rPr>
      </w:pPr>
      <w:r>
        <w:rPr>
          <w:rFonts w:hint="eastAsia" w:ascii="宋体" w:hAnsi="宋体"/>
          <w:spacing w:val="4"/>
          <w:lang w:val="en-US" w:eastAsia="zh-CN"/>
        </w:rPr>
        <w:t>4</w:t>
      </w:r>
      <w:r>
        <w:rPr>
          <w:rFonts w:hint="eastAsia" w:ascii="宋体" w:hAnsi="宋体"/>
          <w:spacing w:val="4"/>
        </w:rPr>
        <w:t>.1承揽方要通过质量管理活动不断提高全体员工的质量意识，制定完善的施工工艺、检验制度和考核制度，主动采取质量预防措施，及时发现质量问题并及时纠正。</w:t>
      </w:r>
    </w:p>
    <w:p w14:paraId="76F8A428">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.2承揽方要根据维修内容组建专业的维修团队，配备必要的维修工具和维修设备，确保维修工作的顺利进行。</w:t>
      </w:r>
    </w:p>
    <w:p w14:paraId="34BAA5EB">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rPr>
      </w:pPr>
      <w:r>
        <w:rPr>
          <w:rFonts w:hint="eastAsia" w:ascii="宋体" w:hAnsi="宋体"/>
          <w:spacing w:val="4"/>
          <w:lang w:val="en-US" w:eastAsia="zh-CN"/>
        </w:rPr>
        <w:t>4</w:t>
      </w:r>
      <w:r>
        <w:rPr>
          <w:rFonts w:hint="eastAsia" w:ascii="宋体" w:hAnsi="宋体"/>
          <w:spacing w:val="4"/>
        </w:rPr>
        <w:t>.3在维修过程中，遵守甲方的现场管理规定，做好安全防护措施，避免发生安全事故。如因承揽方原因造成安全事故，承揽方应承担全部责任。</w:t>
      </w:r>
    </w:p>
    <w:p w14:paraId="3A90B794">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rPr>
      </w:pPr>
      <w:r>
        <w:rPr>
          <w:rFonts w:hint="eastAsia" w:ascii="宋体" w:hAnsi="宋体"/>
          <w:spacing w:val="4"/>
          <w:lang w:val="en-US" w:eastAsia="zh-CN"/>
        </w:rPr>
        <w:t>4</w:t>
      </w:r>
      <w:r>
        <w:rPr>
          <w:rFonts w:hint="eastAsia" w:ascii="宋体" w:hAnsi="宋体"/>
          <w:spacing w:val="4"/>
        </w:rPr>
        <w:t>.4承揽方要在双方协商后的时间内完成维修，不得延长施工周期，不得因维修周期加长导致委托方产品订单交付困难。</w:t>
      </w:r>
    </w:p>
    <w:p w14:paraId="48772DB8">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ascii="宋体" w:hAnsi="宋体"/>
          <w:spacing w:val="4"/>
        </w:rPr>
      </w:pPr>
      <w:r>
        <w:rPr>
          <w:rFonts w:hint="eastAsia" w:ascii="宋体" w:hAnsi="宋体"/>
          <w:spacing w:val="4"/>
          <w:lang w:val="en-US" w:eastAsia="zh-CN"/>
        </w:rPr>
        <w:t>4</w:t>
      </w:r>
      <w:r>
        <w:rPr>
          <w:rFonts w:hint="eastAsia" w:ascii="宋体" w:hAnsi="宋体"/>
          <w:spacing w:val="4"/>
        </w:rPr>
        <w:t>.5工程质量必须符合国家(行业)相关规范和标准，</w:t>
      </w:r>
      <w:r>
        <w:rPr>
          <w:rFonts w:hint="eastAsia" w:ascii="宋体" w:hAnsi="宋体"/>
        </w:rPr>
        <w:t>维修完毕后，由</w:t>
      </w:r>
      <w:r>
        <w:rPr>
          <w:rFonts w:hint="eastAsia" w:ascii="宋体" w:hAnsi="宋体"/>
          <w:spacing w:val="4"/>
        </w:rPr>
        <w:t>承揽方</w:t>
      </w:r>
      <w:r>
        <w:rPr>
          <w:rFonts w:hint="eastAsia" w:ascii="宋体" w:hAnsi="宋体"/>
        </w:rPr>
        <w:t>负责调试试运行，维修完毕后要达到甲方的验收标准。</w:t>
      </w:r>
    </w:p>
    <w:p w14:paraId="72196E23">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6承揽方均应经过维修质量自检。维修维保检修前，必须编制安全施工技术措施，机械、工具在使用前必须经过检查，确认安全可靠、合格后，方可使用。检修时，在工作范围应设有警戒线并树以明显的警戒标志，并有专人负责，无关人员严禁进入检修现场。</w:t>
      </w:r>
    </w:p>
    <w:p w14:paraId="3AF15619">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.7安全设施和安全保护用品使用前，须检查符合要求后方可使用。</w:t>
      </w:r>
    </w:p>
    <w:p w14:paraId="3DC2C5BF">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8易燃、有毒等危险物品，设专职人员保管建立严格的保管、领用制度易燃物品，严禁碰撞和太阳直晒，应有防爆安全措施，单独存放并设安全标志，危险地方应有明显安全标志，危险地方应有明显安全标志，并配备消防器材。</w:t>
      </w:r>
    </w:p>
    <w:p w14:paraId="54662C6C">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.9施工过程必须具备相关作业要求及证件，并办理相关安全协议、高空作业协议等。</w:t>
      </w:r>
    </w:p>
    <w:p w14:paraId="2003393A">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.10设备的运输、吊运施工由承揽方负责，费用由承揽方承担。</w:t>
      </w:r>
    </w:p>
    <w:p w14:paraId="7E793F79">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.11双方签订安全环保消防责任书，明确双方责任与义务。并对现场相关情况进行安全交底.</w:t>
      </w:r>
    </w:p>
    <w:p w14:paraId="5FCB7CF7">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.12各种机械严格禁止非操作人员操作，作到专人专机操作，上、下班切断电源，施工用的电线及橡皮绝缘线要检查后才准使用。</w:t>
      </w:r>
    </w:p>
    <w:p w14:paraId="68739D8E">
      <w:pPr>
        <w:keepNext w:val="0"/>
        <w:keepLines w:val="0"/>
        <w:pageBreakBefore w:val="0"/>
        <w:widowControl w:val="0"/>
        <w:kinsoku/>
        <w:wordWrap/>
        <w:overflowPunct/>
        <w:topLinePunct w:val="0"/>
        <w:autoSpaceDE/>
        <w:autoSpaceDN/>
        <w:bidi w:val="0"/>
        <w:adjustRightInd/>
        <w:snapToGrid/>
        <w:spacing w:line="360" w:lineRule="auto"/>
        <w:ind w:left="-304" w:leftChars="-145" w:firstLine="436" w:firstLineChars="200"/>
        <w:jc w:val="left"/>
        <w:textAlignment w:val="auto"/>
        <w:rPr>
          <w:rFonts w:hint="eastAsia" w:ascii="宋体" w:hAnsi="宋体"/>
          <w:spacing w:val="4"/>
        </w:rPr>
      </w:pPr>
      <w:r>
        <w:rPr>
          <w:rFonts w:hint="eastAsia" w:ascii="宋体" w:hAnsi="宋体"/>
          <w:spacing w:val="4"/>
          <w:lang w:val="en-US" w:eastAsia="zh-CN"/>
        </w:rPr>
        <w:t>4</w:t>
      </w:r>
      <w:r>
        <w:rPr>
          <w:rFonts w:hint="eastAsia" w:ascii="宋体" w:hAnsi="宋体"/>
          <w:spacing w:val="4"/>
        </w:rPr>
        <w:t>.13对维修所用的材料、备件、半成品（构件）必须是国内知名厂家的产品。必须符合合同要求和国家有关标准，具有出厂合格证，注明厂名、产品型号、规格、出厂日期和检查编号等。</w:t>
      </w:r>
      <w:r>
        <w:rPr>
          <w:rFonts w:hint="eastAsia" w:ascii="宋体" w:hAnsi="宋体"/>
        </w:rPr>
        <w:t>材料管理应按以下规定执行：</w:t>
      </w:r>
    </w:p>
    <w:p w14:paraId="3BA4F32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rPr>
      </w:pPr>
      <w:r>
        <w:rPr>
          <w:rFonts w:hint="eastAsia" w:ascii="宋体" w:hAnsi="宋体"/>
          <w:lang w:eastAsia="zh-CN"/>
        </w:rPr>
        <w:t>（</w:t>
      </w:r>
      <w:r>
        <w:rPr>
          <w:rFonts w:hint="eastAsia" w:ascii="宋体" w:hAnsi="宋体"/>
          <w:lang w:val="en-US" w:eastAsia="zh-CN"/>
        </w:rPr>
        <w:t>1</w:t>
      </w:r>
      <w:r>
        <w:rPr>
          <w:rFonts w:hint="eastAsia" w:ascii="宋体" w:hAnsi="宋体"/>
          <w:lang w:eastAsia="zh-CN"/>
        </w:rPr>
        <w:t>）</w:t>
      </w:r>
      <w:r>
        <w:rPr>
          <w:rFonts w:hint="eastAsia" w:ascii="宋体" w:hAnsi="宋体"/>
        </w:rPr>
        <w:t>材料型号规格应符合标书要求，如有偏离只能优于标书标准。</w:t>
      </w:r>
    </w:p>
    <w:p w14:paraId="4B4592E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rPr>
      </w:pPr>
      <w:r>
        <w:rPr>
          <w:rFonts w:hint="eastAsia" w:ascii="宋体" w:hAnsi="宋体"/>
          <w:lang w:eastAsia="zh-CN"/>
        </w:rPr>
        <w:t>（</w:t>
      </w:r>
      <w:r>
        <w:rPr>
          <w:rFonts w:hint="eastAsia" w:ascii="宋体" w:hAnsi="宋体"/>
          <w:lang w:val="en-US" w:eastAsia="zh-CN"/>
        </w:rPr>
        <w:t>2</w:t>
      </w:r>
      <w:r>
        <w:rPr>
          <w:rFonts w:hint="eastAsia" w:ascii="宋体" w:hAnsi="宋体"/>
          <w:lang w:eastAsia="zh-CN"/>
        </w:rPr>
        <w:t>）</w:t>
      </w:r>
      <w:r>
        <w:rPr>
          <w:rFonts w:hint="eastAsia" w:ascii="宋体" w:hAnsi="宋体"/>
        </w:rPr>
        <w:t>材料质量应符合国家或部颁标准。每批材料应有合格证或质保书。</w:t>
      </w:r>
    </w:p>
    <w:p w14:paraId="53D59A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rPr>
      </w:pPr>
      <w:r>
        <w:rPr>
          <w:rFonts w:hint="eastAsia" w:ascii="宋体" w:hAnsi="宋体"/>
          <w:lang w:eastAsia="zh-CN"/>
        </w:rPr>
        <w:t>（</w:t>
      </w:r>
      <w:r>
        <w:rPr>
          <w:rFonts w:hint="eastAsia" w:ascii="宋体" w:hAnsi="宋体"/>
          <w:lang w:val="en-US" w:eastAsia="zh-CN"/>
        </w:rPr>
        <w:t>3</w:t>
      </w:r>
      <w:r>
        <w:rPr>
          <w:rFonts w:hint="eastAsia" w:ascii="宋体" w:hAnsi="宋体"/>
          <w:lang w:eastAsia="zh-CN"/>
        </w:rPr>
        <w:t>）</w:t>
      </w:r>
      <w:r>
        <w:rPr>
          <w:rFonts w:hint="eastAsia" w:ascii="宋体" w:hAnsi="宋体"/>
        </w:rPr>
        <w:t>承揽方必须将材料的</w:t>
      </w:r>
      <w:r>
        <w:rPr>
          <w:rFonts w:hint="eastAsia" w:ascii="宋体" w:hAnsi="宋体"/>
          <w:spacing w:val="4"/>
        </w:rPr>
        <w:t>出厂合格证（注明厂名、产品型号、规格、出厂日期和检查编号等）和质量保证书交由委托方认可。进口材料必须有商品检验单复印件，未经商检不得使用。</w:t>
      </w:r>
    </w:p>
    <w:p w14:paraId="421C845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spacing w:val="4"/>
        </w:rPr>
      </w:pPr>
      <w:r>
        <w:rPr>
          <w:rFonts w:hint="eastAsia" w:ascii="宋体" w:hAnsi="宋体"/>
          <w:lang w:eastAsia="zh-CN"/>
        </w:rPr>
        <w:t>（</w:t>
      </w:r>
      <w:r>
        <w:rPr>
          <w:rFonts w:hint="eastAsia" w:ascii="宋体" w:hAnsi="宋体"/>
          <w:lang w:val="en-US" w:eastAsia="zh-CN"/>
        </w:rPr>
        <w:t>4</w:t>
      </w:r>
      <w:r>
        <w:rPr>
          <w:rFonts w:hint="eastAsia" w:ascii="宋体" w:hAnsi="宋体"/>
          <w:lang w:eastAsia="zh-CN"/>
        </w:rPr>
        <w:t>）</w:t>
      </w:r>
      <w:r>
        <w:rPr>
          <w:rFonts w:hint="eastAsia" w:ascii="宋体" w:hAnsi="宋体"/>
        </w:rPr>
        <w:t>委托方可</w:t>
      </w:r>
      <w:r>
        <w:rPr>
          <w:rFonts w:hint="eastAsia" w:ascii="宋体" w:hAnsi="宋体"/>
          <w:spacing w:val="4"/>
        </w:rPr>
        <w:t>以对承揽方使用的材料进行查验，发现与技术文件要求不一致的，承揽方承担按照报价书上写明的单价的假一罚三的违约金，但是经委托方确认其性能无差异或更为优越者除外。</w:t>
      </w:r>
    </w:p>
    <w:p w14:paraId="4CB9B399">
      <w:pPr>
        <w:keepNext w:val="0"/>
        <w:keepLines w:val="0"/>
        <w:pageBreakBefore w:val="0"/>
        <w:widowControl w:val="0"/>
        <w:kinsoku/>
        <w:wordWrap/>
        <w:overflowPunct/>
        <w:topLinePunct w:val="0"/>
        <w:autoSpaceDE/>
        <w:autoSpaceDN/>
        <w:bidi w:val="0"/>
        <w:adjustRightInd/>
        <w:snapToGrid/>
        <w:spacing w:line="360" w:lineRule="auto"/>
        <w:ind w:left="115" w:leftChars="55" w:firstLine="0" w:firstLineChars="0"/>
        <w:jc w:val="left"/>
        <w:textAlignment w:val="auto"/>
        <w:rPr>
          <w:rFonts w:hint="eastAsia" w:ascii="宋体" w:hAnsi="宋体"/>
        </w:rPr>
      </w:pPr>
      <w:r>
        <w:rPr>
          <w:rFonts w:hint="eastAsia" w:ascii="宋体" w:hAnsi="宋体"/>
          <w:spacing w:val="4"/>
          <w:lang w:val="en-US" w:eastAsia="zh-CN"/>
        </w:rPr>
        <w:t>4</w:t>
      </w:r>
      <w:r>
        <w:rPr>
          <w:rFonts w:hint="eastAsia" w:ascii="宋体" w:hAnsi="宋体"/>
          <w:spacing w:val="4"/>
        </w:rPr>
        <w:t>.14承揽方使用代用材料或更换外购设备，必须经过委托同意，要以设计修改通知单为依据</w:t>
      </w:r>
      <w:r>
        <w:rPr>
          <w:rFonts w:hint="eastAsia" w:ascii="宋体" w:hAnsi="宋体"/>
          <w:spacing w:val="4"/>
          <w:lang w:eastAsia="zh-CN"/>
        </w:rPr>
        <w:t>。</w:t>
      </w:r>
      <w:r>
        <w:rPr>
          <w:rFonts w:hint="eastAsia" w:ascii="宋体" w:hAnsi="宋体"/>
          <w:lang w:val="en-US" w:eastAsia="zh-CN"/>
        </w:rPr>
        <w:t>4</w:t>
      </w:r>
      <w:r>
        <w:rPr>
          <w:rFonts w:hint="eastAsia" w:ascii="宋体" w:hAnsi="宋体"/>
        </w:rPr>
        <w:t>.15如果承揽方不能满足质量要求而被委托责令停工超过两次，委托有权要求承揽方停工。本合同终止，承揽方承担违约责任。</w:t>
      </w:r>
    </w:p>
    <w:p w14:paraId="2DC4EDD1">
      <w:pPr>
        <w:spacing w:line="360" w:lineRule="auto"/>
        <w:ind w:left="-304" w:leftChars="-145" w:firstLine="436" w:firstLineChars="200"/>
        <w:rPr>
          <w:rFonts w:hint="eastAsia" w:ascii="宋体" w:hAnsi="宋体"/>
          <w:spacing w:val="4"/>
        </w:rPr>
      </w:pPr>
      <w:r>
        <w:rPr>
          <w:rFonts w:hint="eastAsia" w:ascii="宋体" w:hAnsi="宋体"/>
          <w:spacing w:val="4"/>
        </w:rPr>
        <w:t>特别提示</w:t>
      </w:r>
    </w:p>
    <w:p w14:paraId="19B50887">
      <w:pPr>
        <w:spacing w:line="360" w:lineRule="auto"/>
        <w:ind w:left="-304" w:leftChars="-145" w:firstLine="436" w:firstLineChars="200"/>
        <w:rPr>
          <w:rFonts w:hint="eastAsia" w:ascii="宋体" w:hAnsi="宋体"/>
          <w:spacing w:val="4"/>
        </w:rPr>
      </w:pPr>
      <w:r>
        <w:rPr>
          <w:rFonts w:hint="eastAsia" w:ascii="宋体" w:hAnsi="宋体"/>
          <w:spacing w:val="4"/>
        </w:rPr>
        <w:t>1  本技术协议适用于</w:t>
      </w:r>
      <w:r>
        <w:rPr>
          <w:rFonts w:hint="eastAsia" w:ascii="宋体" w:hAnsi="宋体"/>
          <w:spacing w:val="4"/>
          <w:lang w:val="en-US" w:eastAsia="zh-CN"/>
        </w:rPr>
        <w:t>杭发公司电梯维保项目</w:t>
      </w:r>
      <w:r>
        <w:rPr>
          <w:rFonts w:hint="eastAsia" w:ascii="宋体" w:hAnsi="宋体"/>
          <w:spacing w:val="4"/>
        </w:rPr>
        <w:t>施工。</w:t>
      </w:r>
    </w:p>
    <w:p w14:paraId="097F4C43">
      <w:pPr>
        <w:spacing w:line="360" w:lineRule="auto"/>
        <w:ind w:left="-304" w:leftChars="-145" w:firstLine="436" w:firstLineChars="200"/>
        <w:rPr>
          <w:rFonts w:hint="eastAsia" w:ascii="宋体" w:hAnsi="宋体"/>
          <w:spacing w:val="4"/>
        </w:rPr>
      </w:pPr>
      <w:r>
        <w:rPr>
          <w:rFonts w:hint="eastAsia" w:ascii="宋体" w:hAnsi="宋体"/>
          <w:spacing w:val="4"/>
        </w:rPr>
        <w:t>2  本技术协议提出的是最低限度的技术要求，并未对一切技术细节作出规定，也未充分引述有关标准和规范条文，承揽方应保证提供符合本技术规范书和现行国家（行业）标准的合格产品。</w:t>
      </w:r>
    </w:p>
    <w:p w14:paraId="75482166">
      <w:pPr>
        <w:spacing w:line="360" w:lineRule="auto"/>
        <w:ind w:left="-304" w:leftChars="-145" w:firstLine="436" w:firstLineChars="200"/>
        <w:rPr>
          <w:rFonts w:hint="eastAsia" w:ascii="宋体" w:hAnsi="宋体"/>
          <w:spacing w:val="4"/>
        </w:rPr>
      </w:pPr>
      <w:r>
        <w:rPr>
          <w:rFonts w:hint="eastAsia" w:ascii="宋体" w:hAnsi="宋体"/>
          <w:spacing w:val="4"/>
        </w:rPr>
        <w:t>3  本技术协议所使用的标准如遇与承揽方所执行的标准发生矛盾时，应按较高标准执行。</w:t>
      </w:r>
    </w:p>
    <w:p w14:paraId="5F0B4681">
      <w:pPr>
        <w:spacing w:line="360" w:lineRule="auto"/>
        <w:ind w:left="-304" w:leftChars="-145" w:firstLine="436" w:firstLineChars="200"/>
        <w:rPr>
          <w:rFonts w:hint="eastAsia" w:ascii="宋体" w:hAnsi="宋体"/>
          <w:spacing w:val="4"/>
        </w:rPr>
      </w:pPr>
      <w:r>
        <w:rPr>
          <w:rFonts w:hint="eastAsia" w:ascii="宋体" w:hAnsi="宋体"/>
          <w:spacing w:val="4"/>
        </w:rPr>
        <w:t>4  本技术协议作为施工承揽合同的技术附件，经委托、施工双方确认后，与合同正文具有同等的法律效力。</w:t>
      </w:r>
    </w:p>
    <w:p w14:paraId="3E4AFF83">
      <w:pPr>
        <w:pStyle w:val="16"/>
        <w:spacing w:line="360" w:lineRule="auto"/>
        <w:rPr>
          <w:rFonts w:hint="eastAsia" w:ascii="黑体" w:hAnsi="黑体" w:eastAsia="黑体"/>
          <w:b/>
          <w:bCs/>
          <w:sz w:val="28"/>
          <w:szCs w:val="28"/>
        </w:rPr>
      </w:pPr>
      <w:r>
        <w:rPr>
          <w:rFonts w:hint="eastAsia" w:ascii="黑体" w:hAnsi="黑体" w:eastAsia="黑体"/>
          <w:b/>
          <w:bCs/>
          <w:sz w:val="28"/>
          <w:szCs w:val="28"/>
          <w:lang w:val="en-US" w:eastAsia="zh-CN"/>
        </w:rPr>
        <w:t>五</w:t>
      </w:r>
      <w:r>
        <w:rPr>
          <w:rFonts w:hint="eastAsia" w:ascii="黑体" w:hAnsi="黑体" w:eastAsia="黑体"/>
          <w:b/>
          <w:bCs/>
          <w:sz w:val="28"/>
          <w:szCs w:val="28"/>
        </w:rPr>
        <w:t>、验收</w:t>
      </w:r>
    </w:p>
    <w:p w14:paraId="499C6F30">
      <w:pPr>
        <w:spacing w:line="360" w:lineRule="auto"/>
        <w:ind w:left="-304" w:leftChars="-145" w:firstLine="436" w:firstLineChars="200"/>
        <w:rPr>
          <w:rFonts w:hint="eastAsia" w:ascii="宋体" w:hAnsi="宋体"/>
          <w:spacing w:val="4"/>
          <w:szCs w:val="21"/>
        </w:rPr>
      </w:pPr>
      <w:r>
        <w:rPr>
          <w:rFonts w:hint="eastAsia" w:ascii="宋体" w:hAnsi="宋体"/>
          <w:spacing w:val="4"/>
        </w:rPr>
        <w:t>承揽方按照招标文件、投标文件、技术交流文件等形成并达成一致的技术协议书和合同规定验收。</w:t>
      </w:r>
    </w:p>
    <w:p w14:paraId="2B52CAA7">
      <w:pPr>
        <w:spacing w:line="360" w:lineRule="auto"/>
        <w:ind w:left="-304" w:leftChars="-145" w:firstLine="436" w:firstLineChars="200"/>
        <w:rPr>
          <w:rFonts w:hint="eastAsia" w:ascii="宋体" w:hAnsi="宋体"/>
          <w:spacing w:val="4"/>
        </w:rPr>
      </w:pPr>
      <w:r>
        <w:rPr>
          <w:rFonts w:hint="eastAsia" w:ascii="宋体" w:hAnsi="宋体"/>
          <w:spacing w:val="4"/>
        </w:rPr>
        <w:t>4.1验收</w:t>
      </w:r>
    </w:p>
    <w:p w14:paraId="4A13689E">
      <w:pPr>
        <w:spacing w:line="360" w:lineRule="auto"/>
        <w:ind w:left="-304" w:leftChars="-145" w:firstLine="436" w:firstLineChars="200"/>
        <w:rPr>
          <w:rFonts w:hint="eastAsia" w:ascii="宋体" w:hAnsi="宋体"/>
          <w:spacing w:val="4"/>
        </w:rPr>
      </w:pPr>
      <w:r>
        <w:rPr>
          <w:rFonts w:hint="eastAsia" w:ascii="宋体" w:hAnsi="宋体"/>
          <w:spacing w:val="4"/>
        </w:rPr>
        <w:t>委托方负责协调各方对维修进行验收。验收由相关各方按照合同要求或在安装现场进行，按委托方技术要求和国家有关标准共同验收，并填写验收记录，双方签字认可。对验收时不符合验收标准的部分，承揽方负责整改，费用承揽方自理。</w:t>
      </w:r>
    </w:p>
    <w:p w14:paraId="0BA02495">
      <w:pPr>
        <w:spacing w:line="360" w:lineRule="auto"/>
        <w:ind w:left="-304" w:leftChars="-145" w:firstLine="436" w:firstLineChars="200"/>
        <w:rPr>
          <w:rFonts w:hint="eastAsia" w:ascii="宋体" w:hAnsi="宋体"/>
          <w:spacing w:val="4"/>
        </w:rPr>
      </w:pPr>
      <w:r>
        <w:rPr>
          <w:rFonts w:hint="eastAsia" w:ascii="宋体" w:hAnsi="宋体"/>
          <w:spacing w:val="4"/>
        </w:rPr>
        <w:t>4.2验收标准</w:t>
      </w:r>
    </w:p>
    <w:p w14:paraId="48EBFF17">
      <w:pPr>
        <w:spacing w:line="360" w:lineRule="auto"/>
        <w:ind w:left="-304" w:leftChars="-145" w:firstLine="436" w:firstLineChars="200"/>
        <w:rPr>
          <w:rFonts w:hint="eastAsia" w:ascii="宋体" w:hAnsi="宋体"/>
          <w:spacing w:val="4"/>
        </w:rPr>
      </w:pPr>
      <w:r>
        <w:rPr>
          <w:rFonts w:hint="eastAsia" w:ascii="宋体" w:hAnsi="宋体"/>
          <w:spacing w:val="4"/>
        </w:rPr>
        <w:t>根据维修内容及相关国标规定验收；维修完毕提供符合要求的验收报告。</w:t>
      </w:r>
    </w:p>
    <w:p w14:paraId="0D32A092">
      <w:pPr>
        <w:spacing w:line="360" w:lineRule="auto"/>
        <w:ind w:left="-304" w:leftChars="-145" w:firstLine="436" w:firstLineChars="200"/>
        <w:rPr>
          <w:rFonts w:hint="eastAsia" w:ascii="宋体" w:hAnsi="宋体"/>
          <w:spacing w:val="4"/>
        </w:rPr>
      </w:pPr>
      <w:r>
        <w:rPr>
          <w:rFonts w:hint="eastAsia" w:ascii="宋体" w:hAnsi="宋体"/>
          <w:spacing w:val="4"/>
        </w:rPr>
        <w:t>项目实施完毕情况下，一般连续运行</w:t>
      </w:r>
      <w:r>
        <w:rPr>
          <w:rFonts w:hint="eastAsia" w:ascii="宋体" w:hAnsi="宋体"/>
          <w:spacing w:val="4"/>
          <w:lang w:val="en-US" w:eastAsia="zh-CN"/>
        </w:rPr>
        <w:t>30</w:t>
      </w:r>
      <w:r>
        <w:rPr>
          <w:rFonts w:hint="eastAsia" w:ascii="宋体" w:hAnsi="宋体"/>
          <w:spacing w:val="4"/>
        </w:rPr>
        <w:t>个工作日，每日至少连续 12小时，除用户方面因素外，必须达到以下要求：</w:t>
      </w:r>
    </w:p>
    <w:p w14:paraId="1204112E">
      <w:pPr>
        <w:spacing w:line="360" w:lineRule="auto"/>
        <w:ind w:left="-304" w:leftChars="-145" w:firstLine="436" w:firstLineChars="200"/>
        <w:rPr>
          <w:rFonts w:hint="eastAsia" w:ascii="宋体" w:hAnsi="宋体"/>
          <w:spacing w:val="4"/>
        </w:rPr>
      </w:pPr>
      <w:r>
        <w:rPr>
          <w:rFonts w:hint="eastAsia" w:ascii="宋体" w:hAnsi="宋体"/>
          <w:spacing w:val="4"/>
        </w:rPr>
        <w:t>（1）验收过程：</w:t>
      </w:r>
    </w:p>
    <w:p w14:paraId="6140B2EE">
      <w:pPr>
        <w:spacing w:line="360" w:lineRule="auto"/>
        <w:ind w:left="-304" w:leftChars="-145" w:firstLine="436" w:firstLineChars="200"/>
        <w:rPr>
          <w:rFonts w:hint="eastAsia" w:ascii="宋体" w:hAnsi="宋体"/>
          <w:spacing w:val="4"/>
        </w:rPr>
      </w:pPr>
      <w:r>
        <w:rPr>
          <w:rFonts w:hint="eastAsia" w:ascii="宋体" w:hAnsi="宋体"/>
          <w:spacing w:val="4"/>
        </w:rPr>
        <w:t>a)在整个验收过程中没有维修、更换零部件或元件行为；</w:t>
      </w:r>
    </w:p>
    <w:p w14:paraId="486EF37A">
      <w:pPr>
        <w:spacing w:line="360" w:lineRule="auto"/>
        <w:ind w:left="-304" w:leftChars="-145" w:firstLine="436" w:firstLineChars="200"/>
        <w:rPr>
          <w:rFonts w:hint="eastAsia" w:ascii="宋体" w:hAnsi="宋体"/>
          <w:spacing w:val="4"/>
        </w:rPr>
      </w:pPr>
      <w:r>
        <w:rPr>
          <w:rFonts w:hint="eastAsia" w:ascii="宋体" w:hAnsi="宋体"/>
          <w:spacing w:val="4"/>
        </w:rPr>
        <w:t>b)验收原则上要求一次完成。若一次验收不成功，最多允许两次；</w:t>
      </w:r>
    </w:p>
    <w:p w14:paraId="51F2C208">
      <w:pPr>
        <w:spacing w:line="360" w:lineRule="auto"/>
        <w:ind w:left="-304" w:leftChars="-145" w:firstLine="436" w:firstLineChars="200"/>
        <w:rPr>
          <w:rFonts w:hint="eastAsia" w:ascii="宋体" w:hAnsi="宋体"/>
          <w:spacing w:val="4"/>
        </w:rPr>
      </w:pPr>
      <w:r>
        <w:rPr>
          <w:rFonts w:hint="eastAsia" w:ascii="宋体" w:hAnsi="宋体"/>
          <w:spacing w:val="4"/>
        </w:rPr>
        <w:t>c）验收通过后买卖双方共同签署终验收报告。</w:t>
      </w:r>
    </w:p>
    <w:p w14:paraId="49A90996">
      <w:pPr>
        <w:spacing w:line="360" w:lineRule="auto"/>
        <w:ind w:left="-304" w:leftChars="-145" w:firstLine="436" w:firstLineChars="200"/>
        <w:rPr>
          <w:rFonts w:hint="eastAsia" w:ascii="宋体" w:hAnsi="宋体"/>
          <w:spacing w:val="4"/>
        </w:rPr>
      </w:pPr>
      <w:r>
        <w:rPr>
          <w:rFonts w:hint="eastAsia" w:ascii="宋体" w:hAnsi="宋体"/>
          <w:spacing w:val="4"/>
        </w:rPr>
        <w:t>（2）一般标准与要求：</w:t>
      </w:r>
    </w:p>
    <w:p w14:paraId="37092EDB">
      <w:pPr>
        <w:spacing w:line="360" w:lineRule="auto"/>
        <w:ind w:left="-304" w:leftChars="-145" w:firstLine="436" w:firstLineChars="200"/>
        <w:rPr>
          <w:rFonts w:hint="eastAsia" w:ascii="宋体" w:hAnsi="宋体"/>
          <w:spacing w:val="4"/>
        </w:rPr>
      </w:pPr>
      <w:r>
        <w:rPr>
          <w:rFonts w:hint="eastAsia" w:ascii="宋体" w:hAnsi="宋体"/>
          <w:spacing w:val="4"/>
          <w:lang w:val="en-US" w:eastAsia="zh-CN"/>
        </w:rPr>
        <w:t>a)</w:t>
      </w:r>
      <w:r>
        <w:rPr>
          <w:rFonts w:hint="eastAsia" w:ascii="宋体" w:hAnsi="宋体"/>
          <w:spacing w:val="4"/>
        </w:rPr>
        <w:t>资料齐全性、完整性和有效性。按照“配套供货范围及要求”中“技术资料范围”的规定验收；</w:t>
      </w:r>
    </w:p>
    <w:p w14:paraId="033F46BA">
      <w:pPr>
        <w:spacing w:line="360" w:lineRule="auto"/>
        <w:ind w:left="-304" w:leftChars="-145" w:firstLine="436" w:firstLineChars="200"/>
        <w:rPr>
          <w:rFonts w:hint="eastAsia" w:ascii="宋体" w:hAnsi="宋体"/>
          <w:spacing w:val="4"/>
        </w:rPr>
      </w:pPr>
      <w:r>
        <w:rPr>
          <w:rFonts w:hint="eastAsia" w:ascii="宋体" w:hAnsi="宋体"/>
          <w:spacing w:val="4"/>
        </w:rPr>
        <w:t>b</w:t>
      </w:r>
      <w:r>
        <w:rPr>
          <w:rFonts w:hint="eastAsia" w:ascii="宋体" w:hAnsi="宋体"/>
          <w:spacing w:val="4"/>
          <w:lang w:val="en-US" w:eastAsia="zh-CN"/>
        </w:rPr>
        <w:t>)</w:t>
      </w:r>
      <w:r>
        <w:rPr>
          <w:rFonts w:hint="eastAsia" w:ascii="宋体" w:hAnsi="宋体"/>
          <w:spacing w:val="4"/>
        </w:rPr>
        <w:t>产品（或材料）应运行灵活、稳定、可靠、安全，无异常声音和非正常振动。设备不允许出现漏水、漏液、漏气（汽）、漏电。</w:t>
      </w:r>
    </w:p>
    <w:p w14:paraId="202DE0DA">
      <w:pPr>
        <w:spacing w:line="360" w:lineRule="auto"/>
        <w:ind w:left="-304" w:leftChars="-145" w:firstLine="436" w:firstLineChars="200"/>
        <w:rPr>
          <w:rFonts w:hint="eastAsia" w:ascii="宋体" w:hAnsi="宋体"/>
          <w:spacing w:val="4"/>
        </w:rPr>
      </w:pPr>
      <w:r>
        <w:rPr>
          <w:rFonts w:hint="eastAsia" w:ascii="宋体" w:hAnsi="宋体"/>
          <w:spacing w:val="4"/>
        </w:rPr>
        <w:t>c</w:t>
      </w:r>
      <w:r>
        <w:rPr>
          <w:rFonts w:hint="eastAsia" w:ascii="宋体" w:hAnsi="宋体"/>
          <w:spacing w:val="4"/>
          <w:lang w:val="en-US" w:eastAsia="zh-CN"/>
        </w:rPr>
        <w:t>)</w:t>
      </w:r>
      <w:r>
        <w:rPr>
          <w:rFonts w:hint="eastAsia" w:ascii="宋体" w:hAnsi="宋体"/>
          <w:spacing w:val="4"/>
        </w:rPr>
        <w:t>产品（或材料）外观应无损伤，应该涂满同种明亮清晰的油漆（特殊标志除外）。设备应该完整且所有的零部件应该安装牢固，所有的焊缝饱满、无残渣等缺陷；</w:t>
      </w:r>
    </w:p>
    <w:p w14:paraId="3D2BC3F5">
      <w:pPr>
        <w:spacing w:line="360" w:lineRule="auto"/>
        <w:ind w:left="-304" w:leftChars="-145" w:firstLine="436" w:firstLineChars="200"/>
        <w:rPr>
          <w:rFonts w:hint="eastAsia" w:ascii="宋体" w:hAnsi="宋体"/>
          <w:spacing w:val="4"/>
        </w:rPr>
      </w:pPr>
      <w:r>
        <w:rPr>
          <w:rFonts w:hint="eastAsia" w:ascii="宋体" w:hAnsi="宋体"/>
          <w:spacing w:val="4"/>
        </w:rPr>
        <w:t>d</w:t>
      </w:r>
      <w:r>
        <w:rPr>
          <w:rFonts w:hint="eastAsia" w:ascii="宋体" w:hAnsi="宋体"/>
          <w:spacing w:val="4"/>
          <w:lang w:val="en-US" w:eastAsia="zh-CN"/>
        </w:rPr>
        <w:t>)</w:t>
      </w:r>
      <w:r>
        <w:rPr>
          <w:rFonts w:hint="eastAsia" w:ascii="宋体" w:hAnsi="宋体"/>
          <w:spacing w:val="4"/>
        </w:rPr>
        <w:t>产品（或材料）应有完整的标牌，且清晰易见；</w:t>
      </w:r>
    </w:p>
    <w:p w14:paraId="3844FED1">
      <w:pPr>
        <w:spacing w:line="360" w:lineRule="auto"/>
        <w:ind w:left="-304" w:leftChars="-145" w:firstLine="436" w:firstLineChars="200"/>
        <w:rPr>
          <w:rFonts w:hint="eastAsia" w:ascii="宋体" w:hAnsi="宋体"/>
          <w:spacing w:val="4"/>
        </w:rPr>
      </w:pPr>
      <w:r>
        <w:rPr>
          <w:rFonts w:hint="eastAsia" w:ascii="宋体" w:hAnsi="宋体"/>
          <w:spacing w:val="4"/>
        </w:rPr>
        <w:t>e</w:t>
      </w:r>
      <w:r>
        <w:rPr>
          <w:rFonts w:hint="eastAsia" w:ascii="宋体" w:hAnsi="宋体"/>
          <w:spacing w:val="4"/>
          <w:lang w:val="en-US" w:eastAsia="zh-CN"/>
        </w:rPr>
        <w:t>)</w:t>
      </w:r>
      <w:r>
        <w:rPr>
          <w:rFonts w:hint="eastAsia" w:ascii="宋体" w:hAnsi="宋体"/>
          <w:spacing w:val="4"/>
        </w:rPr>
        <w:t>产品（或材料）的安全要求符合中国最新的相关法律、法规、标准和规范以及合同要求；</w:t>
      </w:r>
    </w:p>
    <w:p w14:paraId="3721390B">
      <w:pPr>
        <w:spacing w:line="360" w:lineRule="auto"/>
        <w:ind w:left="-304" w:leftChars="-145" w:firstLine="436" w:firstLineChars="200"/>
        <w:rPr>
          <w:rFonts w:hint="eastAsia" w:ascii="宋体" w:hAnsi="宋体"/>
          <w:spacing w:val="4"/>
        </w:rPr>
      </w:pPr>
      <w:r>
        <w:rPr>
          <w:rFonts w:hint="eastAsia" w:ascii="宋体" w:hAnsi="宋体"/>
          <w:spacing w:val="4"/>
        </w:rPr>
        <w:t>（3）依据招标文件、投标文件、答疑文件、技术交流文件等形成并达成一致的技术协议书和合同规定的验收条件、原设备的技术参数，说明书及国家或行业对设备表面涂漆最新专业技术标准和安全法规要求验收。若属于国家相关机关单位强制要求检验校准的设备大修、项修，以通过相关检查校准，作为项目验收合格的依据。</w:t>
      </w:r>
    </w:p>
    <w:p w14:paraId="6067026F">
      <w:pPr>
        <w:pStyle w:val="16"/>
        <w:spacing w:line="360" w:lineRule="auto"/>
        <w:rPr>
          <w:rFonts w:hint="eastAsia" w:ascii="黑体" w:eastAsia="黑体"/>
          <w:b/>
          <w:bCs/>
          <w:sz w:val="28"/>
          <w:szCs w:val="28"/>
        </w:rPr>
      </w:pPr>
      <w:r>
        <w:rPr>
          <w:rFonts w:hint="eastAsia" w:ascii="黑体" w:hAnsi="黑体" w:eastAsia="黑体"/>
          <w:b/>
          <w:bCs/>
          <w:sz w:val="28"/>
          <w:szCs w:val="28"/>
        </w:rPr>
        <w:t>五、标志、包装、运输、储存</w:t>
      </w:r>
    </w:p>
    <w:p w14:paraId="688A73FB">
      <w:pPr>
        <w:spacing w:line="360" w:lineRule="auto"/>
        <w:ind w:left="-304" w:leftChars="-145" w:firstLine="436" w:firstLineChars="200"/>
        <w:rPr>
          <w:rFonts w:hint="eastAsia" w:ascii="宋体" w:hAnsi="宋体"/>
          <w:spacing w:val="4"/>
          <w:szCs w:val="21"/>
        </w:rPr>
      </w:pPr>
      <w:r>
        <w:rPr>
          <w:rFonts w:hint="eastAsia" w:ascii="宋体" w:hAnsi="宋体"/>
          <w:spacing w:val="4"/>
        </w:rPr>
        <w:t>5.1所提供设备的包装，应遵照国家标准和有关包装、包皮的技术条件，或按照最好的商业惯例进行包装。</w:t>
      </w:r>
    </w:p>
    <w:p w14:paraId="7F61B770">
      <w:pPr>
        <w:spacing w:line="360" w:lineRule="auto"/>
        <w:ind w:left="-304" w:leftChars="-145" w:firstLine="436" w:firstLineChars="200"/>
        <w:rPr>
          <w:rFonts w:hint="eastAsia" w:ascii="宋体" w:hAnsi="宋体"/>
          <w:spacing w:val="4"/>
        </w:rPr>
      </w:pPr>
      <w:r>
        <w:rPr>
          <w:rFonts w:hint="eastAsia" w:ascii="宋体" w:hAnsi="宋体"/>
          <w:spacing w:val="4"/>
        </w:rPr>
        <w:t>5.2包装应能满足所需要采取的运输方式（船运、汽运或铁路运输）、多次吊装卸装、卸货以及长期露天堆放要求，应能防止雨淋、受潮、生锈、腐蚀、受振、受磁以及机械和化学因素等引起的损坏。</w:t>
      </w:r>
    </w:p>
    <w:p w14:paraId="484B8A2C">
      <w:pPr>
        <w:spacing w:line="360" w:lineRule="auto"/>
        <w:ind w:left="-304" w:leftChars="-145" w:firstLine="436" w:firstLineChars="200"/>
        <w:rPr>
          <w:rFonts w:hint="eastAsia" w:ascii="宋体" w:hAnsi="宋体"/>
          <w:spacing w:val="4"/>
        </w:rPr>
      </w:pPr>
      <w:r>
        <w:rPr>
          <w:rFonts w:hint="eastAsia" w:ascii="宋体" w:hAnsi="宋体"/>
          <w:spacing w:val="4"/>
        </w:rPr>
        <w:t>5.3所提供设备的包装，应能防止其一般性被窃或受外力破坏；一般不得采用有大缝隙的板条包装。</w:t>
      </w:r>
    </w:p>
    <w:p w14:paraId="3CDD87F0">
      <w:pPr>
        <w:spacing w:line="360" w:lineRule="auto"/>
        <w:ind w:left="-304" w:leftChars="-145" w:firstLine="436" w:firstLineChars="200"/>
        <w:rPr>
          <w:rFonts w:hint="eastAsia" w:ascii="宋体" w:hAnsi="宋体"/>
          <w:spacing w:val="4"/>
        </w:rPr>
      </w:pPr>
      <w:r>
        <w:rPr>
          <w:rFonts w:hint="eastAsia" w:ascii="宋体" w:hAnsi="宋体"/>
          <w:spacing w:val="4"/>
        </w:rPr>
        <w:t>5.4应对包装件做必要的加固和固定，以防止运输可能造成的损坏。</w:t>
      </w:r>
    </w:p>
    <w:p w14:paraId="54E12E05">
      <w:pPr>
        <w:spacing w:line="360" w:lineRule="auto"/>
        <w:ind w:left="-304" w:leftChars="-145" w:firstLine="436" w:firstLineChars="200"/>
        <w:rPr>
          <w:rFonts w:hint="eastAsia" w:ascii="宋体" w:hAnsi="宋体"/>
          <w:spacing w:val="4"/>
        </w:rPr>
      </w:pPr>
      <w:r>
        <w:rPr>
          <w:rFonts w:hint="eastAsia" w:ascii="宋体" w:hAnsi="宋体"/>
          <w:spacing w:val="4"/>
        </w:rPr>
        <w:t>5.5应负责将设备运到目的地，并必须做到设备在任何运输过程中不受损坏和遗失。</w:t>
      </w:r>
    </w:p>
    <w:p w14:paraId="7E211BA8">
      <w:pPr>
        <w:spacing w:line="360" w:lineRule="auto"/>
        <w:ind w:left="-304" w:leftChars="-145" w:firstLine="436" w:firstLineChars="200"/>
        <w:rPr>
          <w:rFonts w:hint="eastAsia" w:ascii="宋体" w:hAnsi="宋体"/>
          <w:spacing w:val="4"/>
        </w:rPr>
      </w:pPr>
      <w:r>
        <w:rPr>
          <w:rFonts w:hint="eastAsia" w:ascii="宋体" w:hAnsi="宋体"/>
          <w:spacing w:val="4"/>
        </w:rPr>
        <w:t>5.6一般情况下，经由铁路、公路运输的包装件尺寸和重量不应超过国家所规定的尺寸限制。特殊情况应予以说明。</w:t>
      </w:r>
    </w:p>
    <w:p w14:paraId="0435D4D9">
      <w:pPr>
        <w:spacing w:line="360" w:lineRule="auto"/>
        <w:ind w:left="-304" w:leftChars="-145" w:firstLine="436" w:firstLineChars="200"/>
        <w:rPr>
          <w:rFonts w:hint="eastAsia" w:ascii="宋体" w:hAnsi="宋体"/>
          <w:spacing w:val="4"/>
        </w:rPr>
      </w:pPr>
      <w:r>
        <w:rPr>
          <w:rFonts w:hint="eastAsia" w:ascii="宋体" w:hAnsi="宋体"/>
          <w:spacing w:val="4"/>
        </w:rPr>
        <w:t>5.7设备运抵交货地点后，应负责货物（或设备）的卸货、搬运、保管等事宜；或按照合同约定。</w:t>
      </w:r>
    </w:p>
    <w:p w14:paraId="1BBDCFB1">
      <w:pPr>
        <w:pStyle w:val="16"/>
        <w:spacing w:line="360" w:lineRule="auto"/>
        <w:rPr>
          <w:rFonts w:hint="eastAsia" w:ascii="黑体" w:eastAsia="黑体"/>
          <w:b/>
          <w:bCs/>
          <w:sz w:val="28"/>
          <w:szCs w:val="28"/>
        </w:rPr>
      </w:pPr>
      <w:r>
        <w:rPr>
          <w:rFonts w:hint="eastAsia" w:ascii="黑体" w:hAnsi="黑体" w:eastAsia="黑体"/>
          <w:b/>
          <w:bCs/>
          <w:sz w:val="28"/>
          <w:szCs w:val="28"/>
        </w:rPr>
        <w:t>六、交付</w:t>
      </w:r>
    </w:p>
    <w:p w14:paraId="7A5EB922">
      <w:pPr>
        <w:pStyle w:val="16"/>
        <w:spacing w:line="360" w:lineRule="auto"/>
        <w:rPr>
          <w:rFonts w:hAnsi="宋体"/>
        </w:rPr>
      </w:pPr>
      <w:r>
        <w:rPr>
          <w:rFonts w:hint="eastAsia" w:hAnsi="宋体"/>
        </w:rPr>
        <w:t>项目工期：合同签订后由委托方根据生产安排通知按委托方要求时间进行</w:t>
      </w:r>
      <w:r>
        <w:rPr>
          <w:rFonts w:hint="eastAsia" w:hAnsi="宋体"/>
          <w:lang w:val="en-US" w:eastAsia="zh-CN"/>
        </w:rPr>
        <w:t>施工</w:t>
      </w:r>
      <w:r>
        <w:rPr>
          <w:rFonts w:hint="eastAsia" w:hAnsi="宋体"/>
        </w:rPr>
        <w:t>。</w:t>
      </w:r>
    </w:p>
    <w:p w14:paraId="1CBB9117">
      <w:pPr>
        <w:pStyle w:val="16"/>
        <w:spacing w:line="360" w:lineRule="auto"/>
        <w:rPr>
          <w:rFonts w:hint="eastAsia" w:ascii="黑体" w:eastAsia="黑体"/>
          <w:b/>
          <w:bCs/>
          <w:sz w:val="28"/>
          <w:szCs w:val="28"/>
        </w:rPr>
      </w:pPr>
      <w:r>
        <w:rPr>
          <w:rFonts w:hint="eastAsia" w:ascii="黑体" w:hAnsi="黑体" w:eastAsia="黑体"/>
          <w:b/>
          <w:bCs/>
          <w:sz w:val="28"/>
          <w:szCs w:val="28"/>
        </w:rPr>
        <w:t>七、服务</w:t>
      </w:r>
    </w:p>
    <w:p w14:paraId="21AAD45C">
      <w:pPr>
        <w:spacing w:line="360" w:lineRule="auto"/>
        <w:ind w:left="-304" w:leftChars="-145" w:firstLine="436" w:firstLineChars="200"/>
        <w:rPr>
          <w:rFonts w:hint="eastAsia" w:ascii="宋体" w:hAnsi="宋体"/>
          <w:spacing w:val="4"/>
          <w:szCs w:val="21"/>
        </w:rPr>
      </w:pPr>
      <w:r>
        <w:rPr>
          <w:rFonts w:hint="eastAsia" w:ascii="宋体" w:hAnsi="宋体"/>
          <w:spacing w:val="4"/>
        </w:rPr>
        <w:t>7.1由于承揽方责任，造成委托方设备的损坏、丢失的，应当赔偿委托方因此造成的损失。赔偿金额视设备的损坏程度及价值而定。</w:t>
      </w:r>
    </w:p>
    <w:p w14:paraId="188A8173">
      <w:pPr>
        <w:spacing w:line="360" w:lineRule="auto"/>
        <w:ind w:left="-304" w:leftChars="-145" w:firstLine="436" w:firstLineChars="200"/>
        <w:rPr>
          <w:rFonts w:hint="eastAsia" w:ascii="宋体" w:hAnsi="宋体"/>
          <w:spacing w:val="4"/>
        </w:rPr>
      </w:pPr>
      <w:r>
        <w:rPr>
          <w:rFonts w:hint="eastAsia" w:ascii="宋体" w:hAnsi="宋体"/>
          <w:spacing w:val="4"/>
        </w:rPr>
        <w:t>7.2承揽方完成的工作少于合同规定时，委托方仍然需要的，应当照数补齐，补齐部分按逾期交付处理；少交迟交部分委托方不再需要的，承揽方应承担因此造成的损失。</w:t>
      </w:r>
    </w:p>
    <w:p w14:paraId="169D9230">
      <w:pPr>
        <w:spacing w:line="360" w:lineRule="auto"/>
        <w:ind w:left="-304" w:leftChars="-145" w:firstLine="436" w:firstLineChars="200"/>
        <w:rPr>
          <w:rFonts w:hint="eastAsia" w:ascii="宋体" w:hAnsi="宋体"/>
          <w:spacing w:val="4"/>
        </w:rPr>
      </w:pPr>
      <w:r>
        <w:rPr>
          <w:rFonts w:hint="eastAsia" w:ascii="宋体" w:hAnsi="宋体"/>
          <w:spacing w:val="4"/>
        </w:rPr>
        <w:t>7.3承揽方保证全部按照合同条款规定和交货期向委托方主提供上述合格的设备和服务，并对材料及安装服务提供</w:t>
      </w:r>
      <w:r>
        <w:rPr>
          <w:rFonts w:ascii="宋体" w:hAnsi="宋体"/>
          <w:spacing w:val="4"/>
        </w:rPr>
        <w:t>12</w:t>
      </w:r>
      <w:r>
        <w:rPr>
          <w:rFonts w:hint="eastAsia" w:ascii="宋体" w:hAnsi="宋体"/>
          <w:spacing w:val="4"/>
        </w:rPr>
        <w:t>个月的质保，质保期自验收合格之日起开始计算，质保期内发生质量问题由承揽方负责免费整改</w:t>
      </w:r>
    </w:p>
    <w:p w14:paraId="4C1D019A">
      <w:pPr>
        <w:spacing w:line="360" w:lineRule="auto"/>
        <w:ind w:left="-304" w:leftChars="-145" w:firstLine="436" w:firstLineChars="200"/>
        <w:rPr>
          <w:rFonts w:hint="eastAsia" w:ascii="宋体" w:hAnsi="宋体"/>
          <w:spacing w:val="4"/>
        </w:rPr>
      </w:pPr>
      <w:r>
        <w:rPr>
          <w:rFonts w:hint="eastAsia" w:ascii="宋体" w:hAnsi="宋体"/>
          <w:spacing w:val="4"/>
        </w:rPr>
        <w:t>7.4承揽方人员在委托方现场进行施工时，须遵守委托方的规章制度，服从委托方指定人员的安排。</w:t>
      </w:r>
    </w:p>
    <w:p w14:paraId="320DED18">
      <w:pPr>
        <w:spacing w:line="360" w:lineRule="auto"/>
        <w:ind w:left="-304" w:leftChars="-145" w:firstLine="436" w:firstLineChars="200"/>
        <w:rPr>
          <w:rFonts w:hint="eastAsia" w:ascii="宋体" w:hAnsi="宋体"/>
          <w:spacing w:val="4"/>
        </w:rPr>
      </w:pPr>
      <w:r>
        <w:rPr>
          <w:rFonts w:hint="eastAsia" w:ascii="宋体" w:hAnsi="宋体"/>
          <w:spacing w:val="4"/>
        </w:rPr>
        <w:t>7.5在施工过程中，由于承揽方原因造成车间地面损坏的，由承揽方负责维修至车间地面新建状态，费用由承揽方自理。</w:t>
      </w:r>
    </w:p>
    <w:p w14:paraId="6232357E">
      <w:pPr>
        <w:spacing w:line="360" w:lineRule="auto"/>
        <w:ind w:left="-304" w:leftChars="-145" w:firstLine="436" w:firstLineChars="200"/>
        <w:rPr>
          <w:rFonts w:hint="eastAsia" w:ascii="宋体" w:hAnsi="宋体"/>
          <w:spacing w:val="4"/>
        </w:rPr>
      </w:pPr>
      <w:r>
        <w:rPr>
          <w:rFonts w:hint="eastAsia" w:ascii="宋体" w:hAnsi="宋体"/>
          <w:spacing w:val="4"/>
        </w:rPr>
        <w:t>7.6承揽方施工过程中，负责设备施工场地的清理工作。</w:t>
      </w:r>
    </w:p>
    <w:p w14:paraId="397A2807">
      <w:pPr>
        <w:spacing w:line="360" w:lineRule="auto"/>
        <w:ind w:left="-304" w:leftChars="-145" w:firstLine="436" w:firstLineChars="200"/>
        <w:rPr>
          <w:rFonts w:hint="eastAsia" w:ascii="宋体" w:hAnsi="宋体"/>
          <w:spacing w:val="4"/>
        </w:rPr>
      </w:pPr>
      <w:r>
        <w:rPr>
          <w:rFonts w:hint="eastAsia" w:ascii="宋体" w:hAnsi="宋体"/>
          <w:spacing w:val="4"/>
        </w:rPr>
        <w:t>7.</w:t>
      </w:r>
      <w:r>
        <w:rPr>
          <w:rFonts w:ascii="宋体" w:hAnsi="宋体"/>
          <w:spacing w:val="4"/>
        </w:rPr>
        <w:t>7</w:t>
      </w:r>
      <w:r>
        <w:rPr>
          <w:rFonts w:hint="eastAsia" w:ascii="宋体" w:hAnsi="宋体"/>
          <w:spacing w:val="4"/>
        </w:rPr>
        <w:t>针对安装调试服务，根据设备的要求，调试可分空载和负载两个阶段进行；委托方将予以积极配合，协助承揽方达到设备的各项技术要求和性能，承揽方免费负责协助设备的安装、调试，并接受用户的技术咨询，负责开车调试直到设备的终验收。</w:t>
      </w:r>
    </w:p>
    <w:p w14:paraId="29816379">
      <w:pPr>
        <w:pStyle w:val="78"/>
        <w:rPr>
          <w:b/>
          <w:bCs/>
        </w:rPr>
      </w:pPr>
    </w:p>
    <w:p w14:paraId="1BB5FD78">
      <w:pPr>
        <w:pStyle w:val="78"/>
        <w:rPr>
          <w:b/>
          <w:bCs/>
        </w:rPr>
      </w:pPr>
    </w:p>
    <w:p w14:paraId="25F32611">
      <w:pPr>
        <w:pStyle w:val="78"/>
        <w:rPr>
          <w:b/>
          <w:bCs/>
        </w:rPr>
      </w:pPr>
    </w:p>
    <w:p w14:paraId="1CED499F">
      <w:pPr>
        <w:pStyle w:val="78"/>
        <w:rPr>
          <w:b/>
          <w:bCs/>
        </w:rPr>
      </w:pPr>
    </w:p>
    <w:p w14:paraId="78C415C5">
      <w:pPr>
        <w:pStyle w:val="78"/>
        <w:rPr>
          <w:b/>
          <w:bCs/>
        </w:rPr>
      </w:pPr>
    </w:p>
    <w:p w14:paraId="7CDAC097">
      <w:pPr>
        <w:pStyle w:val="78"/>
        <w:rPr>
          <w:b/>
          <w:bCs/>
        </w:rPr>
      </w:pPr>
    </w:p>
    <w:p w14:paraId="6EB00010">
      <w:pPr>
        <w:pStyle w:val="78"/>
        <w:rPr>
          <w:b/>
          <w:bCs/>
        </w:rPr>
      </w:pPr>
    </w:p>
    <w:p w14:paraId="5EBD1DF4">
      <w:pPr>
        <w:pStyle w:val="78"/>
        <w:rPr>
          <w:b/>
          <w:bCs/>
        </w:rPr>
      </w:pPr>
    </w:p>
    <w:p w14:paraId="390FAD62">
      <w:pPr>
        <w:pStyle w:val="78"/>
        <w:rPr>
          <w:b/>
          <w:bCs/>
        </w:rPr>
      </w:pPr>
    </w:p>
    <w:p w14:paraId="7D2A2BE9">
      <w:pPr>
        <w:pStyle w:val="78"/>
        <w:rPr>
          <w:b/>
          <w:bCs/>
        </w:rPr>
      </w:pPr>
    </w:p>
    <w:p w14:paraId="3904D8DE">
      <w:pPr>
        <w:pStyle w:val="78"/>
        <w:rPr>
          <w:b/>
          <w:bCs/>
        </w:rPr>
      </w:pPr>
    </w:p>
    <w:p w14:paraId="3F6E52F5">
      <w:pPr>
        <w:pStyle w:val="78"/>
        <w:rPr>
          <w:b/>
          <w:bCs/>
        </w:rPr>
      </w:pPr>
    </w:p>
    <w:p w14:paraId="25E56432">
      <w:pPr>
        <w:pStyle w:val="78"/>
        <w:rPr>
          <w:b/>
          <w:bCs/>
        </w:rPr>
      </w:pPr>
    </w:p>
    <w:p w14:paraId="3250788B">
      <w:pPr>
        <w:pStyle w:val="78"/>
        <w:rPr>
          <w:b/>
          <w:bCs/>
        </w:rPr>
      </w:pPr>
    </w:p>
    <w:p w14:paraId="032343EC">
      <w:pPr>
        <w:pStyle w:val="73"/>
        <w:numPr>
          <w:ilvl w:val="0"/>
          <w:numId w:val="32"/>
        </w:numPr>
        <w:rPr>
          <w:rFonts w:hint="eastAsia"/>
        </w:rPr>
      </w:pPr>
      <w:bookmarkStart w:id="27" w:name="_Toc47976609"/>
      <w:bookmarkStart w:id="28" w:name="_Toc26245"/>
      <w:r>
        <w:rPr>
          <w:rFonts w:hint="eastAsia"/>
        </w:rPr>
        <w:t>合同主要条款</w:t>
      </w:r>
      <w:bookmarkEnd w:id="27"/>
      <w:bookmarkEnd w:id="28"/>
    </w:p>
    <w:p w14:paraId="23914DBE">
      <w:pPr>
        <w:pStyle w:val="74"/>
        <w:numPr>
          <w:ilvl w:val="0"/>
          <w:numId w:val="33"/>
        </w:numPr>
        <w:ind w:left="420"/>
      </w:pPr>
      <w:bookmarkStart w:id="29" w:name="_Toc47976610"/>
      <w:bookmarkStart w:id="30" w:name="_Toc47976615"/>
      <w:bookmarkStart w:id="31" w:name="_Toc28138"/>
      <w:r>
        <w:rPr>
          <w:rFonts w:hint="eastAsia"/>
          <w:lang w:val="en-US" w:eastAsia="zh-CN"/>
        </w:rPr>
        <w:t>标的、数量、</w:t>
      </w:r>
      <w:r>
        <w:rPr>
          <w:rFonts w:hint="eastAsia"/>
        </w:rPr>
        <w:t>交货期</w:t>
      </w:r>
      <w:bookmarkEnd w:id="29"/>
    </w:p>
    <w:p w14:paraId="18603CA8">
      <w:pPr>
        <w:pStyle w:val="74"/>
      </w:pPr>
      <w:bookmarkStart w:id="32" w:name="_Toc47976611"/>
      <w:r>
        <w:rPr>
          <w:rFonts w:hint="eastAsia"/>
        </w:rPr>
        <w:t>交货地点</w:t>
      </w:r>
      <w:bookmarkEnd w:id="32"/>
    </w:p>
    <w:p w14:paraId="3F03A936">
      <w:pPr>
        <w:pStyle w:val="74"/>
      </w:pPr>
      <w:bookmarkStart w:id="33" w:name="_Toc47976612"/>
      <w:r>
        <w:rPr>
          <w:rFonts w:hint="eastAsia"/>
          <w:lang w:val="en-US" w:eastAsia="zh-CN"/>
        </w:rPr>
        <w:t>价款及</w:t>
      </w:r>
      <w:r>
        <w:rPr>
          <w:rFonts w:hint="eastAsia"/>
        </w:rPr>
        <w:t>付款方式</w:t>
      </w:r>
      <w:bookmarkEnd w:id="33"/>
    </w:p>
    <w:p w14:paraId="0A7F4E98">
      <w:pPr>
        <w:pStyle w:val="74"/>
      </w:pPr>
      <w:bookmarkStart w:id="34" w:name="_Toc47976613"/>
      <w:r>
        <w:rPr>
          <w:rFonts w:hint="eastAsia"/>
          <w:lang w:val="en-US" w:eastAsia="zh-CN"/>
        </w:rPr>
        <w:t>质量要求、</w:t>
      </w:r>
      <w:r>
        <w:rPr>
          <w:rFonts w:hint="eastAsia"/>
        </w:rPr>
        <w:t>保修期及售后服务</w:t>
      </w:r>
      <w:bookmarkEnd w:id="34"/>
    </w:p>
    <w:p w14:paraId="50F6C5C1">
      <w:pPr>
        <w:pStyle w:val="74"/>
      </w:pPr>
      <w:bookmarkStart w:id="35" w:name="_Toc47976614"/>
      <w:r>
        <w:rPr>
          <w:rFonts w:hint="eastAsia"/>
        </w:rPr>
        <w:t>安装、调试及验收要求</w:t>
      </w:r>
      <w:bookmarkEnd w:id="35"/>
    </w:p>
    <w:p w14:paraId="7FDA440C">
      <w:pPr>
        <w:pStyle w:val="74"/>
      </w:pPr>
      <w:r>
        <w:rPr>
          <w:rFonts w:hint="eastAsia"/>
          <w:lang w:val="en-US" w:eastAsia="zh-CN"/>
        </w:rPr>
        <w:t>违约责任</w:t>
      </w:r>
    </w:p>
    <w:p w14:paraId="7B4D50AD">
      <w:pPr>
        <w:pStyle w:val="74"/>
      </w:pPr>
      <w:r>
        <w:rPr>
          <w:rFonts w:hint="eastAsia"/>
          <w:lang w:val="en-US" w:eastAsia="zh-CN"/>
        </w:rPr>
        <w:t>争议解决方式</w:t>
      </w:r>
    </w:p>
    <w:p w14:paraId="607F18A9">
      <w:pPr>
        <w:pStyle w:val="74"/>
        <w:widowControl w:val="0"/>
        <w:numPr>
          <w:ilvl w:val="0"/>
          <w:numId w:val="0"/>
        </w:numPr>
        <w:spacing w:line="360" w:lineRule="auto"/>
        <w:jc w:val="both"/>
        <w:outlineLvl w:val="1"/>
        <w:rPr>
          <w:rFonts w:hint="eastAsia"/>
          <w:lang w:val="en-US" w:eastAsia="zh-CN"/>
        </w:rPr>
      </w:pPr>
    </w:p>
    <w:p w14:paraId="75AFCBC3">
      <w:pPr>
        <w:pStyle w:val="74"/>
        <w:widowControl w:val="0"/>
        <w:numPr>
          <w:ilvl w:val="0"/>
          <w:numId w:val="0"/>
        </w:numPr>
        <w:spacing w:line="360" w:lineRule="auto"/>
        <w:jc w:val="both"/>
        <w:outlineLvl w:val="1"/>
        <w:rPr>
          <w:rFonts w:hint="eastAsia"/>
          <w:lang w:val="en-US" w:eastAsia="zh-CN"/>
        </w:rPr>
      </w:pPr>
    </w:p>
    <w:p w14:paraId="5D457A70">
      <w:pPr>
        <w:pStyle w:val="74"/>
        <w:widowControl w:val="0"/>
        <w:numPr>
          <w:ilvl w:val="0"/>
          <w:numId w:val="0"/>
        </w:numPr>
        <w:spacing w:line="360" w:lineRule="auto"/>
        <w:jc w:val="both"/>
        <w:outlineLvl w:val="1"/>
        <w:rPr>
          <w:rFonts w:hint="eastAsia"/>
          <w:lang w:val="en-US" w:eastAsia="zh-CN"/>
        </w:rPr>
      </w:pPr>
    </w:p>
    <w:p w14:paraId="1CA32C40">
      <w:pPr>
        <w:pStyle w:val="74"/>
        <w:widowControl w:val="0"/>
        <w:numPr>
          <w:ilvl w:val="0"/>
          <w:numId w:val="0"/>
        </w:numPr>
        <w:spacing w:line="360" w:lineRule="auto"/>
        <w:jc w:val="both"/>
        <w:outlineLvl w:val="1"/>
        <w:rPr>
          <w:rFonts w:hint="eastAsia"/>
          <w:lang w:val="en-US" w:eastAsia="zh-CN"/>
        </w:rPr>
      </w:pPr>
    </w:p>
    <w:p w14:paraId="1D1C2663">
      <w:pPr>
        <w:pStyle w:val="74"/>
        <w:widowControl w:val="0"/>
        <w:numPr>
          <w:ilvl w:val="0"/>
          <w:numId w:val="0"/>
        </w:numPr>
        <w:spacing w:line="360" w:lineRule="auto"/>
        <w:jc w:val="both"/>
        <w:outlineLvl w:val="1"/>
        <w:rPr>
          <w:rFonts w:hint="eastAsia"/>
          <w:lang w:val="en-US" w:eastAsia="zh-CN"/>
        </w:rPr>
      </w:pPr>
    </w:p>
    <w:p w14:paraId="6A24DABC">
      <w:pPr>
        <w:pStyle w:val="74"/>
        <w:widowControl w:val="0"/>
        <w:numPr>
          <w:ilvl w:val="0"/>
          <w:numId w:val="0"/>
        </w:numPr>
        <w:spacing w:line="360" w:lineRule="auto"/>
        <w:jc w:val="both"/>
        <w:outlineLvl w:val="1"/>
        <w:rPr>
          <w:rFonts w:hint="eastAsia"/>
          <w:lang w:val="en-US" w:eastAsia="zh-CN"/>
        </w:rPr>
      </w:pPr>
    </w:p>
    <w:p w14:paraId="306C6510">
      <w:pPr>
        <w:pStyle w:val="74"/>
        <w:widowControl w:val="0"/>
        <w:numPr>
          <w:ilvl w:val="0"/>
          <w:numId w:val="0"/>
        </w:numPr>
        <w:spacing w:line="360" w:lineRule="auto"/>
        <w:jc w:val="both"/>
        <w:outlineLvl w:val="1"/>
        <w:rPr>
          <w:rFonts w:hint="eastAsia"/>
          <w:lang w:val="en-US" w:eastAsia="zh-CN"/>
        </w:rPr>
      </w:pPr>
    </w:p>
    <w:p w14:paraId="078F2D13">
      <w:pPr>
        <w:pStyle w:val="74"/>
        <w:widowControl w:val="0"/>
        <w:numPr>
          <w:ilvl w:val="0"/>
          <w:numId w:val="0"/>
        </w:numPr>
        <w:spacing w:line="360" w:lineRule="auto"/>
        <w:jc w:val="both"/>
        <w:outlineLvl w:val="1"/>
        <w:rPr>
          <w:rFonts w:hint="eastAsia"/>
          <w:lang w:val="en-US" w:eastAsia="zh-CN"/>
        </w:rPr>
      </w:pPr>
    </w:p>
    <w:p w14:paraId="02EDB2FC">
      <w:pPr>
        <w:pStyle w:val="74"/>
        <w:widowControl w:val="0"/>
        <w:numPr>
          <w:ilvl w:val="0"/>
          <w:numId w:val="0"/>
        </w:numPr>
        <w:spacing w:line="360" w:lineRule="auto"/>
        <w:jc w:val="both"/>
        <w:outlineLvl w:val="1"/>
        <w:rPr>
          <w:rFonts w:hint="eastAsia"/>
          <w:lang w:val="en-US" w:eastAsia="zh-CN"/>
        </w:rPr>
      </w:pPr>
    </w:p>
    <w:p w14:paraId="2D810E44">
      <w:pPr>
        <w:pStyle w:val="74"/>
        <w:widowControl w:val="0"/>
        <w:numPr>
          <w:ilvl w:val="0"/>
          <w:numId w:val="0"/>
        </w:numPr>
        <w:spacing w:line="360" w:lineRule="auto"/>
        <w:jc w:val="both"/>
        <w:outlineLvl w:val="1"/>
        <w:rPr>
          <w:rFonts w:hint="eastAsia"/>
          <w:lang w:val="en-US" w:eastAsia="zh-CN"/>
        </w:rPr>
      </w:pPr>
    </w:p>
    <w:p w14:paraId="7D85533D">
      <w:pPr>
        <w:pStyle w:val="74"/>
        <w:widowControl w:val="0"/>
        <w:numPr>
          <w:ilvl w:val="0"/>
          <w:numId w:val="0"/>
        </w:numPr>
        <w:spacing w:line="360" w:lineRule="auto"/>
        <w:jc w:val="both"/>
        <w:outlineLvl w:val="1"/>
        <w:rPr>
          <w:rFonts w:hint="eastAsia"/>
          <w:lang w:val="en-US" w:eastAsia="zh-CN"/>
        </w:rPr>
      </w:pPr>
    </w:p>
    <w:p w14:paraId="175E21A5">
      <w:pPr>
        <w:pStyle w:val="74"/>
        <w:widowControl w:val="0"/>
        <w:numPr>
          <w:ilvl w:val="0"/>
          <w:numId w:val="0"/>
        </w:numPr>
        <w:spacing w:line="360" w:lineRule="auto"/>
        <w:jc w:val="both"/>
        <w:outlineLvl w:val="1"/>
        <w:rPr>
          <w:rFonts w:hint="eastAsia"/>
          <w:lang w:val="en-US" w:eastAsia="zh-CN"/>
        </w:rPr>
      </w:pPr>
    </w:p>
    <w:p w14:paraId="5BF1AB10">
      <w:pPr>
        <w:pStyle w:val="74"/>
        <w:widowControl w:val="0"/>
        <w:numPr>
          <w:ilvl w:val="0"/>
          <w:numId w:val="0"/>
        </w:numPr>
        <w:spacing w:line="360" w:lineRule="auto"/>
        <w:jc w:val="both"/>
        <w:outlineLvl w:val="1"/>
        <w:rPr>
          <w:rFonts w:hint="eastAsia"/>
          <w:lang w:val="en-US" w:eastAsia="zh-CN"/>
        </w:rPr>
      </w:pPr>
    </w:p>
    <w:p w14:paraId="26D9FD17">
      <w:pPr>
        <w:pStyle w:val="74"/>
        <w:widowControl w:val="0"/>
        <w:numPr>
          <w:ilvl w:val="0"/>
          <w:numId w:val="0"/>
        </w:numPr>
        <w:spacing w:line="360" w:lineRule="auto"/>
        <w:jc w:val="both"/>
        <w:outlineLvl w:val="1"/>
        <w:rPr>
          <w:rFonts w:hint="eastAsia"/>
          <w:lang w:val="en-US" w:eastAsia="zh-CN"/>
        </w:rPr>
      </w:pPr>
    </w:p>
    <w:p w14:paraId="0D5A8CEC">
      <w:pPr>
        <w:pStyle w:val="74"/>
        <w:widowControl w:val="0"/>
        <w:numPr>
          <w:ilvl w:val="0"/>
          <w:numId w:val="0"/>
        </w:numPr>
        <w:spacing w:line="360" w:lineRule="auto"/>
        <w:jc w:val="both"/>
        <w:outlineLvl w:val="1"/>
        <w:rPr>
          <w:rFonts w:hint="eastAsia"/>
          <w:lang w:val="en-US" w:eastAsia="zh-CN"/>
        </w:rPr>
      </w:pPr>
    </w:p>
    <w:p w14:paraId="7C54D1A4">
      <w:pPr>
        <w:pStyle w:val="73"/>
        <w:rPr>
          <w:rFonts w:hint="default" w:eastAsia="黑体"/>
          <w:lang w:val="en-US" w:eastAsia="zh-CN"/>
        </w:rPr>
      </w:pPr>
      <w:r>
        <w:rPr>
          <w:rFonts w:hint="eastAsia"/>
        </w:rPr>
        <w:t>第四部分　</w:t>
      </w:r>
      <w:bookmarkEnd w:id="30"/>
      <w:r>
        <w:rPr>
          <w:rFonts w:hint="eastAsia"/>
          <w:lang w:val="en-US" w:eastAsia="zh-CN"/>
        </w:rPr>
        <w:t>投标文件附件</w:t>
      </w:r>
      <w:bookmarkEnd w:id="31"/>
    </w:p>
    <w:p w14:paraId="294B45AD">
      <w:pPr>
        <w:pStyle w:val="73"/>
        <w:jc w:val="left"/>
        <w:rPr>
          <w:rFonts w:hint="eastAsia" w:ascii="宋体" w:hAnsi="宋体" w:eastAsia="宋体" w:cs="宋体"/>
          <w:sz w:val="32"/>
          <w:szCs w:val="32"/>
          <w:highlight w:val="none"/>
          <w:lang w:eastAsia="zh-CN"/>
        </w:rPr>
      </w:pPr>
      <w:bookmarkStart w:id="36" w:name="_Toc4225"/>
      <w:bookmarkStart w:id="37" w:name="_Toc47976616"/>
      <w:bookmarkStart w:id="38" w:name="_Toc7905"/>
      <w:r>
        <w:rPr>
          <w:rFonts w:hint="eastAsia" w:ascii="宋体" w:hAnsi="宋体" w:eastAsia="宋体" w:cs="宋体"/>
          <w:sz w:val="32"/>
          <w:szCs w:val="32"/>
          <w:highlight w:val="none"/>
        </w:rPr>
        <w:t>附件</w:t>
      </w:r>
      <w:bookmarkEnd w:id="36"/>
      <w:bookmarkEnd w:id="37"/>
      <w:r>
        <w:rPr>
          <w:rFonts w:hint="eastAsia" w:ascii="宋体" w:hAnsi="宋体" w:eastAsia="宋体" w:cs="宋体"/>
          <w:sz w:val="32"/>
          <w:szCs w:val="32"/>
          <w:highlight w:val="none"/>
          <w:lang w:val="en-US" w:eastAsia="zh-CN"/>
        </w:rPr>
        <w:t>1</w:t>
      </w:r>
      <w:bookmarkEnd w:id="38"/>
    </w:p>
    <w:p w14:paraId="76596266">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16C034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073CBE6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14:paraId="691A1C2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233C91C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7F8B1A6">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8EC56F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071E1E8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12A9FB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267F008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8A042A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62C9CC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8D9FE6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5648C2C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6EE900C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3197FE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2F6E472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0B5CB8C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0B7732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66B8B26">
      <w:pPr>
        <w:rPr>
          <w:rFonts w:ascii="黑体" w:hAnsi="Calibri" w:eastAsia="黑体" w:cs="Times New Roman"/>
          <w:color w:val="000000"/>
          <w:sz w:val="24"/>
          <w:szCs w:val="24"/>
        </w:rPr>
      </w:pPr>
    </w:p>
    <w:p w14:paraId="5D685CEC">
      <w:pPr>
        <w:jc w:val="both"/>
        <w:rPr>
          <w:rFonts w:ascii="宋体"/>
          <w:b/>
          <w:color w:val="000000"/>
          <w:szCs w:val="24"/>
        </w:rPr>
      </w:pPr>
    </w:p>
    <w:p w14:paraId="5D22EA50">
      <w:pPr>
        <w:pStyle w:val="74"/>
        <w:numPr>
          <w:ilvl w:val="0"/>
          <w:numId w:val="0"/>
        </w:numPr>
        <w:ind w:leftChars="0"/>
        <w:rPr>
          <w:rFonts w:hint="default" w:ascii="宋体" w:hAnsi="宋体" w:eastAsia="宋体" w:cs="宋体"/>
          <w:sz w:val="32"/>
          <w:szCs w:val="32"/>
          <w:highlight w:val="none"/>
          <w:lang w:val="en-US" w:eastAsia="zh-CN"/>
        </w:rPr>
      </w:pPr>
      <w:bookmarkStart w:id="39" w:name="_Toc47976618"/>
      <w:bookmarkStart w:id="40" w:name="_Toc29366865"/>
      <w:bookmarkStart w:id="41" w:name="_Toc29366869"/>
      <w:r>
        <w:rPr>
          <w:rFonts w:hint="eastAsia" w:ascii="宋体" w:hAnsi="宋体" w:eastAsia="宋体" w:cs="宋体"/>
          <w:sz w:val="32"/>
          <w:szCs w:val="32"/>
          <w:highlight w:val="none"/>
          <w:lang w:val="en-US" w:eastAsia="zh-CN"/>
        </w:rPr>
        <w:t>附件2</w:t>
      </w:r>
    </w:p>
    <w:bookmarkEnd w:id="39"/>
    <w:p w14:paraId="6B45BF11">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68CBD99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2B06AA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3"/>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D58F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B695A54">
            <w:pPr>
              <w:adjustRightInd w:val="0"/>
              <w:snapToGrid w:val="0"/>
              <w:spacing w:before="93" w:beforeLines="30" w:line="312" w:lineRule="auto"/>
              <w:jc w:val="center"/>
              <w:rPr>
                <w:rFonts w:ascii="宋体" w:hAnsi="Calibri" w:eastAsia="宋体" w:cs="Times New Roman"/>
                <w:color w:val="FF0000"/>
                <w:sz w:val="24"/>
                <w:szCs w:val="20"/>
                <w:u w:val="none"/>
              </w:rPr>
            </w:pPr>
            <w:r>
              <w:rPr>
                <w:rFonts w:hint="eastAsia" w:ascii="宋体" w:hAnsi="宋体" w:eastAsia="宋体" w:cs="Times New Roman"/>
                <w:color w:val="FF0000"/>
                <w:sz w:val="24"/>
                <w:szCs w:val="20"/>
              </w:rPr>
              <w:t>附法人身份证明复印件</w:t>
            </w:r>
            <w:r>
              <w:rPr>
                <w:rFonts w:hint="eastAsia" w:ascii="宋体" w:hAnsi="宋体" w:eastAsia="宋体" w:cs="Times New Roman"/>
                <w:color w:val="FF0000"/>
                <w:sz w:val="24"/>
                <w:szCs w:val="20"/>
                <w:u w:val="none"/>
                <w:lang w:eastAsia="zh-CN"/>
              </w:rPr>
              <w:t>（</w:t>
            </w:r>
            <w:r>
              <w:rPr>
                <w:rFonts w:hint="eastAsia" w:ascii="宋体" w:hAnsi="宋体" w:eastAsia="宋体" w:cs="Times New Roman"/>
                <w:color w:val="FF0000"/>
                <w:sz w:val="24"/>
                <w:szCs w:val="20"/>
                <w:u w:val="none"/>
                <w:lang w:val="en-US" w:eastAsia="zh-CN"/>
              </w:rPr>
              <w:t>正反面）</w:t>
            </w:r>
          </w:p>
          <w:p w14:paraId="31328FF0">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color w:val="FF0000"/>
                <w:sz w:val="24"/>
                <w:szCs w:val="20"/>
              </w:rPr>
              <w:t>附授权代理人身份证明复印件</w:t>
            </w:r>
            <w:r>
              <w:rPr>
                <w:rFonts w:hint="eastAsia" w:ascii="宋体" w:hAnsi="宋体" w:eastAsia="宋体" w:cs="Times New Roman"/>
                <w:color w:val="FF0000"/>
                <w:sz w:val="24"/>
                <w:szCs w:val="20"/>
                <w:lang w:eastAsia="zh-CN"/>
              </w:rPr>
              <w:t>（</w:t>
            </w:r>
            <w:r>
              <w:rPr>
                <w:rFonts w:hint="eastAsia" w:ascii="宋体" w:hAnsi="宋体" w:eastAsia="宋体" w:cs="Times New Roman"/>
                <w:color w:val="FF0000"/>
                <w:sz w:val="24"/>
                <w:szCs w:val="20"/>
                <w:lang w:val="en-US" w:eastAsia="zh-CN"/>
              </w:rPr>
              <w:t>正反面</w:t>
            </w:r>
            <w:r>
              <w:rPr>
                <w:rFonts w:hint="eastAsia" w:ascii="宋体" w:hAnsi="宋体" w:eastAsia="宋体" w:cs="Times New Roman"/>
                <w:color w:val="FF0000"/>
                <w:sz w:val="24"/>
                <w:szCs w:val="20"/>
                <w:lang w:eastAsia="zh-CN"/>
              </w:rPr>
              <w:t>）</w:t>
            </w:r>
          </w:p>
        </w:tc>
      </w:tr>
    </w:tbl>
    <w:p w14:paraId="36201AA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601BF1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7F34571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45317C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57F94C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F5F07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35E9F5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65BB09D">
      <w:pPr>
        <w:spacing w:line="360" w:lineRule="auto"/>
        <w:ind w:firstLine="4800" w:firstLineChars="2000"/>
        <w:rPr>
          <w:rFonts w:ascii="宋体" w:hAnsi="宋体" w:cs="宋体"/>
          <w:sz w:val="24"/>
          <w:szCs w:val="21"/>
        </w:rPr>
      </w:pPr>
    </w:p>
    <w:p w14:paraId="2197DAD1">
      <w:pPr>
        <w:spacing w:line="360" w:lineRule="auto"/>
        <w:ind w:firstLine="4800" w:firstLineChars="2000"/>
        <w:rPr>
          <w:rFonts w:ascii="宋体" w:hAnsi="宋体" w:cs="宋体"/>
          <w:sz w:val="24"/>
          <w:szCs w:val="21"/>
        </w:rPr>
      </w:pPr>
    </w:p>
    <w:p w14:paraId="1B5ECDC1">
      <w:pPr>
        <w:spacing w:line="360" w:lineRule="auto"/>
        <w:ind w:firstLine="4800" w:firstLineChars="2000"/>
        <w:rPr>
          <w:rFonts w:ascii="宋体" w:hAnsi="宋体" w:cs="宋体"/>
          <w:sz w:val="24"/>
          <w:szCs w:val="21"/>
        </w:rPr>
      </w:pPr>
    </w:p>
    <w:p w14:paraId="5705C3C8">
      <w:pPr>
        <w:spacing w:line="360" w:lineRule="auto"/>
        <w:ind w:firstLine="4800" w:firstLineChars="2000"/>
        <w:rPr>
          <w:rFonts w:ascii="宋体" w:hAnsi="宋体" w:cs="宋体"/>
          <w:sz w:val="24"/>
          <w:szCs w:val="21"/>
        </w:rPr>
      </w:pPr>
    </w:p>
    <w:p w14:paraId="1661FD8F">
      <w:pPr>
        <w:pStyle w:val="16"/>
      </w:pPr>
    </w:p>
    <w:p w14:paraId="7A0A2F15">
      <w:pPr>
        <w:pStyle w:val="16"/>
      </w:pPr>
    </w:p>
    <w:p w14:paraId="0A9ACC80">
      <w:pPr>
        <w:pStyle w:val="16"/>
      </w:pPr>
    </w:p>
    <w:bookmarkEnd w:id="40"/>
    <w:bookmarkEnd w:id="41"/>
    <w:p w14:paraId="3CDAF01A">
      <w:pPr>
        <w:pStyle w:val="74"/>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附件3</w:t>
      </w:r>
    </w:p>
    <w:p w14:paraId="1DE86552">
      <w:pPr>
        <w:pStyle w:val="74"/>
        <w:numPr>
          <w:ilvl w:val="0"/>
          <w:numId w:val="0"/>
        </w:numPr>
        <w:ind w:leftChars="0"/>
        <w:jc w:val="center"/>
        <w:rPr>
          <w:rFonts w:hint="eastAsia"/>
          <w:lang w:val="en-US" w:eastAsia="zh-CN"/>
        </w:rPr>
      </w:pPr>
      <w:r>
        <w:rPr>
          <w:rFonts w:hint="eastAsia"/>
          <w:lang w:val="en-US" w:eastAsia="zh-CN"/>
        </w:rPr>
        <w:t>开标一览表</w:t>
      </w:r>
    </w:p>
    <w:p w14:paraId="4F397E9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1171"/>
        <w:gridCol w:w="5759"/>
      </w:tblGrid>
      <w:tr w14:paraId="200F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tcBorders>
              <w:top w:val="single" w:color="auto" w:sz="4" w:space="0"/>
              <w:left w:val="single" w:color="auto" w:sz="4" w:space="0"/>
              <w:bottom w:val="single" w:color="auto" w:sz="4" w:space="0"/>
              <w:right w:val="single" w:color="auto" w:sz="4" w:space="0"/>
            </w:tcBorders>
            <w:noWrap w:val="0"/>
            <w:vAlign w:val="center"/>
          </w:tcPr>
          <w:p w14:paraId="54D2BF23">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rPr>
            </w:pPr>
            <w:r>
              <w:rPr>
                <w:rFonts w:hint="eastAsia" w:ascii="宋体" w:hAnsi="宋体"/>
                <w:sz w:val="24"/>
              </w:rPr>
              <w:t>投标人名称</w:t>
            </w:r>
          </w:p>
        </w:tc>
        <w:tc>
          <w:tcPr>
            <w:tcW w:w="6930" w:type="dxa"/>
            <w:gridSpan w:val="2"/>
            <w:tcBorders>
              <w:top w:val="single" w:color="auto" w:sz="4" w:space="0"/>
              <w:left w:val="single" w:color="auto" w:sz="4" w:space="0"/>
              <w:bottom w:val="single" w:color="auto" w:sz="4" w:space="0"/>
              <w:right w:val="single" w:color="auto" w:sz="4" w:space="0"/>
            </w:tcBorders>
            <w:noWrap w:val="0"/>
            <w:vAlign w:val="center"/>
          </w:tcPr>
          <w:p w14:paraId="7143E35A">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rPr>
            </w:pPr>
          </w:p>
        </w:tc>
      </w:tr>
      <w:tr w14:paraId="1CF6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vMerge w:val="restart"/>
            <w:tcBorders>
              <w:top w:val="single" w:color="auto" w:sz="4" w:space="0"/>
              <w:left w:val="single" w:color="auto" w:sz="4" w:space="0"/>
              <w:bottom w:val="single" w:color="auto" w:sz="4" w:space="0"/>
              <w:right w:val="single" w:color="auto" w:sz="4" w:space="0"/>
            </w:tcBorders>
            <w:noWrap w:val="0"/>
            <w:vAlign w:val="center"/>
          </w:tcPr>
          <w:p w14:paraId="193FEFA2">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int="eastAsia" w:ascii="宋体" w:hAnsi="宋体"/>
                <w:sz w:val="24"/>
              </w:rPr>
            </w:pPr>
            <w:r>
              <w:rPr>
                <w:rFonts w:hint="eastAsia" w:ascii="宋体" w:hAnsi="宋体"/>
                <w:sz w:val="24"/>
              </w:rPr>
              <w:t>投标总报价</w:t>
            </w:r>
          </w:p>
          <w:p w14:paraId="1BC051E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int="eastAsia" w:ascii="宋体" w:hAnsi="宋体"/>
                <w:sz w:val="24"/>
              </w:rPr>
            </w:pPr>
            <w:r>
              <w:rPr>
                <w:rFonts w:hint="eastAsia" w:ascii="宋体" w:hAnsi="宋体"/>
                <w:sz w:val="24"/>
              </w:rPr>
              <w:t>（</w:t>
            </w:r>
            <w:r>
              <w:rPr>
                <w:rFonts w:hint="eastAsia" w:ascii="宋体" w:hAnsi="宋体"/>
                <w:sz w:val="18"/>
                <w:szCs w:val="18"/>
              </w:rPr>
              <w:t>元，含税，税率13%</w:t>
            </w:r>
            <w:r>
              <w:rPr>
                <w:rFonts w:hint="eastAsia" w:ascii="宋体" w:hAnsi="宋体"/>
                <w:sz w:val="24"/>
              </w:rPr>
              <w:t>）</w:t>
            </w:r>
          </w:p>
        </w:tc>
        <w:tc>
          <w:tcPr>
            <w:tcW w:w="6930" w:type="dxa"/>
            <w:gridSpan w:val="2"/>
            <w:tcBorders>
              <w:top w:val="single" w:color="auto" w:sz="4" w:space="0"/>
              <w:left w:val="single" w:color="auto" w:sz="4" w:space="0"/>
              <w:bottom w:val="single" w:color="auto" w:sz="4" w:space="0"/>
              <w:right w:val="single" w:color="auto" w:sz="4" w:space="0"/>
            </w:tcBorders>
            <w:noWrap w:val="0"/>
            <w:vAlign w:val="center"/>
          </w:tcPr>
          <w:p w14:paraId="5517365A">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rPr>
            </w:pPr>
            <w:r>
              <w:rPr>
                <w:rFonts w:hint="eastAsia" w:ascii="宋体" w:hAnsi="宋体"/>
                <w:bCs/>
                <w:sz w:val="24"/>
              </w:rPr>
              <w:t>大写：</w:t>
            </w:r>
          </w:p>
        </w:tc>
      </w:tr>
      <w:tr w14:paraId="73D8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vMerge w:val="continue"/>
            <w:tcBorders>
              <w:top w:val="single" w:color="auto" w:sz="4" w:space="0"/>
              <w:left w:val="single" w:color="auto" w:sz="4" w:space="0"/>
              <w:bottom w:val="single" w:color="auto" w:sz="4" w:space="0"/>
              <w:right w:val="single" w:color="auto" w:sz="4" w:space="0"/>
            </w:tcBorders>
            <w:noWrap w:val="0"/>
            <w:vAlign w:val="center"/>
          </w:tcPr>
          <w:p w14:paraId="17235A59">
            <w:pPr>
              <w:widowControl/>
              <w:jc w:val="left"/>
              <w:rPr>
                <w:rFonts w:ascii="宋体" w:hAnsi="宋体"/>
                <w:sz w:val="24"/>
              </w:rPr>
            </w:pPr>
          </w:p>
        </w:tc>
        <w:tc>
          <w:tcPr>
            <w:tcW w:w="6930" w:type="dxa"/>
            <w:gridSpan w:val="2"/>
            <w:tcBorders>
              <w:top w:val="single" w:color="auto" w:sz="4" w:space="0"/>
              <w:left w:val="single" w:color="auto" w:sz="4" w:space="0"/>
              <w:bottom w:val="single" w:color="auto" w:sz="4" w:space="0"/>
              <w:right w:val="single" w:color="auto" w:sz="4" w:space="0"/>
            </w:tcBorders>
            <w:noWrap w:val="0"/>
            <w:vAlign w:val="center"/>
          </w:tcPr>
          <w:p w14:paraId="3C18A259">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rPr>
            </w:pPr>
            <w:r>
              <w:rPr>
                <w:rFonts w:hint="eastAsia" w:ascii="宋体" w:hAnsi="宋体"/>
                <w:bCs/>
                <w:sz w:val="24"/>
              </w:rPr>
              <w:t>小写：</w:t>
            </w:r>
          </w:p>
        </w:tc>
      </w:tr>
      <w:tr w14:paraId="45B0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gridSpan w:val="2"/>
            <w:tcBorders>
              <w:top w:val="single" w:color="auto" w:sz="4" w:space="0"/>
              <w:left w:val="single" w:color="auto" w:sz="4" w:space="0"/>
              <w:bottom w:val="single" w:color="auto" w:sz="4" w:space="0"/>
              <w:right w:val="single" w:color="auto" w:sz="4" w:space="0"/>
            </w:tcBorders>
            <w:noWrap w:val="0"/>
            <w:vAlign w:val="center"/>
          </w:tcPr>
          <w:p w14:paraId="6891AB60">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960" w:firstLineChars="400"/>
              <w:rPr>
                <w:rFonts w:ascii="宋体" w:hAnsi="宋体"/>
                <w:sz w:val="24"/>
              </w:rPr>
            </w:pPr>
            <w:r>
              <w:rPr>
                <w:rFonts w:hint="eastAsia" w:ascii="宋体" w:hAnsi="宋体"/>
                <w:sz w:val="24"/>
              </w:rPr>
              <w:t>维修工期</w:t>
            </w:r>
          </w:p>
        </w:tc>
        <w:tc>
          <w:tcPr>
            <w:tcW w:w="5759" w:type="dxa"/>
            <w:tcBorders>
              <w:top w:val="single" w:color="auto" w:sz="4" w:space="0"/>
              <w:left w:val="single" w:color="auto" w:sz="4" w:space="0"/>
              <w:bottom w:val="single" w:color="auto" w:sz="4" w:space="0"/>
              <w:right w:val="single" w:color="auto" w:sz="4" w:space="0"/>
            </w:tcBorders>
            <w:noWrap w:val="0"/>
            <w:vAlign w:val="center"/>
          </w:tcPr>
          <w:p w14:paraId="5256DB6D">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u w:val="single"/>
              </w:rPr>
            </w:pPr>
            <w:r>
              <w:rPr>
                <w:rFonts w:hint="eastAsia" w:ascii="宋体" w:hAnsi="宋体"/>
                <w:sz w:val="24"/>
              </w:rPr>
              <w:t>自收到中标通知书之日起，</w:t>
            </w:r>
            <w:r>
              <w:rPr>
                <w:rFonts w:hint="eastAsia" w:ascii="宋体" w:hAnsi="宋体"/>
                <w:bCs/>
                <w:sz w:val="24"/>
                <w:u w:val="single"/>
              </w:rPr>
              <w:t xml:space="preserve">      </w:t>
            </w:r>
            <w:r>
              <w:rPr>
                <w:rFonts w:hint="eastAsia" w:ascii="宋体" w:hAnsi="宋体"/>
                <w:bCs/>
                <w:sz w:val="24"/>
              </w:rPr>
              <w:t>个</w:t>
            </w:r>
            <w:r>
              <w:rPr>
                <w:rFonts w:hint="eastAsia" w:ascii="宋体" w:hAnsi="宋体"/>
                <w:sz w:val="24"/>
              </w:rPr>
              <w:t>日历日之内完成维修（投标人自报最短维修工期）。</w:t>
            </w:r>
          </w:p>
        </w:tc>
      </w:tr>
      <w:tr w14:paraId="0A7E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2"/>
            <w:tcBorders>
              <w:top w:val="single" w:color="auto" w:sz="4" w:space="0"/>
              <w:left w:val="single" w:color="auto" w:sz="4" w:space="0"/>
              <w:bottom w:val="single" w:color="auto" w:sz="4" w:space="0"/>
              <w:right w:val="single" w:color="auto" w:sz="4" w:space="0"/>
            </w:tcBorders>
            <w:noWrap w:val="0"/>
            <w:vAlign w:val="center"/>
          </w:tcPr>
          <w:p w14:paraId="25E6B83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rPr>
            </w:pPr>
            <w:r>
              <w:rPr>
                <w:rFonts w:hint="eastAsia" w:ascii="宋体" w:hAnsi="宋体"/>
                <w:sz w:val="24"/>
              </w:rPr>
              <w:t>质保期</w:t>
            </w:r>
          </w:p>
        </w:tc>
        <w:tc>
          <w:tcPr>
            <w:tcW w:w="5759" w:type="dxa"/>
            <w:tcBorders>
              <w:top w:val="single" w:color="auto" w:sz="4" w:space="0"/>
              <w:left w:val="single" w:color="auto" w:sz="4" w:space="0"/>
              <w:bottom w:val="single" w:color="auto" w:sz="4" w:space="0"/>
              <w:right w:val="single" w:color="auto" w:sz="4" w:space="0"/>
            </w:tcBorders>
            <w:noWrap w:val="0"/>
            <w:vAlign w:val="center"/>
          </w:tcPr>
          <w:p w14:paraId="0357732D">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rPr>
            </w:pPr>
            <w:r>
              <w:rPr>
                <w:rFonts w:hint="eastAsia" w:ascii="宋体" w:hAnsi="宋体"/>
                <w:bCs/>
                <w:sz w:val="24"/>
              </w:rPr>
              <w:t>自最终验收报告签署之日（以签署日期最晚者为准）起</w:t>
            </w:r>
            <w:r>
              <w:rPr>
                <w:rFonts w:hint="eastAsia" w:ascii="宋体" w:hAnsi="宋体"/>
                <w:bCs/>
                <w:sz w:val="24"/>
                <w:u w:val="single"/>
              </w:rPr>
              <w:t xml:space="preserve">    </w:t>
            </w:r>
            <w:r>
              <w:rPr>
                <w:rFonts w:hint="eastAsia" w:ascii="宋体" w:hAnsi="宋体"/>
                <w:bCs/>
                <w:sz w:val="24"/>
              </w:rPr>
              <w:t>年。</w:t>
            </w:r>
          </w:p>
        </w:tc>
      </w:tr>
      <w:tr w14:paraId="1045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2"/>
            <w:tcBorders>
              <w:top w:val="single" w:color="auto" w:sz="4" w:space="0"/>
              <w:left w:val="single" w:color="auto" w:sz="4" w:space="0"/>
              <w:bottom w:val="single" w:color="auto" w:sz="4" w:space="0"/>
              <w:right w:val="single" w:color="auto" w:sz="4" w:space="0"/>
            </w:tcBorders>
            <w:noWrap w:val="0"/>
            <w:vAlign w:val="center"/>
          </w:tcPr>
          <w:p w14:paraId="4CF26477">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rPr>
            </w:pPr>
            <w:r>
              <w:rPr>
                <w:rFonts w:hint="eastAsia" w:ascii="宋体" w:hAnsi="宋体"/>
                <w:sz w:val="24"/>
              </w:rPr>
              <w:t>对招标文件的响应程度</w:t>
            </w:r>
          </w:p>
          <w:p w14:paraId="597F0B68">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rPr>
            </w:pPr>
            <w:r>
              <w:rPr>
                <w:rFonts w:hint="eastAsia" w:ascii="宋体" w:hAnsi="宋体"/>
                <w:sz w:val="24"/>
              </w:rPr>
              <w:t>（是否完全响应）</w:t>
            </w:r>
          </w:p>
        </w:tc>
        <w:tc>
          <w:tcPr>
            <w:tcW w:w="5759" w:type="dxa"/>
            <w:tcBorders>
              <w:top w:val="single" w:color="auto" w:sz="4" w:space="0"/>
              <w:left w:val="single" w:color="auto" w:sz="4" w:space="0"/>
              <w:bottom w:val="single" w:color="auto" w:sz="4" w:space="0"/>
              <w:right w:val="single" w:color="auto" w:sz="4" w:space="0"/>
            </w:tcBorders>
            <w:noWrap w:val="0"/>
            <w:vAlign w:val="top"/>
          </w:tcPr>
          <w:p w14:paraId="1A5E5329">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rPr>
            </w:pPr>
          </w:p>
        </w:tc>
      </w:tr>
    </w:tbl>
    <w:p w14:paraId="069220F7">
      <w:pPr>
        <w:rPr>
          <w:rFonts w:ascii="宋体" w:hAnsi="Arial" w:eastAsia="宋体" w:cs="Times New Roman"/>
          <w:sz w:val="24"/>
          <w:szCs w:val="24"/>
        </w:rPr>
      </w:pPr>
    </w:p>
    <w:p w14:paraId="466C4958">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4718567">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2B8514E1">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35FAF5BC">
      <w:pPr>
        <w:pStyle w:val="16"/>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6EF4A52F">
      <w:pPr>
        <w:pStyle w:val="16"/>
        <w:rPr>
          <w:rFonts w:hint="eastAsia" w:hAnsi="宋体" w:eastAsia="宋体" w:cs="Times New Roman"/>
          <w:b/>
          <w:bCs/>
          <w:szCs w:val="21"/>
          <w:highlight w:val="yellow"/>
        </w:rPr>
      </w:pPr>
    </w:p>
    <w:p w14:paraId="44A474D0">
      <w:pPr>
        <w:pStyle w:val="16"/>
        <w:rPr>
          <w:rFonts w:hint="eastAsia" w:hAnsi="宋体" w:eastAsia="宋体" w:cs="Times New Roman"/>
          <w:b/>
          <w:bCs/>
          <w:szCs w:val="21"/>
          <w:highlight w:val="yellow"/>
        </w:rPr>
      </w:pPr>
    </w:p>
    <w:p w14:paraId="2289D751">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857B4FE">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870ACA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04E2971">
      <w:pPr>
        <w:pStyle w:val="74"/>
        <w:numPr>
          <w:ilvl w:val="0"/>
          <w:numId w:val="0"/>
        </w:numPr>
        <w:ind w:leftChars="0"/>
      </w:pPr>
      <w:r>
        <w:t xml:space="preserve"> </w:t>
      </w:r>
    </w:p>
    <w:p w14:paraId="1E14A1DE">
      <w:pPr>
        <w:pStyle w:val="74"/>
        <w:numPr>
          <w:ilvl w:val="0"/>
          <w:numId w:val="0"/>
        </w:numPr>
        <w:ind w:leftChars="0"/>
      </w:pPr>
    </w:p>
    <w:p w14:paraId="3845074A">
      <w:pPr>
        <w:pStyle w:val="74"/>
        <w:numPr>
          <w:ilvl w:val="0"/>
          <w:numId w:val="0"/>
        </w:numPr>
        <w:ind w:leftChars="0"/>
      </w:pPr>
    </w:p>
    <w:p w14:paraId="05C15037">
      <w:pPr>
        <w:pStyle w:val="78"/>
        <w:rPr>
          <w:rFonts w:hint="eastAsia" w:ascii="宋体" w:hAnsi="宋体" w:eastAsia="宋体" w:cs="宋体"/>
          <w:b/>
          <w:bCs w:val="0"/>
          <w:color w:val="FF0000"/>
          <w:sz w:val="18"/>
          <w:szCs w:val="18"/>
          <w:highlight w:val="none"/>
          <w:lang w:val="en-US" w:eastAsia="zh-CN"/>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4</w:t>
      </w:r>
    </w:p>
    <w:p w14:paraId="52AF0FEA">
      <w:pPr>
        <w:pStyle w:val="12"/>
        <w:spacing w:line="460" w:lineRule="exact"/>
        <w:jc w:val="center"/>
        <w:rPr>
          <w:rFonts w:ascii="宋体" w:hAnsi="宋体" w:cs="宋体"/>
          <w:b/>
          <w:bCs/>
          <w:szCs w:val="32"/>
        </w:rPr>
      </w:pPr>
      <w:r>
        <w:rPr>
          <w:rFonts w:hint="eastAsia" w:ascii="宋体" w:hAnsi="宋体" w:cs="宋体"/>
          <w:b/>
          <w:bCs/>
          <w:szCs w:val="32"/>
        </w:rPr>
        <w:t>投标分项报价表</w:t>
      </w:r>
    </w:p>
    <w:p w14:paraId="0641788E">
      <w:pPr>
        <w:spacing w:line="520" w:lineRule="exact"/>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w:t>
      </w:r>
    </w:p>
    <w:tbl>
      <w:tblPr>
        <w:tblStyle w:val="33"/>
        <w:tblW w:w="10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445"/>
        <w:gridCol w:w="1678"/>
        <w:gridCol w:w="1009"/>
        <w:gridCol w:w="835"/>
        <w:gridCol w:w="1194"/>
        <w:gridCol w:w="1194"/>
        <w:gridCol w:w="1194"/>
        <w:gridCol w:w="1207"/>
      </w:tblGrid>
      <w:tr w14:paraId="5EA4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19" w:type="dxa"/>
            <w:vAlign w:val="center"/>
          </w:tcPr>
          <w:p w14:paraId="5870AF0F">
            <w:pPr>
              <w:pStyle w:val="23"/>
              <w:ind w:left="482" w:hanging="482"/>
              <w:jc w:val="center"/>
              <w:rPr>
                <w:rFonts w:ascii="宋体" w:hAnsi="宋体"/>
                <w:b/>
                <w:sz w:val="24"/>
                <w:szCs w:val="24"/>
              </w:rPr>
            </w:pPr>
            <w:r>
              <w:rPr>
                <w:rFonts w:hint="eastAsia" w:ascii="宋体" w:hAnsi="宋体"/>
                <w:b/>
                <w:sz w:val="24"/>
                <w:szCs w:val="24"/>
              </w:rPr>
              <w:t>序号</w:t>
            </w:r>
          </w:p>
        </w:tc>
        <w:tc>
          <w:tcPr>
            <w:tcW w:w="1445" w:type="dxa"/>
            <w:vAlign w:val="center"/>
          </w:tcPr>
          <w:p w14:paraId="7532324D">
            <w:pPr>
              <w:pStyle w:val="23"/>
              <w:ind w:left="482" w:hanging="482"/>
              <w:jc w:val="center"/>
              <w:rPr>
                <w:rFonts w:hint="eastAsia" w:ascii="宋体" w:hAnsi="宋体" w:eastAsia="宋体"/>
                <w:b/>
                <w:sz w:val="24"/>
                <w:szCs w:val="24"/>
                <w:lang w:val="en-US" w:eastAsia="zh-CN"/>
              </w:rPr>
            </w:pPr>
            <w:r>
              <w:rPr>
                <w:rFonts w:hint="eastAsia" w:ascii="宋体" w:hAnsi="宋体"/>
                <w:b/>
                <w:sz w:val="24"/>
                <w:szCs w:val="24"/>
              </w:rPr>
              <w:t>产品及部</w:t>
            </w:r>
            <w:r>
              <w:rPr>
                <w:rFonts w:hint="eastAsia" w:ascii="宋体" w:hAnsi="宋体"/>
                <w:b/>
                <w:sz w:val="24"/>
                <w:szCs w:val="24"/>
                <w:lang w:val="en-US" w:eastAsia="zh-CN"/>
              </w:rPr>
              <w:t>件</w:t>
            </w:r>
          </w:p>
          <w:p w14:paraId="4744D4D2">
            <w:pPr>
              <w:pStyle w:val="23"/>
              <w:ind w:left="482" w:hanging="482"/>
              <w:jc w:val="center"/>
              <w:rPr>
                <w:rFonts w:ascii="宋体" w:hAnsi="宋体"/>
                <w:b/>
                <w:sz w:val="24"/>
                <w:szCs w:val="24"/>
              </w:rPr>
            </w:pPr>
            <w:r>
              <w:rPr>
                <w:rFonts w:hint="eastAsia" w:ascii="宋体" w:hAnsi="宋体"/>
                <w:b/>
                <w:sz w:val="24"/>
                <w:szCs w:val="24"/>
              </w:rPr>
              <w:t>名称</w:t>
            </w:r>
          </w:p>
        </w:tc>
        <w:tc>
          <w:tcPr>
            <w:tcW w:w="1678" w:type="dxa"/>
            <w:vAlign w:val="center"/>
          </w:tcPr>
          <w:p w14:paraId="7C178D0A">
            <w:pPr>
              <w:pStyle w:val="23"/>
              <w:ind w:left="482" w:hanging="482"/>
              <w:jc w:val="center"/>
              <w:rPr>
                <w:rFonts w:ascii="宋体" w:hAnsi="宋体"/>
                <w:b/>
                <w:sz w:val="24"/>
                <w:szCs w:val="24"/>
              </w:rPr>
            </w:pPr>
            <w:r>
              <w:rPr>
                <w:rFonts w:hint="eastAsia" w:ascii="宋体" w:hAnsi="宋体"/>
                <w:b/>
                <w:sz w:val="24"/>
                <w:szCs w:val="24"/>
              </w:rPr>
              <w:t>规格型号及</w:t>
            </w:r>
          </w:p>
          <w:p w14:paraId="772B8D46">
            <w:pPr>
              <w:pStyle w:val="23"/>
              <w:ind w:left="482" w:hanging="482"/>
              <w:jc w:val="center"/>
              <w:rPr>
                <w:rFonts w:ascii="宋体" w:hAnsi="宋体"/>
                <w:b/>
                <w:sz w:val="24"/>
                <w:szCs w:val="24"/>
              </w:rPr>
            </w:pPr>
            <w:r>
              <w:rPr>
                <w:rFonts w:hint="eastAsia" w:ascii="宋体" w:hAnsi="宋体"/>
                <w:b/>
                <w:sz w:val="24"/>
                <w:szCs w:val="24"/>
              </w:rPr>
              <w:t>技术参数</w:t>
            </w:r>
          </w:p>
        </w:tc>
        <w:tc>
          <w:tcPr>
            <w:tcW w:w="1009" w:type="dxa"/>
            <w:vAlign w:val="center"/>
          </w:tcPr>
          <w:p w14:paraId="5DD1D8D0">
            <w:pPr>
              <w:pStyle w:val="23"/>
              <w:ind w:left="482" w:hanging="482"/>
              <w:jc w:val="center"/>
              <w:rPr>
                <w:rFonts w:ascii="宋体" w:hAnsi="宋体"/>
                <w:b/>
                <w:sz w:val="24"/>
                <w:szCs w:val="24"/>
              </w:rPr>
            </w:pPr>
            <w:r>
              <w:rPr>
                <w:rFonts w:hint="eastAsia" w:ascii="宋体" w:hAnsi="宋体"/>
                <w:b/>
                <w:sz w:val="24"/>
                <w:szCs w:val="24"/>
              </w:rPr>
              <w:t>单位</w:t>
            </w:r>
          </w:p>
        </w:tc>
        <w:tc>
          <w:tcPr>
            <w:tcW w:w="835" w:type="dxa"/>
            <w:vAlign w:val="center"/>
          </w:tcPr>
          <w:p w14:paraId="05D079F1">
            <w:pPr>
              <w:pStyle w:val="23"/>
              <w:ind w:left="482" w:hanging="482"/>
              <w:jc w:val="center"/>
              <w:rPr>
                <w:rFonts w:ascii="宋体" w:hAnsi="宋体"/>
                <w:b/>
                <w:sz w:val="24"/>
                <w:szCs w:val="24"/>
              </w:rPr>
            </w:pPr>
            <w:r>
              <w:rPr>
                <w:rFonts w:hint="eastAsia" w:ascii="宋体" w:hAnsi="宋体"/>
                <w:b/>
                <w:sz w:val="24"/>
                <w:szCs w:val="24"/>
              </w:rPr>
              <w:t>数量</w:t>
            </w:r>
          </w:p>
        </w:tc>
        <w:tc>
          <w:tcPr>
            <w:tcW w:w="1194" w:type="dxa"/>
            <w:vAlign w:val="center"/>
          </w:tcPr>
          <w:p w14:paraId="63B7FBF0">
            <w:pPr>
              <w:pStyle w:val="23"/>
              <w:ind w:left="360" w:hanging="360"/>
              <w:jc w:val="center"/>
              <w:rPr>
                <w:rFonts w:hint="eastAsia" w:ascii="宋体" w:hAnsi="宋体" w:cs="Times New Roman"/>
                <w:b/>
                <w:sz w:val="24"/>
                <w:szCs w:val="24"/>
                <w:lang w:val="en-US" w:eastAsia="zh-CN"/>
              </w:rPr>
            </w:pPr>
            <w:r>
              <w:rPr>
                <w:rFonts w:hint="eastAsia" w:ascii="宋体" w:hAnsi="宋体" w:cs="Times New Roman"/>
                <w:b/>
                <w:sz w:val="24"/>
                <w:szCs w:val="24"/>
                <w:lang w:val="en-US" w:eastAsia="zh-CN"/>
              </w:rPr>
              <w:t>单价</w:t>
            </w:r>
          </w:p>
          <w:p w14:paraId="70A1ACB8">
            <w:pPr>
              <w:pStyle w:val="23"/>
              <w:ind w:left="360" w:hanging="360"/>
              <w:jc w:val="center"/>
              <w:rPr>
                <w:rFonts w:hint="eastAsia" w:ascii="宋体" w:hAnsi="宋体" w:eastAsia="宋体"/>
                <w:sz w:val="18"/>
                <w:szCs w:val="18"/>
                <w:lang w:val="en-US" w:eastAsia="zh-CN"/>
              </w:rPr>
            </w:pPr>
            <w:r>
              <w:rPr>
                <w:rFonts w:hint="eastAsia" w:ascii="宋体" w:hAnsi="宋体"/>
                <w:sz w:val="18"/>
                <w:szCs w:val="18"/>
                <w:lang w:val="en-US" w:eastAsia="zh-CN"/>
              </w:rPr>
              <w:t>（元，未税）</w:t>
            </w:r>
          </w:p>
        </w:tc>
        <w:tc>
          <w:tcPr>
            <w:tcW w:w="1194" w:type="dxa"/>
            <w:vAlign w:val="center"/>
          </w:tcPr>
          <w:p w14:paraId="214B2777">
            <w:pPr>
              <w:pStyle w:val="23"/>
              <w:ind w:left="360" w:hanging="360"/>
              <w:jc w:val="center"/>
              <w:rPr>
                <w:rFonts w:hint="eastAsia" w:ascii="宋体" w:hAnsi="宋体" w:cs="Times New Roman"/>
                <w:b/>
                <w:sz w:val="24"/>
                <w:szCs w:val="24"/>
                <w:lang w:val="en-US" w:eastAsia="zh-CN"/>
              </w:rPr>
            </w:pPr>
            <w:r>
              <w:rPr>
                <w:rFonts w:hint="eastAsia" w:ascii="宋体" w:hAnsi="宋体" w:cs="Times New Roman"/>
                <w:b/>
                <w:sz w:val="24"/>
                <w:szCs w:val="24"/>
                <w:lang w:val="en-US" w:eastAsia="zh-CN"/>
              </w:rPr>
              <w:t>税率</w:t>
            </w:r>
          </w:p>
          <w:p w14:paraId="7C74703B">
            <w:pPr>
              <w:pStyle w:val="23"/>
              <w:ind w:left="360" w:hanging="360"/>
              <w:jc w:val="center"/>
              <w:rPr>
                <w:rFonts w:hint="eastAsia" w:ascii="宋体" w:hAnsi="宋体" w:eastAsia="宋体"/>
                <w:sz w:val="18"/>
                <w:szCs w:val="18"/>
                <w:lang w:val="en-US" w:eastAsia="zh-CN"/>
              </w:rPr>
            </w:pPr>
            <w:r>
              <w:rPr>
                <w:rFonts w:hint="eastAsia" w:ascii="宋体" w:hAnsi="宋体"/>
                <w:sz w:val="18"/>
                <w:szCs w:val="18"/>
                <w:lang w:val="en-US" w:eastAsia="zh-CN"/>
              </w:rPr>
              <w:t>（%）</w:t>
            </w:r>
          </w:p>
        </w:tc>
        <w:tc>
          <w:tcPr>
            <w:tcW w:w="1194" w:type="dxa"/>
            <w:vAlign w:val="center"/>
          </w:tcPr>
          <w:p w14:paraId="2887A435">
            <w:pPr>
              <w:pStyle w:val="23"/>
              <w:ind w:left="482" w:hanging="482"/>
              <w:jc w:val="center"/>
              <w:rPr>
                <w:rFonts w:ascii="宋体" w:hAnsi="宋体"/>
                <w:b/>
                <w:sz w:val="24"/>
                <w:szCs w:val="24"/>
              </w:rPr>
            </w:pPr>
            <w:r>
              <w:rPr>
                <w:rFonts w:hint="eastAsia" w:ascii="宋体" w:hAnsi="宋体"/>
                <w:b/>
                <w:sz w:val="24"/>
                <w:szCs w:val="24"/>
              </w:rPr>
              <w:t>单价</w:t>
            </w:r>
          </w:p>
          <w:p w14:paraId="4E2E6DB6">
            <w:pPr>
              <w:pStyle w:val="23"/>
              <w:ind w:left="360" w:hanging="360"/>
              <w:jc w:val="center"/>
              <w:rPr>
                <w:rFonts w:ascii="宋体" w:hAnsi="宋体"/>
                <w:b/>
                <w:sz w:val="24"/>
                <w:szCs w:val="24"/>
              </w:rPr>
            </w:pPr>
            <w:r>
              <w:rPr>
                <w:rFonts w:hint="eastAsia" w:ascii="宋体" w:hAnsi="宋体"/>
                <w:sz w:val="18"/>
                <w:szCs w:val="18"/>
              </w:rPr>
              <w:t>（元，含税）</w:t>
            </w:r>
          </w:p>
        </w:tc>
        <w:tc>
          <w:tcPr>
            <w:tcW w:w="1207" w:type="dxa"/>
            <w:vAlign w:val="center"/>
          </w:tcPr>
          <w:p w14:paraId="6FB03CAE">
            <w:pPr>
              <w:pStyle w:val="23"/>
              <w:ind w:left="482" w:hanging="482"/>
              <w:jc w:val="center"/>
              <w:rPr>
                <w:rFonts w:ascii="宋体" w:hAnsi="宋体"/>
                <w:b/>
                <w:sz w:val="24"/>
                <w:szCs w:val="24"/>
              </w:rPr>
            </w:pPr>
            <w:r>
              <w:rPr>
                <w:rFonts w:hint="eastAsia" w:ascii="宋体" w:hAnsi="宋体"/>
                <w:b/>
                <w:sz w:val="24"/>
                <w:szCs w:val="24"/>
              </w:rPr>
              <w:t>总价</w:t>
            </w:r>
          </w:p>
          <w:p w14:paraId="7BF29EB2">
            <w:pPr>
              <w:pStyle w:val="23"/>
              <w:ind w:left="360" w:hanging="360"/>
              <w:jc w:val="center"/>
              <w:rPr>
                <w:rFonts w:ascii="宋体" w:hAnsi="宋体"/>
                <w:bCs/>
                <w:sz w:val="24"/>
                <w:szCs w:val="24"/>
              </w:rPr>
            </w:pPr>
            <w:r>
              <w:rPr>
                <w:rFonts w:hint="eastAsia" w:ascii="宋体" w:hAnsi="宋体"/>
                <w:sz w:val="18"/>
                <w:szCs w:val="18"/>
              </w:rPr>
              <w:t>（元，含税，）</w:t>
            </w:r>
          </w:p>
        </w:tc>
      </w:tr>
      <w:tr w14:paraId="0741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719" w:type="dxa"/>
            <w:vAlign w:val="center"/>
          </w:tcPr>
          <w:p w14:paraId="648A4A23">
            <w:pPr>
              <w:pStyle w:val="23"/>
              <w:ind w:left="480" w:hanging="480"/>
              <w:jc w:val="center"/>
              <w:rPr>
                <w:rFonts w:ascii="宋体" w:hAnsi="宋体"/>
                <w:sz w:val="24"/>
                <w:szCs w:val="24"/>
              </w:rPr>
            </w:pPr>
            <w:r>
              <w:rPr>
                <w:rFonts w:hint="eastAsia" w:ascii="宋体" w:hAnsi="宋体"/>
                <w:sz w:val="24"/>
                <w:szCs w:val="24"/>
              </w:rPr>
              <w:t>1</w:t>
            </w:r>
          </w:p>
        </w:tc>
        <w:tc>
          <w:tcPr>
            <w:tcW w:w="1445" w:type="dxa"/>
            <w:vAlign w:val="center"/>
          </w:tcPr>
          <w:p w14:paraId="5F6FEF87">
            <w:pPr>
              <w:pStyle w:val="23"/>
              <w:ind w:left="480" w:hanging="480"/>
              <w:rPr>
                <w:rFonts w:ascii="宋体" w:hAnsi="宋体"/>
                <w:sz w:val="24"/>
                <w:szCs w:val="24"/>
              </w:rPr>
            </w:pPr>
          </w:p>
        </w:tc>
        <w:tc>
          <w:tcPr>
            <w:tcW w:w="1678" w:type="dxa"/>
          </w:tcPr>
          <w:p w14:paraId="2F64072E">
            <w:pPr>
              <w:pStyle w:val="23"/>
              <w:ind w:left="480" w:hanging="480"/>
              <w:rPr>
                <w:rFonts w:ascii="宋体" w:hAnsi="宋体"/>
                <w:sz w:val="24"/>
                <w:szCs w:val="24"/>
              </w:rPr>
            </w:pPr>
          </w:p>
        </w:tc>
        <w:tc>
          <w:tcPr>
            <w:tcW w:w="1009" w:type="dxa"/>
          </w:tcPr>
          <w:p w14:paraId="0A8CEB90">
            <w:pPr>
              <w:pStyle w:val="23"/>
              <w:ind w:left="480" w:hanging="480"/>
              <w:rPr>
                <w:rFonts w:ascii="宋体" w:hAnsi="宋体"/>
                <w:sz w:val="24"/>
                <w:szCs w:val="24"/>
              </w:rPr>
            </w:pPr>
          </w:p>
        </w:tc>
        <w:tc>
          <w:tcPr>
            <w:tcW w:w="835" w:type="dxa"/>
          </w:tcPr>
          <w:p w14:paraId="10F8055D">
            <w:pPr>
              <w:pStyle w:val="23"/>
              <w:ind w:left="480" w:hanging="480"/>
              <w:rPr>
                <w:rFonts w:ascii="宋体" w:hAnsi="宋体"/>
                <w:sz w:val="24"/>
                <w:szCs w:val="24"/>
              </w:rPr>
            </w:pPr>
          </w:p>
        </w:tc>
        <w:tc>
          <w:tcPr>
            <w:tcW w:w="1194" w:type="dxa"/>
          </w:tcPr>
          <w:p w14:paraId="4BE586F8">
            <w:pPr>
              <w:pStyle w:val="23"/>
              <w:ind w:left="480" w:hanging="480"/>
              <w:rPr>
                <w:rFonts w:ascii="宋体" w:hAnsi="宋体"/>
                <w:sz w:val="24"/>
                <w:szCs w:val="24"/>
              </w:rPr>
            </w:pPr>
          </w:p>
        </w:tc>
        <w:tc>
          <w:tcPr>
            <w:tcW w:w="1194" w:type="dxa"/>
          </w:tcPr>
          <w:p w14:paraId="095AC445">
            <w:pPr>
              <w:pStyle w:val="23"/>
              <w:ind w:left="480" w:hanging="480"/>
              <w:rPr>
                <w:rFonts w:ascii="宋体" w:hAnsi="宋体"/>
                <w:sz w:val="24"/>
                <w:szCs w:val="24"/>
              </w:rPr>
            </w:pPr>
          </w:p>
        </w:tc>
        <w:tc>
          <w:tcPr>
            <w:tcW w:w="1194" w:type="dxa"/>
          </w:tcPr>
          <w:p w14:paraId="5B3D0F1E">
            <w:pPr>
              <w:pStyle w:val="23"/>
              <w:ind w:left="480" w:hanging="480"/>
              <w:rPr>
                <w:rFonts w:ascii="宋体" w:hAnsi="宋体"/>
                <w:sz w:val="24"/>
                <w:szCs w:val="24"/>
              </w:rPr>
            </w:pPr>
          </w:p>
        </w:tc>
        <w:tc>
          <w:tcPr>
            <w:tcW w:w="1207" w:type="dxa"/>
          </w:tcPr>
          <w:p w14:paraId="25954907">
            <w:pPr>
              <w:pStyle w:val="23"/>
              <w:ind w:left="480" w:hanging="480"/>
              <w:rPr>
                <w:rFonts w:ascii="宋体" w:hAnsi="宋体"/>
                <w:sz w:val="24"/>
                <w:szCs w:val="24"/>
              </w:rPr>
            </w:pPr>
          </w:p>
        </w:tc>
      </w:tr>
      <w:tr w14:paraId="7BF3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7A25F82D">
            <w:pPr>
              <w:pStyle w:val="23"/>
              <w:ind w:left="480" w:hanging="480"/>
              <w:jc w:val="center"/>
              <w:rPr>
                <w:rFonts w:ascii="宋体" w:hAnsi="宋体"/>
                <w:sz w:val="24"/>
                <w:szCs w:val="24"/>
              </w:rPr>
            </w:pPr>
            <w:r>
              <w:rPr>
                <w:rFonts w:hint="eastAsia" w:ascii="宋体" w:hAnsi="宋体"/>
                <w:sz w:val="24"/>
                <w:szCs w:val="24"/>
              </w:rPr>
              <w:t>2</w:t>
            </w:r>
          </w:p>
        </w:tc>
        <w:tc>
          <w:tcPr>
            <w:tcW w:w="1445" w:type="dxa"/>
            <w:vAlign w:val="center"/>
          </w:tcPr>
          <w:p w14:paraId="5285D159">
            <w:pPr>
              <w:pStyle w:val="23"/>
              <w:ind w:left="480" w:hanging="480"/>
              <w:rPr>
                <w:rFonts w:ascii="宋体" w:hAnsi="宋体"/>
                <w:sz w:val="24"/>
                <w:szCs w:val="24"/>
              </w:rPr>
            </w:pPr>
          </w:p>
        </w:tc>
        <w:tc>
          <w:tcPr>
            <w:tcW w:w="1678" w:type="dxa"/>
          </w:tcPr>
          <w:p w14:paraId="1455D312">
            <w:pPr>
              <w:pStyle w:val="23"/>
              <w:ind w:left="480" w:hanging="480"/>
              <w:rPr>
                <w:rFonts w:ascii="宋体" w:hAnsi="宋体"/>
                <w:sz w:val="24"/>
                <w:szCs w:val="24"/>
              </w:rPr>
            </w:pPr>
          </w:p>
        </w:tc>
        <w:tc>
          <w:tcPr>
            <w:tcW w:w="1009" w:type="dxa"/>
          </w:tcPr>
          <w:p w14:paraId="53850210">
            <w:pPr>
              <w:pStyle w:val="23"/>
              <w:ind w:left="480" w:hanging="480"/>
              <w:rPr>
                <w:rFonts w:ascii="宋体" w:hAnsi="宋体"/>
                <w:sz w:val="24"/>
                <w:szCs w:val="24"/>
              </w:rPr>
            </w:pPr>
          </w:p>
        </w:tc>
        <w:tc>
          <w:tcPr>
            <w:tcW w:w="835" w:type="dxa"/>
          </w:tcPr>
          <w:p w14:paraId="7209E7F3">
            <w:pPr>
              <w:pStyle w:val="23"/>
              <w:ind w:left="480" w:hanging="480"/>
              <w:rPr>
                <w:rFonts w:ascii="宋体" w:hAnsi="宋体"/>
                <w:sz w:val="24"/>
                <w:szCs w:val="24"/>
              </w:rPr>
            </w:pPr>
          </w:p>
        </w:tc>
        <w:tc>
          <w:tcPr>
            <w:tcW w:w="1194" w:type="dxa"/>
          </w:tcPr>
          <w:p w14:paraId="16A1024E">
            <w:pPr>
              <w:pStyle w:val="23"/>
              <w:ind w:left="480" w:hanging="480"/>
              <w:rPr>
                <w:rFonts w:ascii="宋体" w:hAnsi="宋体"/>
                <w:sz w:val="24"/>
                <w:szCs w:val="24"/>
              </w:rPr>
            </w:pPr>
          </w:p>
        </w:tc>
        <w:tc>
          <w:tcPr>
            <w:tcW w:w="1194" w:type="dxa"/>
          </w:tcPr>
          <w:p w14:paraId="179B8D35">
            <w:pPr>
              <w:pStyle w:val="23"/>
              <w:ind w:left="480" w:hanging="480"/>
              <w:rPr>
                <w:rFonts w:ascii="宋体" w:hAnsi="宋体"/>
                <w:sz w:val="24"/>
                <w:szCs w:val="24"/>
              </w:rPr>
            </w:pPr>
          </w:p>
        </w:tc>
        <w:tc>
          <w:tcPr>
            <w:tcW w:w="1194" w:type="dxa"/>
          </w:tcPr>
          <w:p w14:paraId="28CE3970">
            <w:pPr>
              <w:pStyle w:val="23"/>
              <w:ind w:left="480" w:hanging="480"/>
              <w:rPr>
                <w:rFonts w:ascii="宋体" w:hAnsi="宋体"/>
                <w:sz w:val="24"/>
                <w:szCs w:val="24"/>
              </w:rPr>
            </w:pPr>
          </w:p>
        </w:tc>
        <w:tc>
          <w:tcPr>
            <w:tcW w:w="1207" w:type="dxa"/>
          </w:tcPr>
          <w:p w14:paraId="034CD50B">
            <w:pPr>
              <w:pStyle w:val="23"/>
              <w:ind w:left="480" w:hanging="480"/>
              <w:rPr>
                <w:rFonts w:ascii="宋体" w:hAnsi="宋体"/>
                <w:sz w:val="24"/>
                <w:szCs w:val="24"/>
              </w:rPr>
            </w:pPr>
          </w:p>
        </w:tc>
      </w:tr>
      <w:tr w14:paraId="7BDA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2E9ED12E">
            <w:pPr>
              <w:pStyle w:val="23"/>
              <w:ind w:left="480" w:hanging="480"/>
              <w:jc w:val="center"/>
              <w:rPr>
                <w:rFonts w:ascii="宋体" w:hAnsi="宋体"/>
                <w:sz w:val="24"/>
                <w:szCs w:val="24"/>
              </w:rPr>
            </w:pPr>
            <w:r>
              <w:rPr>
                <w:rFonts w:hint="eastAsia" w:ascii="宋体" w:hAnsi="宋体"/>
                <w:sz w:val="24"/>
                <w:szCs w:val="24"/>
              </w:rPr>
              <w:t>3</w:t>
            </w:r>
          </w:p>
        </w:tc>
        <w:tc>
          <w:tcPr>
            <w:tcW w:w="1445" w:type="dxa"/>
            <w:vAlign w:val="center"/>
          </w:tcPr>
          <w:p w14:paraId="636DDC1E">
            <w:pPr>
              <w:pStyle w:val="23"/>
              <w:ind w:left="480" w:hanging="480"/>
              <w:rPr>
                <w:rFonts w:ascii="宋体" w:hAnsi="宋体"/>
                <w:sz w:val="24"/>
                <w:szCs w:val="24"/>
              </w:rPr>
            </w:pPr>
          </w:p>
        </w:tc>
        <w:tc>
          <w:tcPr>
            <w:tcW w:w="1678" w:type="dxa"/>
          </w:tcPr>
          <w:p w14:paraId="7ACA8136">
            <w:pPr>
              <w:pStyle w:val="23"/>
              <w:ind w:left="480" w:hanging="480"/>
              <w:rPr>
                <w:rFonts w:ascii="宋体" w:hAnsi="宋体"/>
                <w:sz w:val="24"/>
                <w:szCs w:val="24"/>
              </w:rPr>
            </w:pPr>
          </w:p>
        </w:tc>
        <w:tc>
          <w:tcPr>
            <w:tcW w:w="1009" w:type="dxa"/>
          </w:tcPr>
          <w:p w14:paraId="2B96C37B">
            <w:pPr>
              <w:pStyle w:val="23"/>
              <w:ind w:left="480" w:hanging="480"/>
              <w:rPr>
                <w:rFonts w:ascii="宋体" w:hAnsi="宋体"/>
                <w:sz w:val="24"/>
                <w:szCs w:val="24"/>
              </w:rPr>
            </w:pPr>
          </w:p>
        </w:tc>
        <w:tc>
          <w:tcPr>
            <w:tcW w:w="835" w:type="dxa"/>
          </w:tcPr>
          <w:p w14:paraId="1CD18DD5">
            <w:pPr>
              <w:pStyle w:val="23"/>
              <w:ind w:left="480" w:hanging="480"/>
              <w:rPr>
                <w:rFonts w:ascii="宋体" w:hAnsi="宋体"/>
                <w:sz w:val="24"/>
                <w:szCs w:val="24"/>
              </w:rPr>
            </w:pPr>
          </w:p>
        </w:tc>
        <w:tc>
          <w:tcPr>
            <w:tcW w:w="1194" w:type="dxa"/>
          </w:tcPr>
          <w:p w14:paraId="27D6AA4C">
            <w:pPr>
              <w:pStyle w:val="23"/>
              <w:ind w:left="480" w:hanging="480"/>
              <w:rPr>
                <w:rFonts w:ascii="宋体" w:hAnsi="宋体"/>
                <w:sz w:val="24"/>
                <w:szCs w:val="24"/>
              </w:rPr>
            </w:pPr>
          </w:p>
        </w:tc>
        <w:tc>
          <w:tcPr>
            <w:tcW w:w="1194" w:type="dxa"/>
          </w:tcPr>
          <w:p w14:paraId="1CA32AF3">
            <w:pPr>
              <w:pStyle w:val="23"/>
              <w:ind w:left="480" w:hanging="480"/>
              <w:rPr>
                <w:rFonts w:ascii="宋体" w:hAnsi="宋体"/>
                <w:sz w:val="24"/>
                <w:szCs w:val="24"/>
              </w:rPr>
            </w:pPr>
          </w:p>
        </w:tc>
        <w:tc>
          <w:tcPr>
            <w:tcW w:w="1194" w:type="dxa"/>
          </w:tcPr>
          <w:p w14:paraId="60B284AC">
            <w:pPr>
              <w:pStyle w:val="23"/>
              <w:ind w:left="480" w:hanging="480"/>
              <w:rPr>
                <w:rFonts w:ascii="宋体" w:hAnsi="宋体"/>
                <w:sz w:val="24"/>
                <w:szCs w:val="24"/>
              </w:rPr>
            </w:pPr>
          </w:p>
        </w:tc>
        <w:tc>
          <w:tcPr>
            <w:tcW w:w="1207" w:type="dxa"/>
          </w:tcPr>
          <w:p w14:paraId="40559CC0">
            <w:pPr>
              <w:pStyle w:val="23"/>
              <w:ind w:left="480" w:hanging="480"/>
              <w:rPr>
                <w:rFonts w:ascii="宋体" w:hAnsi="宋体"/>
                <w:sz w:val="24"/>
                <w:szCs w:val="24"/>
              </w:rPr>
            </w:pPr>
          </w:p>
        </w:tc>
      </w:tr>
      <w:tr w14:paraId="74E4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3D55A553">
            <w:pPr>
              <w:pStyle w:val="23"/>
              <w:ind w:left="480" w:hanging="480"/>
              <w:jc w:val="center"/>
              <w:rPr>
                <w:rFonts w:hint="eastAsia" w:ascii="宋体" w:hAnsi="宋体" w:eastAsia="宋体"/>
                <w:sz w:val="24"/>
                <w:szCs w:val="24"/>
                <w:lang w:val="en-US" w:eastAsia="zh-CN"/>
              </w:rPr>
            </w:pPr>
            <w:r>
              <w:rPr>
                <w:rFonts w:hint="eastAsia" w:ascii="宋体" w:hAnsi="宋体"/>
                <w:sz w:val="24"/>
                <w:szCs w:val="24"/>
                <w:lang w:val="en-US" w:eastAsia="zh-CN"/>
              </w:rPr>
              <w:t>4</w:t>
            </w:r>
          </w:p>
        </w:tc>
        <w:tc>
          <w:tcPr>
            <w:tcW w:w="1445" w:type="dxa"/>
            <w:vAlign w:val="center"/>
          </w:tcPr>
          <w:p w14:paraId="62009E67">
            <w:pPr>
              <w:pStyle w:val="23"/>
              <w:ind w:left="480" w:hanging="480"/>
              <w:rPr>
                <w:rFonts w:ascii="宋体" w:hAnsi="宋体"/>
                <w:sz w:val="24"/>
                <w:szCs w:val="24"/>
              </w:rPr>
            </w:pPr>
          </w:p>
        </w:tc>
        <w:tc>
          <w:tcPr>
            <w:tcW w:w="1678" w:type="dxa"/>
          </w:tcPr>
          <w:p w14:paraId="2E4ECEAA">
            <w:pPr>
              <w:pStyle w:val="23"/>
              <w:ind w:left="480" w:hanging="480"/>
              <w:rPr>
                <w:rFonts w:ascii="宋体" w:hAnsi="宋体"/>
                <w:sz w:val="24"/>
                <w:szCs w:val="24"/>
              </w:rPr>
            </w:pPr>
          </w:p>
        </w:tc>
        <w:tc>
          <w:tcPr>
            <w:tcW w:w="1009" w:type="dxa"/>
          </w:tcPr>
          <w:p w14:paraId="1CAB98D0">
            <w:pPr>
              <w:pStyle w:val="23"/>
              <w:ind w:left="480" w:hanging="480"/>
              <w:rPr>
                <w:rFonts w:ascii="宋体" w:hAnsi="宋体"/>
                <w:sz w:val="24"/>
                <w:szCs w:val="24"/>
              </w:rPr>
            </w:pPr>
          </w:p>
        </w:tc>
        <w:tc>
          <w:tcPr>
            <w:tcW w:w="835" w:type="dxa"/>
          </w:tcPr>
          <w:p w14:paraId="5EB37ED1">
            <w:pPr>
              <w:pStyle w:val="23"/>
              <w:ind w:left="480" w:hanging="480"/>
              <w:rPr>
                <w:rFonts w:ascii="宋体" w:hAnsi="宋体"/>
                <w:sz w:val="24"/>
                <w:szCs w:val="24"/>
              </w:rPr>
            </w:pPr>
          </w:p>
        </w:tc>
        <w:tc>
          <w:tcPr>
            <w:tcW w:w="1194" w:type="dxa"/>
          </w:tcPr>
          <w:p w14:paraId="609867BF">
            <w:pPr>
              <w:pStyle w:val="23"/>
              <w:ind w:left="480" w:hanging="480"/>
              <w:rPr>
                <w:rFonts w:ascii="宋体" w:hAnsi="宋体"/>
                <w:sz w:val="24"/>
                <w:szCs w:val="24"/>
              </w:rPr>
            </w:pPr>
          </w:p>
        </w:tc>
        <w:tc>
          <w:tcPr>
            <w:tcW w:w="1194" w:type="dxa"/>
          </w:tcPr>
          <w:p w14:paraId="2E0E09DC">
            <w:pPr>
              <w:pStyle w:val="23"/>
              <w:ind w:left="480" w:hanging="480"/>
              <w:rPr>
                <w:rFonts w:ascii="宋体" w:hAnsi="宋体"/>
                <w:sz w:val="24"/>
                <w:szCs w:val="24"/>
              </w:rPr>
            </w:pPr>
          </w:p>
        </w:tc>
        <w:tc>
          <w:tcPr>
            <w:tcW w:w="1194" w:type="dxa"/>
          </w:tcPr>
          <w:p w14:paraId="3C6A8C51">
            <w:pPr>
              <w:pStyle w:val="23"/>
              <w:ind w:left="480" w:hanging="480"/>
              <w:rPr>
                <w:rFonts w:ascii="宋体" w:hAnsi="宋体"/>
                <w:sz w:val="24"/>
                <w:szCs w:val="24"/>
              </w:rPr>
            </w:pPr>
          </w:p>
        </w:tc>
        <w:tc>
          <w:tcPr>
            <w:tcW w:w="1207" w:type="dxa"/>
          </w:tcPr>
          <w:p w14:paraId="244718A6">
            <w:pPr>
              <w:pStyle w:val="23"/>
              <w:ind w:left="480" w:hanging="480"/>
              <w:rPr>
                <w:rFonts w:ascii="宋体" w:hAnsi="宋体"/>
                <w:sz w:val="24"/>
                <w:szCs w:val="24"/>
              </w:rPr>
            </w:pPr>
          </w:p>
        </w:tc>
      </w:tr>
      <w:tr w14:paraId="6E02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6D95A4B8">
            <w:pPr>
              <w:pStyle w:val="23"/>
              <w:ind w:left="480" w:hanging="480"/>
              <w:jc w:val="center"/>
              <w:rPr>
                <w:rFonts w:hint="eastAsia" w:ascii="宋体" w:hAnsi="宋体" w:eastAsia="宋体"/>
                <w:sz w:val="24"/>
                <w:szCs w:val="24"/>
                <w:lang w:val="en-US" w:eastAsia="zh-CN"/>
              </w:rPr>
            </w:pPr>
            <w:r>
              <w:rPr>
                <w:rFonts w:hint="eastAsia" w:ascii="宋体" w:hAnsi="宋体"/>
                <w:sz w:val="24"/>
                <w:szCs w:val="24"/>
                <w:lang w:val="en-US" w:eastAsia="zh-CN"/>
              </w:rPr>
              <w:t>5</w:t>
            </w:r>
          </w:p>
        </w:tc>
        <w:tc>
          <w:tcPr>
            <w:tcW w:w="1445" w:type="dxa"/>
            <w:vAlign w:val="center"/>
          </w:tcPr>
          <w:p w14:paraId="45B063CA">
            <w:pPr>
              <w:pStyle w:val="23"/>
              <w:ind w:left="480" w:hanging="480"/>
              <w:rPr>
                <w:rFonts w:ascii="宋体" w:hAnsi="宋体"/>
                <w:sz w:val="24"/>
                <w:szCs w:val="24"/>
              </w:rPr>
            </w:pPr>
          </w:p>
        </w:tc>
        <w:tc>
          <w:tcPr>
            <w:tcW w:w="1678" w:type="dxa"/>
          </w:tcPr>
          <w:p w14:paraId="570760C0">
            <w:pPr>
              <w:pStyle w:val="23"/>
              <w:ind w:left="480" w:hanging="480"/>
              <w:rPr>
                <w:rFonts w:ascii="宋体" w:hAnsi="宋体"/>
                <w:sz w:val="24"/>
                <w:szCs w:val="24"/>
              </w:rPr>
            </w:pPr>
          </w:p>
        </w:tc>
        <w:tc>
          <w:tcPr>
            <w:tcW w:w="1009" w:type="dxa"/>
          </w:tcPr>
          <w:p w14:paraId="1F125C93">
            <w:pPr>
              <w:pStyle w:val="23"/>
              <w:ind w:left="480" w:hanging="480"/>
              <w:rPr>
                <w:rFonts w:ascii="宋体" w:hAnsi="宋体"/>
                <w:sz w:val="24"/>
                <w:szCs w:val="24"/>
              </w:rPr>
            </w:pPr>
          </w:p>
        </w:tc>
        <w:tc>
          <w:tcPr>
            <w:tcW w:w="835" w:type="dxa"/>
          </w:tcPr>
          <w:p w14:paraId="1CA40DAF">
            <w:pPr>
              <w:pStyle w:val="23"/>
              <w:ind w:left="480" w:hanging="480"/>
              <w:rPr>
                <w:rFonts w:ascii="宋体" w:hAnsi="宋体"/>
                <w:sz w:val="24"/>
                <w:szCs w:val="24"/>
              </w:rPr>
            </w:pPr>
          </w:p>
        </w:tc>
        <w:tc>
          <w:tcPr>
            <w:tcW w:w="1194" w:type="dxa"/>
          </w:tcPr>
          <w:p w14:paraId="2A10197F">
            <w:pPr>
              <w:pStyle w:val="23"/>
              <w:ind w:left="480" w:hanging="480"/>
              <w:rPr>
                <w:rFonts w:ascii="宋体" w:hAnsi="宋体"/>
                <w:sz w:val="24"/>
                <w:szCs w:val="24"/>
              </w:rPr>
            </w:pPr>
          </w:p>
        </w:tc>
        <w:tc>
          <w:tcPr>
            <w:tcW w:w="1194" w:type="dxa"/>
          </w:tcPr>
          <w:p w14:paraId="6E2D13AB">
            <w:pPr>
              <w:pStyle w:val="23"/>
              <w:ind w:left="480" w:hanging="480"/>
              <w:rPr>
                <w:rFonts w:ascii="宋体" w:hAnsi="宋体"/>
                <w:sz w:val="24"/>
                <w:szCs w:val="24"/>
              </w:rPr>
            </w:pPr>
          </w:p>
        </w:tc>
        <w:tc>
          <w:tcPr>
            <w:tcW w:w="1194" w:type="dxa"/>
          </w:tcPr>
          <w:p w14:paraId="51267355">
            <w:pPr>
              <w:pStyle w:val="23"/>
              <w:ind w:left="480" w:hanging="480"/>
              <w:rPr>
                <w:rFonts w:ascii="宋体" w:hAnsi="宋体"/>
                <w:sz w:val="24"/>
                <w:szCs w:val="24"/>
              </w:rPr>
            </w:pPr>
          </w:p>
        </w:tc>
        <w:tc>
          <w:tcPr>
            <w:tcW w:w="1207" w:type="dxa"/>
          </w:tcPr>
          <w:p w14:paraId="7CB4161B">
            <w:pPr>
              <w:pStyle w:val="23"/>
              <w:ind w:left="480" w:hanging="480"/>
              <w:rPr>
                <w:rFonts w:ascii="宋体" w:hAnsi="宋体"/>
                <w:sz w:val="24"/>
                <w:szCs w:val="24"/>
              </w:rPr>
            </w:pPr>
          </w:p>
        </w:tc>
      </w:tr>
      <w:tr w14:paraId="7EBF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164" w:type="dxa"/>
            <w:gridSpan w:val="2"/>
            <w:vAlign w:val="center"/>
          </w:tcPr>
          <w:p w14:paraId="3C98D724">
            <w:pPr>
              <w:pStyle w:val="23"/>
              <w:ind w:left="480" w:hanging="480"/>
              <w:jc w:val="center"/>
              <w:rPr>
                <w:rFonts w:ascii="宋体" w:hAnsi="宋体"/>
                <w:sz w:val="24"/>
                <w:szCs w:val="24"/>
              </w:rPr>
            </w:pPr>
            <w:r>
              <w:rPr>
                <w:rFonts w:hint="eastAsia" w:ascii="宋体" w:hAnsi="宋体"/>
                <w:sz w:val="24"/>
                <w:szCs w:val="24"/>
              </w:rPr>
              <w:t>合   计</w:t>
            </w:r>
          </w:p>
        </w:tc>
        <w:tc>
          <w:tcPr>
            <w:tcW w:w="1678" w:type="dxa"/>
          </w:tcPr>
          <w:p w14:paraId="562926EC">
            <w:pPr>
              <w:pStyle w:val="23"/>
              <w:ind w:left="480" w:hanging="480"/>
              <w:jc w:val="center"/>
              <w:rPr>
                <w:rFonts w:ascii="宋体" w:hAnsi="宋体"/>
                <w:sz w:val="24"/>
                <w:szCs w:val="24"/>
              </w:rPr>
            </w:pPr>
          </w:p>
        </w:tc>
        <w:tc>
          <w:tcPr>
            <w:tcW w:w="1009" w:type="dxa"/>
          </w:tcPr>
          <w:p w14:paraId="4501A04D">
            <w:pPr>
              <w:pStyle w:val="23"/>
              <w:ind w:left="480" w:hanging="480"/>
              <w:jc w:val="center"/>
              <w:rPr>
                <w:rFonts w:ascii="宋体" w:hAnsi="宋体"/>
                <w:sz w:val="24"/>
                <w:szCs w:val="24"/>
              </w:rPr>
            </w:pPr>
          </w:p>
        </w:tc>
        <w:tc>
          <w:tcPr>
            <w:tcW w:w="835" w:type="dxa"/>
          </w:tcPr>
          <w:p w14:paraId="05621380">
            <w:pPr>
              <w:pStyle w:val="23"/>
              <w:ind w:left="480" w:hanging="480"/>
              <w:jc w:val="center"/>
              <w:rPr>
                <w:rFonts w:ascii="宋体" w:hAnsi="宋体"/>
                <w:sz w:val="24"/>
                <w:szCs w:val="24"/>
              </w:rPr>
            </w:pPr>
          </w:p>
        </w:tc>
        <w:tc>
          <w:tcPr>
            <w:tcW w:w="1194" w:type="dxa"/>
          </w:tcPr>
          <w:p w14:paraId="56A192AF">
            <w:pPr>
              <w:pStyle w:val="23"/>
              <w:ind w:left="480" w:hanging="480"/>
              <w:jc w:val="center"/>
              <w:rPr>
                <w:rFonts w:ascii="宋体" w:hAnsi="宋体"/>
                <w:sz w:val="24"/>
                <w:szCs w:val="24"/>
              </w:rPr>
            </w:pPr>
          </w:p>
        </w:tc>
        <w:tc>
          <w:tcPr>
            <w:tcW w:w="1194" w:type="dxa"/>
          </w:tcPr>
          <w:p w14:paraId="79C191D5">
            <w:pPr>
              <w:pStyle w:val="23"/>
              <w:ind w:left="480" w:hanging="480"/>
              <w:jc w:val="center"/>
              <w:rPr>
                <w:rFonts w:ascii="宋体" w:hAnsi="宋体"/>
                <w:sz w:val="24"/>
                <w:szCs w:val="24"/>
              </w:rPr>
            </w:pPr>
          </w:p>
        </w:tc>
        <w:tc>
          <w:tcPr>
            <w:tcW w:w="1194" w:type="dxa"/>
          </w:tcPr>
          <w:p w14:paraId="42AE04E9">
            <w:pPr>
              <w:pStyle w:val="23"/>
              <w:ind w:left="480" w:hanging="480"/>
              <w:jc w:val="center"/>
              <w:rPr>
                <w:rFonts w:ascii="宋体" w:hAnsi="宋体"/>
                <w:sz w:val="24"/>
                <w:szCs w:val="24"/>
              </w:rPr>
            </w:pPr>
          </w:p>
        </w:tc>
        <w:tc>
          <w:tcPr>
            <w:tcW w:w="1207" w:type="dxa"/>
          </w:tcPr>
          <w:p w14:paraId="66EAC29D">
            <w:pPr>
              <w:pStyle w:val="23"/>
              <w:ind w:left="480" w:hanging="480"/>
              <w:jc w:val="center"/>
              <w:rPr>
                <w:rFonts w:ascii="宋体" w:hAnsi="宋体"/>
                <w:sz w:val="24"/>
                <w:szCs w:val="24"/>
              </w:rPr>
            </w:pPr>
          </w:p>
        </w:tc>
      </w:tr>
    </w:tbl>
    <w:p w14:paraId="322663EB">
      <w:pPr>
        <w:rPr>
          <w:rFonts w:ascii="宋体" w:hAnsi="宋体"/>
          <w:b/>
          <w:sz w:val="24"/>
        </w:rPr>
      </w:pPr>
      <w:r>
        <w:rPr>
          <w:rFonts w:hint="eastAsia" w:ascii="宋体" w:hAnsi="宋体"/>
          <w:b/>
          <w:sz w:val="24"/>
        </w:rPr>
        <w:t>注：</w:t>
      </w:r>
    </w:p>
    <w:p w14:paraId="605C5EC0">
      <w:pPr>
        <w:numPr>
          <w:ilvl w:val="0"/>
          <w:numId w:val="34"/>
        </w:numPr>
        <w:rPr>
          <w:rFonts w:ascii="宋体" w:hAnsi="宋体"/>
          <w:sz w:val="24"/>
        </w:rPr>
      </w:pPr>
      <w:r>
        <w:rPr>
          <w:rFonts w:hint="eastAsia" w:ascii="宋体" w:hAnsi="宋体"/>
          <w:sz w:val="24"/>
        </w:rPr>
        <w:t>选购件不包括在本报价表内，应另附纸分项单报。</w:t>
      </w:r>
    </w:p>
    <w:p w14:paraId="44510085">
      <w:pPr>
        <w:numPr>
          <w:ilvl w:val="0"/>
          <w:numId w:val="34"/>
        </w:numPr>
        <w:rPr>
          <w:rFonts w:ascii="宋体" w:hAnsi="宋体"/>
          <w:sz w:val="24"/>
        </w:rPr>
      </w:pPr>
      <w:r>
        <w:rPr>
          <w:rFonts w:hint="eastAsia" w:ascii="宋体" w:hAnsi="宋体"/>
          <w:sz w:val="24"/>
        </w:rPr>
        <w:t>如上表中的有关费用投标人免费提供，请注明“免费”字样。</w:t>
      </w:r>
    </w:p>
    <w:p w14:paraId="76E21E64">
      <w:pPr>
        <w:spacing w:line="660" w:lineRule="exact"/>
        <w:rPr>
          <w:rFonts w:hint="eastAsia" w:ascii="宋体" w:hAnsi="宋体"/>
          <w:sz w:val="24"/>
        </w:rPr>
      </w:pPr>
    </w:p>
    <w:p w14:paraId="7A5CEBCB">
      <w:pPr>
        <w:spacing w:line="660" w:lineRule="exact"/>
        <w:rPr>
          <w:rFonts w:ascii="宋体" w:hAnsi="宋体"/>
          <w:sz w:val="24"/>
        </w:rPr>
      </w:pPr>
      <w:r>
        <w:rPr>
          <w:rFonts w:hint="eastAsia" w:ascii="宋体" w:hAnsi="宋体"/>
          <w:sz w:val="24"/>
        </w:rPr>
        <w:t>投标人：（盖章）</w:t>
      </w:r>
    </w:p>
    <w:p w14:paraId="2815CF7E">
      <w:pPr>
        <w:spacing w:line="660" w:lineRule="exact"/>
        <w:rPr>
          <w:rFonts w:hint="eastAsia" w:ascii="宋体" w:hAnsi="宋体"/>
          <w:sz w:val="24"/>
        </w:rPr>
      </w:pPr>
    </w:p>
    <w:p w14:paraId="64B3E42F">
      <w:pPr>
        <w:spacing w:line="660" w:lineRule="exact"/>
        <w:rPr>
          <w:rFonts w:ascii="宋体" w:hAnsi="宋体"/>
          <w:sz w:val="24"/>
        </w:rPr>
      </w:pPr>
      <w:r>
        <w:rPr>
          <w:rFonts w:hint="eastAsia" w:ascii="宋体" w:hAnsi="宋体"/>
          <w:sz w:val="24"/>
        </w:rPr>
        <w:t>法定代表人（授权代表）：（签字）</w:t>
      </w:r>
    </w:p>
    <w:p w14:paraId="11E89FA5">
      <w:pPr>
        <w:spacing w:line="660" w:lineRule="exact"/>
        <w:rPr>
          <w:rFonts w:hint="eastAsia" w:ascii="宋体" w:hAnsi="宋体"/>
          <w:sz w:val="24"/>
        </w:rPr>
      </w:pPr>
    </w:p>
    <w:p w14:paraId="21EB8D54">
      <w:pPr>
        <w:spacing w:line="66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C691387">
      <w:pPr>
        <w:pStyle w:val="78"/>
        <w:rPr>
          <w:rFonts w:hint="default" w:ascii="宋体" w:hAnsi="宋体" w:eastAsia="宋体" w:cs="宋体"/>
          <w:b/>
          <w:bCs w:val="0"/>
          <w:color w:val="FF0000"/>
          <w:sz w:val="18"/>
          <w:szCs w:val="18"/>
          <w:highlight w:val="none"/>
          <w:lang w:val="en-US" w:eastAsia="zh-CN"/>
        </w:rPr>
      </w:pPr>
    </w:p>
    <w:p w14:paraId="0476B914">
      <w:pPr>
        <w:pStyle w:val="78"/>
        <w:rPr>
          <w:rFonts w:hint="default" w:ascii="宋体" w:hAnsi="宋体" w:eastAsia="宋体" w:cs="宋体"/>
          <w:b/>
          <w:bCs w:val="0"/>
          <w:color w:val="FF0000"/>
          <w:sz w:val="18"/>
          <w:szCs w:val="18"/>
          <w:highlight w:val="none"/>
          <w:lang w:val="en-US" w:eastAsia="zh-CN"/>
        </w:rPr>
      </w:pPr>
    </w:p>
    <w:p w14:paraId="564D8809">
      <w:pPr>
        <w:pStyle w:val="74"/>
        <w:numPr>
          <w:ilvl w:val="0"/>
          <w:numId w:val="0"/>
        </w:numPr>
        <w:ind w:leftChars="0"/>
        <w:rPr>
          <w:rFonts w:hint="default" w:eastAsia="黑体"/>
          <w:b/>
          <w:bCs/>
          <w:sz w:val="28"/>
          <w:lang w:val="en-US"/>
        </w:rPr>
      </w:pPr>
      <w:r>
        <w:rPr>
          <w:rFonts w:hint="eastAsia" w:ascii="宋体" w:hAnsi="宋体" w:eastAsia="宋体" w:cs="宋体"/>
          <w:sz w:val="32"/>
          <w:szCs w:val="32"/>
          <w:highlight w:val="none"/>
          <w:lang w:val="en-US" w:eastAsia="zh-CN"/>
        </w:rPr>
        <w:t>附件5</w:t>
      </w:r>
    </w:p>
    <w:p w14:paraId="16E26C66">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488712BD">
      <w:pPr>
        <w:rPr>
          <w:rFonts w:ascii="宋体" w:hAnsi="宋体"/>
        </w:rPr>
      </w:pPr>
    </w:p>
    <w:p w14:paraId="717D110F">
      <w:pPr>
        <w:rPr>
          <w:rFonts w:ascii="宋体" w:hAnsi="宋体"/>
          <w:szCs w:val="21"/>
        </w:rPr>
      </w:pPr>
      <w:r>
        <w:rPr>
          <w:rFonts w:hint="eastAsia" w:ascii="宋体" w:hAnsi="宋体"/>
          <w:szCs w:val="21"/>
        </w:rPr>
        <w:t>日期：  年   月   日</w:t>
      </w:r>
    </w:p>
    <w:p w14:paraId="2D35B2E4">
      <w:pPr>
        <w:jc w:val="center"/>
        <w:rPr>
          <w:rFonts w:eastAsia="黑体"/>
          <w:b/>
          <w:bCs/>
          <w:sz w:val="28"/>
        </w:rPr>
      </w:pPr>
    </w:p>
    <w:p w14:paraId="4FBCB4A5">
      <w:pPr>
        <w:jc w:val="center"/>
        <w:rPr>
          <w:rFonts w:eastAsia="黑体"/>
          <w:b/>
          <w:bCs/>
          <w:sz w:val="28"/>
        </w:rPr>
      </w:pPr>
      <w:r>
        <w:rPr>
          <w:rFonts w:hint="eastAsia" w:eastAsia="黑体"/>
          <w:b/>
          <w:bCs/>
          <w:sz w:val="28"/>
        </w:rPr>
        <w:t>相关条款偏离表（含商务偏离及技术偏离）</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2FAB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70A8E9EB">
            <w:pPr>
              <w:jc w:val="center"/>
              <w:rPr>
                <w:rFonts w:ascii="宋体" w:hAnsi="宋体"/>
                <w:sz w:val="24"/>
              </w:rPr>
            </w:pPr>
            <w:r>
              <w:rPr>
                <w:rFonts w:hint="eastAsia" w:ascii="宋体" w:hAnsi="宋体"/>
                <w:sz w:val="24"/>
              </w:rPr>
              <w:t>序号</w:t>
            </w:r>
          </w:p>
        </w:tc>
        <w:tc>
          <w:tcPr>
            <w:tcW w:w="4140" w:type="dxa"/>
            <w:gridSpan w:val="2"/>
            <w:vAlign w:val="center"/>
          </w:tcPr>
          <w:p w14:paraId="4EA15516">
            <w:pPr>
              <w:jc w:val="center"/>
              <w:rPr>
                <w:rFonts w:ascii="宋体" w:hAnsi="宋体"/>
                <w:sz w:val="24"/>
              </w:rPr>
            </w:pPr>
            <w:r>
              <w:rPr>
                <w:rFonts w:hint="eastAsia" w:ascii="宋体" w:hAnsi="宋体"/>
                <w:sz w:val="24"/>
              </w:rPr>
              <w:t>招标文件条款</w:t>
            </w:r>
          </w:p>
        </w:tc>
        <w:tc>
          <w:tcPr>
            <w:tcW w:w="3554" w:type="dxa"/>
            <w:vMerge w:val="restart"/>
            <w:vAlign w:val="center"/>
          </w:tcPr>
          <w:p w14:paraId="3A5D91AD">
            <w:pPr>
              <w:jc w:val="center"/>
              <w:rPr>
                <w:rFonts w:ascii="宋体" w:hAnsi="宋体"/>
                <w:sz w:val="24"/>
              </w:rPr>
            </w:pPr>
            <w:r>
              <w:rPr>
                <w:rFonts w:hint="eastAsia" w:ascii="宋体" w:hAnsi="宋体"/>
                <w:sz w:val="24"/>
              </w:rPr>
              <w:t>偏离内容</w:t>
            </w:r>
          </w:p>
        </w:tc>
      </w:tr>
      <w:tr w14:paraId="02EB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093124F0">
            <w:pPr>
              <w:rPr>
                <w:rFonts w:ascii="宋体" w:hAnsi="宋体"/>
                <w:sz w:val="24"/>
              </w:rPr>
            </w:pPr>
          </w:p>
        </w:tc>
        <w:tc>
          <w:tcPr>
            <w:tcW w:w="1080" w:type="dxa"/>
            <w:vAlign w:val="center"/>
          </w:tcPr>
          <w:p w14:paraId="26A2033B">
            <w:pPr>
              <w:jc w:val="center"/>
              <w:rPr>
                <w:rFonts w:ascii="宋体" w:hAnsi="宋体"/>
                <w:sz w:val="24"/>
              </w:rPr>
            </w:pPr>
            <w:r>
              <w:rPr>
                <w:rFonts w:hint="eastAsia" w:ascii="宋体" w:hAnsi="宋体"/>
                <w:sz w:val="24"/>
              </w:rPr>
              <w:t>条款号</w:t>
            </w:r>
          </w:p>
        </w:tc>
        <w:tc>
          <w:tcPr>
            <w:tcW w:w="3060" w:type="dxa"/>
            <w:vAlign w:val="center"/>
          </w:tcPr>
          <w:p w14:paraId="24872308">
            <w:pPr>
              <w:jc w:val="center"/>
              <w:rPr>
                <w:rFonts w:ascii="宋体" w:hAnsi="宋体"/>
                <w:sz w:val="24"/>
              </w:rPr>
            </w:pPr>
            <w:r>
              <w:rPr>
                <w:rFonts w:hint="eastAsia" w:ascii="宋体" w:hAnsi="宋体"/>
                <w:sz w:val="24"/>
              </w:rPr>
              <w:t>条款要求</w:t>
            </w:r>
          </w:p>
        </w:tc>
        <w:tc>
          <w:tcPr>
            <w:tcW w:w="3554" w:type="dxa"/>
            <w:vMerge w:val="continue"/>
            <w:vAlign w:val="center"/>
          </w:tcPr>
          <w:p w14:paraId="22C53E10">
            <w:pPr>
              <w:jc w:val="center"/>
              <w:rPr>
                <w:rFonts w:ascii="宋体" w:hAnsi="宋体"/>
                <w:sz w:val="24"/>
              </w:rPr>
            </w:pPr>
          </w:p>
        </w:tc>
      </w:tr>
      <w:tr w14:paraId="4693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FFF8ECF">
            <w:pPr>
              <w:jc w:val="center"/>
              <w:rPr>
                <w:rFonts w:ascii="宋体" w:hAnsi="宋体"/>
                <w:sz w:val="24"/>
              </w:rPr>
            </w:pPr>
            <w:r>
              <w:rPr>
                <w:rFonts w:hint="eastAsia" w:ascii="宋体" w:hAnsi="宋体"/>
                <w:sz w:val="24"/>
              </w:rPr>
              <w:t>1</w:t>
            </w:r>
          </w:p>
        </w:tc>
        <w:tc>
          <w:tcPr>
            <w:tcW w:w="1080" w:type="dxa"/>
            <w:vAlign w:val="center"/>
          </w:tcPr>
          <w:p w14:paraId="4E43EFC9">
            <w:pPr>
              <w:rPr>
                <w:rFonts w:ascii="宋体" w:hAnsi="宋体"/>
                <w:sz w:val="24"/>
              </w:rPr>
            </w:pPr>
          </w:p>
        </w:tc>
        <w:tc>
          <w:tcPr>
            <w:tcW w:w="3060" w:type="dxa"/>
            <w:vAlign w:val="center"/>
          </w:tcPr>
          <w:p w14:paraId="3E3006DF">
            <w:pPr>
              <w:rPr>
                <w:rFonts w:ascii="宋体" w:hAnsi="宋体"/>
                <w:sz w:val="24"/>
              </w:rPr>
            </w:pPr>
          </w:p>
        </w:tc>
        <w:tc>
          <w:tcPr>
            <w:tcW w:w="3554" w:type="dxa"/>
            <w:vAlign w:val="center"/>
          </w:tcPr>
          <w:p w14:paraId="5163ED41">
            <w:pPr>
              <w:rPr>
                <w:rFonts w:ascii="宋体" w:hAnsi="宋体"/>
                <w:sz w:val="24"/>
              </w:rPr>
            </w:pPr>
          </w:p>
        </w:tc>
      </w:tr>
      <w:tr w14:paraId="56EA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886F5E">
            <w:pPr>
              <w:jc w:val="center"/>
              <w:rPr>
                <w:rFonts w:ascii="宋体" w:hAnsi="宋体"/>
                <w:sz w:val="24"/>
              </w:rPr>
            </w:pPr>
            <w:r>
              <w:rPr>
                <w:rFonts w:hint="eastAsia" w:ascii="宋体" w:hAnsi="宋体"/>
                <w:sz w:val="24"/>
              </w:rPr>
              <w:t>2</w:t>
            </w:r>
          </w:p>
        </w:tc>
        <w:tc>
          <w:tcPr>
            <w:tcW w:w="1080" w:type="dxa"/>
            <w:vAlign w:val="center"/>
          </w:tcPr>
          <w:p w14:paraId="7EFFD15D">
            <w:pPr>
              <w:rPr>
                <w:rFonts w:ascii="宋体" w:hAnsi="宋体"/>
                <w:sz w:val="24"/>
              </w:rPr>
            </w:pPr>
          </w:p>
        </w:tc>
        <w:tc>
          <w:tcPr>
            <w:tcW w:w="3060" w:type="dxa"/>
            <w:vAlign w:val="center"/>
          </w:tcPr>
          <w:p w14:paraId="679785CB">
            <w:pPr>
              <w:rPr>
                <w:rFonts w:ascii="宋体" w:hAnsi="宋体"/>
                <w:sz w:val="24"/>
              </w:rPr>
            </w:pPr>
          </w:p>
        </w:tc>
        <w:tc>
          <w:tcPr>
            <w:tcW w:w="3554" w:type="dxa"/>
            <w:vAlign w:val="center"/>
          </w:tcPr>
          <w:p w14:paraId="49185FCE">
            <w:pPr>
              <w:rPr>
                <w:rFonts w:ascii="宋体" w:hAnsi="宋体"/>
                <w:sz w:val="24"/>
              </w:rPr>
            </w:pPr>
          </w:p>
        </w:tc>
      </w:tr>
      <w:tr w14:paraId="2200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62B85BC">
            <w:pPr>
              <w:jc w:val="center"/>
              <w:rPr>
                <w:rFonts w:ascii="宋体" w:hAnsi="宋体"/>
                <w:sz w:val="24"/>
              </w:rPr>
            </w:pPr>
            <w:r>
              <w:rPr>
                <w:rFonts w:hint="eastAsia" w:ascii="宋体" w:hAnsi="宋体"/>
                <w:sz w:val="24"/>
              </w:rPr>
              <w:t>3</w:t>
            </w:r>
          </w:p>
        </w:tc>
        <w:tc>
          <w:tcPr>
            <w:tcW w:w="1080" w:type="dxa"/>
            <w:vAlign w:val="center"/>
          </w:tcPr>
          <w:p w14:paraId="6C6E76AE">
            <w:pPr>
              <w:rPr>
                <w:rFonts w:ascii="宋体" w:hAnsi="宋体"/>
                <w:sz w:val="24"/>
              </w:rPr>
            </w:pPr>
          </w:p>
        </w:tc>
        <w:tc>
          <w:tcPr>
            <w:tcW w:w="3060" w:type="dxa"/>
            <w:vAlign w:val="center"/>
          </w:tcPr>
          <w:p w14:paraId="4B088FFB">
            <w:pPr>
              <w:rPr>
                <w:rFonts w:ascii="宋体" w:hAnsi="宋体"/>
                <w:sz w:val="24"/>
              </w:rPr>
            </w:pPr>
          </w:p>
        </w:tc>
        <w:tc>
          <w:tcPr>
            <w:tcW w:w="3554" w:type="dxa"/>
            <w:vAlign w:val="center"/>
          </w:tcPr>
          <w:p w14:paraId="126E813F">
            <w:pPr>
              <w:rPr>
                <w:rFonts w:ascii="宋体" w:hAnsi="宋体"/>
                <w:sz w:val="24"/>
              </w:rPr>
            </w:pPr>
          </w:p>
        </w:tc>
      </w:tr>
      <w:tr w14:paraId="0E90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5574CCF">
            <w:pPr>
              <w:jc w:val="center"/>
              <w:rPr>
                <w:rFonts w:ascii="宋体" w:hAnsi="宋体"/>
                <w:sz w:val="24"/>
              </w:rPr>
            </w:pPr>
            <w:r>
              <w:rPr>
                <w:rFonts w:hint="eastAsia" w:ascii="宋体" w:hAnsi="宋体"/>
                <w:sz w:val="24"/>
              </w:rPr>
              <w:t>4</w:t>
            </w:r>
          </w:p>
        </w:tc>
        <w:tc>
          <w:tcPr>
            <w:tcW w:w="1080" w:type="dxa"/>
            <w:vAlign w:val="center"/>
          </w:tcPr>
          <w:p w14:paraId="03BFD8C8">
            <w:pPr>
              <w:rPr>
                <w:rFonts w:ascii="宋体" w:hAnsi="宋体"/>
                <w:sz w:val="24"/>
              </w:rPr>
            </w:pPr>
          </w:p>
        </w:tc>
        <w:tc>
          <w:tcPr>
            <w:tcW w:w="3060" w:type="dxa"/>
            <w:vAlign w:val="center"/>
          </w:tcPr>
          <w:p w14:paraId="43F3338C">
            <w:pPr>
              <w:rPr>
                <w:rFonts w:ascii="宋体" w:hAnsi="宋体"/>
                <w:sz w:val="24"/>
              </w:rPr>
            </w:pPr>
          </w:p>
        </w:tc>
        <w:tc>
          <w:tcPr>
            <w:tcW w:w="3554" w:type="dxa"/>
            <w:vAlign w:val="center"/>
          </w:tcPr>
          <w:p w14:paraId="3868A788">
            <w:pPr>
              <w:rPr>
                <w:rFonts w:ascii="宋体" w:hAnsi="宋体"/>
                <w:sz w:val="24"/>
              </w:rPr>
            </w:pPr>
          </w:p>
        </w:tc>
      </w:tr>
      <w:tr w14:paraId="33FE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4CB4110">
            <w:pPr>
              <w:jc w:val="center"/>
              <w:rPr>
                <w:rFonts w:ascii="宋体" w:hAnsi="宋体"/>
                <w:sz w:val="24"/>
              </w:rPr>
            </w:pPr>
            <w:r>
              <w:rPr>
                <w:rFonts w:hint="eastAsia" w:ascii="宋体" w:hAnsi="宋体"/>
                <w:sz w:val="24"/>
              </w:rPr>
              <w:t>5</w:t>
            </w:r>
          </w:p>
        </w:tc>
        <w:tc>
          <w:tcPr>
            <w:tcW w:w="1080" w:type="dxa"/>
            <w:vAlign w:val="center"/>
          </w:tcPr>
          <w:p w14:paraId="0A834BC9">
            <w:pPr>
              <w:rPr>
                <w:rFonts w:ascii="宋体" w:hAnsi="宋体"/>
                <w:sz w:val="24"/>
              </w:rPr>
            </w:pPr>
          </w:p>
        </w:tc>
        <w:tc>
          <w:tcPr>
            <w:tcW w:w="3060" w:type="dxa"/>
            <w:vAlign w:val="center"/>
          </w:tcPr>
          <w:p w14:paraId="728BA73E">
            <w:pPr>
              <w:rPr>
                <w:rFonts w:ascii="宋体" w:hAnsi="宋体"/>
                <w:sz w:val="24"/>
              </w:rPr>
            </w:pPr>
          </w:p>
        </w:tc>
        <w:tc>
          <w:tcPr>
            <w:tcW w:w="3554" w:type="dxa"/>
            <w:vAlign w:val="center"/>
          </w:tcPr>
          <w:p w14:paraId="60D35BBD">
            <w:pPr>
              <w:rPr>
                <w:rFonts w:ascii="宋体" w:hAnsi="宋体"/>
                <w:sz w:val="24"/>
              </w:rPr>
            </w:pPr>
          </w:p>
        </w:tc>
      </w:tr>
      <w:tr w14:paraId="7C11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1D25AAB">
            <w:pPr>
              <w:jc w:val="center"/>
              <w:rPr>
                <w:rFonts w:ascii="宋体" w:hAnsi="宋体"/>
                <w:sz w:val="24"/>
              </w:rPr>
            </w:pPr>
            <w:r>
              <w:rPr>
                <w:rFonts w:hint="eastAsia" w:ascii="宋体" w:hAnsi="宋体"/>
                <w:sz w:val="24"/>
              </w:rPr>
              <w:t>6</w:t>
            </w:r>
          </w:p>
        </w:tc>
        <w:tc>
          <w:tcPr>
            <w:tcW w:w="1080" w:type="dxa"/>
            <w:vAlign w:val="center"/>
          </w:tcPr>
          <w:p w14:paraId="3D45703A">
            <w:pPr>
              <w:rPr>
                <w:rFonts w:ascii="宋体" w:hAnsi="宋体"/>
                <w:sz w:val="24"/>
              </w:rPr>
            </w:pPr>
          </w:p>
        </w:tc>
        <w:tc>
          <w:tcPr>
            <w:tcW w:w="3060" w:type="dxa"/>
            <w:vAlign w:val="center"/>
          </w:tcPr>
          <w:p w14:paraId="7D87AECD">
            <w:pPr>
              <w:rPr>
                <w:rFonts w:ascii="宋体" w:hAnsi="宋体"/>
                <w:sz w:val="24"/>
              </w:rPr>
            </w:pPr>
          </w:p>
        </w:tc>
        <w:tc>
          <w:tcPr>
            <w:tcW w:w="3554" w:type="dxa"/>
            <w:vAlign w:val="center"/>
          </w:tcPr>
          <w:p w14:paraId="60211636">
            <w:pPr>
              <w:rPr>
                <w:rFonts w:ascii="宋体" w:hAnsi="宋体"/>
                <w:sz w:val="24"/>
              </w:rPr>
            </w:pPr>
          </w:p>
        </w:tc>
      </w:tr>
      <w:tr w14:paraId="4217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9512BF4">
            <w:pPr>
              <w:jc w:val="center"/>
              <w:rPr>
                <w:rFonts w:ascii="宋体" w:hAnsi="宋体"/>
                <w:sz w:val="24"/>
              </w:rPr>
            </w:pPr>
            <w:r>
              <w:rPr>
                <w:rFonts w:hint="eastAsia" w:ascii="宋体" w:hAnsi="宋体"/>
                <w:sz w:val="24"/>
              </w:rPr>
              <w:t>7</w:t>
            </w:r>
          </w:p>
        </w:tc>
        <w:tc>
          <w:tcPr>
            <w:tcW w:w="1080" w:type="dxa"/>
            <w:vAlign w:val="center"/>
          </w:tcPr>
          <w:p w14:paraId="13D09311">
            <w:pPr>
              <w:rPr>
                <w:rFonts w:ascii="宋体" w:hAnsi="宋体"/>
                <w:sz w:val="24"/>
              </w:rPr>
            </w:pPr>
          </w:p>
        </w:tc>
        <w:tc>
          <w:tcPr>
            <w:tcW w:w="3060" w:type="dxa"/>
            <w:vAlign w:val="center"/>
          </w:tcPr>
          <w:p w14:paraId="58972335">
            <w:pPr>
              <w:rPr>
                <w:rFonts w:ascii="宋体" w:hAnsi="宋体"/>
                <w:sz w:val="24"/>
              </w:rPr>
            </w:pPr>
          </w:p>
        </w:tc>
        <w:tc>
          <w:tcPr>
            <w:tcW w:w="3554" w:type="dxa"/>
            <w:vAlign w:val="center"/>
          </w:tcPr>
          <w:p w14:paraId="4597C36D">
            <w:pPr>
              <w:rPr>
                <w:rFonts w:ascii="宋体" w:hAnsi="宋体"/>
                <w:sz w:val="24"/>
              </w:rPr>
            </w:pPr>
          </w:p>
        </w:tc>
      </w:tr>
      <w:tr w14:paraId="74B3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4957858">
            <w:pPr>
              <w:jc w:val="center"/>
              <w:rPr>
                <w:rFonts w:ascii="宋体" w:hAnsi="宋体"/>
                <w:sz w:val="24"/>
              </w:rPr>
            </w:pPr>
            <w:r>
              <w:rPr>
                <w:rFonts w:hint="eastAsia" w:ascii="宋体" w:hAnsi="宋体"/>
                <w:sz w:val="24"/>
              </w:rPr>
              <w:t>8</w:t>
            </w:r>
          </w:p>
        </w:tc>
        <w:tc>
          <w:tcPr>
            <w:tcW w:w="1080" w:type="dxa"/>
            <w:vAlign w:val="center"/>
          </w:tcPr>
          <w:p w14:paraId="202A2242">
            <w:pPr>
              <w:rPr>
                <w:rFonts w:ascii="宋体" w:hAnsi="宋体"/>
                <w:sz w:val="24"/>
              </w:rPr>
            </w:pPr>
          </w:p>
        </w:tc>
        <w:tc>
          <w:tcPr>
            <w:tcW w:w="3060" w:type="dxa"/>
            <w:vAlign w:val="center"/>
          </w:tcPr>
          <w:p w14:paraId="2B3271CF">
            <w:pPr>
              <w:rPr>
                <w:rFonts w:ascii="宋体" w:hAnsi="宋体"/>
                <w:sz w:val="24"/>
              </w:rPr>
            </w:pPr>
          </w:p>
        </w:tc>
        <w:tc>
          <w:tcPr>
            <w:tcW w:w="3554" w:type="dxa"/>
            <w:vAlign w:val="center"/>
          </w:tcPr>
          <w:p w14:paraId="3F5A0B29">
            <w:pPr>
              <w:rPr>
                <w:rFonts w:ascii="宋体" w:hAnsi="宋体"/>
                <w:sz w:val="24"/>
              </w:rPr>
            </w:pPr>
          </w:p>
        </w:tc>
      </w:tr>
      <w:tr w14:paraId="0F51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D1294CA">
            <w:pPr>
              <w:jc w:val="center"/>
              <w:rPr>
                <w:rFonts w:ascii="宋体" w:hAnsi="宋体"/>
                <w:sz w:val="24"/>
              </w:rPr>
            </w:pPr>
            <w:r>
              <w:rPr>
                <w:rFonts w:hint="eastAsia" w:ascii="宋体" w:hAnsi="宋体"/>
                <w:sz w:val="24"/>
              </w:rPr>
              <w:t>9</w:t>
            </w:r>
          </w:p>
        </w:tc>
        <w:tc>
          <w:tcPr>
            <w:tcW w:w="1080" w:type="dxa"/>
            <w:vAlign w:val="center"/>
          </w:tcPr>
          <w:p w14:paraId="43AC8DDA">
            <w:pPr>
              <w:rPr>
                <w:rFonts w:ascii="宋体" w:hAnsi="宋体"/>
                <w:sz w:val="24"/>
              </w:rPr>
            </w:pPr>
          </w:p>
        </w:tc>
        <w:tc>
          <w:tcPr>
            <w:tcW w:w="3060" w:type="dxa"/>
            <w:vAlign w:val="center"/>
          </w:tcPr>
          <w:p w14:paraId="4DD1A2CF">
            <w:pPr>
              <w:rPr>
                <w:rFonts w:ascii="宋体" w:hAnsi="宋体"/>
                <w:sz w:val="24"/>
              </w:rPr>
            </w:pPr>
          </w:p>
        </w:tc>
        <w:tc>
          <w:tcPr>
            <w:tcW w:w="3554" w:type="dxa"/>
            <w:vAlign w:val="center"/>
          </w:tcPr>
          <w:p w14:paraId="7D9E1340">
            <w:pPr>
              <w:rPr>
                <w:rFonts w:ascii="宋体" w:hAnsi="宋体"/>
                <w:sz w:val="24"/>
              </w:rPr>
            </w:pPr>
          </w:p>
        </w:tc>
      </w:tr>
      <w:tr w14:paraId="7C07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F107DA3">
            <w:pPr>
              <w:jc w:val="center"/>
              <w:rPr>
                <w:rFonts w:ascii="宋体" w:hAnsi="宋体"/>
                <w:sz w:val="24"/>
              </w:rPr>
            </w:pPr>
            <w:r>
              <w:rPr>
                <w:rFonts w:hint="eastAsia" w:ascii="宋体" w:hAnsi="宋体"/>
                <w:sz w:val="24"/>
              </w:rPr>
              <w:t>10</w:t>
            </w:r>
          </w:p>
        </w:tc>
        <w:tc>
          <w:tcPr>
            <w:tcW w:w="1080" w:type="dxa"/>
            <w:vAlign w:val="center"/>
          </w:tcPr>
          <w:p w14:paraId="4C822DFF">
            <w:pPr>
              <w:rPr>
                <w:rFonts w:ascii="宋体" w:hAnsi="宋体"/>
                <w:sz w:val="24"/>
              </w:rPr>
            </w:pPr>
          </w:p>
        </w:tc>
        <w:tc>
          <w:tcPr>
            <w:tcW w:w="3060" w:type="dxa"/>
            <w:vAlign w:val="center"/>
          </w:tcPr>
          <w:p w14:paraId="5952E67D">
            <w:pPr>
              <w:rPr>
                <w:rFonts w:ascii="宋体" w:hAnsi="宋体"/>
                <w:sz w:val="24"/>
              </w:rPr>
            </w:pPr>
          </w:p>
        </w:tc>
        <w:tc>
          <w:tcPr>
            <w:tcW w:w="3554" w:type="dxa"/>
            <w:vAlign w:val="center"/>
          </w:tcPr>
          <w:p w14:paraId="074ABC5E">
            <w:pPr>
              <w:rPr>
                <w:rFonts w:ascii="宋体" w:hAnsi="宋体"/>
                <w:sz w:val="24"/>
              </w:rPr>
            </w:pPr>
          </w:p>
        </w:tc>
      </w:tr>
    </w:tbl>
    <w:p w14:paraId="3C1ECF83">
      <w:pPr>
        <w:rPr>
          <w:rFonts w:ascii="宋体" w:hAnsi="宋体"/>
          <w:sz w:val="24"/>
        </w:rPr>
      </w:pPr>
    </w:p>
    <w:p w14:paraId="7B1CDB7D">
      <w:pPr>
        <w:rPr>
          <w:rFonts w:ascii="仿宋_GB2312" w:hAnsi="宋体" w:eastAsia="仿宋_GB2312"/>
          <w:sz w:val="24"/>
        </w:rPr>
      </w:pPr>
      <w:r>
        <w:rPr>
          <w:rFonts w:hint="eastAsia" w:ascii="仿宋_GB2312" w:hAnsi="宋体" w:eastAsia="仿宋_GB2312"/>
          <w:sz w:val="24"/>
        </w:rPr>
        <w:t>投标人名称（盖章）：              法定代表人或授权代表签字：</w:t>
      </w:r>
    </w:p>
    <w:p w14:paraId="7DEEAF3D">
      <w:pPr>
        <w:rPr>
          <w:rFonts w:ascii="宋体" w:hAnsi="宋体"/>
          <w:sz w:val="24"/>
        </w:rPr>
      </w:pPr>
    </w:p>
    <w:p w14:paraId="2D010EC3">
      <w:pPr>
        <w:rPr>
          <w:rFonts w:ascii="宋体" w:hAnsi="宋体"/>
          <w:sz w:val="24"/>
        </w:rPr>
      </w:pPr>
    </w:p>
    <w:p w14:paraId="0B41A4FF">
      <w:pPr>
        <w:rPr>
          <w:rFonts w:hint="eastAsia" w:eastAsia="黑体"/>
          <w:b/>
          <w:bCs/>
          <w:sz w:val="28"/>
        </w:rPr>
        <w:sectPr>
          <w:pgSz w:w="11906" w:h="16838"/>
          <w:pgMar w:top="1701" w:right="1418" w:bottom="1134" w:left="1418" w:header="851" w:footer="992" w:gutter="0"/>
          <w:pgNumType w:fmt="numberInDash" w:start="1"/>
          <w:cols w:space="720" w:num="1"/>
          <w:titlePg/>
          <w:docGrid w:type="lines" w:linePitch="312" w:charSpace="0"/>
        </w:sect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338FE4CA">
      <w:pPr>
        <w:pStyle w:val="78"/>
        <w:rPr>
          <w:rFonts w:hint="default" w:ascii="宋体" w:hAnsi="宋体" w:eastAsia="宋体" w:cs="宋体"/>
          <w:b/>
          <w:bCs w:val="0"/>
          <w:color w:val="FF0000"/>
          <w:sz w:val="18"/>
          <w:szCs w:val="18"/>
          <w:highlight w:val="none"/>
          <w:lang w:val="en-US" w:eastAsia="zh-CN"/>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2ACFB78B">
        <w:pPr>
          <w:pStyle w:val="20"/>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DABC8">
    <w:pPr>
      <w:pStyle w:val="20"/>
      <w:framePr w:wrap="around" w:vAnchor="text" w:hAnchor="margin" w:xAlign="center" w:y="1"/>
      <w:rPr>
        <w:rStyle w:val="37"/>
      </w:rPr>
    </w:pPr>
    <w:r>
      <w:fldChar w:fldCharType="begin"/>
    </w:r>
    <w:r>
      <w:rPr>
        <w:rStyle w:val="37"/>
      </w:rPr>
      <w:instrText xml:space="preserve">PAGE  </w:instrText>
    </w:r>
    <w:r>
      <w:fldChar w:fldCharType="end"/>
    </w:r>
  </w:p>
  <w:p w14:paraId="7C23234C">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7D528">
    <w:pPr>
      <w:pStyle w:val="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0DD9AC2">
            <w:pPr>
              <w:pStyle w:val="2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40550A5A">
    <w:pPr>
      <w:pStyle w:val="20"/>
      <w:jc w:val="center"/>
    </w:pPr>
  </w:p>
  <w:p w14:paraId="74DD75AE"/>
  <w:p w14:paraId="2D486D7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41A5">
    <w:pPr>
      <w:pStyle w:val="21"/>
      <w:ind w:firstLine="360"/>
      <w:jc w:val="right"/>
    </w:pPr>
    <w:r>
      <w:rPr>
        <w:rFonts w:hint="eastAsia"/>
      </w:rPr>
      <w:t>中国重型汽车集团</w:t>
    </w:r>
    <w:r>
      <w:rPr>
        <w:rFonts w:hint="eastAsia"/>
        <w:lang w:val="en-US" w:eastAsia="zh-CN"/>
      </w:rPr>
      <w:t>杭州发动机</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36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931F45C"/>
    <w:multiLevelType w:val="singleLevel"/>
    <w:tmpl w:val="8931F45C"/>
    <w:lvl w:ilvl="0" w:tentative="0">
      <w:start w:val="3"/>
      <w:numFmt w:val="chineseCounting"/>
      <w:suff w:val="nothing"/>
      <w:lvlText w:val="%1、"/>
      <w:lvlJc w:val="left"/>
      <w:rPr>
        <w:rFonts w:hint="eastAsia"/>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E0903D9B"/>
    <w:multiLevelType w:val="singleLevel"/>
    <w:tmpl w:val="E0903D9B"/>
    <w:lvl w:ilvl="0" w:tentative="0">
      <w:start w:val="3"/>
      <w:numFmt w:val="chineseCounting"/>
      <w:suff w:val="nothing"/>
      <w:lvlText w:val="第%1部分　"/>
      <w:lvlJc w:val="left"/>
      <w:rPr>
        <w:rFonts w:hint="eastAsia"/>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A161879"/>
    <w:multiLevelType w:val="singleLevel"/>
    <w:tmpl w:val="0A161879"/>
    <w:lvl w:ilvl="0" w:tentative="0">
      <w:start w:val="1"/>
      <w:numFmt w:val="decimal"/>
      <w:suff w:val="space"/>
      <w:lvlText w:val="%1."/>
      <w:lvlJc w:val="left"/>
    </w:lvl>
  </w:abstractNum>
  <w:abstractNum w:abstractNumId="14">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1F5C7680"/>
    <w:multiLevelType w:val="singleLevel"/>
    <w:tmpl w:val="1F5C7680"/>
    <w:lvl w:ilvl="0" w:tentative="0">
      <w:start w:val="1"/>
      <w:numFmt w:val="decimal"/>
      <w:suff w:val="nothing"/>
      <w:lvlText w:val="%1、"/>
      <w:lvlJc w:val="left"/>
    </w:lvl>
  </w:abstractNum>
  <w:abstractNum w:abstractNumId="17">
    <w:nsid w:val="3265E1EC"/>
    <w:multiLevelType w:val="singleLevel"/>
    <w:tmpl w:val="3265E1EC"/>
    <w:lvl w:ilvl="0" w:tentative="0">
      <w:start w:val="1"/>
      <w:numFmt w:val="decimal"/>
      <w:lvlText w:val="(%1)"/>
      <w:lvlJc w:val="left"/>
      <w:pPr>
        <w:ind w:left="425" w:hanging="425"/>
      </w:pPr>
      <w:rPr>
        <w:rFonts w:hint="default"/>
      </w:rPr>
    </w:lvl>
  </w:abstractNum>
  <w:abstractNum w:abstractNumId="18">
    <w:nsid w:val="359A00A8"/>
    <w:multiLevelType w:val="multilevel"/>
    <w:tmpl w:val="359A00A8"/>
    <w:lvl w:ilvl="0" w:tentative="0">
      <w:start w:val="1"/>
      <w:numFmt w:val="japaneseCounting"/>
      <w:lvlText w:val="%1、"/>
      <w:lvlJc w:val="left"/>
      <w:pPr>
        <w:ind w:left="580" w:hanging="5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CF6EF77"/>
    <w:multiLevelType w:val="singleLevel"/>
    <w:tmpl w:val="3CF6EF77"/>
    <w:lvl w:ilvl="0" w:tentative="0">
      <w:start w:val="1"/>
      <w:numFmt w:val="decimal"/>
      <w:lvlText w:val="%1."/>
      <w:lvlJc w:val="left"/>
      <w:pPr>
        <w:ind w:left="425" w:hanging="425"/>
      </w:pPr>
      <w:rPr>
        <w:rFonts w:hint="default"/>
      </w:rPr>
    </w:lvl>
  </w:abstractNum>
  <w:abstractNum w:abstractNumId="20">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21">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2">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5">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6">
    <w:nsid w:val="5983D379"/>
    <w:multiLevelType w:val="singleLevel"/>
    <w:tmpl w:val="5983D379"/>
    <w:lvl w:ilvl="0" w:tentative="0">
      <w:start w:val="1"/>
      <w:numFmt w:val="decimal"/>
      <w:lvlText w:val="(%1)"/>
      <w:lvlJc w:val="left"/>
      <w:pPr>
        <w:ind w:left="425" w:hanging="425"/>
      </w:pPr>
      <w:rPr>
        <w:rFonts w:hint="default"/>
      </w:rPr>
    </w:lvl>
  </w:abstractNum>
  <w:abstractNum w:abstractNumId="27">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8">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9">
    <w:nsid w:val="7BC33692"/>
    <w:multiLevelType w:val="multilevel"/>
    <w:tmpl w:val="7BC33692"/>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0">
    <w:nsid w:val="7CE20C09"/>
    <w:multiLevelType w:val="singleLevel"/>
    <w:tmpl w:val="7CE20C09"/>
    <w:lvl w:ilvl="0" w:tentative="0">
      <w:start w:val="1"/>
      <w:numFmt w:val="decimal"/>
      <w:lvlText w:val="%1."/>
      <w:lvlJc w:val="left"/>
      <w:pPr>
        <w:tabs>
          <w:tab w:val="left" w:pos="312"/>
        </w:tabs>
      </w:pPr>
      <w:rPr>
        <w:rFonts w:hint="default"/>
        <w:color w:val="auto"/>
      </w:rPr>
    </w:lvl>
  </w:abstractNum>
  <w:num w:numId="1">
    <w:abstractNumId w:val="22"/>
  </w:num>
  <w:num w:numId="2">
    <w:abstractNumId w:val="27"/>
  </w:num>
  <w:num w:numId="3">
    <w:abstractNumId w:val="25"/>
  </w:num>
  <w:num w:numId="4">
    <w:abstractNumId w:val="23"/>
  </w:num>
  <w:num w:numId="5">
    <w:abstractNumId w:val="12"/>
  </w:num>
  <w:num w:numId="6">
    <w:abstractNumId w:val="14"/>
  </w:num>
  <w:num w:numId="7">
    <w:abstractNumId w:val="15"/>
  </w:num>
  <w:num w:numId="8">
    <w:abstractNumId w:val="2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0"/>
  </w:num>
  <w:num w:numId="13">
    <w:abstractNumId w:val="5"/>
  </w:num>
  <w:num w:numId="14">
    <w:abstractNumId w:val="0"/>
  </w:num>
  <w:num w:numId="15">
    <w:abstractNumId w:val="3"/>
  </w:num>
  <w:num w:numId="16">
    <w:abstractNumId w:val="26"/>
  </w:num>
  <w:num w:numId="17">
    <w:abstractNumId w:val="28"/>
  </w:num>
  <w:num w:numId="18">
    <w:abstractNumId w:val="17"/>
  </w:num>
  <w:num w:numId="19">
    <w:abstractNumId w:val="8"/>
  </w:num>
  <w:num w:numId="20">
    <w:abstractNumId w:val="30"/>
  </w:num>
  <w:num w:numId="21">
    <w:abstractNumId w:val="4"/>
  </w:num>
  <w:num w:numId="22">
    <w:abstractNumId w:val="1"/>
  </w:num>
  <w:num w:numId="23">
    <w:abstractNumId w:val="6"/>
  </w:num>
  <w:num w:numId="24">
    <w:abstractNumId w:val="11"/>
  </w:num>
  <w:num w:numId="25">
    <w:abstractNumId w:val="9"/>
  </w:num>
  <w:num w:numId="26">
    <w:abstractNumId w:val="21"/>
  </w:num>
  <w:num w:numId="27">
    <w:abstractNumId w:val="19"/>
  </w:num>
  <w:num w:numId="28">
    <w:abstractNumId w:val="18"/>
  </w:num>
  <w:num w:numId="29">
    <w:abstractNumId w:val="13"/>
  </w:num>
  <w:num w:numId="30">
    <w:abstractNumId w:val="2"/>
  </w:num>
  <w:num w:numId="31">
    <w:abstractNumId w:val="16"/>
  </w:num>
  <w:num w:numId="32">
    <w:abstractNumId w:val="10"/>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6BC6527"/>
    <w:rsid w:val="075A189C"/>
    <w:rsid w:val="08633479"/>
    <w:rsid w:val="0CB51572"/>
    <w:rsid w:val="0D7C1432"/>
    <w:rsid w:val="0E4D31E3"/>
    <w:rsid w:val="10DC2AA3"/>
    <w:rsid w:val="10FA7C8C"/>
    <w:rsid w:val="130B198F"/>
    <w:rsid w:val="16A918E4"/>
    <w:rsid w:val="17D966D6"/>
    <w:rsid w:val="1BC71D3B"/>
    <w:rsid w:val="1C59115B"/>
    <w:rsid w:val="1D5C70ED"/>
    <w:rsid w:val="1F622973"/>
    <w:rsid w:val="1FB23E60"/>
    <w:rsid w:val="22C5630B"/>
    <w:rsid w:val="23452915"/>
    <w:rsid w:val="23EC0BA6"/>
    <w:rsid w:val="24701A48"/>
    <w:rsid w:val="249F7CC1"/>
    <w:rsid w:val="262639FB"/>
    <w:rsid w:val="268B0052"/>
    <w:rsid w:val="27743C90"/>
    <w:rsid w:val="29CA2459"/>
    <w:rsid w:val="2B271A58"/>
    <w:rsid w:val="2B6304A7"/>
    <w:rsid w:val="2CF6734C"/>
    <w:rsid w:val="2D663463"/>
    <w:rsid w:val="2EF96EE4"/>
    <w:rsid w:val="36254FE4"/>
    <w:rsid w:val="372F61E0"/>
    <w:rsid w:val="38805170"/>
    <w:rsid w:val="39322FCA"/>
    <w:rsid w:val="399306CE"/>
    <w:rsid w:val="3AB90991"/>
    <w:rsid w:val="3B706131"/>
    <w:rsid w:val="3E6F041E"/>
    <w:rsid w:val="4275481E"/>
    <w:rsid w:val="428B617A"/>
    <w:rsid w:val="433D7BDC"/>
    <w:rsid w:val="437E1813"/>
    <w:rsid w:val="45BD47FC"/>
    <w:rsid w:val="45CC5FB2"/>
    <w:rsid w:val="46B75BA8"/>
    <w:rsid w:val="47DC1C10"/>
    <w:rsid w:val="48C97955"/>
    <w:rsid w:val="49880C8F"/>
    <w:rsid w:val="4A8835F7"/>
    <w:rsid w:val="4ADF32EF"/>
    <w:rsid w:val="4B592E71"/>
    <w:rsid w:val="4BBA0128"/>
    <w:rsid w:val="52B9239A"/>
    <w:rsid w:val="54BD78FD"/>
    <w:rsid w:val="58A86DDE"/>
    <w:rsid w:val="59154AD7"/>
    <w:rsid w:val="5ADF548D"/>
    <w:rsid w:val="5D5C60B4"/>
    <w:rsid w:val="60E95143"/>
    <w:rsid w:val="63F04A69"/>
    <w:rsid w:val="66A50B1E"/>
    <w:rsid w:val="67B2063C"/>
    <w:rsid w:val="67C97AC3"/>
    <w:rsid w:val="67E30EC1"/>
    <w:rsid w:val="6A4E3B2B"/>
    <w:rsid w:val="6B481C3B"/>
    <w:rsid w:val="6C1331A3"/>
    <w:rsid w:val="6CA84BC1"/>
    <w:rsid w:val="6D3E4756"/>
    <w:rsid w:val="6FC523EB"/>
    <w:rsid w:val="70A05060"/>
    <w:rsid w:val="72895F2E"/>
    <w:rsid w:val="72C02EBE"/>
    <w:rsid w:val="72C507AD"/>
    <w:rsid w:val="72D028D8"/>
    <w:rsid w:val="72E4711A"/>
    <w:rsid w:val="73AE146C"/>
    <w:rsid w:val="745D47C3"/>
    <w:rsid w:val="76AC3757"/>
    <w:rsid w:val="7A3E0AD8"/>
    <w:rsid w:val="7B14212C"/>
    <w:rsid w:val="7CB93F8E"/>
    <w:rsid w:val="7CF66B46"/>
    <w:rsid w:val="7DBA1D0B"/>
    <w:rsid w:val="7DBD28BA"/>
    <w:rsid w:val="7F250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qFormat="1" w:uiPriority="99" w:semiHidden="0"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sz w:val="20"/>
      <w:szCs w:val="20"/>
    </w:rPr>
  </w:style>
  <w:style w:type="paragraph" w:styleId="12">
    <w:name w:val="Body Text"/>
    <w:basedOn w:val="1"/>
    <w:next w:val="13"/>
    <w:link w:val="44"/>
    <w:semiHidden/>
    <w:qFormat/>
    <w:uiPriority w:val="98"/>
    <w:rPr>
      <w:rFonts w:ascii="仿宋_GB2312" w:eastAsia="仿宋_GB2312"/>
      <w:sz w:val="32"/>
    </w:rPr>
  </w:style>
  <w:style w:type="paragraph" w:customStyle="1" w:styleId="13">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4">
    <w:name w:val="Body Text Indent"/>
    <w:basedOn w:val="1"/>
    <w:next w:val="1"/>
    <w:link w:val="51"/>
    <w:semiHidden/>
    <w:qFormat/>
    <w:uiPriority w:val="0"/>
    <w:pPr>
      <w:spacing w:after="120"/>
      <w:ind w:left="420" w:leftChars="200"/>
    </w:pPr>
    <w:rPr>
      <w:rFonts w:ascii="Calibri" w:hAnsi="Calibri"/>
      <w:szCs w:val="22"/>
    </w:rPr>
  </w:style>
  <w:style w:type="paragraph" w:styleId="15">
    <w:name w:val="toc 3"/>
    <w:basedOn w:val="1"/>
    <w:next w:val="1"/>
    <w:semiHidden/>
    <w:qFormat/>
    <w:uiPriority w:val="39"/>
    <w:pPr>
      <w:adjustRightInd w:val="0"/>
      <w:spacing w:line="312" w:lineRule="atLeast"/>
      <w:ind w:left="840" w:leftChars="400"/>
      <w:textAlignment w:val="baseline"/>
    </w:pPr>
    <w:rPr>
      <w:kern w:val="0"/>
      <w:sz w:val="24"/>
    </w:rPr>
  </w:style>
  <w:style w:type="paragraph" w:styleId="16">
    <w:name w:val="Plain Text"/>
    <w:basedOn w:val="1"/>
    <w:link w:val="53"/>
    <w:qFormat/>
    <w:uiPriority w:val="0"/>
    <w:rPr>
      <w:rFonts w:ascii="宋体" w:hAnsi="Courier New"/>
    </w:rPr>
  </w:style>
  <w:style w:type="paragraph" w:styleId="17">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8">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19">
    <w:name w:val="Balloon Text"/>
    <w:basedOn w:val="1"/>
    <w:link w:val="50"/>
    <w:semiHidden/>
    <w:qFormat/>
    <w:uiPriority w:val="0"/>
    <w:rPr>
      <w:sz w:val="18"/>
      <w:szCs w:val="18"/>
    </w:rPr>
  </w:style>
  <w:style w:type="paragraph" w:styleId="20">
    <w:name w:val="footer"/>
    <w:basedOn w:val="1"/>
    <w:link w:val="45"/>
    <w:semiHidden/>
    <w:qFormat/>
    <w:uiPriority w:val="0"/>
    <w:pPr>
      <w:tabs>
        <w:tab w:val="center" w:pos="4153"/>
        <w:tab w:val="right" w:pos="8306"/>
      </w:tabs>
      <w:snapToGrid w:val="0"/>
      <w:jc w:val="left"/>
    </w:pPr>
    <w:rPr>
      <w:sz w:val="18"/>
      <w:szCs w:val="18"/>
    </w:rPr>
  </w:style>
  <w:style w:type="paragraph" w:styleId="21">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3">
    <w:name w:val="List"/>
    <w:basedOn w:val="1"/>
    <w:qFormat/>
    <w:uiPriority w:val="0"/>
    <w:pPr>
      <w:ind w:left="200" w:hanging="200" w:hangingChars="200"/>
    </w:pPr>
    <w:rPr>
      <w:szCs w:val="21"/>
    </w:rPr>
  </w:style>
  <w:style w:type="paragraph" w:styleId="24">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5">
    <w:name w:val="index 9"/>
    <w:basedOn w:val="1"/>
    <w:next w:val="1"/>
    <w:semiHidden/>
    <w:qFormat/>
    <w:uiPriority w:val="98"/>
    <w:pPr>
      <w:ind w:left="1600" w:leftChars="1600"/>
    </w:pPr>
  </w:style>
  <w:style w:type="paragraph" w:styleId="26">
    <w:name w:val="toc 2"/>
    <w:basedOn w:val="1"/>
    <w:next w:val="1"/>
    <w:qFormat/>
    <w:uiPriority w:val="39"/>
    <w:pPr>
      <w:ind w:left="420" w:leftChars="200"/>
    </w:pPr>
  </w:style>
  <w:style w:type="paragraph" w:styleId="27">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8">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9">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0">
    <w:name w:val="annotation subject"/>
    <w:basedOn w:val="10"/>
    <w:next w:val="10"/>
    <w:link w:val="56"/>
    <w:semiHidden/>
    <w:qFormat/>
    <w:uiPriority w:val="98"/>
    <w:rPr>
      <w:b/>
      <w:bCs/>
    </w:rPr>
  </w:style>
  <w:style w:type="paragraph" w:styleId="31">
    <w:name w:val="Body Text First Indent"/>
    <w:basedOn w:val="12"/>
    <w:unhideWhenUsed/>
    <w:qFormat/>
    <w:uiPriority w:val="99"/>
    <w:pPr>
      <w:ind w:firstLine="420" w:firstLineChars="100"/>
    </w:pPr>
  </w:style>
  <w:style w:type="paragraph" w:styleId="32">
    <w:name w:val="Body Text First Indent 2"/>
    <w:basedOn w:val="14"/>
    <w:next w:val="26"/>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2"/>
    <w:semiHidden/>
    <w:qFormat/>
    <w:uiPriority w:val="98"/>
    <w:rPr>
      <w:rFonts w:ascii="仿宋_GB2312" w:eastAsia="仿宋_GB2312"/>
      <w:kern w:val="2"/>
      <w:sz w:val="32"/>
    </w:rPr>
  </w:style>
  <w:style w:type="character" w:customStyle="1" w:styleId="45">
    <w:name w:val="页脚 字符"/>
    <w:link w:val="20"/>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19"/>
    <w:semiHidden/>
    <w:qFormat/>
    <w:uiPriority w:val="98"/>
    <w:rPr>
      <w:kern w:val="2"/>
      <w:sz w:val="18"/>
      <w:szCs w:val="18"/>
    </w:rPr>
  </w:style>
  <w:style w:type="character" w:customStyle="1" w:styleId="51">
    <w:name w:val="正文文本缩进 字符"/>
    <w:link w:val="14"/>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6"/>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1"/>
    <w:semiHidden/>
    <w:qFormat/>
    <w:uiPriority w:val="0"/>
    <w:rPr>
      <w:kern w:val="2"/>
      <w:sz w:val="18"/>
      <w:szCs w:val="18"/>
    </w:rPr>
  </w:style>
  <w:style w:type="character" w:customStyle="1" w:styleId="56">
    <w:name w:val="批注主题 字符"/>
    <w:link w:val="30"/>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29"/>
    <w:semiHidden/>
    <w:qFormat/>
    <w:uiPriority w:val="0"/>
    <w:rPr>
      <w:rFonts w:eastAsia="黑体" w:asciiTheme="majorHAnsi" w:hAnsiTheme="majorHAnsi" w:cstheme="majorBidi"/>
      <w:b/>
      <w:bCs/>
      <w:kern w:val="2"/>
      <w:sz w:val="36"/>
      <w:szCs w:val="32"/>
    </w:rPr>
  </w:style>
  <w:style w:type="paragraph" w:customStyle="1" w:styleId="73">
    <w:name w:val="章节"/>
    <w:basedOn w:val="16"/>
    <w:qFormat/>
    <w:uiPriority w:val="0"/>
    <w:pPr>
      <w:spacing w:line="360" w:lineRule="auto"/>
      <w:jc w:val="center"/>
      <w:outlineLvl w:val="0"/>
    </w:pPr>
    <w:rPr>
      <w:rFonts w:ascii="黑体" w:eastAsia="黑体"/>
      <w:b/>
      <w:bCs/>
      <w:sz w:val="36"/>
      <w:szCs w:val="36"/>
    </w:rPr>
  </w:style>
  <w:style w:type="paragraph" w:customStyle="1" w:styleId="74">
    <w:name w:val="一级标题"/>
    <w:basedOn w:val="16"/>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6"/>
    <w:qFormat/>
    <w:uiPriority w:val="2"/>
    <w:pPr>
      <w:numPr>
        <w:ilvl w:val="0"/>
        <w:numId w:val="3"/>
      </w:numPr>
      <w:spacing w:line="360" w:lineRule="auto"/>
      <w:outlineLvl w:val="2"/>
    </w:pPr>
    <w:rPr>
      <w:b/>
    </w:rPr>
  </w:style>
  <w:style w:type="paragraph" w:customStyle="1" w:styleId="76">
    <w:name w:val="3级标题"/>
    <w:basedOn w:val="16"/>
    <w:link w:val="104"/>
    <w:qFormat/>
    <w:uiPriority w:val="3"/>
    <w:pPr>
      <w:numPr>
        <w:ilvl w:val="0"/>
        <w:numId w:val="4"/>
      </w:numPr>
      <w:spacing w:line="360" w:lineRule="auto"/>
      <w:outlineLvl w:val="3"/>
    </w:pPr>
    <w:rPr>
      <w:b/>
    </w:rPr>
  </w:style>
  <w:style w:type="paragraph" w:customStyle="1" w:styleId="77">
    <w:name w:val="（4）级标题"/>
    <w:basedOn w:val="16"/>
    <w:qFormat/>
    <w:uiPriority w:val="8"/>
    <w:pPr>
      <w:numPr>
        <w:ilvl w:val="0"/>
        <w:numId w:val="5"/>
      </w:numPr>
      <w:spacing w:line="360" w:lineRule="auto"/>
      <w:outlineLvl w:val="4"/>
    </w:pPr>
  </w:style>
  <w:style w:type="paragraph" w:customStyle="1" w:styleId="78">
    <w:name w:val="标书正文"/>
    <w:basedOn w:val="16"/>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4"/>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8"/>
    <w:semiHidden/>
    <w:qFormat/>
    <w:uiPriority w:val="0"/>
    <w:rPr>
      <w:sz w:val="24"/>
    </w:rPr>
  </w:style>
  <w:style w:type="character" w:customStyle="1" w:styleId="89">
    <w:name w:val="日期 字符"/>
    <w:basedOn w:val="35"/>
    <w:link w:val="17"/>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5"/>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7"/>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character" w:customStyle="1" w:styleId="113">
    <w:name w:val="font21"/>
    <w:basedOn w:val="3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29</Pages>
  <Words>6852</Words>
  <Characters>7225</Characters>
  <Lines>127</Lines>
  <Paragraphs>35</Paragraphs>
  <TotalTime>40</TotalTime>
  <ScaleCrop>false</ScaleCrop>
  <LinksUpToDate>false</LinksUpToDate>
  <CharactersWithSpaces>7291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高晖</cp:lastModifiedBy>
  <cp:lastPrinted>2020-06-28T02:28:00Z</cp:lastPrinted>
  <dcterms:modified xsi:type="dcterms:W3CDTF">2026-09-18T02:30:16Z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C4E667CF26604F52AD561790FE42A8A8_13</vt:lpwstr>
  </property>
  <property fmtid="{D5CDD505-2E9C-101B-9397-08002B2CF9AE}" pid="4" name="KSOTemplateDocerSaveRecord">
    <vt:lpwstr>eyJoZGlkIjoiYmIxYmQ5OTMyZDM0NzI0NzVkOGYyODg3MmQzNzI2NGEiLCJ1c2VySWQiOiIxMjQyMDQ1OTQwIn0=</vt:lpwstr>
  </property>
</Properties>
</file>