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60288"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085ED786">
      <w:pPr>
        <w:ind w:right="280"/>
        <w:jc w:val="center"/>
        <w:rPr>
          <w:rFonts w:hint="eastAsia" w:ascii="楷体_GB2312" w:hAnsi="宋体" w:eastAsia="楷体_GB2312"/>
          <w:sz w:val="52"/>
          <w:szCs w:val="52"/>
        </w:rPr>
      </w:pPr>
      <w:r>
        <w:rPr>
          <w:rFonts w:hint="eastAsia" w:ascii="楷体_GB2312" w:hAnsi="宋体" w:eastAsia="楷体_GB2312"/>
          <w:sz w:val="52"/>
          <w:szCs w:val="52"/>
        </w:rPr>
        <w:t>中国重汽集团</w:t>
      </w:r>
    </w:p>
    <w:p w14:paraId="18CBF8EA">
      <w:pPr>
        <w:ind w:right="280"/>
        <w:jc w:val="center"/>
        <w:rPr>
          <w:rFonts w:hint="eastAsia" w:ascii="楷体_GB2312" w:hAnsi="宋体" w:eastAsia="楷体_GB2312"/>
          <w:sz w:val="52"/>
          <w:szCs w:val="52"/>
        </w:rPr>
      </w:pPr>
      <w:r>
        <w:rPr>
          <w:rFonts w:hint="eastAsia" w:ascii="楷体_GB2312" w:hAnsi="宋体" w:eastAsia="楷体_GB2312"/>
          <w:sz w:val="52"/>
          <w:szCs w:val="52"/>
        </w:rPr>
        <w:t>2026-2027年度山东港口地面代理业务招标项目</w:t>
      </w:r>
    </w:p>
    <w:p w14:paraId="7466C326">
      <w:pPr>
        <w:ind w:right="280"/>
        <w:jc w:val="center"/>
        <w:rPr>
          <w:rFonts w:hint="eastAsia" w:ascii="楷体_GB2312" w:hAnsi="宋体" w:eastAsia="楷体_GB2312"/>
          <w:sz w:val="52"/>
          <w:szCs w:val="52"/>
        </w:rPr>
      </w:pPr>
    </w:p>
    <w:p w14:paraId="6418E5FF">
      <w:pPr>
        <w:jc w:val="center"/>
        <w:rPr>
          <w:rFonts w:ascii="宋体" w:hAnsi="宋体" w:cs="宋体"/>
          <w:sz w:val="72"/>
          <w:szCs w:val="72"/>
        </w:rPr>
      </w:pPr>
      <w:r>
        <w:rPr>
          <w:rFonts w:hint="eastAsia" w:ascii="宋体" w:hAnsi="宋体" w:cs="宋体"/>
          <w:sz w:val="72"/>
          <w:szCs w:val="72"/>
        </w:rPr>
        <w:t>招标文件</w:t>
      </w:r>
    </w:p>
    <w:p w14:paraId="2A3C624C">
      <w:pPr>
        <w:jc w:val="center"/>
        <w:rPr>
          <w:rFonts w:ascii="宋体" w:hAnsi="宋体"/>
          <w:sz w:val="48"/>
          <w:szCs w:val="48"/>
        </w:rPr>
      </w:pPr>
    </w:p>
    <w:p w14:paraId="6993BE58">
      <w:pPr>
        <w:jc w:val="center"/>
        <w:rPr>
          <w:rFonts w:ascii="宋体" w:hAnsi="宋体"/>
          <w:sz w:val="48"/>
          <w:szCs w:val="48"/>
        </w:rPr>
      </w:pPr>
    </w:p>
    <w:p w14:paraId="111CA3F9">
      <w:pPr>
        <w:jc w:val="center"/>
        <w:rPr>
          <w:rFonts w:ascii="宋体" w:hAnsi="宋体"/>
          <w:sz w:val="28"/>
          <w:szCs w:val="28"/>
        </w:rPr>
      </w:pPr>
    </w:p>
    <w:p w14:paraId="12CB50D1">
      <w:pPr>
        <w:jc w:val="center"/>
        <w:rPr>
          <w:rFonts w:ascii="宋体" w:hAnsi="宋体"/>
          <w:sz w:val="28"/>
          <w:szCs w:val="28"/>
        </w:rPr>
      </w:pPr>
    </w:p>
    <w:p w14:paraId="1CE80EBC">
      <w:pPr>
        <w:jc w:val="center"/>
        <w:rPr>
          <w:rFonts w:ascii="宋体" w:hAnsi="宋体"/>
          <w:sz w:val="28"/>
          <w:szCs w:val="28"/>
        </w:rPr>
      </w:pPr>
      <w:r>
        <w:rPr>
          <w:rFonts w:hint="eastAsia" w:ascii="宋体" w:hAnsi="宋体"/>
          <w:sz w:val="28"/>
          <w:szCs w:val="28"/>
        </w:rPr>
        <w:t>招 标 人：中国重汽集团</w:t>
      </w:r>
      <w:r>
        <w:rPr>
          <w:rFonts w:hint="eastAsia" w:ascii="宋体" w:hAnsi="宋体"/>
          <w:sz w:val="28"/>
          <w:szCs w:val="28"/>
          <w:lang w:val="en-US" w:eastAsia="zh-CN"/>
        </w:rPr>
        <w:t>国际</w:t>
      </w:r>
      <w:r>
        <w:rPr>
          <w:rFonts w:hint="eastAsia" w:ascii="宋体" w:hAnsi="宋体"/>
          <w:sz w:val="28"/>
          <w:szCs w:val="28"/>
        </w:rPr>
        <w:t>有限公司</w:t>
      </w:r>
    </w:p>
    <w:p w14:paraId="0D8A0D9A">
      <w:pPr>
        <w:jc w:val="center"/>
        <w:rPr>
          <w:rFonts w:ascii="宋体" w:hAnsi="宋体"/>
          <w:sz w:val="28"/>
          <w:szCs w:val="28"/>
        </w:rPr>
      </w:pPr>
    </w:p>
    <w:p w14:paraId="2E11C4D8">
      <w:pPr>
        <w:jc w:val="center"/>
        <w:rPr>
          <w:rFonts w:ascii="宋体" w:hAnsi="宋体"/>
          <w:b/>
          <w:bCs/>
          <w:sz w:val="48"/>
          <w:szCs w:val="48"/>
        </w:rPr>
        <w:sectPr>
          <w:footerReference r:id="rId6" w:type="first"/>
          <w:headerReference r:id="rId3" w:type="default"/>
          <w:footerReference r:id="rId4" w:type="default"/>
          <w:footerReference r:id="rId5" w:type="even"/>
          <w:pgSz w:w="11906" w:h="16838"/>
          <w:pgMar w:top="1701" w:right="1418" w:bottom="1134" w:left="1418" w:header="851" w:footer="992" w:gutter="0"/>
          <w:pgNumType w:fmt="decimal" w:start="1"/>
          <w:cols w:space="720" w:num="1"/>
          <w:docGrid w:type="lines" w:linePitch="312" w:charSpace="0"/>
        </w:sectPr>
      </w:pPr>
      <w:r>
        <w:rPr>
          <w:rFonts w:hint="eastAsia" w:ascii="宋体" w:hAnsi="宋体"/>
          <w:sz w:val="28"/>
          <w:szCs w:val="28"/>
          <w:u w:val="single"/>
        </w:rPr>
        <w:t>20</w:t>
      </w:r>
      <w:r>
        <w:rPr>
          <w:rFonts w:hint="eastAsia" w:ascii="宋体" w:hAnsi="宋体"/>
          <w:sz w:val="28"/>
          <w:szCs w:val="28"/>
          <w:u w:val="single"/>
          <w:lang w:val="en-US" w:eastAsia="zh-CN"/>
        </w:rPr>
        <w:t>26</w:t>
      </w:r>
      <w:r>
        <w:rPr>
          <w:rFonts w:hint="eastAsia" w:ascii="宋体" w:hAnsi="宋体"/>
          <w:sz w:val="28"/>
          <w:szCs w:val="28"/>
          <w:u w:val="single"/>
        </w:rPr>
        <w:t>年</w:t>
      </w:r>
      <w:r>
        <w:rPr>
          <w:rFonts w:hint="eastAsia" w:ascii="宋体" w:hAnsi="宋体"/>
          <w:sz w:val="28"/>
          <w:szCs w:val="28"/>
          <w:u w:val="single"/>
          <w:lang w:val="en-US" w:eastAsia="zh-CN"/>
        </w:rPr>
        <w:t>9</w:t>
      </w:r>
      <w:r>
        <w:rPr>
          <w:rFonts w:hint="eastAsia" w:ascii="宋体" w:hAnsi="宋体"/>
          <w:sz w:val="28"/>
          <w:szCs w:val="28"/>
          <w:u w:val="single"/>
        </w:rPr>
        <w:t>月</w:t>
      </w:r>
    </w:p>
    <w:p w14:paraId="12799EE3">
      <w:pPr>
        <w:pStyle w:val="71"/>
        <w:rPr>
          <w:rFonts w:hint="eastAsia"/>
          <w:sz w:val="28"/>
        </w:rPr>
      </w:pPr>
      <w:bookmarkStart w:id="0" w:name="_Toc32474"/>
      <w:r>
        <w:rPr>
          <w:rFonts w:hint="eastAsia"/>
          <w:sz w:val="28"/>
        </w:rPr>
        <w:t>中国重汽集团</w:t>
      </w:r>
    </w:p>
    <w:p w14:paraId="5953C7BF">
      <w:pPr>
        <w:pStyle w:val="71"/>
        <w:rPr>
          <w:rFonts w:hint="eastAsia"/>
          <w:sz w:val="28"/>
        </w:rPr>
      </w:pPr>
      <w:r>
        <w:rPr>
          <w:rFonts w:hint="eastAsia"/>
          <w:sz w:val="28"/>
        </w:rPr>
        <w:t>2026-2027年度山东港口地面代理业务招标公告</w:t>
      </w:r>
      <w:bookmarkEnd w:id="0"/>
    </w:p>
    <w:p w14:paraId="3B867C39">
      <w:pPr>
        <w:pStyle w:val="71"/>
        <w:rPr>
          <w:rFonts w:hint="eastAsia"/>
        </w:rPr>
      </w:pPr>
    </w:p>
    <w:p w14:paraId="2A47C58A">
      <w:pPr>
        <w:pStyle w:val="72"/>
      </w:pPr>
      <w:bookmarkStart w:id="1" w:name="_Toc47976588"/>
      <w:r>
        <w:rPr>
          <w:rFonts w:hint="eastAsia"/>
        </w:rPr>
        <w:t>项目名称及项目编号</w:t>
      </w:r>
      <w:bookmarkEnd w:id="1"/>
    </w:p>
    <w:p w14:paraId="4F3E39CF">
      <w:pPr>
        <w:pStyle w:val="73"/>
        <w:rPr>
          <w:b w:val="0"/>
          <w:bCs/>
        </w:rPr>
      </w:pPr>
      <w:r>
        <w:rPr>
          <w:rFonts w:hint="eastAsia"/>
          <w:b w:val="0"/>
          <w:bCs/>
        </w:rPr>
        <w:t>项目名称：中国重汽集团2026-2027年度山东港口地面代理业务</w:t>
      </w:r>
    </w:p>
    <w:p w14:paraId="15020D03">
      <w:pPr>
        <w:pStyle w:val="73"/>
        <w:rPr>
          <w:b w:val="0"/>
          <w:bCs/>
        </w:rPr>
      </w:pPr>
      <w:r>
        <w:rPr>
          <w:rFonts w:hint="eastAsia"/>
          <w:b w:val="0"/>
          <w:bCs/>
        </w:rPr>
        <w:t>项目编号：ZBGL2026080215</w:t>
      </w:r>
    </w:p>
    <w:p w14:paraId="0AB9F24D">
      <w:pPr>
        <w:pStyle w:val="72"/>
      </w:pPr>
      <w:bookmarkStart w:id="2" w:name="_Toc47976589"/>
      <w:r>
        <w:rPr>
          <w:rFonts w:hint="eastAsia"/>
          <w:lang w:val="en-US" w:eastAsia="zh-CN"/>
        </w:rPr>
        <w:t>项目概况</w:t>
      </w:r>
      <w:r>
        <w:rPr>
          <w:rFonts w:hint="eastAsia"/>
        </w:rPr>
        <w:t>及招标形式</w:t>
      </w:r>
      <w:bookmarkEnd w:id="2"/>
    </w:p>
    <w:p w14:paraId="4E5EA33C">
      <w:pPr>
        <w:pStyle w:val="73"/>
        <w:numPr>
          <w:ilvl w:val="0"/>
          <w:numId w:val="9"/>
        </w:numPr>
        <w:rPr>
          <w:b w:val="0"/>
          <w:bCs/>
        </w:rPr>
      </w:pPr>
      <w:r>
        <w:rPr>
          <w:rFonts w:hint="eastAsia"/>
          <w:b w:val="0"/>
          <w:bCs/>
        </w:rPr>
        <w:t>招标内容：中国重汽集团2026-2027年度山东港口地面代理业务，出口海运港口地面代理（以下简称“港口地面代理”）</w:t>
      </w:r>
    </w:p>
    <w:p w14:paraId="4EC58B63">
      <w:pPr>
        <w:pStyle w:val="73"/>
        <w:rPr>
          <w:b w:val="0"/>
          <w:bCs/>
        </w:rPr>
      </w:pPr>
      <w:r>
        <w:rPr>
          <w:rFonts w:hint="eastAsia"/>
          <w:b w:val="0"/>
          <w:bCs/>
        </w:rPr>
        <w:t>招标形式：</w:t>
      </w:r>
      <w:r>
        <w:rPr>
          <w:rFonts w:hint="eastAsia"/>
          <w:b w:val="0"/>
          <w:bCs/>
          <w:lang w:val="en-US" w:eastAsia="zh-CN"/>
        </w:rPr>
        <w:t>公开招标</w:t>
      </w:r>
    </w:p>
    <w:p w14:paraId="0B813421">
      <w:pPr>
        <w:pStyle w:val="72"/>
        <w:rPr>
          <w:highlight w:val="none"/>
        </w:rPr>
      </w:pPr>
      <w:bookmarkStart w:id="3" w:name="_Toc47976590"/>
      <w:r>
        <w:rPr>
          <w:rFonts w:hint="eastAsia"/>
          <w:highlight w:val="none"/>
        </w:rPr>
        <w:t>投标人资格要求</w:t>
      </w:r>
      <w:bookmarkEnd w:id="3"/>
    </w:p>
    <w:p w14:paraId="7170F039">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投标人应具备独立法人主体资格和完全民事行为能力。</w:t>
      </w:r>
    </w:p>
    <w:p w14:paraId="57EAB624">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财务及经营状况良好，无失信记录。具有独立承担民事责任的能力。</w:t>
      </w:r>
      <w:r>
        <w:rPr>
          <w:rFonts w:hint="eastAsia" w:ascii="宋体" w:hAnsi="宋体" w:eastAsia="宋体" w:cs="宋体"/>
          <w:sz w:val="21"/>
          <w:szCs w:val="21"/>
          <w:highlight w:val="none"/>
          <w:lang w:val="en-US" w:eastAsia="zh-CN"/>
        </w:rPr>
        <w:t>原则上</w:t>
      </w:r>
      <w:r>
        <w:rPr>
          <w:rFonts w:hint="eastAsia" w:ascii="宋体" w:hAnsi="宋体" w:eastAsia="宋体" w:cs="宋体"/>
          <w:sz w:val="21"/>
          <w:szCs w:val="21"/>
          <w:highlight w:val="none"/>
        </w:rPr>
        <w:t>注册资本</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rPr>
        <w:t>人民币500万元。</w:t>
      </w:r>
    </w:p>
    <w:p w14:paraId="39DCE266">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此外，投标人还应符合以下要求：</w:t>
      </w:r>
    </w:p>
    <w:p w14:paraId="50D42781">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（1）投标人满足技术、质量、资金等要求，财务状况良好、经营稳定，具有全面履约的能力，能提供相关信用等级和完税证明；</w:t>
      </w:r>
    </w:p>
    <w:p w14:paraId="76D2BA6C">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（2）投标人之间必须具有充分的竞争关系；</w:t>
      </w:r>
    </w:p>
    <w:p w14:paraId="3BB52754">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（3）投标人在“国家企业信用信息公示系统”、“中国执行信息公开网”、“信用中国”、“天眼查”“裁判文书网”等信息平台中，无与招标项目有关的重大行政处罚及失信记录等信息；</w:t>
      </w:r>
    </w:p>
    <w:p w14:paraId="1CB10AC3">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（4）投标人无招标违规、谎报年度报告信息、提供虚假资质资料等行为或其他行政处罚记录；</w:t>
      </w:r>
    </w:p>
    <w:p w14:paraId="03B000DC">
      <w:pPr>
        <w:keepNext w:val="0"/>
        <w:keepLines w:val="0"/>
        <w:pageBreakBefore w:val="0"/>
        <w:kinsoku/>
        <w:wordWrap/>
        <w:overflowPunct/>
        <w:topLinePunct w:val="0"/>
        <w:autoSpaceDE/>
        <w:autoSpaceDN w:val="0"/>
        <w:bidi w:val="0"/>
        <w:adjustRightInd/>
        <w:spacing w:line="160" w:lineRule="atLeast"/>
        <w:ind w:firstLine="549"/>
        <w:rPr>
          <w:rFonts w:hint="eastAsia" w:ascii="宋体" w:hAnsi="宋体" w:eastAsia="宋体" w:cs="宋体"/>
          <w:sz w:val="21"/>
          <w:szCs w:val="21"/>
          <w:highlight w:val="none"/>
        </w:rPr>
      </w:pPr>
      <w:r>
        <w:rPr>
          <w:rFonts w:hint="eastAsia" w:ascii="宋体" w:hAnsi="宋体" w:eastAsia="宋体" w:cs="宋体"/>
          <w:sz w:val="21"/>
          <w:szCs w:val="21"/>
          <w:highlight w:val="none"/>
        </w:rPr>
        <w:t>（5）投标人未被我公司列入黑名单；</w:t>
      </w:r>
    </w:p>
    <w:p w14:paraId="0E57CC28">
      <w:pPr>
        <w:keepNext w:val="0"/>
        <w:keepLines w:val="0"/>
        <w:pageBreakBefore w:val="0"/>
        <w:kinsoku/>
        <w:wordWrap/>
        <w:overflowPunct/>
        <w:topLinePunct w:val="0"/>
        <w:autoSpaceDE/>
        <w:autoSpaceDN w:val="0"/>
        <w:bidi w:val="0"/>
        <w:adjustRightInd/>
        <w:spacing w:line="160" w:lineRule="atLeast"/>
        <w:ind w:firstLine="549"/>
        <w:rPr>
          <w:highlight w:val="yellow"/>
        </w:rPr>
      </w:pPr>
      <w:r>
        <w:rPr>
          <w:rFonts w:hint="eastAsia" w:ascii="宋体" w:hAnsi="宋体" w:eastAsia="宋体" w:cs="宋体"/>
          <w:sz w:val="21"/>
          <w:szCs w:val="21"/>
          <w:highlight w:val="none"/>
        </w:rPr>
        <w:t>（6）投标人的直接或间接股东、法定代表人、董事、监事、高管非重汽员工及其亲属。</w:t>
      </w:r>
    </w:p>
    <w:p w14:paraId="76B97D53">
      <w:pPr>
        <w:pStyle w:val="72"/>
        <w:rPr>
          <w:highlight w:val="none"/>
        </w:rPr>
      </w:pPr>
      <w:bookmarkStart w:id="4" w:name="_Toc47976591"/>
      <w:r>
        <w:rPr>
          <w:rFonts w:hint="eastAsia"/>
          <w:highlight w:val="none"/>
        </w:rPr>
        <w:t>报名及招标文件的获取</w:t>
      </w:r>
      <w:bookmarkEnd w:id="4"/>
    </w:p>
    <w:p w14:paraId="11948E7D">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项目的潜在投标人应通过“中国重汽e采通”（https://ecaitong.sinotruk.com:8012）</w:t>
      </w:r>
      <w:r>
        <w:rPr>
          <w:rFonts w:hint="eastAsia" w:ascii="宋体" w:hAnsi="宋体" w:eastAsia="宋体" w:cs="宋体"/>
          <w:sz w:val="21"/>
          <w:szCs w:val="21"/>
          <w:highlight w:val="yellow"/>
          <w:lang w:val="en-US" w:eastAsia="zh-CN"/>
        </w:rPr>
        <w:t>注册</w:t>
      </w:r>
      <w:r>
        <w:rPr>
          <w:rFonts w:hint="eastAsia" w:ascii="宋体" w:hAnsi="宋体" w:eastAsia="宋体" w:cs="宋体"/>
          <w:sz w:val="21"/>
          <w:szCs w:val="21"/>
          <w:highlight w:val="none"/>
          <w:lang w:val="en-US" w:eastAsia="zh-CN"/>
        </w:rPr>
        <w:t>完成后，获取招标文件；</w:t>
      </w:r>
    </w:p>
    <w:p w14:paraId="6C55E566">
      <w:pPr>
        <w:keepNext w:val="0"/>
        <w:keepLines w:val="0"/>
        <w:pageBreakBefore w:val="0"/>
        <w:kinsoku/>
        <w:wordWrap/>
        <w:overflowPunct/>
        <w:topLinePunct w:val="0"/>
        <w:autoSpaceDE/>
        <w:autoSpaceDN w:val="0"/>
        <w:bidi w:val="0"/>
        <w:adjustRightInd/>
        <w:spacing w:line="160" w:lineRule="atLeast"/>
        <w:ind w:firstLine="580"/>
        <w:rPr>
          <w:rFonts w:hint="default" w:ascii="宋体" w:hAnsi="宋体" w:eastAsia="宋体" w:cs="宋体"/>
          <w:b/>
          <w:bCs/>
          <w:color w:val="FF0000"/>
          <w:sz w:val="36"/>
          <w:szCs w:val="36"/>
          <w:highlight w:val="none"/>
          <w:lang w:val="en-US" w:eastAsia="zh-CN"/>
        </w:rPr>
      </w:pPr>
      <w:r>
        <w:rPr>
          <w:rFonts w:hint="eastAsia" w:ascii="宋体" w:hAnsi="宋体" w:cs="宋体"/>
          <w:b/>
          <w:bCs/>
          <w:color w:val="FF0000"/>
          <w:sz w:val="36"/>
          <w:szCs w:val="36"/>
          <w:highlight w:val="none"/>
          <w:lang w:val="en-US" w:eastAsia="zh-CN"/>
        </w:rPr>
        <w:t>e采通操作手册见本标书附件</w:t>
      </w:r>
    </w:p>
    <w:p w14:paraId="4509C0DA">
      <w:pPr>
        <w:pStyle w:val="72"/>
        <w:rPr>
          <w:highlight w:val="none"/>
        </w:rPr>
      </w:pPr>
      <w:bookmarkStart w:id="5" w:name="_Toc47976592"/>
      <w:r>
        <w:rPr>
          <w:rFonts w:hint="eastAsia"/>
          <w:highlight w:val="none"/>
        </w:rPr>
        <w:t>投标文件的递交</w:t>
      </w:r>
      <w:bookmarkEnd w:id="5"/>
    </w:p>
    <w:p w14:paraId="5C42EBF5">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yellow"/>
          <w:lang w:val="en-US" w:eastAsia="zh-CN"/>
        </w:rPr>
      </w:pPr>
      <w:r>
        <w:rPr>
          <w:rFonts w:hint="eastAsia" w:ascii="宋体" w:hAnsi="宋体" w:eastAsia="宋体" w:cs="宋体"/>
          <w:sz w:val="21"/>
          <w:szCs w:val="21"/>
          <w:highlight w:val="yellow"/>
          <w:lang w:val="en-US" w:eastAsia="zh-CN"/>
        </w:rPr>
        <w:t>应于2026年09月</w:t>
      </w:r>
      <w:r>
        <w:rPr>
          <w:rFonts w:hint="eastAsia" w:ascii="宋体" w:hAnsi="宋体" w:cs="宋体"/>
          <w:sz w:val="21"/>
          <w:szCs w:val="21"/>
          <w:highlight w:val="yellow"/>
          <w:lang w:val="en-US" w:eastAsia="zh-CN"/>
        </w:rPr>
        <w:t>24</w:t>
      </w:r>
      <w:r>
        <w:rPr>
          <w:rFonts w:hint="eastAsia" w:ascii="宋体" w:hAnsi="宋体" w:eastAsia="宋体" w:cs="宋体"/>
          <w:sz w:val="21"/>
          <w:szCs w:val="21"/>
          <w:highlight w:val="yellow"/>
          <w:lang w:val="en-US" w:eastAsia="zh-CN"/>
        </w:rPr>
        <w:t>日17:00（北京时间）前通过“系统-招投标中心-非生产类招投标-供应商应标”应标；应标提交文件为第一册（资质文件）</w:t>
      </w:r>
      <w:r>
        <w:rPr>
          <w:rFonts w:hint="eastAsia" w:ascii="宋体" w:hAnsi="宋体" w:cs="宋体"/>
          <w:sz w:val="21"/>
          <w:szCs w:val="21"/>
          <w:highlight w:val="yellow"/>
          <w:lang w:val="en-US" w:eastAsia="zh-CN"/>
        </w:rPr>
        <w:t>、企业简介、相关业绩</w:t>
      </w:r>
      <w:r>
        <w:rPr>
          <w:rFonts w:hint="eastAsia" w:ascii="宋体" w:hAnsi="宋体" w:eastAsia="宋体" w:cs="宋体"/>
          <w:sz w:val="21"/>
          <w:szCs w:val="21"/>
          <w:highlight w:val="yellow"/>
          <w:lang w:val="en-US" w:eastAsia="zh-CN"/>
        </w:rPr>
        <w:t>。</w:t>
      </w:r>
    </w:p>
    <w:p w14:paraId="54558D5F">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应标”后，招标方进行资料审核，如“应标”资质不符合要求，“淘汰”；如“应标”资料不完整，“驳回”，补充资料，被“驳回”的单位，应在“应标”时间截止前补充完资料上传，否则视为“淘汰”；如资料无问题，视为“应标”成功，开放“投标”环节。</w:t>
      </w:r>
    </w:p>
    <w:p w14:paraId="0B826AA2">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b/>
          <w:bCs/>
          <w:color w:val="FF0000"/>
          <w:sz w:val="21"/>
          <w:szCs w:val="21"/>
          <w:highlight w:val="none"/>
          <w:lang w:val="en-US" w:eastAsia="zh-CN"/>
        </w:rPr>
      </w:pPr>
      <w:r>
        <w:rPr>
          <w:rFonts w:hint="eastAsia" w:ascii="宋体" w:hAnsi="宋体" w:eastAsia="宋体" w:cs="宋体"/>
          <w:b/>
          <w:bCs/>
          <w:color w:val="FF0000"/>
          <w:sz w:val="21"/>
          <w:szCs w:val="21"/>
          <w:highlight w:val="none"/>
          <w:lang w:val="en-US" w:eastAsia="zh-CN"/>
        </w:rPr>
        <w:t>备注：“淘汰”“驳回”不予做任何解释。</w:t>
      </w:r>
    </w:p>
    <w:p w14:paraId="0C2ABAED">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首次注册供应商：请根据《SRM非生产供应商注册手册》</w:t>
      </w:r>
      <w:r>
        <w:rPr>
          <w:rFonts w:hint="eastAsia" w:ascii="宋体" w:hAnsi="宋体" w:cs="宋体"/>
          <w:sz w:val="21"/>
          <w:szCs w:val="21"/>
          <w:highlight w:val="none"/>
          <w:lang w:val="en-US" w:eastAsia="zh-CN"/>
        </w:rPr>
        <w:t>（</w:t>
      </w:r>
      <w:r>
        <w:rPr>
          <w:rFonts w:hint="eastAsia" w:ascii="宋体" w:hAnsi="宋体" w:cs="宋体"/>
          <w:b/>
          <w:bCs/>
          <w:color w:val="FF0000"/>
          <w:sz w:val="36"/>
          <w:szCs w:val="36"/>
          <w:highlight w:val="none"/>
          <w:lang w:val="en-US" w:eastAsia="zh-CN"/>
        </w:rPr>
        <w:t>本标书附件</w:t>
      </w:r>
      <w:r>
        <w:rPr>
          <w:rFonts w:hint="eastAsia" w:ascii="宋体" w:hAnsi="宋体" w:cs="宋体"/>
          <w:sz w:val="21"/>
          <w:szCs w:val="21"/>
          <w:highlight w:val="none"/>
          <w:lang w:val="en-US" w:eastAsia="zh-CN"/>
        </w:rPr>
        <w:t>）</w:t>
      </w:r>
      <w:r>
        <w:rPr>
          <w:rFonts w:hint="eastAsia" w:ascii="宋体" w:hAnsi="宋体" w:eastAsia="宋体" w:cs="宋体"/>
          <w:sz w:val="21"/>
          <w:szCs w:val="21"/>
          <w:highlight w:val="none"/>
          <w:lang w:val="en-US" w:eastAsia="zh-CN"/>
        </w:rPr>
        <w:t>完成平台账号注册。</w:t>
      </w:r>
      <w:r>
        <w:rPr>
          <w:rFonts w:hint="eastAsia" w:ascii="宋体" w:hAnsi="宋体" w:eastAsia="宋体" w:cs="宋体"/>
          <w:sz w:val="21"/>
          <w:szCs w:val="21"/>
          <w:highlight w:val="none"/>
          <w:lang w:val="en-US" w:eastAsia="zh-CN"/>
        </w:rPr>
        <w:br w:type="textWrapping"/>
      </w:r>
      <w:r>
        <w:rPr>
          <w:rFonts w:hint="eastAsia" w:ascii="宋体" w:hAnsi="宋体" w:cs="宋体"/>
          <w:sz w:val="21"/>
          <w:szCs w:val="21"/>
          <w:highlight w:val="none"/>
          <w:lang w:val="en-US" w:eastAsia="zh-CN"/>
        </w:rPr>
        <w:tab/>
      </w:r>
      <w:r>
        <w:rPr>
          <w:rFonts w:hint="eastAsia" w:ascii="宋体" w:hAnsi="宋体" w:cs="宋体"/>
          <w:sz w:val="21"/>
          <w:szCs w:val="21"/>
          <w:highlight w:val="none"/>
          <w:lang w:val="en-US" w:eastAsia="zh-CN"/>
        </w:rPr>
        <w:tab/>
      </w:r>
      <w:r>
        <w:rPr>
          <w:rFonts w:hint="eastAsia" w:ascii="宋体" w:hAnsi="宋体" w:cs="宋体"/>
          <w:sz w:val="21"/>
          <w:szCs w:val="21"/>
          <w:highlight w:val="none"/>
          <w:lang w:val="en-US" w:eastAsia="zh-CN"/>
        </w:rPr>
        <w:t xml:space="preserve">      </w:t>
      </w:r>
      <w:r>
        <w:rPr>
          <w:rFonts w:hint="eastAsia" w:ascii="宋体" w:hAnsi="宋体" w:eastAsia="宋体" w:cs="宋体"/>
          <w:sz w:val="21"/>
          <w:szCs w:val="21"/>
          <w:highlight w:val="none"/>
          <w:lang w:val="en-US" w:eastAsia="zh-CN"/>
        </w:rPr>
        <w:t>已注册供应商：已注册的投标人注意去重汽e采通平台检查更新近三年的经营概况，财务信息更新到近三年，确保信息真实、完整且不许有空余，若因此造成应标不成功，后果由投标人自行承担。</w:t>
      </w:r>
    </w:p>
    <w:p w14:paraId="120DDCB7">
      <w:pPr>
        <w:pStyle w:val="2"/>
        <w:rPr>
          <w:rFonts w:hint="eastAsia"/>
          <w:lang w:val="en-US" w:eastAsia="zh-CN"/>
        </w:rPr>
      </w:pPr>
    </w:p>
    <w:p w14:paraId="2874F5DF">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yellow"/>
          <w:lang w:val="en-US" w:eastAsia="zh-CN"/>
        </w:rPr>
        <w:t>应于2026年</w:t>
      </w:r>
      <w:r>
        <w:rPr>
          <w:rFonts w:hint="eastAsia" w:ascii="宋体" w:hAnsi="宋体" w:cs="宋体"/>
          <w:sz w:val="21"/>
          <w:szCs w:val="21"/>
          <w:highlight w:val="yellow"/>
          <w:lang w:val="en-US" w:eastAsia="zh-CN"/>
        </w:rPr>
        <w:t>10</w:t>
      </w:r>
      <w:r>
        <w:rPr>
          <w:rFonts w:hint="eastAsia" w:ascii="宋体" w:hAnsi="宋体" w:eastAsia="宋体" w:cs="宋体"/>
          <w:sz w:val="21"/>
          <w:szCs w:val="21"/>
          <w:highlight w:val="yellow"/>
          <w:lang w:val="en-US" w:eastAsia="zh-CN"/>
        </w:rPr>
        <w:t>月</w:t>
      </w:r>
      <w:r>
        <w:rPr>
          <w:rFonts w:hint="eastAsia" w:ascii="宋体" w:hAnsi="宋体" w:cs="宋体"/>
          <w:sz w:val="21"/>
          <w:szCs w:val="21"/>
          <w:highlight w:val="yellow"/>
          <w:lang w:val="en-US" w:eastAsia="zh-CN"/>
        </w:rPr>
        <w:t>8</w:t>
      </w:r>
      <w:r>
        <w:rPr>
          <w:rFonts w:hint="eastAsia" w:ascii="宋体" w:hAnsi="宋体" w:eastAsia="宋体" w:cs="宋体"/>
          <w:sz w:val="21"/>
          <w:szCs w:val="21"/>
          <w:highlight w:val="yellow"/>
          <w:lang w:val="en-US" w:eastAsia="zh-CN"/>
        </w:rPr>
        <w:t>日</w:t>
      </w:r>
      <w:r>
        <w:rPr>
          <w:rFonts w:hint="eastAsia" w:ascii="宋体" w:hAnsi="宋体" w:cs="宋体"/>
          <w:sz w:val="21"/>
          <w:szCs w:val="21"/>
          <w:highlight w:val="yellow"/>
          <w:lang w:val="en-US" w:eastAsia="zh-CN"/>
        </w:rPr>
        <w:t>9</w:t>
      </w:r>
      <w:r>
        <w:rPr>
          <w:rFonts w:hint="eastAsia" w:ascii="宋体" w:hAnsi="宋体" w:eastAsia="宋体" w:cs="宋体"/>
          <w:sz w:val="21"/>
          <w:szCs w:val="21"/>
          <w:highlight w:val="yellow"/>
          <w:lang w:val="en-US" w:eastAsia="zh-CN"/>
        </w:rPr>
        <w:t>:00（北京时间）前通过“系统-招投标中心-非生产类招投标-供应商投标”递交投标文件，包括第二册(技术方案)与第三册(商务文件)。</w:t>
      </w:r>
      <w:r>
        <w:rPr>
          <w:rFonts w:hint="eastAsia" w:ascii="宋体" w:hAnsi="宋体" w:eastAsia="宋体" w:cs="宋体"/>
          <w:sz w:val="21"/>
          <w:szCs w:val="21"/>
          <w:highlight w:val="none"/>
          <w:lang w:val="en-US" w:eastAsia="zh-CN"/>
        </w:rPr>
        <w:t>逾期系统自动关闭。</w:t>
      </w:r>
    </w:p>
    <w:p w14:paraId="0CB89291">
      <w:pPr>
        <w:keepNext w:val="0"/>
        <w:keepLines w:val="0"/>
        <w:pageBreakBefore w:val="0"/>
        <w:kinsoku/>
        <w:wordWrap/>
        <w:overflowPunct/>
        <w:topLinePunct w:val="0"/>
        <w:autoSpaceDE/>
        <w:autoSpaceDN w:val="0"/>
        <w:bidi w:val="0"/>
        <w:adjustRightInd/>
        <w:spacing w:line="160" w:lineRule="atLeast"/>
        <w:ind w:firstLine="580"/>
        <w:rPr>
          <w:rFonts w:hint="eastAsia" w:ascii="宋体" w:hAnsi="宋体" w:eastAsia="宋体" w:cs="宋体"/>
          <w:sz w:val="21"/>
          <w:szCs w:val="21"/>
          <w:highlight w:val="none"/>
          <w:lang w:val="en-US" w:eastAsia="zh-CN"/>
        </w:rPr>
      </w:pPr>
      <w:r>
        <w:rPr>
          <w:rFonts w:hint="eastAsia" w:ascii="宋体" w:hAnsi="宋体" w:cs="宋体"/>
          <w:b/>
          <w:bCs/>
          <w:color w:val="FF0000"/>
          <w:sz w:val="36"/>
          <w:szCs w:val="36"/>
          <w:highlight w:val="none"/>
          <w:lang w:val="en-US" w:eastAsia="zh-CN"/>
        </w:rPr>
        <w:t>e采通操作手册见本标书附件</w:t>
      </w:r>
    </w:p>
    <w:p w14:paraId="27B65ABD">
      <w:pPr>
        <w:pStyle w:val="72"/>
        <w:rPr>
          <w:highlight w:val="none"/>
        </w:rPr>
      </w:pPr>
      <w:r>
        <w:rPr>
          <w:rFonts w:hint="eastAsia"/>
          <w:highlight w:val="none"/>
          <w:lang w:val="en-US" w:eastAsia="zh-CN"/>
        </w:rPr>
        <w:t>开标时间和地点</w:t>
      </w:r>
    </w:p>
    <w:p w14:paraId="601CE61A">
      <w:pPr>
        <w:keepNext w:val="0"/>
        <w:keepLines w:val="0"/>
        <w:pageBreakBefore w:val="0"/>
        <w:kinsoku/>
        <w:wordWrap/>
        <w:overflowPunct/>
        <w:topLinePunct w:val="0"/>
        <w:autoSpaceDE/>
        <w:autoSpaceDN w:val="0"/>
        <w:bidi w:val="0"/>
        <w:adjustRightInd/>
        <w:spacing w:line="160" w:lineRule="atLeast"/>
        <w:ind w:left="2" w:firstLine="574"/>
        <w:rPr>
          <w:rFonts w:hint="eastAsia" w:ascii="宋体" w:hAnsi="宋体" w:eastAsia="宋体" w:cs="宋体"/>
          <w:sz w:val="21"/>
          <w:szCs w:val="21"/>
          <w:highlight w:val="yellow"/>
        </w:rPr>
      </w:pPr>
      <w:r>
        <w:rPr>
          <w:rFonts w:hint="eastAsia" w:ascii="宋体" w:hAnsi="宋体" w:eastAsia="宋体" w:cs="宋体"/>
          <w:sz w:val="21"/>
          <w:szCs w:val="21"/>
          <w:highlight w:val="none"/>
          <w:lang w:val="en-US" w:eastAsia="zh-CN"/>
        </w:rPr>
        <w:t>详见附件1《分包项目明细》</w:t>
      </w:r>
    </w:p>
    <w:p w14:paraId="22385406">
      <w:pPr>
        <w:pStyle w:val="72"/>
      </w:pPr>
      <w:bookmarkStart w:id="6" w:name="_Toc47976593"/>
      <w:r>
        <w:rPr>
          <w:rFonts w:hint="eastAsia"/>
        </w:rPr>
        <w:t>招标公告发布媒介</w:t>
      </w:r>
      <w:bookmarkEnd w:id="6"/>
    </w:p>
    <w:p w14:paraId="01812A52">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sz w:val="21"/>
          <w:szCs w:val="21"/>
          <w:highlight w:val="none"/>
        </w:rPr>
      </w:pPr>
      <w:bookmarkStart w:id="7" w:name="_Toc47976594"/>
      <w:r>
        <w:rPr>
          <w:rFonts w:hint="eastAsia" w:ascii="宋体" w:hAnsi="宋体" w:eastAsia="宋体" w:cs="宋体"/>
          <w:sz w:val="21"/>
          <w:szCs w:val="21"/>
          <w:highlight w:val="none"/>
          <w:lang w:val="en-US" w:eastAsia="zh-CN"/>
        </w:rPr>
        <w:t xml:space="preserve">1. </w:t>
      </w:r>
      <w:r>
        <w:rPr>
          <w:rFonts w:hint="eastAsia" w:ascii="宋体" w:hAnsi="宋体" w:eastAsia="宋体" w:cs="宋体"/>
          <w:sz w:val="21"/>
          <w:szCs w:val="21"/>
          <w:highlight w:val="none"/>
        </w:rPr>
        <w:t>中国重型汽车集团有限公司网站，网址如下：</w:t>
      </w:r>
    </w:p>
    <w:p w14:paraId="55A7E6DC">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lang w:val="en-US" w:eastAsia="zh-CN"/>
        </w:rPr>
      </w:pPr>
      <w:r>
        <w:rPr>
          <w:rFonts w:hint="eastAsia" w:ascii="宋体" w:hAnsi="宋体" w:eastAsia="宋体" w:cs="宋体"/>
          <w:bCs/>
          <w:sz w:val="21"/>
          <w:szCs w:val="21"/>
          <w:highlight w:val="none"/>
        </w:rPr>
        <w:fldChar w:fldCharType="begin"/>
      </w:r>
      <w:r>
        <w:rPr>
          <w:rFonts w:hint="eastAsia" w:ascii="宋体" w:hAnsi="宋体" w:eastAsia="宋体" w:cs="宋体"/>
          <w:bCs/>
          <w:sz w:val="21"/>
          <w:szCs w:val="21"/>
          <w:highlight w:val="none"/>
        </w:rPr>
        <w:instrText xml:space="preserve"> HYPERLINK "http://www.cnhtc.com.cn，作为本次招标唯一对外公示平台，招标信息均以该网站发布内容为准。具体发布版块在\“快讯中心\”的\“通知公告\”中。" </w:instrText>
      </w:r>
      <w:r>
        <w:rPr>
          <w:rFonts w:hint="eastAsia" w:ascii="宋体" w:hAnsi="宋体" w:eastAsia="宋体" w:cs="宋体"/>
          <w:bCs/>
          <w:sz w:val="21"/>
          <w:szCs w:val="21"/>
          <w:highlight w:val="none"/>
        </w:rPr>
        <w:fldChar w:fldCharType="separate"/>
      </w:r>
      <w:r>
        <w:rPr>
          <w:rFonts w:hint="eastAsia" w:ascii="宋体" w:hAnsi="宋体" w:eastAsia="宋体" w:cs="宋体"/>
          <w:bCs/>
          <w:sz w:val="21"/>
          <w:szCs w:val="21"/>
          <w:highlight w:val="none"/>
        </w:rPr>
        <w:t>http://www.cnhtc.com.cn</w:t>
      </w:r>
      <w:r>
        <w:rPr>
          <w:rFonts w:hint="eastAsia" w:ascii="宋体" w:hAnsi="宋体" w:eastAsia="宋体" w:cs="宋体"/>
          <w:bCs/>
          <w:sz w:val="21"/>
          <w:szCs w:val="21"/>
          <w:highlight w:val="none"/>
          <w:lang w:val="en-US" w:eastAsia="zh-CN"/>
        </w:rPr>
        <w:t xml:space="preserve"> </w:t>
      </w:r>
    </w:p>
    <w:p w14:paraId="023022FE">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rPr>
      </w:pPr>
      <w:r>
        <w:rPr>
          <w:rFonts w:hint="eastAsia" w:ascii="宋体" w:hAnsi="宋体" w:eastAsia="宋体" w:cs="宋体"/>
          <w:bCs/>
          <w:sz w:val="21"/>
          <w:szCs w:val="21"/>
          <w:highlight w:val="none"/>
        </w:rPr>
        <w:t>具体发布版块在“快讯中心”的“通知公告”中。</w:t>
      </w:r>
      <w:r>
        <w:rPr>
          <w:rFonts w:hint="eastAsia" w:ascii="宋体" w:hAnsi="宋体" w:eastAsia="宋体" w:cs="宋体"/>
          <w:bCs/>
          <w:sz w:val="21"/>
          <w:szCs w:val="21"/>
          <w:highlight w:val="none"/>
        </w:rPr>
        <w:fldChar w:fldCharType="end"/>
      </w:r>
    </w:p>
    <w:p w14:paraId="5BD2874A">
      <w:pPr>
        <w:keepNext w:val="0"/>
        <w:keepLines w:val="0"/>
        <w:pageBreakBefore w:val="0"/>
        <w:numPr>
          <w:ilvl w:val="0"/>
          <w:numId w:val="10"/>
        </w:numPr>
        <w:kinsoku/>
        <w:wordWrap/>
        <w:overflowPunct/>
        <w:topLinePunct w:val="0"/>
        <w:autoSpaceDE/>
        <w:bidi w:val="0"/>
        <w:adjustRightInd/>
        <w:spacing w:line="160" w:lineRule="atLeast"/>
        <w:ind w:left="-4" w:firstLine="7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山东省阳光采购平台，网址如下：</w:t>
      </w:r>
    </w:p>
    <w:p w14:paraId="40945B3F">
      <w:pPr>
        <w:keepNext w:val="0"/>
        <w:keepLines w:val="0"/>
        <w:pageBreakBefore w:val="0"/>
        <w:kinsoku/>
        <w:wordWrap/>
        <w:overflowPunct/>
        <w:topLinePunct w:val="0"/>
        <w:autoSpaceDE/>
        <w:bidi w:val="0"/>
        <w:adjustRightInd/>
        <w:spacing w:line="160" w:lineRule="atLeast"/>
        <w:ind w:left="-4" w:firstLine="700"/>
        <w:rPr>
          <w:rFonts w:hint="eastAsia"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fldChar w:fldCharType="begin"/>
      </w:r>
      <w:r>
        <w:rPr>
          <w:rFonts w:hint="eastAsia" w:ascii="宋体" w:hAnsi="宋体" w:eastAsia="宋体" w:cs="宋体"/>
          <w:bCs/>
          <w:sz w:val="21"/>
          <w:szCs w:val="21"/>
          <w:highlight w:val="none"/>
          <w:lang w:val="en-US" w:eastAsia="zh-CN"/>
        </w:rPr>
        <w:instrText xml:space="preserve"> HYPERLINK "http://www.ygcgfw.com/" </w:instrText>
      </w:r>
      <w:r>
        <w:rPr>
          <w:rFonts w:hint="eastAsia" w:ascii="宋体" w:hAnsi="宋体" w:eastAsia="宋体" w:cs="宋体"/>
          <w:bCs/>
          <w:sz w:val="21"/>
          <w:szCs w:val="21"/>
          <w:highlight w:val="none"/>
          <w:lang w:val="en-US" w:eastAsia="zh-CN"/>
        </w:rPr>
        <w:fldChar w:fldCharType="separate"/>
      </w:r>
      <w:r>
        <w:rPr>
          <w:rFonts w:hint="eastAsia" w:ascii="宋体" w:hAnsi="宋体" w:eastAsia="宋体" w:cs="宋体"/>
          <w:bCs/>
          <w:sz w:val="21"/>
          <w:szCs w:val="21"/>
          <w:highlight w:val="none"/>
          <w:lang w:val="en-US" w:eastAsia="zh-CN"/>
        </w:rPr>
        <w:t>http://www.ygcgfw.com/</w:t>
      </w:r>
      <w:r>
        <w:rPr>
          <w:rFonts w:hint="eastAsia" w:ascii="宋体" w:hAnsi="宋体" w:eastAsia="宋体" w:cs="宋体"/>
          <w:bCs/>
          <w:sz w:val="21"/>
          <w:szCs w:val="21"/>
          <w:highlight w:val="none"/>
          <w:lang w:val="en-US" w:eastAsia="zh-CN"/>
        </w:rPr>
        <w:fldChar w:fldCharType="end"/>
      </w:r>
    </w:p>
    <w:p w14:paraId="5E345103">
      <w:pPr>
        <w:keepNext w:val="0"/>
        <w:keepLines w:val="0"/>
        <w:pageBreakBefore w:val="0"/>
        <w:numPr>
          <w:ilvl w:val="0"/>
          <w:numId w:val="0"/>
        </w:numPr>
        <w:kinsoku/>
        <w:wordWrap/>
        <w:overflowPunct/>
        <w:topLinePunct w:val="0"/>
        <w:autoSpaceDE/>
        <w:bidi w:val="0"/>
        <w:adjustRightInd/>
        <w:spacing w:line="160" w:lineRule="atLeast"/>
        <w:ind w:left="696" w:leftChars="0"/>
        <w:rPr>
          <w:rFonts w:hint="eastAsia" w:ascii="宋体" w:hAnsi="宋体" w:eastAsia="宋体" w:cs="宋体"/>
          <w:sz w:val="21"/>
          <w:szCs w:val="21"/>
          <w:highlight w:val="none"/>
          <w:lang w:val="en-US" w:eastAsia="zh-CN"/>
        </w:rPr>
      </w:pPr>
      <w:r>
        <w:rPr>
          <w:rFonts w:hint="eastAsia" w:ascii="宋体" w:hAnsi="宋体" w:eastAsia="宋体" w:cs="宋体"/>
          <w:bCs/>
          <w:sz w:val="21"/>
          <w:szCs w:val="21"/>
          <w:highlight w:val="none"/>
        </w:rPr>
        <w:t>具体发布版块在“</w:t>
      </w:r>
      <w:r>
        <w:rPr>
          <w:rFonts w:hint="eastAsia" w:ascii="宋体" w:hAnsi="宋体" w:eastAsia="宋体" w:cs="宋体"/>
          <w:bCs/>
          <w:sz w:val="21"/>
          <w:szCs w:val="21"/>
          <w:highlight w:val="none"/>
          <w:lang w:val="en-US" w:eastAsia="zh-CN"/>
        </w:rPr>
        <w:t>公告公示</w:t>
      </w:r>
      <w:r>
        <w:rPr>
          <w:rFonts w:hint="eastAsia" w:ascii="宋体" w:hAnsi="宋体" w:eastAsia="宋体" w:cs="宋体"/>
          <w:bCs/>
          <w:sz w:val="21"/>
          <w:szCs w:val="21"/>
          <w:highlight w:val="none"/>
        </w:rPr>
        <w:t>”的“</w:t>
      </w:r>
      <w:r>
        <w:rPr>
          <w:rFonts w:hint="eastAsia" w:ascii="宋体" w:hAnsi="宋体" w:eastAsia="宋体" w:cs="宋体"/>
          <w:bCs/>
          <w:sz w:val="21"/>
          <w:szCs w:val="21"/>
          <w:highlight w:val="none"/>
          <w:lang w:val="en-US" w:eastAsia="zh-CN"/>
        </w:rPr>
        <w:t>招标采购</w:t>
      </w:r>
      <w:r>
        <w:rPr>
          <w:rFonts w:hint="eastAsia" w:ascii="宋体" w:hAnsi="宋体" w:eastAsia="宋体" w:cs="宋体"/>
          <w:bCs/>
          <w:sz w:val="21"/>
          <w:szCs w:val="21"/>
          <w:highlight w:val="none"/>
        </w:rPr>
        <w:t>”中</w:t>
      </w:r>
      <w:r>
        <w:rPr>
          <w:rFonts w:hint="eastAsia" w:ascii="宋体" w:hAnsi="宋体" w:eastAsia="宋体" w:cs="宋体"/>
          <w:bCs/>
          <w:sz w:val="21"/>
          <w:szCs w:val="21"/>
          <w:highlight w:val="none"/>
          <w:lang w:eastAsia="zh-CN"/>
        </w:rPr>
        <w:t>。</w:t>
      </w:r>
    </w:p>
    <w:p w14:paraId="3F82530E">
      <w:pPr>
        <w:keepNext w:val="0"/>
        <w:keepLines w:val="0"/>
        <w:pageBreakBefore w:val="0"/>
        <w:widowControl w:val="0"/>
        <w:numPr>
          <w:ilvl w:val="0"/>
          <w:numId w:val="0"/>
        </w:numPr>
        <w:kinsoku/>
        <w:wordWrap/>
        <w:overflowPunct/>
        <w:topLinePunct w:val="0"/>
        <w:autoSpaceDE/>
        <w:bidi w:val="0"/>
        <w:adjustRightInd/>
        <w:spacing w:line="160" w:lineRule="atLeast"/>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     以上为本次招标对外公式平台，招标信息均以以上网站发布内容为准。</w:t>
      </w:r>
    </w:p>
    <w:p w14:paraId="65FC2213">
      <w:pPr>
        <w:pStyle w:val="72"/>
        <w:rPr>
          <w:highlight w:val="none"/>
        </w:rPr>
      </w:pPr>
      <w:r>
        <w:rPr>
          <w:rFonts w:hint="eastAsia"/>
          <w:highlight w:val="none"/>
        </w:rPr>
        <w:t>联系方式</w:t>
      </w:r>
      <w:bookmarkEnd w:id="7"/>
    </w:p>
    <w:p w14:paraId="0E3850E2">
      <w:pPr>
        <w:keepNext w:val="0"/>
        <w:keepLines w:val="0"/>
        <w:pageBreakBefore w:val="0"/>
        <w:kinsoku/>
        <w:wordWrap/>
        <w:overflowPunct/>
        <w:topLinePunct w:val="0"/>
        <w:autoSpaceDE/>
        <w:bidi w:val="0"/>
        <w:adjustRightInd/>
        <w:spacing w:line="160" w:lineRule="atLeast"/>
        <w:ind w:left="-4" w:firstLine="70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业务</w:t>
      </w:r>
      <w:r>
        <w:rPr>
          <w:rFonts w:hint="eastAsia" w:ascii="宋体" w:hAnsi="宋体" w:eastAsia="宋体" w:cs="宋体"/>
          <w:sz w:val="21"/>
          <w:szCs w:val="21"/>
          <w:highlight w:val="none"/>
          <w:lang w:val="en-US" w:eastAsia="zh-CN"/>
        </w:rPr>
        <w:t>解答</w:t>
      </w:r>
      <w:r>
        <w:rPr>
          <w:rFonts w:hint="eastAsia" w:ascii="宋体" w:hAnsi="宋体" w:eastAsia="宋体" w:cs="宋体"/>
          <w:sz w:val="21"/>
          <w:szCs w:val="21"/>
          <w:highlight w:val="none"/>
        </w:rPr>
        <w:t>人：</w:t>
      </w:r>
      <w:r>
        <w:rPr>
          <w:rFonts w:hint="eastAsia" w:ascii="宋体" w:hAnsi="宋体" w:cs="宋体"/>
          <w:sz w:val="21"/>
          <w:szCs w:val="21"/>
          <w:highlight w:val="none"/>
          <w:lang w:val="en-US" w:eastAsia="zh-CN"/>
        </w:rPr>
        <w:t>张岩猛</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电话：0531-580664</w:t>
      </w:r>
      <w:r>
        <w:rPr>
          <w:rFonts w:hint="eastAsia" w:ascii="宋体" w:hAnsi="宋体" w:cs="宋体"/>
          <w:sz w:val="21"/>
          <w:szCs w:val="21"/>
          <w:highlight w:val="none"/>
          <w:lang w:val="en-US" w:eastAsia="zh-CN"/>
        </w:rPr>
        <w:t>58，zhangyanmeng@sinotruk.com</w:t>
      </w:r>
    </w:p>
    <w:p w14:paraId="3238CFEB">
      <w:pPr>
        <w:keepNext w:val="0"/>
        <w:keepLines w:val="0"/>
        <w:pageBreakBefore w:val="0"/>
        <w:kinsoku/>
        <w:wordWrap/>
        <w:overflowPunct/>
        <w:topLinePunct w:val="0"/>
        <w:autoSpaceDE/>
        <w:bidi w:val="0"/>
        <w:adjustRightInd/>
        <w:spacing w:line="160" w:lineRule="atLeast"/>
        <w:ind w:left="-4" w:firstLine="70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 xml:space="preserve">中国重汽e采通操作咨询联系人：刘书松        </w:t>
      </w:r>
      <w:r>
        <w:rPr>
          <w:rFonts w:hint="eastAsia" w:ascii="宋体" w:hAnsi="宋体" w:cs="宋体"/>
          <w:sz w:val="21"/>
          <w:szCs w:val="21"/>
          <w:highlight w:val="none"/>
          <w:lang w:val="en-US" w:eastAsia="zh-CN"/>
        </w:rPr>
        <w:t xml:space="preserve"> </w:t>
      </w:r>
      <w:r>
        <w:rPr>
          <w:rFonts w:hint="eastAsia" w:ascii="宋体" w:hAnsi="宋体" w:eastAsia="宋体" w:cs="宋体"/>
          <w:sz w:val="21"/>
          <w:szCs w:val="21"/>
          <w:highlight w:val="none"/>
        </w:rPr>
        <w:t>联系电话：</w:t>
      </w:r>
      <w:r>
        <w:rPr>
          <w:rFonts w:hint="eastAsia" w:ascii="宋体" w:hAnsi="宋体" w:cs="宋体"/>
          <w:sz w:val="21"/>
          <w:szCs w:val="21"/>
          <w:highlight w:val="none"/>
          <w:lang w:val="en-US" w:eastAsia="zh-CN"/>
        </w:rPr>
        <w:t>17860607750</w:t>
      </w:r>
    </w:p>
    <w:p w14:paraId="23280F32">
      <w:pPr>
        <w:pStyle w:val="72"/>
        <w:numPr>
          <w:ilvl w:val="0"/>
          <w:numId w:val="0"/>
        </w:numPr>
        <w:ind w:leftChars="0"/>
        <w:rPr>
          <w:highlight w:val="yellow"/>
        </w:rPr>
      </w:pPr>
    </w:p>
    <w:p w14:paraId="5F538BD8">
      <w:pPr>
        <w:pStyle w:val="76"/>
      </w:pPr>
    </w:p>
    <w:p w14:paraId="6D4C3503">
      <w:pPr>
        <w:pStyle w:val="76"/>
      </w:pPr>
    </w:p>
    <w:p w14:paraId="70A7FEA7">
      <w:pPr>
        <w:pStyle w:val="76"/>
        <w:jc w:val="both"/>
        <w:rPr>
          <w:rFonts w:hint="default"/>
          <w:highlight w:val="cyan"/>
          <w:u w:val="single"/>
          <w:lang w:val="en-US" w:eastAsia="zh-CN"/>
        </w:rPr>
      </w:pPr>
    </w:p>
    <w:p w14:paraId="3A7E2D48">
      <w:pPr>
        <w:pStyle w:val="76"/>
        <w:jc w:val="right"/>
        <w:rPr>
          <w:rFonts w:hint="eastAsia"/>
          <w:highlight w:val="cyan"/>
          <w:u w:val="single"/>
          <w:lang w:val="en-US" w:eastAsia="zh-CN"/>
        </w:rPr>
      </w:pPr>
    </w:p>
    <w:p w14:paraId="22C6BEDA">
      <w:pPr>
        <w:pStyle w:val="76"/>
        <w:jc w:val="right"/>
        <w:rPr>
          <w:rFonts w:hint="eastAsia"/>
          <w:highlight w:val="cyan"/>
          <w:u w:val="single"/>
          <w:lang w:val="en-US" w:eastAsia="zh-CN"/>
        </w:rPr>
      </w:pPr>
    </w:p>
    <w:p w14:paraId="410F58AB">
      <w:pPr>
        <w:pStyle w:val="76"/>
        <w:ind w:firstLine="6510" w:firstLineChars="3100"/>
        <w:jc w:val="both"/>
        <w:rPr>
          <w:rFonts w:hint="eastAsia"/>
        </w:rPr>
      </w:pPr>
      <w:r>
        <w:rPr>
          <w:rFonts w:hint="eastAsia"/>
          <w:highlight w:val="none"/>
          <w:u w:val="single"/>
          <w:lang w:val="en-US" w:eastAsia="zh-CN"/>
        </w:rPr>
        <w:t>2026</w:t>
      </w:r>
      <w:r>
        <w:rPr>
          <w:rFonts w:hint="eastAsia"/>
        </w:rPr>
        <w:t>年</w:t>
      </w:r>
      <w:r>
        <w:rPr>
          <w:rFonts w:hint="eastAsia"/>
          <w:u w:val="single"/>
          <w:lang w:val="en-US" w:eastAsia="zh-CN"/>
        </w:rPr>
        <w:t>8</w:t>
      </w:r>
      <w:r>
        <w:rPr>
          <w:rFonts w:hint="eastAsia"/>
        </w:rPr>
        <w:t>月</w:t>
      </w:r>
      <w:r>
        <w:rPr>
          <w:rFonts w:hint="eastAsia"/>
          <w:u w:val="single"/>
          <w:lang w:val="en-US" w:eastAsia="zh-CN"/>
        </w:rPr>
        <w:t>26</w:t>
      </w:r>
      <w:r>
        <w:rPr>
          <w:rFonts w:hint="eastAsia"/>
        </w:rPr>
        <w:t>日</w:t>
      </w:r>
    </w:p>
    <w:p w14:paraId="35311B32">
      <w:pPr>
        <w:rPr>
          <w:rFonts w:hint="eastAsia"/>
        </w:rPr>
      </w:pPr>
      <w:bookmarkStart w:id="8" w:name="_Toc47976595"/>
      <w:bookmarkStart w:id="9" w:name="_Toc7753"/>
      <w:r>
        <w:rPr>
          <w:rFonts w:hint="eastAsia"/>
        </w:rPr>
        <w:br w:type="page"/>
      </w:r>
    </w:p>
    <w:p w14:paraId="3D820EEC">
      <w:pPr>
        <w:pStyle w:val="71"/>
        <w:jc w:val="center"/>
      </w:pPr>
      <w:r>
        <w:rPr>
          <w:rFonts w:hint="eastAsia"/>
        </w:rPr>
        <w:t>第一部分  投标人须知</w:t>
      </w:r>
      <w:bookmarkEnd w:id="8"/>
      <w:bookmarkEnd w:id="9"/>
    </w:p>
    <w:p w14:paraId="418340FC">
      <w:pPr>
        <w:pStyle w:val="72"/>
        <w:numPr>
          <w:ilvl w:val="0"/>
          <w:numId w:val="11"/>
        </w:numPr>
        <w:ind w:left="420"/>
        <w:jc w:val="left"/>
      </w:pPr>
      <w:bookmarkStart w:id="10" w:name="_Toc47976596"/>
      <w:r>
        <w:rPr>
          <w:rFonts w:hint="eastAsia"/>
        </w:rPr>
        <w:t>项目介绍</w:t>
      </w:r>
      <w:bookmarkEnd w:id="10"/>
    </w:p>
    <w:p w14:paraId="6360E7CD">
      <w:pPr>
        <w:pStyle w:val="76"/>
        <w:numPr>
          <w:ilvl w:val="0"/>
          <w:numId w:val="12"/>
        </w:numPr>
        <w:ind w:left="425" w:leftChars="0" w:hanging="425" w:firstLineChars="0"/>
      </w:pPr>
      <w:r>
        <w:rPr>
          <w:rFonts w:hint="eastAsia"/>
        </w:rPr>
        <w:t>项目名称：中国重汽集团2026-2027年度山东港口地面代理业务</w:t>
      </w:r>
    </w:p>
    <w:p w14:paraId="17A97EAA">
      <w:pPr>
        <w:pStyle w:val="76"/>
        <w:numPr>
          <w:ilvl w:val="0"/>
          <w:numId w:val="12"/>
        </w:numPr>
        <w:ind w:left="425" w:leftChars="0" w:hanging="425" w:firstLineChars="0"/>
      </w:pPr>
      <w:r>
        <w:rPr>
          <w:rFonts w:hint="eastAsia"/>
        </w:rPr>
        <w:t>项目编号：ZBGL2026080215</w:t>
      </w:r>
    </w:p>
    <w:p w14:paraId="5C6CF568">
      <w:pPr>
        <w:pStyle w:val="76"/>
        <w:numPr>
          <w:ilvl w:val="0"/>
          <w:numId w:val="12"/>
        </w:numPr>
        <w:ind w:left="425" w:leftChars="0" w:hanging="425" w:firstLineChars="0"/>
      </w:pPr>
      <w:r>
        <w:rPr>
          <w:rFonts w:hint="eastAsia"/>
        </w:rPr>
        <w:t>招标形式：</w:t>
      </w:r>
      <w:bookmarkStart w:id="11" w:name="_Toc47112482"/>
      <w:r>
        <w:rPr>
          <w:rFonts w:hint="eastAsia"/>
          <w:lang w:val="en-US" w:eastAsia="zh-CN"/>
        </w:rPr>
        <w:t>公开招标</w:t>
      </w:r>
    </w:p>
    <w:p w14:paraId="6D88C2A7">
      <w:pPr>
        <w:pStyle w:val="76"/>
        <w:numPr>
          <w:ilvl w:val="0"/>
          <w:numId w:val="12"/>
        </w:numPr>
        <w:ind w:left="425" w:leftChars="0" w:hanging="425" w:firstLineChars="0"/>
        <w:rPr>
          <w:rFonts w:hint="default" w:ascii="宋体" w:hAnsi="Courier New" w:eastAsia="宋体" w:cs="Times New Roman"/>
          <w:highlight w:val="none"/>
          <w:lang w:val="en-US" w:eastAsia="zh-CN"/>
        </w:rPr>
      </w:pPr>
      <w:r>
        <w:rPr>
          <w:rFonts w:hint="eastAsia"/>
          <w:lang w:val="en-US" w:eastAsia="zh-CN"/>
        </w:rPr>
        <w:t>项目概况：</w:t>
      </w:r>
    </w:p>
    <w:p w14:paraId="151561C8">
      <w:pPr>
        <w:pStyle w:val="76"/>
        <w:numPr>
          <w:ilvl w:val="0"/>
          <w:numId w:val="0"/>
        </w:numPr>
        <w:ind w:leftChars="0" w:firstLine="420" w:firstLineChars="200"/>
        <w:rPr>
          <w:rFonts w:hint="default" w:ascii="宋体" w:hAnsi="Courier New" w:eastAsia="宋体" w:cs="Times New Roman"/>
          <w:highlight w:val="none"/>
          <w:lang w:val="en-US" w:eastAsia="zh-CN"/>
        </w:rPr>
      </w:pPr>
      <w:r>
        <w:rPr>
          <w:rFonts w:hint="eastAsia"/>
          <w:lang w:val="en-US" w:eastAsia="zh-CN"/>
        </w:rPr>
        <w:t>通过滚装、杂货形式出口的货物，自港口接收至装船的全部船务、港务、关务等协调代理业务，包括但不限于：负责协调提供适合的港口码头堆场、接收验收货物并承担货物的保管责任，负责报关(如需)、报检(如需)，负责监督装船等，并及时办理、提供相关单证及其他招标人委托的服务事项。</w:t>
      </w:r>
      <w:r>
        <w:rPr>
          <w:rFonts w:hint="eastAsia" w:cs="Times New Roman"/>
          <w:highlight w:val="none"/>
          <w:lang w:val="en-US" w:eastAsia="zh-CN"/>
        </w:rPr>
        <w:t>招标内容</w:t>
      </w:r>
      <w:r>
        <w:rPr>
          <w:rFonts w:hint="eastAsia" w:ascii="宋体" w:hAnsi="Courier New" w:eastAsia="宋体" w:cs="Times New Roman"/>
          <w:highlight w:val="none"/>
          <w:lang w:val="en-US" w:eastAsia="zh-CN"/>
        </w:rPr>
        <w:t>具体要求详见《技术标书》。</w:t>
      </w:r>
    </w:p>
    <w:p w14:paraId="10BC6F77">
      <w:pPr>
        <w:pStyle w:val="76"/>
        <w:numPr>
          <w:ilvl w:val="0"/>
          <w:numId w:val="12"/>
        </w:numPr>
        <w:ind w:left="425" w:leftChars="0" w:hanging="425" w:firstLineChars="0"/>
        <w:rPr>
          <w:rFonts w:hint="default" w:cs="Times New Roman"/>
          <w:u w:val="none"/>
          <w:lang w:val="en-US" w:eastAsia="zh-CN"/>
        </w:rPr>
      </w:pPr>
      <w:r>
        <w:rPr>
          <w:rFonts w:hint="eastAsia"/>
          <w:lang w:val="en-US" w:eastAsia="zh-CN"/>
        </w:rPr>
        <w:t>报价：</w:t>
      </w:r>
    </w:p>
    <w:p w14:paraId="5D88DDA2">
      <w:pPr>
        <w:pStyle w:val="76"/>
        <w:numPr>
          <w:ilvl w:val="0"/>
          <w:numId w:val="0"/>
        </w:numPr>
        <w:ind w:leftChars="0"/>
        <w:rPr>
          <w:rFonts w:hint="default" w:cs="Times New Roman"/>
          <w:u w:val="none"/>
          <w:lang w:val="en-US" w:eastAsia="zh-CN"/>
        </w:rPr>
      </w:pPr>
      <w:r>
        <w:rPr>
          <w:rFonts w:hint="eastAsia" w:cs="Times New Roman"/>
          <w:u w:val="none"/>
          <w:lang w:val="en-US" w:eastAsia="zh-CN"/>
        </w:rPr>
        <w:t>(</w:t>
      </w:r>
      <w:r>
        <w:rPr>
          <w:rFonts w:hint="default" w:cs="Times New Roman"/>
          <w:u w:val="none"/>
          <w:lang w:val="en-US" w:eastAsia="zh-CN"/>
        </w:rPr>
        <w:t>1</w:t>
      </w:r>
      <w:r>
        <w:rPr>
          <w:rFonts w:hint="eastAsia" w:cs="Times New Roman"/>
          <w:u w:val="none"/>
          <w:lang w:val="en-US" w:eastAsia="zh-CN"/>
        </w:rPr>
        <w:t>)</w:t>
      </w:r>
      <w:r>
        <w:rPr>
          <w:rFonts w:hint="default" w:cs="Times New Roman"/>
          <w:u w:val="none"/>
          <w:lang w:val="en-US" w:eastAsia="zh-CN"/>
        </w:rPr>
        <w:t>、报价基本要求</w:t>
      </w:r>
    </w:p>
    <w:p w14:paraId="0ACA4A61">
      <w:pPr>
        <w:pStyle w:val="76"/>
        <w:numPr>
          <w:ilvl w:val="0"/>
          <w:numId w:val="0"/>
        </w:numPr>
        <w:ind w:leftChars="0"/>
        <w:rPr>
          <w:rFonts w:hint="default" w:cs="Times New Roman"/>
          <w:u w:val="none"/>
          <w:lang w:val="en-US" w:eastAsia="zh-CN"/>
        </w:rPr>
      </w:pPr>
      <w:r>
        <w:rPr>
          <w:rFonts w:hint="default" w:cs="Times New Roman"/>
          <w:u w:val="none"/>
          <w:lang w:val="en-US" w:eastAsia="zh-CN"/>
        </w:rPr>
        <w:t>投标人在附件二《报价单》（以下简称“《报价单》”）的要求逐项填写，严禁更改《报价单》的格式和内容。若投标人另有其他说明，应以备注方式单独写明。投标人的报价应在满足招标人要求和服务质量的前提下，费用最低、最优惠。同时投标人应充分评估并承担其它不可预见的全部费用。</w:t>
      </w:r>
    </w:p>
    <w:p w14:paraId="7A698306">
      <w:pPr>
        <w:pStyle w:val="76"/>
        <w:numPr>
          <w:ilvl w:val="0"/>
          <w:numId w:val="0"/>
        </w:numPr>
        <w:ind w:leftChars="0"/>
        <w:rPr>
          <w:rFonts w:hint="default" w:cs="Times New Roman"/>
          <w:u w:val="none"/>
          <w:lang w:val="en-US" w:eastAsia="zh-CN"/>
        </w:rPr>
      </w:pPr>
      <w:r>
        <w:rPr>
          <w:rFonts w:hint="default" w:cs="Times New Roman"/>
          <w:u w:val="none"/>
          <w:lang w:val="en-US" w:eastAsia="zh-CN"/>
        </w:rPr>
        <w:t>《报价单》将作为招标人的评标参考依据。</w:t>
      </w:r>
    </w:p>
    <w:p w14:paraId="36AE46B3">
      <w:pPr>
        <w:pStyle w:val="76"/>
        <w:numPr>
          <w:ilvl w:val="0"/>
          <w:numId w:val="0"/>
        </w:numPr>
        <w:ind w:leftChars="0"/>
        <w:rPr>
          <w:rFonts w:hint="default" w:cs="Times New Roman"/>
          <w:u w:val="none"/>
          <w:lang w:val="en-US" w:eastAsia="zh-CN"/>
        </w:rPr>
      </w:pPr>
      <w:r>
        <w:rPr>
          <w:rFonts w:hint="eastAsia" w:cs="Times New Roman"/>
          <w:u w:val="none"/>
          <w:lang w:val="en-US" w:eastAsia="zh-CN"/>
        </w:rPr>
        <w:t>(</w:t>
      </w:r>
      <w:r>
        <w:rPr>
          <w:rFonts w:hint="default" w:cs="Times New Roman"/>
          <w:u w:val="none"/>
          <w:lang w:val="en-US" w:eastAsia="zh-CN"/>
        </w:rPr>
        <w:t>2</w:t>
      </w:r>
      <w:r>
        <w:rPr>
          <w:rFonts w:hint="eastAsia" w:cs="Times New Roman"/>
          <w:u w:val="none"/>
          <w:lang w:val="en-US" w:eastAsia="zh-CN"/>
        </w:rPr>
        <w:t>)</w:t>
      </w:r>
      <w:r>
        <w:rPr>
          <w:rFonts w:hint="default" w:cs="Times New Roman"/>
          <w:u w:val="none"/>
          <w:lang w:val="en-US" w:eastAsia="zh-CN"/>
        </w:rPr>
        <w:t>、发票</w:t>
      </w:r>
    </w:p>
    <w:p w14:paraId="2277DC43">
      <w:pPr>
        <w:pStyle w:val="76"/>
        <w:numPr>
          <w:ilvl w:val="0"/>
          <w:numId w:val="0"/>
        </w:numPr>
        <w:ind w:leftChars="0"/>
        <w:rPr>
          <w:rFonts w:hint="default" w:cs="Times New Roman"/>
          <w:u w:val="none"/>
          <w:lang w:val="en-US" w:eastAsia="zh-CN"/>
        </w:rPr>
      </w:pPr>
      <w:r>
        <w:rPr>
          <w:rFonts w:hint="eastAsia" w:cs="Times New Roman"/>
          <w:b/>
          <w:bCs/>
          <w:color w:val="FF0000"/>
          <w:highlight w:val="yellow"/>
          <w:u w:val="none"/>
          <w:lang w:val="en-US" w:eastAsia="zh-CN"/>
        </w:rPr>
        <w:t>报价应包含不含税金额、税率及价税合计金额</w:t>
      </w:r>
      <w:r>
        <w:rPr>
          <w:rFonts w:hint="default" w:cs="Times New Roman"/>
          <w:u w:val="none"/>
          <w:lang w:val="en-US" w:eastAsia="zh-CN"/>
        </w:rPr>
        <w:t>。</w:t>
      </w:r>
    </w:p>
    <w:p w14:paraId="71FCDE6C">
      <w:pPr>
        <w:pStyle w:val="76"/>
        <w:numPr>
          <w:ilvl w:val="0"/>
          <w:numId w:val="0"/>
        </w:numPr>
        <w:ind w:leftChars="0"/>
        <w:rPr>
          <w:rFonts w:hint="default" w:cs="Times New Roman"/>
          <w:u w:val="none"/>
          <w:lang w:val="en-US" w:eastAsia="zh-CN"/>
        </w:rPr>
      </w:pPr>
      <w:r>
        <w:rPr>
          <w:rFonts w:hint="default" w:cs="Times New Roman"/>
          <w:u w:val="none"/>
          <w:lang w:val="en-US" w:eastAsia="zh-CN"/>
        </w:rPr>
        <w:t>招标人可接受增值税普通发票及增值税专用发票。</w:t>
      </w:r>
    </w:p>
    <w:p w14:paraId="26F718B5">
      <w:pPr>
        <w:pStyle w:val="76"/>
        <w:numPr>
          <w:ilvl w:val="0"/>
          <w:numId w:val="12"/>
        </w:numPr>
        <w:ind w:left="425" w:leftChars="0" w:hanging="425" w:firstLineChars="0"/>
        <w:rPr>
          <w:rFonts w:hint="eastAsia" w:cs="Times New Roman"/>
          <w:highlight w:val="none"/>
          <w:lang w:val="en-US" w:eastAsia="zh-CN"/>
        </w:rPr>
      </w:pPr>
      <w:r>
        <w:rPr>
          <w:rFonts w:hint="eastAsia" w:ascii="宋体" w:hAnsi="Courier New" w:eastAsia="宋体" w:cs="Times New Roman"/>
          <w:highlight w:val="none"/>
          <w:lang w:val="en-US" w:eastAsia="zh-CN"/>
        </w:rPr>
        <w:t>招标人信息：</w:t>
      </w:r>
      <w:r>
        <w:rPr>
          <w:rFonts w:hint="eastAsia" w:cs="Times New Roman"/>
          <w:highlight w:val="none"/>
          <w:lang w:val="en-US" w:eastAsia="zh-CN"/>
        </w:rPr>
        <w:t>中国重汽集团国际有限公司</w:t>
      </w:r>
    </w:p>
    <w:p w14:paraId="700004DA">
      <w:pPr>
        <w:pStyle w:val="76"/>
        <w:numPr>
          <w:ilvl w:val="0"/>
          <w:numId w:val="0"/>
        </w:numPr>
        <w:ind w:leftChars="0"/>
        <w:rPr>
          <w:rFonts w:hint="eastAsia" w:cs="Times New Roman"/>
          <w:highlight w:val="none"/>
          <w:lang w:val="en-US" w:eastAsia="zh-CN"/>
        </w:rPr>
      </w:pPr>
      <w:r>
        <w:rPr>
          <w:rFonts w:hint="eastAsia" w:cs="Times New Roman"/>
          <w:highlight w:val="none"/>
          <w:lang w:val="en-US" w:eastAsia="zh-CN"/>
        </w:rPr>
        <w:t>地址：山东省济南市高新区华奥路777号中国重汽科技大厦14层、15层</w:t>
      </w:r>
    </w:p>
    <w:p w14:paraId="558703A0">
      <w:pPr>
        <w:pStyle w:val="76"/>
        <w:numPr>
          <w:ilvl w:val="0"/>
          <w:numId w:val="0"/>
        </w:numPr>
        <w:ind w:leftChars="0"/>
        <w:rPr>
          <w:rFonts w:hint="default" w:cs="Times New Roman"/>
          <w:highlight w:val="none"/>
          <w:lang w:val="en-US" w:eastAsia="zh-CN"/>
        </w:rPr>
      </w:pPr>
      <w:r>
        <w:rPr>
          <w:rFonts w:hint="eastAsia" w:cs="Times New Roman"/>
          <w:highlight w:val="none"/>
          <w:lang w:val="en-US" w:eastAsia="zh-CN"/>
        </w:rPr>
        <w:t>技术联系人：张岩猛</w:t>
      </w:r>
    </w:p>
    <w:p w14:paraId="79F0DB81">
      <w:pPr>
        <w:pStyle w:val="76"/>
        <w:numPr>
          <w:ilvl w:val="0"/>
          <w:numId w:val="0"/>
        </w:numPr>
        <w:ind w:leftChars="0"/>
        <w:rPr>
          <w:rFonts w:hint="eastAsia" w:hAnsi="宋体" w:cs="宋体"/>
          <w:sz w:val="21"/>
          <w:szCs w:val="21"/>
          <w:highlight w:val="none"/>
          <w:lang w:val="en-US" w:eastAsia="zh-CN"/>
        </w:rPr>
      </w:pPr>
      <w:r>
        <w:rPr>
          <w:rFonts w:hint="eastAsia" w:cs="Times New Roman"/>
          <w:highlight w:val="none"/>
          <w:lang w:val="en-US" w:eastAsia="zh-CN"/>
        </w:rPr>
        <w:t>电话：</w:t>
      </w:r>
      <w:r>
        <w:rPr>
          <w:rFonts w:hint="eastAsia" w:ascii="宋体" w:hAnsi="宋体" w:eastAsia="宋体" w:cs="宋体"/>
          <w:sz w:val="21"/>
          <w:szCs w:val="21"/>
          <w:highlight w:val="none"/>
        </w:rPr>
        <w:t>0531-580664</w:t>
      </w:r>
      <w:r>
        <w:rPr>
          <w:rFonts w:hint="eastAsia" w:hAnsi="宋体" w:cs="宋体"/>
          <w:sz w:val="21"/>
          <w:szCs w:val="21"/>
          <w:highlight w:val="none"/>
          <w:lang w:val="en-US" w:eastAsia="zh-CN"/>
        </w:rPr>
        <w:t>58</w:t>
      </w:r>
    </w:p>
    <w:p w14:paraId="64C84C07">
      <w:pPr>
        <w:pStyle w:val="76"/>
        <w:numPr>
          <w:ilvl w:val="0"/>
          <w:numId w:val="0"/>
        </w:numPr>
        <w:ind w:leftChars="0"/>
        <w:rPr>
          <w:rFonts w:hint="eastAsia" w:hAnsi="宋体" w:cs="宋体"/>
          <w:sz w:val="21"/>
          <w:szCs w:val="21"/>
          <w:highlight w:val="none"/>
          <w:lang w:val="en-US" w:eastAsia="zh-CN"/>
        </w:rPr>
      </w:pPr>
      <w:r>
        <w:rPr>
          <w:rFonts w:hint="eastAsia" w:hAnsi="宋体" w:cs="宋体"/>
          <w:sz w:val="21"/>
          <w:szCs w:val="21"/>
          <w:highlight w:val="none"/>
          <w:lang w:val="en-US" w:eastAsia="zh-CN"/>
        </w:rPr>
        <w:t>邮箱：</w:t>
      </w:r>
      <w:r>
        <w:rPr>
          <w:rFonts w:hint="eastAsia" w:hAnsi="宋体" w:cs="宋体"/>
          <w:sz w:val="21"/>
          <w:szCs w:val="21"/>
          <w:highlight w:val="none"/>
          <w:lang w:val="en-US" w:eastAsia="zh-CN"/>
        </w:rPr>
        <w:fldChar w:fldCharType="begin"/>
      </w:r>
      <w:r>
        <w:rPr>
          <w:rFonts w:hint="eastAsia" w:hAnsi="宋体" w:cs="宋体"/>
          <w:sz w:val="21"/>
          <w:szCs w:val="21"/>
          <w:highlight w:val="none"/>
          <w:lang w:val="en-US" w:eastAsia="zh-CN"/>
        </w:rPr>
        <w:instrText xml:space="preserve"> HYPERLINK "mailto:zhangyanmeng@sinotruk.com" </w:instrText>
      </w:r>
      <w:r>
        <w:rPr>
          <w:rFonts w:hint="eastAsia" w:hAnsi="宋体" w:cs="宋体"/>
          <w:sz w:val="21"/>
          <w:szCs w:val="21"/>
          <w:highlight w:val="none"/>
          <w:lang w:val="en-US" w:eastAsia="zh-CN"/>
        </w:rPr>
        <w:fldChar w:fldCharType="separate"/>
      </w:r>
      <w:r>
        <w:rPr>
          <w:rStyle w:val="37"/>
          <w:rFonts w:hint="eastAsia" w:hAnsi="宋体" w:cs="宋体"/>
          <w:sz w:val="21"/>
          <w:szCs w:val="21"/>
          <w:highlight w:val="none"/>
          <w:lang w:val="en-US" w:eastAsia="zh-CN"/>
        </w:rPr>
        <w:t>zhangyanmeng@sinotruk.com</w:t>
      </w:r>
      <w:r>
        <w:rPr>
          <w:rFonts w:hint="eastAsia" w:hAnsi="宋体" w:cs="宋体"/>
          <w:sz w:val="21"/>
          <w:szCs w:val="21"/>
          <w:highlight w:val="none"/>
          <w:lang w:val="en-US" w:eastAsia="zh-CN"/>
        </w:rPr>
        <w:fldChar w:fldCharType="end"/>
      </w:r>
    </w:p>
    <w:p w14:paraId="5AC3AA4D">
      <w:pPr>
        <w:pStyle w:val="76"/>
        <w:numPr>
          <w:ilvl w:val="0"/>
          <w:numId w:val="0"/>
        </w:numPr>
        <w:ind w:leftChars="0"/>
        <w:rPr>
          <w:rFonts w:hint="eastAsia" w:hAnsi="宋体" w:cs="宋体"/>
          <w:sz w:val="21"/>
          <w:szCs w:val="21"/>
          <w:highlight w:val="none"/>
          <w:lang w:val="en-US" w:eastAsia="zh-CN"/>
        </w:rPr>
      </w:pPr>
      <w:r>
        <w:rPr>
          <w:rFonts w:hint="eastAsia" w:hAnsi="宋体" w:cs="宋体"/>
          <w:sz w:val="21"/>
          <w:szCs w:val="21"/>
          <w:highlight w:val="none"/>
          <w:lang w:val="en-US" w:eastAsia="zh-CN"/>
        </w:rPr>
        <w:t>商务联系人：刘书松</w:t>
      </w:r>
    </w:p>
    <w:p w14:paraId="33C938BC">
      <w:pPr>
        <w:pStyle w:val="76"/>
        <w:numPr>
          <w:ilvl w:val="0"/>
          <w:numId w:val="0"/>
        </w:numPr>
        <w:ind w:leftChars="0"/>
        <w:rPr>
          <w:rFonts w:hint="default" w:hAnsi="宋体" w:cs="宋体"/>
          <w:sz w:val="21"/>
          <w:szCs w:val="21"/>
          <w:highlight w:val="none"/>
          <w:lang w:val="en-US" w:eastAsia="zh-CN"/>
        </w:rPr>
      </w:pPr>
      <w:r>
        <w:rPr>
          <w:rFonts w:hint="eastAsia" w:hAnsi="宋体" w:cs="宋体"/>
          <w:sz w:val="21"/>
          <w:szCs w:val="21"/>
          <w:highlight w:val="none"/>
          <w:lang w:val="en-US" w:eastAsia="zh-CN"/>
        </w:rPr>
        <w:t>联系电话：17860607750</w:t>
      </w:r>
    </w:p>
    <w:bookmarkEnd w:id="11"/>
    <w:p w14:paraId="50DC6C75">
      <w:pPr>
        <w:pStyle w:val="72"/>
      </w:pPr>
      <w:bookmarkStart w:id="12" w:name="_Toc47976598"/>
      <w:r>
        <w:rPr>
          <w:rFonts w:hint="eastAsia"/>
        </w:rPr>
        <w:t>合格的投标人。</w:t>
      </w:r>
      <w:bookmarkEnd w:id="12"/>
    </w:p>
    <w:p w14:paraId="3C8DE851">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投标人须遵守《中华人民共和国招标投标法》及其它有关的法律和法规；为中华人民共和国境内注册的独立法人机构，具有独立承担民事责任能力；</w:t>
      </w:r>
    </w:p>
    <w:p w14:paraId="3A0297CA">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rFonts w:hint="eastAsia" w:ascii="宋体" w:hAnsi="Courier New" w:eastAsia="宋体" w:cs="Times New Roman"/>
          <w:b w:val="0"/>
          <w:bCs/>
          <w:strike w:val="0"/>
          <w:dstrike w:val="0"/>
          <w:highlight w:val="none"/>
        </w:rPr>
      </w:pPr>
      <w:r>
        <w:rPr>
          <w:rFonts w:hint="eastAsia" w:ascii="宋体" w:hAnsi="Courier New" w:eastAsia="宋体" w:cs="Times New Roman"/>
          <w:b w:val="0"/>
          <w:bCs/>
          <w:strike w:val="0"/>
          <w:dstrike w:val="0"/>
          <w:highlight w:val="none"/>
        </w:rPr>
        <w:t>拟标投人必须是在中华人民共和国境内注册的独立法人机构，具有独立承担民事责任能力；注册资金不少于</w:t>
      </w:r>
      <w:r>
        <w:rPr>
          <w:rFonts w:hint="eastAsia" w:cs="Times New Roman"/>
          <w:b w:val="0"/>
          <w:bCs/>
          <w:strike w:val="0"/>
          <w:dstrike w:val="0"/>
          <w:highlight w:val="none"/>
          <w:lang w:val="en-US" w:eastAsia="zh-CN"/>
        </w:rPr>
        <w:t>500</w:t>
      </w:r>
      <w:r>
        <w:rPr>
          <w:rFonts w:hint="eastAsia" w:ascii="宋体" w:hAnsi="Courier New" w:eastAsia="宋体" w:cs="Times New Roman"/>
          <w:b w:val="0"/>
          <w:bCs/>
          <w:strike w:val="0"/>
          <w:dstrike w:val="0"/>
          <w:highlight w:val="none"/>
        </w:rPr>
        <w:t>万人民币（或等值其他货币）；公司成立</w:t>
      </w:r>
      <w:r>
        <w:rPr>
          <w:rFonts w:hint="eastAsia" w:cs="Times New Roman"/>
          <w:b w:val="0"/>
          <w:bCs/>
          <w:strike w:val="0"/>
          <w:dstrike w:val="0"/>
          <w:highlight w:val="none"/>
          <w:lang w:val="en-US" w:eastAsia="zh-CN"/>
        </w:rPr>
        <w:t>3</w:t>
      </w:r>
      <w:r>
        <w:rPr>
          <w:rFonts w:hint="eastAsia" w:ascii="宋体" w:hAnsi="Courier New" w:eastAsia="宋体" w:cs="Times New Roman"/>
          <w:b w:val="0"/>
          <w:bCs/>
          <w:strike w:val="0"/>
          <w:dstrike w:val="0"/>
          <w:highlight w:val="none"/>
        </w:rPr>
        <w:t>年以上（以营业执照成立日期到开标当日满</w:t>
      </w:r>
      <w:r>
        <w:rPr>
          <w:rFonts w:hint="eastAsia" w:cs="Times New Roman"/>
          <w:b w:val="0"/>
          <w:bCs/>
          <w:strike w:val="0"/>
          <w:dstrike w:val="0"/>
          <w:highlight w:val="none"/>
          <w:lang w:val="en-US" w:eastAsia="zh-CN"/>
        </w:rPr>
        <w:t>3</w:t>
      </w:r>
      <w:r>
        <w:rPr>
          <w:rFonts w:hint="eastAsia" w:ascii="宋体" w:hAnsi="Courier New" w:eastAsia="宋体" w:cs="Times New Roman"/>
          <w:b w:val="0"/>
          <w:bCs/>
          <w:strike w:val="0"/>
          <w:dstrike w:val="0"/>
          <w:highlight w:val="none"/>
        </w:rPr>
        <w:t>年为准），且经营范围满足招标人需求；并在人员、设备、资金等方面具有承担本项目的能力；</w:t>
      </w:r>
    </w:p>
    <w:p w14:paraId="2B164D82">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投标人须具有良好的商业信誉和健全的财务会计制度，财务状况和市场行为良好。没有处于被有权机关吊销营业执照、吊销资质、停业整顿、取消投标资格以及财产被接管、冻结或进入破产程序等；</w:t>
      </w:r>
    </w:p>
    <w:p w14:paraId="11A84527">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投标人在“信用中国”中未列入联合惩戒失信人名单，且工商行政管理局的《国家企业信用信息公示系统》中查询不存在不良记录；</w:t>
      </w:r>
    </w:p>
    <w:p w14:paraId="7850D9F4">
      <w:pPr>
        <w:pStyle w:val="73"/>
        <w:numPr>
          <w:ilvl w:val="0"/>
          <w:numId w:val="13"/>
        </w:numPr>
        <w:ind w:left="0" w:firstLine="0"/>
        <w:rPr>
          <w:b w:val="0"/>
          <w:bCs/>
        </w:rPr>
      </w:pPr>
      <w:r>
        <w:rPr>
          <w:rFonts w:hint="eastAsia" w:ascii="宋体" w:hAnsi="Courier New" w:eastAsia="宋体" w:cs="Times New Roman"/>
          <w:b w:val="0"/>
          <w:bCs/>
          <w:strike w:val="0"/>
          <w:dstrike w:val="0"/>
          <w:highlight w:val="none"/>
        </w:rPr>
        <w:t>无招标违规、谎报年度报告信息、提供虚假资质资料等行为或其他行政处罚记录；</w:t>
      </w:r>
    </w:p>
    <w:p w14:paraId="0124C8EA">
      <w:pPr>
        <w:pStyle w:val="73"/>
        <w:numPr>
          <w:ilvl w:val="0"/>
          <w:numId w:val="13"/>
        </w:numPr>
        <w:ind w:left="0" w:firstLine="0"/>
        <w:rPr>
          <w:rFonts w:hint="eastAsia" w:ascii="宋体" w:hAnsi="Courier New" w:eastAsia="宋体" w:cs="Times New Roman"/>
          <w:b w:val="0"/>
          <w:bCs/>
          <w:strike w:val="0"/>
          <w:dstrike w:val="0"/>
          <w:highlight w:val="none"/>
        </w:rPr>
      </w:pPr>
      <w:r>
        <w:rPr>
          <w:rFonts w:hint="eastAsia"/>
          <w:b w:val="0"/>
          <w:bCs/>
        </w:rPr>
        <w:t>近三年内在经营活动中无与本项目有关的违法及重大违规情况</w:t>
      </w:r>
      <w:r>
        <w:rPr>
          <w:rFonts w:hint="eastAsia"/>
          <w:b w:val="0"/>
          <w:bCs/>
          <w:lang w:eastAsia="zh-CN"/>
        </w:rPr>
        <w:t>；</w:t>
      </w:r>
    </w:p>
    <w:p w14:paraId="7F71A33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投标人没有被列入招标人处《黑名单》（《黑名单》指投标人与招标人在以往或正在进行的合作中，存在招标人认为的违反合同约定或违反法律法规等的失信行为）的；</w:t>
      </w:r>
    </w:p>
    <w:p w14:paraId="45902C3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公司经营范围满足招标项目需求；</w:t>
      </w:r>
    </w:p>
    <w:p w14:paraId="46FDC1F4">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投标人须具有履行招标文件所有设备、专业技术等要求的能力；</w:t>
      </w:r>
    </w:p>
    <w:p w14:paraId="10068469">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投标人须有依法缴纳税收和社会保障资金的良好记录；</w:t>
      </w:r>
    </w:p>
    <w:p w14:paraId="7B48E8FC">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投标人须认可招标人的工作指令，包括节、假日能正常开展工作的要求。</w:t>
      </w:r>
    </w:p>
    <w:p w14:paraId="316F538A">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ascii="宋体" w:hAnsi="Courier New" w:eastAsia="宋体" w:cs="Times New Roman"/>
          <w:b w:val="0"/>
          <w:bCs/>
          <w:strike w:val="0"/>
          <w:dstrike w:val="0"/>
          <w:highlight w:val="none"/>
          <w:lang w:val="en-US" w:eastAsia="zh-CN"/>
        </w:rPr>
        <w:t>拟投标人的直接或间接股东、法定代表人、董事、监事、高管非重汽员工及其亲属；</w:t>
      </w:r>
    </w:p>
    <w:p w14:paraId="371EFEB6">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投标人必须是最终投标、签订合同的单位，不得以任何理由将已中标项目以任何形式转包或者分包给其他单位</w:t>
      </w:r>
      <w:r>
        <w:rPr>
          <w:rFonts w:hint="eastAsia"/>
          <w:b w:val="0"/>
          <w:bCs/>
          <w:strike w:val="0"/>
          <w:dstrike w:val="0"/>
          <w:highlight w:val="none"/>
          <w:lang w:eastAsia="zh-CN"/>
        </w:rPr>
        <w:t>；</w:t>
      </w:r>
    </w:p>
    <w:p w14:paraId="3B1E6D00">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bCs w:val="0"/>
          <w:strike w:val="0"/>
          <w:dstrike w:val="0"/>
          <w:color w:val="FF0000"/>
          <w:highlight w:val="none"/>
        </w:rPr>
      </w:pPr>
      <w:r>
        <w:rPr>
          <w:rFonts w:hint="eastAsia"/>
          <w:b w:val="0"/>
          <w:bCs/>
          <w:strike w:val="0"/>
          <w:dstrike w:val="0"/>
          <w:highlight w:val="none"/>
        </w:rPr>
        <w:t>本次招标项目（</w:t>
      </w:r>
      <w:r>
        <w:rPr>
          <w:rFonts w:hint="eastAsia"/>
          <w:b w:val="0"/>
          <w:bCs/>
          <w:strike w:val="0"/>
          <w:dstrike w:val="0"/>
          <w:highlight w:val="yellow"/>
          <w:u w:val="none"/>
        </w:rPr>
        <w:t>不接受</w:t>
      </w:r>
      <w:r>
        <w:rPr>
          <w:rFonts w:hint="eastAsia"/>
          <w:b w:val="0"/>
          <w:bCs/>
          <w:strike w:val="0"/>
          <w:dstrike w:val="0"/>
          <w:highlight w:val="none"/>
        </w:rPr>
        <w:t>）联合体投标</w:t>
      </w:r>
      <w:r>
        <w:rPr>
          <w:rFonts w:hint="eastAsia"/>
          <w:b w:val="0"/>
          <w:bCs/>
          <w:strike w:val="0"/>
          <w:dstrike w:val="0"/>
          <w:highlight w:val="none"/>
          <w:lang w:eastAsia="zh-CN"/>
        </w:rPr>
        <w:t>；</w:t>
      </w:r>
    </w:p>
    <w:p w14:paraId="3339A7C9">
      <w:pPr>
        <w:pStyle w:val="73"/>
        <w:keepNext w:val="0"/>
        <w:keepLines w:val="0"/>
        <w:pageBreakBefore w:val="0"/>
        <w:widowControl w:val="0"/>
        <w:numPr>
          <w:ilvl w:val="0"/>
          <w:numId w:val="13"/>
        </w:numPr>
        <w:kinsoku/>
        <w:wordWrap/>
        <w:overflowPunct/>
        <w:topLinePunct w:val="0"/>
        <w:autoSpaceDE/>
        <w:autoSpaceDN/>
        <w:bidi w:val="0"/>
        <w:adjustRightInd/>
        <w:snapToGrid/>
        <w:ind w:left="0" w:leftChars="0" w:firstLine="0" w:firstLineChars="0"/>
        <w:textAlignment w:val="auto"/>
        <w:rPr>
          <w:b w:val="0"/>
          <w:bCs/>
          <w:strike w:val="0"/>
          <w:dstrike w:val="0"/>
          <w:highlight w:val="none"/>
        </w:rPr>
      </w:pPr>
      <w:r>
        <w:rPr>
          <w:rFonts w:hint="eastAsia"/>
          <w:b w:val="0"/>
          <w:bCs/>
          <w:strike w:val="0"/>
          <w:dstrike w:val="0"/>
          <w:highlight w:val="none"/>
        </w:rPr>
        <w:t>法律、行政法规规定的其他条件</w:t>
      </w:r>
      <w:r>
        <w:rPr>
          <w:rFonts w:hint="eastAsia"/>
          <w:b w:val="0"/>
          <w:bCs/>
          <w:strike w:val="0"/>
          <w:dstrike w:val="0"/>
          <w:highlight w:val="none"/>
          <w:lang w:eastAsia="zh-CN"/>
        </w:rPr>
        <w:t>；</w:t>
      </w:r>
    </w:p>
    <w:p w14:paraId="31CA8C38">
      <w:pPr>
        <w:pStyle w:val="72"/>
        <w:rPr>
          <w:rFonts w:hint="eastAsia" w:hAnsi="Courier New" w:cs="Times New Roman"/>
          <w:highlight w:val="none"/>
        </w:rPr>
      </w:pPr>
      <w:r>
        <w:rPr>
          <w:rFonts w:hint="eastAsia" w:hAnsi="Courier New" w:cs="Times New Roman"/>
          <w:highlight w:val="none"/>
        </w:rPr>
        <w:t>招标文件的</w:t>
      </w:r>
      <w:r>
        <w:rPr>
          <w:rFonts w:hint="eastAsia" w:hAnsi="Courier New" w:cs="Times New Roman"/>
          <w:highlight w:val="none"/>
          <w:lang w:val="en-US" w:eastAsia="zh-CN"/>
        </w:rPr>
        <w:t>领取、</w:t>
      </w:r>
      <w:r>
        <w:rPr>
          <w:rFonts w:hint="eastAsia" w:hAnsi="Courier New" w:cs="Times New Roman"/>
          <w:highlight w:val="none"/>
        </w:rPr>
        <w:t>答疑、</w:t>
      </w:r>
      <w:r>
        <w:rPr>
          <w:rFonts w:hint="eastAsia" w:hAnsi="Courier New" w:cs="Times New Roman"/>
          <w:highlight w:val="none"/>
          <w:lang w:val="en-US" w:eastAsia="zh-CN"/>
        </w:rPr>
        <w:t>应标</w:t>
      </w:r>
      <w:r>
        <w:rPr>
          <w:rFonts w:hint="eastAsia" w:hAnsi="Courier New" w:cs="Times New Roman"/>
          <w:highlight w:val="none"/>
        </w:rPr>
        <w:t>及投标报名</w:t>
      </w:r>
    </w:p>
    <w:p w14:paraId="09A92690">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1</w:t>
      </w:r>
      <w:r>
        <w:rPr>
          <w:rFonts w:hint="eastAsia" w:ascii="宋体" w:hAnsi="Courier New" w:eastAsia="宋体" w:cs="Times New Roman"/>
          <w:highlight w:val="yellow"/>
          <w:lang w:val="en-US" w:eastAsia="zh-CN"/>
        </w:rPr>
        <w:t>日</w:t>
      </w:r>
    </w:p>
    <w:p w14:paraId="6E66A1FD">
      <w:pPr>
        <w:pStyle w:val="76"/>
        <w:numPr>
          <w:ilvl w:val="0"/>
          <w:numId w:val="14"/>
        </w:numPr>
        <w:ind w:left="425" w:leftChars="0" w:hanging="425" w:firstLineChars="0"/>
        <w:jc w:val="both"/>
        <w:rPr>
          <w:rFonts w:hint="default" w:ascii="宋体" w:hAnsi="Courier New" w:eastAsia="宋体" w:cs="Times New Roman"/>
          <w:highlight w:val="yellow"/>
          <w:lang w:val="en-US" w:eastAsia="zh-CN"/>
        </w:rPr>
      </w:pPr>
      <w:r>
        <w:rPr>
          <w:rFonts w:hint="default" w:ascii="宋体" w:hAnsi="Courier New" w:eastAsia="宋体" w:cs="Times New Roman"/>
          <w:highlight w:val="yellow"/>
          <w:lang w:val="en-US" w:eastAsia="zh-CN"/>
        </w:rPr>
        <w:t>项目的潜在投标人应通过“中国重汽e采通”（https://ecaitong.sinotruk.com:8012）注册完成后，获取招标文件；</w:t>
      </w:r>
    </w:p>
    <w:p w14:paraId="62084E4B">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20</w:t>
      </w:r>
      <w:r>
        <w:rPr>
          <w:rFonts w:hint="eastAsia" w:ascii="宋体" w:hAnsi="Courier New" w:eastAsia="宋体" w:cs="Times New Roman"/>
          <w:highlight w:val="yellow"/>
          <w:lang w:val="en-US" w:eastAsia="zh-CN"/>
        </w:rPr>
        <w:t>日前</w:t>
      </w:r>
    </w:p>
    <w:p w14:paraId="62CB87C4">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cs="Times New Roman"/>
          <w:highlight w:val="none"/>
          <w:lang w:val="en-US" w:eastAsia="zh-CN"/>
        </w:rPr>
      </w:pPr>
      <w:r>
        <w:rPr>
          <w:rFonts w:hint="eastAsia" w:cs="Times New Roman"/>
          <w:highlight w:val="none"/>
          <w:lang w:val="en-US" w:eastAsia="zh-CN"/>
        </w:rPr>
        <w:t>提交疑问</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：将答疑问题以word文件格式发送至联系人邮件内，并电话联系工作人员查收，</w:t>
      </w:r>
      <w:r>
        <w:rPr>
          <w:rFonts w:hint="eastAsia" w:cs="Times New Roman"/>
          <w:b/>
          <w:bCs/>
          <w:highlight w:val="none"/>
          <w:lang w:val="en-US" w:eastAsia="zh-CN"/>
        </w:rPr>
        <w:t>邮件名格式为：重汽国际公司2026-2027山东港口地面招标项目答疑文件。同时必须在邮件中以文字方式提供投标人全称、投标授权人姓名、联系方式（固定电话、手机、电子邮箱），并提供附件2法定代表人授权委托书。</w:t>
      </w:r>
    </w:p>
    <w:p w14:paraId="07C0B551">
      <w:pPr>
        <w:pStyle w:val="76"/>
        <w:numPr>
          <w:ilvl w:val="0"/>
          <w:numId w:val="14"/>
        </w:numPr>
        <w:ind w:left="425" w:leftChars="0" w:hanging="425" w:firstLineChars="0"/>
        <w:jc w:val="both"/>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领取答疑、澄清和修改文件时间：</w:t>
      </w:r>
      <w:r>
        <w:rPr>
          <w:rFonts w:hint="eastAsia" w:ascii="宋体" w:hAnsi="Courier New" w:eastAsia="宋体" w:cs="Times New Roman"/>
          <w:highlight w:val="yellow"/>
          <w:lang w:val="en-US" w:eastAsia="zh-CN"/>
        </w:rPr>
        <w:t>20</w:t>
      </w:r>
      <w:r>
        <w:rPr>
          <w:rFonts w:hint="eastAsia" w:cs="Times New Roman"/>
          <w:highlight w:val="yellow"/>
          <w:lang w:val="en-US" w:eastAsia="zh-CN"/>
        </w:rPr>
        <w:t>26</w:t>
      </w:r>
      <w:r>
        <w:rPr>
          <w:rFonts w:hint="eastAsia" w:ascii="宋体" w:hAnsi="Courier New" w:eastAsia="宋体" w:cs="Times New Roman"/>
          <w:highlight w:val="yellow"/>
          <w:lang w:val="en-US" w:eastAsia="zh-CN"/>
        </w:rPr>
        <w:t>年</w:t>
      </w:r>
      <w:r>
        <w:rPr>
          <w:rFonts w:hint="eastAsia" w:cs="Times New Roman"/>
          <w:highlight w:val="yellow"/>
          <w:lang w:val="en-US" w:eastAsia="zh-CN"/>
        </w:rPr>
        <w:t>09</w:t>
      </w:r>
      <w:r>
        <w:rPr>
          <w:rFonts w:hint="eastAsia" w:ascii="宋体" w:hAnsi="Courier New" w:eastAsia="宋体" w:cs="Times New Roman"/>
          <w:highlight w:val="yellow"/>
          <w:lang w:val="en-US" w:eastAsia="zh-CN"/>
        </w:rPr>
        <w:t>月</w:t>
      </w:r>
      <w:r>
        <w:rPr>
          <w:rFonts w:hint="eastAsia" w:cs="Times New Roman"/>
          <w:highlight w:val="yellow"/>
          <w:lang w:val="en-US" w:eastAsia="zh-CN"/>
        </w:rPr>
        <w:t>20</w:t>
      </w:r>
      <w:r>
        <w:rPr>
          <w:rFonts w:hint="eastAsia" w:ascii="宋体" w:hAnsi="Courier New" w:eastAsia="宋体" w:cs="Times New Roman"/>
          <w:highlight w:val="yellow"/>
          <w:lang w:val="en-US" w:eastAsia="zh-CN"/>
        </w:rPr>
        <w:t>日前</w:t>
      </w:r>
    </w:p>
    <w:p w14:paraId="59AC1516">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答疑、澄清和修改文件方式：招标人将以电子邮件的方式将招标文件的答疑澄清文件发送至答疑文件提交时登记的电子邮箱。</w:t>
      </w:r>
    </w:p>
    <w:p w14:paraId="7AB51490">
      <w:pPr>
        <w:pStyle w:val="76"/>
        <w:keepNext w:val="0"/>
        <w:keepLines w:val="0"/>
        <w:pageBreakBefore w:val="0"/>
        <w:widowControl w:val="0"/>
        <w:numPr>
          <w:ilvl w:val="0"/>
          <w:numId w:val="14"/>
        </w:numPr>
        <w:kinsoku/>
        <w:wordWrap/>
        <w:overflowPunct/>
        <w:topLinePunct w:val="0"/>
        <w:autoSpaceDE/>
        <w:autoSpaceDN/>
        <w:bidi w:val="0"/>
        <w:adjustRightInd/>
        <w:snapToGrid/>
        <w:ind w:left="0" w:leftChars="0" w:firstLine="0" w:firstLineChars="0"/>
        <w:jc w:val="both"/>
        <w:textAlignment w:val="auto"/>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报名方式</w:t>
      </w:r>
      <w:r>
        <w:rPr>
          <w:rFonts w:hint="eastAsia" w:cs="Times New Roman"/>
          <w:highlight w:val="yellow"/>
          <w:lang w:val="en-US" w:eastAsia="zh-CN"/>
        </w:rPr>
        <w:t>：通过</w:t>
      </w:r>
      <w:r>
        <w:rPr>
          <w:rFonts w:hint="default" w:ascii="宋体" w:hAnsi="Courier New" w:eastAsia="宋体" w:cs="Times New Roman"/>
          <w:highlight w:val="yellow"/>
          <w:lang w:val="en-US" w:eastAsia="zh-CN"/>
        </w:rPr>
        <w:t>中国重汽e采通”（https://ecaitong.sinotruk.com:8012）</w:t>
      </w:r>
      <w:r>
        <w:rPr>
          <w:rFonts w:hint="eastAsia" w:cs="Times New Roman"/>
          <w:highlight w:val="yellow"/>
          <w:lang w:val="en-US" w:eastAsia="zh-CN"/>
        </w:rPr>
        <w:t>“系统-招投标中心-非生产类招投标-供应商应标”应标；应标提交文件为第一册（资质文件）、企业简介、相关业绩。</w:t>
      </w:r>
    </w:p>
    <w:p w14:paraId="6DC2B408">
      <w:pPr>
        <w:pStyle w:val="76"/>
        <w:numPr>
          <w:ilvl w:val="0"/>
          <w:numId w:val="14"/>
        </w:numPr>
        <w:ind w:left="425" w:leftChars="0" w:hanging="425" w:firstLineChars="0"/>
        <w:jc w:val="both"/>
        <w:rPr>
          <w:rFonts w:hint="eastAsia" w:ascii="宋体" w:hAnsi="Courier New" w:eastAsia="宋体" w:cs="Times New Roman"/>
          <w:highlight w:val="yellow"/>
          <w:lang w:val="en-US" w:eastAsia="zh-CN"/>
        </w:rPr>
      </w:pPr>
      <w:r>
        <w:rPr>
          <w:rFonts w:hint="eastAsia" w:ascii="宋体" w:hAnsi="Courier New" w:eastAsia="宋体" w:cs="Times New Roman"/>
          <w:highlight w:val="yellow"/>
          <w:lang w:val="en-US" w:eastAsia="zh-CN"/>
        </w:rPr>
        <w:t>应标截止时间</w:t>
      </w:r>
      <w:r>
        <w:rPr>
          <w:rFonts w:hint="eastAsia" w:cs="Times New Roman"/>
          <w:highlight w:val="yellow"/>
          <w:lang w:val="en-US" w:eastAsia="zh-CN"/>
        </w:rPr>
        <w:t>2026年9月24日</w:t>
      </w:r>
    </w:p>
    <w:p w14:paraId="0C785EC5">
      <w:pPr>
        <w:pStyle w:val="72"/>
        <w:rPr>
          <w:rFonts w:hint="eastAsia" w:ascii="宋体" w:hAnsi="Courier New" w:eastAsia="宋体" w:cs="Times New Roman"/>
          <w:highlight w:val="none"/>
          <w:lang w:val="en-US" w:eastAsia="zh-CN"/>
        </w:rPr>
      </w:pPr>
      <w:r>
        <w:rPr>
          <w:rFonts w:hint="eastAsia" w:hAnsi="Courier New" w:cs="Times New Roman"/>
          <w:highlight w:val="none"/>
        </w:rPr>
        <w:t>投标文件</w:t>
      </w:r>
      <w:r>
        <w:rPr>
          <w:rFonts w:hint="eastAsia" w:cs="Times New Roman"/>
          <w:highlight w:val="none"/>
          <w:lang w:val="en-US" w:eastAsia="zh-CN"/>
        </w:rPr>
        <w:t>编制</w:t>
      </w:r>
    </w:p>
    <w:p w14:paraId="59493963">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b w:val="0"/>
        </w:rPr>
      </w:pPr>
      <w:r>
        <w:rPr>
          <w:rFonts w:hint="eastAsia"/>
          <w:b w:val="0"/>
          <w:lang w:val="en-US" w:eastAsia="zh-CN"/>
        </w:rPr>
        <w:t>投标文件的组成</w:t>
      </w:r>
    </w:p>
    <w:p w14:paraId="5EA04826">
      <w:pPr>
        <w:pStyle w:val="73"/>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Courier New" w:eastAsia="宋体" w:cs="Times New Roman"/>
          <w:b w:val="0"/>
          <w:bCs/>
          <w:highlight w:val="none"/>
          <w:lang w:val="en-US" w:eastAsia="zh-CN"/>
        </w:rPr>
      </w:pPr>
      <w:r>
        <w:rPr>
          <w:rFonts w:hint="eastAsia" w:ascii="宋体" w:hAnsi="Courier New" w:eastAsia="宋体" w:cs="Times New Roman"/>
          <w:b w:val="0"/>
          <w:bCs/>
          <w:highlight w:val="none"/>
          <w:lang w:val="en-US" w:eastAsia="zh-CN"/>
        </w:rPr>
        <w:t>投标人编写的投标文件由《投标文件（资质标）》、《投标文件（技术标）》、《投标文件（商务标）》文件组成，共计</w:t>
      </w:r>
      <w:r>
        <w:rPr>
          <w:rFonts w:hint="eastAsia" w:cs="Times New Roman"/>
          <w:b w:val="0"/>
          <w:bCs/>
          <w:highlight w:val="yellow"/>
          <w:u w:val="single"/>
          <w:lang w:val="en-US" w:eastAsia="zh-CN"/>
        </w:rPr>
        <w:t>3</w:t>
      </w:r>
      <w:r>
        <w:rPr>
          <w:rFonts w:hint="eastAsia" w:ascii="宋体" w:hAnsi="Courier New" w:eastAsia="宋体" w:cs="Times New Roman"/>
          <w:b w:val="0"/>
          <w:bCs/>
          <w:highlight w:val="none"/>
          <w:lang w:val="en-US" w:eastAsia="zh-CN"/>
        </w:rPr>
        <w:t>个文件。</w:t>
      </w:r>
    </w:p>
    <w:p w14:paraId="18FB19A8">
      <w:pPr>
        <w:pStyle w:val="74"/>
        <w:numPr>
          <w:ilvl w:val="0"/>
          <w:numId w:val="16"/>
        </w:numPr>
        <w:ind w:left="425" w:leftChars="0" w:hanging="425" w:firstLineChars="0"/>
        <w:rPr>
          <w:rFonts w:hint="eastAsia"/>
          <w:b w:val="0"/>
          <w:bCs/>
          <w:highlight w:val="none"/>
        </w:rPr>
      </w:pPr>
      <w:r>
        <w:rPr>
          <w:rFonts w:hint="eastAsia"/>
          <w:b w:val="0"/>
          <w:bCs/>
          <w:highlight w:val="none"/>
        </w:rPr>
        <w:t>资质文件：</w:t>
      </w:r>
    </w:p>
    <w:p w14:paraId="6652487A">
      <w:pPr>
        <w:pStyle w:val="74"/>
        <w:numPr>
          <w:ilvl w:val="0"/>
          <w:numId w:val="0"/>
        </w:numPr>
        <w:ind w:leftChars="0"/>
        <w:rPr>
          <w:rFonts w:hint="eastAsia"/>
          <w:b w:val="0"/>
          <w:bCs/>
          <w:highlight w:val="none"/>
        </w:rPr>
      </w:pPr>
      <w:r>
        <w:rPr>
          <w:rFonts w:hint="eastAsia"/>
          <w:b w:val="0"/>
          <w:bCs/>
          <w:highlight w:val="none"/>
        </w:rPr>
        <w:t>按以下顺序排列并附目录：</w:t>
      </w:r>
    </w:p>
    <w:p w14:paraId="3EFC07D2">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①营业执照复印件；</w:t>
      </w:r>
    </w:p>
    <w:p w14:paraId="54A8259C">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②投标及授权委托书（模板见附件3，法定代表人亲自参加无需提交）；</w:t>
      </w:r>
    </w:p>
    <w:p w14:paraId="23D089D8">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③法定代表人与被授权人身份证复印件；</w:t>
      </w:r>
    </w:p>
    <w:p w14:paraId="15CB605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④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14:paraId="513F1AA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⑤投标人在国家企业信用信息公示系统中无行政处罚、经营异常和失信信息的声明；</w:t>
      </w:r>
    </w:p>
    <w:p w14:paraId="41196665">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⑥企业最近半年完税证明、信用证明材料（征信报告）；</w:t>
      </w:r>
    </w:p>
    <w:p w14:paraId="129BC49E">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⑦年度纳税信用评价信息（可从电子税务局查询截图，需加盖公章）；</w:t>
      </w:r>
    </w:p>
    <w:p w14:paraId="64459982">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⑧企业对外担保说明（写明贵单位对外有无对外担保和质押业务，需加盖公章）；</w:t>
      </w:r>
    </w:p>
    <w:p w14:paraId="49F6FBD3">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⑨重点荣誉；</w:t>
      </w:r>
    </w:p>
    <w:p w14:paraId="4A68E3E9">
      <w:pPr>
        <w:pStyle w:val="75"/>
        <w:keepNext w:val="0"/>
        <w:keepLines w:val="0"/>
        <w:pageBreakBefore w:val="0"/>
        <w:widowControl w:val="0"/>
        <w:numPr>
          <w:ilvl w:val="0"/>
          <w:numId w:val="0"/>
        </w:numPr>
        <w:kinsoku/>
        <w:wordWrap/>
        <w:overflowPunct/>
        <w:topLinePunct w:val="0"/>
        <w:autoSpaceDE/>
        <w:autoSpaceDN/>
        <w:bidi w:val="0"/>
        <w:adjustRightInd/>
        <w:snapToGrid/>
        <w:ind w:left="10" w:leftChars="0"/>
        <w:textAlignment w:val="auto"/>
        <w:rPr>
          <w:rFonts w:hint="eastAsia"/>
          <w:b w:val="0"/>
          <w:bCs/>
          <w:highlight w:val="none"/>
        </w:rPr>
      </w:pPr>
      <w:r>
        <w:rPr>
          <w:rFonts w:hint="eastAsia"/>
          <w:b w:val="0"/>
          <w:bCs/>
          <w:highlight w:val="none"/>
        </w:rPr>
        <w:t>⑩</w:t>
      </w:r>
      <w:r>
        <w:rPr>
          <w:rFonts w:hint="eastAsia"/>
          <w:b w:val="0"/>
          <w:bCs/>
          <w:highlight w:val="none"/>
          <w:lang w:val="en-US" w:eastAsia="zh-CN"/>
        </w:rPr>
        <w:t>业绩证明</w:t>
      </w:r>
      <w:r>
        <w:rPr>
          <w:rFonts w:hint="eastAsia"/>
          <w:b w:val="0"/>
          <w:bCs/>
          <w:highlight w:val="none"/>
        </w:rPr>
        <w:t>；</w:t>
      </w:r>
    </w:p>
    <w:p w14:paraId="0FCAA68A">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b w:val="0"/>
          <w:bCs/>
          <w:highlight w:val="none"/>
        </w:rPr>
      </w:pPr>
      <w:r>
        <w:rPr>
          <w:rFonts w:hint="eastAsia"/>
          <w:b w:val="0"/>
          <w:bCs/>
          <w:highlight w:val="none"/>
        </w:rPr>
        <w:t>其他资质证书等。对于投标人资质审核不通过的，招标人有权拒绝其投标。</w:t>
      </w:r>
    </w:p>
    <w:p w14:paraId="35D922EF">
      <w:pPr>
        <w:pStyle w:val="74"/>
        <w:numPr>
          <w:ilvl w:val="0"/>
          <w:numId w:val="16"/>
        </w:numPr>
        <w:ind w:left="425" w:leftChars="0" w:hanging="425" w:firstLineChars="0"/>
        <w:rPr>
          <w:rFonts w:hint="eastAsia" w:cs="Times New Roman"/>
          <w:b w:val="0"/>
          <w:bCs/>
          <w:highlight w:val="yellow"/>
        </w:rPr>
      </w:pPr>
      <w:r>
        <w:rPr>
          <w:rFonts w:hint="eastAsia" w:cs="Times New Roman"/>
          <w:b w:val="0"/>
          <w:bCs/>
          <w:highlight w:val="yellow"/>
        </w:rPr>
        <w:t>技术标：</w:t>
      </w:r>
    </w:p>
    <w:p w14:paraId="7B5EAEFC">
      <w:pPr>
        <w:pStyle w:val="74"/>
        <w:numPr>
          <w:ilvl w:val="0"/>
          <w:numId w:val="0"/>
        </w:numPr>
        <w:ind w:leftChars="0"/>
        <w:rPr>
          <w:rFonts w:hint="eastAsia" w:cs="Times New Roman"/>
          <w:b w:val="0"/>
          <w:bCs/>
          <w:highlight w:val="none"/>
        </w:rPr>
      </w:pPr>
      <w:r>
        <w:rPr>
          <w:rFonts w:hint="eastAsia" w:cs="Times New Roman"/>
          <w:b w:val="0"/>
          <w:bCs/>
          <w:highlight w:val="none"/>
        </w:rPr>
        <w:t>按以下顺序排列并附目录：</w:t>
      </w:r>
    </w:p>
    <w:p w14:paraId="3F087E5C">
      <w:pPr>
        <w:pStyle w:val="74"/>
        <w:numPr>
          <w:ilvl w:val="0"/>
          <w:numId w:val="0"/>
        </w:numPr>
        <w:ind w:leftChars="0"/>
        <w:rPr>
          <w:rFonts w:hint="eastAsia" w:cs="Times New Roman"/>
          <w:b w:val="0"/>
          <w:bCs/>
          <w:highlight w:val="none"/>
        </w:rPr>
      </w:pPr>
      <w:r>
        <w:rPr>
          <w:rFonts w:hint="eastAsia" w:cs="Times New Roman"/>
          <w:b w:val="0"/>
          <w:bCs/>
          <w:highlight w:val="none"/>
        </w:rPr>
        <w:t>①《投标人情况一览表》（模板见附件4）；</w:t>
      </w:r>
    </w:p>
    <w:p w14:paraId="21036A1B">
      <w:pPr>
        <w:pStyle w:val="74"/>
        <w:numPr>
          <w:ilvl w:val="0"/>
          <w:numId w:val="0"/>
        </w:numPr>
        <w:ind w:leftChars="0"/>
        <w:rPr>
          <w:rFonts w:hint="eastAsia" w:cs="Times New Roman"/>
          <w:b w:val="0"/>
          <w:bCs/>
          <w:highlight w:val="none"/>
        </w:rPr>
      </w:pPr>
      <w:r>
        <w:rPr>
          <w:rFonts w:hint="eastAsia" w:cs="Times New Roman"/>
          <w:b w:val="0"/>
          <w:bCs/>
          <w:highlight w:val="none"/>
        </w:rPr>
        <w:t>②贸易安全自查表；</w:t>
      </w:r>
    </w:p>
    <w:p w14:paraId="7CE59017">
      <w:pPr>
        <w:pStyle w:val="74"/>
        <w:numPr>
          <w:ilvl w:val="0"/>
          <w:numId w:val="0"/>
        </w:numPr>
        <w:ind w:leftChars="0"/>
        <w:rPr>
          <w:rFonts w:hint="eastAsia" w:cs="Times New Roman"/>
          <w:b w:val="0"/>
          <w:bCs/>
          <w:highlight w:val="none"/>
        </w:rPr>
      </w:pPr>
      <w:r>
        <w:rPr>
          <w:rFonts w:hint="eastAsia" w:cs="Times New Roman"/>
          <w:b w:val="0"/>
          <w:bCs/>
          <w:highlight w:val="none"/>
        </w:rPr>
        <w:t>③保证金协议复印件或投标保证金的银行电汇水单；</w:t>
      </w:r>
    </w:p>
    <w:p w14:paraId="5236024B">
      <w:pPr>
        <w:pStyle w:val="74"/>
        <w:numPr>
          <w:ilvl w:val="0"/>
          <w:numId w:val="0"/>
        </w:numPr>
        <w:ind w:leftChars="0"/>
        <w:rPr>
          <w:rFonts w:hint="eastAsia" w:cs="Times New Roman"/>
          <w:b w:val="0"/>
          <w:bCs/>
          <w:highlight w:val="none"/>
        </w:rPr>
      </w:pPr>
      <w:r>
        <w:rPr>
          <w:rFonts w:hint="eastAsia" w:cs="Times New Roman"/>
          <w:b w:val="0"/>
          <w:bCs/>
          <w:highlight w:val="none"/>
        </w:rPr>
        <w:t>④其它可体现投标人情况且与本项目相关的资料；</w:t>
      </w:r>
    </w:p>
    <w:p w14:paraId="47175D6D">
      <w:pPr>
        <w:pStyle w:val="74"/>
        <w:numPr>
          <w:ilvl w:val="0"/>
          <w:numId w:val="16"/>
        </w:numPr>
        <w:ind w:left="425" w:leftChars="0" w:hanging="425" w:firstLineChars="0"/>
        <w:rPr>
          <w:rFonts w:hint="eastAsia" w:cs="Times New Roman"/>
          <w:b w:val="0"/>
          <w:bCs/>
          <w:highlight w:val="none"/>
        </w:rPr>
      </w:pPr>
      <w:r>
        <w:rPr>
          <w:rFonts w:hint="eastAsia" w:cs="Times New Roman"/>
          <w:b w:val="0"/>
          <w:bCs/>
          <w:highlight w:val="none"/>
        </w:rPr>
        <w:t>商务标：</w:t>
      </w:r>
    </w:p>
    <w:p w14:paraId="1B013FC1">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商务报价注意内容：对应业务《报价单》，以分包次为单位进行报价，投标人填写前应充分知悉报价说明，按要求逐项填写，严禁更改格式和内容，无法承接项目报为“/”，免费赠送项目需为“0”，不接受实报实销。</w:t>
      </w:r>
    </w:p>
    <w:p w14:paraId="203211BE">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default" w:cs="Times New Roman"/>
          <w:b w:val="0"/>
          <w:bCs/>
          <w:highlight w:val="none"/>
          <w:lang w:val="en-US" w:eastAsia="zh-CN"/>
        </w:rPr>
      </w:pPr>
      <w:r>
        <w:rPr>
          <w:rFonts w:hint="eastAsia" w:cs="Times New Roman"/>
          <w:b w:val="0"/>
          <w:bCs/>
          <w:highlight w:val="none"/>
          <w:lang w:val="en-US" w:eastAsia="zh-CN"/>
        </w:rPr>
        <w:t>若投标人另有其他说明，应以备注方式在报价单下方单独写明。</w:t>
      </w:r>
    </w:p>
    <w:p w14:paraId="70E2A45F">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rFonts w:hint="eastAsia" w:cs="Times New Roman"/>
          <w:b w:val="0"/>
          <w:lang w:val="en-US" w:eastAsia="zh-CN"/>
        </w:rPr>
      </w:pPr>
      <w:r>
        <w:rPr>
          <w:rFonts w:hint="eastAsia" w:cs="Times New Roman"/>
          <w:b w:val="0"/>
          <w:lang w:val="en-US" w:eastAsia="zh-CN"/>
        </w:rPr>
        <w:t>投标文件的投递</w:t>
      </w:r>
    </w:p>
    <w:p w14:paraId="738D89B0">
      <w:pPr>
        <w:pStyle w:val="75"/>
        <w:numPr>
          <w:ilvl w:val="0"/>
          <w:numId w:val="0"/>
        </w:numPr>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（1）</w:t>
      </w:r>
      <w:r>
        <w:rPr>
          <w:rFonts w:hint="eastAsia" w:ascii="宋体" w:hAnsi="Courier New" w:eastAsia="宋体" w:cs="Times New Roman"/>
          <w:b w:val="0"/>
          <w:bCs/>
          <w:highlight w:val="none"/>
          <w:lang w:val="en-US" w:eastAsia="zh-CN"/>
        </w:rPr>
        <w:t>项目的潜在投标人应通过“中国重汽e采通”（https://ecaitong.sinotruk.com:8012）注册完成后，获取招标文件；</w:t>
      </w:r>
    </w:p>
    <w:p w14:paraId="439E3D8C">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（2）</w:t>
      </w:r>
      <w:r>
        <w:rPr>
          <w:rFonts w:hint="eastAsia" w:ascii="宋体" w:hAnsi="Courier New" w:eastAsia="宋体" w:cs="Times New Roman"/>
          <w:b w:val="0"/>
          <w:bCs/>
          <w:highlight w:val="yellow"/>
          <w:lang w:val="en-US" w:eastAsia="zh-CN"/>
        </w:rPr>
        <w:t>应于2026年09月</w:t>
      </w:r>
      <w:r>
        <w:rPr>
          <w:rFonts w:hint="eastAsia" w:cs="Times New Roman"/>
          <w:b w:val="0"/>
          <w:bCs/>
          <w:highlight w:val="yellow"/>
          <w:lang w:val="en-US" w:eastAsia="zh-CN"/>
        </w:rPr>
        <w:t>24</w:t>
      </w:r>
      <w:r>
        <w:rPr>
          <w:rFonts w:hint="eastAsia" w:ascii="宋体" w:hAnsi="Courier New" w:eastAsia="宋体" w:cs="Times New Roman"/>
          <w:b w:val="0"/>
          <w:bCs/>
          <w:highlight w:val="yellow"/>
          <w:lang w:val="en-US" w:eastAsia="zh-CN"/>
        </w:rPr>
        <w:t>日17:00（北京时间）</w:t>
      </w:r>
      <w:r>
        <w:rPr>
          <w:rFonts w:hint="eastAsia" w:ascii="宋体" w:hAnsi="Courier New" w:eastAsia="宋体" w:cs="Times New Roman"/>
          <w:b w:val="0"/>
          <w:bCs/>
          <w:highlight w:val="none"/>
          <w:lang w:val="en-US" w:eastAsia="zh-CN"/>
        </w:rPr>
        <w:t>前通过“系统-招投标中心-非生产类招投标-供应商应标”应标；应标提交文件为第一册（资质文件）。</w:t>
      </w:r>
    </w:p>
    <w:p w14:paraId="5611C78A">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（3）</w:t>
      </w:r>
      <w:r>
        <w:rPr>
          <w:rFonts w:hint="eastAsia" w:ascii="宋体" w:hAnsi="Courier New" w:eastAsia="宋体" w:cs="Times New Roman"/>
          <w:b w:val="0"/>
          <w:bCs/>
          <w:highlight w:val="yellow"/>
          <w:lang w:val="en-US" w:eastAsia="zh-CN"/>
        </w:rPr>
        <w:t>应于2026年</w:t>
      </w:r>
      <w:r>
        <w:rPr>
          <w:rFonts w:hint="eastAsia" w:cs="Times New Roman"/>
          <w:b w:val="0"/>
          <w:bCs/>
          <w:highlight w:val="yellow"/>
          <w:lang w:val="en-US" w:eastAsia="zh-CN"/>
        </w:rPr>
        <w:t>10</w:t>
      </w:r>
      <w:r>
        <w:rPr>
          <w:rFonts w:hint="eastAsia" w:ascii="宋体" w:hAnsi="Courier New" w:eastAsia="宋体" w:cs="Times New Roman"/>
          <w:b w:val="0"/>
          <w:bCs/>
          <w:highlight w:val="yellow"/>
          <w:lang w:val="en-US" w:eastAsia="zh-CN"/>
        </w:rPr>
        <w:t>月</w:t>
      </w:r>
      <w:r>
        <w:rPr>
          <w:rFonts w:hint="eastAsia" w:cs="Times New Roman"/>
          <w:b w:val="0"/>
          <w:bCs/>
          <w:highlight w:val="yellow"/>
          <w:lang w:val="en-US" w:eastAsia="zh-CN"/>
        </w:rPr>
        <w:t>8</w:t>
      </w:r>
      <w:r>
        <w:rPr>
          <w:rFonts w:hint="eastAsia" w:ascii="宋体" w:hAnsi="Courier New" w:eastAsia="宋体" w:cs="Times New Roman"/>
          <w:b w:val="0"/>
          <w:bCs/>
          <w:highlight w:val="yellow"/>
          <w:lang w:val="en-US" w:eastAsia="zh-CN"/>
        </w:rPr>
        <w:t>日</w:t>
      </w:r>
      <w:r>
        <w:rPr>
          <w:rFonts w:hint="eastAsia" w:cs="Times New Roman"/>
          <w:b w:val="0"/>
          <w:bCs/>
          <w:highlight w:val="yellow"/>
          <w:lang w:val="en-US" w:eastAsia="zh-CN"/>
        </w:rPr>
        <w:t>9</w:t>
      </w:r>
      <w:r>
        <w:rPr>
          <w:rFonts w:hint="eastAsia" w:ascii="宋体" w:hAnsi="Courier New" w:eastAsia="宋体" w:cs="Times New Roman"/>
          <w:b w:val="0"/>
          <w:bCs/>
          <w:highlight w:val="yellow"/>
          <w:lang w:val="en-US" w:eastAsia="zh-CN"/>
        </w:rPr>
        <w:t>:00（北京时间）</w:t>
      </w:r>
      <w:r>
        <w:rPr>
          <w:rFonts w:hint="eastAsia" w:ascii="宋体" w:hAnsi="Courier New" w:eastAsia="宋体" w:cs="Times New Roman"/>
          <w:b w:val="0"/>
          <w:bCs/>
          <w:highlight w:val="none"/>
          <w:lang w:val="en-US" w:eastAsia="zh-CN"/>
        </w:rPr>
        <w:t>前通过“系统-招投标中心-非生产类招投标-供应商投标”递交投标文件，包括第二册(技术方案)与第三册(商务文件)。逾期系统自动关闭。</w:t>
      </w:r>
    </w:p>
    <w:p w14:paraId="11FE77E8">
      <w:pPr>
        <w:pStyle w:val="75"/>
        <w:numPr>
          <w:ilvl w:val="0"/>
          <w:numId w:val="0"/>
        </w:numPr>
        <w:ind w:leftChars="0"/>
        <w:rPr>
          <w:rFonts w:hint="eastAsia" w:ascii="宋体" w:hAnsi="Courier New" w:eastAsia="宋体" w:cs="Times New Roman"/>
          <w:b w:val="0"/>
          <w:bCs/>
          <w:highlight w:val="none"/>
          <w:lang w:val="en-US" w:eastAsia="zh-CN"/>
        </w:rPr>
      </w:pPr>
      <w:r>
        <w:rPr>
          <w:rFonts w:hint="eastAsia" w:cs="Times New Roman"/>
          <w:b w:val="0"/>
          <w:bCs/>
          <w:highlight w:val="none"/>
          <w:lang w:val="en-US" w:eastAsia="zh-CN"/>
        </w:rPr>
        <w:t>（4）</w:t>
      </w:r>
      <w:r>
        <w:rPr>
          <w:rFonts w:hint="eastAsia" w:ascii="宋体" w:hAnsi="Courier New" w:eastAsia="宋体" w:cs="Times New Roman"/>
          <w:b w:val="0"/>
          <w:bCs/>
          <w:highlight w:val="none"/>
          <w:lang w:val="en-US" w:eastAsia="zh-CN"/>
        </w:rPr>
        <w:t>纸质版投标资料（一正一副）应在开标日现场交由招标人审查后返还给投标人。纸质版资料应与系统上传资料保持一致，否则由此产生的不利后果均由投标人承担。</w:t>
      </w:r>
    </w:p>
    <w:p w14:paraId="529C75C6">
      <w:pPr>
        <w:pStyle w:val="73"/>
        <w:keepNext w:val="0"/>
        <w:keepLines w:val="0"/>
        <w:pageBreakBefore w:val="0"/>
        <w:widowControl w:val="0"/>
        <w:numPr>
          <w:ilvl w:val="0"/>
          <w:numId w:val="15"/>
        </w:numPr>
        <w:kinsoku/>
        <w:wordWrap/>
        <w:overflowPunct/>
        <w:topLinePunct w:val="0"/>
        <w:autoSpaceDE/>
        <w:autoSpaceDN/>
        <w:bidi w:val="0"/>
        <w:adjustRightInd/>
        <w:snapToGrid/>
        <w:ind w:left="0" w:leftChars="0" w:firstLine="0" w:firstLineChars="0"/>
        <w:textAlignment w:val="auto"/>
        <w:rPr>
          <w:rFonts w:hint="default" w:cs="Times New Roman"/>
          <w:b w:val="0"/>
          <w:lang w:val="en-US" w:eastAsia="zh-CN"/>
        </w:rPr>
      </w:pPr>
      <w:r>
        <w:rPr>
          <w:rFonts w:hint="eastAsia" w:cs="Times New Roman"/>
          <w:b w:val="0"/>
          <w:highlight w:val="cyan"/>
          <w:lang w:val="en-US" w:eastAsia="zh-CN"/>
        </w:rPr>
        <w:t>其他</w:t>
      </w:r>
    </w:p>
    <w:p w14:paraId="567C7551">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1、开标当日，投标人应准备相关证照原件扫描件备查。</w:t>
      </w:r>
    </w:p>
    <w:p w14:paraId="2F09E863">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2、投标人可在开标现场播放PPT、视频等相关资料。</w:t>
      </w:r>
    </w:p>
    <w:p w14:paraId="04A4BCC6">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3、若投标人有额外说明，应形成书面资料，放入与之相对应的招标资料册中。</w:t>
      </w:r>
    </w:p>
    <w:p w14:paraId="1F4871D3">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4、由于不可抗拒的原因，招标人对投标资料的遗失和损坏不负任何责任。</w:t>
      </w:r>
    </w:p>
    <w:p w14:paraId="4D86D36B">
      <w:pPr>
        <w:pStyle w:val="73"/>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cs="Times New Roman"/>
          <w:b w:val="0"/>
          <w:lang w:val="en-US" w:eastAsia="zh-CN"/>
        </w:rPr>
      </w:pPr>
      <w:r>
        <w:rPr>
          <w:rFonts w:hint="default" w:cs="Times New Roman"/>
          <w:b w:val="0"/>
          <w:lang w:val="en-US" w:eastAsia="zh-CN"/>
        </w:rPr>
        <w:t>5、招标结束后，无论投标人中标是否，投标人递交的投标资料一律不予退回。</w:t>
      </w:r>
    </w:p>
    <w:p w14:paraId="25974AAC">
      <w:pPr>
        <w:pStyle w:val="72"/>
        <w:rPr>
          <w:rFonts w:hint="eastAsia" w:hAnsi="Courier New" w:cs="Times New Roman"/>
          <w:highlight w:val="none"/>
        </w:rPr>
      </w:pPr>
      <w:bookmarkStart w:id="13" w:name="_Toc47976601"/>
      <w:r>
        <w:rPr>
          <w:rFonts w:hint="eastAsia" w:hAnsi="Courier New" w:cs="Times New Roman"/>
          <w:highlight w:val="none"/>
        </w:rPr>
        <w:t>投标保证金</w:t>
      </w:r>
    </w:p>
    <w:p w14:paraId="283E58DD">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1、本次招标前与招标人存在过合作关系且已向招标人支付完毕代理业务履约保证金的单位可视为已支付了投标保证金，该单位直接获得本次招标的投标资格，无须另行支付投标保证金。</w:t>
      </w:r>
    </w:p>
    <w:p w14:paraId="2086FE4F">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 xml:space="preserve">2、未支付过地面代理业务履约保证金的单位，应当在应标通过后、开标前向招标人支付人民币20万元投标保证金后方能获得本次招标的投标资格。投标人中标后，该投标保证金不再退还，自动转为代理业务履约保证金（履约保证金视中标项目预算金额不同，30万-100万不等）；投标人未中标，该投标保证金将在中标公告发布之日起30个工作日内原路径全额无息返还。招标人账户信息见本招标文件第六部分。投标人支付投标保证金时，应在汇款时注明“重汽地面代理投标保证金”。 </w:t>
      </w:r>
    </w:p>
    <w:p w14:paraId="10CECFC4">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3、发生以下情况时，招标人有权没收投标保证金：</w:t>
      </w:r>
    </w:p>
    <w:p w14:paraId="79755ED5">
      <w:pPr>
        <w:bidi w:val="0"/>
        <w:rPr>
          <w:rFonts w:hint="eastAsia"/>
          <w:lang w:val="en-US" w:eastAsia="zh-CN"/>
        </w:rPr>
      </w:pPr>
      <w:r>
        <w:rPr>
          <w:rFonts w:hint="eastAsia"/>
          <w:lang w:val="en-US" w:eastAsia="zh-CN"/>
        </w:rPr>
        <w:t>（1）投标人已向招标人申请参加本次投标，但又计划撤回投标，未在开标日3日前向投标人书面说明的。</w:t>
      </w:r>
    </w:p>
    <w:p w14:paraId="3B551EA3">
      <w:pPr>
        <w:bidi w:val="0"/>
        <w:rPr>
          <w:rFonts w:hint="eastAsia"/>
          <w:lang w:val="en-US" w:eastAsia="zh-CN"/>
        </w:rPr>
      </w:pPr>
      <w:r>
        <w:rPr>
          <w:rFonts w:hint="eastAsia"/>
          <w:lang w:val="en-US" w:eastAsia="zh-CN"/>
        </w:rPr>
        <w:t xml:space="preserve">（2）开标时投标人非因不可抗力原因未到场的。 </w:t>
      </w:r>
    </w:p>
    <w:p w14:paraId="329DAA6F">
      <w:pPr>
        <w:bidi w:val="0"/>
        <w:rPr>
          <w:rFonts w:hint="eastAsia"/>
          <w:lang w:val="en-US" w:eastAsia="zh-CN"/>
        </w:rPr>
      </w:pPr>
      <w:r>
        <w:rPr>
          <w:rFonts w:hint="eastAsia"/>
          <w:lang w:val="en-US" w:eastAsia="zh-CN"/>
        </w:rPr>
        <w:t>（3）投标人递送文件后，无正当理由放弃投标的。</w:t>
      </w:r>
    </w:p>
    <w:p w14:paraId="14680170">
      <w:pPr>
        <w:bidi w:val="0"/>
        <w:rPr>
          <w:rFonts w:hint="eastAsia"/>
          <w:lang w:val="en-US" w:eastAsia="zh-CN"/>
        </w:rPr>
      </w:pPr>
      <w:r>
        <w:rPr>
          <w:rFonts w:hint="eastAsia"/>
          <w:lang w:val="en-US" w:eastAsia="zh-CN"/>
        </w:rPr>
        <w:t>（4）自中标通知或中标公告发出之日起30日内，中标人无正当理由不签订合同的。</w:t>
      </w:r>
    </w:p>
    <w:p w14:paraId="643E7594">
      <w:pPr>
        <w:bidi w:val="0"/>
        <w:rPr>
          <w:rFonts w:hint="eastAsia"/>
          <w:lang w:val="en-US" w:eastAsia="zh-CN"/>
        </w:rPr>
      </w:pPr>
      <w:r>
        <w:rPr>
          <w:rFonts w:hint="eastAsia"/>
          <w:lang w:val="en-US" w:eastAsia="zh-CN"/>
        </w:rPr>
        <w:t>（5）投标过程中被查实有串标、围标、陪标等违规违纪行为的。</w:t>
      </w:r>
    </w:p>
    <w:p w14:paraId="708404AD">
      <w:pPr>
        <w:bidi w:val="0"/>
        <w:rPr>
          <w:rFonts w:hint="eastAsia"/>
          <w:lang w:val="en-US" w:eastAsia="zh-CN"/>
        </w:rPr>
      </w:pPr>
      <w:r>
        <w:rPr>
          <w:rFonts w:hint="eastAsia"/>
          <w:lang w:val="en-US" w:eastAsia="zh-CN"/>
        </w:rPr>
        <w:t>（6）投标人有违约违规行为或被投诉、举报的，在调查处理期间，保证金暂不退还，待调查处理结束后按有关规定处理。</w:t>
      </w:r>
    </w:p>
    <w:p w14:paraId="2C135E5B">
      <w:pPr>
        <w:bidi w:val="0"/>
        <w:rPr>
          <w:rFonts w:hint="eastAsia"/>
          <w:lang w:val="en-US" w:eastAsia="zh-CN"/>
        </w:rPr>
      </w:pPr>
      <w:r>
        <w:rPr>
          <w:rFonts w:hint="eastAsia"/>
          <w:lang w:val="en-US" w:eastAsia="zh-CN"/>
        </w:rPr>
        <w:t>（7）未经招标人同意将中标项目转让、部分转让或分包给他人的，除没收投标保证金外，招标人有权终止合同，并处以转让、部分转让或分包金额10%的罚款。给招标人造成损失的，投标人还应当赔偿损失。</w:t>
      </w:r>
    </w:p>
    <w:p w14:paraId="1B966326">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4、招标人账户信息</w:t>
      </w:r>
    </w:p>
    <w:p w14:paraId="3605E58C">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账户名称：中国重汽集团国际有限公司</w:t>
      </w:r>
    </w:p>
    <w:p w14:paraId="65183DF8">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开户行：兴业银行济南天桥支行</w:t>
      </w:r>
    </w:p>
    <w:p w14:paraId="10A890D4">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账号：3760 7010 0100 024 875</w:t>
      </w:r>
    </w:p>
    <w:p w14:paraId="629A8788">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地址：山东省济南市高新区华奥路777号中国重汽科技大厦14层、15层</w:t>
      </w:r>
    </w:p>
    <w:p w14:paraId="58966EF0">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电话：0531-58063475</w:t>
      </w:r>
    </w:p>
    <w:p w14:paraId="3B8FDBF6">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纳税人识别号：913701007326277570</w:t>
      </w:r>
    </w:p>
    <w:p w14:paraId="3A3440AA">
      <w:pPr>
        <w:pStyle w:val="72"/>
        <w:keepNext w:val="0"/>
        <w:keepLines w:val="0"/>
        <w:pageBreakBefore w:val="0"/>
        <w:widowControl w:val="0"/>
        <w:numPr>
          <w:ilvl w:val="0"/>
          <w:numId w:val="0"/>
        </w:numPr>
        <w:kinsoku/>
        <w:wordWrap/>
        <w:overflowPunct/>
        <w:topLinePunct w:val="0"/>
        <w:autoSpaceDE/>
        <w:autoSpaceDN/>
        <w:bidi w:val="0"/>
        <w:adjustRightInd/>
        <w:snapToGrid/>
        <w:ind w:left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注：投标人应充分考虑银行信息交换时间，由此带来的保证金不能按时到帐的由投标人自行承担。</w:t>
      </w:r>
    </w:p>
    <w:bookmarkEnd w:id="13"/>
    <w:p w14:paraId="368B6990">
      <w:pPr>
        <w:pStyle w:val="72"/>
      </w:pPr>
      <w:r>
        <w:rPr>
          <w:rFonts w:hint="eastAsia"/>
          <w:lang w:val="en-US" w:eastAsia="zh-CN"/>
        </w:rPr>
        <w:t>开评标</w:t>
      </w:r>
    </w:p>
    <w:p w14:paraId="009655B5">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开标时间：2026年10月8号</w:t>
      </w:r>
    </w:p>
    <w:p w14:paraId="32AF76BC">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开标地点：山东省济南市高新区华奥路777号重汽科技大厦，具体会议室另行通知</w:t>
      </w:r>
    </w:p>
    <w:p w14:paraId="420F0E0C">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开标方式：</w:t>
      </w:r>
    </w:p>
    <w:p w14:paraId="4DCBC48A">
      <w:pPr>
        <w:keepNext w:val="0"/>
        <w:keepLines w:val="0"/>
        <w:pageBreakBefore w:val="0"/>
        <w:widowControl w:val="0"/>
        <w:numPr>
          <w:ilvl w:val="0"/>
          <w:numId w:val="19"/>
        </w:numPr>
        <w:kinsoku/>
        <w:wordWrap/>
        <w:overflowPunct/>
        <w:topLinePunct w:val="0"/>
        <w:autoSpaceDE/>
        <w:autoSpaceDN/>
        <w:bidi w:val="0"/>
        <w:adjustRightInd/>
        <w:snapToGrid/>
        <w:spacing w:line="360" w:lineRule="auto"/>
        <w:ind w:left="11" w:leftChars="0" w:firstLine="0" w:firstLineChars="0"/>
        <w:textAlignment w:val="auto"/>
        <w:rPr>
          <w:rFonts w:hint="eastAsia" w:ascii="宋体" w:hAnsi="宋体" w:eastAsia="宋体" w:cs="宋体"/>
          <w:color w:val="000000"/>
          <w:sz w:val="21"/>
          <w:szCs w:val="21"/>
          <w:highlight w:val="none"/>
        </w:rPr>
      </w:pPr>
      <w:r>
        <w:rPr>
          <w:rFonts w:hint="eastAsia" w:ascii="宋体" w:hAnsi="Courier New" w:eastAsia="宋体" w:cs="Times New Roman"/>
          <w:b w:val="0"/>
          <w:bCs/>
          <w:kern w:val="2"/>
          <w:sz w:val="21"/>
          <w:highlight w:val="none"/>
          <w:lang w:val="en-US" w:eastAsia="zh-CN" w:bidi="ar-SA"/>
        </w:rPr>
        <w:t>现场招</w:t>
      </w:r>
      <w:r>
        <w:rPr>
          <w:rFonts w:hint="eastAsia" w:ascii="宋体" w:hAnsi="宋体" w:eastAsia="宋体" w:cs="宋体"/>
          <w:b w:val="0"/>
          <w:bCs w:val="0"/>
          <w:sz w:val="21"/>
          <w:szCs w:val="21"/>
          <w:highlight w:val="none"/>
          <w:lang w:val="en-US" w:eastAsia="zh-CN"/>
        </w:rPr>
        <w:t>标：</w:t>
      </w:r>
      <w:r>
        <w:rPr>
          <w:rFonts w:hint="eastAsia" w:ascii="宋体" w:hAnsi="宋体" w:eastAsia="宋体" w:cs="宋体"/>
          <w:color w:val="000000"/>
          <w:sz w:val="21"/>
          <w:szCs w:val="21"/>
          <w:highlight w:val="none"/>
        </w:rPr>
        <w:t>原则上来现场参与开标。如因特殊情况无法现场参与，需在开标前三日，通知招标人，由招标人创建视频链接，并在报名结束后统一通知。</w:t>
      </w:r>
    </w:p>
    <w:p w14:paraId="2C652027">
      <w:pPr>
        <w:pStyle w:val="72"/>
        <w:keepNext w:val="0"/>
        <w:keepLines w:val="0"/>
        <w:pageBreakBefore w:val="0"/>
        <w:widowControl w:val="0"/>
        <w:numPr>
          <w:ilvl w:val="0"/>
          <w:numId w:val="18"/>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w:t>
      </w:r>
    </w:p>
    <w:p w14:paraId="6136E50F">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yellow"/>
          <w:lang w:val="en-US" w:eastAsia="zh-CN"/>
        </w:rPr>
      </w:pPr>
      <w:r>
        <w:rPr>
          <w:rFonts w:hint="eastAsia" w:ascii="宋体" w:hAnsi="宋体" w:eastAsia="宋体" w:cs="宋体"/>
          <w:b w:val="0"/>
          <w:bCs w:val="0"/>
          <w:sz w:val="21"/>
          <w:szCs w:val="21"/>
          <w:highlight w:val="yellow"/>
          <w:lang w:val="en-US" w:eastAsia="zh-CN"/>
        </w:rPr>
        <w:t>评标方法</w:t>
      </w:r>
    </w:p>
    <w:p w14:paraId="649C28C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eastAsia" w:cs="Times New Roman"/>
          <w:b w:val="0"/>
          <w:bCs/>
          <w:highlight w:val="none"/>
          <w:lang w:val="en-US" w:eastAsia="zh-CN"/>
        </w:rPr>
      </w:pPr>
      <w:r>
        <w:rPr>
          <w:rFonts w:hint="eastAsia" w:cs="Times New Roman"/>
          <w:b w:val="0"/>
          <w:bCs/>
          <w:highlight w:val="none"/>
          <w:lang w:val="en-US" w:eastAsia="zh-CN"/>
        </w:rPr>
        <w:t>评标方法（合理最低价中标）</w:t>
      </w:r>
    </w:p>
    <w:p w14:paraId="2509BD7C">
      <w:pPr>
        <w:pStyle w:val="72"/>
        <w:keepNext w:val="0"/>
        <w:keepLines w:val="0"/>
        <w:pageBreakBefore w:val="0"/>
        <w:widowControl w:val="0"/>
        <w:numPr>
          <w:ilvl w:val="0"/>
          <w:numId w:val="0"/>
        </w:numPr>
        <w:kinsoku/>
        <w:wordWrap/>
        <w:overflowPunct/>
        <w:topLinePunct w:val="0"/>
        <w:autoSpaceDE/>
        <w:autoSpaceDN/>
        <w:bidi w:val="0"/>
        <w:adjustRightInd/>
        <w:snapToGrid/>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本次招标采用技术标入围后，原则上合理最低价中标。本着公平、公正、公开的原则，在通过技术标综合评审后入围的前提下，选择合理最低价确定中标人，对未中标单位不做任何解释。</w:t>
      </w:r>
    </w:p>
    <w:p w14:paraId="0B2A8F6D">
      <w:pPr>
        <w:pStyle w:val="72"/>
        <w:keepNext w:val="0"/>
        <w:keepLines w:val="0"/>
        <w:pageBreakBefore w:val="0"/>
        <w:widowControl w:val="0"/>
        <w:numPr>
          <w:ilvl w:val="0"/>
          <w:numId w:val="20"/>
        </w:numPr>
        <w:kinsoku/>
        <w:wordWrap/>
        <w:overflowPunct/>
        <w:topLinePunct w:val="0"/>
        <w:autoSpaceDE/>
        <w:autoSpaceDN/>
        <w:bidi w:val="0"/>
        <w:adjustRightInd/>
        <w:snapToGrid/>
        <w:ind w:left="0" w:leftChars="0" w:firstLine="0" w:firstLineChars="0"/>
        <w:textAlignment w:val="auto"/>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评标流程</w:t>
      </w:r>
    </w:p>
    <w:p w14:paraId="08C47440">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应标资格审查：在“中国重汽e采通”应标报名时，按照第</w:t>
      </w:r>
      <w:r>
        <w:rPr>
          <w:rFonts w:hint="eastAsia" w:ascii="宋体" w:hAnsi="宋体" w:eastAsia="宋体" w:cs="宋体"/>
          <w:b w:val="0"/>
          <w:bCs/>
          <w:color w:val="000000"/>
          <w:sz w:val="21"/>
          <w:szCs w:val="21"/>
          <w:highlight w:val="none"/>
          <w:lang w:val="en-US" w:eastAsia="zh-CN"/>
        </w:rPr>
        <w:t>一</w:t>
      </w:r>
      <w:r>
        <w:rPr>
          <w:rFonts w:hint="eastAsia" w:ascii="宋体" w:hAnsi="宋体" w:eastAsia="宋体" w:cs="宋体"/>
          <w:b w:val="0"/>
          <w:bCs/>
          <w:color w:val="000000"/>
          <w:sz w:val="21"/>
          <w:szCs w:val="21"/>
          <w:highlight w:val="none"/>
        </w:rPr>
        <w:t>部分第</w:t>
      </w:r>
      <w:r>
        <w:rPr>
          <w:rFonts w:hint="eastAsia" w:ascii="宋体" w:hAnsi="宋体" w:eastAsia="宋体" w:cs="宋体"/>
          <w:b w:val="0"/>
          <w:bCs/>
          <w:color w:val="000000"/>
          <w:sz w:val="21"/>
          <w:szCs w:val="21"/>
          <w:highlight w:val="none"/>
          <w:lang w:val="en-US" w:eastAsia="zh-CN"/>
        </w:rPr>
        <w:t>四</w:t>
      </w:r>
      <w:r>
        <w:rPr>
          <w:rFonts w:hint="eastAsia" w:ascii="宋体" w:hAnsi="宋体" w:eastAsia="宋体" w:cs="宋体"/>
          <w:b w:val="0"/>
          <w:bCs/>
          <w:color w:val="000000"/>
          <w:sz w:val="21"/>
          <w:szCs w:val="21"/>
          <w:highlight w:val="none"/>
        </w:rPr>
        <w:t>条投标文件</w:t>
      </w:r>
      <w:r>
        <w:rPr>
          <w:rFonts w:hint="eastAsia" w:ascii="宋体" w:hAnsi="宋体" w:eastAsia="宋体" w:cs="宋体"/>
          <w:b w:val="0"/>
          <w:bCs/>
          <w:color w:val="000000"/>
          <w:sz w:val="21"/>
          <w:szCs w:val="21"/>
          <w:highlight w:val="none"/>
          <w:lang w:val="en-US" w:eastAsia="zh-CN"/>
        </w:rPr>
        <w:t>编制</w:t>
      </w:r>
      <w:r>
        <w:rPr>
          <w:rFonts w:hint="eastAsia" w:ascii="宋体" w:hAnsi="宋体" w:eastAsia="宋体" w:cs="宋体"/>
          <w:b w:val="0"/>
          <w:bCs/>
          <w:color w:val="000000"/>
          <w:sz w:val="21"/>
          <w:szCs w:val="21"/>
          <w:highlight w:val="none"/>
        </w:rPr>
        <w:t>资格证明文件中的准备资料，上传</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资质文件</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要求资料</w:t>
      </w:r>
      <w:r>
        <w:rPr>
          <w:rFonts w:hint="eastAsia" w:ascii="宋体" w:hAnsi="宋体" w:eastAsia="宋体" w:cs="宋体"/>
          <w:b w:val="0"/>
          <w:bCs/>
          <w:color w:val="000000"/>
          <w:sz w:val="21"/>
          <w:szCs w:val="21"/>
          <w:highlight w:val="none"/>
        </w:rPr>
        <w:t>，等待审核；</w:t>
      </w:r>
    </w:p>
    <w:p w14:paraId="3925B8AD">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通过应标资格审查的单位进入投标环节，按照“SRM系统供应商用户手册”，在重汽e采通平台投递电子标书（包含资质标、技术标、商务标）；没有通过应标资质审查的单位不能进入投标环节</w:t>
      </w:r>
      <w:r>
        <w:rPr>
          <w:rFonts w:hint="eastAsia" w:ascii="宋体" w:hAnsi="宋体" w:cs="宋体"/>
          <w:b w:val="0"/>
          <w:bCs/>
          <w:color w:val="000000"/>
          <w:sz w:val="21"/>
          <w:szCs w:val="21"/>
          <w:highlight w:val="none"/>
          <w:lang w:eastAsia="zh-CN"/>
        </w:rPr>
        <w:t>，</w:t>
      </w:r>
      <w:r>
        <w:rPr>
          <w:rFonts w:hint="eastAsia" w:ascii="宋体" w:hAnsi="宋体" w:cs="宋体"/>
          <w:b w:val="0"/>
          <w:bCs/>
          <w:color w:val="000000"/>
          <w:sz w:val="21"/>
          <w:szCs w:val="21"/>
          <w:highlight w:val="none"/>
          <w:lang w:val="en-US" w:eastAsia="zh-CN"/>
        </w:rPr>
        <w:t>无需支付保证金</w:t>
      </w:r>
      <w:r>
        <w:rPr>
          <w:rFonts w:hint="eastAsia" w:ascii="宋体" w:hAnsi="宋体" w:eastAsia="宋体" w:cs="宋体"/>
          <w:b w:val="0"/>
          <w:bCs/>
          <w:color w:val="000000"/>
          <w:sz w:val="21"/>
          <w:szCs w:val="21"/>
          <w:highlight w:val="none"/>
        </w:rPr>
        <w:t>；</w:t>
      </w:r>
    </w:p>
    <w:p w14:paraId="3B34C86F">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资质标评审：资质标审核通过的单位，可以进入公开唱标环节；</w:t>
      </w:r>
    </w:p>
    <w:p w14:paraId="5672B712">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公开唱标：公示资质标入围单位的开标价格及商务条款响应情况；</w:t>
      </w:r>
    </w:p>
    <w:p w14:paraId="7E63C2E8">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技术标评审：技术标评标专家组，通过重汽e采通，对各投标人的《投标文件（技术标）》进行综合评审；评审期间产生的技术澄清均由投标人在重汽e采通平台内完成提交；评审</w:t>
      </w:r>
      <w:r>
        <w:rPr>
          <w:rFonts w:hint="eastAsia" w:ascii="宋体" w:hAnsi="宋体" w:cs="宋体"/>
          <w:b w:val="0"/>
          <w:bCs/>
          <w:color w:val="000000"/>
          <w:sz w:val="21"/>
          <w:szCs w:val="21"/>
          <w:highlight w:val="none"/>
          <w:lang w:val="en-US" w:eastAsia="zh-CN"/>
        </w:rPr>
        <w:t>75分以上</w:t>
      </w:r>
      <w:r>
        <w:rPr>
          <w:rFonts w:hint="eastAsia" w:ascii="宋体" w:hAnsi="宋体" w:eastAsia="宋体" w:cs="宋体"/>
          <w:b w:val="0"/>
          <w:bCs/>
          <w:color w:val="000000"/>
          <w:sz w:val="21"/>
          <w:szCs w:val="21"/>
          <w:highlight w:val="none"/>
        </w:rPr>
        <w:t>的单位进入商务标评审环节，评审不合格的单位被淘汰；具体</w:t>
      </w:r>
      <w:r>
        <w:rPr>
          <w:rFonts w:hint="eastAsia" w:ascii="宋体" w:hAnsi="宋体" w:eastAsia="宋体" w:cs="宋体"/>
          <w:b w:val="0"/>
          <w:bCs/>
          <w:color w:val="000000"/>
          <w:sz w:val="21"/>
          <w:szCs w:val="21"/>
          <w:highlight w:val="none"/>
          <w:lang w:val="en-US" w:eastAsia="zh-CN"/>
        </w:rPr>
        <w:t>评分详见</w:t>
      </w:r>
      <w:r>
        <w:rPr>
          <w:rFonts w:hint="eastAsia" w:ascii="宋体" w:hAnsi="宋体" w:eastAsia="宋体" w:cs="宋体"/>
          <w:b w:val="0"/>
          <w:bCs/>
          <w:color w:val="000000"/>
          <w:sz w:val="21"/>
          <w:szCs w:val="21"/>
          <w:highlight w:val="none"/>
        </w:rPr>
        <w:t>评分标准；</w:t>
      </w:r>
    </w:p>
    <w:p w14:paraId="17C23BBD">
      <w:pPr>
        <w:keepNext w:val="0"/>
        <w:keepLines w:val="0"/>
        <w:pageBreakBefore w:val="0"/>
        <w:widowControl w:val="0"/>
        <w:numPr>
          <w:ilvl w:val="0"/>
          <w:numId w:val="21"/>
        </w:numPr>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val="0"/>
          <w:bCs/>
          <w:color w:val="000000"/>
          <w:sz w:val="21"/>
          <w:szCs w:val="21"/>
          <w:highlight w:val="none"/>
        </w:rPr>
      </w:pPr>
      <w:r>
        <w:rPr>
          <w:rFonts w:hint="eastAsia" w:ascii="宋体" w:hAnsi="宋体" w:eastAsia="宋体" w:cs="宋体"/>
          <w:b w:val="0"/>
          <w:bCs/>
          <w:color w:val="000000"/>
          <w:sz w:val="21"/>
          <w:szCs w:val="21"/>
          <w:highlight w:val="none"/>
        </w:rPr>
        <w:t>商务标评审：商务条款相应确认→价格澄清→商务标评审；评审期间产生的商务价格澄清均由投标人在重汽e采通平台限时内完成提交；</w:t>
      </w:r>
    </w:p>
    <w:p w14:paraId="0662E4D4">
      <w:pPr>
        <w:pStyle w:val="75"/>
        <w:keepNext w:val="0"/>
        <w:keepLines w:val="0"/>
        <w:pageBreakBefore w:val="0"/>
        <w:widowControl w:val="0"/>
        <w:numPr>
          <w:ilvl w:val="0"/>
          <w:numId w:val="17"/>
        </w:numPr>
        <w:kinsoku/>
        <w:wordWrap/>
        <w:overflowPunct/>
        <w:topLinePunct w:val="0"/>
        <w:autoSpaceDE/>
        <w:autoSpaceDN/>
        <w:bidi w:val="0"/>
        <w:adjustRightInd/>
        <w:snapToGrid/>
        <w:ind w:left="10" w:leftChars="0" w:firstLine="0"/>
        <w:textAlignment w:val="auto"/>
        <w:rPr>
          <w:rFonts w:hint="default" w:ascii="宋体" w:hAnsi="宋体" w:eastAsia="宋体" w:cs="宋体"/>
          <w:b w:val="0"/>
          <w:bCs/>
          <w:sz w:val="24"/>
          <w:szCs w:val="24"/>
          <w:highlight w:val="none"/>
          <w:lang w:val="en-US" w:eastAsia="zh-CN"/>
        </w:rPr>
      </w:pPr>
      <w:r>
        <w:rPr>
          <w:rFonts w:hint="eastAsia" w:cs="Times New Roman"/>
          <w:b w:val="0"/>
          <w:bCs/>
          <w:highlight w:val="none"/>
        </w:rPr>
        <w:t>注意：投标人均需要自带笔记本电脑在重汽e采通进行自主投标和提交澄清函；投标和提交澄清函均有时间限制，超时未提交的按无效处理。</w:t>
      </w:r>
    </w:p>
    <w:p w14:paraId="7C0A112D">
      <w:pPr>
        <w:pStyle w:val="72"/>
      </w:pPr>
      <w:r>
        <w:rPr>
          <w:rFonts w:hint="eastAsia"/>
          <w:lang w:val="en-US" w:eastAsia="zh-CN"/>
        </w:rPr>
        <w:t>定标</w:t>
      </w:r>
    </w:p>
    <w:p w14:paraId="6B705137">
      <w:pPr>
        <w:pStyle w:val="72"/>
        <w:keepNext w:val="0"/>
        <w:keepLines w:val="0"/>
        <w:pageBreakBefore w:val="0"/>
        <w:widowControl w:val="0"/>
        <w:numPr>
          <w:ilvl w:val="0"/>
          <w:numId w:val="0"/>
        </w:numPr>
        <w:kinsoku/>
        <w:wordWrap/>
        <w:overflowPunct/>
        <w:topLinePunct w:val="0"/>
        <w:autoSpaceDE/>
        <w:autoSpaceDN/>
        <w:bidi w:val="0"/>
        <w:adjustRightInd/>
        <w:snapToGrid/>
        <w:ind w:leftChars="0" w:firstLine="0" w:firstLineChars="0"/>
        <w:textAlignment w:val="auto"/>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本项目</w:t>
      </w:r>
      <w:r>
        <w:rPr>
          <w:rFonts w:hint="eastAsia" w:ascii="宋体" w:hAnsi="宋体" w:eastAsia="宋体" w:cs="宋体"/>
          <w:b w:val="0"/>
          <w:bCs w:val="0"/>
          <w:sz w:val="21"/>
          <w:szCs w:val="21"/>
          <w:highlight w:val="none"/>
          <w:lang w:val="en-US" w:eastAsia="zh-CN"/>
        </w:rPr>
        <w:t>每个分包不超过2</w:t>
      </w:r>
      <w:r>
        <w:rPr>
          <w:rFonts w:hint="eastAsia" w:ascii="宋体" w:hAnsi="宋体" w:eastAsia="宋体" w:cs="宋体"/>
          <w:b w:val="0"/>
          <w:bCs w:val="0"/>
          <w:sz w:val="21"/>
          <w:szCs w:val="21"/>
          <w:highlight w:val="none"/>
        </w:rPr>
        <w:t>个中标人。中标人签订合同前须进行最终审查。最终审查的对象</w:t>
      </w:r>
      <w:r>
        <w:rPr>
          <w:rFonts w:hint="eastAsia" w:ascii="宋体" w:hAnsi="宋体" w:eastAsia="宋体" w:cs="宋体"/>
          <w:b w:val="0"/>
          <w:bCs w:val="0"/>
          <w:sz w:val="21"/>
          <w:szCs w:val="21"/>
          <w:highlight w:val="none"/>
          <w:lang w:val="en-US" w:eastAsia="zh-CN"/>
        </w:rPr>
        <w:t>是</w:t>
      </w:r>
      <w:r>
        <w:rPr>
          <w:rFonts w:hint="eastAsia" w:ascii="宋体" w:hAnsi="宋体" w:eastAsia="宋体" w:cs="宋体"/>
          <w:b w:val="0"/>
          <w:bCs w:val="0"/>
          <w:sz w:val="21"/>
          <w:szCs w:val="21"/>
          <w:highlight w:val="none"/>
        </w:rPr>
        <w:t>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w:t>
      </w:r>
      <w:r>
        <w:rPr>
          <w:rFonts w:hint="eastAsia" w:ascii="宋体" w:hAnsi="宋体" w:eastAsia="宋体" w:cs="宋体"/>
          <w:b w:val="0"/>
          <w:bCs w:val="0"/>
          <w:sz w:val="21"/>
          <w:szCs w:val="21"/>
          <w:highlight w:val="none"/>
          <w:lang w:val="en-US" w:eastAsia="zh-CN"/>
        </w:rPr>
        <w:t>的</w:t>
      </w:r>
      <w:r>
        <w:rPr>
          <w:rFonts w:hint="eastAsia" w:ascii="宋体" w:hAnsi="宋体" w:eastAsia="宋体" w:cs="宋体"/>
          <w:b w:val="0"/>
          <w:bCs w:val="0"/>
          <w:sz w:val="21"/>
          <w:szCs w:val="21"/>
          <w:highlight w:val="none"/>
        </w:rPr>
        <w:t>，则本次评标作废</w:t>
      </w:r>
      <w:r>
        <w:rPr>
          <w:rFonts w:hint="eastAsia" w:ascii="宋体" w:hAnsi="宋体" w:eastAsia="宋体" w:cs="宋体"/>
          <w:b w:val="0"/>
          <w:bCs w:val="0"/>
          <w:sz w:val="21"/>
          <w:szCs w:val="21"/>
          <w:highlight w:val="none"/>
          <w:lang w:val="en-US" w:eastAsia="zh-CN"/>
        </w:rPr>
        <w:t>或变更意向中标人</w:t>
      </w:r>
      <w:r>
        <w:rPr>
          <w:rFonts w:hint="eastAsia" w:ascii="宋体" w:hAnsi="宋体" w:eastAsia="宋体" w:cs="宋体"/>
          <w:b w:val="0"/>
          <w:bCs w:val="0"/>
          <w:sz w:val="21"/>
          <w:szCs w:val="21"/>
          <w:highlight w:val="none"/>
          <w:lang w:eastAsia="zh-CN"/>
        </w:rPr>
        <w:t>。</w:t>
      </w:r>
    </w:p>
    <w:p w14:paraId="434A2260">
      <w:pPr>
        <w:pStyle w:val="72"/>
      </w:pPr>
      <w:r>
        <w:rPr>
          <w:rFonts w:hint="eastAsia"/>
          <w:lang w:val="en-US" w:eastAsia="zh-CN"/>
        </w:rPr>
        <w:t>废标及终止招标</w:t>
      </w:r>
    </w:p>
    <w:p w14:paraId="2C8EAF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F5A6C5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eastAsia="宋体" w:cs="宋体"/>
          <w:color w:val="000000"/>
          <w:sz w:val="21"/>
          <w:szCs w:val="21"/>
          <w:highlight w:val="none"/>
        </w:rPr>
        <w:t>投标人提供的有关资格、资质证明文件不合格、不真实或提供虚假投标材料；</w:t>
      </w:r>
    </w:p>
    <w:p w14:paraId="3B8EDB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(2)</w:t>
      </w:r>
      <w:r>
        <w:rPr>
          <w:rFonts w:hint="eastAsia" w:ascii="宋体" w:hAnsi="宋体" w:eastAsia="宋体" w:cs="宋体"/>
          <w:color w:val="000000"/>
          <w:sz w:val="21"/>
          <w:szCs w:val="21"/>
          <w:highlight w:val="none"/>
        </w:rPr>
        <w:t>投标人在报价有效期内撤回投标；</w:t>
      </w:r>
    </w:p>
    <w:p w14:paraId="4343009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(3)</w:t>
      </w:r>
      <w:r>
        <w:rPr>
          <w:rFonts w:hint="eastAsia" w:ascii="宋体" w:hAnsi="宋体" w:eastAsia="宋体" w:cs="宋体"/>
          <w:color w:val="000000"/>
          <w:sz w:val="21"/>
          <w:szCs w:val="21"/>
          <w:highlight w:val="none"/>
        </w:rPr>
        <w:t>在整个评标过程中，投标人有企图影响评标结果公正性的任何活动；</w:t>
      </w:r>
    </w:p>
    <w:p w14:paraId="0178F8B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lang w:eastAsia="zh-CN"/>
        </w:rPr>
      </w:pPr>
      <w:r>
        <w:rPr>
          <w:rFonts w:hint="default" w:ascii="宋体" w:hAnsi="宋体" w:eastAsia="宋体" w:cs="宋体"/>
          <w:color w:val="000000"/>
          <w:kern w:val="2"/>
          <w:sz w:val="21"/>
          <w:szCs w:val="21"/>
          <w:lang w:val="en-US" w:eastAsia="zh-CN" w:bidi="ar-SA"/>
        </w:rPr>
        <w:t>(4)</w:t>
      </w:r>
      <w:r>
        <w:rPr>
          <w:rFonts w:hint="eastAsia" w:ascii="宋体" w:hAnsi="宋体" w:eastAsia="宋体" w:cs="宋体"/>
          <w:color w:val="000000"/>
          <w:sz w:val="21"/>
          <w:szCs w:val="21"/>
          <w:highlight w:val="none"/>
        </w:rPr>
        <w:t>投标人以任何方式诋毁其他投标人；</w:t>
      </w:r>
    </w:p>
    <w:p w14:paraId="4A1479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(5)</w:t>
      </w:r>
      <w:r>
        <w:rPr>
          <w:rFonts w:hint="eastAsia" w:ascii="宋体" w:hAnsi="宋体" w:eastAsia="宋体" w:cs="宋体"/>
          <w:color w:val="000000"/>
          <w:sz w:val="21"/>
          <w:szCs w:val="21"/>
          <w:highlight w:val="none"/>
        </w:rPr>
        <w:t>投标人串通投标；</w:t>
      </w:r>
    </w:p>
    <w:p w14:paraId="57D4CDCD">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(6)</w:t>
      </w:r>
      <w:r>
        <w:rPr>
          <w:rFonts w:hint="eastAsia" w:ascii="宋体" w:hAnsi="宋体" w:eastAsia="宋体" w:cs="宋体"/>
          <w:color w:val="000000"/>
          <w:sz w:val="21"/>
          <w:szCs w:val="21"/>
          <w:highlight w:val="none"/>
        </w:rPr>
        <w:t>投标人被举报、检举，并经招标人查实无误的；</w:t>
      </w:r>
    </w:p>
    <w:p w14:paraId="019FF29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(7)</w:t>
      </w:r>
      <w:r>
        <w:rPr>
          <w:rFonts w:hint="eastAsia" w:ascii="宋体" w:hAnsi="宋体" w:eastAsia="宋体" w:cs="宋体"/>
          <w:color w:val="000000"/>
          <w:sz w:val="21"/>
          <w:szCs w:val="21"/>
          <w:highlight w:val="none"/>
        </w:rPr>
        <w:t>以他人名义投标或者以其他方式弄虚作假，骗取中标的；</w:t>
      </w:r>
    </w:p>
    <w:p w14:paraId="7FEF708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(8)</w:t>
      </w:r>
      <w:r>
        <w:rPr>
          <w:rFonts w:hint="eastAsia" w:ascii="宋体" w:hAnsi="宋体" w:eastAsia="宋体" w:cs="宋体"/>
          <w:sz w:val="21"/>
          <w:szCs w:val="21"/>
          <w:highlight w:val="none"/>
        </w:rPr>
        <w:t>投标人负责人为同一人或者存在控股、管理关系的不同单位；</w:t>
      </w:r>
    </w:p>
    <w:p w14:paraId="5DB4D4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(9)</w:t>
      </w:r>
      <w:r>
        <w:rPr>
          <w:rFonts w:hint="eastAsia" w:ascii="宋体" w:hAnsi="宋体" w:eastAsia="宋体" w:cs="宋体"/>
          <w:sz w:val="21"/>
          <w:szCs w:val="21"/>
          <w:highlight w:val="none"/>
        </w:rPr>
        <w:t>有效投标不足三家；</w:t>
      </w:r>
    </w:p>
    <w:p w14:paraId="1AD76C7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(10)</w:t>
      </w:r>
      <w:r>
        <w:rPr>
          <w:rFonts w:hint="eastAsia" w:ascii="宋体" w:hAnsi="宋体" w:eastAsia="宋体" w:cs="宋体"/>
          <w:sz w:val="21"/>
          <w:szCs w:val="21"/>
          <w:highlight w:val="none"/>
        </w:rPr>
        <w:t>不同投标人的投标文件异常一致或者投标报价呈规律性差异的；</w:t>
      </w:r>
    </w:p>
    <w:p w14:paraId="0D7AB83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1</w:t>
      </w:r>
      <w:r>
        <w:rPr>
          <w:rFonts w:hint="default" w:ascii="宋体" w:hAnsi="宋体" w:eastAsia="宋体" w:cs="宋体"/>
          <w:color w:val="000000"/>
          <w:kern w:val="2"/>
          <w:sz w:val="21"/>
          <w:szCs w:val="21"/>
          <w:lang w:val="en-US" w:eastAsia="zh-CN" w:bidi="ar-SA"/>
        </w:rPr>
        <w:t>)</w:t>
      </w:r>
      <w:r>
        <w:rPr>
          <w:rFonts w:hint="eastAsia" w:ascii="宋体" w:hAnsi="宋体" w:eastAsia="宋体" w:cs="宋体"/>
          <w:color w:val="000000"/>
          <w:sz w:val="21"/>
          <w:szCs w:val="21"/>
          <w:highlight w:val="none"/>
        </w:rPr>
        <w:t>未按要求填报商务报价资料，对招标开展造成较大影响；</w:t>
      </w:r>
    </w:p>
    <w:p w14:paraId="46E473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2</w:t>
      </w:r>
      <w:r>
        <w:rPr>
          <w:rFonts w:hint="default" w:ascii="宋体" w:hAnsi="宋体" w:eastAsia="宋体" w:cs="宋体"/>
          <w:color w:val="000000"/>
          <w:kern w:val="2"/>
          <w:sz w:val="21"/>
          <w:szCs w:val="21"/>
          <w:lang w:val="en-US" w:eastAsia="zh-CN" w:bidi="ar-SA"/>
        </w:rPr>
        <w:t>)</w:t>
      </w:r>
      <w:r>
        <w:rPr>
          <w:rFonts w:hint="eastAsia" w:ascii="宋体" w:hAnsi="宋体" w:eastAsia="宋体" w:cs="宋体"/>
          <w:b w:val="0"/>
          <w:bCs w:val="0"/>
          <w:spacing w:val="0"/>
          <w:sz w:val="21"/>
          <w:szCs w:val="21"/>
          <w:highlight w:val="none"/>
          <w:lang w:val="en-US" w:eastAsia="zh-CN"/>
        </w:rPr>
        <w:t>未按照招标人规定的时间内在中国重汽e采通完成投标的；</w:t>
      </w:r>
    </w:p>
    <w:p w14:paraId="2A852CD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color w:val="000000"/>
          <w:sz w:val="21"/>
          <w:szCs w:val="21"/>
          <w:highlight w:val="none"/>
        </w:rPr>
      </w:pPr>
      <w:r>
        <w:rPr>
          <w:rFonts w:hint="default" w:ascii="宋体" w:hAnsi="宋体" w:eastAsia="宋体" w:cs="宋体"/>
          <w:color w:val="000000"/>
          <w:kern w:val="2"/>
          <w:sz w:val="21"/>
          <w:szCs w:val="21"/>
          <w:lang w:val="en-US" w:eastAsia="zh-CN" w:bidi="ar-SA"/>
        </w:rPr>
        <w:t>(1</w:t>
      </w:r>
      <w:r>
        <w:rPr>
          <w:rFonts w:hint="eastAsia" w:ascii="宋体" w:hAnsi="宋体" w:cs="宋体"/>
          <w:color w:val="000000"/>
          <w:kern w:val="2"/>
          <w:sz w:val="21"/>
          <w:szCs w:val="21"/>
          <w:lang w:val="en-US" w:eastAsia="zh-CN" w:bidi="ar-SA"/>
        </w:rPr>
        <w:t>3</w:t>
      </w:r>
      <w:r>
        <w:rPr>
          <w:rFonts w:hint="default" w:ascii="宋体" w:hAnsi="宋体" w:eastAsia="宋体" w:cs="宋体"/>
          <w:color w:val="000000"/>
          <w:kern w:val="2"/>
          <w:sz w:val="21"/>
          <w:szCs w:val="21"/>
          <w:lang w:val="en-US" w:eastAsia="zh-CN" w:bidi="ar-SA"/>
        </w:rPr>
        <w:t>)</w:t>
      </w:r>
      <w:r>
        <w:rPr>
          <w:rFonts w:hint="eastAsia" w:ascii="宋体" w:hAnsi="宋体" w:eastAsia="宋体" w:cs="宋体"/>
          <w:color w:val="000000"/>
          <w:sz w:val="21"/>
          <w:szCs w:val="21"/>
          <w:highlight w:val="none"/>
        </w:rPr>
        <w:t>法律、法规规定的其他情况。</w:t>
      </w:r>
    </w:p>
    <w:p w14:paraId="75E706C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出现下列情形之一，招标人有权否决所有投标人的投标，并终止招标。</w:t>
      </w:r>
    </w:p>
    <w:p w14:paraId="6BC017B6">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right="0" w:rightChars="0" w:firstLine="0" w:firstLineChars="0"/>
        <w:textAlignment w:val="auto"/>
        <w:rPr>
          <w:rFonts w:hint="eastAsia" w:ascii="宋体" w:hAnsi="宋体" w:eastAsia="宋体" w:cs="宋体"/>
          <w:b/>
          <w:bCs/>
          <w:color w:val="FF0000"/>
          <w:sz w:val="18"/>
          <w:szCs w:val="18"/>
          <w:highlight w:val="none"/>
          <w:lang w:eastAsia="zh-CN"/>
        </w:rPr>
      </w:pPr>
      <w:r>
        <w:rPr>
          <w:rFonts w:hint="default" w:ascii="宋体" w:hAnsi="宋体" w:eastAsia="宋体" w:cs="宋体"/>
          <w:b w:val="0"/>
          <w:bCs w:val="0"/>
          <w:color w:val="auto"/>
          <w:kern w:val="2"/>
          <w:sz w:val="21"/>
          <w:szCs w:val="21"/>
          <w:lang w:val="en-US" w:eastAsia="zh-CN" w:bidi="ar-SA"/>
        </w:rPr>
        <w:t>(</w:t>
      </w:r>
      <w:r>
        <w:rPr>
          <w:rFonts w:hint="eastAsia" w:ascii="宋体" w:hAnsi="宋体" w:cs="宋体"/>
          <w:b w:val="0"/>
          <w:bCs w:val="0"/>
          <w:color w:val="auto"/>
          <w:kern w:val="2"/>
          <w:sz w:val="21"/>
          <w:szCs w:val="21"/>
          <w:highlight w:val="none"/>
          <w:lang w:val="en-US" w:eastAsia="zh-CN" w:bidi="ar-SA"/>
        </w:rPr>
        <w:t>1</w:t>
      </w:r>
      <w:r>
        <w:rPr>
          <w:rFonts w:hint="default" w:ascii="宋体" w:hAnsi="宋体" w:eastAsia="宋体" w:cs="宋体"/>
          <w:b w:val="0"/>
          <w:bCs w:val="0"/>
          <w:color w:val="auto"/>
          <w:kern w:val="2"/>
          <w:sz w:val="21"/>
          <w:szCs w:val="21"/>
          <w:highlight w:val="none"/>
          <w:lang w:val="en-US" w:eastAsia="zh-CN" w:bidi="ar-SA"/>
        </w:rPr>
        <w:t>)</w:t>
      </w:r>
      <w:r>
        <w:rPr>
          <w:rFonts w:hint="eastAsia" w:ascii="宋体" w:hAnsi="宋体" w:eastAsia="宋体" w:cs="宋体"/>
          <w:sz w:val="21"/>
          <w:szCs w:val="21"/>
          <w:highlight w:val="none"/>
        </w:rPr>
        <w:t>符合条件的投标人或者对招标文件做实质响应的投标人不足三家的；</w:t>
      </w:r>
    </w:p>
    <w:p w14:paraId="4633ED6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sz w:val="21"/>
          <w:szCs w:val="21"/>
          <w:highlight w:val="none"/>
        </w:rPr>
      </w:pPr>
      <w:r>
        <w:rPr>
          <w:rFonts w:hint="default" w:ascii="宋体" w:hAnsi="宋体" w:eastAsia="宋体" w:cs="宋体"/>
          <w:kern w:val="2"/>
          <w:sz w:val="21"/>
          <w:szCs w:val="21"/>
          <w:lang w:val="en-US" w:eastAsia="zh-CN" w:bidi="ar-SA"/>
        </w:rPr>
        <w:t>(</w:t>
      </w:r>
      <w:r>
        <w:rPr>
          <w:rFonts w:hint="eastAsia" w:ascii="宋体" w:hAnsi="宋体" w:cs="宋体"/>
          <w:kern w:val="2"/>
          <w:sz w:val="21"/>
          <w:szCs w:val="21"/>
          <w:lang w:val="en-US" w:eastAsia="zh-CN" w:bidi="ar-SA"/>
        </w:rPr>
        <w:t>2</w:t>
      </w:r>
      <w:r>
        <w:rPr>
          <w:rFonts w:hint="default" w:ascii="宋体" w:hAnsi="宋体" w:eastAsia="宋体" w:cs="宋体"/>
          <w:kern w:val="2"/>
          <w:sz w:val="21"/>
          <w:szCs w:val="21"/>
          <w:lang w:val="en-US" w:eastAsia="zh-CN" w:bidi="ar-SA"/>
        </w:rPr>
        <w:t>)</w:t>
      </w:r>
      <w:r>
        <w:rPr>
          <w:rFonts w:hint="eastAsia" w:ascii="宋体" w:hAnsi="宋体" w:eastAsia="宋体" w:cs="宋体"/>
          <w:sz w:val="21"/>
          <w:szCs w:val="21"/>
          <w:highlight w:val="none"/>
        </w:rPr>
        <w:t>出现影响采购公正的违法、违规行为的；</w:t>
      </w:r>
    </w:p>
    <w:p w14:paraId="3D9449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3</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评标委员会经评审，认为所有投标都不符合招标文件要求的；</w:t>
      </w:r>
    </w:p>
    <w:p w14:paraId="1872B765">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right="2" w:righ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ascii="宋体" w:hAnsi="宋体" w:cs="宋体"/>
          <w:bCs/>
          <w:kern w:val="2"/>
          <w:sz w:val="21"/>
          <w:szCs w:val="21"/>
          <w:lang w:val="en-US" w:eastAsia="zh-CN" w:bidi="ar-SA"/>
        </w:rPr>
        <w:t>4</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因重大变故，采购任务取消的</w:t>
      </w:r>
      <w:bookmarkStart w:id="14" w:name="OLE_LINK25"/>
      <w:bookmarkStart w:id="15" w:name="OLE_LINK27"/>
      <w:bookmarkStart w:id="16" w:name="OLE_LINK26"/>
      <w:bookmarkStart w:id="17" w:name="OLE_LINK28"/>
      <w:bookmarkStart w:id="18" w:name="OLE_LINK29"/>
      <w:r>
        <w:rPr>
          <w:rFonts w:hint="eastAsia" w:ascii="宋体" w:hAnsi="宋体" w:eastAsia="宋体" w:cs="宋体"/>
          <w:bCs/>
          <w:sz w:val="21"/>
          <w:szCs w:val="21"/>
          <w:highlight w:val="none"/>
        </w:rPr>
        <w:t>；</w:t>
      </w:r>
      <w:bookmarkEnd w:id="14"/>
      <w:bookmarkEnd w:id="15"/>
      <w:bookmarkEnd w:id="16"/>
      <w:bookmarkEnd w:id="17"/>
      <w:bookmarkEnd w:id="18"/>
    </w:p>
    <w:p w14:paraId="5CD1D199">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425" w:leftChars="0" w:hanging="425" w:firstLineChars="0"/>
        <w:textAlignment w:val="auto"/>
        <w:rPr>
          <w:rFonts w:hint="eastAsia" w:ascii="宋体" w:hAnsi="宋体" w:eastAsia="宋体" w:cs="宋体"/>
          <w:bCs/>
          <w:sz w:val="21"/>
          <w:szCs w:val="21"/>
          <w:highlight w:val="none"/>
        </w:rPr>
      </w:pPr>
      <w:r>
        <w:rPr>
          <w:rFonts w:hint="default" w:ascii="宋体" w:hAnsi="宋体" w:eastAsia="宋体" w:cs="宋体"/>
          <w:bCs/>
          <w:kern w:val="2"/>
          <w:sz w:val="21"/>
          <w:szCs w:val="21"/>
          <w:lang w:val="en-US" w:eastAsia="zh-CN" w:bidi="ar-SA"/>
        </w:rPr>
        <w:t>(</w:t>
      </w:r>
      <w:r>
        <w:rPr>
          <w:rFonts w:hint="eastAsia" w:hAnsi="宋体" w:cs="宋体"/>
          <w:bCs/>
          <w:kern w:val="2"/>
          <w:sz w:val="21"/>
          <w:szCs w:val="21"/>
          <w:lang w:val="en-US" w:eastAsia="zh-CN" w:bidi="ar-SA"/>
        </w:rPr>
        <w:t>5</w:t>
      </w:r>
      <w:r>
        <w:rPr>
          <w:rFonts w:hint="default" w:ascii="宋体" w:hAnsi="宋体" w:eastAsia="宋体" w:cs="宋体"/>
          <w:bCs/>
          <w:kern w:val="2"/>
          <w:sz w:val="21"/>
          <w:szCs w:val="21"/>
          <w:lang w:val="en-US" w:eastAsia="zh-CN" w:bidi="ar-SA"/>
        </w:rPr>
        <w:t>)</w:t>
      </w:r>
      <w:r>
        <w:rPr>
          <w:rFonts w:hint="eastAsia" w:ascii="宋体" w:hAnsi="宋体" w:eastAsia="宋体" w:cs="宋体"/>
          <w:bCs/>
          <w:sz w:val="21"/>
          <w:szCs w:val="21"/>
          <w:highlight w:val="none"/>
        </w:rPr>
        <w:t>招标人认为其他应终止招标的情形。</w:t>
      </w:r>
    </w:p>
    <w:p w14:paraId="24E6827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textAlignment w:val="auto"/>
        <w:rPr>
          <w:sz w:val="21"/>
          <w:szCs w:val="21"/>
        </w:rPr>
      </w:pPr>
      <w:r>
        <w:rPr>
          <w:rFonts w:hint="eastAsia" w:ascii="宋体" w:hAnsi="宋体" w:eastAsia="宋体" w:cs="宋体"/>
          <w:kern w:val="2"/>
          <w:sz w:val="21"/>
          <w:szCs w:val="21"/>
          <w:lang w:val="en-US" w:eastAsia="zh-CN" w:bidi="ar-SA"/>
        </w:rPr>
        <w:t>3</w:t>
      </w:r>
      <w:r>
        <w:rPr>
          <w:rFonts w:hint="default" w:ascii="Times New Roman" w:hAnsi="Times New Roman" w:eastAsia="宋体" w:cs="Times New Roman"/>
          <w:kern w:val="2"/>
          <w:sz w:val="21"/>
          <w:szCs w:val="21"/>
          <w:lang w:val="en-US" w:eastAsia="zh-CN" w:bidi="ar-SA"/>
        </w:rPr>
        <w:t>.</w:t>
      </w:r>
      <w:r>
        <w:rPr>
          <w:rFonts w:hint="eastAsia" w:ascii="宋体" w:hAnsi="宋体" w:eastAsia="宋体" w:cs="宋体"/>
          <w:color w:val="000000"/>
          <w:sz w:val="21"/>
          <w:szCs w:val="21"/>
          <w:highlight w:val="none"/>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E00D4EE">
      <w:pPr>
        <w:pStyle w:val="72"/>
      </w:pPr>
      <w:r>
        <w:rPr>
          <w:rFonts w:hint="eastAsia"/>
          <w:lang w:val="en-US" w:eastAsia="zh-CN"/>
        </w:rPr>
        <w:t>合同签订</w:t>
      </w:r>
    </w:p>
    <w:p w14:paraId="470297F8">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1.招标人根据评标工作小组的评标结果确定中标人，在重汽e采通平台公布中标结果，并发送中标通知。</w:t>
      </w:r>
    </w:p>
    <w:p w14:paraId="13B36870">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2.中标人应该在中标通知书规定的时间、地点与招标人签订采购合同，否则按照开标后撤回投标处理。</w:t>
      </w:r>
    </w:p>
    <w:p w14:paraId="247515F9">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color w:val="000000"/>
          <w:sz w:val="21"/>
          <w:szCs w:val="21"/>
        </w:rPr>
      </w:pPr>
      <w:r>
        <w:rPr>
          <w:rFonts w:hint="eastAsia" w:ascii="宋体" w:hAnsi="宋体" w:cs="宋体"/>
          <w:color w:val="000000"/>
          <w:sz w:val="21"/>
          <w:szCs w:val="21"/>
        </w:rPr>
        <w:t>3.中标人应当按照合同约定的履约责任，在保证质量的前提下完成中标项目，不得将中标项目转包或分包给他人，否则视为违约，招标人有权解除合同。</w:t>
      </w:r>
    </w:p>
    <w:p w14:paraId="71A3F1F6">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ascii="宋体" w:hAnsi="宋体" w:cs="宋体"/>
          <w:b/>
          <w:sz w:val="21"/>
          <w:szCs w:val="21"/>
        </w:rPr>
      </w:pPr>
      <w:r>
        <w:rPr>
          <w:rFonts w:hint="eastAsia" w:ascii="宋体" w:hAnsi="宋体" w:cs="宋体"/>
          <w:b/>
          <w:sz w:val="21"/>
          <w:szCs w:val="21"/>
        </w:rPr>
        <w:t>4.中标人由于履行义务的能力或信用有严重缺陷，招标人有权取消其中标资格，招标人将从中标候选单位中依序重新确定中标人，或重新组织招标；</w:t>
      </w:r>
    </w:p>
    <w:p w14:paraId="4B1A7D9C">
      <w:pPr>
        <w:keepNext w:val="0"/>
        <w:keepLines w:val="0"/>
        <w:pageBreakBefore w:val="0"/>
        <w:widowControl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000000"/>
          <w:sz w:val="21"/>
          <w:szCs w:val="21"/>
          <w:highlight w:val="none"/>
        </w:rPr>
      </w:pPr>
      <w:r>
        <w:rPr>
          <w:rFonts w:hint="eastAsia" w:ascii="宋体" w:hAnsi="宋体" w:cs="宋体"/>
          <w:b/>
          <w:sz w:val="21"/>
          <w:szCs w:val="21"/>
        </w:rPr>
        <w:t>5.合同以双方最终签署的版本为准</w:t>
      </w:r>
      <w:r>
        <w:rPr>
          <w:rFonts w:hint="eastAsia" w:ascii="宋体" w:hAnsi="宋体" w:cs="宋体"/>
          <w:b/>
          <w:sz w:val="21"/>
          <w:szCs w:val="21"/>
          <w:lang w:eastAsia="zh-CN"/>
        </w:rPr>
        <w:t>，</w:t>
      </w:r>
      <w:r>
        <w:rPr>
          <w:rFonts w:hint="eastAsia" w:ascii="宋体" w:hAnsi="宋体" w:cs="宋体"/>
          <w:b/>
          <w:sz w:val="21"/>
          <w:szCs w:val="21"/>
          <w:lang w:val="en-US" w:eastAsia="zh-CN"/>
        </w:rPr>
        <w:t>附件见6、7，不允许变偏离</w:t>
      </w:r>
      <w:r>
        <w:rPr>
          <w:rFonts w:hint="eastAsia" w:ascii="宋体" w:hAnsi="宋体" w:cs="宋体"/>
          <w:b/>
          <w:sz w:val="21"/>
          <w:szCs w:val="21"/>
        </w:rPr>
        <w:t>。</w:t>
      </w:r>
    </w:p>
    <w:p w14:paraId="610E8BB3">
      <w:pPr>
        <w:pStyle w:val="72"/>
      </w:pPr>
      <w:r>
        <w:rPr>
          <w:rFonts w:hint="eastAsia"/>
          <w:lang w:val="en-US" w:eastAsia="zh-CN"/>
        </w:rPr>
        <w:t>交货及付款</w:t>
      </w:r>
    </w:p>
    <w:p w14:paraId="4E880BD9">
      <w:pPr>
        <w:pStyle w:val="72"/>
        <w:numPr>
          <w:ilvl w:val="0"/>
          <w:numId w:val="22"/>
        </w:numPr>
        <w:ind w:left="425" w:leftChars="0" w:hanging="425" w:firstLineChars="0"/>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rPr>
        <w:t>付款方式</w:t>
      </w:r>
      <w:r>
        <w:rPr>
          <w:rFonts w:hint="eastAsia" w:ascii="宋体" w:hAnsi="宋体" w:eastAsia="宋体" w:cs="宋体"/>
          <w:b/>
          <w:bCs/>
          <w:sz w:val="21"/>
          <w:szCs w:val="21"/>
          <w:highlight w:val="none"/>
          <w:lang w:eastAsia="zh-CN"/>
        </w:rPr>
        <w:t>：银行转账</w:t>
      </w:r>
    </w:p>
    <w:p w14:paraId="142DB7A2">
      <w:pPr>
        <w:pStyle w:val="72"/>
        <w:numPr>
          <w:ilvl w:val="0"/>
          <w:numId w:val="22"/>
        </w:numPr>
        <w:ind w:left="425" w:leftChars="0" w:hanging="425" w:firstLineChars="0"/>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付款节点：</w:t>
      </w:r>
      <w:r>
        <w:rPr>
          <w:rFonts w:hint="eastAsia" w:ascii="宋体" w:hAnsi="宋体" w:eastAsia="宋体" w:cs="宋体"/>
          <w:b/>
          <w:bCs/>
          <w:sz w:val="21"/>
          <w:szCs w:val="21"/>
          <w:highlight w:val="none"/>
        </w:rPr>
        <w:t>100%：乙方完成甲方的需求，乙方开具合同价款100%的发票，经甲方核对无误后</w:t>
      </w:r>
      <w:r>
        <w:rPr>
          <w:rFonts w:hint="eastAsia" w:ascii="宋体" w:hAnsi="宋体" w:eastAsia="宋体" w:cs="宋体"/>
          <w:b/>
          <w:bCs/>
          <w:sz w:val="21"/>
          <w:szCs w:val="21"/>
          <w:highlight w:val="none"/>
          <w:lang w:val="en-US" w:eastAsia="zh-CN"/>
        </w:rPr>
        <w:t>每季度结算一次</w:t>
      </w:r>
      <w:r>
        <w:rPr>
          <w:rFonts w:hint="eastAsia" w:ascii="宋体" w:hAnsi="宋体" w:eastAsia="宋体" w:cs="宋体"/>
          <w:b/>
          <w:bCs/>
          <w:sz w:val="21"/>
          <w:szCs w:val="21"/>
          <w:highlight w:val="none"/>
        </w:rPr>
        <w:t>。</w:t>
      </w:r>
    </w:p>
    <w:p w14:paraId="11A96CBD">
      <w:pPr>
        <w:pStyle w:val="72"/>
        <w:rPr>
          <w:rFonts w:hint="eastAsia"/>
          <w:lang w:val="en-US" w:eastAsia="zh-CN"/>
        </w:rPr>
      </w:pPr>
      <w:r>
        <w:rPr>
          <w:rFonts w:hint="eastAsia"/>
          <w:lang w:val="en-US" w:eastAsia="zh-CN"/>
        </w:rPr>
        <w:t>履约保证金</w:t>
      </w:r>
    </w:p>
    <w:p w14:paraId="00EF87AF">
      <w:pPr>
        <w:pStyle w:val="72"/>
        <w:numPr>
          <w:ilvl w:val="0"/>
          <w:numId w:val="0"/>
        </w:numPr>
        <w:ind w:leftChars="0"/>
        <w:rPr>
          <w:rFonts w:hint="eastAsia" w:ascii="宋体" w:hAnsi="宋体" w:eastAsia="宋体" w:cs="宋体"/>
          <w:sz w:val="21"/>
          <w:szCs w:val="21"/>
          <w:lang w:val="en-US" w:eastAsia="zh-CN"/>
        </w:rPr>
      </w:pPr>
      <w:r>
        <w:rPr>
          <w:rFonts w:hint="eastAsia" w:ascii="宋体" w:hAnsi="宋体" w:eastAsia="宋体" w:cs="宋体"/>
          <w:sz w:val="21"/>
          <w:szCs w:val="21"/>
          <w:highlight w:val="none"/>
          <w:lang w:val="en-US" w:eastAsia="zh-CN"/>
        </w:rPr>
        <w:t>履约保证金视中标项目预算金额不同，30万-100万不等。</w:t>
      </w:r>
    </w:p>
    <w:p w14:paraId="6E0D7439">
      <w:pPr>
        <w:pStyle w:val="72"/>
        <w:rPr>
          <w:rFonts w:hint="eastAsia"/>
          <w:lang w:val="en-US" w:eastAsia="zh-CN"/>
        </w:rPr>
      </w:pPr>
      <w:r>
        <w:rPr>
          <w:rFonts w:hint="eastAsia"/>
          <w:lang w:val="en-US" w:eastAsia="zh-CN"/>
        </w:rPr>
        <w:t>本次招标最终解释权归中国重汽集团</w:t>
      </w:r>
      <w:r>
        <w:rPr>
          <w:rFonts w:hint="eastAsia"/>
          <w:u w:val="single"/>
          <w:lang w:val="en-US" w:eastAsia="zh-CN"/>
        </w:rPr>
        <w:t>国际</w:t>
      </w:r>
      <w:r>
        <w:rPr>
          <w:rFonts w:hint="eastAsia"/>
          <w:lang w:val="en-US" w:eastAsia="zh-CN"/>
        </w:rPr>
        <w:t>有限公司。</w:t>
      </w:r>
    </w:p>
    <w:p w14:paraId="260D6138">
      <w:pPr>
        <w:pStyle w:val="76"/>
      </w:pPr>
    </w:p>
    <w:p w14:paraId="083C985F">
      <w:pPr>
        <w:keepNext w:val="0"/>
        <w:keepLines w:val="0"/>
        <w:pageBreakBefore w:val="0"/>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附件：</w:t>
      </w:r>
    </w:p>
    <w:p w14:paraId="5304817C">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分包项目明细</w:t>
      </w:r>
    </w:p>
    <w:p w14:paraId="0C3BB16D">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报价单</w:t>
      </w:r>
    </w:p>
    <w:p w14:paraId="5C797BBE">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w:t>
      </w:r>
      <w:r>
        <w:rPr>
          <w:rFonts w:hint="eastAsia" w:ascii="宋体" w:hAnsi="宋体" w:eastAsia="宋体" w:cs="宋体"/>
          <w:sz w:val="21"/>
          <w:szCs w:val="21"/>
          <w:highlight w:val="none"/>
          <w:lang w:val="en-US" w:eastAsia="zh-CN"/>
        </w:rPr>
        <w:t>及</w:t>
      </w:r>
      <w:r>
        <w:rPr>
          <w:rFonts w:hint="eastAsia" w:ascii="宋体" w:hAnsi="宋体" w:eastAsia="宋体" w:cs="宋体"/>
          <w:sz w:val="21"/>
          <w:szCs w:val="21"/>
          <w:highlight w:val="none"/>
        </w:rPr>
        <w:t>授权委托书</w:t>
      </w:r>
    </w:p>
    <w:p w14:paraId="527B9AFD">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投标人情况一览表</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港口/口岸/济南保税区/证书代办/进口货运</w:t>
      </w:r>
      <w:r>
        <w:rPr>
          <w:rFonts w:hint="eastAsia" w:ascii="宋体" w:hAnsi="宋体" w:eastAsia="宋体" w:cs="宋体"/>
          <w:sz w:val="21"/>
          <w:szCs w:val="21"/>
          <w:highlight w:val="none"/>
          <w:lang w:eastAsia="zh-CN"/>
        </w:rPr>
        <w:t>）</w:t>
      </w:r>
    </w:p>
    <w:p w14:paraId="197E85A0">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技术标</w:t>
      </w:r>
      <w:r>
        <w:rPr>
          <w:rFonts w:hint="eastAsia" w:ascii="宋体" w:hAnsi="宋体" w:eastAsia="宋体" w:cs="宋体"/>
          <w:sz w:val="21"/>
          <w:szCs w:val="21"/>
          <w:highlight w:val="none"/>
        </w:rPr>
        <w:t>评标标准</w:t>
      </w:r>
    </w:p>
    <w:p w14:paraId="125C2DF9">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重汽国际地面代理操作细则</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港口/口岸/其它</w:t>
      </w:r>
      <w:r>
        <w:rPr>
          <w:rFonts w:hint="eastAsia" w:ascii="宋体" w:hAnsi="宋体" w:eastAsia="宋体" w:cs="宋体"/>
          <w:sz w:val="21"/>
          <w:szCs w:val="21"/>
          <w:highlight w:val="none"/>
          <w:lang w:eastAsia="zh-CN"/>
        </w:rPr>
        <w:t>）</w:t>
      </w:r>
    </w:p>
    <w:p w14:paraId="15122264">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年度代理协议</w:t>
      </w:r>
      <w:r>
        <w:rPr>
          <w:rFonts w:hint="eastAsia" w:ascii="宋体" w:hAnsi="宋体" w:eastAsia="宋体" w:cs="宋体"/>
          <w:sz w:val="21"/>
          <w:szCs w:val="21"/>
          <w:highlight w:val="none"/>
          <w:lang w:val="en-US" w:eastAsia="zh-CN"/>
        </w:rPr>
        <w:t>模板</w:t>
      </w:r>
    </w:p>
    <w:p w14:paraId="75FB62EE">
      <w:pPr>
        <w:keepNext w:val="0"/>
        <w:keepLines w:val="0"/>
        <w:pageBreakBefore w:val="0"/>
        <w:numPr>
          <w:ilvl w:val="0"/>
          <w:numId w:val="23"/>
        </w:numPr>
        <w:kinsoku/>
        <w:wordWrap/>
        <w:overflowPunct/>
        <w:topLinePunct w:val="0"/>
        <w:autoSpaceDE/>
        <w:bidi w:val="0"/>
        <w:adjustRightInd/>
        <w:spacing w:line="160" w:lineRule="atLeast"/>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贸易安全自查表 </w:t>
      </w:r>
    </w:p>
    <w:p w14:paraId="23E75332">
      <w:pPr>
        <w:pStyle w:val="76"/>
        <w:rPr>
          <w:rFonts w:hint="default" w:hAnsi="宋体"/>
          <w:sz w:val="24"/>
          <w:lang w:val="en-US"/>
        </w:rPr>
      </w:pPr>
    </w:p>
    <w:p w14:paraId="2721D78E">
      <w:pPr>
        <w:pStyle w:val="76"/>
        <w:rPr>
          <w:rFonts w:hint="default" w:hAnsi="宋体"/>
          <w:sz w:val="24"/>
          <w:lang w:val="en-US"/>
        </w:rPr>
      </w:pPr>
    </w:p>
    <w:p w14:paraId="35016436">
      <w:pPr>
        <w:pStyle w:val="76"/>
        <w:rPr>
          <w:rFonts w:hint="default" w:hAnsi="宋体"/>
          <w:sz w:val="24"/>
          <w:lang w:val="en-US"/>
        </w:rPr>
      </w:pPr>
    </w:p>
    <w:p w14:paraId="62455239">
      <w:pPr>
        <w:pStyle w:val="76"/>
        <w:rPr>
          <w:rFonts w:hint="default" w:hAnsi="宋体"/>
          <w:sz w:val="24"/>
          <w:lang w:val="en-US"/>
        </w:rPr>
      </w:pPr>
    </w:p>
    <w:p w14:paraId="587DA1CA">
      <w:pPr>
        <w:pStyle w:val="76"/>
        <w:rPr>
          <w:rFonts w:hint="default" w:hAnsi="宋体"/>
          <w:sz w:val="24"/>
          <w:lang w:val="en-US"/>
        </w:rPr>
      </w:pPr>
    </w:p>
    <w:p w14:paraId="402CD667">
      <w:pPr>
        <w:pStyle w:val="76"/>
        <w:rPr>
          <w:rFonts w:hint="default" w:hAnsi="宋体"/>
          <w:sz w:val="24"/>
          <w:lang w:val="en-US"/>
        </w:rPr>
      </w:pPr>
    </w:p>
    <w:p w14:paraId="6681C016">
      <w:pPr>
        <w:pStyle w:val="76"/>
        <w:rPr>
          <w:rFonts w:hint="default" w:hAnsi="宋体"/>
          <w:sz w:val="24"/>
          <w:lang w:val="en-US"/>
        </w:rPr>
      </w:pPr>
    </w:p>
    <w:p w14:paraId="0447EEF0">
      <w:pPr>
        <w:pStyle w:val="76"/>
        <w:rPr>
          <w:rFonts w:hint="default" w:hAnsi="宋体"/>
          <w:sz w:val="24"/>
          <w:lang w:val="en-US"/>
        </w:rPr>
      </w:pPr>
    </w:p>
    <w:p w14:paraId="3EA45133">
      <w:pPr>
        <w:pStyle w:val="76"/>
        <w:rPr>
          <w:rFonts w:hint="default" w:hAnsi="宋体"/>
          <w:sz w:val="24"/>
          <w:lang w:val="en-US"/>
        </w:rPr>
      </w:pPr>
    </w:p>
    <w:p w14:paraId="3606A0B0">
      <w:pPr>
        <w:pStyle w:val="76"/>
        <w:rPr>
          <w:rFonts w:hint="default" w:hAnsi="宋体"/>
          <w:sz w:val="24"/>
          <w:lang w:val="en-US"/>
        </w:rPr>
      </w:pPr>
    </w:p>
    <w:p w14:paraId="0C4B453D">
      <w:pPr>
        <w:rPr>
          <w:rFonts w:hint="eastAsia" w:hAnsi="宋体"/>
          <w:sz w:val="24"/>
          <w:lang w:val="en-US" w:eastAsia="zh-CN"/>
        </w:rPr>
      </w:pPr>
      <w:r>
        <w:rPr>
          <w:rFonts w:hint="eastAsia" w:hAnsi="宋体"/>
          <w:sz w:val="24"/>
          <w:lang w:val="en-US" w:eastAsia="zh-CN"/>
        </w:rPr>
        <w:br w:type="page"/>
      </w:r>
    </w:p>
    <w:p w14:paraId="726DB8B9">
      <w:pPr>
        <w:pStyle w:val="76"/>
        <w:rPr>
          <w:rFonts w:hint="eastAsia" w:hAnsi="宋体"/>
          <w:sz w:val="24"/>
          <w:lang w:val="en-US" w:eastAsia="zh-CN"/>
        </w:rPr>
      </w:pPr>
      <w:r>
        <w:rPr>
          <w:rFonts w:hint="eastAsia" w:hAnsi="宋体"/>
          <w:sz w:val="24"/>
          <w:lang w:val="en-US" w:eastAsia="zh-CN"/>
        </w:rPr>
        <w:t>附件1</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9"/>
        <w:gridCol w:w="1135"/>
        <w:gridCol w:w="2074"/>
        <w:gridCol w:w="1748"/>
        <w:gridCol w:w="2380"/>
      </w:tblGrid>
      <w:tr w14:paraId="2B34C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297F84E8">
            <w:pPr>
              <w:rPr>
                <w:rFonts w:hint="default"/>
                <w:vertAlign w:val="baseline"/>
                <w:lang w:val="en-US" w:eastAsia="zh-CN"/>
              </w:rPr>
            </w:pPr>
            <w:r>
              <w:rPr>
                <w:rFonts w:hint="eastAsia"/>
                <w:vertAlign w:val="baseline"/>
                <w:lang w:val="en-US" w:eastAsia="zh-CN"/>
              </w:rPr>
              <w:t>序号</w:t>
            </w:r>
          </w:p>
        </w:tc>
        <w:tc>
          <w:tcPr>
            <w:tcW w:w="1135" w:type="dxa"/>
          </w:tcPr>
          <w:p w14:paraId="54DB542E">
            <w:pPr>
              <w:rPr>
                <w:rFonts w:hint="default"/>
                <w:vertAlign w:val="baseline"/>
                <w:lang w:val="en-US" w:eastAsia="zh-CN"/>
              </w:rPr>
            </w:pPr>
            <w:r>
              <w:rPr>
                <w:rFonts w:hint="eastAsia"/>
                <w:vertAlign w:val="baseline"/>
                <w:lang w:val="en-US" w:eastAsia="zh-CN"/>
              </w:rPr>
              <w:t>分包项目</w:t>
            </w:r>
          </w:p>
        </w:tc>
        <w:tc>
          <w:tcPr>
            <w:tcW w:w="2074" w:type="dxa"/>
          </w:tcPr>
          <w:p w14:paraId="227D989D">
            <w:pPr>
              <w:rPr>
                <w:rFonts w:hint="default"/>
                <w:vertAlign w:val="baseline"/>
                <w:lang w:val="en-US" w:eastAsia="zh-CN"/>
              </w:rPr>
            </w:pPr>
            <w:r>
              <w:rPr>
                <w:rFonts w:hint="eastAsia"/>
                <w:vertAlign w:val="baseline"/>
                <w:lang w:val="en-US" w:eastAsia="zh-CN"/>
              </w:rPr>
              <w:t>船型</w:t>
            </w:r>
          </w:p>
        </w:tc>
        <w:tc>
          <w:tcPr>
            <w:tcW w:w="1748" w:type="dxa"/>
          </w:tcPr>
          <w:p w14:paraId="36F2F20E">
            <w:pPr>
              <w:rPr>
                <w:rFonts w:hint="default"/>
                <w:vertAlign w:val="baseline"/>
                <w:lang w:val="en-US" w:eastAsia="zh-CN"/>
              </w:rPr>
            </w:pPr>
            <w:r>
              <w:rPr>
                <w:rFonts w:hint="eastAsia"/>
                <w:vertAlign w:val="baseline"/>
                <w:lang w:val="en-US" w:eastAsia="zh-CN"/>
              </w:rPr>
              <w:t>业绩要求</w:t>
            </w:r>
          </w:p>
        </w:tc>
        <w:tc>
          <w:tcPr>
            <w:tcW w:w="2380" w:type="dxa"/>
          </w:tcPr>
          <w:p w14:paraId="0FEA2B26">
            <w:pPr>
              <w:rPr>
                <w:rFonts w:hint="default"/>
                <w:vertAlign w:val="baseline"/>
                <w:lang w:val="en-US" w:eastAsia="zh-CN"/>
              </w:rPr>
            </w:pPr>
            <w:r>
              <w:rPr>
                <w:rFonts w:hint="eastAsia"/>
                <w:vertAlign w:val="baseline"/>
                <w:lang w:val="en-US" w:eastAsia="zh-CN"/>
              </w:rPr>
              <w:t>开标时间</w:t>
            </w:r>
          </w:p>
        </w:tc>
      </w:tr>
      <w:tr w14:paraId="7CE1C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7CD7B00C">
            <w:pPr>
              <w:rPr>
                <w:rFonts w:hint="default"/>
                <w:vertAlign w:val="baseline"/>
                <w:lang w:val="en-US" w:eastAsia="zh-CN"/>
              </w:rPr>
            </w:pPr>
            <w:r>
              <w:rPr>
                <w:rFonts w:hint="eastAsia"/>
                <w:vertAlign w:val="baseline"/>
                <w:lang w:val="en-US" w:eastAsia="zh-CN"/>
              </w:rPr>
              <w:t>1</w:t>
            </w:r>
          </w:p>
        </w:tc>
        <w:tc>
          <w:tcPr>
            <w:tcW w:w="1135" w:type="dxa"/>
          </w:tcPr>
          <w:p w14:paraId="7D5FBC70">
            <w:pPr>
              <w:rPr>
                <w:rFonts w:hint="default"/>
                <w:vertAlign w:val="baseline"/>
                <w:lang w:val="en-US" w:eastAsia="zh-CN"/>
              </w:rPr>
            </w:pPr>
            <w:r>
              <w:rPr>
                <w:rFonts w:hint="eastAsia"/>
                <w:vertAlign w:val="baseline"/>
                <w:lang w:val="en-US" w:eastAsia="zh-CN"/>
              </w:rPr>
              <w:t>青岛</w:t>
            </w:r>
          </w:p>
        </w:tc>
        <w:tc>
          <w:tcPr>
            <w:tcW w:w="2074" w:type="dxa"/>
          </w:tcPr>
          <w:p w14:paraId="78E86C3C">
            <w:pPr>
              <w:rPr>
                <w:rFonts w:hint="default"/>
                <w:vertAlign w:val="baseline"/>
                <w:lang w:val="en-US" w:eastAsia="zh-CN"/>
              </w:rPr>
            </w:pPr>
            <w:r>
              <w:rPr>
                <w:rFonts w:hint="eastAsia"/>
                <w:vertAlign w:val="baseline"/>
                <w:lang w:val="en-US" w:eastAsia="zh-CN"/>
              </w:rPr>
              <w:t>滚装、杂货</w:t>
            </w:r>
          </w:p>
        </w:tc>
        <w:tc>
          <w:tcPr>
            <w:tcW w:w="1748" w:type="dxa"/>
          </w:tcPr>
          <w:p w14:paraId="4146E2F6">
            <w:pPr>
              <w:rPr>
                <w:rFonts w:hint="default"/>
                <w:vertAlign w:val="baseline"/>
                <w:lang w:val="en-US" w:eastAsia="zh-CN"/>
              </w:rPr>
            </w:pPr>
            <w:r>
              <w:rPr>
                <w:rFonts w:hint="eastAsia"/>
                <w:vertAlign w:val="baseline"/>
                <w:lang w:val="en-US" w:eastAsia="zh-CN"/>
              </w:rPr>
              <w:t>500台以上</w:t>
            </w:r>
          </w:p>
        </w:tc>
        <w:tc>
          <w:tcPr>
            <w:tcW w:w="2380" w:type="dxa"/>
          </w:tcPr>
          <w:p w14:paraId="78B1748C">
            <w:pPr>
              <w:rPr>
                <w:rFonts w:hint="default"/>
                <w:vertAlign w:val="baseline"/>
                <w:lang w:val="en-US" w:eastAsia="zh-CN"/>
              </w:rPr>
            </w:pPr>
            <w:r>
              <w:rPr>
                <w:rFonts w:hint="eastAsia"/>
                <w:vertAlign w:val="baseline"/>
                <w:lang w:val="en-US" w:eastAsia="zh-CN"/>
              </w:rPr>
              <w:t>10月8日</w:t>
            </w:r>
          </w:p>
        </w:tc>
      </w:tr>
      <w:tr w14:paraId="218957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5F37A330">
            <w:pPr>
              <w:rPr>
                <w:rFonts w:hint="default"/>
                <w:vertAlign w:val="baseline"/>
                <w:lang w:val="en-US" w:eastAsia="zh-CN"/>
              </w:rPr>
            </w:pPr>
            <w:r>
              <w:rPr>
                <w:rFonts w:hint="eastAsia"/>
                <w:vertAlign w:val="baseline"/>
                <w:lang w:val="en-US" w:eastAsia="zh-CN"/>
              </w:rPr>
              <w:t>2</w:t>
            </w:r>
          </w:p>
        </w:tc>
        <w:tc>
          <w:tcPr>
            <w:tcW w:w="1135" w:type="dxa"/>
          </w:tcPr>
          <w:p w14:paraId="669F2783">
            <w:pPr>
              <w:rPr>
                <w:rFonts w:hint="default"/>
                <w:vertAlign w:val="baseline"/>
                <w:lang w:val="en-US" w:eastAsia="zh-CN"/>
              </w:rPr>
            </w:pPr>
            <w:r>
              <w:rPr>
                <w:rFonts w:hint="eastAsia"/>
                <w:vertAlign w:val="baseline"/>
                <w:lang w:val="en-US" w:eastAsia="zh-CN"/>
              </w:rPr>
              <w:t>日照</w:t>
            </w:r>
          </w:p>
        </w:tc>
        <w:tc>
          <w:tcPr>
            <w:tcW w:w="2074" w:type="dxa"/>
          </w:tcPr>
          <w:p w14:paraId="1887C227">
            <w:pPr>
              <w:rPr>
                <w:rFonts w:hint="default"/>
                <w:vertAlign w:val="baseline"/>
                <w:lang w:val="en-US" w:eastAsia="zh-CN"/>
              </w:rPr>
            </w:pPr>
            <w:r>
              <w:rPr>
                <w:rFonts w:hint="eastAsia"/>
                <w:vertAlign w:val="baseline"/>
                <w:lang w:val="en-US" w:eastAsia="zh-CN"/>
              </w:rPr>
              <w:t>滚装、杂货</w:t>
            </w:r>
          </w:p>
        </w:tc>
        <w:tc>
          <w:tcPr>
            <w:tcW w:w="1748" w:type="dxa"/>
          </w:tcPr>
          <w:p w14:paraId="60447F70">
            <w:pPr>
              <w:rPr>
                <w:rFonts w:hint="default"/>
                <w:vertAlign w:val="baseline"/>
                <w:lang w:val="en-US" w:eastAsia="zh-CN"/>
              </w:rPr>
            </w:pPr>
            <w:r>
              <w:rPr>
                <w:rFonts w:hint="eastAsia"/>
                <w:vertAlign w:val="baseline"/>
                <w:lang w:val="en-US" w:eastAsia="zh-CN"/>
              </w:rPr>
              <w:t>500台以上</w:t>
            </w:r>
          </w:p>
        </w:tc>
        <w:tc>
          <w:tcPr>
            <w:tcW w:w="2380" w:type="dxa"/>
          </w:tcPr>
          <w:p w14:paraId="2D267545">
            <w:pPr>
              <w:rPr>
                <w:rFonts w:hint="default"/>
                <w:vertAlign w:val="baseline"/>
                <w:lang w:val="en-US" w:eastAsia="zh-CN"/>
              </w:rPr>
            </w:pPr>
            <w:r>
              <w:rPr>
                <w:rFonts w:hint="eastAsia"/>
                <w:vertAlign w:val="baseline"/>
                <w:lang w:val="en-US" w:eastAsia="zh-CN"/>
              </w:rPr>
              <w:t>10月8日</w:t>
            </w:r>
          </w:p>
        </w:tc>
      </w:tr>
      <w:tr w14:paraId="03DCB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1C068BAE">
            <w:pPr>
              <w:rPr>
                <w:rFonts w:hint="default"/>
                <w:vertAlign w:val="baseline"/>
                <w:lang w:val="en-US" w:eastAsia="zh-CN"/>
              </w:rPr>
            </w:pPr>
            <w:r>
              <w:rPr>
                <w:rFonts w:hint="eastAsia"/>
                <w:vertAlign w:val="baseline"/>
                <w:lang w:val="en-US" w:eastAsia="zh-CN"/>
              </w:rPr>
              <w:t>3</w:t>
            </w:r>
          </w:p>
        </w:tc>
        <w:tc>
          <w:tcPr>
            <w:tcW w:w="1135" w:type="dxa"/>
          </w:tcPr>
          <w:p w14:paraId="3A25B482">
            <w:pPr>
              <w:rPr>
                <w:rFonts w:hint="default"/>
                <w:vertAlign w:val="baseline"/>
                <w:lang w:val="en-US" w:eastAsia="zh-CN"/>
              </w:rPr>
            </w:pPr>
            <w:r>
              <w:rPr>
                <w:rFonts w:hint="eastAsia"/>
                <w:vertAlign w:val="baseline"/>
                <w:lang w:val="en-US" w:eastAsia="zh-CN"/>
              </w:rPr>
              <w:t>烟台</w:t>
            </w:r>
          </w:p>
        </w:tc>
        <w:tc>
          <w:tcPr>
            <w:tcW w:w="2074" w:type="dxa"/>
          </w:tcPr>
          <w:p w14:paraId="211F65EA">
            <w:pPr>
              <w:rPr>
                <w:rFonts w:hint="default"/>
                <w:vertAlign w:val="baseline"/>
                <w:lang w:val="en-US" w:eastAsia="zh-CN"/>
              </w:rPr>
            </w:pPr>
            <w:r>
              <w:rPr>
                <w:rFonts w:hint="eastAsia"/>
                <w:vertAlign w:val="baseline"/>
                <w:lang w:val="en-US" w:eastAsia="zh-CN"/>
              </w:rPr>
              <w:t>滚装、杂货</w:t>
            </w:r>
          </w:p>
        </w:tc>
        <w:tc>
          <w:tcPr>
            <w:tcW w:w="1748" w:type="dxa"/>
          </w:tcPr>
          <w:p w14:paraId="3556ED06">
            <w:pPr>
              <w:rPr>
                <w:rFonts w:hint="default"/>
                <w:vertAlign w:val="baseline"/>
                <w:lang w:val="en-US" w:eastAsia="zh-CN"/>
              </w:rPr>
            </w:pPr>
            <w:r>
              <w:rPr>
                <w:rFonts w:hint="eastAsia"/>
                <w:vertAlign w:val="baseline"/>
                <w:lang w:val="en-US" w:eastAsia="zh-CN"/>
              </w:rPr>
              <w:t>1000台以上</w:t>
            </w:r>
          </w:p>
        </w:tc>
        <w:tc>
          <w:tcPr>
            <w:tcW w:w="2380" w:type="dxa"/>
          </w:tcPr>
          <w:p w14:paraId="05136B89">
            <w:pPr>
              <w:rPr>
                <w:rFonts w:hint="default"/>
                <w:vertAlign w:val="baseline"/>
                <w:lang w:val="en-US" w:eastAsia="zh-CN"/>
              </w:rPr>
            </w:pPr>
            <w:r>
              <w:rPr>
                <w:rFonts w:hint="eastAsia"/>
                <w:vertAlign w:val="baseline"/>
                <w:lang w:val="en-US" w:eastAsia="zh-CN"/>
              </w:rPr>
              <w:t>10月8日</w:t>
            </w:r>
          </w:p>
        </w:tc>
      </w:tr>
      <w:tr w14:paraId="742A1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9" w:type="dxa"/>
          </w:tcPr>
          <w:p w14:paraId="6C112689">
            <w:pPr>
              <w:rPr>
                <w:rFonts w:hint="default"/>
                <w:vertAlign w:val="baseline"/>
                <w:lang w:val="en-US" w:eastAsia="zh-CN"/>
              </w:rPr>
            </w:pPr>
            <w:r>
              <w:rPr>
                <w:rFonts w:hint="eastAsia"/>
                <w:vertAlign w:val="baseline"/>
                <w:lang w:val="en-US" w:eastAsia="zh-CN"/>
              </w:rPr>
              <w:t>4</w:t>
            </w:r>
          </w:p>
        </w:tc>
        <w:tc>
          <w:tcPr>
            <w:tcW w:w="1135" w:type="dxa"/>
          </w:tcPr>
          <w:p w14:paraId="44C078F7">
            <w:pPr>
              <w:rPr>
                <w:rFonts w:hint="default"/>
                <w:vertAlign w:val="baseline"/>
                <w:lang w:val="en-US" w:eastAsia="zh-CN"/>
              </w:rPr>
            </w:pPr>
            <w:r>
              <w:rPr>
                <w:rFonts w:hint="eastAsia"/>
                <w:vertAlign w:val="baseline"/>
                <w:lang w:val="en-US" w:eastAsia="zh-CN"/>
              </w:rPr>
              <w:t>龙口</w:t>
            </w:r>
          </w:p>
        </w:tc>
        <w:tc>
          <w:tcPr>
            <w:tcW w:w="2074" w:type="dxa"/>
          </w:tcPr>
          <w:p w14:paraId="2A5C20F7">
            <w:pPr>
              <w:rPr>
                <w:rFonts w:hint="default"/>
                <w:vertAlign w:val="baseline"/>
                <w:lang w:val="en-US" w:eastAsia="zh-CN"/>
              </w:rPr>
            </w:pPr>
            <w:r>
              <w:rPr>
                <w:rFonts w:hint="eastAsia"/>
                <w:vertAlign w:val="baseline"/>
                <w:lang w:val="en-US" w:eastAsia="zh-CN"/>
              </w:rPr>
              <w:t>杂货</w:t>
            </w:r>
          </w:p>
        </w:tc>
        <w:tc>
          <w:tcPr>
            <w:tcW w:w="1748" w:type="dxa"/>
          </w:tcPr>
          <w:p w14:paraId="08BF84B8">
            <w:pPr>
              <w:rPr>
                <w:rFonts w:hint="default"/>
                <w:vertAlign w:val="baseline"/>
                <w:lang w:val="en-US" w:eastAsia="zh-CN"/>
              </w:rPr>
            </w:pPr>
            <w:r>
              <w:rPr>
                <w:rFonts w:hint="eastAsia"/>
                <w:vertAlign w:val="baseline"/>
                <w:lang w:val="en-US" w:eastAsia="zh-CN"/>
              </w:rPr>
              <w:t>100台以上</w:t>
            </w:r>
          </w:p>
        </w:tc>
        <w:tc>
          <w:tcPr>
            <w:tcW w:w="2380" w:type="dxa"/>
          </w:tcPr>
          <w:p w14:paraId="67097C17">
            <w:pPr>
              <w:rPr>
                <w:rFonts w:hint="default"/>
                <w:vertAlign w:val="baseline"/>
                <w:lang w:val="en-US" w:eastAsia="zh-CN"/>
              </w:rPr>
            </w:pPr>
            <w:r>
              <w:rPr>
                <w:rFonts w:hint="eastAsia"/>
                <w:vertAlign w:val="baseline"/>
                <w:lang w:val="en-US" w:eastAsia="zh-CN"/>
              </w:rPr>
              <w:t>10月8日</w:t>
            </w:r>
          </w:p>
        </w:tc>
      </w:tr>
    </w:tbl>
    <w:p w14:paraId="5F61852F">
      <w:pPr>
        <w:rPr>
          <w:rFonts w:hint="eastAsia" w:hAnsi="宋体" w:eastAsia="宋体" w:cs="宋体"/>
          <w:b/>
          <w:bCs/>
          <w:color w:val="000000"/>
          <w:sz w:val="24"/>
          <w:szCs w:val="24"/>
        </w:rPr>
      </w:pPr>
      <w:r>
        <w:rPr>
          <w:rFonts w:hint="eastAsia" w:hAnsi="宋体" w:eastAsia="宋体" w:cs="宋体"/>
          <w:b/>
          <w:bCs/>
          <w:color w:val="000000"/>
          <w:sz w:val="24"/>
          <w:szCs w:val="24"/>
        </w:rPr>
        <w:br w:type="page"/>
      </w:r>
      <w:bookmarkStart w:id="19" w:name="_GoBack"/>
      <w:bookmarkEnd w:id="19"/>
    </w:p>
    <w:p w14:paraId="1EBA84D7">
      <w:pPr>
        <w:pStyle w:val="2"/>
        <w:outlineLvl w:val="2"/>
        <w:rPr>
          <w:rFonts w:hint="eastAsia" w:hAnsi="宋体" w:eastAsia="宋体" w:cs="宋体"/>
          <w:b/>
          <w:bCs/>
          <w:color w:val="000000"/>
          <w:sz w:val="24"/>
          <w:szCs w:val="24"/>
        </w:rPr>
      </w:pPr>
      <w:r>
        <w:rPr>
          <w:rFonts w:hint="eastAsia" w:hAnsi="宋体" w:eastAsia="宋体" w:cs="宋体"/>
          <w:b/>
          <w:bCs/>
          <w:color w:val="000000"/>
          <w:sz w:val="24"/>
          <w:szCs w:val="24"/>
        </w:rPr>
        <w:t>SRM非生产供应商注册操作手册</w:t>
      </w:r>
    </w:p>
    <w:p w14:paraId="7ED3B1FD">
      <w:pPr>
        <w:pStyle w:val="2"/>
        <w:rPr>
          <w:rFonts w:eastAsia="宋体"/>
        </w:rPr>
      </w:pPr>
    </w:p>
    <w:p w14:paraId="3EE9D9E5">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浏览器中输入地址;</w:t>
      </w:r>
    </w:p>
    <w:p w14:paraId="43B51465">
      <w:pPr>
        <w:adjustRightInd w:val="0"/>
        <w:snapToGrid w:val="0"/>
        <w:spacing w:line="360" w:lineRule="auto"/>
        <w:jc w:val="left"/>
        <w:rPr>
          <w:rFonts w:hint="eastAsia"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643BCE8">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12B13E29">
      <w:pPr>
        <w:snapToGrid w:val="0"/>
        <w:spacing w:line="312" w:lineRule="auto"/>
        <w:rPr>
          <w:rFonts w:hint="eastAsia"/>
        </w:rPr>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4"/>
                    <a:stretch>
                      <a:fillRect/>
                    </a:stretch>
                  </pic:blipFill>
                  <pic:spPr>
                    <a:xfrm>
                      <a:off x="0" y="0"/>
                      <a:ext cx="5760085" cy="2933377"/>
                    </a:xfrm>
                    <a:prstGeom prst="rect">
                      <a:avLst/>
                    </a:prstGeom>
                  </pic:spPr>
                </pic:pic>
              </a:graphicData>
            </a:graphic>
          </wp:inline>
        </w:drawing>
      </w:r>
    </w:p>
    <w:p w14:paraId="6EBB5DA4">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7E0A0978">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5"/>
                    <a:stretch>
                      <a:fillRect/>
                    </a:stretch>
                  </pic:blipFill>
                  <pic:spPr>
                    <a:xfrm>
                      <a:off x="0" y="0"/>
                      <a:ext cx="5760085" cy="2766707"/>
                    </a:xfrm>
                    <a:prstGeom prst="rect">
                      <a:avLst/>
                    </a:prstGeom>
                  </pic:spPr>
                </pic:pic>
              </a:graphicData>
            </a:graphic>
          </wp:inline>
        </w:drawing>
      </w:r>
    </w:p>
    <w:p w14:paraId="6BB10C6E">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7E5F5181">
      <w:pPr>
        <w:snapToGrid w:val="0"/>
        <w:spacing w:line="312" w:lineRule="auto"/>
        <w:rPr>
          <w:rFonts w:hint="eastAsia"/>
        </w:rPr>
      </w:pPr>
      <w:r>
        <w:drawing>
          <wp:inline distT="0" distB="0" distL="0" distR="0">
            <wp:extent cx="5760085" cy="2869565"/>
            <wp:effectExtent l="0" t="0" r="12065" b="698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6"/>
                    <a:stretch>
                      <a:fillRect/>
                    </a:stretch>
                  </pic:blipFill>
                  <pic:spPr>
                    <a:xfrm>
                      <a:off x="0" y="0"/>
                      <a:ext cx="5760085" cy="2870054"/>
                    </a:xfrm>
                    <a:prstGeom prst="rect">
                      <a:avLst/>
                    </a:prstGeom>
                  </pic:spPr>
                </pic:pic>
              </a:graphicData>
            </a:graphic>
          </wp:inline>
        </w:drawing>
      </w:r>
    </w:p>
    <w:p w14:paraId="09CE7AC5">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A9BADEA">
      <w:pPr>
        <w:snapToGrid w:val="0"/>
        <w:spacing w:line="312" w:lineRule="auto"/>
        <w:rPr>
          <w:rFonts w:hint="eastAsia"/>
        </w:rPr>
      </w:pPr>
      <w:r>
        <w:drawing>
          <wp:inline distT="0" distB="0" distL="0" distR="0">
            <wp:extent cx="5760085" cy="2853055"/>
            <wp:effectExtent l="0" t="0" r="12065" b="444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7"/>
                    <a:stretch>
                      <a:fillRect/>
                    </a:stretch>
                  </pic:blipFill>
                  <pic:spPr>
                    <a:xfrm>
                      <a:off x="0" y="0"/>
                      <a:ext cx="5760085" cy="2853375"/>
                    </a:xfrm>
                    <a:prstGeom prst="rect">
                      <a:avLst/>
                    </a:prstGeom>
                  </pic:spPr>
                </pic:pic>
              </a:graphicData>
            </a:graphic>
          </wp:inline>
        </w:drawing>
      </w:r>
    </w:p>
    <w:p w14:paraId="40227B41">
      <w:pPr>
        <w:spacing w:line="360" w:lineRule="auto"/>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color w:val="000000"/>
          <w:sz w:val="24"/>
          <w:szCs w:val="28"/>
        </w:rPr>
        <w:t>.</w:t>
      </w:r>
      <w:r>
        <w:rPr>
          <w:rFonts w:ascii="宋体" w:hAnsi="宋体" w:eastAsia="宋体" w:cs="宋体"/>
          <w:color w:val="000000"/>
          <w:sz w:val="24"/>
          <w:szCs w:val="28"/>
        </w:rPr>
        <w:t>按要求填写所有信息，注意非生产类要填写合作单位，最后提交审批</w:t>
      </w:r>
    </w:p>
    <w:p w14:paraId="3268A431">
      <w:pPr>
        <w:pStyle w:val="2"/>
      </w:pPr>
    </w:p>
    <w:p w14:paraId="20547785">
      <w:pPr>
        <w:rPr>
          <w:rFonts w:hint="eastAsia"/>
        </w:rPr>
      </w:pPr>
      <w:r>
        <w:drawing>
          <wp:inline distT="0" distB="0" distL="0" distR="0">
            <wp:extent cx="5760085" cy="2809875"/>
            <wp:effectExtent l="0" t="0" r="12065" b="952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8"/>
                    <a:stretch>
                      <a:fillRect/>
                    </a:stretch>
                  </pic:blipFill>
                  <pic:spPr>
                    <a:xfrm>
                      <a:off x="0" y="0"/>
                      <a:ext cx="5760085" cy="2810122"/>
                    </a:xfrm>
                    <a:prstGeom prst="rect">
                      <a:avLst/>
                    </a:prstGeom>
                  </pic:spPr>
                </pic:pic>
              </a:graphicData>
            </a:graphic>
          </wp:inline>
        </w:drawing>
      </w:r>
    </w:p>
    <w:p w14:paraId="2564D118">
      <w:pPr>
        <w:pStyle w:val="2"/>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9"/>
                    <a:stretch>
                      <a:fillRect/>
                    </a:stretch>
                  </pic:blipFill>
                  <pic:spPr>
                    <a:xfrm>
                      <a:off x="0" y="0"/>
                      <a:ext cx="5760085" cy="2820042"/>
                    </a:xfrm>
                    <a:prstGeom prst="rect">
                      <a:avLst/>
                    </a:prstGeom>
                  </pic:spPr>
                </pic:pic>
              </a:graphicData>
            </a:graphic>
          </wp:inline>
        </w:drawing>
      </w:r>
    </w:p>
    <w:p w14:paraId="0D29F28C">
      <w:pPr>
        <w:spacing w:after="200" w:line="240" w:lineRule="auto"/>
        <w:rPr>
          <w:rFonts w:ascii="宋体" w:hAnsi="宋体" w:eastAsia="宋体" w:cs="Times New Roman"/>
          <w:b/>
          <w:bCs/>
          <w:color w:val="FF0000"/>
          <w:sz w:val="32"/>
          <w:szCs w:val="22"/>
          <w:lang w:val="en-US" w:eastAsia="en-US" w:bidi="ar-SA"/>
        </w:rPr>
      </w:pPr>
      <w:r>
        <w:rPr>
          <w:rFonts w:hint="eastAsia" w:ascii="宋体" w:hAnsi="宋体" w:eastAsia="宋体" w:cs="Times New Roman"/>
          <w:b/>
          <w:bCs/>
          <w:color w:val="FF0000"/>
          <w:sz w:val="32"/>
          <w:szCs w:val="22"/>
          <w:lang w:val="en-US" w:eastAsia="en-US" w:bidi="ar-SA"/>
        </w:rPr>
        <w:t>页面规则</w:t>
      </w:r>
    </w:p>
    <w:p w14:paraId="7F59B2BF">
      <w:pPr>
        <w:spacing w:after="200" w:line="276" w:lineRule="auto"/>
        <w:ind w:firstLine="480" w:firstLineChars="200"/>
        <w:rPr>
          <w:rFonts w:ascii="宋体" w:hAnsi="宋体" w:eastAsia="宋体" w:cs="Times New Roman"/>
          <w:sz w:val="24"/>
          <w:szCs w:val="20"/>
          <w:lang w:val="en-US" w:eastAsia="en-US" w:bidi="ar-SA"/>
        </w:rPr>
      </w:pPr>
      <w:r>
        <w:rPr>
          <w:rFonts w:hint="eastAsia" w:ascii="宋体" w:hAnsi="宋体" w:eastAsia="宋体" w:cs="Times New Roman"/>
          <w:sz w:val="24"/>
          <w:szCs w:val="20"/>
          <w:lang w:val="en-US" w:eastAsia="en-US" w:bidi="ar-SA"/>
        </w:rPr>
        <w:t>点击新增按钮进入注册界面，如果点击提交，系统报错或者系统没反应请先仔细检查自己的填写数据是否完整正确。</w:t>
      </w:r>
    </w:p>
    <w:p w14:paraId="27B1D242">
      <w:pPr>
        <w:widowControl/>
        <w:spacing w:after="200" w:line="360" w:lineRule="auto"/>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注册信息的字段：尽量把所有信息都填写完整，</w:t>
      </w:r>
    </w:p>
    <w:p w14:paraId="04A918FB">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统一社会信用代码字段，是供应商的唯一标识字段，没有校验规则，如果系统报统一社会信用代码重复则说明此供应商已经在</w:t>
      </w:r>
      <w:r>
        <w:rPr>
          <w:rFonts w:ascii="宋体" w:hAnsi="宋体" w:eastAsia="宋体" w:cs="Times New Roman"/>
          <w:kern w:val="0"/>
          <w:sz w:val="24"/>
          <w:szCs w:val="22"/>
          <w:lang w:eastAsia="en-US" w:bidi="ar"/>
        </w:rPr>
        <w:t>e</w:t>
      </w:r>
      <w:r>
        <w:rPr>
          <w:rFonts w:hint="eastAsia" w:ascii="宋体" w:hAnsi="宋体" w:eastAsia="宋体" w:cs="宋体"/>
          <w:kern w:val="0"/>
          <w:sz w:val="24"/>
          <w:szCs w:val="22"/>
          <w:lang w:eastAsia="en-US" w:bidi="ar"/>
        </w:rPr>
        <w:t>采通内存在，请咨询对应的采购工程师账号密码。</w:t>
      </w:r>
    </w:p>
    <w:p w14:paraId="38C642A5">
      <w:pPr>
        <w:widowControl/>
        <w:numPr>
          <w:ilvl w:val="0"/>
          <w:numId w:val="24"/>
        </w:numPr>
        <w:spacing w:after="200" w:line="360" w:lineRule="auto"/>
        <w:ind w:left="0" w:firstLine="0"/>
        <w:jc w:val="left"/>
        <w:rPr>
          <w:rFonts w:ascii="宋体" w:hAnsi="宋体" w:eastAsia="宋体" w:cs="Times New Roman"/>
          <w:b/>
          <w:bCs/>
          <w:color w:val="C00000"/>
          <w:kern w:val="0"/>
          <w:sz w:val="24"/>
          <w:szCs w:val="22"/>
          <w:lang w:eastAsia="en-US"/>
        </w:rPr>
      </w:pPr>
      <w:r>
        <w:rPr>
          <w:rFonts w:hint="eastAsia" w:ascii="宋体" w:hAnsi="宋体" w:eastAsia="宋体" w:cs="宋体"/>
          <w:b/>
          <w:bCs/>
          <w:color w:val="C00000"/>
          <w:kern w:val="0"/>
          <w:sz w:val="24"/>
          <w:szCs w:val="22"/>
          <w:lang w:eastAsia="en-US" w:bidi="ar"/>
        </w:rPr>
        <w:t>采购形式编号和投标项目名称、近三年财务指标情况，都是</w:t>
      </w:r>
      <w:r>
        <w:rPr>
          <w:rFonts w:hint="eastAsia" w:ascii="宋体" w:hAnsi="宋体" w:eastAsia="宋体" w:cs="宋体"/>
          <w:b/>
          <w:bCs/>
          <w:color w:val="C00000"/>
          <w:kern w:val="0"/>
          <w:sz w:val="24"/>
          <w:szCs w:val="22"/>
          <w:u w:val="single"/>
          <w:lang w:eastAsia="en-US" w:bidi="ar"/>
        </w:rPr>
        <w:t>必填项</w:t>
      </w:r>
      <w:r>
        <w:rPr>
          <w:rFonts w:hint="eastAsia" w:ascii="宋体" w:hAnsi="宋体" w:eastAsia="宋体" w:cs="宋体"/>
          <w:b/>
          <w:bCs/>
          <w:color w:val="C00000"/>
          <w:kern w:val="0"/>
          <w:sz w:val="24"/>
          <w:szCs w:val="22"/>
          <w:lang w:eastAsia="en-US" w:bidi="ar"/>
        </w:rPr>
        <w:t>。</w:t>
      </w:r>
    </w:p>
    <w:p w14:paraId="6199C08F">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营业执照有效结束日期目前限制在当前日期及之前，应该限制在当前日期之后，最大允许“</w:t>
      </w:r>
      <w:r>
        <w:rPr>
          <w:rFonts w:ascii="宋体" w:hAnsi="宋体" w:eastAsia="宋体" w:cs="Times New Roman"/>
          <w:kern w:val="0"/>
          <w:sz w:val="24"/>
          <w:szCs w:val="22"/>
          <w:lang w:eastAsia="en-US" w:bidi="ar"/>
        </w:rPr>
        <w:t>9999-12-31</w:t>
      </w:r>
      <w:r>
        <w:rPr>
          <w:rFonts w:hint="eastAsia" w:ascii="宋体" w:hAnsi="宋体" w:eastAsia="宋体" w:cs="宋体"/>
          <w:kern w:val="0"/>
          <w:sz w:val="24"/>
          <w:szCs w:val="22"/>
          <w:lang w:eastAsia="en-US" w:bidi="ar"/>
        </w:rPr>
        <w:t>”，即代表永久有效。</w:t>
      </w:r>
    </w:p>
    <w:p w14:paraId="6187D04F">
      <w:pPr>
        <w:widowControl/>
        <w:numPr>
          <w:ilvl w:val="0"/>
          <w:numId w:val="24"/>
        </w:numPr>
        <w:spacing w:after="200" w:line="360" w:lineRule="auto"/>
        <w:ind w:left="0" w:firstLine="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提交成功之后进入审批流，每个节点都会由</w:t>
      </w:r>
      <w:r>
        <w:rPr>
          <w:rFonts w:ascii="宋体" w:hAnsi="宋体" w:eastAsia="宋体" w:cs="Times New Roman"/>
          <w:kern w:val="0"/>
          <w:sz w:val="24"/>
          <w:szCs w:val="22"/>
          <w:lang w:eastAsia="en-US" w:bidi="ar"/>
        </w:rPr>
        <w:t>1</w:t>
      </w:r>
      <w:r>
        <w:rPr>
          <w:rFonts w:hint="eastAsia" w:ascii="宋体" w:hAnsi="宋体" w:eastAsia="宋体" w:cs="宋体"/>
          <w:kern w:val="0"/>
          <w:sz w:val="24"/>
          <w:szCs w:val="22"/>
          <w:lang w:eastAsia="en-US" w:bidi="ar"/>
        </w:rPr>
        <w:t>个或多个负责人审批，</w:t>
      </w:r>
      <w:r>
        <w:rPr>
          <w:rFonts w:hint="eastAsia" w:ascii="宋体" w:hAnsi="宋体" w:eastAsia="宋体" w:cs="宋体"/>
          <w:color w:val="C00000"/>
          <w:kern w:val="0"/>
          <w:sz w:val="24"/>
          <w:szCs w:val="22"/>
          <w:em w:val="dot"/>
          <w:lang w:eastAsia="en-US" w:bidi="ar"/>
        </w:rPr>
        <w:t>提交之后需要随时关注审批进度，被驳回的需要修改后重新提交信息。</w:t>
      </w:r>
      <w:r>
        <w:rPr>
          <w:rFonts w:hint="eastAsia" w:ascii="宋体" w:hAnsi="宋体" w:eastAsia="宋体" w:cs="宋体"/>
          <w:b/>
          <w:bCs/>
          <w:color w:val="C00000"/>
          <w:kern w:val="0"/>
          <w:sz w:val="24"/>
          <w:szCs w:val="22"/>
          <w:em w:val="dot"/>
          <w:lang w:eastAsia="en-US" w:bidi="ar"/>
        </w:rPr>
        <w:t>审批流程全部走完结束之后，且有短信通知供应商才算注册成功</w:t>
      </w:r>
      <w:r>
        <w:rPr>
          <w:rFonts w:hint="eastAsia" w:ascii="宋体" w:hAnsi="宋体" w:eastAsia="宋体" w:cs="宋体"/>
          <w:b/>
          <w:bCs/>
          <w:kern w:val="0"/>
          <w:sz w:val="24"/>
          <w:szCs w:val="22"/>
          <w:lang w:eastAsia="en-US" w:bidi="ar"/>
        </w:rPr>
        <w:t>。</w:t>
      </w:r>
    </w:p>
    <w:p w14:paraId="559A8BA6">
      <w:pPr>
        <w:widowControl/>
        <w:numPr>
          <w:ilvl w:val="0"/>
          <w:numId w:val="24"/>
        </w:numPr>
        <w:spacing w:after="200" w:line="360" w:lineRule="auto"/>
        <w:ind w:left="0" w:firstLine="0"/>
        <w:jc w:val="left"/>
        <w:rPr>
          <w:rFonts w:ascii="宋体" w:hAnsi="宋体" w:eastAsia="宋体" w:cs="Times New Roman"/>
          <w:sz w:val="20"/>
          <w:szCs w:val="36"/>
          <w:lang w:val="en-US" w:eastAsia="en-US" w:bidi="ar-SA"/>
        </w:rPr>
      </w:pPr>
      <w:r>
        <w:rPr>
          <w:rFonts w:hint="eastAsia" w:ascii="宋体" w:hAnsi="宋体" w:eastAsia="宋体" w:cs="宋体"/>
          <w:sz w:val="20"/>
          <w:szCs w:val="36"/>
          <w:lang w:val="en-US" w:eastAsia="en-US" w:bidi="ar-SA"/>
        </w:rPr>
        <w:t>点击“查看”按钮可以进行查看注册信息，供应商提交注册之后想查看审批进度，可以点击此按钮。</w:t>
      </w:r>
    </w:p>
    <w:p w14:paraId="2888960C">
      <w:pPr>
        <w:widowControl/>
        <w:tabs>
          <w:tab w:val="left" w:pos="312"/>
        </w:tabs>
        <w:spacing w:after="200" w:line="360" w:lineRule="auto"/>
        <w:ind w:firstLine="0"/>
        <w:jc w:val="left"/>
      </w:pPr>
      <w:r>
        <w:rPr>
          <w:rFonts w:hint="eastAsia" w:ascii="宋体" w:hAnsi="宋体" w:eastAsia="宋体" w:cs="宋体"/>
          <w:b/>
          <w:bCs/>
          <w:sz w:val="20"/>
          <w:szCs w:val="32"/>
          <w:lang w:val="de-DE" w:eastAsia="en-US" w:bidi="ar-SA"/>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1339601F">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注：</w:t>
      </w:r>
    </w:p>
    <w:p w14:paraId="4BE53A73">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1.“项目名称”和“采购形式编号”见</w:t>
      </w:r>
      <w:r>
        <w:rPr>
          <w:rFonts w:hint="eastAsia" w:ascii="宋体" w:hAnsi="宋体" w:eastAsia="宋体" w:cs="宋体"/>
          <w:b/>
          <w:bCs/>
          <w:color w:val="000000"/>
          <w:sz w:val="24"/>
          <w:szCs w:val="28"/>
          <w:highlight w:val="yellow"/>
          <w:lang w:val="en-US" w:eastAsia="zh-CN"/>
        </w:rPr>
        <w:t>投标公告</w:t>
      </w:r>
      <w:r>
        <w:rPr>
          <w:rFonts w:hint="eastAsia" w:ascii="宋体" w:hAnsi="宋体" w:eastAsia="宋体" w:cs="宋体"/>
          <w:b/>
          <w:bCs/>
          <w:color w:val="000000"/>
          <w:sz w:val="24"/>
          <w:szCs w:val="28"/>
          <w:highlight w:val="yellow"/>
        </w:rPr>
        <w:t>；</w:t>
      </w:r>
    </w:p>
    <w:p w14:paraId="27BE6B29">
      <w:pPr>
        <w:pStyle w:val="2"/>
        <w:rPr>
          <w:rFonts w:hint="eastAsia" w:hAnsi="宋体" w:eastAsia="宋体" w:cs="宋体"/>
          <w:b/>
          <w:bCs/>
          <w:color w:val="FF0000"/>
          <w:sz w:val="24"/>
          <w:szCs w:val="28"/>
          <w:highlight w:val="yellow"/>
          <w:lang w:val="en-US" w:eastAsia="zh-CN"/>
        </w:rPr>
      </w:pPr>
      <w:r>
        <w:rPr>
          <w:rFonts w:hint="eastAsia" w:hAnsi="宋体" w:eastAsia="宋体" w:cs="宋体"/>
          <w:b/>
          <w:bCs/>
          <w:color w:val="000000"/>
          <w:sz w:val="24"/>
          <w:szCs w:val="28"/>
          <w:highlight w:val="yellow"/>
        </w:rPr>
        <w:t>2.</w:t>
      </w:r>
      <w:r>
        <w:rPr>
          <w:rFonts w:hint="eastAsia" w:hAnsi="宋体" w:eastAsia="宋体" w:cs="宋体"/>
          <w:b/>
          <w:bCs/>
          <w:color w:val="000000"/>
          <w:sz w:val="24"/>
          <w:szCs w:val="28"/>
          <w:highlight w:val="yellow"/>
          <w:lang w:eastAsia="zh-CN"/>
        </w:rPr>
        <w:t>“</w:t>
      </w:r>
      <w:r>
        <w:rPr>
          <w:rFonts w:hint="eastAsia" w:hAnsi="宋体" w:eastAsia="宋体" w:cs="宋体"/>
          <w:b/>
          <w:bCs/>
          <w:color w:val="000000"/>
          <w:sz w:val="24"/>
          <w:szCs w:val="28"/>
          <w:highlight w:val="yellow"/>
          <w:lang w:val="en-US" w:eastAsia="zh-CN"/>
        </w:rPr>
        <w:t>供货类型</w:t>
      </w:r>
      <w:r>
        <w:rPr>
          <w:rFonts w:hint="eastAsia" w:hAnsi="宋体" w:eastAsia="宋体" w:cs="宋体"/>
          <w:b/>
          <w:bCs/>
          <w:color w:val="000000"/>
          <w:sz w:val="24"/>
          <w:szCs w:val="28"/>
          <w:highlight w:val="yellow"/>
          <w:lang w:eastAsia="zh-CN"/>
        </w:rPr>
        <w:t>”</w:t>
      </w:r>
      <w:r>
        <w:rPr>
          <w:rFonts w:hint="eastAsia" w:hAnsi="宋体" w:eastAsia="宋体" w:cs="宋体"/>
          <w:b/>
          <w:bCs/>
          <w:color w:val="FF0000"/>
          <w:sz w:val="24"/>
          <w:szCs w:val="28"/>
          <w:highlight w:val="yellow"/>
          <w:lang w:val="en-US" w:eastAsia="zh-CN"/>
        </w:rPr>
        <w:t>选择“非生产”</w:t>
      </w:r>
    </w:p>
    <w:p w14:paraId="0418B111">
      <w:pPr>
        <w:pStyle w:val="2"/>
        <w:rPr>
          <w:rFonts w:hint="eastAsia" w:hAnsi="宋体" w:eastAsia="宋体" w:cs="宋体"/>
          <w:b/>
          <w:bCs/>
          <w:color w:val="000000"/>
          <w:sz w:val="24"/>
          <w:szCs w:val="28"/>
          <w:highlight w:val="yellow"/>
          <w:lang w:val="en-US" w:eastAsia="zh-CN"/>
        </w:rPr>
      </w:pPr>
      <w:r>
        <w:rPr>
          <w:rFonts w:hint="eastAsia" w:hAnsi="宋体" w:eastAsia="宋体" w:cs="宋体"/>
          <w:b/>
          <w:bCs/>
          <w:color w:val="000000"/>
          <w:sz w:val="24"/>
          <w:szCs w:val="28"/>
          <w:highlight w:val="yellow"/>
        </w:rPr>
        <w:t>“</w:t>
      </w:r>
      <w:r>
        <w:rPr>
          <w:rFonts w:hint="eastAsia" w:hAnsi="宋体" w:eastAsia="宋体" w:cs="宋体"/>
          <w:b/>
          <w:bCs/>
          <w:color w:val="000000"/>
          <w:sz w:val="24"/>
          <w:szCs w:val="28"/>
          <w:highlight w:val="yellow"/>
          <w:lang w:val="en-US" w:eastAsia="zh-CN"/>
        </w:rPr>
        <w:t>意向合作单位</w:t>
      </w:r>
      <w:r>
        <w:rPr>
          <w:rFonts w:hint="eastAsia" w:hAnsi="宋体" w:eastAsia="宋体" w:cs="宋体"/>
          <w:b/>
          <w:bCs/>
          <w:color w:val="000000"/>
          <w:sz w:val="24"/>
          <w:szCs w:val="28"/>
          <w:highlight w:val="yellow"/>
        </w:rPr>
        <w:t>”填“</w:t>
      </w:r>
      <w:r>
        <w:rPr>
          <w:rFonts w:hint="eastAsia" w:hAnsi="宋体" w:eastAsia="宋体" w:cs="宋体"/>
          <w:b/>
          <w:bCs/>
          <w:color w:val="000000"/>
          <w:sz w:val="24"/>
          <w:szCs w:val="28"/>
          <w:highlight w:val="yellow"/>
          <w:lang w:val="en-US" w:eastAsia="zh-CN"/>
        </w:rPr>
        <w:t>直管单位”</w:t>
      </w:r>
    </w:p>
    <w:p w14:paraId="649D3CC7">
      <w:pPr>
        <w:pStyle w:val="2"/>
      </w:pPr>
      <w:r>
        <w:rPr>
          <w:rFonts w:hint="eastAsia" w:hAnsi="宋体" w:eastAsia="宋体" w:cs="宋体"/>
          <w:b/>
          <w:bCs/>
          <w:color w:val="000000"/>
          <w:sz w:val="24"/>
          <w:szCs w:val="28"/>
          <w:highlight w:val="yellow"/>
          <w:lang w:val="en-US" w:eastAsia="zh-CN"/>
        </w:rPr>
        <w:t>“供货类别”选择“服务 / 国际业务</w:t>
      </w:r>
      <w:r>
        <w:rPr>
          <w:rFonts w:hint="eastAsia" w:hAnsi="宋体" w:eastAsia="宋体" w:cs="宋体"/>
          <w:b/>
          <w:bCs/>
          <w:color w:val="000000"/>
          <w:sz w:val="24"/>
          <w:szCs w:val="28"/>
          <w:highlight w:val="yellow"/>
        </w:rPr>
        <w:t>”。</w:t>
      </w:r>
    </w:p>
    <w:p w14:paraId="39BF1441">
      <w:pPr>
        <w:pStyle w:val="2"/>
        <w:sectPr>
          <w:pgSz w:w="11906" w:h="16838"/>
          <w:pgMar w:top="1588" w:right="1418" w:bottom="1134" w:left="1418" w:header="851" w:footer="992" w:gutter="0"/>
          <w:pgNumType w:fmt="decimal"/>
          <w:cols w:space="720" w:num="1"/>
          <w:titlePg/>
          <w:docGrid w:type="lines" w:linePitch="312" w:charSpace="0"/>
        </w:sectPr>
      </w:pPr>
    </w:p>
    <w:p w14:paraId="0ACBC388">
      <w:pPr>
        <w:keepNext/>
        <w:keepLines/>
        <w:widowControl/>
        <w:spacing w:before="200" w:after="0" w:line="276" w:lineRule="auto"/>
        <w:outlineLvl w:val="3"/>
        <w:rPr>
          <w:rFonts w:ascii="Calibri" w:hAnsi="Calibri" w:eastAsia="宋体" w:cs="Times New Roman"/>
          <w:b/>
          <w:bCs/>
          <w:i/>
          <w:iCs/>
          <w:color w:val="4F81BD"/>
          <w:sz w:val="24"/>
          <w:szCs w:val="22"/>
          <w:highlight w:val="yellow"/>
          <w:lang w:val="en-US" w:eastAsia="en-US" w:bidi="ar-SA"/>
        </w:rPr>
      </w:pPr>
      <w:r>
        <w:rPr>
          <w:rFonts w:hint="eastAsia" w:ascii="Calibri" w:hAnsi="Calibri" w:eastAsia="宋体" w:cs="黑体"/>
          <w:b/>
          <w:bCs/>
          <w:i/>
          <w:iCs/>
          <w:color w:val="4F81BD"/>
          <w:sz w:val="24"/>
          <w:szCs w:val="22"/>
          <w:highlight w:val="yellow"/>
          <w:lang w:val="en-US" w:eastAsia="en-US" w:bidi="ar-SA"/>
        </w:rPr>
        <w:t>供应商应标</w:t>
      </w:r>
    </w:p>
    <w:p w14:paraId="55098592">
      <w:pPr>
        <w:widowControl/>
        <w:spacing w:after="200" w:line="276" w:lineRule="auto"/>
        <w:jc w:val="left"/>
        <w:rPr>
          <w:rFonts w:ascii="宋体" w:hAnsi="宋体" w:eastAsia="宋体" w:cs="宋体"/>
          <w:kern w:val="0"/>
          <w:sz w:val="28"/>
          <w:szCs w:val="28"/>
          <w:lang w:eastAsia="en-US"/>
        </w:rPr>
      </w:pPr>
      <w:r>
        <w:rPr>
          <w:rFonts w:hint="eastAsia" w:ascii="宋体" w:hAnsi="宋体" w:eastAsia="宋体" w:cs="宋体"/>
          <w:kern w:val="0"/>
          <w:sz w:val="28"/>
          <w:szCs w:val="28"/>
          <w:lang w:eastAsia="en-US" w:bidi="ar"/>
        </w:rPr>
        <w:t>路径：招投标中心-非生产类招投标-供应商应标</w:t>
      </w:r>
    </w:p>
    <w:p w14:paraId="7D5320BF">
      <w:pPr>
        <w:widowControl/>
        <w:spacing w:after="200" w:line="276" w:lineRule="auto"/>
        <w:jc w:val="left"/>
        <w:rPr>
          <w:rFonts w:ascii="宋体" w:hAnsi="宋体" w:eastAsia="宋体" w:cs="宋体"/>
          <w:kern w:val="0"/>
          <w:sz w:val="28"/>
          <w:szCs w:val="28"/>
          <w:lang w:eastAsia="en-US" w:bidi="ar"/>
        </w:rPr>
      </w:pPr>
      <w:r>
        <w:rPr>
          <w:rFonts w:hint="eastAsia" w:ascii="宋体" w:hAnsi="宋体" w:eastAsia="宋体" w:cs="宋体"/>
          <w:kern w:val="0"/>
          <w:sz w:val="28"/>
          <w:szCs w:val="28"/>
          <w:lang w:eastAsia="en-US" w:bidi="ar"/>
        </w:rPr>
        <w:t>e采通发布招标文件后，根据项目编号搜索本项目并点击应标，上传文件之后点击提交。</w:t>
      </w:r>
    </w:p>
    <w:p w14:paraId="56A86FE6">
      <w:pPr>
        <w:widowControl/>
        <w:spacing w:after="200" w:line="276" w:lineRule="auto"/>
        <w:jc w:val="left"/>
        <w:rPr>
          <w:rFonts w:ascii="宋体" w:hAnsi="宋体" w:eastAsia="宋体" w:cs="Times New Roman"/>
          <w:kern w:val="0"/>
          <w:sz w:val="24"/>
          <w:szCs w:val="22"/>
          <w:lang w:eastAsia="en-US"/>
        </w:rPr>
      </w:pPr>
      <w:r>
        <w:rPr>
          <w:rFonts w:hint="eastAsia" w:ascii="宋体" w:hAnsi="宋体" w:eastAsia="宋体" w:cs="宋体"/>
          <w:b/>
          <w:bCs/>
          <w:kern w:val="0"/>
          <w:sz w:val="24"/>
          <w:szCs w:val="22"/>
          <w:lang w:eastAsia="en-US"/>
        </w:rPr>
        <w:t>此处应标为线上资格审查环节，不是投标环节，不需要上传投标文件。投标单位应尽快应标以验证e采通账号是否可以正常使用，账号异常的请按下述提示修改账号后提交应标资料，</w:t>
      </w:r>
      <w:r>
        <w:rPr>
          <w:rFonts w:hint="eastAsia" w:ascii="宋体" w:hAnsi="宋体" w:eastAsia="宋体" w:cs="宋体"/>
          <w:b/>
          <w:bCs/>
          <w:color w:val="FF0000"/>
          <w:kern w:val="0"/>
          <w:sz w:val="24"/>
          <w:szCs w:val="22"/>
          <w:lang w:eastAsia="en-US"/>
        </w:rPr>
        <w:t>应标审核通过后方可进入投标环节，逾期不应标的无法参与投标</w:t>
      </w:r>
      <w:r>
        <w:rPr>
          <w:rFonts w:hint="eastAsia" w:ascii="宋体" w:hAnsi="宋体" w:eastAsia="宋体" w:cs="宋体"/>
          <w:b/>
          <w:bCs/>
          <w:kern w:val="0"/>
          <w:sz w:val="24"/>
          <w:szCs w:val="22"/>
          <w:lang w:eastAsia="en-US"/>
        </w:rPr>
        <w:t>。</w:t>
      </w:r>
    </w:p>
    <w:p w14:paraId="0127BBEE">
      <w:pPr>
        <w:widowControl/>
        <w:spacing w:after="200" w:line="276" w:lineRule="auto"/>
        <w:jc w:val="left"/>
        <w:rPr>
          <w:rFonts w:ascii="宋体" w:hAnsi="宋体" w:eastAsia="宋体" w:cs="Times New Roman"/>
          <w:kern w:val="0"/>
          <w:sz w:val="24"/>
          <w:szCs w:val="22"/>
          <w:lang w:eastAsia="en-US"/>
        </w:rPr>
      </w:pPr>
      <w:r>
        <w:rPr>
          <w:rFonts w:ascii="宋体" w:hAnsi="宋体" w:eastAsia="宋体" w:cs="Times New Roman"/>
          <w:kern w:val="0"/>
          <w:sz w:val="24"/>
          <w:szCs w:val="22"/>
          <w:lang w:eastAsia="en-US"/>
        </w:rPr>
        <w:drawing>
          <wp:inline distT="0" distB="0" distL="114300" distR="114300">
            <wp:extent cx="5393690" cy="2126615"/>
            <wp:effectExtent l="0" t="0" r="16510"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0"/>
                    <a:stretch>
                      <a:fillRect/>
                    </a:stretch>
                  </pic:blipFill>
                  <pic:spPr>
                    <a:xfrm>
                      <a:off x="0" y="0"/>
                      <a:ext cx="5393690" cy="2126615"/>
                    </a:xfrm>
                    <a:prstGeom prst="rect">
                      <a:avLst/>
                    </a:prstGeom>
                    <a:noFill/>
                    <a:ln>
                      <a:noFill/>
                    </a:ln>
                  </pic:spPr>
                </pic:pic>
              </a:graphicData>
            </a:graphic>
          </wp:inline>
        </w:drawing>
      </w:r>
    </w:p>
    <w:p w14:paraId="7056F3BE">
      <w:pPr>
        <w:widowControl/>
        <w:spacing w:after="200" w:line="276" w:lineRule="auto"/>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注意：</w:t>
      </w:r>
    </w:p>
    <w:p w14:paraId="33BF1B17">
      <w:pPr>
        <w:widowControl/>
        <w:spacing w:after="200" w:line="276" w:lineRule="auto"/>
        <w:ind w:firstLine="480" w:firstLineChars="200"/>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此处如果出现“请到供应商基本信息界面，编辑补充提供财务数据再参与招投标！”提示，则说明供应商基本信息缺失财务数据，重汽财务部门和采购中心要求必须提供财务数据才可以参与招标</w:t>
      </w:r>
    </w:p>
    <w:p w14:paraId="7A157090">
      <w:pPr>
        <w:widowControl/>
        <w:spacing w:after="200" w:line="276" w:lineRule="auto"/>
        <w:ind w:firstLine="480" w:firstLineChars="200"/>
        <w:jc w:val="left"/>
        <w:rPr>
          <w:rFonts w:ascii="宋体" w:hAnsi="宋体" w:eastAsia="宋体" w:cs="宋体"/>
          <w:kern w:val="0"/>
          <w:sz w:val="24"/>
          <w:szCs w:val="22"/>
          <w:lang w:eastAsia="en-US" w:bidi="ar"/>
        </w:rPr>
      </w:pPr>
      <w:r>
        <w:rPr>
          <w:rFonts w:hint="eastAsia" w:ascii="宋体" w:hAnsi="宋体" w:eastAsia="宋体" w:cs="宋体"/>
          <w:kern w:val="0"/>
          <w:sz w:val="24"/>
          <w:szCs w:val="22"/>
          <w:lang w:eastAsia="en-US"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18BEF769">
      <w:pPr>
        <w:widowControl/>
        <w:spacing w:after="200" w:line="276" w:lineRule="auto"/>
        <w:ind w:firstLine="480" w:firstLineChars="20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按要求填写财务数据，财务数据除长期借款、短期借款、对外担保金额可以为</w:t>
      </w:r>
      <w:r>
        <w:rPr>
          <w:rFonts w:ascii="宋体" w:hAnsi="宋体" w:eastAsia="宋体" w:cs="Times New Roman"/>
          <w:kern w:val="0"/>
          <w:sz w:val="24"/>
          <w:szCs w:val="22"/>
          <w:lang w:eastAsia="en-US" w:bidi="ar"/>
        </w:rPr>
        <w:t>0</w:t>
      </w:r>
      <w:r>
        <w:rPr>
          <w:rFonts w:hint="eastAsia" w:ascii="宋体" w:hAnsi="宋体" w:eastAsia="宋体" w:cs="宋体"/>
          <w:kern w:val="0"/>
          <w:sz w:val="24"/>
          <w:szCs w:val="22"/>
          <w:lang w:eastAsia="en-US" w:bidi="ar"/>
        </w:rPr>
        <w:t>其他数据不允许为空，全部信息补充完整（上面其他的名称、地址、等等其他数据不变更不需要填写）之后选择采购工程师提交，经过审批后后才可以参与招标。</w:t>
      </w:r>
    </w:p>
    <w:p w14:paraId="079C26B0">
      <w:pPr>
        <w:widowControl/>
        <w:spacing w:after="200" w:line="276" w:lineRule="auto"/>
        <w:ind w:firstLine="480" w:firstLineChars="200"/>
        <w:jc w:val="left"/>
        <w:rPr>
          <w:rFonts w:ascii="宋体" w:hAnsi="宋体" w:eastAsia="宋体" w:cs="Times New Roman"/>
          <w:kern w:val="0"/>
          <w:sz w:val="24"/>
          <w:szCs w:val="22"/>
          <w:lang w:eastAsia="en-US"/>
        </w:rPr>
      </w:pPr>
      <w:r>
        <w:rPr>
          <w:rFonts w:hint="eastAsia" w:ascii="宋体" w:hAnsi="宋体" w:eastAsia="宋体" w:cs="宋体"/>
          <w:kern w:val="0"/>
          <w:sz w:val="24"/>
          <w:szCs w:val="22"/>
          <w:lang w:eastAsia="en-US"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6AE5B976">
      <w:pPr>
        <w:pStyle w:val="2"/>
        <w:outlineLvl w:val="2"/>
        <w:rPr>
          <w:rFonts w:hint="eastAsia" w:hAnsi="宋体" w:eastAsia="宋体" w:cs="Times New Roman"/>
          <w:b/>
          <w:color w:val="000000"/>
          <w:sz w:val="24"/>
          <w:szCs w:val="24"/>
          <w:lang w:val="en-US" w:eastAsia="zh-CN"/>
        </w:rPr>
      </w:pPr>
      <w:r>
        <w:rPr>
          <w:rFonts w:hint="eastAsia" w:hAnsi="宋体" w:eastAsia="宋体" w:cs="Times New Roman"/>
          <w:b/>
          <w:color w:val="000000"/>
          <w:sz w:val="24"/>
          <w:szCs w:val="24"/>
        </w:rPr>
        <w:t>SRM系统供应商</w:t>
      </w:r>
      <w:r>
        <w:rPr>
          <w:rFonts w:hint="eastAsia" w:hAnsi="宋体" w:eastAsia="宋体" w:cs="Times New Roman"/>
          <w:b/>
          <w:color w:val="000000"/>
          <w:sz w:val="24"/>
          <w:szCs w:val="24"/>
          <w:lang w:val="en-US" w:eastAsia="zh-CN"/>
        </w:rPr>
        <w:t>近三年数据更新</w:t>
      </w:r>
    </w:p>
    <w:p w14:paraId="341BC1C8">
      <w:pPr>
        <w:bidi w:val="0"/>
      </w:pPr>
      <w:r>
        <w:drawing>
          <wp:inline distT="0" distB="0" distL="114300" distR="114300">
            <wp:extent cx="5749290" cy="2501265"/>
            <wp:effectExtent l="0" t="0" r="381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1"/>
                    <a:stretch>
                      <a:fillRect/>
                    </a:stretch>
                  </pic:blipFill>
                  <pic:spPr>
                    <a:xfrm>
                      <a:off x="0" y="0"/>
                      <a:ext cx="5749290" cy="2501265"/>
                    </a:xfrm>
                    <a:prstGeom prst="rect">
                      <a:avLst/>
                    </a:prstGeom>
                    <a:noFill/>
                    <a:ln>
                      <a:noFill/>
                    </a:ln>
                  </pic:spPr>
                </pic:pic>
              </a:graphicData>
            </a:graphic>
          </wp:inline>
        </w:drawing>
      </w:r>
    </w:p>
    <w:p w14:paraId="747E0D4C">
      <w:pPr>
        <w:bidi w:val="0"/>
      </w:pPr>
      <w:r>
        <w:drawing>
          <wp:inline distT="0" distB="0" distL="114300" distR="114300">
            <wp:extent cx="5746750" cy="3303270"/>
            <wp:effectExtent l="0" t="0" r="6350" b="1143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5746750" cy="3303270"/>
                    </a:xfrm>
                    <a:prstGeom prst="rect">
                      <a:avLst/>
                    </a:prstGeom>
                    <a:noFill/>
                    <a:ln>
                      <a:noFill/>
                    </a:ln>
                  </pic:spPr>
                </pic:pic>
              </a:graphicData>
            </a:graphic>
          </wp:inline>
        </w:drawing>
      </w:r>
    </w:p>
    <w:p w14:paraId="179AD108">
      <w:pPr>
        <w:widowControl/>
        <w:spacing w:after="200" w:line="276" w:lineRule="auto"/>
        <w:jc w:val="left"/>
        <w:rPr>
          <w:rFonts w:ascii="宋体" w:hAnsi="宋体" w:eastAsia="宋体" w:cs="宋体"/>
          <w:sz w:val="14"/>
          <w:szCs w:val="22"/>
          <w:lang w:val="en-US" w:eastAsia="en-US" w:bidi="ar-SA"/>
        </w:rPr>
      </w:pPr>
      <w:r>
        <w:drawing>
          <wp:inline distT="0" distB="0" distL="114300" distR="114300">
            <wp:extent cx="5742940" cy="2099310"/>
            <wp:effectExtent l="0" t="0" r="10160" b="152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3"/>
                    <a:stretch>
                      <a:fillRect/>
                    </a:stretch>
                  </pic:blipFill>
                  <pic:spPr>
                    <a:xfrm>
                      <a:off x="0" y="0"/>
                      <a:ext cx="5742940" cy="2099310"/>
                    </a:xfrm>
                    <a:prstGeom prst="rect">
                      <a:avLst/>
                    </a:prstGeom>
                    <a:noFill/>
                    <a:ln>
                      <a:noFill/>
                    </a:ln>
                  </pic:spPr>
                </pic:pic>
              </a:graphicData>
            </a:graphic>
          </wp:inline>
        </w:drawing>
      </w:r>
      <w:r>
        <w:drawing>
          <wp:inline distT="0" distB="0" distL="114300" distR="114300">
            <wp:extent cx="5742940" cy="2925445"/>
            <wp:effectExtent l="0" t="0" r="10160" b="825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24"/>
                    <a:stretch>
                      <a:fillRect/>
                    </a:stretch>
                  </pic:blipFill>
                  <pic:spPr>
                    <a:xfrm>
                      <a:off x="0" y="0"/>
                      <a:ext cx="5742940" cy="2925445"/>
                    </a:xfrm>
                    <a:prstGeom prst="rect">
                      <a:avLst/>
                    </a:prstGeom>
                    <a:noFill/>
                    <a:ln>
                      <a:noFill/>
                    </a:ln>
                  </pic:spPr>
                </pic:pic>
              </a:graphicData>
            </a:graphic>
          </wp:inline>
        </w:drawing>
      </w:r>
    </w:p>
    <w:p w14:paraId="7507FEAB">
      <w:pPr>
        <w:widowControl/>
        <w:spacing w:after="200" w:line="276" w:lineRule="auto"/>
        <w:jc w:val="left"/>
        <w:rPr>
          <w:rFonts w:ascii="宋体" w:hAnsi="宋体" w:eastAsia="宋体" w:cs="Times New Roman"/>
          <w:kern w:val="0"/>
          <w:sz w:val="24"/>
          <w:szCs w:val="21"/>
          <w:lang w:eastAsia="en-US" w:bidi="en-US"/>
        </w:rPr>
      </w:pPr>
    </w:p>
    <w:p w14:paraId="689E358F">
      <w:pPr>
        <w:rPr>
          <w:highlight w:val="none"/>
        </w:rPr>
        <w:sectPr>
          <w:pgSz w:w="11906" w:h="16838"/>
          <w:pgMar w:top="1588" w:right="1418" w:bottom="1134" w:left="1418" w:header="851" w:footer="992" w:gutter="0"/>
          <w:pgNumType w:fmt="decimal"/>
          <w:cols w:space="720" w:num="1"/>
          <w:titlePg/>
          <w:docGrid w:type="lines" w:linePitch="312" w:charSpace="0"/>
        </w:sectPr>
      </w:pPr>
    </w:p>
    <w:p w14:paraId="057424C7">
      <w:pPr>
        <w:spacing w:after="200" w:line="276" w:lineRule="auto"/>
        <w:outlineLvl w:val="2"/>
        <w:rPr>
          <w:rFonts w:hint="eastAsia" w:ascii="宋体" w:hAnsi="宋体" w:eastAsia="宋体" w:cs="Times New Roman"/>
          <w:b/>
          <w:color w:val="000000"/>
          <w:sz w:val="24"/>
          <w:szCs w:val="24"/>
          <w:highlight w:val="none"/>
          <w:lang w:val="en-US" w:eastAsia="zh-CN" w:bidi="ar-SA"/>
        </w:rPr>
      </w:pPr>
      <w:r>
        <w:rPr>
          <w:rFonts w:hint="eastAsia" w:ascii="宋体" w:hAnsi="宋体" w:eastAsia="宋体" w:cs="Times New Roman"/>
          <w:b/>
          <w:color w:val="000000"/>
          <w:sz w:val="24"/>
          <w:szCs w:val="24"/>
          <w:highlight w:val="none"/>
          <w:lang w:val="en-US" w:eastAsia="zh-CN" w:bidi="ar-SA"/>
        </w:rPr>
        <w:t>SRM系统供应商用户手册</w:t>
      </w:r>
    </w:p>
    <w:p w14:paraId="128D229E">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系统网址：</w:t>
      </w:r>
      <w:r>
        <w:rPr>
          <w:rFonts w:hint="eastAsia" w:ascii="宋体" w:hAnsi="宋体" w:eastAsia="宋体" w:cs="宋体"/>
          <w:color w:val="0000FF"/>
          <w:kern w:val="0"/>
          <w:sz w:val="24"/>
          <w:szCs w:val="24"/>
          <w:highlight w:val="none"/>
          <w:u w:val="none"/>
          <w:lang w:eastAsia="en-US"/>
        </w:rPr>
        <w:fldChar w:fldCharType="begin"/>
      </w:r>
      <w:r>
        <w:rPr>
          <w:rFonts w:hint="eastAsia" w:ascii="宋体" w:hAnsi="宋体" w:eastAsia="宋体" w:cs="宋体"/>
          <w:color w:val="0000FF"/>
          <w:kern w:val="0"/>
          <w:sz w:val="24"/>
          <w:szCs w:val="24"/>
          <w:highlight w:val="none"/>
          <w:u w:val="none"/>
          <w:lang w:eastAsia="en-US"/>
        </w:rPr>
        <w:instrText xml:space="preserve">HYPERLINK http://ecaitong.sinotruk.com:8012/ normalLink \tdkey u5b6qk \tdfu http://ecaitong.sinotruk.com:8012/ \tdfn http%3A//ecaitong.sinotruk.com%3A8012/ \tdfe -10 \tdlt text </w:instrText>
      </w:r>
      <w:r>
        <w:rPr>
          <w:rFonts w:hint="eastAsia" w:ascii="宋体" w:hAnsi="宋体" w:eastAsia="宋体" w:cs="宋体"/>
          <w:color w:val="0000FF"/>
          <w:kern w:val="0"/>
          <w:sz w:val="24"/>
          <w:szCs w:val="24"/>
          <w:highlight w:val="none"/>
          <w:u w:val="none"/>
          <w:lang w:eastAsia="en-US"/>
        </w:rPr>
        <w:fldChar w:fldCharType="separate"/>
      </w:r>
      <w:r>
        <w:rPr>
          <w:rFonts w:hint="eastAsia" w:ascii="宋体" w:hAnsi="宋体" w:eastAsia="宋体" w:cs="宋体"/>
          <w:color w:val="0000FF"/>
          <w:kern w:val="0"/>
          <w:sz w:val="24"/>
          <w:szCs w:val="24"/>
          <w:highlight w:val="none"/>
          <w:u w:val="none"/>
          <w:lang w:eastAsia="en-US"/>
        </w:rPr>
        <w:t>http</w:t>
      </w:r>
      <w:r>
        <w:rPr>
          <w:rFonts w:hint="eastAsia" w:ascii="宋体" w:hAnsi="宋体" w:eastAsia="宋体" w:cs="宋体"/>
          <w:color w:val="0000FF"/>
          <w:kern w:val="0"/>
          <w:sz w:val="24"/>
          <w:szCs w:val="24"/>
          <w:highlight w:val="none"/>
          <w:u w:val="none"/>
          <w:lang w:val="en-US" w:eastAsia="zh-CN"/>
        </w:rPr>
        <w:t>s</w:t>
      </w:r>
      <w:r>
        <w:rPr>
          <w:rFonts w:hint="eastAsia" w:ascii="宋体" w:hAnsi="宋体" w:eastAsia="宋体" w:cs="宋体"/>
          <w:color w:val="0000FF"/>
          <w:kern w:val="0"/>
          <w:sz w:val="24"/>
          <w:szCs w:val="24"/>
          <w:highlight w:val="none"/>
          <w:u w:val="none"/>
          <w:lang w:eastAsia="en-US"/>
        </w:rPr>
        <w:t>://ecaitong.sinotruk.com:8012/</w:t>
      </w:r>
      <w:r>
        <w:rPr>
          <w:rFonts w:hint="eastAsia" w:ascii="宋体" w:hAnsi="宋体" w:eastAsia="宋体" w:cs="宋体"/>
          <w:color w:val="0000FF"/>
          <w:kern w:val="0"/>
          <w:sz w:val="24"/>
          <w:szCs w:val="24"/>
          <w:highlight w:val="none"/>
          <w:u w:val="none"/>
          <w:lang w:eastAsia="en-US"/>
        </w:rPr>
        <w:fldChar w:fldCharType="end"/>
      </w:r>
    </w:p>
    <w:p w14:paraId="75C87096">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用 户 名：gys+供应商代码</w:t>
      </w:r>
    </w:p>
    <w:p w14:paraId="031D8108">
      <w:pPr>
        <w:widowControl/>
        <w:snapToGrid/>
        <w:spacing w:before="0" w:after="0" w:line="360" w:lineRule="auto"/>
        <w:ind w:left="0" w:right="0" w:firstLine="0"/>
        <w:jc w:val="both"/>
        <w:rPr>
          <w:rFonts w:hint="eastAsia" w:ascii="宋体" w:hAnsi="宋体" w:eastAsia="宋体" w:cs="宋体"/>
          <w:kern w:val="0"/>
          <w:sz w:val="24"/>
          <w:szCs w:val="24"/>
          <w:highlight w:val="none"/>
          <w:lang w:eastAsia="en-US"/>
        </w:rPr>
      </w:pPr>
      <w:r>
        <w:rPr>
          <w:rFonts w:hint="eastAsia" w:ascii="宋体" w:hAnsi="宋体" w:eastAsia="宋体" w:cs="宋体"/>
          <w:i w:val="0"/>
          <w:strike w:val="0"/>
          <w:color w:val="000000"/>
          <w:kern w:val="0"/>
          <w:sz w:val="24"/>
          <w:szCs w:val="24"/>
          <w:highlight w:val="none"/>
          <w:u w:val="none"/>
          <w:lang w:eastAsia="en-US"/>
        </w:rPr>
        <w:t>初始密码：</w:t>
      </w:r>
      <w:r>
        <w:rPr>
          <w:rFonts w:hint="eastAsia" w:ascii="宋体" w:hAnsi="宋体" w:eastAsia="宋体" w:cs="宋体"/>
          <w:i w:val="0"/>
          <w:strike w:val="0"/>
          <w:color w:val="000000"/>
          <w:kern w:val="0"/>
          <w:sz w:val="24"/>
          <w:szCs w:val="24"/>
          <w:highlight w:val="none"/>
          <w:u w:val="none"/>
          <w:lang w:val="en-US" w:eastAsia="zh-CN"/>
        </w:rPr>
        <w:t>scm</w:t>
      </w:r>
      <w:r>
        <w:rPr>
          <w:rFonts w:hint="eastAsia" w:ascii="宋体" w:hAnsi="宋体" w:eastAsia="宋体" w:cs="宋体"/>
          <w:i w:val="0"/>
          <w:strike w:val="0"/>
          <w:color w:val="000000"/>
          <w:kern w:val="0"/>
          <w:sz w:val="24"/>
          <w:szCs w:val="24"/>
          <w:highlight w:val="none"/>
          <w:u w:val="none"/>
          <w:lang w:eastAsia="en-US"/>
        </w:rPr>
        <w:t>@202</w:t>
      </w:r>
      <w:r>
        <w:rPr>
          <w:rFonts w:hint="eastAsia" w:ascii="宋体" w:hAnsi="宋体" w:eastAsia="宋体" w:cs="宋体"/>
          <w:i w:val="0"/>
          <w:strike w:val="0"/>
          <w:color w:val="000000"/>
          <w:kern w:val="0"/>
          <w:sz w:val="24"/>
          <w:szCs w:val="24"/>
          <w:highlight w:val="none"/>
          <w:u w:val="none"/>
          <w:lang w:val="en-US" w:eastAsia="zh-CN"/>
        </w:rPr>
        <w:t>2或手机短信接收到的密码</w:t>
      </w:r>
    </w:p>
    <w:p w14:paraId="5ECF7642">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1.供应商应标</w:t>
      </w:r>
    </w:p>
    <w:p w14:paraId="58BAFADB">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供应商应标</w:t>
      </w:r>
    </w:p>
    <w:p w14:paraId="2156CA81">
      <w:pPr>
        <w:widowControl/>
        <w:snapToGrid/>
        <w:spacing w:before="0" w:after="0" w:line="360" w:lineRule="auto"/>
        <w:ind w:left="0" w:right="0"/>
        <w:jc w:val="both"/>
        <w:rPr>
          <w:rFonts w:ascii="宋体" w:hAnsi="宋体" w:eastAsia="宋体" w:cs="宋体"/>
          <w:i w:val="0"/>
          <w:strike w:val="0"/>
          <w:color w:val="000000"/>
          <w:kern w:val="0"/>
          <w:sz w:val="24"/>
          <w:szCs w:val="24"/>
          <w:highlight w:val="none"/>
          <w:u w:val="none"/>
          <w:lang w:eastAsia="en-US"/>
        </w:rPr>
      </w:pPr>
      <w:r>
        <w:rPr>
          <w:rFonts w:ascii="宋体" w:hAnsi="宋体" w:eastAsia="宋体" w:cs="宋体"/>
          <w:i w:val="0"/>
          <w:strike w:val="0"/>
          <w:color w:val="000000"/>
          <w:kern w:val="0"/>
          <w:sz w:val="24"/>
          <w:szCs w:val="24"/>
          <w:highlight w:val="none"/>
          <w:u w:val="none"/>
          <w:lang w:eastAsia="en-US"/>
        </w:rPr>
        <w:t>点击应标，上传文件之后点击提交。</w:t>
      </w:r>
    </w:p>
    <w:p w14:paraId="7BA5EF34">
      <w:pPr>
        <w:widowControl/>
        <w:snapToGrid/>
        <w:spacing w:before="0" w:after="0" w:line="240" w:lineRule="auto"/>
        <w:ind w:left="0" w:right="0"/>
        <w:jc w:val="both"/>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drawing>
          <wp:inline distT="0" distB="0" distL="114300" distR="114300">
            <wp:extent cx="5760085" cy="2269490"/>
            <wp:effectExtent l="0" t="0" r="12065" b="16510"/>
            <wp:docPr id="18" name="图片 9" descr="descript"/>
            <wp:cNvGraphicFramePr/>
            <a:graphic xmlns:a="http://schemas.openxmlformats.org/drawingml/2006/main">
              <a:graphicData uri="http://schemas.openxmlformats.org/drawingml/2006/picture">
                <pic:pic xmlns:pic="http://schemas.openxmlformats.org/drawingml/2006/picture">
                  <pic:nvPicPr>
                    <pic:cNvPr id="18" name="图片 9" descr="descript"/>
                    <pic:cNvPicPr/>
                  </pic:nvPicPr>
                  <pic:blipFill>
                    <a:blip r:embed="rId25"/>
                    <a:stretch>
                      <a:fillRect/>
                    </a:stretch>
                  </pic:blipFill>
                  <pic:spPr>
                    <a:xfrm>
                      <a:off x="0" y="0"/>
                      <a:ext cx="5760085" cy="2269490"/>
                    </a:xfrm>
                    <a:prstGeom prst="rect">
                      <a:avLst/>
                    </a:prstGeom>
                    <a:noFill/>
                    <a:ln>
                      <a:noFill/>
                    </a:ln>
                  </pic:spPr>
                </pic:pic>
              </a:graphicData>
            </a:graphic>
          </wp:inline>
        </w:drawing>
      </w:r>
    </w:p>
    <w:p w14:paraId="43C27502">
      <w:pPr>
        <w:widowControl/>
        <w:snapToGrid/>
        <w:spacing w:before="0" w:after="0" w:line="240" w:lineRule="auto"/>
        <w:ind w:left="0" w:right="0"/>
        <w:jc w:val="both"/>
        <w:rPr>
          <w:rFonts w:ascii="宋体" w:hAnsi="宋体" w:eastAsia="宋体" w:cs="Times New Roman"/>
          <w:kern w:val="0"/>
          <w:sz w:val="24"/>
          <w:szCs w:val="22"/>
          <w:highlight w:val="none"/>
          <w:lang w:eastAsia="en-US"/>
        </w:rPr>
      </w:pPr>
    </w:p>
    <w:p w14:paraId="29C9519C">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2.供应商投标</w:t>
      </w:r>
    </w:p>
    <w:p w14:paraId="19B8001E">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供应商投标</w:t>
      </w:r>
    </w:p>
    <w:p w14:paraId="2DD35784">
      <w:pPr>
        <w:widowControl/>
        <w:snapToGrid/>
        <w:spacing w:before="0" w:after="0" w:line="240" w:lineRule="auto"/>
        <w:ind w:left="0" w:right="0"/>
        <w:jc w:val="both"/>
        <w:rPr>
          <w:rFonts w:ascii="宋体" w:hAnsi="宋体" w:eastAsia="宋体" w:cs="宋体"/>
          <w:i w:val="0"/>
          <w:strike w:val="0"/>
          <w:color w:val="000000"/>
          <w:kern w:val="0"/>
          <w:sz w:val="21"/>
          <w:szCs w:val="22"/>
          <w:highlight w:val="none"/>
          <w:u w:val="none"/>
          <w:lang w:eastAsia="en-US"/>
        </w:rPr>
      </w:pPr>
      <w:r>
        <w:rPr>
          <w:rFonts w:ascii="宋体" w:hAnsi="宋体" w:eastAsia="宋体" w:cs="宋体"/>
          <w:i w:val="0"/>
          <w:strike w:val="0"/>
          <w:color w:val="000000"/>
          <w:kern w:val="0"/>
          <w:sz w:val="21"/>
          <w:szCs w:val="22"/>
          <w:highlight w:val="none"/>
          <w:u w:val="none"/>
          <w:lang w:eastAsia="en-US"/>
        </w:rPr>
        <w:drawing>
          <wp:inline distT="0" distB="0" distL="114300" distR="114300">
            <wp:extent cx="5760085" cy="2125345"/>
            <wp:effectExtent l="0" t="0" r="12065" b="8255"/>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pic:nvPicPr>
                  <pic:blipFill>
                    <a:blip r:embed="rId26"/>
                    <a:stretch>
                      <a:fillRect/>
                    </a:stretch>
                  </pic:blipFill>
                  <pic:spPr>
                    <a:xfrm>
                      <a:off x="0" y="0"/>
                      <a:ext cx="5760085" cy="2125345"/>
                    </a:xfrm>
                    <a:prstGeom prst="rect">
                      <a:avLst/>
                    </a:prstGeom>
                    <a:noFill/>
                    <a:ln>
                      <a:noFill/>
                    </a:ln>
                  </pic:spPr>
                </pic:pic>
              </a:graphicData>
            </a:graphic>
          </wp:inline>
        </w:drawing>
      </w:r>
    </w:p>
    <w:p w14:paraId="6EE50AB1">
      <w:pPr>
        <w:widowControl/>
        <w:snapToGrid/>
        <w:spacing w:before="0" w:after="0" w:line="360" w:lineRule="auto"/>
        <w:ind w:left="0" w:right="0"/>
        <w:jc w:val="both"/>
        <w:rPr>
          <w:rFonts w:ascii="宋体" w:hAnsi="宋体" w:eastAsia="宋体" w:cs="宋体"/>
          <w:i w:val="0"/>
          <w:strike w:val="0"/>
          <w:color w:val="000000"/>
          <w:kern w:val="0"/>
          <w:sz w:val="24"/>
          <w:szCs w:val="28"/>
          <w:highlight w:val="none"/>
          <w:u w:val="none"/>
          <w:lang w:eastAsia="en-US"/>
        </w:rPr>
      </w:pPr>
      <w:r>
        <w:rPr>
          <w:rFonts w:ascii="宋体" w:hAnsi="宋体" w:eastAsia="宋体" w:cs="宋体"/>
          <w:i w:val="0"/>
          <w:strike w:val="0"/>
          <w:color w:val="000000"/>
          <w:kern w:val="0"/>
          <w:sz w:val="24"/>
          <w:szCs w:val="28"/>
          <w:highlight w:val="none"/>
          <w:u w:val="none"/>
          <w:lang w:eastAsia="en-US"/>
        </w:rPr>
        <w:t>点击投标按钮，进入详情页，输入投标报价并上传相应的附件。</w:t>
      </w:r>
    </w:p>
    <w:p w14:paraId="6E5C2303">
      <w:pPr>
        <w:widowControl/>
        <w:spacing w:after="200" w:line="276" w:lineRule="auto"/>
        <w:jc w:val="left"/>
        <w:rPr>
          <w:rFonts w:ascii="宋体" w:hAnsi="宋体" w:eastAsia="宋体" w:cs="Times New Roman"/>
          <w:b/>
          <w:bCs/>
          <w:kern w:val="0"/>
          <w:sz w:val="28"/>
          <w:szCs w:val="28"/>
          <w:highlight w:val="none"/>
          <w:lang w:eastAsia="en-US"/>
        </w:rPr>
      </w:pPr>
      <w:r>
        <w:rPr>
          <w:rFonts w:hint="eastAsia" w:ascii="宋体" w:hAnsi="宋体" w:eastAsia="宋体" w:cs="Times New Roman"/>
          <w:b/>
          <w:bCs/>
          <w:kern w:val="0"/>
          <w:sz w:val="28"/>
          <w:szCs w:val="28"/>
          <w:highlight w:val="none"/>
          <w:lang w:eastAsia="en-US"/>
        </w:rPr>
        <w:t>请注意，投标报价单位为万元含税</w:t>
      </w:r>
    </w:p>
    <w:p w14:paraId="37A67DB4">
      <w:pPr>
        <w:spacing w:after="120" w:line="276" w:lineRule="auto"/>
        <w:rPr>
          <w:rFonts w:ascii="宋体" w:hAnsi="宋体" w:eastAsia="宋体" w:cs="Times New Roman"/>
          <w:sz w:val="24"/>
          <w:szCs w:val="22"/>
          <w:highlight w:val="none"/>
          <w:lang w:val="en-US" w:eastAsia="en-US" w:bidi="ar-SA"/>
        </w:rPr>
        <w:sectPr>
          <w:headerReference r:id="rId7" w:type="first"/>
          <w:footerReference r:id="rId9" w:type="first"/>
          <w:footerReference r:id="rId8" w:type="default"/>
          <w:pgSz w:w="11906" w:h="16838"/>
          <w:pgMar w:top="1701" w:right="1418" w:bottom="1134" w:left="1418" w:header="851" w:footer="992" w:gutter="0"/>
          <w:pgNumType w:fmt="decimal"/>
          <w:cols w:space="720" w:num="1"/>
          <w:titlePg/>
          <w:docGrid w:type="lines" w:linePitch="312" w:charSpace="0"/>
        </w:sectPr>
      </w:pPr>
    </w:p>
    <w:p w14:paraId="58C252F4">
      <w:pPr>
        <w:pStyle w:val="2"/>
        <w:rPr>
          <w:lang w:val="en-US" w:eastAsia="en-US"/>
        </w:rPr>
      </w:pPr>
    </w:p>
    <w:p w14:paraId="4B165DA2">
      <w:pPr>
        <w:widowControl/>
        <w:snapToGrid/>
        <w:spacing w:before="280" w:after="290" w:line="372" w:lineRule="auto"/>
        <w:ind w:left="425" w:right="0" w:hanging="425"/>
        <w:jc w:val="both"/>
        <w:outlineLvl w:val="9"/>
        <w:rPr>
          <w:rFonts w:ascii="Arial" w:hAnsi="Arial" w:eastAsia="Arial" w:cs="Arial"/>
          <w:i w:val="0"/>
          <w:strike w:val="0"/>
          <w:color w:val="000000"/>
          <w:kern w:val="0"/>
          <w:sz w:val="28"/>
          <w:szCs w:val="22"/>
          <w:highlight w:val="none"/>
          <w:u w:val="none"/>
          <w:lang w:eastAsia="en-US"/>
        </w:rPr>
      </w:pPr>
      <w:r>
        <w:rPr>
          <w:rFonts w:ascii="Arial" w:hAnsi="Arial" w:eastAsia="Arial" w:cs="Arial"/>
          <w:i w:val="0"/>
          <w:strike w:val="0"/>
          <w:color w:val="000000"/>
          <w:kern w:val="0"/>
          <w:sz w:val="28"/>
          <w:szCs w:val="22"/>
          <w:highlight w:val="none"/>
          <w:u w:val="none"/>
          <w:lang w:eastAsia="en-US"/>
        </w:rPr>
        <w:drawing>
          <wp:inline distT="0" distB="0" distL="114300" distR="114300">
            <wp:extent cx="5490210" cy="2668905"/>
            <wp:effectExtent l="0" t="0" r="15240" b="17145"/>
            <wp:docPr id="21" name="图片 11" descr="descript"/>
            <wp:cNvGraphicFramePr/>
            <a:graphic xmlns:a="http://schemas.openxmlformats.org/drawingml/2006/main">
              <a:graphicData uri="http://schemas.openxmlformats.org/drawingml/2006/picture">
                <pic:pic xmlns:pic="http://schemas.openxmlformats.org/drawingml/2006/picture">
                  <pic:nvPicPr>
                    <pic:cNvPr id="21" name="图片 11" descr="descript"/>
                    <pic:cNvPicPr/>
                  </pic:nvPicPr>
                  <pic:blipFill>
                    <a:blip r:embed="rId27"/>
                    <a:stretch>
                      <a:fillRect/>
                    </a:stretch>
                  </pic:blipFill>
                  <pic:spPr>
                    <a:xfrm>
                      <a:off x="0" y="0"/>
                      <a:ext cx="5490210" cy="2668905"/>
                    </a:xfrm>
                    <a:prstGeom prst="rect">
                      <a:avLst/>
                    </a:prstGeom>
                    <a:noFill/>
                    <a:ln>
                      <a:noFill/>
                    </a:ln>
                  </pic:spPr>
                </pic:pic>
              </a:graphicData>
            </a:graphic>
          </wp:inline>
        </w:drawing>
      </w:r>
    </w:p>
    <w:p w14:paraId="207A1ED4">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3.供应商技术标澄清函</w:t>
      </w:r>
    </w:p>
    <w:p w14:paraId="7FEF4F99">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供应商技术标澄清函</w:t>
      </w:r>
    </w:p>
    <w:p w14:paraId="63EA2391">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点击编辑按钮进入系统，上传技术标澄清函。</w:t>
      </w:r>
    </w:p>
    <w:p w14:paraId="2BFD5BA3">
      <w:pPr>
        <w:widowControl/>
        <w:spacing w:before="0" w:after="0" w:line="360" w:lineRule="auto"/>
        <w:ind w:left="0"/>
        <w:jc w:val="left"/>
        <w:rPr>
          <w:rFonts w:ascii="Arial" w:hAnsi="Arial" w:eastAsia="Arial" w:cs="Arial"/>
          <w:i w:val="0"/>
          <w:strike w:val="0"/>
          <w:color w:val="000000"/>
          <w:kern w:val="0"/>
          <w:sz w:val="28"/>
          <w:szCs w:val="22"/>
          <w:highlight w:val="none"/>
          <w:u w:val="none"/>
          <w:lang w:eastAsia="en-US"/>
        </w:rPr>
      </w:pPr>
      <w:r>
        <w:rPr>
          <w:rFonts w:ascii="宋体" w:hAnsi="宋体" w:eastAsia="宋体" w:cs="宋体"/>
          <w:i w:val="0"/>
          <w:strike w:val="0"/>
          <w:color w:val="000000"/>
          <w:kern w:val="0"/>
          <w:sz w:val="24"/>
          <w:szCs w:val="24"/>
          <w:highlight w:val="none"/>
          <w:u w:val="none"/>
          <w:lang w:eastAsia="en-US"/>
        </w:rPr>
        <w:t>开标之后所有投标的供应商都可编辑提交，技术标入围之后</w:t>
      </w:r>
      <w:r>
        <w:rPr>
          <w:rFonts w:hint="eastAsia" w:ascii="宋体" w:hAnsi="宋体" w:eastAsia="宋体" w:cs="宋体"/>
          <w:i w:val="0"/>
          <w:strike w:val="0"/>
          <w:color w:val="000000"/>
          <w:kern w:val="0"/>
          <w:sz w:val="24"/>
          <w:szCs w:val="24"/>
          <w:highlight w:val="none"/>
          <w:u w:val="none"/>
          <w:lang w:eastAsia="en-US"/>
        </w:rPr>
        <w:t xml:space="preserve"> </w:t>
      </w:r>
      <w:r>
        <w:rPr>
          <w:rFonts w:ascii="宋体" w:hAnsi="宋体" w:eastAsia="宋体" w:cs="宋体"/>
          <w:i w:val="0"/>
          <w:strike w:val="0"/>
          <w:color w:val="000000"/>
          <w:kern w:val="0"/>
          <w:sz w:val="24"/>
          <w:szCs w:val="24"/>
          <w:highlight w:val="none"/>
          <w:u w:val="none"/>
          <w:lang w:eastAsia="en-US"/>
        </w:rPr>
        <w:t>都不可编辑</w:t>
      </w:r>
      <w:r>
        <w:rPr>
          <w:rFonts w:ascii="宋体" w:hAnsi="宋体" w:eastAsia="宋体" w:cs="Times New Roman"/>
          <w:kern w:val="0"/>
          <w:sz w:val="24"/>
          <w:szCs w:val="22"/>
          <w:highlight w:val="none"/>
          <w:lang w:eastAsia="en-US"/>
        </w:rPr>
        <w:drawing>
          <wp:inline distT="0" distB="0" distL="0" distR="0">
            <wp:extent cx="5502910" cy="2550795"/>
            <wp:effectExtent l="0" t="0" r="254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28"/>
                    <a:stretch>
                      <a:fillRect/>
                    </a:stretch>
                  </pic:blipFill>
                  <pic:spPr>
                    <a:xfrm>
                      <a:off x="0" y="0"/>
                      <a:ext cx="5502910" cy="2550795"/>
                    </a:xfrm>
                    <a:prstGeom prst="rect">
                      <a:avLst/>
                    </a:prstGeom>
                  </pic:spPr>
                </pic:pic>
              </a:graphicData>
            </a:graphic>
          </wp:inline>
        </w:drawing>
      </w:r>
    </w:p>
    <w:p w14:paraId="67FED33E">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4.供应商报价</w:t>
      </w:r>
    </w:p>
    <w:p w14:paraId="1AF386D4">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供应商报价</w:t>
      </w:r>
    </w:p>
    <w:p w14:paraId="2784BC2D">
      <w:pPr>
        <w:widowControl/>
        <w:snapToGrid/>
        <w:spacing w:before="0" w:after="0" w:line="360" w:lineRule="auto"/>
        <w:ind w:left="0" w:right="0"/>
        <w:jc w:val="both"/>
        <w:rPr>
          <w:rFonts w:ascii="宋体" w:hAnsi="宋体" w:eastAsia="宋体" w:cs="宋体"/>
          <w:i w:val="0"/>
          <w:strike w:val="0"/>
          <w:color w:val="000000"/>
          <w:kern w:val="0"/>
          <w:sz w:val="24"/>
          <w:szCs w:val="24"/>
          <w:highlight w:val="none"/>
          <w:u w:val="none"/>
          <w:lang w:eastAsia="en-US"/>
        </w:rPr>
      </w:pPr>
      <w:r>
        <w:rPr>
          <w:rFonts w:ascii="宋体" w:hAnsi="宋体" w:eastAsia="宋体" w:cs="宋体"/>
          <w:i w:val="0"/>
          <w:strike w:val="0"/>
          <w:color w:val="000000"/>
          <w:kern w:val="0"/>
          <w:sz w:val="24"/>
          <w:szCs w:val="24"/>
          <w:highlight w:val="none"/>
          <w:u w:val="none"/>
          <w:lang w:eastAsia="en-US"/>
        </w:rPr>
        <w:t>点击报价按钮进入报价详情界面，请在此轮报价起止时间内报价，否则无法报价。</w:t>
      </w:r>
    </w:p>
    <w:p w14:paraId="27415266">
      <w:pPr>
        <w:widowControl/>
        <w:spacing w:after="200" w:line="276" w:lineRule="auto"/>
        <w:jc w:val="left"/>
        <w:rPr>
          <w:rFonts w:ascii="宋体" w:hAnsi="宋体" w:eastAsia="宋体" w:cs="Times New Roman"/>
          <w:b/>
          <w:bCs/>
          <w:kern w:val="0"/>
          <w:sz w:val="28"/>
          <w:szCs w:val="28"/>
          <w:highlight w:val="none"/>
          <w:lang w:eastAsia="en-US"/>
        </w:rPr>
      </w:pPr>
      <w:r>
        <w:rPr>
          <w:rFonts w:hint="eastAsia" w:ascii="宋体" w:hAnsi="宋体" w:eastAsia="宋体" w:cs="Times New Roman"/>
          <w:b/>
          <w:bCs/>
          <w:kern w:val="0"/>
          <w:sz w:val="28"/>
          <w:szCs w:val="28"/>
          <w:highlight w:val="none"/>
          <w:lang w:eastAsia="en-US"/>
        </w:rPr>
        <w:t>请注意，报价单位为万元含税</w:t>
      </w:r>
    </w:p>
    <w:p w14:paraId="198EAE6B">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5.供应商澄清报价</w:t>
      </w:r>
    </w:p>
    <w:p w14:paraId="24EB8626">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供应商澄清报价</w:t>
      </w:r>
    </w:p>
    <w:p w14:paraId="54389C42">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招标发起人接收建议价的同时会给供应商发送澄清报价，供应商在此界面进行澄清报价，点击编辑按钮进入澄清报价详细界面，输入价格并上传澄清函，之后点击提交。</w:t>
      </w:r>
    </w:p>
    <w:p w14:paraId="5A19F034">
      <w:pPr>
        <w:widowControl/>
        <w:snapToGrid/>
        <w:spacing w:before="280" w:after="290" w:line="372" w:lineRule="auto"/>
        <w:ind w:left="425" w:right="0" w:hanging="425"/>
        <w:jc w:val="both"/>
        <w:outlineLvl w:val="9"/>
        <w:rPr>
          <w:rFonts w:ascii="Arial" w:hAnsi="Arial" w:eastAsia="Arial" w:cs="Arial"/>
          <w:i w:val="0"/>
          <w:strike w:val="0"/>
          <w:color w:val="000000"/>
          <w:kern w:val="0"/>
          <w:sz w:val="28"/>
          <w:szCs w:val="22"/>
          <w:highlight w:val="none"/>
          <w:u w:val="none"/>
          <w:lang w:eastAsia="en-US"/>
        </w:rPr>
      </w:pPr>
      <w:r>
        <w:rPr>
          <w:rFonts w:ascii="Arial" w:hAnsi="Arial" w:eastAsia="Arial" w:cs="Arial"/>
          <w:i w:val="0"/>
          <w:strike w:val="0"/>
          <w:color w:val="000000"/>
          <w:kern w:val="0"/>
          <w:sz w:val="28"/>
          <w:szCs w:val="22"/>
          <w:highlight w:val="none"/>
          <w:u w:val="none"/>
          <w:lang w:eastAsia="en-US"/>
        </w:rPr>
        <w:drawing>
          <wp:inline distT="0" distB="0" distL="114300" distR="114300">
            <wp:extent cx="5300345" cy="2172970"/>
            <wp:effectExtent l="0" t="0" r="14605" b="1778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29"/>
                    <a:stretch>
                      <a:fillRect/>
                    </a:stretch>
                  </pic:blipFill>
                  <pic:spPr>
                    <a:xfrm>
                      <a:off x="0" y="0"/>
                      <a:ext cx="5300345" cy="2172970"/>
                    </a:xfrm>
                    <a:prstGeom prst="rect">
                      <a:avLst/>
                    </a:prstGeom>
                    <a:noFill/>
                    <a:ln>
                      <a:noFill/>
                    </a:ln>
                  </pic:spPr>
                </pic:pic>
              </a:graphicData>
            </a:graphic>
          </wp:inline>
        </w:drawing>
      </w:r>
    </w:p>
    <w:p w14:paraId="0ABAC8C9">
      <w:pPr>
        <w:widowControl/>
        <w:spacing w:before="0" w:after="0" w:line="360" w:lineRule="auto"/>
        <w:ind w:left="0"/>
        <w:jc w:val="left"/>
        <w:rPr>
          <w:rFonts w:hint="eastAsia" w:ascii="宋体" w:hAnsi="宋体" w:eastAsia="宋体" w:cs="宋体"/>
          <w:b/>
          <w:bCs/>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eastAsia="en-US"/>
        </w:rPr>
        <w:t>6.供应商查看中标通知</w:t>
      </w:r>
    </w:p>
    <w:p w14:paraId="494C6202">
      <w:pPr>
        <w:widowControl/>
        <w:snapToGrid/>
        <w:spacing w:before="0" w:after="0" w:line="360" w:lineRule="auto"/>
        <w:ind w:left="0" w:right="0"/>
        <w:jc w:val="both"/>
        <w:rPr>
          <w:rFonts w:hint="eastAsia" w:ascii="宋体" w:hAnsi="宋体" w:eastAsia="宋体" w:cs="宋体"/>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路径：招投标中心</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非生产类招投标</w:t>
      </w:r>
      <w:r>
        <w:rPr>
          <w:rFonts w:hint="eastAsia" w:ascii="宋体" w:hAnsi="宋体" w:eastAsia="宋体" w:cs="宋体"/>
          <w:i w:val="0"/>
          <w:strike w:val="0"/>
          <w:color w:val="000000"/>
          <w:kern w:val="0"/>
          <w:sz w:val="24"/>
          <w:szCs w:val="24"/>
          <w:highlight w:val="none"/>
          <w:u w:val="none"/>
          <w:lang w:eastAsia="en-US"/>
        </w:rPr>
        <w:t>-</w:t>
      </w:r>
      <w:r>
        <w:rPr>
          <w:rFonts w:ascii="宋体" w:hAnsi="宋体" w:eastAsia="宋体" w:cs="宋体"/>
          <w:i w:val="0"/>
          <w:strike w:val="0"/>
          <w:color w:val="000000"/>
          <w:kern w:val="0"/>
          <w:sz w:val="24"/>
          <w:szCs w:val="24"/>
          <w:highlight w:val="none"/>
          <w:u w:val="none"/>
          <w:lang w:eastAsia="en-US"/>
        </w:rPr>
        <w:t>中标项目</w:t>
      </w:r>
    </w:p>
    <w:p w14:paraId="02F5E4A3">
      <w:pPr>
        <w:widowControl/>
        <w:snapToGrid/>
        <w:spacing w:before="0" w:after="0" w:line="360" w:lineRule="auto"/>
        <w:ind w:left="0" w:right="0"/>
        <w:jc w:val="both"/>
        <w:rPr>
          <w:rFonts w:hint="eastAsia" w:ascii="宋体" w:hAnsi="宋体" w:eastAsia="宋体" w:cs="Times New Roman"/>
          <w:b/>
          <w:kern w:val="0"/>
          <w:sz w:val="24"/>
          <w:szCs w:val="24"/>
          <w:highlight w:val="none"/>
          <w:lang w:eastAsia="en-US"/>
        </w:rPr>
      </w:pPr>
      <w:r>
        <w:rPr>
          <w:rFonts w:ascii="宋体" w:hAnsi="宋体" w:eastAsia="宋体" w:cs="宋体"/>
          <w:i w:val="0"/>
          <w:strike w:val="0"/>
          <w:color w:val="000000"/>
          <w:kern w:val="0"/>
          <w:sz w:val="24"/>
          <w:szCs w:val="24"/>
          <w:highlight w:val="none"/>
          <w:u w:val="none"/>
          <w:lang w:eastAsia="en-US"/>
        </w:rPr>
        <w:t>点击查看进入查看中标项目详情</w:t>
      </w:r>
    </w:p>
    <w:p w14:paraId="399C7D75">
      <w:pPr>
        <w:widowControl/>
        <w:spacing w:after="200" w:line="276" w:lineRule="auto"/>
        <w:jc w:val="left"/>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drawing>
          <wp:inline distT="0" distB="0" distL="0" distR="0">
            <wp:extent cx="4808220" cy="1975485"/>
            <wp:effectExtent l="0" t="0" r="1143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30"/>
                    <a:stretch>
                      <a:fillRect/>
                    </a:stretch>
                  </pic:blipFill>
                  <pic:spPr>
                    <a:xfrm>
                      <a:off x="0" y="0"/>
                      <a:ext cx="4808220" cy="1975485"/>
                    </a:xfrm>
                    <a:prstGeom prst="rect">
                      <a:avLst/>
                    </a:prstGeom>
                  </pic:spPr>
                </pic:pic>
              </a:graphicData>
            </a:graphic>
          </wp:inline>
        </w:drawing>
      </w:r>
      <w:r>
        <w:rPr>
          <w:rFonts w:ascii="宋体" w:hAnsi="宋体" w:eastAsia="宋体" w:cs="Times New Roman"/>
          <w:kern w:val="0"/>
          <w:sz w:val="24"/>
          <w:szCs w:val="22"/>
          <w:highlight w:val="none"/>
          <w:lang w:eastAsia="en-US"/>
        </w:rPr>
        <w:drawing>
          <wp:inline distT="0" distB="0" distL="0" distR="0">
            <wp:extent cx="4883785" cy="2115820"/>
            <wp:effectExtent l="0" t="0" r="12065" b="177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31"/>
                    <a:stretch>
                      <a:fillRect/>
                    </a:stretch>
                  </pic:blipFill>
                  <pic:spPr>
                    <a:xfrm>
                      <a:off x="0" y="0"/>
                      <a:ext cx="4883785" cy="2115820"/>
                    </a:xfrm>
                    <a:prstGeom prst="rect">
                      <a:avLst/>
                    </a:prstGeom>
                  </pic:spPr>
                </pic:pic>
              </a:graphicData>
            </a:graphic>
          </wp:inline>
        </w:drawing>
      </w:r>
    </w:p>
    <w:p w14:paraId="51133E1D">
      <w:pPr>
        <w:widowControl/>
        <w:spacing w:after="200" w:line="276" w:lineRule="auto"/>
        <w:jc w:val="left"/>
        <w:rPr>
          <w:rFonts w:ascii="宋体" w:hAnsi="宋体" w:eastAsia="宋体" w:cs="Times New Roman"/>
          <w:kern w:val="0"/>
          <w:sz w:val="24"/>
          <w:szCs w:val="22"/>
          <w:highlight w:val="none"/>
          <w:lang w:eastAsia="en-US"/>
        </w:rPr>
      </w:pPr>
      <w:r>
        <w:rPr>
          <w:rFonts w:hint="eastAsia" w:ascii="宋体" w:hAnsi="宋体" w:eastAsia="宋体" w:cs="Times New Roman"/>
          <w:kern w:val="0"/>
          <w:sz w:val="24"/>
          <w:szCs w:val="22"/>
          <w:highlight w:val="none"/>
          <w:lang w:eastAsia="en-US"/>
        </w:rPr>
        <w:t>点击查看按钮查看中标通知，点击发送按钮给项目负责人发送回执，发送回执之后回执发送状态变为已发送。</w:t>
      </w:r>
    </w:p>
    <w:p w14:paraId="69E5F429">
      <w:pPr>
        <w:widowControl/>
        <w:spacing w:before="0" w:after="0" w:line="360" w:lineRule="auto"/>
        <w:ind w:left="0"/>
        <w:jc w:val="left"/>
        <w:rPr>
          <w:rFonts w:hint="eastAsia" w:ascii="宋体" w:hAnsi="宋体" w:eastAsia="宋体" w:cs="宋体"/>
          <w:b/>
          <w:bCs/>
          <w:i w:val="0"/>
          <w:strike w:val="0"/>
          <w:color w:val="000000"/>
          <w:kern w:val="0"/>
          <w:sz w:val="24"/>
          <w:szCs w:val="24"/>
          <w:highlight w:val="none"/>
          <w:u w:val="none"/>
          <w:lang w:eastAsia="en-US"/>
        </w:rPr>
      </w:pPr>
      <w:r>
        <w:rPr>
          <w:rFonts w:hint="eastAsia" w:ascii="宋体" w:hAnsi="宋体" w:eastAsia="宋体" w:cs="宋体"/>
          <w:b/>
          <w:bCs/>
          <w:i w:val="0"/>
          <w:strike w:val="0"/>
          <w:color w:val="000000"/>
          <w:kern w:val="0"/>
          <w:sz w:val="24"/>
          <w:szCs w:val="24"/>
          <w:highlight w:val="none"/>
          <w:u w:val="none"/>
          <w:lang w:val="en-US" w:eastAsia="zh-CN"/>
        </w:rPr>
        <w:t>7、</w:t>
      </w:r>
      <w:r>
        <w:rPr>
          <w:rFonts w:hint="eastAsia" w:ascii="宋体" w:hAnsi="宋体" w:eastAsia="宋体" w:cs="宋体"/>
          <w:b/>
          <w:bCs/>
          <w:i w:val="0"/>
          <w:strike w:val="0"/>
          <w:color w:val="000000"/>
          <w:kern w:val="0"/>
          <w:sz w:val="24"/>
          <w:szCs w:val="24"/>
          <w:highlight w:val="none"/>
          <w:u w:val="none"/>
          <w:lang w:eastAsia="en-US"/>
        </w:rPr>
        <w:t>评标纪律</w:t>
      </w:r>
    </w:p>
    <w:p w14:paraId="4135A656">
      <w:pPr>
        <w:widowControl/>
        <w:spacing w:after="200" w:line="276" w:lineRule="auto"/>
        <w:jc w:val="left"/>
        <w:rPr>
          <w:rFonts w:ascii="宋体" w:hAnsi="宋体" w:eastAsia="宋体" w:cs="Times New Roman"/>
          <w:kern w:val="0"/>
          <w:sz w:val="24"/>
          <w:szCs w:val="22"/>
          <w:highlight w:val="none"/>
          <w:lang w:eastAsia="en-US"/>
        </w:rPr>
      </w:pPr>
      <w:r>
        <w:rPr>
          <w:rFonts w:ascii="宋体" w:hAnsi="宋体" w:eastAsia="宋体" w:cs="Times New Roman"/>
          <w:kern w:val="0"/>
          <w:sz w:val="24"/>
          <w:szCs w:val="22"/>
          <w:highlight w:val="none"/>
          <w:lang w:eastAsia="en-US"/>
        </w:rPr>
        <w:t>路径：招投标中心-非生产类招投标-</w:t>
      </w:r>
      <w:r>
        <w:rPr>
          <w:rFonts w:hint="eastAsia" w:ascii="宋体" w:hAnsi="宋体" w:eastAsia="宋体" w:cs="Times New Roman"/>
          <w:kern w:val="0"/>
          <w:sz w:val="24"/>
          <w:szCs w:val="22"/>
          <w:highlight w:val="none"/>
          <w:lang w:eastAsia="en-US"/>
        </w:rPr>
        <w:t>供应商投标</w:t>
      </w:r>
    </w:p>
    <w:p w14:paraId="76898F65">
      <w:pPr>
        <w:widowControl/>
        <w:spacing w:after="200" w:line="276" w:lineRule="auto"/>
        <w:jc w:val="left"/>
        <w:rPr>
          <w:rFonts w:hint="eastAsia" w:ascii="宋体" w:hAnsi="宋体" w:eastAsia="宋体" w:cs="Times New Roman"/>
          <w:kern w:val="0"/>
          <w:sz w:val="24"/>
          <w:szCs w:val="22"/>
          <w:highlight w:val="none"/>
          <w:lang w:eastAsia="en-US"/>
        </w:rPr>
      </w:pPr>
      <w:r>
        <w:rPr>
          <w:rFonts w:hint="eastAsia" w:ascii="宋体" w:hAnsi="宋体" w:eastAsia="宋体" w:cs="Times New Roman"/>
          <w:kern w:val="0"/>
          <w:sz w:val="24"/>
          <w:szCs w:val="22"/>
          <w:highlight w:val="none"/>
          <w:lang w:eastAsia="en-US"/>
        </w:rPr>
        <w:t>供应商投标时会弹窗展示评标纪律，要求供应商勾选我已阅知并保证遵守评标记录之后点击确定按钮进入投标界面。</w:t>
      </w:r>
    </w:p>
    <w:p w14:paraId="5BC77AD2">
      <w:pPr>
        <w:pStyle w:val="76"/>
        <w:rPr>
          <w:rFonts w:hint="default" w:hAnsi="宋体"/>
          <w:sz w:val="24"/>
          <w:lang w:val="en-US" w:eastAsia="zh-CN"/>
        </w:rPr>
      </w:pPr>
      <w:r>
        <w:rPr>
          <w:rFonts w:ascii="宋体" w:hAnsi="宋体" w:eastAsia="宋体" w:cs="Times New Roman"/>
          <w:kern w:val="0"/>
          <w:sz w:val="24"/>
          <w:szCs w:val="22"/>
          <w:highlight w:val="none"/>
          <w:lang w:eastAsia="en-US"/>
        </w:rPr>
        <w:drawing>
          <wp:inline distT="0" distB="0" distL="0" distR="0">
            <wp:extent cx="5502910" cy="6014085"/>
            <wp:effectExtent l="0" t="0" r="254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32"/>
                    <a:stretch>
                      <a:fillRect/>
                    </a:stretch>
                  </pic:blipFill>
                  <pic:spPr>
                    <a:xfrm>
                      <a:off x="0" y="0"/>
                      <a:ext cx="5502910" cy="6014085"/>
                    </a:xfrm>
                    <a:prstGeom prst="rect">
                      <a:avLst/>
                    </a:prstGeom>
                  </pic:spPr>
                </pic:pic>
              </a:graphicData>
            </a:graphic>
          </wp:inline>
        </w:drawing>
      </w:r>
    </w:p>
    <w:sectPr>
      <w:footerReference r:id="rId11" w:type="first"/>
      <w:footerReference r:id="rId10" w:type="default"/>
      <w:pgSz w:w="11906" w:h="16838"/>
      <w:pgMar w:top="1701" w:right="1418" w:bottom="1134" w:left="1418"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2000000000000000000"/>
    <w:charset w:val="86"/>
    <w:family w:val="auto"/>
    <w:pitch w:val="default"/>
    <w:sig w:usb0="00000001" w:usb1="080E0000" w:usb2="00000000" w:usb3="00000000" w:csb0="00040000"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KSOFF9CBECC6">
    <w:panose1 w:val="02010609060101010101"/>
    <w:charset w:val="86"/>
    <w:family w:val="auto"/>
    <w:pitch w:val="default"/>
    <w:sig w:usb0="00000001"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E4B243">
    <w:pPr>
      <w:pStyle w:val="18"/>
      <w:jc w:val="center"/>
      <w:rPr>
        <w:sz w:val="21"/>
        <w:szCs w:val="20"/>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9D969A">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279D969A">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397DBC">
    <w:pPr>
      <w:pStyle w:val="18"/>
      <w:jc w:val="center"/>
      <w:rPr>
        <w:sz w:val="21"/>
        <w:szCs w:val="20"/>
      </w:rPr>
    </w:pPr>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C1BF44">
                          <w:pPr>
                            <w:pStyle w:val="1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09C1BF44">
                    <w:pPr>
                      <w:pStyle w:val="1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4AD690">
    <w:pPr>
      <w:pStyle w:val="18"/>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5305A2">
                          <w:pPr>
                            <w:pStyle w:val="18"/>
                          </w:pPr>
                          <w:r>
                            <w:t xml:space="preserve">第 </w:t>
                          </w:r>
                          <w:r>
                            <w:fldChar w:fldCharType="begin"/>
                          </w:r>
                          <w:r>
                            <w:instrText xml:space="preserve"> PAGE  \* MERGEFORMAT </w:instrText>
                          </w:r>
                          <w:r>
                            <w:fldChar w:fldCharType="separate"/>
                          </w:r>
                          <w:r>
                            <w:t>20</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2F5305A2">
                    <w:pPr>
                      <w:pStyle w:val="18"/>
                    </w:pPr>
                    <w:r>
                      <w:t xml:space="preserve">第 </w:t>
                    </w:r>
                    <w:r>
                      <w:fldChar w:fldCharType="begin"/>
                    </w:r>
                    <w:r>
                      <w:instrText xml:space="preserve"> PAGE  \* MERGEFORMAT </w:instrText>
                    </w:r>
                    <w:r>
                      <w:fldChar w:fldCharType="separate"/>
                    </w:r>
                    <w:r>
                      <w:t>20</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p w14:paraId="651627BB">
    <w:pPr>
      <w:pStyle w:val="18"/>
      <w:jc w:val="center"/>
    </w:pPr>
  </w:p>
  <w:p w14:paraId="1DFF0D79"/>
  <w:p w14:paraId="5CB49AF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B0E33">
    <w:pPr>
      <w:pStyle w:val="18"/>
      <w:jc w:val="center"/>
      <w:rPr>
        <w:sz w:val="21"/>
        <w:szCs w:val="20"/>
      </w:rPr>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52F2B8">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452F2B8">
                    <w:pPr>
                      <w:pStyle w:val="2"/>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23</w:t>
                    </w:r>
                    <w:r>
                      <w:fldChar w:fldCharType="end"/>
                    </w:r>
                    <w:r>
                      <w:t xml:space="preserve"> 页</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D2E586">
    <w:pPr>
      <w:pStyle w:val="18"/>
      <w:jc w:val="cente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80358"/>
                          </w:sdtPr>
                          <w:sdtContent>
                            <w:sdt>
                              <w:sdtPr>
                                <w:id w:val="147456322"/>
                              </w:sdtPr>
                              <w:sdtContent>
                                <w:p w14:paraId="41C9C821">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248CB6ED">
                          <w:pPr>
                            <w:pStyle w:val="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sdt>
                    <w:sdtPr>
                      <w:id w:val="147480358"/>
                    </w:sdtPr>
                    <w:sdtContent>
                      <w:sdt>
                        <w:sdtPr>
                          <w:id w:val="147456322"/>
                        </w:sdtPr>
                        <w:sdtContent>
                          <w:p w14:paraId="41C9C821">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248CB6ED">
                    <w:pPr>
                      <w:pStyle w:val="2"/>
                    </w:pPr>
                  </w:p>
                </w:txbxContent>
              </v:textbox>
            </v:shape>
          </w:pict>
        </mc:Fallback>
      </mc:AlternateContent>
    </w:r>
  </w:p>
  <w:p w14:paraId="3D598376">
    <w:pPr>
      <w:pStyle w:val="18"/>
      <w:jc w:val="center"/>
    </w:pPr>
  </w:p>
  <w:p w14:paraId="25DE411C"/>
  <w:p w14:paraId="6169A636"/>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中国重型汽车集团2026-2027年度山东港口地面代理业务采购项目招标书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70076E"/>
    <w:multiLevelType w:val="singleLevel"/>
    <w:tmpl w:val="8370076E"/>
    <w:lvl w:ilvl="0" w:tentative="0">
      <w:start w:val="1"/>
      <w:numFmt w:val="chineseCounting"/>
      <w:suff w:val="nothing"/>
      <w:lvlText w:val="（%1）"/>
      <w:lvlJc w:val="left"/>
      <w:pPr>
        <w:ind w:left="0" w:firstLine="420"/>
      </w:pPr>
      <w:rPr>
        <w:rFonts w:hint="eastAsia"/>
      </w:rPr>
    </w:lvl>
  </w:abstractNum>
  <w:abstractNum w:abstractNumId="1">
    <w:nsid w:val="93852671"/>
    <w:multiLevelType w:val="singleLevel"/>
    <w:tmpl w:val="93852671"/>
    <w:lvl w:ilvl="0" w:tentative="0">
      <w:start w:val="1"/>
      <w:numFmt w:val="decimal"/>
      <w:lvlText w:val="%1."/>
      <w:lvlJc w:val="left"/>
      <w:pPr>
        <w:ind w:left="425" w:hanging="425"/>
      </w:pPr>
      <w:rPr>
        <w:rFonts w:hint="default"/>
      </w:rPr>
    </w:lvl>
  </w:abstractNum>
  <w:abstractNum w:abstractNumId="2">
    <w:nsid w:val="B12C4597"/>
    <w:multiLevelType w:val="singleLevel"/>
    <w:tmpl w:val="B12C4597"/>
    <w:lvl w:ilvl="0" w:tentative="0">
      <w:start w:val="1"/>
      <w:numFmt w:val="decimal"/>
      <w:lvlText w:val="%1."/>
      <w:lvlJc w:val="left"/>
      <w:pPr>
        <w:ind w:left="425" w:hanging="425"/>
      </w:pPr>
      <w:rPr>
        <w:rFonts w:hint="default"/>
      </w:rPr>
    </w:lvl>
  </w:abstractNum>
  <w:abstractNum w:abstractNumId="3">
    <w:nsid w:val="B301A340"/>
    <w:multiLevelType w:val="singleLevel"/>
    <w:tmpl w:val="B301A340"/>
    <w:lvl w:ilvl="0" w:tentative="0">
      <w:start w:val="1"/>
      <w:numFmt w:val="chineseCounting"/>
      <w:suff w:val="nothing"/>
      <w:lvlText w:val="（%1）"/>
      <w:lvlJc w:val="left"/>
      <w:pPr>
        <w:ind w:left="0" w:firstLine="420"/>
      </w:pPr>
      <w:rPr>
        <w:rFonts w:hint="eastAsia"/>
      </w:rPr>
    </w:lvl>
  </w:abstractNum>
  <w:abstractNum w:abstractNumId="4">
    <w:nsid w:val="BD4C6742"/>
    <w:multiLevelType w:val="singleLevel"/>
    <w:tmpl w:val="BD4C6742"/>
    <w:lvl w:ilvl="0" w:tentative="0">
      <w:start w:val="1"/>
      <w:numFmt w:val="decimal"/>
      <w:lvlText w:val="%1."/>
      <w:lvlJc w:val="left"/>
      <w:pPr>
        <w:ind w:left="425" w:hanging="425"/>
      </w:pPr>
      <w:rPr>
        <w:rFonts w:hint="default"/>
      </w:rPr>
    </w:lvl>
  </w:abstractNum>
  <w:abstractNum w:abstractNumId="5">
    <w:nsid w:val="DC3F8C8B"/>
    <w:multiLevelType w:val="singleLevel"/>
    <w:tmpl w:val="DC3F8C8B"/>
    <w:lvl w:ilvl="0" w:tentative="0">
      <w:start w:val="1"/>
      <w:numFmt w:val="decimal"/>
      <w:lvlText w:val="%1."/>
      <w:lvlJc w:val="left"/>
      <w:pPr>
        <w:ind w:left="425" w:hanging="425"/>
      </w:pPr>
      <w:rPr>
        <w:rFonts w:hint="default"/>
      </w:rPr>
    </w:lvl>
  </w:abstractNum>
  <w:abstractNum w:abstractNumId="6">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7">
    <w:nsid w:val="F6C69206"/>
    <w:multiLevelType w:val="singleLevel"/>
    <w:tmpl w:val="F6C69206"/>
    <w:lvl w:ilvl="0" w:tentative="0">
      <w:start w:val="1"/>
      <w:numFmt w:val="decimal"/>
      <w:suff w:val="space"/>
      <w:lvlText w:val="%1."/>
      <w:lvlJc w:val="left"/>
    </w:lvl>
  </w:abstractNum>
  <w:abstractNum w:abstractNumId="8">
    <w:nsid w:val="FE574647"/>
    <w:multiLevelType w:val="multilevel"/>
    <w:tmpl w:val="FE57464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9">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23B41BAF"/>
    <w:multiLevelType w:val="singleLevel"/>
    <w:tmpl w:val="23B41BAF"/>
    <w:lvl w:ilvl="0" w:tentative="0">
      <w:start w:val="2"/>
      <w:numFmt w:val="decimal"/>
      <w:suff w:val="space"/>
      <w:lvlText w:val="%1."/>
      <w:lvlJc w:val="left"/>
    </w:lvl>
  </w:abstractNum>
  <w:abstractNum w:abstractNumId="13">
    <w:nsid w:val="3CF6EF77"/>
    <w:multiLevelType w:val="singleLevel"/>
    <w:tmpl w:val="3CF6EF77"/>
    <w:lvl w:ilvl="0" w:tentative="0">
      <w:start w:val="1"/>
      <w:numFmt w:val="decimal"/>
      <w:lvlText w:val="%1."/>
      <w:lvlJc w:val="left"/>
      <w:pPr>
        <w:ind w:left="425" w:hanging="425"/>
      </w:pPr>
      <w:rPr>
        <w:rFonts w:hint="default"/>
      </w:rPr>
    </w:lvl>
  </w:abstractNum>
  <w:abstractNum w:abstractNumId="14">
    <w:nsid w:val="3D2537F8"/>
    <w:multiLevelType w:val="singleLevel"/>
    <w:tmpl w:val="3D2537F8"/>
    <w:lvl w:ilvl="0" w:tentative="0">
      <w:start w:val="1"/>
      <w:numFmt w:val="decimal"/>
      <w:lvlText w:val="%1."/>
      <w:lvlJc w:val="left"/>
      <w:pPr>
        <w:ind w:left="425" w:hanging="425"/>
      </w:pPr>
      <w:rPr>
        <w:rFonts w:hint="default"/>
        <w:color w:val="auto"/>
      </w:rPr>
    </w:lvl>
  </w:abstractNum>
  <w:abstractNum w:abstractNumId="15">
    <w:nsid w:val="4A8DA4C5"/>
    <w:multiLevelType w:val="singleLevel"/>
    <w:tmpl w:val="4A8DA4C5"/>
    <w:lvl w:ilvl="0" w:tentative="0">
      <w:start w:val="1"/>
      <w:numFmt w:val="bullet"/>
      <w:lvlText w:val=""/>
      <w:lvlJc w:val="left"/>
      <w:pPr>
        <w:ind w:left="0" w:leftChars="0" w:firstLine="0" w:firstLineChars="0"/>
      </w:pPr>
      <w:rPr>
        <w:rFonts w:hint="default" w:ascii="Wingdings" w:hAnsi="Wingdings"/>
      </w:rPr>
    </w:lvl>
  </w:abstractNum>
  <w:abstractNum w:abstractNumId="16">
    <w:nsid w:val="4CB32FC8"/>
    <w:multiLevelType w:val="multilevel"/>
    <w:tmpl w:val="4CB32FC8"/>
    <w:lvl w:ilvl="0" w:tentative="0">
      <w:start w:val="1"/>
      <w:numFmt w:val="upperLetter"/>
      <w:pStyle w:val="7"/>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8">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9">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0">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1">
    <w:nsid w:val="7AE44757"/>
    <w:multiLevelType w:val="multilevel"/>
    <w:tmpl w:val="7AE44757"/>
    <w:lvl w:ilvl="0" w:tentative="0">
      <w:start w:val="1"/>
      <w:numFmt w:val="bullet"/>
      <w:lvlText w:val=""/>
      <w:lvlJc w:val="left"/>
      <w:pPr>
        <w:tabs>
          <w:tab w:val="left" w:pos="-840"/>
        </w:tabs>
        <w:ind w:left="430" w:hanging="420"/>
      </w:pPr>
      <w:rPr>
        <w:rFonts w:hint="default" w:ascii="Wingdings" w:hAnsi="Wingdings"/>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num w:numId="1">
    <w:abstractNumId w:val="16"/>
  </w:num>
  <w:num w:numId="2">
    <w:abstractNumId w:val="20"/>
  </w:num>
  <w:num w:numId="3">
    <w:abstractNumId w:val="19"/>
  </w:num>
  <w:num w:numId="4">
    <w:abstractNumId w:val="17"/>
  </w:num>
  <w:num w:numId="5">
    <w:abstractNumId w:val="9"/>
  </w:num>
  <w:num w:numId="6">
    <w:abstractNumId w:val="10"/>
  </w:num>
  <w:num w:numId="7">
    <w:abstractNumId w:val="11"/>
  </w:num>
  <w:num w:numId="8">
    <w:abstractNumId w:val="18"/>
  </w:num>
  <w:num w:numId="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num>
  <w:num w:numId="13">
    <w:abstractNumId w:val="14"/>
  </w:num>
  <w:num w:numId="14">
    <w:abstractNumId w:val="2"/>
  </w:num>
  <w:num w:numId="15">
    <w:abstractNumId w:val="0"/>
  </w:num>
  <w:num w:numId="16">
    <w:abstractNumId w:val="1"/>
  </w:num>
  <w:num w:numId="17">
    <w:abstractNumId w:val="21"/>
  </w:num>
  <w:num w:numId="18">
    <w:abstractNumId w:val="3"/>
  </w:num>
  <w:num w:numId="19">
    <w:abstractNumId w:val="8"/>
  </w:num>
  <w:num w:numId="20">
    <w:abstractNumId w:val="5"/>
  </w:num>
  <w:num w:numId="21">
    <w:abstractNumId w:val="15"/>
  </w:num>
  <w:num w:numId="22">
    <w:abstractNumId w:val="13"/>
  </w:num>
  <w:num w:numId="23">
    <w:abstractNumId w:val="7"/>
  </w:num>
  <w:num w:numId="2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CC3DCA"/>
    <w:rsid w:val="02FE76EF"/>
    <w:rsid w:val="03F033B0"/>
    <w:rsid w:val="057C1D39"/>
    <w:rsid w:val="05891259"/>
    <w:rsid w:val="08633479"/>
    <w:rsid w:val="0CB51572"/>
    <w:rsid w:val="0E4D31E3"/>
    <w:rsid w:val="0F210FD3"/>
    <w:rsid w:val="10DC2AA3"/>
    <w:rsid w:val="10FA7C8C"/>
    <w:rsid w:val="130B198F"/>
    <w:rsid w:val="16A918E4"/>
    <w:rsid w:val="17D966D6"/>
    <w:rsid w:val="1BC71D3B"/>
    <w:rsid w:val="1BD07A41"/>
    <w:rsid w:val="1BDA08E8"/>
    <w:rsid w:val="1C59115B"/>
    <w:rsid w:val="1D5924F8"/>
    <w:rsid w:val="1DBB6D17"/>
    <w:rsid w:val="1E9749B9"/>
    <w:rsid w:val="1FB23E60"/>
    <w:rsid w:val="222F4FD6"/>
    <w:rsid w:val="22C5630B"/>
    <w:rsid w:val="23EC0BA6"/>
    <w:rsid w:val="24701A48"/>
    <w:rsid w:val="249B429A"/>
    <w:rsid w:val="268B0052"/>
    <w:rsid w:val="27743C90"/>
    <w:rsid w:val="29CA2459"/>
    <w:rsid w:val="2B271A58"/>
    <w:rsid w:val="2B6304A7"/>
    <w:rsid w:val="2CF6734C"/>
    <w:rsid w:val="2D663463"/>
    <w:rsid w:val="2EF96EE4"/>
    <w:rsid w:val="36254FE4"/>
    <w:rsid w:val="372F61E0"/>
    <w:rsid w:val="39322FCA"/>
    <w:rsid w:val="3AB90991"/>
    <w:rsid w:val="3B706131"/>
    <w:rsid w:val="3D1F512D"/>
    <w:rsid w:val="3E315082"/>
    <w:rsid w:val="3E6F041E"/>
    <w:rsid w:val="4275481E"/>
    <w:rsid w:val="428B617A"/>
    <w:rsid w:val="433D7BDC"/>
    <w:rsid w:val="437E1813"/>
    <w:rsid w:val="45BD47FC"/>
    <w:rsid w:val="45CC5FB2"/>
    <w:rsid w:val="468B6037"/>
    <w:rsid w:val="46B75BA8"/>
    <w:rsid w:val="48C97955"/>
    <w:rsid w:val="49880C8F"/>
    <w:rsid w:val="4A8835F7"/>
    <w:rsid w:val="4B592E71"/>
    <w:rsid w:val="4C9F7212"/>
    <w:rsid w:val="4FB44097"/>
    <w:rsid w:val="52B9239A"/>
    <w:rsid w:val="53B33230"/>
    <w:rsid w:val="54222D6D"/>
    <w:rsid w:val="54BD78FD"/>
    <w:rsid w:val="54D379A5"/>
    <w:rsid w:val="58A86DDE"/>
    <w:rsid w:val="59154AD7"/>
    <w:rsid w:val="5ADF548D"/>
    <w:rsid w:val="5C8676CF"/>
    <w:rsid w:val="5D5C60B4"/>
    <w:rsid w:val="62626E36"/>
    <w:rsid w:val="63533FB2"/>
    <w:rsid w:val="63F04A69"/>
    <w:rsid w:val="655229C2"/>
    <w:rsid w:val="66A50B1E"/>
    <w:rsid w:val="67B2063C"/>
    <w:rsid w:val="67C97AC3"/>
    <w:rsid w:val="67E30EC1"/>
    <w:rsid w:val="6A4E3B2B"/>
    <w:rsid w:val="6B14261D"/>
    <w:rsid w:val="6B481C3B"/>
    <w:rsid w:val="6C1331A3"/>
    <w:rsid w:val="6CA84BC1"/>
    <w:rsid w:val="6D3E4756"/>
    <w:rsid w:val="6FC523EB"/>
    <w:rsid w:val="72895F2E"/>
    <w:rsid w:val="72C02EBE"/>
    <w:rsid w:val="72C507AD"/>
    <w:rsid w:val="72D028D8"/>
    <w:rsid w:val="733C01C1"/>
    <w:rsid w:val="745D47C3"/>
    <w:rsid w:val="76763CFB"/>
    <w:rsid w:val="76AC3757"/>
    <w:rsid w:val="798D5D72"/>
    <w:rsid w:val="7CB93F8E"/>
    <w:rsid w:val="7CF66B46"/>
    <w:rsid w:val="7DBD28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semiHidden="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4">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43"/>
    <w:semiHidden/>
    <w:qFormat/>
    <w:uiPriority w:val="0"/>
    <w:pPr>
      <w:keepNext/>
      <w:keepLines/>
      <w:spacing w:line="416" w:lineRule="auto"/>
      <w:outlineLvl w:val="2"/>
    </w:pPr>
    <w:rPr>
      <w:b/>
      <w:bCs/>
      <w:sz w:val="32"/>
      <w:szCs w:val="32"/>
    </w:rPr>
  </w:style>
  <w:style w:type="paragraph" w:styleId="6">
    <w:name w:val="heading 4"/>
    <w:basedOn w:val="1"/>
    <w:next w:val="1"/>
    <w:link w:val="77"/>
    <w:qFormat/>
    <w:uiPriority w:val="0"/>
    <w:pPr>
      <w:keepNext/>
      <w:keepLines/>
      <w:spacing w:line="360" w:lineRule="auto"/>
      <w:outlineLvl w:val="3"/>
    </w:pPr>
    <w:rPr>
      <w:rFonts w:ascii="Arial" w:hAnsi="Arial"/>
      <w:b/>
      <w:bCs/>
      <w:szCs w:val="28"/>
    </w:rPr>
  </w:style>
  <w:style w:type="paragraph" w:styleId="7">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2">
    <w:name w:val="Plain Text"/>
    <w:basedOn w:val="1"/>
    <w:link w:val="50"/>
    <w:qFormat/>
    <w:uiPriority w:val="0"/>
    <w:rPr>
      <w:rFonts w:ascii="宋体" w:hAnsi="Courier New"/>
    </w:rPr>
  </w:style>
  <w:style w:type="paragraph" w:styleId="8">
    <w:name w:val="E-mail Signature"/>
    <w:basedOn w:val="1"/>
    <w:link w:val="104"/>
    <w:semiHidden/>
    <w:qFormat/>
    <w:uiPriority w:val="99"/>
    <w:pPr>
      <w:spacing w:after="200" w:line="276" w:lineRule="auto"/>
      <w:jc w:val="left"/>
    </w:pPr>
    <w:rPr>
      <w:rFonts w:ascii="Calibri" w:hAnsi="Calibri"/>
      <w:kern w:val="0"/>
      <w:szCs w:val="21"/>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5"/>
    <w:qFormat/>
    <w:uiPriority w:val="99"/>
    <w:pPr>
      <w:jc w:val="left"/>
    </w:pPr>
  </w:style>
  <w:style w:type="paragraph" w:styleId="12">
    <w:name w:val="Body Text"/>
    <w:basedOn w:val="1"/>
    <w:link w:val="41"/>
    <w:semiHidden/>
    <w:qFormat/>
    <w:uiPriority w:val="98"/>
    <w:rPr>
      <w:rFonts w:ascii="仿宋_GB2312" w:eastAsia="仿宋_GB2312"/>
      <w:sz w:val="32"/>
    </w:rPr>
  </w:style>
  <w:style w:type="paragraph" w:styleId="13">
    <w:name w:val="Body Text Indent"/>
    <w:basedOn w:val="1"/>
    <w:next w:val="1"/>
    <w:link w:val="48"/>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1"/>
    <w:next w:val="11"/>
    <w:link w:val="53"/>
    <w:semiHidden/>
    <w:qFormat/>
    <w:uiPriority w:val="98"/>
    <w:rPr>
      <w:b/>
      <w:bCs/>
    </w:rPr>
  </w:style>
  <w:style w:type="paragraph" w:styleId="29">
    <w:name w:val="Body Text First Indent 2"/>
    <w:basedOn w:val="13"/>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2"/>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5"/>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1"/>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3"/>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2"/>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3"/>
    <w:semiHidden/>
    <w:qFormat/>
    <w:uiPriority w:val="0"/>
    <w:rPr>
      <w:b/>
      <w:bCs/>
      <w:kern w:val="44"/>
      <w:sz w:val="44"/>
      <w:szCs w:val="44"/>
    </w:rPr>
  </w:style>
  <w:style w:type="paragraph" w:customStyle="1" w:styleId="68">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4"/>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2"/>
    <w:qFormat/>
    <w:uiPriority w:val="0"/>
    <w:pPr>
      <w:spacing w:line="360" w:lineRule="auto"/>
      <w:jc w:val="center"/>
      <w:outlineLvl w:val="0"/>
    </w:pPr>
    <w:rPr>
      <w:rFonts w:ascii="黑体" w:eastAsia="黑体"/>
      <w:b/>
      <w:bCs/>
      <w:sz w:val="36"/>
      <w:szCs w:val="36"/>
    </w:rPr>
  </w:style>
  <w:style w:type="paragraph" w:customStyle="1" w:styleId="72">
    <w:name w:val="一级标题"/>
    <w:basedOn w:val="2"/>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2"/>
    <w:qFormat/>
    <w:uiPriority w:val="2"/>
    <w:pPr>
      <w:numPr>
        <w:ilvl w:val="0"/>
        <w:numId w:val="3"/>
      </w:numPr>
      <w:spacing w:line="360" w:lineRule="auto"/>
      <w:outlineLvl w:val="2"/>
    </w:pPr>
    <w:rPr>
      <w:b/>
    </w:rPr>
  </w:style>
  <w:style w:type="paragraph" w:customStyle="1" w:styleId="74">
    <w:name w:val="3级标题"/>
    <w:basedOn w:val="2"/>
    <w:link w:val="102"/>
    <w:qFormat/>
    <w:uiPriority w:val="3"/>
    <w:pPr>
      <w:numPr>
        <w:ilvl w:val="0"/>
        <w:numId w:val="4"/>
      </w:numPr>
      <w:spacing w:line="360" w:lineRule="auto"/>
      <w:outlineLvl w:val="3"/>
    </w:pPr>
    <w:rPr>
      <w:b/>
    </w:rPr>
  </w:style>
  <w:style w:type="paragraph" w:customStyle="1" w:styleId="75">
    <w:name w:val="（4）级标题"/>
    <w:basedOn w:val="2"/>
    <w:qFormat/>
    <w:uiPriority w:val="8"/>
    <w:pPr>
      <w:numPr>
        <w:ilvl w:val="0"/>
        <w:numId w:val="5"/>
      </w:numPr>
      <w:spacing w:line="360" w:lineRule="auto"/>
      <w:outlineLvl w:val="4"/>
    </w:pPr>
  </w:style>
  <w:style w:type="paragraph" w:customStyle="1" w:styleId="76">
    <w:name w:val="标书正文"/>
    <w:basedOn w:val="2"/>
    <w:link w:val="97"/>
    <w:qFormat/>
    <w:uiPriority w:val="9"/>
    <w:pPr>
      <w:spacing w:line="360" w:lineRule="auto"/>
      <w:jc w:val="left"/>
    </w:pPr>
  </w:style>
  <w:style w:type="character" w:customStyle="1" w:styleId="77">
    <w:name w:val="标题 4 字符"/>
    <w:basedOn w:val="32"/>
    <w:link w:val="6"/>
    <w:semiHidden/>
    <w:qFormat/>
    <w:uiPriority w:val="0"/>
    <w:rPr>
      <w:rFonts w:ascii="Arial" w:hAnsi="Arial"/>
      <w:b/>
      <w:bCs/>
      <w:kern w:val="2"/>
      <w:sz w:val="21"/>
      <w:szCs w:val="28"/>
    </w:rPr>
  </w:style>
  <w:style w:type="character" w:customStyle="1" w:styleId="78">
    <w:name w:val="标题 5 字符"/>
    <w:basedOn w:val="32"/>
    <w:link w:val="7"/>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10"/>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Courier New"/>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8"/>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6" Type="http://schemas.openxmlformats.org/officeDocument/2006/relationships/fontTable" Target="fontTable.xml"/><Relationship Id="rId35" Type="http://schemas.openxmlformats.org/officeDocument/2006/relationships/customXml" Target="../customXml/item2.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DF9C98-D277-4712-ADC3-6032391F0299}">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23</Pages>
  <Words>6696</Words>
  <Characters>7241</Characters>
  <Lines>127</Lines>
  <Paragraphs>35</Paragraphs>
  <TotalTime>7</TotalTime>
  <ScaleCrop>false</ScaleCrop>
  <LinksUpToDate>false</LinksUpToDate>
  <CharactersWithSpaces>7278</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刘书松</cp:lastModifiedBy>
  <cp:lastPrinted>2020-06-28T02:28:00Z</cp:lastPrinted>
  <dcterms:modified xsi:type="dcterms:W3CDTF">2026-09-15T10:25:53Z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83AA493FAEA24E249A178A123A34A4C5_13</vt:lpwstr>
  </property>
  <property fmtid="{D5CDD505-2E9C-101B-9397-08002B2CF9AE}" pid="4" name="KSOTemplateDocerSaveRecord">
    <vt:lpwstr>eyJoZGlkIjoiYmZiNDc0YjkyNDI5M2U4NGU2YTdiM2VhMWQwN2RiMGMiLCJ1c2VySWQiOiIxNzY1NTkyNzg4In0=</vt:lpwstr>
  </property>
</Properties>
</file>