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30"/>
          <w:szCs w:val="30"/>
        </w:rPr>
      </w:pPr>
    </w:p>
    <w:p>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spacing w:line="880" w:lineRule="exact"/>
        <w:jc w:val="center"/>
        <w:rPr>
          <w:rFonts w:hint="eastAsia" w:ascii="宋体" w:hAnsi="宋体" w:cs="宋体"/>
          <w:b/>
          <w:bCs/>
          <w:color w:val="000000"/>
          <w:spacing w:val="-8"/>
          <w:sz w:val="48"/>
          <w:szCs w:val="44"/>
          <w:lang w:val="en-US" w:eastAsia="zh-CN"/>
        </w:rPr>
      </w:pPr>
      <w:r>
        <w:rPr>
          <w:rFonts w:hint="eastAsia" w:ascii="宋体" w:hAnsi="宋体" w:eastAsia="宋体" w:cs="宋体"/>
          <w:b/>
          <w:bCs/>
          <w:color w:val="000000"/>
          <w:spacing w:val="-8"/>
          <w:sz w:val="48"/>
          <w:szCs w:val="44"/>
        </w:rPr>
        <w:t>产品试验检测中心</w:t>
      </w:r>
      <w:r>
        <w:rPr>
          <w:rFonts w:hint="eastAsia" w:ascii="宋体" w:hAnsi="宋体" w:cs="宋体"/>
          <w:b/>
          <w:bCs/>
          <w:color w:val="000000"/>
          <w:spacing w:val="-8"/>
          <w:sz w:val="48"/>
          <w:szCs w:val="44"/>
          <w:lang w:val="en-US" w:eastAsia="zh-CN"/>
        </w:rPr>
        <w:t>铝泵腐蚀自研设备物料</w:t>
      </w:r>
    </w:p>
    <w:p>
      <w:pPr>
        <w:spacing w:line="880" w:lineRule="exact"/>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采购项目</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63"/>
        <w:rPr>
          <w:rFonts w:hint="eastAsia" w:ascii="宋体" w:hAnsi="宋体" w:eastAsia="宋体" w:cs="宋体"/>
        </w:rPr>
      </w:pPr>
      <w:r>
        <w:rPr>
          <w:rFonts w:hint="eastAsia" w:ascii="宋体" w:hAnsi="宋体" w:eastAsia="宋体" w:cs="宋体"/>
        </w:rPr>
        <w:t>第一章  招标公告</w:t>
      </w:r>
    </w:p>
    <w:p>
      <w:pPr>
        <w:pStyle w:val="85"/>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u w:val="single"/>
          <w:lang w:eastAsia="zh-CN"/>
        </w:rPr>
        <w:t>产品试验检测中心铝泵腐蚀自研设备物料采购项目</w:t>
      </w:r>
    </w:p>
    <w:p>
      <w:pPr>
        <w:pStyle w:val="5"/>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采购形式编号：ZBGL2026070181</w:t>
      </w:r>
    </w:p>
    <w:bookmarkEnd w:id="0"/>
    <w:p>
      <w:pPr>
        <w:pStyle w:val="85"/>
        <w:rPr>
          <w:rFonts w:hint="eastAsia" w:ascii="宋体" w:hAnsi="宋体" w:eastAsia="宋体" w:cs="宋体"/>
        </w:rPr>
      </w:pPr>
      <w:r>
        <w:rPr>
          <w:rFonts w:hint="eastAsia" w:ascii="宋体" w:hAnsi="宋体" w:eastAsia="宋体" w:cs="宋体"/>
        </w:rPr>
        <w:t>二、招标内容及形式</w:t>
      </w:r>
    </w:p>
    <w:p>
      <w:pPr>
        <w:pStyle w:val="17"/>
        <w:spacing w:line="360" w:lineRule="auto"/>
        <w:ind w:firstLine="480" w:firstLineChars="200"/>
        <w:rPr>
          <w:rFonts w:hint="default" w:ascii="宋体" w:hAnsi="宋体" w:eastAsia="宋体" w:cs="宋体"/>
          <w:color w:val="000000"/>
          <w:sz w:val="24"/>
          <w:szCs w:val="24"/>
          <w:lang w:val="en-US"/>
        </w:rPr>
      </w:pPr>
      <w:r>
        <w:rPr>
          <w:rFonts w:hint="eastAsia" w:ascii="宋体" w:hAnsi="宋体" w:eastAsia="宋体" w:cs="宋体"/>
          <w:color w:val="000000"/>
          <w:sz w:val="24"/>
          <w:szCs w:val="24"/>
        </w:rPr>
        <w:t>1、招标内容：</w:t>
      </w:r>
      <w:r>
        <w:rPr>
          <w:rFonts w:hint="eastAsia" w:hAnsi="宋体" w:cs="宋体"/>
          <w:color w:val="000000"/>
          <w:sz w:val="24"/>
          <w:szCs w:val="24"/>
          <w:u w:val="none"/>
          <w:lang w:val="en-US" w:eastAsia="zh-CN"/>
        </w:rPr>
        <w:t>铝泵腐蚀自研设备物料采购</w:t>
      </w:r>
    </w:p>
    <w:p>
      <w:pPr>
        <w:pStyle w:val="17"/>
        <w:spacing w:line="360" w:lineRule="auto"/>
        <w:ind w:firstLine="480" w:firstLineChars="200"/>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2、招标形式：</w:t>
      </w:r>
      <w:r>
        <w:rPr>
          <w:rFonts w:hint="eastAsia" w:ascii="宋体" w:hAnsi="宋体" w:eastAsia="宋体" w:cs="宋体"/>
          <w:color w:val="000000"/>
          <w:sz w:val="24"/>
          <w:szCs w:val="24"/>
          <w:highlight w:val="none"/>
          <w:lang w:val="en-US" w:eastAsia="zh-CN"/>
        </w:rPr>
        <w:t>公开招标</w:t>
      </w:r>
    </w:p>
    <w:p>
      <w:pPr>
        <w:pStyle w:val="17"/>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5"/>
        <w:rPr>
          <w:rFonts w:hint="eastAsia" w:ascii="宋体" w:hAnsi="宋体" w:eastAsia="宋体" w:cs="宋体"/>
        </w:rPr>
      </w:pPr>
      <w:r>
        <w:rPr>
          <w:rFonts w:hint="eastAsia" w:ascii="宋体" w:hAnsi="宋体" w:eastAsia="宋体" w:cs="宋体"/>
        </w:rPr>
        <w:t>三、项目概况与招标范围</w:t>
      </w:r>
    </w:p>
    <w:p>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1、项目名称：产品试验检测中心铝泵腐蚀自研设备物料采购项目</w:t>
      </w:r>
    </w:p>
    <w:p>
      <w:pPr>
        <w:pStyle w:val="17"/>
        <w:spacing w:line="360" w:lineRule="auto"/>
        <w:ind w:firstLine="480" w:firstLineChars="200"/>
        <w:rPr>
          <w:rFonts w:hint="default" w:hAnsi="宋体" w:cs="宋体"/>
          <w:color w:val="000000"/>
          <w:sz w:val="24"/>
          <w:szCs w:val="24"/>
          <w:highlight w:val="none"/>
          <w:lang w:val="en-US" w:eastAsia="zh-CN"/>
        </w:rPr>
      </w:pPr>
      <w:r>
        <w:rPr>
          <w:rFonts w:hint="eastAsia" w:ascii="宋体" w:hAnsi="宋体" w:eastAsia="宋体" w:cs="宋体"/>
          <w:color w:val="000000"/>
          <w:sz w:val="24"/>
          <w:szCs w:val="24"/>
        </w:rPr>
        <w:t>2、项目地点：</w:t>
      </w:r>
      <w:r>
        <w:rPr>
          <w:rFonts w:hint="eastAsia" w:ascii="宋体" w:hAnsi="宋体" w:eastAsia="宋体" w:cs="宋体"/>
          <w:color w:val="000000"/>
          <w:sz w:val="24"/>
          <w:szCs w:val="24"/>
          <w:highlight w:val="none"/>
        </w:rPr>
        <w:t>济南市</w:t>
      </w:r>
      <w:r>
        <w:rPr>
          <w:rFonts w:hint="eastAsia" w:hAnsi="宋体" w:cs="宋体"/>
          <w:color w:val="000000"/>
          <w:sz w:val="24"/>
          <w:szCs w:val="24"/>
          <w:highlight w:val="none"/>
          <w:lang w:val="en-US" w:eastAsia="zh-CN"/>
        </w:rPr>
        <w:t>高新区华奥路777号</w:t>
      </w:r>
    </w:p>
    <w:p>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83"/>
        <w:rPr>
          <w:rFonts w:hint="eastAsia" w:eastAsia="宋体" w:cs="宋体"/>
          <w:highlight w:val="none"/>
          <w:u w:val="single"/>
          <w:lang w:val="en-US" w:eastAsia="zh-CN"/>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eastAsia="宋体" w:cs="宋体"/>
          <w:highlight w:val="none"/>
          <w:u w:val="single"/>
          <w:lang w:val="en-US" w:eastAsia="zh-CN"/>
        </w:rPr>
        <w:t>电汇</w:t>
      </w:r>
    </w:p>
    <w:p>
      <w:pPr>
        <w:pStyle w:val="83"/>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7"/>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87"/>
              <w:jc w:val="center"/>
              <w:rPr>
                <w:rFonts w:hint="eastAsia" w:ascii="宋体" w:hAnsi="宋体" w:eastAsia="宋体" w:cs="宋体"/>
                <w:b w:val="0"/>
              </w:rPr>
            </w:pPr>
            <w:r>
              <w:rPr>
                <w:rFonts w:hint="eastAsia" w:ascii="宋体" w:hAnsi="宋体" w:eastAsia="宋体" w:cs="宋体"/>
                <w:b w:val="0"/>
                <w:lang w:eastAsia="zh-CN"/>
              </w:rPr>
              <w:t>产品试验检测中心设备配件采购项目</w:t>
            </w:r>
          </w:p>
        </w:tc>
        <w:tc>
          <w:tcPr>
            <w:tcW w:w="775" w:type="pct"/>
            <w:tcBorders>
              <w:top w:val="single" w:color="auto" w:sz="4" w:space="0"/>
              <w:left w:val="single" w:color="auto" w:sz="4" w:space="0"/>
              <w:bottom w:val="single" w:color="auto" w:sz="4" w:space="0"/>
              <w:right w:val="single" w:color="auto" w:sz="4" w:space="0"/>
            </w:tcBorders>
            <w:vAlign w:val="center"/>
          </w:tcPr>
          <w:p>
            <w:pPr>
              <w:pStyle w:val="87"/>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7"/>
              <w:jc w:val="center"/>
              <w:rPr>
                <w:rFonts w:hint="eastAsia" w:ascii="宋体" w:hAnsi="宋体" w:eastAsia="宋体" w:cs="宋体"/>
                <w:b w:val="0"/>
              </w:rPr>
            </w:pPr>
            <w:r>
              <w:rPr>
                <w:rFonts w:hint="eastAsia" w:ascii="宋体" w:hAnsi="宋体" w:eastAsia="宋体" w:cs="宋体"/>
                <w:b w:val="0"/>
                <w:lang w:val="en-US" w:eastAsia="zh-CN"/>
              </w:rPr>
              <w:t>据实结算，货物</w:t>
            </w:r>
            <w:r>
              <w:rPr>
                <w:rFonts w:hint="eastAsia" w:ascii="宋体" w:hAnsi="宋体" w:eastAsia="宋体" w:cs="宋体"/>
                <w:b w:val="0"/>
              </w:rPr>
              <w:t>全部到齐，经现场安装调试验收合格后，投标方提交金额为结算额90%的发票，经招标方依照财务制度审核无误后支付，结算额的10%作为质保金，待质保期结束后无息支付</w:t>
            </w:r>
          </w:p>
        </w:tc>
        <w:tc>
          <w:tcPr>
            <w:tcW w:w="951" w:type="pct"/>
            <w:tcBorders>
              <w:top w:val="single" w:color="auto" w:sz="4" w:space="0"/>
              <w:left w:val="single" w:color="auto" w:sz="4" w:space="0"/>
              <w:bottom w:val="single" w:color="auto" w:sz="4" w:space="0"/>
              <w:right w:val="single" w:color="auto" w:sz="4" w:space="0"/>
            </w:tcBorders>
            <w:vAlign w:val="center"/>
          </w:tcPr>
          <w:p>
            <w:pPr>
              <w:pStyle w:val="87"/>
              <w:jc w:val="center"/>
              <w:rPr>
                <w:rFonts w:hint="default" w:ascii="宋体" w:hAnsi="宋体" w:eastAsia="宋体" w:cs="宋体"/>
                <w:b w:val="0"/>
                <w:lang w:val="en-US" w:eastAsia="zh-CN"/>
              </w:rPr>
            </w:pPr>
            <w:r>
              <w:rPr>
                <w:rFonts w:hint="eastAsia" w:ascii="宋体" w:hAnsi="宋体" w:eastAsia="宋体" w:cs="宋体"/>
                <w:b w:val="0"/>
                <w:lang w:val="en-US" w:eastAsia="zh-CN"/>
              </w:rPr>
              <w:t>90%/10%</w:t>
            </w:r>
          </w:p>
        </w:tc>
      </w:tr>
    </w:tbl>
    <w:p>
      <w:pPr>
        <w:pStyle w:val="85"/>
        <w:rPr>
          <w:rFonts w:hint="eastAsia" w:ascii="宋体" w:hAnsi="宋体" w:eastAsia="宋体" w:cs="宋体"/>
        </w:rPr>
      </w:pPr>
      <w:r>
        <w:rPr>
          <w:rFonts w:hint="eastAsia" w:ascii="宋体" w:hAnsi="宋体" w:eastAsia="宋体" w:cs="宋体"/>
        </w:rPr>
        <w:t>四、投标说明</w:t>
      </w:r>
    </w:p>
    <w:p>
      <w:pPr>
        <w:pStyle w:val="93"/>
        <w:ind w:firstLine="480"/>
        <w:rPr>
          <w:rFonts w:hint="eastAsia" w:ascii="宋体" w:hAnsi="宋体" w:eastAsia="宋体" w:cs="宋体"/>
        </w:rPr>
      </w:pPr>
      <w:r>
        <w:rPr>
          <w:rFonts w:hint="eastAsia" w:ascii="宋体" w:hAnsi="宋体" w:eastAsia="宋体" w:cs="宋体"/>
        </w:rPr>
        <w:t>1、报名方式</w:t>
      </w:r>
    </w:p>
    <w:p>
      <w:pPr>
        <w:pStyle w:val="83"/>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83"/>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83"/>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83"/>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83"/>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83"/>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83"/>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9"/>
        <w:ind w:firstLine="480"/>
        <w:rPr>
          <w:rFonts w:hint="eastAsia" w:ascii="宋体" w:hAnsi="宋体" w:eastAsia="宋体" w:cs="宋体"/>
        </w:rPr>
      </w:pPr>
      <w:r>
        <w:rPr>
          <w:rFonts w:hint="eastAsia" w:ascii="宋体" w:hAnsi="宋体" w:eastAsia="宋体" w:cs="宋体"/>
        </w:rPr>
        <w:t>2、投标条件</w:t>
      </w:r>
    </w:p>
    <w:p>
      <w:pPr>
        <w:pStyle w:val="17"/>
        <w:spacing w:line="360" w:lineRule="auto"/>
        <w:ind w:firstLine="240" w:firstLineChars="1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（1）拟标投人必须是在中华人民共和国境内注册的独立法人机构，具有独立承担民事责任能力，公司成立三年以上（以营业执照成立日期到开标当日满三年为准）；</w:t>
      </w:r>
      <w:r>
        <w:rPr>
          <w:rFonts w:hint="eastAsia" w:ascii="宋体" w:hAnsi="宋体" w:eastAsia="宋体" w:cs="宋体"/>
          <w:color w:val="000000"/>
          <w:sz w:val="24"/>
          <w:szCs w:val="24"/>
          <w:highlight w:val="yellow"/>
          <w:lang w:val="en-US" w:eastAsia="zh-CN"/>
        </w:rPr>
        <w:t>注册资金为</w:t>
      </w:r>
      <w:r>
        <w:rPr>
          <w:rFonts w:hint="eastAsia" w:hAnsi="宋体" w:cs="宋体"/>
          <w:color w:val="000000"/>
          <w:sz w:val="24"/>
          <w:szCs w:val="24"/>
          <w:highlight w:val="yellow"/>
          <w:lang w:val="en-US" w:eastAsia="zh-CN"/>
        </w:rPr>
        <w:t>1</w:t>
      </w:r>
      <w:r>
        <w:rPr>
          <w:rFonts w:hint="eastAsia" w:ascii="宋体" w:hAnsi="宋体" w:eastAsia="宋体" w:cs="宋体"/>
          <w:color w:val="000000"/>
          <w:sz w:val="24"/>
          <w:szCs w:val="24"/>
          <w:highlight w:val="yellow"/>
          <w:lang w:val="en-US" w:eastAsia="zh-CN"/>
        </w:rPr>
        <w:t>00万元（含）及以上人民币（或等值其他货币）；</w:t>
      </w:r>
      <w:r>
        <w:rPr>
          <w:rFonts w:hint="eastAsia" w:ascii="宋体" w:hAnsi="宋体" w:eastAsia="宋体" w:cs="宋体"/>
          <w:color w:val="000000"/>
          <w:sz w:val="24"/>
          <w:szCs w:val="24"/>
        </w:rPr>
        <w:t>经营范围满足招标人需求；</w:t>
      </w:r>
      <w:r>
        <w:rPr>
          <w:rFonts w:hint="eastAsia" w:ascii="宋体" w:hAnsi="宋体" w:eastAsia="宋体" w:cs="宋体"/>
          <w:color w:val="000000"/>
          <w:sz w:val="24"/>
          <w:szCs w:val="24"/>
          <w:lang w:val="en-US" w:eastAsia="zh-CN"/>
        </w:rPr>
        <w:t>满足技术、质量、资金等要求，财务状况良好、经营稳定，具有全面履约的能力</w:t>
      </w:r>
    </w:p>
    <w:p>
      <w:pPr>
        <w:pStyle w:val="1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7"/>
        <w:spacing w:line="360" w:lineRule="auto"/>
        <w:ind w:firstLine="235" w:firstLineChars="98"/>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（6）拟投标人经审计的近三年的公司财务报表（资产负债表、损益表、现金流量表）</w:t>
      </w:r>
      <w:r>
        <w:rPr>
          <w:rFonts w:hint="eastAsia" w:ascii="宋体" w:hAnsi="宋体" w:eastAsia="宋体" w:cs="宋体"/>
          <w:color w:val="000000"/>
          <w:sz w:val="24"/>
          <w:szCs w:val="24"/>
          <w:highlight w:val="none"/>
        </w:rPr>
        <w:t>未显示异常</w:t>
      </w:r>
      <w:r>
        <w:rPr>
          <w:rFonts w:hint="eastAsia" w:ascii="宋体" w:hAnsi="宋体" w:eastAsia="宋体" w:cs="宋体"/>
          <w:color w:val="000000"/>
          <w:sz w:val="24"/>
          <w:szCs w:val="24"/>
          <w:highlight w:val="none"/>
          <w:lang w:val="en-US" w:eastAsia="zh-CN"/>
        </w:rPr>
        <w:t>,并提供完税证明</w:t>
      </w:r>
    </w:p>
    <w:p>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7"/>
        <w:spacing w:line="360" w:lineRule="auto"/>
        <w:ind w:firstLine="235" w:firstLineChars="98"/>
        <w:rPr>
          <w:rFonts w:hint="default" w:ascii="宋体" w:hAnsi="宋体" w:eastAsia="宋体" w:cs="宋体"/>
          <w:color w:val="000000"/>
          <w:sz w:val="24"/>
          <w:szCs w:val="24"/>
          <w:lang w:val="en-US" w:eastAsia="zh-CN"/>
        </w:rPr>
      </w:pPr>
      <w:r>
        <w:rPr>
          <w:rFonts w:hint="eastAsia" w:hAnsi="宋体" w:cs="宋体"/>
          <w:color w:val="000000"/>
          <w:sz w:val="24"/>
          <w:szCs w:val="24"/>
          <w:lang w:val="en-US" w:eastAsia="zh-CN"/>
        </w:rPr>
        <w:t>（8）拟投标人应提供企业对外担保说明（写明贵单位对外有无对外担保和质押业务，需加盖公章）</w:t>
      </w:r>
    </w:p>
    <w:p>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hAnsi="宋体" w:cs="宋体"/>
          <w:color w:val="000000"/>
          <w:sz w:val="24"/>
          <w:szCs w:val="24"/>
          <w:lang w:val="en-US" w:eastAsia="zh-CN"/>
        </w:rPr>
        <w:t>9</w:t>
      </w:r>
      <w:r>
        <w:rPr>
          <w:rFonts w:hint="eastAsia" w:ascii="宋体" w:hAnsi="宋体" w:eastAsia="宋体" w:cs="宋体"/>
          <w:color w:val="000000"/>
          <w:sz w:val="24"/>
          <w:szCs w:val="24"/>
        </w:rPr>
        <w:t>）本项目不接受联合体投标。</w:t>
      </w:r>
    </w:p>
    <w:p>
      <w:pPr>
        <w:pStyle w:val="17"/>
        <w:spacing w:line="360" w:lineRule="auto"/>
        <w:ind w:firstLine="235" w:firstLineChars="98"/>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 xml:space="preserve">）无招标违规、谎报年度报告信息、提供虚假资质资料等行为或其他行政处罚记录； </w:t>
      </w:r>
    </w:p>
    <w:p>
      <w:pPr>
        <w:pStyle w:val="17"/>
        <w:spacing w:line="360" w:lineRule="auto"/>
        <w:ind w:firstLine="235" w:firstLineChars="98"/>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投标人的直接或间接股东、法定代表人、董事、监事、高管非重汽员工及其亲属。 </w:t>
      </w:r>
    </w:p>
    <w:p>
      <w:pPr>
        <w:pStyle w:val="17"/>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w:t>
      </w:r>
      <w:r>
        <w:rPr>
          <w:rFonts w:hint="eastAsia" w:hAnsi="宋体" w:cs="宋体"/>
          <w:color w:val="000000"/>
          <w:sz w:val="24"/>
          <w:szCs w:val="24"/>
          <w:lang w:eastAsia="zh-CN"/>
        </w:rPr>
        <w:t>（</w:t>
      </w:r>
      <w:r>
        <w:rPr>
          <w:rFonts w:hint="eastAsia" w:hAnsi="宋体" w:cs="宋体"/>
          <w:color w:val="000000"/>
          <w:sz w:val="24"/>
          <w:szCs w:val="24"/>
          <w:lang w:val="en-US" w:eastAsia="zh-CN"/>
        </w:rPr>
        <w:t>若线上参会，需视频端展示）</w:t>
      </w:r>
      <w:r>
        <w:rPr>
          <w:rFonts w:hint="eastAsia" w:ascii="宋体" w:hAnsi="宋体" w:eastAsia="宋体" w:cs="宋体"/>
          <w:color w:val="000000"/>
          <w:sz w:val="24"/>
          <w:szCs w:val="24"/>
        </w:rPr>
        <w:t>，否则视为</w:t>
      </w:r>
      <w:r>
        <w:rPr>
          <w:rFonts w:hint="eastAsia" w:hAnsi="宋体" w:cs="宋体"/>
          <w:color w:val="000000"/>
          <w:sz w:val="24"/>
          <w:szCs w:val="24"/>
          <w:lang w:val="en-US" w:eastAsia="zh-CN"/>
        </w:rPr>
        <w:t>投标无效</w:t>
      </w:r>
      <w:r>
        <w:rPr>
          <w:rFonts w:hint="eastAsia" w:ascii="宋体" w:hAnsi="宋体" w:eastAsia="宋体" w:cs="宋体"/>
          <w:color w:val="000000"/>
          <w:sz w:val="24"/>
          <w:szCs w:val="24"/>
        </w:rPr>
        <w:t>；</w:t>
      </w:r>
    </w:p>
    <w:p>
      <w:pPr>
        <w:pStyle w:val="1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w:t>
      </w:r>
      <w:r>
        <w:rPr>
          <w:rFonts w:hint="eastAsia" w:hAnsi="宋体" w:cs="宋体"/>
          <w:color w:val="000000"/>
          <w:sz w:val="24"/>
          <w:szCs w:val="24"/>
          <w:lang w:eastAsia="zh-CN"/>
        </w:rPr>
        <w:t>（</w:t>
      </w:r>
      <w:r>
        <w:rPr>
          <w:rFonts w:hint="eastAsia" w:hAnsi="宋体" w:cs="宋体"/>
          <w:color w:val="000000"/>
          <w:sz w:val="24"/>
          <w:szCs w:val="24"/>
          <w:lang w:val="en-US" w:eastAsia="zh-CN"/>
        </w:rPr>
        <w:t>若线上参会，需视频端展示）</w:t>
      </w:r>
      <w:r>
        <w:rPr>
          <w:rFonts w:hint="eastAsia" w:ascii="宋体" w:hAnsi="宋体" w:eastAsia="宋体" w:cs="宋体"/>
          <w:color w:val="000000"/>
          <w:sz w:val="24"/>
          <w:szCs w:val="24"/>
        </w:rPr>
        <w:t>，否则视为</w:t>
      </w:r>
      <w:r>
        <w:rPr>
          <w:rFonts w:hint="eastAsia" w:hAnsi="宋体" w:cs="宋体"/>
          <w:color w:val="000000"/>
          <w:sz w:val="24"/>
          <w:szCs w:val="24"/>
          <w:lang w:val="en-US" w:eastAsia="zh-CN"/>
        </w:rPr>
        <w:t>投标无效</w:t>
      </w:r>
      <w:r>
        <w:rPr>
          <w:rFonts w:hint="eastAsia" w:ascii="宋体" w:hAnsi="宋体" w:eastAsia="宋体" w:cs="宋体"/>
          <w:color w:val="000000"/>
          <w:sz w:val="24"/>
          <w:szCs w:val="24"/>
        </w:rPr>
        <w:t>；</w:t>
      </w:r>
    </w:p>
    <w:p>
      <w:pPr>
        <w:pStyle w:val="83"/>
        <w:ind w:firstLine="480"/>
        <w:rPr>
          <w:rFonts w:hint="eastAsia" w:ascii="宋体" w:hAnsi="宋体" w:eastAsia="宋体" w:cs="宋体"/>
          <w:b/>
          <w:highlight w:val="none"/>
        </w:rPr>
      </w:pPr>
      <w:r>
        <w:rPr>
          <w:rFonts w:hint="eastAsia" w:ascii="宋体" w:hAnsi="宋体" w:eastAsia="宋体" w:cs="宋体"/>
          <w:b/>
          <w:highlight w:val="none"/>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若线上参会，需视频端展示），否则视</w:t>
      </w:r>
      <w:r>
        <w:rPr>
          <w:rFonts w:hint="eastAsia" w:eastAsia="宋体" w:cs="宋体"/>
          <w:b/>
          <w:highlight w:val="none"/>
          <w:lang w:val="en-US" w:eastAsia="zh-CN"/>
        </w:rPr>
        <w:t>为投标无效</w:t>
      </w:r>
      <w:r>
        <w:rPr>
          <w:rFonts w:hint="eastAsia" w:ascii="宋体" w:hAnsi="宋体" w:eastAsia="宋体" w:cs="宋体"/>
          <w:b/>
          <w:highlight w:val="none"/>
        </w:rPr>
        <w:t>。</w:t>
      </w:r>
    </w:p>
    <w:p>
      <w:pPr>
        <w:pStyle w:val="89"/>
        <w:ind w:firstLine="480"/>
        <w:rPr>
          <w:rFonts w:hint="eastAsia" w:ascii="宋体" w:hAnsi="宋体" w:eastAsia="宋体" w:cs="宋体"/>
        </w:rPr>
      </w:pPr>
      <w:r>
        <w:rPr>
          <w:rFonts w:hint="eastAsia" w:ascii="宋体" w:hAnsi="宋体" w:eastAsia="宋体" w:cs="宋体"/>
        </w:rPr>
        <w:t>3、报价</w:t>
      </w:r>
    </w:p>
    <w:p>
      <w:pPr>
        <w:pStyle w:val="17"/>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83"/>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83"/>
        <w:numPr>
          <w:ilvl w:val="0"/>
          <w:numId w:val="2"/>
        </w:numPr>
        <w:ind w:firstLine="480"/>
        <w:rPr>
          <w:rFonts w:hint="eastAsia" w:ascii="宋体" w:hAnsi="宋体" w:eastAsia="宋体" w:cs="宋体"/>
          <w:b/>
        </w:rPr>
      </w:pPr>
      <w:r>
        <w:rPr>
          <w:rFonts w:hint="eastAsia" w:ascii="宋体" w:hAnsi="宋体" w:eastAsia="宋体" w:cs="宋体"/>
          <w:b/>
        </w:rPr>
        <w:t>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93"/>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2000</w:t>
      </w:r>
      <w:r>
        <w:rPr>
          <w:rFonts w:hint="eastAsia" w:ascii="宋体" w:hAnsi="宋体" w:eastAsia="宋体" w:cs="宋体"/>
          <w:color w:val="000000"/>
          <w:kern w:val="2"/>
          <w:sz w:val="24"/>
          <w:szCs w:val="24"/>
          <w:highlight w:val="none"/>
          <w:lang w:val="en-US" w:eastAsia="zh-CN" w:bidi="ar-SA"/>
        </w:rPr>
        <w:t>元的投标保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注意事项：</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转账时，请注意备注投标的项目名称，方便后期核对退款。</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报名时提供电子回单（含贵公司账户及我公司账户信息）</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报名时候，请务必在邮件正文中文字表述付款账号、户名、开户行名称、开户行行号、保证金金额。</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(一) 该银行账户只接受电汇。</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w:t>
      </w:r>
      <w:r>
        <w:rPr>
          <w:rFonts w:hint="eastAsia" w:ascii="宋体" w:hAnsi="宋体" w:cs="宋体"/>
          <w:color w:val="000000"/>
          <w:kern w:val="2"/>
          <w:sz w:val="24"/>
          <w:szCs w:val="24"/>
          <w:highlight w:val="none"/>
          <w:lang w:val="en-US" w:eastAsia="zh-CN" w:bidi="ar-SA"/>
        </w:rPr>
        <w:t>二</w:t>
      </w:r>
      <w:r>
        <w:rPr>
          <w:rFonts w:hint="eastAsia" w:ascii="宋体" w:hAnsi="宋体" w:eastAsia="宋体" w:cs="宋体"/>
          <w:color w:val="000000"/>
          <w:kern w:val="2"/>
          <w:sz w:val="24"/>
          <w:szCs w:val="24"/>
          <w:highlight w:val="none"/>
          <w:lang w:val="en-US" w:eastAsia="zh-CN" w:bidi="ar-SA"/>
        </w:rPr>
        <w:t>) 对于没有中标的投标单位，投标保证金将于招标人内部完成中标人评审并确认最终中标人后在</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工作日内予以原路返还；对于中标供应商，投标保证金将在签订合同后</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工作日内返还</w:t>
      </w:r>
      <w:r>
        <w:rPr>
          <w:rFonts w:hint="eastAsia" w:ascii="宋体" w:hAnsi="宋体" w:cs="宋体"/>
          <w:color w:val="000000"/>
          <w:kern w:val="2"/>
          <w:sz w:val="24"/>
          <w:szCs w:val="24"/>
          <w:highlight w:val="none"/>
          <w:lang w:val="en-US" w:eastAsia="zh-CN" w:bidi="ar-SA"/>
        </w:rPr>
        <w:t>，退还保证金时，不计算利息</w:t>
      </w:r>
      <w:r>
        <w:rPr>
          <w:rFonts w:hint="eastAsia" w:ascii="宋体" w:hAnsi="宋体" w:eastAsia="宋体" w:cs="宋体"/>
          <w:color w:val="000000"/>
          <w:kern w:val="2"/>
          <w:sz w:val="24"/>
          <w:szCs w:val="24"/>
          <w:highlight w:val="none"/>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①供应商在提交响应文件截止时间后撤回响应文件的；</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②供应商在响应文件中提供虚假材料的；</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③除因不可抗力或谈判文件、询价通知书认可的情形以外，成交供应商不与采购人签订合同的；</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④供应商与采购人、其他供应商或者采购代理机构恶意串通、围标、陪标的；</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⑤采购文件规定的其他情形；</w:t>
      </w:r>
    </w:p>
    <w:p>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⑥供应商有违约违规行为或被投诉、举报的，在调查处理期间，保证金暂不退还，待调查处理结束后按有关规定处理。</w:t>
      </w:r>
    </w:p>
    <w:p>
      <w:pPr>
        <w:pStyle w:val="8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83"/>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w:t>
      </w:r>
      <w:r>
        <w:rPr>
          <w:rFonts w:hint="eastAsia" w:eastAsia="宋体" w:cs="宋体"/>
          <w:color w:val="000000"/>
          <w:kern w:val="2"/>
          <w:sz w:val="24"/>
          <w:szCs w:val="24"/>
          <w:lang w:val="en-US" w:eastAsia="zh-CN" w:bidi="ar-SA"/>
        </w:rPr>
        <w:t>书面及邮件</w:t>
      </w:r>
      <w:r>
        <w:rPr>
          <w:rFonts w:hint="eastAsia" w:ascii="宋体" w:hAnsi="宋体" w:eastAsia="宋体" w:cs="宋体"/>
          <w:color w:val="000000"/>
          <w:kern w:val="2"/>
          <w:sz w:val="24"/>
          <w:szCs w:val="24"/>
          <w:lang w:val="en-US" w:eastAsia="zh-CN" w:bidi="ar-SA"/>
        </w:rPr>
        <w:t>答复为准</w:t>
      </w:r>
      <w:r>
        <w:rPr>
          <w:rFonts w:hint="eastAsia" w:ascii="宋体" w:hAnsi="宋体" w:eastAsia="宋体" w:cs="宋体"/>
        </w:rPr>
        <w:t>。</w:t>
      </w:r>
    </w:p>
    <w:p>
      <w:pPr>
        <w:pStyle w:val="8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83"/>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83"/>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9"/>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8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lang w:eastAsia="zh-CN"/>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highlight w:val="none"/>
        </w:rPr>
        <w:t>若为现场</w:t>
      </w:r>
      <w:r>
        <w:rPr>
          <w:rFonts w:hint="eastAsia" w:eastAsia="宋体" w:cs="宋体"/>
          <w:b/>
          <w:highlight w:val="none"/>
          <w:lang w:val="en-US" w:eastAsia="zh-CN"/>
        </w:rPr>
        <w:t>参加投标</w:t>
      </w:r>
      <w:r>
        <w:rPr>
          <w:rFonts w:hint="eastAsia" w:eastAsia="宋体" w:cs="宋体"/>
          <w:b/>
          <w:highlight w:val="none"/>
        </w:rPr>
        <w:t>，营业</w:t>
      </w:r>
      <w:r>
        <w:rPr>
          <w:rFonts w:hint="eastAsia" w:eastAsia="宋体" w:cs="宋体"/>
          <w:b/>
        </w:rPr>
        <w:t>执照和授权书需</w:t>
      </w:r>
      <w:r>
        <w:rPr>
          <w:rFonts w:hint="eastAsia" w:eastAsia="宋体" w:cs="宋体"/>
          <w:b/>
          <w:highlight w:val="none"/>
        </w:rPr>
        <w:t>在开标现场出示；若为视频</w:t>
      </w:r>
      <w:r>
        <w:rPr>
          <w:rFonts w:hint="eastAsia" w:eastAsia="宋体" w:cs="宋体"/>
          <w:b/>
          <w:highlight w:val="none"/>
          <w:lang w:val="en-US" w:eastAsia="zh-CN"/>
        </w:rPr>
        <w:t>参加投标</w:t>
      </w:r>
      <w:r>
        <w:rPr>
          <w:rFonts w:hint="eastAsia" w:eastAsia="宋体" w:cs="宋体"/>
          <w:b/>
          <w:highlight w:val="none"/>
        </w:rPr>
        <w:t>，则需在视频端呈现即可。</w:t>
      </w:r>
      <w:r>
        <w:rPr>
          <w:rFonts w:hint="eastAsia" w:eastAsia="宋体" w:cs="宋体"/>
          <w:highlight w:val="none"/>
        </w:rPr>
        <w:t>若没有携带营业执照原</w:t>
      </w:r>
      <w:r>
        <w:rPr>
          <w:rFonts w:hint="eastAsia" w:eastAsia="宋体" w:cs="宋体"/>
        </w:rPr>
        <w:t>件，将根据现场所有参与开标的投标单位和专家共同判定得出认可情况</w:t>
      </w:r>
      <w:r>
        <w:rPr>
          <w:rFonts w:hint="eastAsia" w:eastAsia="宋体" w:cs="宋体"/>
          <w:b/>
        </w:rPr>
        <w:t>。</w:t>
      </w:r>
      <w:r>
        <w:rPr>
          <w:rFonts w:hint="eastAsia" w:eastAsia="宋体" w:cs="宋体"/>
          <w:strike w:val="0"/>
          <w:dstrike w:val="0"/>
        </w:rPr>
        <w:t>详见附件格式</w:t>
      </w:r>
      <w:r>
        <w:rPr>
          <w:rFonts w:hint="eastAsia" w:eastAsia="宋体" w:cs="宋体"/>
          <w:strike w:val="0"/>
          <w:dstrike w:val="0"/>
          <w:color w:val="auto"/>
        </w:rPr>
        <w:t>1—11</w:t>
      </w:r>
      <w:r>
        <w:rPr>
          <w:rFonts w:hint="eastAsia" w:eastAsia="宋体" w:cs="宋体"/>
          <w:strike w:val="0"/>
          <w:dstrike w:val="0"/>
          <w:color w:val="auto"/>
          <w:lang w:eastAsia="zh-CN"/>
        </w:rPr>
        <w:t>。</w:t>
      </w:r>
    </w:p>
    <w:p>
      <w:pPr>
        <w:pStyle w:val="83"/>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lang w:eastAsia="zh-C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lang w:eastAsia="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企业信用证明材料（征信报告）；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企业最近半年的完税证明；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highlight w:val="cyan"/>
          <w:lang w:val="en-US" w:eastAsia="zh-CN"/>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w:t>
      </w:r>
      <w:r>
        <w:rPr>
          <w:rFonts w:hint="eastAsia" w:ascii="宋体" w:hAnsi="宋体" w:eastAsia="宋体" w:cs="宋体"/>
          <w:b/>
          <w:color w:val="auto"/>
          <w:sz w:val="24"/>
          <w:szCs w:val="24"/>
          <w:highlight w:val="none"/>
        </w:rPr>
        <w:t>；</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rPr>
        <w:t>7</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）按招标文件投标人须知和技术规格书中要求提供的有关文件</w:t>
      </w:r>
    </w:p>
    <w:p>
      <w:pPr>
        <w:pStyle w:val="83"/>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83"/>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r>
        <w:rPr>
          <w:rFonts w:hint="eastAsia" w:eastAsia="宋体" w:cs="宋体"/>
          <w:lang w:val="en-US" w:eastAsia="zh-CN"/>
        </w:rPr>
        <w:t>商务标文件外</w:t>
      </w:r>
      <w:r>
        <w:rPr>
          <w:rFonts w:hint="eastAsia" w:eastAsia="宋体" w:cs="宋体"/>
          <w:lang w:eastAsia="zh-CN"/>
        </w:rPr>
        <w:t>单独封装1份</w:t>
      </w:r>
    </w:p>
    <w:p>
      <w:pPr>
        <w:pStyle w:val="83"/>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eastAsia="宋体" w:cs="宋体"/>
          <w:lang w:eastAsia="zh-CN"/>
        </w:rPr>
        <w:t>；</w:t>
      </w:r>
    </w:p>
    <w:p>
      <w:pPr>
        <w:pStyle w:val="83"/>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83"/>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83"/>
        <w:ind w:firstLine="480"/>
        <w:rPr>
          <w:rFonts w:hint="eastAsia" w:ascii="宋体" w:hAnsi="宋体" w:eastAsia="宋体" w:cs="宋体"/>
        </w:rPr>
      </w:pPr>
      <w:r>
        <w:rPr>
          <w:rFonts w:hint="eastAsia" w:ascii="宋体" w:hAnsi="宋体" w:eastAsia="宋体" w:cs="宋体"/>
        </w:rPr>
        <w:t>5）备品备件、易损件和专用耗材明细表（附件1</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b/>
        </w:rPr>
        <w:t>需在表格下方写明本部分报价是否包含在本项目总报价当中；</w:t>
      </w:r>
    </w:p>
    <w:p>
      <w:pPr>
        <w:pStyle w:val="89"/>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83"/>
        <w:ind w:firstLine="480"/>
        <w:rPr>
          <w:rFonts w:hint="eastAsia" w:ascii="宋体" w:hAnsi="宋体" w:eastAsia="宋体" w:cs="宋体"/>
          <w:b/>
          <w:lang w:val="en-US" w:eastAsia="zh-CN"/>
        </w:rPr>
      </w:pPr>
      <w:r>
        <w:rPr>
          <w:rFonts w:hint="eastAsia" w:ascii="宋体" w:hAnsi="宋体" w:eastAsia="宋体" w:cs="宋体"/>
        </w:rPr>
        <w:t>详见附件格式1—11</w:t>
      </w:r>
      <w:r>
        <w:rPr>
          <w:rFonts w:hint="eastAsia" w:eastAsia="宋体" w:cs="宋体"/>
          <w:lang w:eastAsia="zh-CN"/>
        </w:rPr>
        <w:t>。</w:t>
      </w:r>
    </w:p>
    <w:p>
      <w:pPr>
        <w:pStyle w:val="85"/>
        <w:rPr>
          <w:rFonts w:hint="eastAsia" w:ascii="宋体" w:hAnsi="宋体" w:eastAsia="宋体" w:cs="宋体"/>
        </w:rPr>
      </w:pPr>
      <w:r>
        <w:rPr>
          <w:rFonts w:hint="eastAsia" w:ascii="宋体" w:hAnsi="宋体" w:eastAsia="宋体" w:cs="宋体"/>
        </w:rPr>
        <w:t>五、议程安排</w:t>
      </w:r>
    </w:p>
    <w:p>
      <w:pPr>
        <w:pStyle w:val="8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1、发标时间：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 xml:space="preserve"> 7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w:t>
      </w:r>
      <w:r>
        <w:rPr>
          <w:rFonts w:hint="default" w:ascii="宋体" w:hAnsi="宋体" w:eastAsia="宋体" w:cs="宋体"/>
          <w:b w:val="0"/>
          <w:color w:val="auto"/>
          <w:highlight w:val="none"/>
          <w:lang w:eastAsia="zh-CN"/>
          <w:woUserID w:val="1"/>
        </w:rPr>
        <w:t>17</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日（周</w:t>
      </w:r>
      <w:r>
        <w:rPr>
          <w:rFonts w:hint="default" w:ascii="宋体" w:hAnsi="宋体" w:eastAsia="宋体" w:cs="宋体"/>
          <w:b w:val="0"/>
          <w:color w:val="auto"/>
          <w:highlight w:val="none"/>
          <w:woUserID w:val="1"/>
        </w:rPr>
        <w:t>五</w:t>
      </w:r>
      <w:r>
        <w:rPr>
          <w:rFonts w:hint="eastAsia" w:ascii="宋体" w:hAnsi="宋体" w:eastAsia="宋体" w:cs="宋体"/>
          <w:b w:val="0"/>
          <w:color w:val="auto"/>
          <w:highlight w:val="none"/>
        </w:rPr>
        <w:t>）</w:t>
      </w:r>
    </w:p>
    <w:p>
      <w:pPr>
        <w:pStyle w:val="8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83"/>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83"/>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7</w:t>
      </w:r>
      <w:r>
        <w:rPr>
          <w:rFonts w:hint="eastAsia" w:ascii="宋体" w:hAnsi="宋体" w:eastAsia="宋体" w:cs="宋体"/>
          <w:bCs/>
        </w:rPr>
        <w:t>月</w:t>
      </w:r>
      <w:r>
        <w:rPr>
          <w:rFonts w:hint="eastAsia" w:eastAsia="宋体" w:cs="宋体"/>
          <w:bCs/>
          <w:lang w:val="en-US" w:eastAsia="zh-CN"/>
        </w:rPr>
        <w:t xml:space="preserve"> </w:t>
      </w:r>
      <w:r>
        <w:rPr>
          <w:rFonts w:hint="default" w:eastAsia="宋体" w:cs="宋体"/>
          <w:bCs/>
          <w:lang w:eastAsia="zh-CN"/>
          <w:woUserID w:val="1"/>
        </w:rPr>
        <w:t>27</w:t>
      </w:r>
      <w:r>
        <w:rPr>
          <w:rFonts w:hint="eastAsia" w:eastAsia="宋体" w:cs="宋体"/>
          <w:bCs/>
          <w:lang w:val="en-US" w:eastAsia="zh-CN"/>
        </w:rPr>
        <w:t xml:space="preserve"> </w:t>
      </w:r>
      <w:r>
        <w:rPr>
          <w:rFonts w:hint="eastAsia" w:ascii="宋体" w:hAnsi="宋体" w:eastAsia="宋体" w:cs="宋体"/>
          <w:bCs/>
        </w:rPr>
        <w:t>日</w:t>
      </w:r>
      <w:r>
        <w:rPr>
          <w:rFonts w:hint="eastAsia" w:ascii="宋体" w:hAnsi="宋体" w:eastAsia="宋体" w:cs="宋体"/>
        </w:rPr>
        <w:t>（周</w:t>
      </w:r>
      <w:r>
        <w:rPr>
          <w:rFonts w:hint="default" w:eastAsia="宋体" w:cs="宋体"/>
          <w:woUserID w:val="1"/>
        </w:rPr>
        <w:t>一</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9"/>
        <w:ind w:firstLine="480"/>
        <w:rPr>
          <w:rFonts w:hint="eastAsia" w:ascii="宋体" w:hAnsi="宋体" w:eastAsia="宋体" w:cs="宋体"/>
        </w:rPr>
      </w:pPr>
      <w:r>
        <w:rPr>
          <w:rFonts w:hint="eastAsia" w:ascii="宋体" w:hAnsi="宋体" w:eastAsia="宋体" w:cs="宋体"/>
        </w:rPr>
        <w:t>4、技术答疑</w:t>
      </w:r>
    </w:p>
    <w:p>
      <w:pPr>
        <w:pStyle w:val="83"/>
        <w:ind w:firstLine="480"/>
        <w:rPr>
          <w:rFonts w:hint="eastAsia" w:ascii="宋体" w:hAnsi="宋体" w:eastAsia="宋体" w:cs="宋体"/>
        </w:rPr>
      </w:pPr>
      <w:r>
        <w:rPr>
          <w:rFonts w:hint="eastAsia" w:ascii="宋体" w:hAnsi="宋体" w:eastAsia="宋体" w:cs="宋体"/>
        </w:rPr>
        <w:t>答疑时间：截止至</w:t>
      </w:r>
      <w:bookmarkStart w:id="30" w:name="_GoBack"/>
      <w:r>
        <w:rPr>
          <w:rFonts w:hint="eastAsia" w:ascii="宋体" w:hAnsi="宋体" w:eastAsia="宋体" w:cs="宋体"/>
          <w:bCs/>
          <w:woUserID w:val="1"/>
        </w:rPr>
        <w:t>202</w:t>
      </w:r>
      <w:r>
        <w:rPr>
          <w:rFonts w:hint="eastAsia" w:eastAsia="宋体" w:cs="宋体"/>
          <w:bCs/>
          <w:lang w:val="en-US" w:eastAsia="zh-CN"/>
          <w:woUserID w:val="1"/>
        </w:rPr>
        <w:t>6</w:t>
      </w:r>
      <w:r>
        <w:rPr>
          <w:rFonts w:hint="eastAsia" w:ascii="宋体" w:hAnsi="宋体" w:eastAsia="宋体" w:cs="宋体"/>
          <w:bCs/>
          <w:woUserID w:val="1"/>
        </w:rPr>
        <w:t>年</w:t>
      </w:r>
      <w:r>
        <w:rPr>
          <w:rFonts w:hint="eastAsia" w:eastAsia="宋体" w:cs="宋体"/>
          <w:bCs/>
          <w:lang w:val="en-US" w:eastAsia="zh-CN"/>
          <w:woUserID w:val="1"/>
        </w:rPr>
        <w:t>7</w:t>
      </w:r>
      <w:r>
        <w:rPr>
          <w:rFonts w:hint="eastAsia" w:ascii="宋体" w:hAnsi="宋体" w:eastAsia="宋体" w:cs="宋体"/>
          <w:bCs/>
          <w:woUserID w:val="1"/>
        </w:rPr>
        <w:t>月</w:t>
      </w:r>
      <w:r>
        <w:rPr>
          <w:rFonts w:hint="eastAsia" w:eastAsia="宋体" w:cs="宋体"/>
          <w:bCs/>
          <w:lang w:val="en-US" w:eastAsia="zh-CN"/>
          <w:woUserID w:val="1"/>
        </w:rPr>
        <w:t xml:space="preserve"> </w:t>
      </w:r>
      <w:r>
        <w:rPr>
          <w:rFonts w:hint="default" w:eastAsia="宋体" w:cs="宋体"/>
          <w:bCs/>
          <w:lang w:eastAsia="zh-CN"/>
          <w:woUserID w:val="1"/>
        </w:rPr>
        <w:t>27</w:t>
      </w:r>
      <w:r>
        <w:rPr>
          <w:rFonts w:hint="eastAsia" w:eastAsia="宋体" w:cs="宋体"/>
          <w:bCs/>
          <w:lang w:val="en-US" w:eastAsia="zh-CN"/>
          <w:woUserID w:val="1"/>
        </w:rPr>
        <w:t xml:space="preserve"> </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一</w:t>
      </w:r>
      <w:r>
        <w:rPr>
          <w:rFonts w:hint="eastAsia" w:ascii="宋体" w:hAnsi="宋体" w:eastAsia="宋体" w:cs="宋体"/>
          <w:woUserID w:val="1"/>
        </w:rPr>
        <w:t>）</w:t>
      </w:r>
      <w:bookmarkEnd w:id="30"/>
      <w:r>
        <w:rPr>
          <w:rFonts w:hint="eastAsia" w:ascii="宋体" w:hAnsi="宋体" w:eastAsia="宋体" w:cs="宋体"/>
        </w:rPr>
        <w:t>下午17点前，逾期不受理</w:t>
      </w:r>
    </w:p>
    <w:p>
      <w:pPr>
        <w:pStyle w:val="83"/>
        <w:ind w:firstLine="480"/>
        <w:rPr>
          <w:rFonts w:hint="eastAsia" w:ascii="宋体" w:hAnsi="宋体" w:eastAsia="宋体" w:cs="宋体"/>
          <w:highlight w:val="none"/>
        </w:rPr>
      </w:pPr>
      <w:r>
        <w:rPr>
          <w:rFonts w:hint="eastAsia" w:ascii="宋体" w:hAnsi="宋体" w:eastAsia="宋体" w:cs="宋体"/>
          <w:highlight w:val="none"/>
        </w:rPr>
        <w:t>答疑方式：书面及邮件</w:t>
      </w:r>
    </w:p>
    <w:p>
      <w:pPr>
        <w:pStyle w:val="83"/>
        <w:ind w:firstLine="480"/>
        <w:rPr>
          <w:rFonts w:hint="eastAsia" w:ascii="宋体" w:hAnsi="宋体" w:eastAsia="宋体" w:cs="宋体"/>
          <w:highlight w:val="none"/>
          <w:lang w:eastAsia="zh-CN"/>
        </w:rPr>
      </w:pPr>
      <w:r>
        <w:rPr>
          <w:rFonts w:hint="eastAsia" w:ascii="宋体" w:hAnsi="宋体" w:eastAsia="宋体" w:cs="宋体"/>
          <w:highlight w:val="none"/>
        </w:rPr>
        <w:t>联 系 人：</w:t>
      </w:r>
      <w:r>
        <w:rPr>
          <w:rFonts w:hint="eastAsia" w:eastAsia="宋体" w:cs="宋体"/>
          <w:highlight w:val="none"/>
          <w:lang w:val="en-US" w:eastAsia="zh-CN"/>
        </w:rPr>
        <w:t>沈晓峰</w:t>
      </w:r>
    </w:p>
    <w:p>
      <w:pPr>
        <w:pStyle w:val="83"/>
        <w:ind w:firstLine="480"/>
        <w:rPr>
          <w:rFonts w:hint="default" w:ascii="宋体" w:hAnsi="宋体" w:eastAsia="宋体" w:cs="宋体"/>
          <w:highlight w:val="none"/>
          <w:lang w:val="en-US" w:eastAsia="zh-CN"/>
        </w:rPr>
      </w:pPr>
      <w:r>
        <w:rPr>
          <w:rFonts w:hint="eastAsia" w:ascii="宋体" w:hAnsi="宋体" w:eastAsia="宋体" w:cs="宋体"/>
          <w:highlight w:val="none"/>
        </w:rPr>
        <w:t>电    话：</w:t>
      </w:r>
      <w:r>
        <w:rPr>
          <w:rFonts w:hint="eastAsia" w:eastAsia="宋体" w:cs="宋体"/>
          <w:highlight w:val="none"/>
          <w:lang w:val="en-US" w:eastAsia="zh-CN"/>
        </w:rPr>
        <w:t>19861850501</w:t>
      </w:r>
    </w:p>
    <w:p>
      <w:pPr>
        <w:pStyle w:val="83"/>
        <w:ind w:firstLine="480"/>
        <w:rPr>
          <w:rFonts w:hint="eastAsia" w:ascii="宋体" w:hAnsi="宋体" w:eastAsia="宋体" w:cs="宋体"/>
          <w:highlight w:val="none"/>
        </w:rPr>
      </w:pPr>
      <w:r>
        <w:rPr>
          <w:rFonts w:hint="eastAsia" w:ascii="宋体" w:hAnsi="宋体" w:eastAsia="宋体" w:cs="宋体"/>
          <w:highlight w:val="none"/>
        </w:rPr>
        <w:t>邮    箱：</w:t>
      </w:r>
      <w:r>
        <w:rPr>
          <w:rFonts w:hint="eastAsia" w:eastAsia="宋体" w:cs="宋体"/>
          <w:highlight w:val="none"/>
          <w:lang w:val="en-US" w:eastAsia="zh-CN"/>
        </w:rPr>
        <w:t>shenxiaofeng</w:t>
      </w:r>
      <w:r>
        <w:rPr>
          <w:rFonts w:hint="eastAsia" w:ascii="宋体" w:hAnsi="宋体" w:eastAsia="宋体" w:cs="宋体"/>
          <w:highlight w:val="none"/>
        </w:rPr>
        <w:t xml:space="preserve">@sinotruk.com </w:t>
      </w:r>
    </w:p>
    <w:p>
      <w:pPr>
        <w:pStyle w:val="89"/>
        <w:ind w:firstLine="480"/>
        <w:rPr>
          <w:rFonts w:hint="eastAsia" w:ascii="宋体" w:hAnsi="宋体" w:eastAsia="宋体" w:cs="宋体"/>
          <w:highlight w:val="none"/>
        </w:rPr>
      </w:pPr>
      <w:r>
        <w:rPr>
          <w:rFonts w:hint="eastAsia" w:ascii="宋体" w:hAnsi="宋体" w:eastAsia="宋体" w:cs="宋体"/>
          <w:highlight w:val="none"/>
        </w:rPr>
        <w:t>5、商务答疑</w:t>
      </w:r>
    </w:p>
    <w:p>
      <w:pPr>
        <w:pStyle w:val="83"/>
        <w:ind w:firstLine="480"/>
        <w:rPr>
          <w:rFonts w:hint="eastAsia" w:ascii="宋体" w:hAnsi="宋体" w:eastAsia="宋体" w:cs="宋体"/>
          <w:highlight w:val="none"/>
        </w:rPr>
      </w:pPr>
      <w:r>
        <w:rPr>
          <w:rFonts w:hint="eastAsia" w:ascii="宋体" w:hAnsi="宋体" w:eastAsia="宋体" w:cs="宋体"/>
          <w:highlight w:val="none"/>
        </w:rPr>
        <w:t>答疑方式：</w:t>
      </w:r>
      <w:r>
        <w:rPr>
          <w:rFonts w:hint="eastAsia" w:ascii="宋体" w:hAnsi="宋体" w:eastAsia="宋体" w:cs="宋体"/>
          <w:b/>
          <w:highlight w:val="none"/>
        </w:rPr>
        <w:t>邮件</w:t>
      </w:r>
      <w:r>
        <w:rPr>
          <w:rFonts w:hint="eastAsia" w:ascii="宋体" w:hAnsi="宋体" w:eastAsia="宋体" w:cs="宋体"/>
          <w:highlight w:val="none"/>
        </w:rPr>
        <w:t>（电话不受理）</w:t>
      </w:r>
    </w:p>
    <w:p>
      <w:pPr>
        <w:pStyle w:val="83"/>
        <w:ind w:firstLine="480"/>
        <w:rPr>
          <w:rFonts w:hint="eastAsia" w:ascii="宋体" w:hAnsi="宋体" w:eastAsia="宋体" w:cs="宋体"/>
          <w:highlight w:val="none"/>
          <w:lang w:eastAsia="zh-CN"/>
        </w:rPr>
      </w:pPr>
      <w:r>
        <w:rPr>
          <w:rFonts w:hint="eastAsia" w:ascii="宋体" w:hAnsi="宋体" w:eastAsia="宋体" w:cs="宋体"/>
          <w:highlight w:val="none"/>
        </w:rPr>
        <w:t>联系人：</w:t>
      </w:r>
      <w:r>
        <w:rPr>
          <w:rFonts w:hint="eastAsia" w:eastAsia="宋体" w:cs="宋体"/>
          <w:highlight w:val="none"/>
          <w:lang w:val="en-US" w:eastAsia="zh-CN"/>
        </w:rPr>
        <w:t>李岳</w:t>
      </w:r>
    </w:p>
    <w:p>
      <w:pPr>
        <w:pStyle w:val="83"/>
        <w:ind w:firstLine="480"/>
        <w:rPr>
          <w:rFonts w:hint="eastAsia" w:ascii="宋体" w:hAnsi="宋体" w:eastAsia="宋体" w:cs="宋体"/>
          <w:highlight w:val="none"/>
          <w:lang w:val="en-US" w:eastAsia="zh-CN"/>
        </w:rPr>
      </w:pPr>
      <w:r>
        <w:rPr>
          <w:rFonts w:hint="eastAsia" w:ascii="宋体" w:hAnsi="宋体" w:eastAsia="宋体" w:cs="宋体"/>
          <w:highlight w:val="none"/>
        </w:rPr>
        <w:t>电话：0531-58066</w:t>
      </w:r>
      <w:r>
        <w:rPr>
          <w:rFonts w:hint="eastAsia" w:ascii="宋体" w:hAnsi="宋体" w:eastAsia="宋体" w:cs="宋体"/>
          <w:highlight w:val="none"/>
          <w:lang w:val="en-US" w:eastAsia="zh-CN"/>
        </w:rPr>
        <w:t>116</w:t>
      </w:r>
    </w:p>
    <w:p>
      <w:pPr>
        <w:pStyle w:val="83"/>
        <w:ind w:firstLine="480"/>
        <w:rPr>
          <w:rFonts w:hint="default" w:ascii="宋体" w:hAnsi="宋体" w:eastAsia="宋体" w:cs="宋体"/>
          <w:highlight w:val="none"/>
          <w:lang w:val="en-US" w:eastAsia="zh-CN"/>
        </w:rPr>
      </w:pPr>
      <w:r>
        <w:rPr>
          <w:rFonts w:hint="eastAsia" w:ascii="宋体" w:hAnsi="宋体" w:eastAsia="宋体" w:cs="宋体"/>
          <w:highlight w:val="none"/>
        </w:rPr>
        <w:t>邮    箱：</w:t>
      </w:r>
      <w:r>
        <w:rPr>
          <w:rFonts w:hint="eastAsia" w:eastAsia="宋体" w:cs="宋体"/>
          <w:highlight w:val="none"/>
          <w:lang w:val="en-US" w:eastAsia="zh-CN"/>
        </w:rPr>
        <w:fldChar w:fldCharType="begin"/>
      </w:r>
      <w:r>
        <w:rPr>
          <w:rFonts w:hint="eastAsia" w:eastAsia="宋体" w:cs="宋体"/>
          <w:highlight w:val="none"/>
          <w:lang w:val="en-US" w:eastAsia="zh-CN"/>
        </w:rPr>
        <w:instrText xml:space="preserve"> HYPERLINK "mailto:liyue1@sinotruk.com" </w:instrText>
      </w:r>
      <w:r>
        <w:rPr>
          <w:rFonts w:hint="eastAsia" w:eastAsia="宋体" w:cs="宋体"/>
          <w:highlight w:val="none"/>
          <w:lang w:val="en-US" w:eastAsia="zh-CN"/>
        </w:rPr>
        <w:fldChar w:fldCharType="separate"/>
      </w:r>
      <w:r>
        <w:rPr>
          <w:rStyle w:val="43"/>
          <w:rFonts w:hint="eastAsia" w:eastAsia="宋体" w:cs="宋体"/>
          <w:highlight w:val="none"/>
          <w:lang w:val="en-US" w:eastAsia="zh-CN"/>
        </w:rPr>
        <w:t>liyue1</w:t>
      </w:r>
      <w:r>
        <w:rPr>
          <w:rStyle w:val="43"/>
          <w:rFonts w:hint="eastAsia" w:ascii="宋体" w:hAnsi="宋体" w:eastAsia="宋体" w:cs="宋体"/>
          <w:highlight w:val="none"/>
        </w:rPr>
        <w:t>@sinotruk.com</w:t>
      </w:r>
      <w:r>
        <w:rPr>
          <w:rFonts w:hint="eastAsia" w:eastAsia="宋体" w:cs="宋体"/>
          <w:highlight w:val="none"/>
          <w:lang w:val="en-US" w:eastAsia="zh-CN"/>
        </w:rPr>
        <w:fldChar w:fldCharType="end"/>
      </w:r>
    </w:p>
    <w:p>
      <w:pPr>
        <w:pStyle w:val="89"/>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highlight w:val="none"/>
        </w:rPr>
      </w:pPr>
      <w:r>
        <w:rPr>
          <w:rFonts w:hint="eastAsia" w:ascii="宋体" w:hAnsi="宋体" w:eastAsia="宋体" w:cs="宋体"/>
          <w:highlight w:val="none"/>
        </w:rPr>
        <w:t>6、投标报名及注意事项</w:t>
      </w:r>
    </w:p>
    <w:p>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详见 </w:t>
      </w:r>
      <w:r>
        <w:rPr>
          <w:rFonts w:hint="eastAsia" w:ascii="宋体" w:hAnsi="宋体" w:eastAsia="宋体" w:cs="宋体"/>
          <w:b/>
          <w:bCs w:val="0"/>
          <w:sz w:val="24"/>
          <w:szCs w:val="24"/>
          <w:highlight w:val="none"/>
        </w:rPr>
        <w:t>四、投标说明</w:t>
      </w:r>
      <w:r>
        <w:rPr>
          <w:rFonts w:hint="eastAsia" w:ascii="宋体" w:hAnsi="宋体" w:eastAsia="宋体" w:cs="宋体"/>
          <w:b/>
          <w:bCs w:val="0"/>
          <w:sz w:val="24"/>
          <w:szCs w:val="24"/>
          <w:highlight w:val="none"/>
          <w:lang w:val="en-US" w:eastAsia="zh-CN"/>
        </w:rPr>
        <w:t xml:space="preserve"> </w:t>
      </w:r>
      <w:r>
        <w:rPr>
          <w:rFonts w:hint="eastAsia" w:ascii="宋体" w:hAnsi="宋体" w:eastAsia="宋体" w:cs="宋体"/>
          <w:sz w:val="24"/>
          <w:szCs w:val="24"/>
          <w:highlight w:val="none"/>
          <w:lang w:val="en-US" w:eastAsia="zh-CN"/>
        </w:rPr>
        <w:t>-&gt;</w:t>
      </w:r>
      <w:r>
        <w:rPr>
          <w:rFonts w:hint="eastAsia" w:ascii="宋体" w:hAnsi="宋体" w:eastAsia="宋体" w:cs="宋体"/>
          <w:sz w:val="24"/>
          <w:szCs w:val="24"/>
          <w:highlight w:val="none"/>
        </w:rPr>
        <w:t>1、报名方式</w:t>
      </w:r>
    </w:p>
    <w:p>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应标截止时间：2026年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default" w:eastAsia="宋体" w:cs="宋体"/>
          <w:color w:val="000000"/>
          <w:sz w:val="24"/>
          <w:szCs w:val="24"/>
          <w:highlight w:val="none"/>
          <w:woUserID w:val="1"/>
        </w:rPr>
        <w:t>22</w:t>
      </w:r>
      <w:r>
        <w:rPr>
          <w:rFonts w:hint="eastAsia" w:ascii="宋体" w:hAnsi="宋体" w:eastAsia="宋体" w:cs="宋体"/>
          <w:color w:val="000000"/>
          <w:sz w:val="24"/>
          <w:szCs w:val="24"/>
          <w:highlight w:val="none"/>
        </w:rPr>
        <w:t>日（周</w:t>
      </w:r>
      <w:r>
        <w:rPr>
          <w:rFonts w:hint="default" w:eastAsia="宋体" w:cs="宋体"/>
          <w:color w:val="000000"/>
          <w:sz w:val="24"/>
          <w:szCs w:val="24"/>
          <w:highlight w:val="none"/>
          <w:woUserID w:val="1"/>
        </w:rPr>
        <w:t>三</w:t>
      </w:r>
      <w:r>
        <w:rPr>
          <w:rFonts w:hint="eastAsia" w:ascii="宋体" w:hAnsi="宋体" w:eastAsia="宋体" w:cs="宋体"/>
          <w:color w:val="000000"/>
          <w:sz w:val="24"/>
          <w:szCs w:val="24"/>
          <w:highlight w:val="none"/>
        </w:rPr>
        <w:t>）</w:t>
      </w:r>
      <w:r>
        <w:rPr>
          <w:rFonts w:hint="eastAsia" w:eastAsia="宋体" w:cs="宋体"/>
          <w:sz w:val="24"/>
          <w:szCs w:val="24"/>
          <w:highlight w:val="none"/>
          <w:lang w:val="en-US" w:eastAsia="zh-CN"/>
        </w:rPr>
        <w:t>下午17：00，若有变动另行通知。</w:t>
      </w:r>
    </w:p>
    <w:p>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宋体"/>
          <w:sz w:val="24"/>
          <w:szCs w:val="24"/>
          <w:highlight w:val="none"/>
          <w:lang w:val="en-US" w:eastAsia="zh-CN"/>
        </w:rPr>
      </w:pPr>
      <w:r>
        <w:rPr>
          <w:rFonts w:hint="eastAsia" w:eastAsia="宋体" w:cs="宋体"/>
          <w:sz w:val="24"/>
          <w:szCs w:val="24"/>
          <w:highlight w:val="none"/>
          <w:lang w:val="en-US" w:eastAsia="zh-CN"/>
        </w:rPr>
        <w:t>投标截止时间：2026年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w:t>
      </w:r>
      <w:r>
        <w:rPr>
          <w:rFonts w:hint="default" w:cs="宋体"/>
          <w:color w:val="000000"/>
          <w:sz w:val="24"/>
          <w:szCs w:val="24"/>
          <w:highlight w:val="none"/>
          <w:lang w:eastAsia="zh-CN"/>
          <w:woUserID w:val="1"/>
        </w:rPr>
        <w:t>8</w:t>
      </w:r>
      <w:r>
        <w:rPr>
          <w:rFonts w:hint="eastAsia" w:ascii="宋体" w:hAnsi="宋体" w:eastAsia="宋体" w:cs="宋体"/>
          <w:color w:val="000000"/>
          <w:sz w:val="24"/>
          <w:szCs w:val="24"/>
          <w:highlight w:val="none"/>
        </w:rPr>
        <w:t>日（周</w:t>
      </w:r>
      <w:r>
        <w:rPr>
          <w:rFonts w:hint="default" w:eastAsia="宋体" w:cs="宋体"/>
          <w:color w:val="000000"/>
          <w:sz w:val="24"/>
          <w:szCs w:val="24"/>
          <w:highlight w:val="none"/>
          <w:woUserID w:val="1"/>
        </w:rPr>
        <w:t>二</w:t>
      </w:r>
      <w:r>
        <w:rPr>
          <w:rFonts w:hint="eastAsia" w:ascii="宋体" w:hAnsi="宋体" w:eastAsia="宋体" w:cs="宋体"/>
          <w:color w:val="000000"/>
          <w:sz w:val="24"/>
          <w:szCs w:val="24"/>
          <w:highlight w:val="none"/>
        </w:rPr>
        <w:t>）</w:t>
      </w:r>
      <w:r>
        <w:rPr>
          <w:rFonts w:hint="eastAsia" w:eastAsia="宋体" w:cs="宋体"/>
          <w:color w:val="000000"/>
          <w:sz w:val="24"/>
          <w:szCs w:val="24"/>
          <w:highlight w:val="none"/>
          <w:lang w:val="en-US" w:eastAsia="zh-CN"/>
        </w:rPr>
        <w:t>上</w:t>
      </w:r>
      <w:r>
        <w:rPr>
          <w:rFonts w:hint="eastAsia" w:eastAsia="宋体" w:cs="宋体"/>
          <w:sz w:val="24"/>
          <w:szCs w:val="24"/>
          <w:highlight w:val="none"/>
          <w:lang w:val="en-US" w:eastAsia="zh-CN"/>
        </w:rPr>
        <w:t>午9：00，若有变动另行通知。</w:t>
      </w:r>
    </w:p>
    <w:p>
      <w:pPr>
        <w:pStyle w:val="89"/>
        <w:keepNext/>
        <w:keepLines/>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highlight w:val="none"/>
        </w:rPr>
        <w:t>7、开标时间</w:t>
      </w:r>
      <w:r>
        <w:rPr>
          <w:rFonts w:hint="eastAsia" w:ascii="宋体" w:hAnsi="宋体" w:eastAsia="宋体" w:cs="宋体"/>
          <w:highlight w:val="none"/>
          <w:lang w:val="en-US" w:eastAsia="zh-CN"/>
        </w:rPr>
        <w:t>及</w:t>
      </w:r>
      <w:r>
        <w:rPr>
          <w:rFonts w:hint="eastAsia" w:ascii="宋体" w:hAnsi="宋体" w:eastAsia="宋体" w:cs="宋体"/>
          <w:b/>
          <w:bCs w:val="0"/>
          <w:color w:val="auto"/>
          <w:kern w:val="2"/>
          <w:sz w:val="24"/>
          <w:szCs w:val="24"/>
          <w:highlight w:val="none"/>
          <w:lang w:val="en-US" w:eastAsia="zh-CN" w:bidi="ar-SA"/>
        </w:rPr>
        <w:t>开标地点</w:t>
      </w:r>
    </w:p>
    <w:p>
      <w:pPr>
        <w:pStyle w:val="17"/>
        <w:spacing w:line="360" w:lineRule="auto"/>
        <w:ind w:firstLine="480" w:firstLineChars="200"/>
        <w:rPr>
          <w:rFonts w:hint="eastAsia" w:hAnsi="宋体" w:cs="宋体"/>
          <w:color w:val="000000"/>
          <w:sz w:val="24"/>
          <w:szCs w:val="24"/>
          <w:highlight w:val="none"/>
          <w:lang w:val="en-US" w:eastAsia="zh-CN"/>
        </w:rPr>
      </w:pPr>
      <w:r>
        <w:rPr>
          <w:rFonts w:hint="eastAsia" w:ascii="宋体" w:hAnsi="宋体" w:eastAsia="宋体" w:cs="宋体"/>
          <w:color w:val="000000"/>
          <w:sz w:val="24"/>
          <w:szCs w:val="24"/>
          <w:highlight w:val="none"/>
        </w:rPr>
        <w:t>济南市高新区华奥路777号中国重汽科技大厦</w:t>
      </w:r>
      <w:r>
        <w:rPr>
          <w:rFonts w:hint="eastAsia" w:hAnsi="宋体" w:cs="宋体"/>
          <w:color w:val="000000"/>
          <w:sz w:val="24"/>
          <w:szCs w:val="24"/>
          <w:highlight w:val="none"/>
          <w:lang w:eastAsia="zh-CN"/>
        </w:rPr>
        <w:t>，</w:t>
      </w:r>
      <w:r>
        <w:rPr>
          <w:rFonts w:hint="eastAsia" w:hAnsi="宋体" w:cs="宋体"/>
          <w:color w:val="000000"/>
          <w:sz w:val="24"/>
          <w:szCs w:val="24"/>
          <w:highlight w:val="none"/>
          <w:lang w:val="en-US" w:eastAsia="zh-CN"/>
        </w:rPr>
        <w:t>具体会议室待开标前一天另行通知；</w:t>
      </w:r>
    </w:p>
    <w:p>
      <w:pPr>
        <w:pStyle w:val="17"/>
        <w:spacing w:line="360" w:lineRule="auto"/>
        <w:ind w:firstLine="480" w:firstLineChars="200"/>
        <w:rPr>
          <w:rFonts w:hint="eastAsia" w:ascii="宋体" w:hAnsi="宋体" w:eastAsia="宋体" w:cs="宋体"/>
          <w:color w:val="000000"/>
          <w:sz w:val="24"/>
          <w:szCs w:val="24"/>
          <w:highlight w:val="none"/>
        </w:rPr>
      </w:pPr>
      <w:r>
        <w:rPr>
          <w:rFonts w:hint="eastAsia" w:eastAsia="宋体" w:cs="宋体"/>
          <w:sz w:val="24"/>
          <w:szCs w:val="24"/>
          <w:highlight w:val="none"/>
          <w:lang w:val="en-US" w:eastAsia="zh-CN"/>
        </w:rPr>
        <w:t>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w:t>
      </w:r>
      <w:r>
        <w:rPr>
          <w:rFonts w:hint="default" w:cs="宋体"/>
          <w:color w:val="000000"/>
          <w:sz w:val="24"/>
          <w:szCs w:val="24"/>
          <w:highlight w:val="none"/>
          <w:lang w:eastAsia="zh-CN"/>
          <w:woUserID w:val="1"/>
        </w:rPr>
        <w:t>8</w:t>
      </w:r>
      <w:r>
        <w:rPr>
          <w:rFonts w:hint="eastAsia" w:ascii="宋体" w:hAnsi="宋体" w:eastAsia="宋体" w:cs="宋体"/>
          <w:color w:val="000000"/>
          <w:sz w:val="24"/>
          <w:szCs w:val="24"/>
          <w:highlight w:val="none"/>
        </w:rPr>
        <w:t>日（周</w:t>
      </w:r>
      <w:r>
        <w:rPr>
          <w:rFonts w:hint="default" w:hAnsi="宋体" w:cs="宋体"/>
          <w:color w:val="000000"/>
          <w:sz w:val="24"/>
          <w:szCs w:val="24"/>
          <w:highlight w:val="none"/>
          <w:woUserID w:val="1"/>
        </w:rPr>
        <w:t>二</w:t>
      </w:r>
      <w:r>
        <w:rPr>
          <w:rFonts w:hint="eastAsia" w:ascii="宋体" w:hAnsi="宋体" w:eastAsia="宋体" w:cs="宋体"/>
          <w:color w:val="000000"/>
          <w:sz w:val="24"/>
          <w:szCs w:val="24"/>
          <w:highlight w:val="none"/>
        </w:rPr>
        <w:t>）</w:t>
      </w:r>
      <w:r>
        <w:rPr>
          <w:rFonts w:hint="eastAsia" w:hAnsi="宋体" w:cs="宋体"/>
          <w:color w:val="000000"/>
          <w:sz w:val="24"/>
          <w:szCs w:val="24"/>
          <w:highlight w:val="none"/>
          <w:lang w:val="en-US" w:eastAsia="zh-CN"/>
        </w:rPr>
        <w:t>上</w:t>
      </w:r>
      <w:r>
        <w:rPr>
          <w:rFonts w:hint="eastAsia" w:ascii="宋体" w:hAnsi="宋体" w:eastAsia="宋体" w:cs="宋体"/>
          <w:color w:val="000000"/>
          <w:sz w:val="24"/>
          <w:szCs w:val="24"/>
          <w:highlight w:val="none"/>
        </w:rPr>
        <w:t>午</w:t>
      </w:r>
      <w:r>
        <w:rPr>
          <w:rFonts w:hint="eastAsia"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0，若有变动另行通知。</w:t>
      </w:r>
    </w:p>
    <w:p>
      <w:pPr>
        <w:pStyle w:val="89"/>
        <w:ind w:firstLine="480"/>
        <w:rPr>
          <w:rFonts w:ascii="宋体" w:hAnsi="宋体" w:eastAsia="宋体" w:cs="宋体"/>
          <w:b w:val="0"/>
          <w:bCs w:val="0"/>
          <w:highlight w:val="none"/>
        </w:rPr>
      </w:pPr>
      <w:r>
        <w:rPr>
          <w:rFonts w:hint="eastAsia" w:ascii="宋体" w:hAnsi="宋体" w:eastAsia="宋体" w:cs="宋体"/>
          <w:highlight w:val="none"/>
        </w:rPr>
        <w:t>8、开标方式</w:t>
      </w:r>
    </w:p>
    <w:p>
      <w:pPr>
        <w:pStyle w:val="17"/>
        <w:spacing w:line="360" w:lineRule="auto"/>
        <w:ind w:firstLine="480" w:firstLineChars="200"/>
        <w:rPr>
          <w:rFonts w:hAnsi="宋体" w:cs="宋体"/>
          <w:bCs/>
          <w:sz w:val="24"/>
          <w:szCs w:val="24"/>
          <w:highlight w:val="none"/>
        </w:rPr>
      </w:pPr>
      <w:r>
        <w:rPr>
          <w:rFonts w:hint="eastAsia" w:hAnsi="宋体" w:cs="宋体"/>
          <w:bCs/>
          <w:sz w:val="24"/>
          <w:szCs w:val="24"/>
          <w:highlight w:val="none"/>
        </w:rPr>
        <w:t>如选择到场参与开标，自行携带</w:t>
      </w:r>
      <w:r>
        <w:rPr>
          <w:rFonts w:hint="eastAsia" w:hAnsi="宋体" w:cs="宋体"/>
          <w:bCs/>
          <w:sz w:val="24"/>
          <w:szCs w:val="24"/>
          <w:highlight w:val="none"/>
          <w:lang w:val="en-US" w:eastAsia="zh-CN"/>
        </w:rPr>
        <w:t>笔记本电脑</w:t>
      </w:r>
      <w:r>
        <w:rPr>
          <w:rFonts w:hint="eastAsia" w:hAnsi="宋体" w:cs="宋体"/>
          <w:bCs/>
          <w:sz w:val="24"/>
          <w:szCs w:val="24"/>
          <w:highlight w:val="none"/>
        </w:rPr>
        <w:t>至开标地点即可。</w:t>
      </w:r>
    </w:p>
    <w:p>
      <w:pPr>
        <w:pStyle w:val="17"/>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如选择线上参与开标，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9"/>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83"/>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83"/>
        <w:ind w:firstLine="480"/>
        <w:rPr>
          <w:highlight w:val="none"/>
        </w:rPr>
      </w:pPr>
      <w:r>
        <w:rPr>
          <w:rFonts w:hint="eastAsia" w:ascii="宋体" w:hAnsi="宋体" w:eastAsia="宋体" w:cs="宋体"/>
          <w:highlight w:val="none"/>
        </w:rPr>
        <w:t>投标地点：</w:t>
      </w:r>
      <w:bookmarkStart w:id="3" w:name="OLE_LINK3"/>
      <w:bookmarkStart w:id="4" w:name="OLE_LINK2"/>
      <w:r>
        <w:rPr>
          <w:rFonts w:hint="eastAsia" w:ascii="宋体" w:hAnsi="宋体" w:eastAsia="宋体" w:cs="宋体"/>
          <w:highlight w:val="none"/>
        </w:rPr>
        <w:t>济南市高新区华奥路777号重汽科技大厦</w:t>
      </w:r>
      <w:r>
        <w:rPr>
          <w:rFonts w:hint="eastAsia" w:eastAsia="宋体" w:cs="宋体"/>
          <w:highlight w:val="none"/>
          <w:lang w:val="en-US" w:eastAsia="zh-CN"/>
        </w:rPr>
        <w:t>8#试验室308</w:t>
      </w:r>
      <w:r>
        <w:rPr>
          <w:rFonts w:hint="eastAsia" w:ascii="宋体" w:hAnsi="宋体" w:eastAsia="宋体" w:cs="宋体"/>
          <w:highlight w:val="none"/>
        </w:rPr>
        <w:t>会议室</w:t>
      </w:r>
      <w:bookmarkEnd w:id="3"/>
      <w:bookmarkEnd w:id="4"/>
    </w:p>
    <w:p>
      <w:pPr>
        <w:pStyle w:val="85"/>
        <w:rPr>
          <w:rFonts w:hint="eastAsia" w:ascii="宋体" w:hAnsi="宋体" w:eastAsia="宋体" w:cs="宋体"/>
        </w:rPr>
      </w:pPr>
      <w:r>
        <w:rPr>
          <w:rFonts w:hint="eastAsia" w:ascii="宋体" w:hAnsi="宋体" w:eastAsia="宋体" w:cs="宋体"/>
        </w:rPr>
        <w:t>六、评标规则</w:t>
      </w:r>
    </w:p>
    <w:p>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val="en-US" w:eastAsia="zh-CN"/>
        </w:rPr>
        <w:t>技术入围后，合理最低价的模式</w:t>
      </w:r>
      <w:r>
        <w:rPr>
          <w:rFonts w:hint="eastAsia" w:ascii="宋体" w:hAnsi="宋体" w:eastAsia="宋体" w:cs="宋体"/>
          <w:b/>
          <w:bCs/>
          <w:sz w:val="24"/>
          <w:szCs w:val="24"/>
          <w:lang w:val="en-US" w:eastAsia="zh-CN"/>
        </w:rPr>
        <w:t>确认最终中标方。</w:t>
      </w:r>
      <w:r>
        <w:rPr>
          <w:rFonts w:hint="eastAsia" w:ascii="宋体" w:hAnsi="宋体" w:eastAsia="宋体" w:cs="宋体"/>
          <w:color w:val="000000"/>
          <w:sz w:val="24"/>
          <w:szCs w:val="24"/>
        </w:rPr>
        <w:t>本着公平、公正、公开的原则，在通过技术标综合评审后入围的前提下，</w:t>
      </w:r>
      <w:r>
        <w:rPr>
          <w:rFonts w:hint="eastAsia" w:ascii="宋体" w:hAnsi="宋体" w:cs="宋体"/>
          <w:color w:val="000000"/>
          <w:sz w:val="24"/>
          <w:szCs w:val="24"/>
          <w:lang w:val="en-US" w:eastAsia="zh-CN"/>
        </w:rPr>
        <w:t>通过合理最低价</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83"/>
        <w:ind w:firstLine="482"/>
        <w:rPr>
          <w:rFonts w:hint="eastAsia" w:ascii="宋体" w:hAnsi="宋体" w:eastAsia="宋体" w:cs="宋体"/>
          <w:b/>
          <w:highlight w:val="none"/>
          <w:lang w:val="en-US" w:eastAsia="zh-CN"/>
        </w:rPr>
      </w:pPr>
      <w:r>
        <w:rPr>
          <w:rFonts w:hint="eastAsia" w:ascii="宋体" w:hAnsi="宋体" w:eastAsia="宋体" w:cs="宋体"/>
          <w:b/>
          <w:highlight w:val="none"/>
        </w:rPr>
        <w:t>评标流程</w:t>
      </w:r>
      <w:r>
        <w:rPr>
          <w:rFonts w:hint="eastAsia" w:eastAsia="宋体" w:cs="宋体"/>
          <w:b/>
          <w:highlight w:val="none"/>
          <w:lang w:eastAsia="zh-CN"/>
        </w:rPr>
        <w:t>：</w:t>
      </w:r>
    </w:p>
    <w:p>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5"/>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pPr>
        <w:numPr>
          <w:ilvl w:val="0"/>
          <w:numId w:val="6"/>
        </w:numPr>
        <w:spacing w:line="420" w:lineRule="exact"/>
        <w:rPr>
          <w:rFonts w:hint="eastAsia" w:ascii="宋体" w:hAnsi="宋体" w:eastAsia="宋体" w:cs="宋体"/>
          <w:b/>
          <w:sz w:val="24"/>
          <w:szCs w:val="24"/>
          <w:highlight w:val="none"/>
        </w:rPr>
      </w:pPr>
      <w:r>
        <w:rPr>
          <w:rFonts w:hint="eastAsia" w:ascii="宋体" w:hAnsi="宋体" w:eastAsia="宋体" w:cs="宋体"/>
          <w:b/>
          <w:sz w:val="24"/>
          <w:szCs w:val="24"/>
          <w:highlight w:val="none"/>
        </w:rPr>
        <w:t>资质标评审：经资质审查通过后</w:t>
      </w:r>
      <w:r>
        <w:rPr>
          <w:rFonts w:hint="eastAsia" w:ascii="宋体" w:hAnsi="宋体" w:cs="宋体"/>
          <w:b/>
          <w:sz w:val="24"/>
          <w:szCs w:val="24"/>
          <w:highlight w:val="none"/>
          <w:lang w:eastAsia="zh-CN"/>
        </w:rPr>
        <w:t>，</w:t>
      </w:r>
      <w:r>
        <w:rPr>
          <w:rFonts w:hint="eastAsia" w:ascii="宋体" w:hAnsi="宋体" w:eastAsia="宋体" w:cs="宋体"/>
          <w:b/>
          <w:sz w:val="24"/>
          <w:szCs w:val="24"/>
          <w:highlight w:val="none"/>
        </w:rPr>
        <w:t>进行开唱标工作，并统一报价要求</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技术标与商务标分别开标，先开技术标，按照标书中规定的详细技术配置对比表</w:t>
      </w:r>
      <w:r>
        <w:rPr>
          <w:rFonts w:hint="eastAsia" w:ascii="宋体" w:hAnsi="宋体" w:cs="宋体"/>
          <w:b/>
          <w:sz w:val="24"/>
          <w:szCs w:val="24"/>
          <w:highlight w:val="none"/>
          <w:lang w:val="en-US" w:eastAsia="zh-CN"/>
        </w:rPr>
        <w:t>进</w:t>
      </w:r>
      <w:r>
        <w:rPr>
          <w:rFonts w:hint="eastAsia" w:ascii="宋体" w:hAnsi="宋体" w:eastAsia="宋体" w:cs="宋体"/>
          <w:b/>
          <w:sz w:val="24"/>
          <w:szCs w:val="24"/>
          <w:highlight w:val="none"/>
        </w:rPr>
        <w:t>行技术评标，</w:t>
      </w:r>
      <w:r>
        <w:rPr>
          <w:rFonts w:hint="eastAsia" w:ascii="宋体" w:hAnsi="宋体" w:eastAsia="宋体" w:cs="宋体"/>
          <w:b/>
          <w:sz w:val="24"/>
          <w:szCs w:val="24"/>
          <w:highlight w:val="none"/>
          <w:lang w:val="en-US" w:eastAsia="zh-CN"/>
        </w:rPr>
        <w:t>在</w:t>
      </w:r>
      <w:r>
        <w:rPr>
          <w:rFonts w:hint="eastAsia" w:ascii="宋体" w:hAnsi="宋体" w:eastAsia="宋体" w:cs="宋体"/>
          <w:b/>
          <w:sz w:val="24"/>
          <w:szCs w:val="24"/>
          <w:highlight w:val="none"/>
        </w:rPr>
        <w:t>满足技术要求的前提下（含技术澄清），推荐至少 3 家投标</w:t>
      </w:r>
      <w:r>
        <w:rPr>
          <w:rFonts w:hint="eastAsia" w:ascii="宋体" w:hAnsi="宋体" w:eastAsia="宋体" w:cs="宋体"/>
          <w:b/>
          <w:sz w:val="24"/>
          <w:szCs w:val="24"/>
          <w:highlight w:val="none"/>
          <w:lang w:val="en-US" w:eastAsia="zh-CN"/>
        </w:rPr>
        <w:t>人</w:t>
      </w:r>
      <w:r>
        <w:rPr>
          <w:rFonts w:hint="eastAsia" w:ascii="宋体" w:hAnsi="宋体" w:eastAsia="宋体" w:cs="宋体"/>
          <w:b/>
          <w:sz w:val="24"/>
          <w:szCs w:val="24"/>
          <w:highlight w:val="none"/>
        </w:rPr>
        <w:t>进入商务标</w:t>
      </w:r>
      <w:r>
        <w:rPr>
          <w:rFonts w:hint="eastAsia" w:ascii="宋体" w:hAnsi="宋体" w:cs="宋体"/>
          <w:b/>
          <w:sz w:val="24"/>
          <w:szCs w:val="24"/>
          <w:highlight w:val="none"/>
          <w:lang w:eastAsia="zh-CN"/>
        </w:rPr>
        <w:t>；</w:t>
      </w:r>
    </w:p>
    <w:p>
      <w:pPr>
        <w:numPr>
          <w:ilvl w:val="0"/>
          <w:numId w:val="6"/>
        </w:numPr>
        <w:spacing w:line="420" w:lineRule="exact"/>
        <w:rPr>
          <w:rFonts w:hint="eastAsia"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pPr>
        <w:numPr>
          <w:ilvl w:val="255"/>
          <w:numId w:val="0"/>
        </w:numPr>
        <w:spacing w:line="420" w:lineRule="exact"/>
        <w:ind w:firstLine="480" w:firstLineChars="200"/>
        <w:rPr>
          <w:rFonts w:hint="eastAsia" w:ascii="宋体" w:hAnsi="宋体" w:eastAsia="宋体" w:cs="宋体"/>
          <w:b/>
          <w:bCs/>
          <w:color w:val="000000"/>
          <w:sz w:val="24"/>
          <w:szCs w:val="24"/>
          <w:highlight w:val="none"/>
        </w:rPr>
      </w:pPr>
      <w:r>
        <w:rPr>
          <w:rFonts w:hint="eastAsia" w:ascii="宋体" w:hAnsi="宋体" w:cs="宋体"/>
          <w:b/>
          <w:bCs/>
          <w:color w:val="000000"/>
          <w:sz w:val="24"/>
          <w:szCs w:val="24"/>
          <w:highlight w:val="none"/>
          <w:lang w:val="en-US" w:eastAsia="zh-CN"/>
        </w:rPr>
        <w:t>本评标规则后附</w:t>
      </w:r>
      <w:r>
        <w:rPr>
          <w:rFonts w:hint="eastAsia" w:ascii="宋体" w:hAnsi="宋体" w:eastAsia="宋体" w:cs="宋体"/>
          <w:b/>
          <w:sz w:val="24"/>
          <w:szCs w:val="24"/>
          <w:highlight w:val="none"/>
        </w:rPr>
        <w:t>具体</w:t>
      </w:r>
      <w:r>
        <w:rPr>
          <w:rFonts w:hint="eastAsia" w:ascii="宋体" w:hAnsi="宋体" w:eastAsia="宋体" w:cs="宋体"/>
          <w:b/>
          <w:bCs/>
          <w:color w:val="000000"/>
          <w:sz w:val="24"/>
          <w:szCs w:val="24"/>
          <w:highlight w:val="none"/>
        </w:rPr>
        <w:t>技术标评分标准。</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技术标评分不带入商务标，商务标专家组与技术入围的有效投标人在其开标报价的基础上开展至少 3 轮商务谈判，确定推荐中标人。原则上按照评标合理最低价选择中标人</w:t>
      </w:r>
      <w:r>
        <w:rPr>
          <w:rFonts w:hint="eastAsia" w:ascii="宋体" w:hAnsi="宋体" w:eastAsia="宋体" w:cs="宋体"/>
          <w:b/>
          <w:sz w:val="24"/>
          <w:szCs w:val="24"/>
          <w:highlight w:val="none"/>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商务标评审：商务条款相应确认→价格澄清→商务标评审；评审期间产生的商务价格澄清均由投标人在重汽e采通平台内限时完成提交；</w:t>
      </w:r>
    </w:p>
    <w:p>
      <w:pPr>
        <w:pStyle w:val="5"/>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yellow"/>
        </w:rPr>
        <w:t xml:space="preserve"> 注意：投标人均需自带笔记本电脑在重汽e采通平台自主进行投标和提交澄清函；投标和提交澄清函均有时间限制，超时未提交的按无效处理。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7"/>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中标人确定：技术入围后，原则上合理最低价中标。</w:t>
      </w:r>
    </w:p>
    <w:p>
      <w:pPr>
        <w:widowControl/>
        <w:spacing w:line="360" w:lineRule="auto"/>
        <w:ind w:right="2" w:firstLine="480" w:firstLineChars="200"/>
        <w:jc w:val="left"/>
        <w:rPr>
          <w:rFonts w:hint="eastAsia" w:ascii="宋体" w:hAnsi="宋体" w:eastAsia="宋体" w:cs="宋体"/>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7"/>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val="en-US" w:eastAsia="zh-CN"/>
        </w:rPr>
        <w:t>2</w:t>
      </w:r>
      <w:r>
        <w:rPr>
          <w:rFonts w:hint="eastAsia" w:ascii="宋体" w:hAnsi="宋体" w:eastAsia="宋体" w:cs="宋体"/>
          <w:color w:val="000000"/>
          <w:sz w:val="24"/>
          <w:szCs w:val="24"/>
        </w:rPr>
        <w:t>、中标人瑕疵滞后发现的处理原则</w:t>
      </w:r>
    </w:p>
    <w:p>
      <w:pPr>
        <w:pStyle w:val="17"/>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5"/>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w:t>
      </w:r>
      <w:r>
        <w:rPr>
          <w:rFonts w:hint="eastAsia" w:ascii="宋体" w:hAnsi="宋体" w:eastAsia="宋体" w:cs="宋体"/>
          <w:color w:val="000000"/>
          <w:sz w:val="24"/>
          <w:szCs w:val="24"/>
          <w:highlight w:val="none"/>
        </w:rPr>
        <w:t>评标结果确定</w:t>
      </w:r>
      <w:r>
        <w:rPr>
          <w:rFonts w:hint="eastAsia" w:ascii="宋体" w:hAnsi="宋体" w:cs="宋体"/>
          <w:color w:val="000000"/>
          <w:sz w:val="24"/>
          <w:szCs w:val="24"/>
          <w:highlight w:val="none"/>
          <w:lang w:val="en-US" w:eastAsia="zh-CN"/>
        </w:rPr>
        <w:t>推荐</w:t>
      </w:r>
      <w:r>
        <w:rPr>
          <w:rFonts w:hint="eastAsia" w:ascii="宋体" w:hAnsi="宋体" w:eastAsia="宋体" w:cs="宋体"/>
          <w:color w:val="000000"/>
          <w:sz w:val="24"/>
          <w:szCs w:val="24"/>
          <w:highlight w:val="none"/>
        </w:rPr>
        <w:t>中标人，在</w:t>
      </w:r>
      <w:r>
        <w:rPr>
          <w:rFonts w:hint="eastAsia" w:ascii="宋体" w:hAnsi="宋体" w:eastAsia="宋体" w:cs="宋体"/>
          <w:color w:val="000000"/>
          <w:sz w:val="24"/>
          <w:szCs w:val="24"/>
        </w:rPr>
        <w:t>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83"/>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7"/>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83"/>
        <w:ind w:firstLine="48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、投标人有下列情形之一，其投标将被视为</w:t>
      </w:r>
      <w:r>
        <w:rPr>
          <w:rFonts w:hint="eastAsia" w:eastAsia="宋体" w:cs="宋体"/>
          <w:highlight w:val="none"/>
          <w:lang w:val="en-US" w:eastAsia="zh-CN"/>
        </w:rPr>
        <w:t>无效</w:t>
      </w:r>
      <w:r>
        <w:rPr>
          <w:rFonts w:hint="eastAsia" w:ascii="宋体" w:hAnsi="宋体" w:eastAsia="宋体" w:cs="宋体"/>
          <w:highlight w:val="none"/>
        </w:rPr>
        <w:t>，招标人将严格按照《中华人民共和国招标投标法》及相关法律、法规及规章制度的规定行使权利。投标人给招标人造成损失的，招标人有索赔的权利，投标人应予以赔偿。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pPr>
        <w:pStyle w:val="17"/>
        <w:spacing w:line="360" w:lineRule="auto"/>
        <w:rPr>
          <w:rFonts w:hint="eastAsia" w:ascii="宋体" w:hAnsi="宋体" w:eastAsia="宋体" w:cs="宋体"/>
          <w:highlight w:val="none"/>
        </w:rPr>
      </w:pPr>
      <w:r>
        <w:rPr>
          <w:rFonts w:hint="eastAsia" w:ascii="宋体" w:hAnsi="宋体" w:eastAsia="宋体" w:cs="宋体"/>
          <w:color w:val="000000"/>
          <w:sz w:val="24"/>
          <w:szCs w:val="24"/>
          <w:highlight w:val="none"/>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9</w:t>
      </w:r>
      <w:r>
        <w:rPr>
          <w:rFonts w:hint="eastAsia" w:ascii="宋体" w:hAnsi="宋体" w:eastAsia="宋体" w:cs="宋体"/>
          <w:sz w:val="24"/>
          <w:szCs w:val="24"/>
          <w:highlight w:val="none"/>
        </w:rPr>
        <w:t>）未按照招标人规定的时间内在中国重汽e采通完成投标的；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）法律、法规规定的其他情况。</w:t>
      </w:r>
    </w:p>
    <w:p>
      <w:pPr>
        <w:pStyle w:val="83"/>
        <w:ind w:firstLine="480"/>
        <w:rPr>
          <w:rFonts w:hint="eastAsia" w:ascii="宋体" w:hAnsi="宋体" w:eastAsia="宋体" w:cs="宋体"/>
          <w:highlight w:val="none"/>
          <w:lang w:val="en-US" w:eastAsia="zh-CN"/>
        </w:rPr>
      </w:pPr>
      <w:r>
        <w:rPr>
          <w:rFonts w:hint="eastAsia" w:ascii="宋体" w:hAnsi="宋体" w:eastAsia="宋体" w:cs="宋体"/>
          <w:highlight w:val="none"/>
          <w:lang w:val="en-US" w:eastAsia="zh-CN"/>
        </w:rPr>
        <w:t>6</w:t>
      </w:r>
      <w:r>
        <w:rPr>
          <w:rFonts w:hint="eastAsia" w:ascii="宋体" w:hAnsi="宋体" w:eastAsia="宋体" w:cs="宋体"/>
          <w:highlight w:val="none"/>
        </w:rPr>
        <w:t>、出现下列情形之一，</w:t>
      </w:r>
      <w:r>
        <w:rPr>
          <w:rFonts w:hint="eastAsia" w:eastAsia="宋体" w:cs="宋体"/>
          <w:highlight w:val="none"/>
          <w:lang w:val="en-US" w:eastAsia="zh-CN"/>
        </w:rPr>
        <w:t>本项目将废标，</w:t>
      </w:r>
      <w:r>
        <w:rPr>
          <w:rFonts w:hint="eastAsia" w:ascii="宋体" w:hAnsi="宋体" w:eastAsia="宋体" w:cs="宋体"/>
          <w:bCs/>
          <w:sz w:val="24"/>
          <w:szCs w:val="24"/>
          <w:highlight w:val="none"/>
        </w:rPr>
        <w:t>投标人承诺同意由于招标人公司政策变化引起的随时终止项目的要求并承担由此带来的一切损失；</w:t>
      </w:r>
    </w:p>
    <w:p>
      <w:pPr>
        <w:spacing w:line="360" w:lineRule="auto"/>
        <w:ind w:right="2" w:firstLine="480" w:firstLineChars="200"/>
        <w:rPr>
          <w:rFonts w:hint="eastAsia" w:eastAsia="宋体"/>
          <w:highlight w:val="none"/>
          <w:lang w:eastAsia="zh-CN"/>
        </w:rPr>
      </w:pPr>
      <w:r>
        <w:rPr>
          <w:rFonts w:hint="eastAsia" w:ascii="宋体" w:hAnsi="宋体" w:eastAsia="宋体" w:cs="宋体"/>
          <w:sz w:val="24"/>
          <w:szCs w:val="24"/>
          <w:highlight w:val="none"/>
        </w:rPr>
        <w:t>（1）符合条件</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或</w:t>
      </w:r>
      <w:r>
        <w:rPr>
          <w:rFonts w:hint="eastAsia" w:ascii="宋体" w:hAnsi="宋体" w:eastAsia="宋体" w:cs="宋体"/>
          <w:sz w:val="24"/>
          <w:szCs w:val="24"/>
          <w:highlight w:val="none"/>
        </w:rPr>
        <w:t>对招标文件做实质响应的供应商不足 3 家的</w:t>
      </w:r>
      <w:r>
        <w:rPr>
          <w:rFonts w:hint="eastAsia" w:ascii="宋体" w:hAnsi="宋体" w:cs="宋体"/>
          <w:sz w:val="24"/>
          <w:szCs w:val="24"/>
          <w:highlight w:val="none"/>
          <w:lang w:val="en-US" w:eastAsia="zh-CN"/>
        </w:rPr>
        <w:t>以及技术入围投标人不足3家的</w:t>
      </w:r>
      <w:r>
        <w:rPr>
          <w:rFonts w:hint="eastAsia" w:ascii="宋体" w:hAnsi="宋体" w:eastAsia="宋体" w:cs="宋体"/>
          <w:sz w:val="24"/>
          <w:szCs w:val="24"/>
          <w:highlight w:val="none"/>
        </w:rPr>
        <w:t>；</w:t>
      </w:r>
    </w:p>
    <w:p>
      <w:pPr>
        <w:spacing w:line="360" w:lineRule="auto"/>
        <w:ind w:right="2"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pPr>
        <w:spacing w:line="360" w:lineRule="auto"/>
        <w:ind w:right="2"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（3）不同投标人的投标文件异常一致或者投标报价呈规律性差异的</w:t>
      </w:r>
      <w:r>
        <w:rPr>
          <w:rFonts w:hint="eastAsia" w:ascii="宋体" w:hAnsi="宋体" w:cs="宋体"/>
          <w:bCs/>
          <w:sz w:val="24"/>
          <w:szCs w:val="24"/>
          <w:highlight w:val="none"/>
          <w:lang w:eastAsia="zh-CN"/>
        </w:rPr>
        <w:t>；</w:t>
      </w:r>
    </w:p>
    <w:p>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（4）投标人报价均超过采购预算的；</w:t>
      </w:r>
    </w:p>
    <w:p>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（5）因重大变故、采购任务取消的</w:t>
      </w:r>
    </w:p>
    <w:p>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（6）招标人认为其他应终止招标的情形。</w:t>
      </w:r>
    </w:p>
    <w:p>
      <w:pPr>
        <w:pStyle w:val="17"/>
        <w:spacing w:line="360" w:lineRule="auto"/>
        <w:ind w:firstLine="480" w:firstLineChars="200"/>
        <w:rPr>
          <w:rFonts w:hint="eastAsia" w:ascii="宋体" w:hAnsi="宋体" w:eastAsia="宋体" w:cs="宋体"/>
          <w:bCs/>
          <w:sz w:val="24"/>
          <w:szCs w:val="24"/>
        </w:rPr>
      </w:pPr>
    </w:p>
    <w:p>
      <w:pPr>
        <w:pStyle w:val="85"/>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w:t>
      </w:r>
      <w:r>
        <w:rPr>
          <w:rFonts w:hint="eastAsia" w:ascii="宋体" w:hAnsi="宋体" w:cs="宋体"/>
          <w:color w:val="000000"/>
          <w:sz w:val="24"/>
          <w:szCs w:val="24"/>
          <w:lang w:eastAsia="zh-CN"/>
        </w:rPr>
        <w:t>书面及邮件</w:t>
      </w:r>
      <w:r>
        <w:rPr>
          <w:rFonts w:hint="eastAsia" w:ascii="宋体" w:hAnsi="宋体" w:eastAsia="宋体" w:cs="宋体"/>
          <w:color w:val="000000"/>
          <w:sz w:val="24"/>
          <w:szCs w:val="24"/>
        </w:rPr>
        <w:t>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7"/>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83"/>
        <w:ind w:firstLine="0" w:firstLineChars="0"/>
        <w:rPr>
          <w:rFonts w:hint="eastAsia" w:ascii="宋体" w:hAnsi="宋体" w:eastAsia="宋体" w:cs="宋体"/>
        </w:rPr>
      </w:pPr>
    </w:p>
    <w:p>
      <w:pPr>
        <w:pStyle w:val="83"/>
        <w:ind w:firstLine="0" w:firstLineChars="0"/>
        <w:rPr>
          <w:rFonts w:hint="eastAsia" w:ascii="宋体" w:hAnsi="宋体" w:eastAsia="宋体" w:cs="宋体"/>
        </w:rPr>
      </w:pPr>
    </w:p>
    <w:p>
      <w:pPr>
        <w:pStyle w:val="83"/>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附件1</w:t>
      </w:r>
      <w:bookmarkStart w:id="6" w:name="_Toc212369550"/>
      <w:bookmarkStart w:id="7" w:name="_Toc353881012"/>
      <w:bookmarkStart w:id="8" w:name="_Toc639004"/>
      <w:bookmarkStart w:id="9" w:name="_Toc25811"/>
      <w:r>
        <w:rPr>
          <w:rFonts w:hint="eastAsia" w:ascii="宋体" w:hAnsi="宋体" w:eastAsia="宋体" w:cs="宋体"/>
        </w:rPr>
        <w:t xml:space="preserve"> 投标函</w:t>
      </w:r>
      <w:bookmarkEnd w:id="6"/>
      <w:bookmarkEnd w:id="7"/>
      <w:bookmarkEnd w:id="8"/>
      <w:bookmarkEnd w:id="9"/>
    </w:p>
    <w:p>
      <w:pPr>
        <w:pStyle w:val="83"/>
        <w:ind w:firstLine="480"/>
        <w:rPr>
          <w:rFonts w:hint="eastAsia" w:ascii="宋体" w:hAnsi="宋体" w:eastAsia="宋体" w:cs="宋体"/>
        </w:rPr>
      </w:pPr>
      <w:r>
        <w:rPr>
          <w:rFonts w:hint="eastAsia" w:ascii="宋体" w:hAnsi="宋体" w:eastAsia="宋体" w:cs="宋体"/>
        </w:rPr>
        <w:t>致：中国重汽集团济南动力有限公司：</w:t>
      </w:r>
    </w:p>
    <w:p>
      <w:pPr>
        <w:pStyle w:val="83"/>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83"/>
        <w:ind w:firstLine="480"/>
        <w:rPr>
          <w:rFonts w:hint="eastAsia" w:ascii="宋体" w:hAnsi="宋体" w:eastAsia="宋体" w:cs="宋体"/>
        </w:rPr>
      </w:pPr>
      <w:r>
        <w:rPr>
          <w:rFonts w:hint="eastAsia" w:ascii="宋体" w:hAnsi="宋体" w:eastAsia="宋体" w:cs="宋体"/>
        </w:rPr>
        <w:t>据此函，签字代表宣布同意如下：</w:t>
      </w:r>
    </w:p>
    <w:p>
      <w:pPr>
        <w:pStyle w:val="83"/>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83"/>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83"/>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83"/>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83"/>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83"/>
        <w:ind w:firstLine="480"/>
        <w:rPr>
          <w:rFonts w:hint="eastAsia" w:ascii="宋体" w:hAnsi="宋体" w:eastAsia="宋体" w:cs="宋体"/>
        </w:rPr>
      </w:pPr>
      <w:r>
        <w:rPr>
          <w:rFonts w:hint="eastAsia" w:ascii="宋体" w:hAnsi="宋体" w:eastAsia="宋体" w:cs="宋体"/>
        </w:rPr>
        <w:t>6、与本投标有关的一切正式往来信函请寄：</w:t>
      </w:r>
    </w:p>
    <w:p>
      <w:pPr>
        <w:pStyle w:val="83"/>
        <w:ind w:firstLine="480"/>
        <w:rPr>
          <w:rFonts w:hint="eastAsia" w:ascii="宋体" w:hAnsi="宋体" w:eastAsia="宋体" w:cs="宋体"/>
        </w:rPr>
      </w:pPr>
      <w:r>
        <w:rPr>
          <w:rFonts w:hint="eastAsia" w:ascii="宋体" w:hAnsi="宋体" w:eastAsia="宋体" w:cs="宋体"/>
        </w:rPr>
        <w:t xml:space="preserve">地址：                             </w:t>
      </w:r>
    </w:p>
    <w:p>
      <w:pPr>
        <w:pStyle w:val="83"/>
        <w:ind w:firstLine="480"/>
        <w:rPr>
          <w:rFonts w:hint="eastAsia" w:ascii="宋体" w:hAnsi="宋体" w:eastAsia="宋体" w:cs="宋体"/>
        </w:rPr>
      </w:pPr>
      <w:r>
        <w:rPr>
          <w:rFonts w:hint="eastAsia" w:ascii="宋体" w:hAnsi="宋体" w:eastAsia="宋体" w:cs="宋体"/>
        </w:rPr>
        <w:t xml:space="preserve">邮编：        </w:t>
      </w:r>
    </w:p>
    <w:p>
      <w:pPr>
        <w:pStyle w:val="83"/>
        <w:ind w:firstLine="480"/>
        <w:rPr>
          <w:rFonts w:hint="eastAsia" w:ascii="宋体" w:hAnsi="宋体" w:eastAsia="宋体" w:cs="宋体"/>
        </w:rPr>
      </w:pPr>
      <w:r>
        <w:rPr>
          <w:rFonts w:hint="eastAsia" w:ascii="宋体" w:hAnsi="宋体" w:eastAsia="宋体" w:cs="宋体"/>
        </w:rPr>
        <w:t xml:space="preserve">电话：        传真：                   </w:t>
      </w:r>
    </w:p>
    <w:p>
      <w:pPr>
        <w:pStyle w:val="83"/>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83"/>
        <w:ind w:firstLine="480"/>
        <w:rPr>
          <w:rFonts w:hint="eastAsia" w:ascii="宋体" w:hAnsi="宋体" w:eastAsia="宋体" w:cs="宋体"/>
        </w:rPr>
      </w:pPr>
      <w:r>
        <w:rPr>
          <w:rFonts w:hint="eastAsia" w:ascii="宋体" w:hAnsi="宋体" w:eastAsia="宋体" w:cs="宋体"/>
        </w:rPr>
        <w:t xml:space="preserve">开户银行：                   </w:t>
      </w:r>
    </w:p>
    <w:p>
      <w:pPr>
        <w:pStyle w:val="83"/>
        <w:ind w:firstLine="480"/>
        <w:rPr>
          <w:rFonts w:hint="eastAsia" w:ascii="宋体" w:hAnsi="宋体" w:eastAsia="宋体" w:cs="宋体"/>
        </w:rPr>
      </w:pPr>
      <w:r>
        <w:rPr>
          <w:rFonts w:hint="eastAsia" w:ascii="宋体" w:hAnsi="宋体" w:eastAsia="宋体" w:cs="宋体"/>
        </w:rPr>
        <w:t>银行帐号：</w:t>
      </w:r>
    </w:p>
    <w:p>
      <w:pPr>
        <w:pStyle w:val="83"/>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83"/>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83"/>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5"/>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附件2 法定代表人授权委托书</w:t>
      </w:r>
    </w:p>
    <w:p>
      <w:pPr>
        <w:pStyle w:val="2"/>
        <w:adjustRightInd w:val="0"/>
        <w:snapToGrid w:val="0"/>
        <w:spacing w:before="93" w:beforeLines="30" w:line="240" w:lineRule="exact"/>
        <w:jc w:val="center"/>
        <w:rPr>
          <w:rFonts w:hint="eastAsia" w:ascii="宋体" w:hAnsi="宋体" w:eastAsia="宋体" w:cs="宋体"/>
          <w:sz w:val="24"/>
        </w:rPr>
      </w:pPr>
    </w:p>
    <w:p>
      <w:pPr>
        <w:pStyle w:val="83"/>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83"/>
        <w:ind w:firstLine="480"/>
        <w:rPr>
          <w:rFonts w:hint="eastAsia" w:ascii="宋体" w:hAnsi="宋体" w:eastAsia="宋体" w:cs="宋体"/>
        </w:rPr>
      </w:pPr>
      <w:r>
        <w:rPr>
          <w:rFonts w:hint="eastAsia" w:ascii="宋体" w:hAnsi="宋体" w:eastAsia="宋体" w:cs="宋体"/>
        </w:rPr>
        <w:t>全权代表无转委权。特此委托。</w:t>
      </w: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83"/>
        <w:ind w:firstLine="480"/>
        <w:rPr>
          <w:rFonts w:hint="eastAsia" w:ascii="宋体" w:hAnsi="宋体" w:eastAsia="宋体" w:cs="宋体"/>
        </w:rPr>
      </w:pPr>
      <w:r>
        <w:rPr>
          <w:rFonts w:hint="eastAsia" w:ascii="宋体" w:hAnsi="宋体" w:eastAsia="宋体" w:cs="宋体"/>
        </w:rPr>
        <w:t>全权代表姓名：            性别：          年龄：</w:t>
      </w:r>
    </w:p>
    <w:p>
      <w:pPr>
        <w:pStyle w:val="83"/>
        <w:ind w:firstLine="480"/>
        <w:rPr>
          <w:rFonts w:hint="eastAsia" w:ascii="宋体" w:hAnsi="宋体" w:eastAsia="宋体" w:cs="宋体"/>
        </w:rPr>
      </w:pPr>
      <w:r>
        <w:rPr>
          <w:rFonts w:hint="eastAsia" w:ascii="宋体" w:hAnsi="宋体" w:eastAsia="宋体" w:cs="宋体"/>
        </w:rPr>
        <w:t>单位：                    部门：          职务：</w:t>
      </w:r>
    </w:p>
    <w:p>
      <w:pPr>
        <w:pStyle w:val="83"/>
        <w:ind w:firstLine="480"/>
        <w:rPr>
          <w:rFonts w:hint="eastAsia" w:ascii="宋体" w:hAnsi="宋体" w:eastAsia="宋体" w:cs="宋体"/>
        </w:rPr>
      </w:pPr>
      <w:r>
        <w:rPr>
          <w:rFonts w:hint="eastAsia" w:ascii="宋体" w:hAnsi="宋体" w:eastAsia="宋体" w:cs="宋体"/>
        </w:rPr>
        <w:t xml:space="preserve">法定代表人签字或盖章                          </w:t>
      </w:r>
    </w:p>
    <w:p>
      <w:pPr>
        <w:pStyle w:val="83"/>
        <w:ind w:firstLine="480"/>
        <w:rPr>
          <w:rFonts w:hint="eastAsia" w:ascii="宋体" w:hAnsi="宋体" w:eastAsia="宋体" w:cs="宋体"/>
        </w:rPr>
      </w:pPr>
      <w:r>
        <w:rPr>
          <w:rFonts w:hint="eastAsia" w:ascii="宋体" w:hAnsi="宋体" w:eastAsia="宋体" w:cs="宋体"/>
        </w:rPr>
        <w:t xml:space="preserve">被授权人签字  </w:t>
      </w:r>
    </w:p>
    <w:p>
      <w:pPr>
        <w:pStyle w:val="83"/>
        <w:ind w:firstLine="480"/>
        <w:rPr>
          <w:rFonts w:hint="eastAsia" w:ascii="宋体" w:hAnsi="宋体" w:eastAsia="宋体" w:cs="宋体"/>
        </w:rPr>
      </w:pPr>
      <w:r>
        <w:rPr>
          <w:rFonts w:hint="eastAsia" w:ascii="宋体" w:hAnsi="宋体" w:eastAsia="宋体" w:cs="宋体"/>
        </w:rPr>
        <w:t xml:space="preserve">被授权人电话：                          </w:t>
      </w:r>
    </w:p>
    <w:p>
      <w:pPr>
        <w:pStyle w:val="83"/>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9"/>
        <w:ind w:left="0" w:leftChars="0" w:firstLine="480" w:firstLineChars="20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4</w:t>
      </w:r>
      <w:r>
        <w:rPr>
          <w:rFonts w:hint="eastAsia" w:ascii="宋体" w:hAnsi="宋体" w:eastAsia="宋体" w:cs="宋体"/>
          <w:highlight w:val="none"/>
        </w:rPr>
        <w:t xml:space="preserve"> 技术规格偏离表</w:t>
      </w:r>
    </w:p>
    <w:p>
      <w:pPr>
        <w:pStyle w:val="83"/>
        <w:ind w:firstLine="480"/>
        <w:rPr>
          <w:rFonts w:hint="eastAsia" w:ascii="宋体" w:hAnsi="宋体" w:eastAsia="宋体" w:cs="宋体"/>
        </w:rPr>
      </w:pPr>
      <w:r>
        <w:rPr>
          <w:rFonts w:hint="eastAsia" w:ascii="宋体" w:hAnsi="宋体" w:eastAsia="宋体" w:cs="宋体"/>
          <w:highlight w:val="none"/>
        </w:rPr>
        <w:t>项目名称：</w:t>
      </w:r>
      <w:r>
        <w:rPr>
          <w:rFonts w:hint="eastAsia" w:eastAsia="宋体" w:cs="宋体"/>
          <w:highlight w:val="none"/>
          <w:lang w:eastAsia="zh-CN"/>
        </w:rPr>
        <w:t>产品试验检测中心设备配件采购项目</w:t>
      </w:r>
      <w:r>
        <w:rPr>
          <w:rFonts w:hint="eastAsia" w:ascii="宋体" w:hAnsi="宋体" w:eastAsia="宋体" w:cs="宋体"/>
          <w:highlight w:val="none"/>
        </w:rPr>
        <w:t xml:space="preserve">  </w:t>
      </w:r>
      <w:r>
        <w:rPr>
          <w:rFonts w:hint="eastAsia" w:ascii="宋体" w:hAnsi="宋体" w:eastAsia="宋体" w:cs="宋体"/>
        </w:rPr>
        <w:t xml:space="preserve">                                                  </w:t>
      </w:r>
    </w:p>
    <w:tbl>
      <w:tblPr>
        <w:tblStyle w:val="3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4331"/>
        <w:gridCol w:w="1675"/>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7"/>
              <w:jc w:val="center"/>
              <w:rPr>
                <w:rFonts w:hint="eastAsia" w:ascii="宋体" w:hAnsi="宋体" w:eastAsia="宋体" w:cs="宋体"/>
                <w:lang w:val="en-US" w:eastAsia="zh-CN"/>
              </w:rPr>
            </w:pPr>
            <w:r>
              <w:rPr>
                <w:rFonts w:hint="eastAsia" w:ascii="宋体" w:hAnsi="宋体" w:eastAsia="宋体" w:cs="宋体"/>
                <w:lang w:val="en-US" w:eastAsia="zh-CN"/>
              </w:rPr>
              <w:t>名称</w:t>
            </w:r>
          </w:p>
        </w:tc>
        <w:tc>
          <w:tcPr>
            <w:tcW w:w="2333" w:type="pct"/>
            <w:vAlign w:val="center"/>
          </w:tcPr>
          <w:p>
            <w:pPr>
              <w:pStyle w:val="87"/>
              <w:jc w:val="center"/>
              <w:rPr>
                <w:rFonts w:hint="eastAsia" w:ascii="宋体" w:hAnsi="宋体" w:eastAsia="宋体" w:cs="宋体"/>
              </w:rPr>
            </w:pPr>
            <w:r>
              <w:rPr>
                <w:rFonts w:hint="eastAsia" w:ascii="宋体" w:hAnsi="宋体" w:eastAsia="宋体" w:cs="宋体"/>
              </w:rPr>
              <w:t>招标要求</w:t>
            </w:r>
          </w:p>
        </w:tc>
        <w:tc>
          <w:tcPr>
            <w:tcW w:w="902" w:type="pct"/>
            <w:vAlign w:val="center"/>
          </w:tcPr>
          <w:p>
            <w:pPr>
              <w:pStyle w:val="87"/>
              <w:jc w:val="center"/>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7"/>
              <w:jc w:val="center"/>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 w:type="pct"/>
            <w:vAlign w:val="center"/>
          </w:tcPr>
          <w:p>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w:t>
            </w:r>
          </w:p>
        </w:tc>
        <w:tc>
          <w:tcPr>
            <w:tcW w:w="233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宋体" w:hAnsi="宋体" w:eastAsia="宋体" w:cs="宋体"/>
                <w:b w:val="0"/>
                <w:bCs/>
                <w:sz w:val="24"/>
                <w:lang w:val="en-US" w:eastAsia="zh-CN"/>
              </w:rPr>
            </w:pPr>
            <w:r>
              <w:rPr>
                <w:rFonts w:hint="eastAsia" w:ascii="宋体" w:hAnsi="宋体" w:eastAsia="宋体" w:cs="宋体"/>
                <w:sz w:val="24"/>
                <w:szCs w:val="24"/>
              </w:rPr>
              <w:t>本</w:t>
            </w:r>
            <w:r>
              <w:rPr>
                <w:rFonts w:hint="eastAsia" w:ascii="宋体" w:hAnsi="宋体" w:cs="宋体"/>
                <w:sz w:val="24"/>
                <w:szCs w:val="24"/>
                <w:lang w:val="en-US" w:eastAsia="zh-CN"/>
              </w:rPr>
              <w:t>项目计划签订开口协议，根据招标方需求进行采购设备配件，由投标方提供技术支持，负责定制产品的图纸深化和加工，若存在安装和装配问题，配合招标方免费整改。</w:t>
            </w:r>
            <w:r>
              <w:rPr>
                <w:rFonts w:hint="eastAsia" w:ascii="宋体" w:hAnsi="宋体" w:eastAsia="宋体" w:cs="宋体"/>
                <w:color w:val="000000"/>
                <w:sz w:val="24"/>
                <w:szCs w:val="24"/>
              </w:rPr>
              <w:t>自合同签订生效之日后，合同期内</w:t>
            </w:r>
            <w:r>
              <w:rPr>
                <w:rFonts w:hint="eastAsia" w:ascii="宋体" w:hAnsi="宋体" w:cs="宋体"/>
                <w:color w:val="000000"/>
                <w:sz w:val="24"/>
                <w:szCs w:val="24"/>
                <w:lang w:val="en-US" w:eastAsia="zh-CN"/>
              </w:rPr>
              <w:t>接招标</w:t>
            </w:r>
            <w:r>
              <w:rPr>
                <w:rFonts w:hint="eastAsia" w:ascii="宋体" w:hAnsi="宋体" w:eastAsia="宋体" w:cs="宋体"/>
                <w:color w:val="000000"/>
                <w:sz w:val="24"/>
                <w:szCs w:val="24"/>
              </w:rPr>
              <w:t>方通知</w:t>
            </w:r>
            <w:r>
              <w:rPr>
                <w:rFonts w:hint="eastAsia" w:ascii="宋体" w:hAnsi="宋体" w:cs="宋体"/>
                <w:color w:val="000000"/>
                <w:sz w:val="24"/>
                <w:szCs w:val="24"/>
                <w:lang w:val="en-US" w:eastAsia="zh-CN"/>
              </w:rPr>
              <w:t>后30</w:t>
            </w:r>
            <w:r>
              <w:rPr>
                <w:rFonts w:hint="eastAsia" w:ascii="宋体" w:hAnsi="宋体" w:eastAsia="宋体" w:cs="宋体"/>
                <w:color w:val="000000"/>
                <w:sz w:val="24"/>
                <w:szCs w:val="24"/>
              </w:rPr>
              <w:t>个日历日内供货到指定地点</w:t>
            </w:r>
            <w:r>
              <w:rPr>
                <w:rFonts w:hint="eastAsia" w:ascii="宋体" w:hAnsi="宋体" w:cs="宋体"/>
                <w:color w:val="000000"/>
                <w:sz w:val="24"/>
                <w:szCs w:val="24"/>
                <w:lang w:eastAsia="zh-CN"/>
              </w:rPr>
              <w:t>，</w:t>
            </w:r>
            <w:r>
              <w:rPr>
                <w:rFonts w:hint="eastAsia" w:ascii="宋体" w:hAnsi="宋体" w:cs="宋体"/>
                <w:sz w:val="24"/>
                <w:szCs w:val="24"/>
                <w:lang w:val="en-US" w:eastAsia="zh-CN" w:bidi="ar"/>
              </w:rPr>
              <w:t>定制产品可延长至45个日历日</w:t>
            </w:r>
            <w:r>
              <w:rPr>
                <w:rFonts w:hint="eastAsia" w:ascii="宋体" w:hAnsi="宋体" w:eastAsia="宋体" w:cs="宋体"/>
                <w:color w:val="000000"/>
                <w:sz w:val="24"/>
                <w:szCs w:val="24"/>
              </w:rPr>
              <w:t>。</w:t>
            </w:r>
          </w:p>
        </w:tc>
        <w:tc>
          <w:tcPr>
            <w:tcW w:w="902" w:type="pct"/>
            <w:vAlign w:val="center"/>
          </w:tcPr>
          <w:p>
            <w:pPr>
              <w:pStyle w:val="87"/>
              <w:jc w:val="center"/>
              <w:rPr>
                <w:rFonts w:hint="eastAsia" w:ascii="宋体" w:hAnsi="宋体" w:eastAsia="宋体" w:cs="宋体"/>
                <w:sz w:val="24"/>
              </w:rPr>
            </w:pPr>
          </w:p>
        </w:tc>
        <w:tc>
          <w:tcPr>
            <w:tcW w:w="888" w:type="pct"/>
            <w:vAlign w:val="center"/>
          </w:tcPr>
          <w:p>
            <w:pPr>
              <w:pStyle w:val="87"/>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75" w:type="pct"/>
            <w:vAlign w:val="center"/>
          </w:tcPr>
          <w:p>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2</w:t>
            </w:r>
          </w:p>
        </w:tc>
        <w:tc>
          <w:tcPr>
            <w:tcW w:w="233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宋体" w:hAnsi="宋体" w:eastAsia="宋体" w:cs="宋体"/>
                <w:b w:val="0"/>
                <w:bCs/>
                <w:sz w:val="24"/>
                <w:lang w:val="en-US" w:eastAsia="zh-CN"/>
              </w:rPr>
            </w:pPr>
            <w:r>
              <w:rPr>
                <w:rFonts w:hint="eastAsia" w:ascii="宋体" w:hAnsi="宋体" w:cs="宋体"/>
                <w:sz w:val="24"/>
                <w:szCs w:val="24"/>
                <w:lang w:val="en-US" w:eastAsia="zh-CN"/>
              </w:rPr>
              <w:t>采购标准件23种，</w:t>
            </w:r>
            <w:r>
              <w:rPr>
                <w:rFonts w:hint="eastAsia" w:ascii="宋体" w:hAnsi="宋体" w:eastAsia="宋体" w:cs="宋体"/>
                <w:sz w:val="24"/>
                <w:szCs w:val="24"/>
                <w:lang w:bidi="ar"/>
              </w:rPr>
              <w:t>中标方</w:t>
            </w:r>
            <w:r>
              <w:rPr>
                <w:rFonts w:hint="eastAsia" w:ascii="宋体" w:hAnsi="宋体" w:cs="宋体"/>
                <w:sz w:val="24"/>
                <w:szCs w:val="24"/>
                <w:lang w:val="en-US" w:eastAsia="zh-CN"/>
              </w:rPr>
              <w:t>需提供正品、全新配件，备件质保6个月，在质保期内出现质量问题，由</w:t>
            </w:r>
            <w:r>
              <w:rPr>
                <w:rFonts w:hint="eastAsia" w:ascii="宋体" w:hAnsi="宋体" w:eastAsia="宋体" w:cs="宋体"/>
                <w:sz w:val="24"/>
                <w:szCs w:val="24"/>
                <w:lang w:bidi="ar"/>
              </w:rPr>
              <w:t>中标方</w:t>
            </w:r>
            <w:r>
              <w:rPr>
                <w:rFonts w:hint="eastAsia" w:ascii="宋体" w:hAnsi="宋体" w:cs="宋体"/>
                <w:sz w:val="24"/>
                <w:szCs w:val="24"/>
                <w:lang w:val="en-US" w:eastAsia="zh-CN"/>
              </w:rPr>
              <w:t>免费负责更换。已明确品牌的配件，严格按照品牌型号采购。品牌为国产优质的标准件，投标时应确定1-3个投标品牌，以便调配货源。</w:t>
            </w:r>
          </w:p>
        </w:tc>
        <w:tc>
          <w:tcPr>
            <w:tcW w:w="902" w:type="pct"/>
            <w:vAlign w:val="center"/>
          </w:tcPr>
          <w:p>
            <w:pPr>
              <w:pStyle w:val="87"/>
              <w:jc w:val="center"/>
              <w:rPr>
                <w:rFonts w:hint="eastAsia" w:ascii="宋体" w:hAnsi="宋体" w:eastAsia="宋体" w:cs="宋体"/>
                <w:sz w:val="24"/>
              </w:rPr>
            </w:pPr>
          </w:p>
        </w:tc>
        <w:tc>
          <w:tcPr>
            <w:tcW w:w="888" w:type="pct"/>
            <w:vAlign w:val="center"/>
          </w:tcPr>
          <w:p>
            <w:pPr>
              <w:pStyle w:val="87"/>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75" w:type="pct"/>
            <w:vAlign w:val="center"/>
          </w:tcPr>
          <w:p>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w:t>
            </w:r>
          </w:p>
        </w:tc>
        <w:tc>
          <w:tcPr>
            <w:tcW w:w="2333" w:type="pct"/>
            <w:vAlign w:val="center"/>
          </w:tcPr>
          <w:p>
            <w:pPr>
              <w:pStyle w:val="8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sz w:val="24"/>
              </w:rPr>
            </w:pPr>
            <w:r>
              <w:rPr>
                <w:rFonts w:hint="eastAsia" w:ascii="宋体" w:hAnsi="宋体" w:eastAsia="宋体" w:cs="宋体"/>
                <w:b w:val="0"/>
                <w:bCs/>
                <w:sz w:val="24"/>
              </w:rPr>
              <w:t>定制产品共3类，分别为储液罐、加液罐和焊接管件。储液罐材质为不锈钢材质，要求耐压，壁厚4.5mm，桶高300mm，带底座，桶盖安装示意图开孔，桶身安装示意图焊接管道；加液罐材质要求不锈钢，壁厚2mm；焊接管件要求使用不锈钢材质钢管加工，直径为38mm，厚为1.5mm，使用法兰和快接头连接，法兰和快接头尺寸详见标准件并与钢管进行焊接连接，弯头采用不锈钢材质，与直管焊接连接。</w:t>
            </w:r>
          </w:p>
        </w:tc>
        <w:tc>
          <w:tcPr>
            <w:tcW w:w="902" w:type="pct"/>
            <w:vAlign w:val="center"/>
          </w:tcPr>
          <w:p>
            <w:pPr>
              <w:pStyle w:val="87"/>
              <w:jc w:val="center"/>
              <w:rPr>
                <w:rFonts w:hint="eastAsia" w:ascii="宋体" w:hAnsi="宋体" w:eastAsia="宋体" w:cs="宋体"/>
                <w:sz w:val="24"/>
              </w:rPr>
            </w:pPr>
          </w:p>
        </w:tc>
        <w:tc>
          <w:tcPr>
            <w:tcW w:w="888" w:type="pct"/>
            <w:vAlign w:val="center"/>
          </w:tcPr>
          <w:p>
            <w:pPr>
              <w:pStyle w:val="87"/>
              <w:jc w:val="center"/>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83"/>
        <w:ind w:firstLine="480"/>
        <w:rPr>
          <w:rFonts w:hint="eastAsia" w:ascii="宋体" w:hAnsi="宋体" w:eastAsia="宋体" w:cs="宋体"/>
        </w:rPr>
      </w:pPr>
      <w:r>
        <w:rPr>
          <w:rFonts w:hint="eastAsia" w:ascii="宋体" w:hAnsi="宋体" w:eastAsia="宋体" w:cs="宋体"/>
        </w:rPr>
        <w:t>项目名称：</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6"/>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6"/>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6"/>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6"/>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6"/>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6"/>
              <w:jc w:val="center"/>
              <w:rPr>
                <w:rFonts w:hint="eastAsia" w:ascii="宋体" w:hAnsi="宋体" w:eastAsia="宋体" w:cs="宋体"/>
                <w:b/>
                <w:szCs w:val="21"/>
              </w:rPr>
            </w:pPr>
            <w:r>
              <w:rPr>
                <w:rFonts w:hint="eastAsia" w:ascii="宋体" w:hAnsi="宋体" w:eastAsia="宋体" w:cs="宋体"/>
                <w:b/>
                <w:szCs w:val="21"/>
              </w:rPr>
              <w:t>联系人及</w:t>
            </w:r>
          </w:p>
          <w:p>
            <w:pPr>
              <w:pStyle w:val="26"/>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6"/>
              <w:rPr>
                <w:rFonts w:hint="eastAsia" w:ascii="宋体" w:hAnsi="宋体" w:eastAsia="宋体" w:cs="宋体"/>
                <w:b/>
              </w:rPr>
            </w:pPr>
          </w:p>
        </w:tc>
        <w:tc>
          <w:tcPr>
            <w:tcW w:w="1264" w:type="pct"/>
          </w:tcPr>
          <w:p>
            <w:pPr>
              <w:pStyle w:val="26"/>
              <w:rPr>
                <w:rFonts w:hint="eastAsia" w:ascii="宋体" w:hAnsi="宋体" w:eastAsia="宋体" w:cs="宋体"/>
                <w:b/>
              </w:rPr>
            </w:pPr>
          </w:p>
        </w:tc>
        <w:tc>
          <w:tcPr>
            <w:tcW w:w="1144" w:type="pct"/>
          </w:tcPr>
          <w:p>
            <w:pPr>
              <w:pStyle w:val="26"/>
              <w:rPr>
                <w:rFonts w:hint="eastAsia" w:ascii="宋体" w:hAnsi="宋体" w:eastAsia="宋体" w:cs="宋体"/>
                <w:b/>
              </w:rPr>
            </w:pPr>
          </w:p>
        </w:tc>
        <w:tc>
          <w:tcPr>
            <w:tcW w:w="688" w:type="pct"/>
          </w:tcPr>
          <w:p>
            <w:pPr>
              <w:pStyle w:val="26"/>
              <w:rPr>
                <w:rFonts w:hint="eastAsia" w:ascii="宋体" w:hAnsi="宋体" w:eastAsia="宋体" w:cs="宋体"/>
                <w:b/>
              </w:rPr>
            </w:pPr>
          </w:p>
        </w:tc>
        <w:tc>
          <w:tcPr>
            <w:tcW w:w="611" w:type="pct"/>
          </w:tcPr>
          <w:p>
            <w:pPr>
              <w:pStyle w:val="26"/>
              <w:rPr>
                <w:rFonts w:hint="eastAsia" w:ascii="宋体" w:hAnsi="宋体" w:eastAsia="宋体" w:cs="宋体"/>
                <w:b/>
              </w:rPr>
            </w:pPr>
          </w:p>
        </w:tc>
        <w:tc>
          <w:tcPr>
            <w:tcW w:w="819" w:type="pct"/>
          </w:tcPr>
          <w:p>
            <w:pPr>
              <w:pStyle w:val="26"/>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83"/>
        <w:ind w:firstLine="480"/>
        <w:rPr>
          <w:rFonts w:hint="eastAsia" w:ascii="宋体" w:hAnsi="宋体" w:eastAsia="宋体" w:cs="宋体"/>
          <w:b/>
        </w:rPr>
      </w:pPr>
      <w:r>
        <w:rPr>
          <w:rFonts w:hint="eastAsia" w:ascii="宋体" w:hAnsi="宋体" w:eastAsia="宋体" w:cs="宋体"/>
          <w:b/>
        </w:rPr>
        <w:t>《开标一览表》单独封存，以备唱标使用</w:t>
      </w:r>
    </w:p>
    <w:p>
      <w:pPr>
        <w:pStyle w:val="83"/>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lang w:eastAsia="zh-CN"/>
        </w:rPr>
        <w:t>产品试验检测中心设备配件采购项目</w:t>
      </w:r>
    </w:p>
    <w:tbl>
      <w:tblPr>
        <w:tblStyle w:val="37"/>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61"/>
        <w:gridCol w:w="1136"/>
        <w:gridCol w:w="1200"/>
        <w:gridCol w:w="814"/>
        <w:gridCol w:w="1072"/>
        <w:gridCol w:w="1661"/>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7"/>
              <w:rPr>
                <w:rFonts w:hint="eastAsia" w:ascii="宋体" w:hAnsi="宋体" w:eastAsia="宋体" w:cs="宋体"/>
                <w:lang w:val="en-US" w:eastAsia="zh-CN"/>
              </w:rPr>
            </w:pPr>
            <w:r>
              <w:rPr>
                <w:rFonts w:hint="eastAsia" w:ascii="宋体" w:hAnsi="宋体" w:eastAsia="宋体" w:cs="宋体"/>
                <w:lang w:val="en-US" w:eastAsia="zh-CN"/>
              </w:rPr>
              <w:t>产品试验检测中心设备配件采购项目报价单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7"/>
              <w:rPr>
                <w:rFonts w:hint="eastAsia" w:ascii="宋体" w:hAnsi="宋体" w:eastAsia="宋体" w:cs="宋体"/>
              </w:rPr>
            </w:pPr>
            <w:r>
              <w:rPr>
                <w:rFonts w:hint="eastAsia" w:ascii="宋体" w:hAnsi="宋体" w:eastAsia="宋体" w:cs="宋体"/>
              </w:rPr>
              <w:t>序号</w:t>
            </w:r>
          </w:p>
        </w:tc>
        <w:tc>
          <w:tcPr>
            <w:tcW w:w="732" w:type="pct"/>
            <w:vAlign w:val="center"/>
          </w:tcPr>
          <w:p>
            <w:pPr>
              <w:pStyle w:val="87"/>
              <w:rPr>
                <w:rFonts w:hint="eastAsia" w:ascii="宋体" w:hAnsi="宋体" w:eastAsia="宋体" w:cs="宋体"/>
              </w:rPr>
            </w:pPr>
            <w:r>
              <w:rPr>
                <w:rFonts w:hint="eastAsia" w:ascii="宋体" w:hAnsi="宋体" w:eastAsia="宋体" w:cs="宋体"/>
              </w:rPr>
              <w:t>项目名称</w:t>
            </w:r>
          </w:p>
        </w:tc>
        <w:tc>
          <w:tcPr>
            <w:tcW w:w="611" w:type="pct"/>
            <w:vAlign w:val="center"/>
          </w:tcPr>
          <w:p>
            <w:pPr>
              <w:pStyle w:val="87"/>
              <w:rPr>
                <w:rFonts w:hint="eastAsia" w:ascii="宋体" w:hAnsi="宋体" w:eastAsia="宋体" w:cs="宋体"/>
              </w:rPr>
            </w:pPr>
            <w:r>
              <w:rPr>
                <w:rFonts w:hint="eastAsia" w:ascii="宋体" w:hAnsi="宋体" w:eastAsia="宋体" w:cs="宋体"/>
              </w:rPr>
              <w:t>投标总价</w:t>
            </w:r>
          </w:p>
          <w:p>
            <w:pPr>
              <w:pStyle w:val="87"/>
              <w:rPr>
                <w:rFonts w:hint="eastAsia" w:ascii="宋体" w:hAnsi="宋体" w:eastAsia="宋体" w:cs="宋体"/>
              </w:rPr>
            </w:pPr>
            <w:r>
              <w:rPr>
                <w:rFonts w:hint="eastAsia" w:ascii="宋体" w:hAnsi="宋体" w:eastAsia="宋体" w:cs="宋体"/>
              </w:rPr>
              <w:t>（元）</w:t>
            </w:r>
          </w:p>
        </w:tc>
        <w:tc>
          <w:tcPr>
            <w:tcW w:w="646" w:type="pct"/>
            <w:vAlign w:val="center"/>
          </w:tcPr>
          <w:p>
            <w:pPr>
              <w:pStyle w:val="87"/>
              <w:rPr>
                <w:rFonts w:hint="eastAsia" w:ascii="宋体" w:hAnsi="宋体" w:eastAsia="宋体" w:cs="宋体"/>
                <w:szCs w:val="21"/>
              </w:rPr>
            </w:pPr>
            <w:r>
              <w:rPr>
                <w:rFonts w:hint="eastAsia" w:ascii="宋体" w:hAnsi="宋体" w:eastAsia="宋体" w:cs="宋体"/>
                <w:szCs w:val="21"/>
              </w:rPr>
              <w:t>不含税价</w:t>
            </w:r>
          </w:p>
          <w:p>
            <w:pPr>
              <w:pStyle w:val="87"/>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38" w:type="pct"/>
            <w:vAlign w:val="center"/>
          </w:tcPr>
          <w:p>
            <w:pPr>
              <w:pStyle w:val="87"/>
              <w:rPr>
                <w:rFonts w:hint="eastAsia" w:ascii="宋体" w:hAnsi="宋体" w:eastAsia="宋体" w:cs="宋体"/>
                <w:szCs w:val="21"/>
              </w:rPr>
            </w:pPr>
            <w:r>
              <w:rPr>
                <w:rFonts w:hint="eastAsia" w:ascii="宋体" w:hAnsi="宋体" w:eastAsia="宋体" w:cs="宋体"/>
                <w:szCs w:val="21"/>
              </w:rPr>
              <w:t>税率</w:t>
            </w:r>
          </w:p>
        </w:tc>
        <w:tc>
          <w:tcPr>
            <w:tcW w:w="577" w:type="pct"/>
            <w:vAlign w:val="center"/>
          </w:tcPr>
          <w:p>
            <w:pPr>
              <w:pStyle w:val="87"/>
              <w:rPr>
                <w:rFonts w:hint="eastAsia" w:ascii="宋体" w:hAnsi="宋体" w:eastAsia="宋体" w:cs="宋体"/>
              </w:rPr>
            </w:pPr>
            <w:r>
              <w:rPr>
                <w:rFonts w:hint="eastAsia" w:ascii="宋体" w:hAnsi="宋体" w:eastAsia="宋体" w:cs="宋体"/>
              </w:rPr>
              <w:t>质保期</w:t>
            </w:r>
          </w:p>
        </w:tc>
        <w:tc>
          <w:tcPr>
            <w:tcW w:w="894" w:type="pct"/>
            <w:vAlign w:val="center"/>
          </w:tcPr>
          <w:p>
            <w:pPr>
              <w:pStyle w:val="87"/>
              <w:rPr>
                <w:rFonts w:hint="eastAsia" w:ascii="宋体" w:hAnsi="宋体" w:eastAsia="宋体" w:cs="宋体"/>
              </w:rPr>
            </w:pPr>
            <w:r>
              <w:rPr>
                <w:rFonts w:hint="eastAsia" w:ascii="宋体" w:hAnsi="宋体" w:eastAsia="宋体" w:cs="宋体"/>
              </w:rPr>
              <w:t>付款方式及比例如何响应</w:t>
            </w:r>
          </w:p>
        </w:tc>
        <w:tc>
          <w:tcPr>
            <w:tcW w:w="802" w:type="pct"/>
            <w:vAlign w:val="center"/>
          </w:tcPr>
          <w:p>
            <w:pPr>
              <w:pStyle w:val="87"/>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87"/>
              <w:rPr>
                <w:rFonts w:hint="eastAsia" w:ascii="宋体" w:hAnsi="宋体" w:eastAsia="宋体" w:cs="宋体"/>
              </w:rPr>
            </w:pPr>
            <w:r>
              <w:rPr>
                <w:rFonts w:hint="eastAsia" w:ascii="宋体" w:hAnsi="宋体" w:eastAsia="宋体" w:cs="宋体"/>
              </w:rPr>
              <w:t>1</w:t>
            </w:r>
          </w:p>
        </w:tc>
        <w:tc>
          <w:tcPr>
            <w:tcW w:w="732" w:type="pct"/>
            <w:vAlign w:val="center"/>
          </w:tcPr>
          <w:p>
            <w:pPr>
              <w:pStyle w:val="87"/>
              <w:rPr>
                <w:rFonts w:hint="eastAsia" w:ascii="宋体" w:hAnsi="宋体" w:eastAsia="宋体" w:cs="宋体"/>
              </w:rPr>
            </w:pPr>
            <w:r>
              <w:rPr>
                <w:rFonts w:hint="eastAsia" w:ascii="宋体" w:hAnsi="宋体" w:eastAsia="宋体" w:cs="宋体"/>
                <w:color w:val="000000"/>
                <w:sz w:val="24"/>
                <w:szCs w:val="24"/>
                <w:lang w:eastAsia="zh-CN"/>
              </w:rPr>
              <w:t>产品试验检测中心设备配件采购项目</w:t>
            </w:r>
          </w:p>
        </w:tc>
        <w:tc>
          <w:tcPr>
            <w:tcW w:w="611" w:type="pct"/>
            <w:vAlign w:val="center"/>
          </w:tcPr>
          <w:p>
            <w:pPr>
              <w:pStyle w:val="87"/>
              <w:rPr>
                <w:rFonts w:hint="eastAsia" w:ascii="宋体" w:hAnsi="宋体" w:eastAsia="宋体" w:cs="宋体"/>
              </w:rPr>
            </w:pPr>
          </w:p>
        </w:tc>
        <w:tc>
          <w:tcPr>
            <w:tcW w:w="646" w:type="pct"/>
            <w:vAlign w:val="center"/>
          </w:tcPr>
          <w:p>
            <w:pPr>
              <w:pStyle w:val="87"/>
              <w:rPr>
                <w:rFonts w:hint="eastAsia" w:ascii="宋体" w:hAnsi="宋体" w:eastAsia="宋体" w:cs="宋体"/>
              </w:rPr>
            </w:pPr>
          </w:p>
        </w:tc>
        <w:tc>
          <w:tcPr>
            <w:tcW w:w="438" w:type="pct"/>
            <w:vAlign w:val="center"/>
          </w:tcPr>
          <w:p>
            <w:pPr>
              <w:pStyle w:val="87"/>
              <w:rPr>
                <w:rFonts w:hint="eastAsia" w:ascii="宋体" w:hAnsi="宋体" w:eastAsia="宋体" w:cs="宋体"/>
              </w:rPr>
            </w:pPr>
          </w:p>
        </w:tc>
        <w:tc>
          <w:tcPr>
            <w:tcW w:w="577" w:type="pct"/>
            <w:vAlign w:val="center"/>
          </w:tcPr>
          <w:p>
            <w:pPr>
              <w:pStyle w:val="87"/>
              <w:rPr>
                <w:rFonts w:hint="eastAsia" w:ascii="宋体" w:hAnsi="宋体" w:eastAsia="宋体" w:cs="宋体"/>
              </w:rPr>
            </w:pPr>
          </w:p>
        </w:tc>
        <w:tc>
          <w:tcPr>
            <w:tcW w:w="894" w:type="pct"/>
            <w:vAlign w:val="center"/>
          </w:tcPr>
          <w:p>
            <w:pPr>
              <w:pStyle w:val="87"/>
              <w:rPr>
                <w:rFonts w:hint="eastAsia" w:ascii="宋体" w:hAnsi="宋体" w:eastAsia="宋体" w:cs="宋体"/>
              </w:rPr>
            </w:pPr>
          </w:p>
        </w:tc>
        <w:tc>
          <w:tcPr>
            <w:tcW w:w="802" w:type="pct"/>
            <w:vAlign w:val="center"/>
          </w:tcPr>
          <w:p>
            <w:pPr>
              <w:pStyle w:val="87"/>
              <w:rPr>
                <w:rFonts w:hint="eastAsia" w:ascii="宋体" w:hAnsi="宋体" w:eastAsia="宋体" w:cs="宋体"/>
              </w:rPr>
            </w:pPr>
          </w:p>
        </w:tc>
      </w:tr>
    </w:tbl>
    <w:p>
      <w:pPr>
        <w:pStyle w:val="83"/>
        <w:ind w:left="0" w:leftChars="0" w:firstLine="0" w:firstLineChars="0"/>
        <w:rPr>
          <w:rFonts w:hint="eastAsia" w:ascii="宋体" w:hAnsi="宋体" w:eastAsia="宋体" w:cs="宋体"/>
          <w:b/>
          <w:bCs/>
          <w:szCs w:val="21"/>
        </w:rPr>
      </w:pPr>
    </w:p>
    <w:p>
      <w:pPr>
        <w:pStyle w:val="83"/>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9"/>
        <w:ind w:firstLine="480"/>
        <w:rPr>
          <w:rFonts w:hint="eastAsia" w:ascii="宋体" w:hAnsi="宋体" w:eastAsia="宋体" w:cs="宋体"/>
          <w:highlight w:val="none"/>
        </w:rPr>
      </w:pPr>
      <w:bookmarkStart w:id="10" w:name="_Toc26556"/>
      <w:bookmarkStart w:id="11" w:name="_Toc639008"/>
      <w:bookmarkStart w:id="12" w:name="_Toc353881017"/>
      <w:r>
        <w:rPr>
          <w:rFonts w:hint="eastAsia" w:ascii="宋体" w:hAnsi="宋体" w:eastAsia="宋体" w:cs="宋体"/>
          <w:highlight w:val="none"/>
        </w:rPr>
        <w:t>附件</w:t>
      </w:r>
      <w:r>
        <w:rPr>
          <w:rFonts w:hint="eastAsia" w:ascii="宋体" w:hAnsi="宋体" w:eastAsia="宋体" w:cs="宋体"/>
          <w:highlight w:val="none"/>
          <w:lang w:val="en-US" w:eastAsia="zh-CN"/>
        </w:rPr>
        <w:t>8</w:t>
      </w:r>
      <w:r>
        <w:rPr>
          <w:rFonts w:hint="eastAsia" w:ascii="宋体" w:hAnsi="宋体" w:eastAsia="宋体" w:cs="宋体"/>
          <w:highlight w:val="none"/>
        </w:rPr>
        <w:t xml:space="preserve"> 投标报价明细表</w:t>
      </w:r>
      <w:bookmarkEnd w:id="10"/>
      <w:bookmarkEnd w:id="11"/>
      <w:bookmarkEnd w:id="12"/>
    </w:p>
    <w:p>
      <w:pPr>
        <w:pStyle w:val="83"/>
        <w:ind w:firstLine="480"/>
        <w:rPr>
          <w:rFonts w:hint="eastAsia" w:ascii="宋体" w:hAnsi="宋体" w:eastAsia="宋体" w:cs="宋体"/>
          <w:highlight w:val="none"/>
          <w:lang w:eastAsia="zh-CN"/>
        </w:rPr>
      </w:pPr>
      <w:r>
        <w:rPr>
          <w:rFonts w:hint="eastAsia" w:ascii="宋体" w:hAnsi="宋体" w:eastAsia="宋体" w:cs="宋体"/>
          <w:highlight w:val="none"/>
        </w:rPr>
        <w:t>项目名称：</w:t>
      </w:r>
      <w:r>
        <w:rPr>
          <w:rFonts w:hint="eastAsia" w:eastAsia="宋体" w:cs="宋体"/>
          <w:highlight w:val="none"/>
          <w:lang w:eastAsia="zh-CN"/>
        </w:rPr>
        <w:t>产品试验检测中心设备配件采购项目</w:t>
      </w:r>
    </w:p>
    <w:tbl>
      <w:tblPr>
        <w:tblStyle w:val="37"/>
        <w:tblW w:w="503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124"/>
        <w:gridCol w:w="2043"/>
        <w:gridCol w:w="871"/>
        <w:gridCol w:w="759"/>
        <w:gridCol w:w="731"/>
        <w:gridCol w:w="1100"/>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规格（mm）</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品牌</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预计数量</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含税单价</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含税总价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泵</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CP1018</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master</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泵盖</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配套CP1018</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master</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NDR-240-24</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明伟</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显示屏</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KTP700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西门子</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触摸屏PLC一体机</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7寸SMART型一体机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艾莫迅</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温控器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AI526带485通信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宇电</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中间继电器模组</w:t>
            </w:r>
          </w:p>
        </w:tc>
        <w:tc>
          <w:tcPr>
            <w:tcW w:w="1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4位继电器模块</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欧姆龙</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固态继电器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SSR40H</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宇电</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交流接触器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LC1N1210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施耐德</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电机</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交流高速电机，功率小于5kW,最大转速5000转，配变频驱动器和L型安装支架</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真空压力表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0-0.16Mpa；标准螺纹，黄铜接口M20*1.5</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抗震压力表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0-0.16Mpa；标准螺纹，黄铜接口M20*1.5</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压力表缓冲管</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304材质，内螺纹M20*1.5，另一端焊接在主管道，包含焊接服务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涡轮流量计</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0.8-8立方，输出4-20mA,带数据传输功能，24V电压；要求适配DN38主管，法兰盘国标DN32B系列</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压力变送器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接口4分螺纹，标准款，量程0-160Kpa，4-20mA</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Pt100温度变送器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接口4分螺纹，量程0-150摄氏度，4-20mA，杆长200mm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17</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加热棒</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接口4分螺纹，功率1KW，长度200mm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安全阀</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接口4分螺纹，0.8Mpa；DN15黄铜材质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气动控制电磁阀</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控制范围0-0.7Mpa，单向，一进一出，常闭式，24V电压，带气管快接头</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法兰</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不锈钢材质，新国标10kg，DN32B(接外径38mm的钢管），包含焊接费用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21</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快接头套装</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Φ38 × 2mm，带配套卡盘（50.5）硅胶垫片，包含焊接费用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储液罐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体积（10L)，上盖定制开孔（4个4分螺纹孔，1个外径38的孔，用于焊接外径38壁厚1.5的不锈钢管）；底部侧边开孔焊接外径38壁厚1.5的不锈钢管，底部正中心预留排污口和阀门，竖直向下100mm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加液罐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体外径102mm，壁厚2mm，长度200mm，两端焊接封堵，定制开孔φ38mm、φ20mm和φ12mm的孔，其中φ38mm孔外焊接φ38mm钢管（长度50mm）、φ20mm孔外焊接漏斗型钢管（高度100mm，带盖，螺纹密封）和φ12mm孔外焊接φ12mm的钢管（长度20mm，内套丝，螺纹规格1分）。</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焊接管件</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φ38 × 1.5 mm，需加工至要尺寸，包含开孔、焊接等服务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1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158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83"/>
        <w:ind w:left="0" w:leftChars="0" w:firstLine="0" w:firstLineChars="0"/>
        <w:rPr>
          <w:rFonts w:hint="eastAsia" w:ascii="宋体" w:hAnsi="宋体" w:eastAsia="宋体" w:cs="宋体"/>
          <w:b/>
        </w:rPr>
      </w:pPr>
    </w:p>
    <w:p>
      <w:pPr>
        <w:pStyle w:val="83"/>
        <w:ind w:left="0" w:leftChars="0" w:firstLine="0" w:firstLineChars="0"/>
        <w:rPr>
          <w:rFonts w:hint="eastAsia" w:ascii="宋体" w:hAnsi="宋体" w:eastAsia="宋体" w:cs="宋体"/>
          <w:b/>
        </w:rPr>
      </w:pPr>
    </w:p>
    <w:p>
      <w:pPr>
        <w:pStyle w:val="83"/>
        <w:ind w:firstLine="480"/>
        <w:rPr>
          <w:rFonts w:hint="eastAsia" w:ascii="宋体" w:hAnsi="宋体" w:eastAsia="宋体" w:cs="宋体"/>
          <w:b/>
        </w:rPr>
      </w:pPr>
      <w:r>
        <w:rPr>
          <w:rFonts w:hint="eastAsia" w:ascii="宋体" w:hAnsi="宋体" w:eastAsia="宋体" w:cs="宋体"/>
          <w:b/>
        </w:rPr>
        <w:t>注：</w:t>
      </w:r>
    </w:p>
    <w:p>
      <w:pPr>
        <w:pStyle w:val="83"/>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83"/>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83"/>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7"/>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是否偏离</w:t>
            </w:r>
          </w:p>
          <w:p>
            <w:pPr>
              <w:pStyle w:val="87"/>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pPr>
              <w:pStyle w:val="87"/>
              <w:jc w:val="left"/>
              <w:rPr>
                <w:rFonts w:hint="default" w:ascii="宋体" w:hAnsi="宋体" w:eastAsia="宋体" w:cs="宋体"/>
                <w:b w:val="0"/>
                <w:bCs/>
                <w:szCs w:val="21"/>
                <w:lang w:val="en-US" w:eastAsia="zh-CN"/>
              </w:rPr>
            </w:pPr>
            <w:r>
              <w:rPr>
                <w:rFonts w:hint="eastAsia" w:ascii="宋体" w:hAnsi="宋体" w:eastAsia="宋体" w:cs="宋体"/>
                <w:b w:val="0"/>
                <w:bCs/>
                <w:szCs w:val="21"/>
                <w:lang w:val="en-US" w:eastAsia="zh-CN"/>
              </w:rPr>
              <w:t>据实结算，货物</w:t>
            </w:r>
            <w:r>
              <w:rPr>
                <w:rFonts w:hint="eastAsia" w:ascii="宋体" w:hAnsi="宋体" w:eastAsia="宋体" w:cs="宋体"/>
                <w:b w:val="0"/>
                <w:bCs/>
                <w:szCs w:val="21"/>
              </w:rPr>
              <w:t>到齐</w:t>
            </w:r>
            <w:r>
              <w:rPr>
                <w:rFonts w:hint="eastAsia" w:ascii="宋体" w:hAnsi="宋体" w:eastAsia="宋体" w:cs="宋体"/>
                <w:b w:val="0"/>
                <w:bCs/>
                <w:szCs w:val="21"/>
                <w:lang w:val="en-US" w:eastAsia="zh-CN"/>
              </w:rPr>
              <w:t>后</w:t>
            </w:r>
            <w:r>
              <w:rPr>
                <w:rFonts w:hint="eastAsia" w:ascii="宋体" w:hAnsi="宋体" w:eastAsia="宋体" w:cs="宋体"/>
                <w:b w:val="0"/>
                <w:bCs/>
                <w:szCs w:val="21"/>
              </w:rPr>
              <w:t>，经现场安装调试验收合格后，投标方提交金额为结算额90%的发票，经招标方依照财务制度审核无误后支付，结算额的10%作为质保金，待质保期结束后无息支付</w:t>
            </w:r>
            <w:r>
              <w:rPr>
                <w:rFonts w:hint="eastAsia" w:ascii="宋体" w:hAnsi="宋体" w:eastAsia="宋体" w:cs="宋体"/>
                <w:b w:val="0"/>
                <w:bCs/>
                <w:szCs w:val="21"/>
                <w:lang w:eastAsia="zh-CN"/>
              </w:rPr>
              <w:t>，</w:t>
            </w:r>
            <w:r>
              <w:rPr>
                <w:rFonts w:hint="eastAsia" w:ascii="宋体" w:hAnsi="宋体" w:eastAsia="宋体" w:cs="宋体"/>
                <w:b w:val="0"/>
                <w:bCs/>
                <w:szCs w:val="21"/>
                <w:lang w:val="en-US" w:eastAsia="zh-CN"/>
              </w:rPr>
              <w:t>付款比例90%/10%</w:t>
            </w:r>
          </w:p>
        </w:tc>
        <w:tc>
          <w:tcPr>
            <w:tcW w:w="1593" w:type="pct"/>
            <w:tcBorders>
              <w:top w:val="single" w:color="auto" w:sz="4" w:space="0"/>
              <w:left w:val="single" w:color="auto" w:sz="4" w:space="0"/>
              <w:bottom w:val="single" w:color="auto" w:sz="4" w:space="0"/>
              <w:right w:val="single" w:color="auto" w:sz="4" w:space="0"/>
            </w:tcBorders>
          </w:tcPr>
          <w:p>
            <w:pPr>
              <w:pStyle w:val="8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19"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lang w:val="en-US" w:eastAsia="zh-CN"/>
              </w:rPr>
              <w:t>供货</w:t>
            </w:r>
            <w:r>
              <w:rPr>
                <w:rFonts w:hint="eastAsia" w:ascii="宋体" w:hAnsi="宋体" w:eastAsia="宋体" w:cs="宋体"/>
              </w:rPr>
              <w:t>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7"/>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rPr>
              <w:t>1.自合同签订生效之日后，合同期内接甲方通知后</w:t>
            </w:r>
            <w:r>
              <w:rPr>
                <w:rFonts w:hint="eastAsia" w:ascii="宋体" w:hAnsi="宋体" w:eastAsia="宋体" w:cs="宋体"/>
                <w:b w:val="0"/>
                <w:bCs/>
                <w:szCs w:val="21"/>
                <w:highlight w:val="none"/>
                <w:lang w:eastAsia="zh-CN"/>
              </w:rPr>
              <w:t>3</w:t>
            </w:r>
            <w:r>
              <w:rPr>
                <w:rFonts w:hint="eastAsia" w:ascii="宋体" w:hAnsi="宋体" w:eastAsia="宋体" w:cs="宋体"/>
                <w:b w:val="0"/>
                <w:bCs/>
                <w:szCs w:val="21"/>
                <w:highlight w:val="none"/>
                <w:lang w:val="en-US" w:eastAsia="zh-CN"/>
              </w:rPr>
              <w:t>0</w:t>
            </w:r>
            <w:r>
              <w:rPr>
                <w:rFonts w:hint="eastAsia" w:ascii="宋体" w:hAnsi="宋体" w:eastAsia="宋体" w:cs="宋体"/>
                <w:b w:val="0"/>
                <w:bCs/>
                <w:szCs w:val="21"/>
                <w:highlight w:val="none"/>
              </w:rPr>
              <w:t>个日历日内供货到指定地点</w:t>
            </w:r>
            <w:r>
              <w:rPr>
                <w:rFonts w:hint="eastAsia" w:ascii="宋体" w:hAnsi="宋体" w:eastAsia="宋体" w:cs="宋体"/>
                <w:b w:val="0"/>
                <w:bCs/>
                <w:szCs w:val="21"/>
                <w:highlight w:val="none"/>
                <w:lang w:eastAsia="zh-CN"/>
              </w:rPr>
              <w:t>，定制产品可延长至45个日历日</w:t>
            </w:r>
            <w:r>
              <w:rPr>
                <w:rFonts w:hint="eastAsia" w:ascii="宋体" w:hAnsi="宋体" w:eastAsia="宋体" w:cs="宋体"/>
                <w:b w:val="0"/>
                <w:bCs/>
                <w:szCs w:val="21"/>
                <w:highlight w:val="none"/>
              </w:rPr>
              <w:t>。</w:t>
            </w:r>
          </w:p>
          <w:p>
            <w:pPr>
              <w:pStyle w:val="87"/>
              <w:jc w:val="left"/>
              <w:rPr>
                <w:rFonts w:hint="eastAsia" w:ascii="宋体" w:hAnsi="宋体" w:eastAsia="宋体" w:cs="宋体"/>
                <w:b w:val="0"/>
                <w:bCs/>
                <w:szCs w:val="21"/>
                <w:highlight w:val="none"/>
                <w:lang w:eastAsia="zh-CN"/>
              </w:rPr>
            </w:pPr>
            <w:r>
              <w:rPr>
                <w:rFonts w:hint="eastAsia" w:ascii="宋体" w:hAnsi="宋体" w:eastAsia="宋体" w:cs="宋体"/>
                <w:b w:val="0"/>
                <w:bCs/>
                <w:szCs w:val="21"/>
                <w:highlight w:val="none"/>
                <w:lang w:eastAsia="zh-CN"/>
              </w:rPr>
              <w:t>2</w:t>
            </w:r>
            <w:r>
              <w:rPr>
                <w:rFonts w:hint="eastAsia" w:ascii="宋体" w:hAnsi="宋体" w:eastAsia="宋体" w:cs="宋体"/>
                <w:b w:val="0"/>
                <w:bCs/>
                <w:szCs w:val="21"/>
                <w:highlight w:val="none"/>
              </w:rPr>
              <w:t>.本项目多批次供货</w:t>
            </w:r>
            <w:r>
              <w:rPr>
                <w:rFonts w:hint="eastAsia" w:ascii="宋体" w:hAnsi="宋体" w:eastAsia="宋体" w:cs="宋体"/>
                <w:b w:val="0"/>
                <w:bCs/>
                <w:szCs w:val="21"/>
                <w:highlight w:val="none"/>
                <w:lang w:eastAsia="zh-CN"/>
              </w:rPr>
              <w:t>。</w:t>
            </w:r>
          </w:p>
        </w:tc>
        <w:tc>
          <w:tcPr>
            <w:tcW w:w="1593"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szCs w:val="21"/>
              </w:rPr>
            </w:pPr>
          </w:p>
          <w:p>
            <w:pPr>
              <w:pStyle w:val="87"/>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p>
        </w:tc>
        <w:tc>
          <w:tcPr>
            <w:tcW w:w="1593"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7"/>
              <w:rPr>
                <w:rFonts w:hint="eastAsia" w:ascii="宋体" w:hAnsi="宋体" w:eastAsia="宋体" w:cs="宋体"/>
              </w:rPr>
            </w:pPr>
          </w:p>
        </w:tc>
      </w:tr>
    </w:tbl>
    <w:p>
      <w:pPr>
        <w:pStyle w:val="83"/>
        <w:ind w:firstLine="480"/>
        <w:rPr>
          <w:rFonts w:hint="eastAsia" w:ascii="宋体" w:hAnsi="宋体" w:eastAsia="宋体" w:cs="宋体"/>
        </w:rPr>
      </w:pPr>
      <w:r>
        <w:rPr>
          <w:rFonts w:hint="eastAsia" w:ascii="宋体" w:hAnsi="宋体" w:eastAsia="宋体" w:cs="宋体"/>
        </w:rPr>
        <w:t>投标人名称：                   授权代表签字：            日期：</w:t>
      </w:r>
    </w:p>
    <w:p>
      <w:pPr>
        <w:pStyle w:val="83"/>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83"/>
        <w:ind w:firstLine="480"/>
        <w:rPr>
          <w:rFonts w:hint="eastAsia" w:ascii="宋体" w:hAnsi="宋体" w:eastAsia="宋体" w:cs="宋体"/>
        </w:rPr>
      </w:pPr>
      <w:r>
        <w:rPr>
          <w:rFonts w:hint="eastAsia" w:ascii="宋体" w:hAnsi="宋体" w:eastAsia="宋体" w:cs="宋体"/>
        </w:rPr>
        <w:t>投标人：（盖章）</w:t>
      </w:r>
    </w:p>
    <w:p>
      <w:pPr>
        <w:pStyle w:val="83"/>
        <w:ind w:firstLine="480"/>
        <w:rPr>
          <w:rFonts w:hint="eastAsia" w:ascii="宋体" w:hAnsi="宋体" w:eastAsia="宋体" w:cs="宋体"/>
        </w:rPr>
      </w:pPr>
      <w:r>
        <w:rPr>
          <w:rFonts w:hint="eastAsia" w:ascii="宋体" w:hAnsi="宋体" w:eastAsia="宋体" w:cs="宋体"/>
        </w:rPr>
        <w:t>法定代表人（委托代理人）：（签字）</w:t>
      </w:r>
    </w:p>
    <w:p>
      <w:pPr>
        <w:pStyle w:val="83"/>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353881022"/>
      <w:bookmarkStart w:id="14" w:name="_Toc639013"/>
      <w:bookmarkStart w:id="15" w:name="_Toc9193"/>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9"/>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639014"/>
      <w:bookmarkStart w:id="18" w:name="_Toc353881023"/>
      <w:bookmarkStart w:id="19" w:name="_Toc212369556"/>
      <w:bookmarkStart w:id="20" w:name="_Toc15535"/>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83"/>
        <w:ind w:firstLine="480"/>
        <w:rPr>
          <w:rFonts w:hint="eastAsia" w:ascii="宋体" w:hAnsi="宋体" w:eastAsia="宋体" w:cs="宋体"/>
        </w:rPr>
      </w:pPr>
      <w:r>
        <w:rPr>
          <w:rFonts w:hint="eastAsia" w:ascii="宋体" w:hAnsi="宋体" w:eastAsia="宋体" w:cs="宋体"/>
        </w:rPr>
        <w:t>封面格式：</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7"/>
              <w:rPr>
                <w:rFonts w:hint="eastAsia" w:ascii="宋体" w:hAnsi="宋体" w:eastAsia="宋体" w:cs="宋体"/>
              </w:rPr>
            </w:pPr>
          </w:p>
          <w:p>
            <w:pPr>
              <w:pStyle w:val="87"/>
              <w:rPr>
                <w:rFonts w:hint="eastAsia" w:ascii="宋体" w:hAnsi="宋体" w:eastAsia="宋体" w:cs="宋体"/>
                <w:sz w:val="30"/>
                <w:szCs w:val="30"/>
              </w:rPr>
            </w:pPr>
            <w:r>
              <w:rPr>
                <w:rFonts w:hint="eastAsia" w:ascii="宋体" w:hAnsi="宋体" w:eastAsia="宋体" w:cs="宋体"/>
                <w:sz w:val="30"/>
                <w:szCs w:val="30"/>
              </w:rPr>
              <w:t>投标文件</w:t>
            </w:r>
          </w:p>
          <w:p>
            <w:pPr>
              <w:pStyle w:val="87"/>
              <w:jc w:val="both"/>
              <w:rPr>
                <w:rFonts w:hint="eastAsia" w:ascii="宋体" w:hAnsi="宋体" w:eastAsia="宋体" w:cs="宋体"/>
                <w:sz w:val="30"/>
                <w:szCs w:val="30"/>
              </w:rPr>
            </w:pPr>
          </w:p>
          <w:p>
            <w:pPr>
              <w:pStyle w:val="87"/>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7"/>
              <w:rPr>
                <w:rFonts w:hint="eastAsia" w:ascii="宋体" w:hAnsi="宋体" w:eastAsia="宋体" w:cs="宋体"/>
              </w:rPr>
            </w:pPr>
          </w:p>
          <w:p>
            <w:pPr>
              <w:pStyle w:val="87"/>
              <w:rPr>
                <w:rFonts w:hint="eastAsia" w:ascii="宋体" w:hAnsi="宋体" w:eastAsia="宋体" w:cs="宋体"/>
              </w:rPr>
            </w:pPr>
          </w:p>
          <w:p>
            <w:pPr>
              <w:pStyle w:val="87"/>
              <w:rPr>
                <w:rFonts w:hint="eastAsia" w:ascii="宋体" w:hAnsi="宋体" w:eastAsia="宋体" w:cs="宋体"/>
              </w:rPr>
            </w:pPr>
            <w:r>
              <w:rPr>
                <w:rFonts w:hint="eastAsia" w:ascii="宋体" w:hAnsi="宋体" w:eastAsia="宋体" w:cs="宋体"/>
              </w:rPr>
              <w:t>项目名称：</w:t>
            </w:r>
          </w:p>
          <w:p>
            <w:pPr>
              <w:pStyle w:val="87"/>
              <w:rPr>
                <w:rFonts w:hint="eastAsia" w:ascii="宋体" w:hAnsi="宋体" w:eastAsia="宋体" w:cs="宋体"/>
              </w:rPr>
            </w:pPr>
            <w:r>
              <w:rPr>
                <w:rFonts w:hint="eastAsia" w:ascii="宋体" w:hAnsi="宋体" w:eastAsia="宋体" w:cs="宋体"/>
              </w:rPr>
              <w:t>投标人名称（公章）：</w:t>
            </w:r>
          </w:p>
          <w:p>
            <w:pPr>
              <w:pStyle w:val="87"/>
              <w:rPr>
                <w:rFonts w:hint="eastAsia" w:ascii="宋体" w:hAnsi="宋体" w:eastAsia="宋体" w:cs="宋体"/>
              </w:rPr>
            </w:pPr>
            <w:r>
              <w:rPr>
                <w:rFonts w:hint="eastAsia" w:ascii="宋体" w:hAnsi="宋体" w:eastAsia="宋体" w:cs="宋体"/>
              </w:rPr>
              <w:t>地址：</w:t>
            </w:r>
          </w:p>
          <w:p>
            <w:pPr>
              <w:pStyle w:val="87"/>
              <w:rPr>
                <w:rFonts w:hint="eastAsia" w:ascii="宋体" w:hAnsi="宋体" w:eastAsia="宋体" w:cs="宋体"/>
              </w:rPr>
            </w:pPr>
            <w:r>
              <w:rPr>
                <w:rFonts w:hint="eastAsia" w:ascii="宋体" w:hAnsi="宋体" w:eastAsia="宋体" w:cs="宋体"/>
              </w:rPr>
              <w:t>授权代表电话：</w:t>
            </w:r>
          </w:p>
          <w:p>
            <w:pPr>
              <w:pStyle w:val="87"/>
              <w:rPr>
                <w:rFonts w:hint="eastAsia" w:ascii="宋体" w:hAnsi="宋体" w:eastAsia="宋体" w:cs="宋体"/>
              </w:rPr>
            </w:pPr>
            <w:r>
              <w:rPr>
                <w:rFonts w:hint="eastAsia" w:ascii="宋体" w:hAnsi="宋体" w:eastAsia="宋体" w:cs="宋体"/>
              </w:rPr>
              <w:t>传真：</w:t>
            </w:r>
          </w:p>
          <w:p>
            <w:pPr>
              <w:pStyle w:val="87"/>
              <w:rPr>
                <w:rFonts w:hint="eastAsia" w:ascii="宋体" w:hAnsi="宋体" w:eastAsia="宋体" w:cs="宋体"/>
              </w:rPr>
            </w:pPr>
          </w:p>
          <w:p>
            <w:pPr>
              <w:pStyle w:val="87"/>
              <w:rPr>
                <w:rFonts w:hint="eastAsia" w:ascii="宋体" w:hAnsi="宋体" w:eastAsia="宋体" w:cs="宋体"/>
              </w:rPr>
            </w:pPr>
          </w:p>
        </w:tc>
      </w:tr>
    </w:tbl>
    <w:p>
      <w:pPr>
        <w:pStyle w:val="83"/>
        <w:ind w:firstLine="480"/>
        <w:rPr>
          <w:rFonts w:hint="eastAsia" w:ascii="宋体" w:hAnsi="宋体" w:eastAsia="宋体" w:cs="宋体"/>
        </w:rPr>
      </w:pPr>
      <w:r>
        <w:rPr>
          <w:rFonts w:hint="eastAsia" w:ascii="宋体" w:hAnsi="宋体" w:eastAsia="宋体" w:cs="宋体"/>
        </w:rPr>
        <w:t>投标人名称：                   授权代表签字：                  日期</w:t>
      </w:r>
    </w:p>
    <w:p>
      <w:pPr>
        <w:pStyle w:val="63"/>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7"/>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SRM非生产供应商注册操作手册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7"/>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7"/>
        <w:ind w:firstLine="480" w:firstLineChars="200"/>
        <w:outlineLvl w:val="2"/>
        <w:rPr>
          <w:rFonts w:hint="eastAsia" w:ascii="宋体" w:hAnsi="宋体" w:eastAsia="宋体" w:cs="宋体"/>
          <w:b/>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14</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43"/>
          <w:rFonts w:hint="eastAsia" w:ascii="宋体" w:hAnsi="宋体" w:eastAsia="宋体" w:cs="宋体"/>
          <w:sz w:val="24"/>
          <w:szCs w:val="24"/>
        </w:rPr>
        <w:t>http</w:t>
      </w:r>
      <w:r>
        <w:rPr>
          <w:rStyle w:val="43"/>
          <w:rFonts w:hint="eastAsia" w:ascii="宋体" w:hAnsi="宋体" w:cs="宋体"/>
          <w:sz w:val="24"/>
          <w:szCs w:val="24"/>
          <w:lang w:val="en-US" w:eastAsia="zh-CN"/>
        </w:rPr>
        <w:t>s</w:t>
      </w:r>
      <w:r>
        <w:rPr>
          <w:rStyle w:val="43"/>
          <w:rFonts w:hint="eastAsia" w:ascii="宋体" w:hAnsi="宋体" w:eastAsia="宋体" w:cs="宋体"/>
          <w:sz w:val="24"/>
          <w:szCs w:val="24"/>
        </w:rPr>
        <w:t>://ecaitong.sinotruk.com:8012/</w:t>
      </w:r>
      <w:r>
        <w:rPr>
          <w:rStyle w:val="43"/>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eastAsia="宋体" w:cs="宋体"/>
          <w:b/>
          <w:bCs/>
          <w:lang w:val="en-US" w:eastAsia="zh-CN"/>
        </w:rPr>
        <w:t>scm@2022</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7"/>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7"/>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技术标评分标准</w:t>
      </w:r>
    </w:p>
    <w:p>
      <w:pPr>
        <w:pStyle w:val="5"/>
        <w:jc w:val="center"/>
        <w:rPr>
          <w:rFonts w:hint="eastAsia" w:ascii="宋体" w:hAnsi="宋体" w:eastAsia="宋体" w:cs="宋体"/>
          <w:szCs w:val="24"/>
        </w:rPr>
      </w:pPr>
      <w:r>
        <w:rPr>
          <w:rFonts w:hint="eastAsia" w:ascii="宋体" w:hAnsi="宋体" w:eastAsia="宋体" w:cs="宋体"/>
          <w:szCs w:val="24"/>
        </w:rPr>
        <w:t>技术标评</w:t>
      </w:r>
      <w:r>
        <w:rPr>
          <w:rFonts w:hint="eastAsia" w:ascii="宋体" w:hAnsi="宋体" w:eastAsia="宋体" w:cs="宋体"/>
          <w:szCs w:val="24"/>
          <w:lang w:val="en-US" w:eastAsia="zh-CN"/>
        </w:rPr>
        <w:t>分</w:t>
      </w:r>
      <w:r>
        <w:rPr>
          <w:rFonts w:hint="eastAsia" w:ascii="宋体" w:hAnsi="宋体" w:eastAsia="宋体" w:cs="宋体"/>
          <w:szCs w:val="24"/>
        </w:rPr>
        <w:t>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highlight w:val="yellow"/>
        </w:rPr>
      </w:pPr>
    </w:p>
    <w:tbl>
      <w:tblPr>
        <w:tblStyle w:val="37"/>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评价类型</w:t>
            </w:r>
          </w:p>
        </w:tc>
        <w:tc>
          <w:tcPr>
            <w:tcW w:w="574"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序号</w:t>
            </w:r>
          </w:p>
        </w:tc>
        <w:tc>
          <w:tcPr>
            <w:tcW w:w="1500"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内   容</w:t>
            </w:r>
          </w:p>
        </w:tc>
        <w:tc>
          <w:tcPr>
            <w:tcW w:w="875"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标准分</w:t>
            </w:r>
          </w:p>
        </w:tc>
        <w:tc>
          <w:tcPr>
            <w:tcW w:w="5605"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825" w:type="dxa"/>
            <w:vMerge w:val="restart"/>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技术</w:t>
            </w:r>
          </w:p>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100分</w:t>
            </w:r>
          </w:p>
        </w:tc>
        <w:tc>
          <w:tcPr>
            <w:tcW w:w="574"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1500" w:type="dxa"/>
            <w:vAlign w:val="center"/>
          </w:tcPr>
          <w:p>
            <w:pPr>
              <w:widowControl/>
              <w:shd w:val="clear" w:color="auto" w:fill="FFFFFF"/>
              <w:spacing w:line="300" w:lineRule="exact"/>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lang w:val="en-US" w:eastAsia="zh-CN"/>
              </w:rPr>
              <w:t>配件的符合性</w:t>
            </w:r>
          </w:p>
        </w:tc>
        <w:tc>
          <w:tcPr>
            <w:tcW w:w="875" w:type="dxa"/>
            <w:vAlign w:val="center"/>
          </w:tcPr>
          <w:p>
            <w:pPr>
              <w:keepNext w:val="0"/>
              <w:keepLines w:val="0"/>
              <w:suppressLineNumbers w:val="0"/>
              <w:tabs>
                <w:tab w:val="left" w:pos="13965"/>
              </w:tabs>
              <w:spacing w:before="0" w:beforeAutospacing="0" w:after="0" w:afterAutospacing="0" w:line="360" w:lineRule="auto"/>
              <w:ind w:left="0" w:right="-6"/>
              <w:jc w:val="center"/>
              <w:rPr>
                <w:rFonts w:hint="default" w:ascii="仿宋_GB2312" w:hAnsi="仿宋_GB2312" w:eastAsia="仿宋_GB2312" w:cs="仿宋_GB2312"/>
                <w:szCs w:val="21"/>
                <w:highlight w:val="none"/>
                <w:lang w:val="en-US"/>
              </w:rPr>
            </w:pPr>
            <w:r>
              <w:rPr>
                <w:rFonts w:hint="eastAsia" w:ascii="仿宋_GB2312" w:hAnsi="仿宋_GB2312" w:eastAsia="仿宋_GB2312" w:cs="仿宋_GB2312"/>
                <w:szCs w:val="21"/>
                <w:highlight w:val="none"/>
                <w:lang w:val="en-US" w:eastAsia="zh-CN"/>
              </w:rPr>
              <w:t>50</w:t>
            </w:r>
          </w:p>
        </w:tc>
        <w:tc>
          <w:tcPr>
            <w:tcW w:w="560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投标文件明确配件的品牌，对于品牌要求为国产优质的，可以提供1-3个投标品牌；投标方具备对定制件图纸深化和加工能力。</w:t>
            </w:r>
          </w:p>
          <w:p>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优秀得</w:t>
            </w:r>
            <w:r>
              <w:rPr>
                <w:rFonts w:hint="eastAsia" w:ascii="仿宋_GB2312" w:hAnsi="仿宋_GB2312" w:eastAsia="仿宋_GB2312" w:cs="仿宋_GB2312"/>
                <w:lang w:val="en-US" w:eastAsia="zh-CN"/>
              </w:rPr>
              <w:t>45</w:t>
            </w:r>
            <w:r>
              <w:rPr>
                <w:rFonts w:hint="eastAsia" w:ascii="仿宋_GB2312" w:hAnsi="仿宋_GB2312" w:eastAsia="仿宋_GB2312" w:cs="仿宋_GB2312"/>
              </w:rPr>
              <w:t>-</w:t>
            </w:r>
            <w:r>
              <w:rPr>
                <w:rFonts w:hint="eastAsia" w:ascii="仿宋_GB2312" w:hAnsi="仿宋_GB2312" w:eastAsia="仿宋_GB2312" w:cs="仿宋_GB2312"/>
                <w:lang w:val="en-US" w:eastAsia="zh-CN"/>
              </w:rPr>
              <w:t>50</w:t>
            </w:r>
            <w:r>
              <w:rPr>
                <w:rFonts w:hint="eastAsia" w:ascii="仿宋_GB2312" w:hAnsi="仿宋_GB2312" w:eastAsia="仿宋_GB2312" w:cs="仿宋_GB2312"/>
              </w:rPr>
              <w:t>分；</w:t>
            </w:r>
          </w:p>
          <w:p>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符合得</w:t>
            </w:r>
            <w:r>
              <w:rPr>
                <w:rFonts w:hint="eastAsia" w:ascii="仿宋_GB2312" w:hAnsi="仿宋_GB2312" w:eastAsia="仿宋_GB2312" w:cs="仿宋_GB2312"/>
                <w:lang w:val="en-US" w:eastAsia="zh-CN"/>
              </w:rPr>
              <w:t>35</w:t>
            </w:r>
            <w:r>
              <w:rPr>
                <w:rFonts w:hint="eastAsia" w:ascii="仿宋_GB2312" w:hAnsi="仿宋_GB2312" w:eastAsia="仿宋_GB2312" w:cs="仿宋_GB2312"/>
              </w:rPr>
              <w:t>-</w:t>
            </w:r>
            <w:r>
              <w:rPr>
                <w:rFonts w:hint="eastAsia" w:ascii="仿宋_GB2312" w:hAnsi="仿宋_GB2312" w:eastAsia="仿宋_GB2312" w:cs="仿宋_GB2312"/>
                <w:lang w:val="en-US" w:eastAsia="zh-CN"/>
              </w:rPr>
              <w:t>45</w:t>
            </w:r>
            <w:r>
              <w:rPr>
                <w:rFonts w:hint="eastAsia" w:ascii="仿宋_GB2312" w:hAnsi="仿宋_GB2312" w:eastAsia="仿宋_GB2312" w:cs="仿宋_GB2312"/>
              </w:rPr>
              <w:t>分；</w:t>
            </w:r>
          </w:p>
          <w:p>
            <w:pPr>
              <w:pStyle w:val="36"/>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kern w:val="2"/>
                <w:sz w:val="21"/>
                <w:szCs w:val="20"/>
                <w:lang w:val="en-US" w:eastAsia="zh-CN" w:bidi="ar-SA"/>
              </w:rPr>
              <w:t>基本满足得0-35分。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825" w:type="dxa"/>
            <w:vMerge w:val="continue"/>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val="en-US" w:eastAsia="zh-CN"/>
              </w:rPr>
              <w:t>2</w:t>
            </w:r>
          </w:p>
        </w:tc>
        <w:tc>
          <w:tcPr>
            <w:tcW w:w="1500" w:type="dxa"/>
            <w:vAlign w:val="center"/>
          </w:tcPr>
          <w:p>
            <w:pPr>
              <w:widowControl/>
              <w:shd w:val="clear" w:color="auto" w:fill="FFFFFF"/>
              <w:spacing w:line="300" w:lineRule="exact"/>
              <w:jc w:val="center"/>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lang w:val="en-US" w:eastAsia="zh-CN"/>
              </w:rPr>
              <w:t>项目</w:t>
            </w:r>
            <w:r>
              <w:rPr>
                <w:rFonts w:hint="eastAsia" w:ascii="仿宋_GB2312" w:hAnsi="仿宋_GB2312" w:eastAsia="仿宋_GB2312" w:cs="仿宋_GB2312"/>
              </w:rPr>
              <w:t>进度保证措施</w:t>
            </w:r>
          </w:p>
        </w:tc>
        <w:tc>
          <w:tcPr>
            <w:tcW w:w="875" w:type="dxa"/>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20</w:t>
            </w:r>
          </w:p>
        </w:tc>
        <w:tc>
          <w:tcPr>
            <w:tcW w:w="5605" w:type="dxa"/>
            <w:vAlign w:val="center"/>
          </w:tcPr>
          <w:p>
            <w:pPr>
              <w:widowControl/>
              <w:shd w:val="clear" w:color="auto" w:fill="FFFFFF"/>
              <w:spacing w:line="3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bCs/>
                <w:sz w:val="21"/>
                <w:szCs w:val="21"/>
              </w:rPr>
              <w:t>为完成本项目，制定合理的进度计划，从</w:t>
            </w:r>
            <w:r>
              <w:rPr>
                <w:rFonts w:hint="eastAsia" w:ascii="仿宋_GB2312" w:hAnsi="仿宋_GB2312" w:eastAsia="仿宋_GB2312" w:cs="仿宋_GB2312"/>
                <w:bCs/>
                <w:sz w:val="21"/>
                <w:szCs w:val="21"/>
                <w:lang w:val="en-US" w:eastAsia="zh-CN"/>
              </w:rPr>
              <w:t>配件的采购</w:t>
            </w:r>
            <w:r>
              <w:rPr>
                <w:rFonts w:hint="eastAsia" w:ascii="仿宋_GB2312" w:hAnsi="仿宋_GB2312" w:eastAsia="仿宋_GB2312" w:cs="仿宋_GB2312"/>
                <w:bCs/>
                <w:sz w:val="21"/>
                <w:szCs w:val="21"/>
              </w:rPr>
              <w:t>、供货、安装等方面，</w:t>
            </w:r>
            <w:r>
              <w:rPr>
                <w:rFonts w:hint="eastAsia" w:ascii="仿宋_GB2312" w:hAnsi="仿宋_GB2312" w:eastAsia="仿宋_GB2312" w:cs="仿宋_GB2312"/>
                <w:sz w:val="21"/>
                <w:szCs w:val="21"/>
              </w:rPr>
              <w:t>在保证质量的前提下</w:t>
            </w:r>
            <w:r>
              <w:rPr>
                <w:rFonts w:hint="eastAsia" w:ascii="仿宋_GB2312" w:hAnsi="仿宋_GB2312" w:eastAsia="仿宋_GB2312" w:cs="仿宋_GB2312"/>
                <w:bCs/>
                <w:sz w:val="21"/>
                <w:szCs w:val="21"/>
              </w:rPr>
              <w:t>详细说明控制进度的保证措施。</w:t>
            </w:r>
          </w:p>
          <w:p>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优秀得15-20分；</w:t>
            </w:r>
          </w:p>
          <w:p>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符合得10-15分；</w:t>
            </w:r>
          </w:p>
          <w:p>
            <w:pPr>
              <w:widowControl/>
              <w:shd w:val="clear" w:color="auto" w:fill="FFFFFF"/>
              <w:spacing w:line="300" w:lineRule="exact"/>
              <w:jc w:val="left"/>
              <w:rPr>
                <w:rFonts w:hint="eastAsia" w:ascii="仿宋_GB2312" w:hAnsi="仿宋_GB2312" w:eastAsia="仿宋_GB2312" w:cs="仿宋_GB2312"/>
                <w:bCs/>
                <w:szCs w:val="21"/>
                <w:highlight w:val="none"/>
              </w:rPr>
            </w:pPr>
            <w:r>
              <w:rPr>
                <w:rFonts w:hint="eastAsia" w:ascii="仿宋_GB2312" w:hAnsi="仿宋_GB2312" w:eastAsia="仿宋_GB2312" w:cs="仿宋_GB2312"/>
                <w:kern w:val="2"/>
                <w:sz w:val="21"/>
                <w:szCs w:val="20"/>
                <w:lang w:val="en-US" w:eastAsia="zh-CN" w:bidi="ar-SA"/>
              </w:rPr>
              <w:t>基本满足得0-10分。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val="en-US" w:eastAsia="zh-CN"/>
              </w:rPr>
              <w:t>3</w:t>
            </w:r>
          </w:p>
        </w:tc>
        <w:tc>
          <w:tcPr>
            <w:tcW w:w="1500" w:type="dxa"/>
            <w:vAlign w:val="center"/>
          </w:tcPr>
          <w:p>
            <w:pPr>
              <w:widowControl/>
              <w:shd w:val="clear" w:color="auto" w:fill="FFFFFF"/>
              <w:spacing w:line="3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质保期及</w:t>
            </w:r>
          </w:p>
          <w:p>
            <w:pPr>
              <w:widowControl/>
              <w:shd w:val="clear" w:color="auto" w:fill="FFFFFF"/>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售后服务</w:t>
            </w:r>
          </w:p>
        </w:tc>
        <w:tc>
          <w:tcPr>
            <w:tcW w:w="875" w:type="dxa"/>
            <w:vAlign w:val="center"/>
          </w:tcPr>
          <w:p>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20</w:t>
            </w:r>
          </w:p>
        </w:tc>
        <w:tc>
          <w:tcPr>
            <w:tcW w:w="560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Cs/>
                <w:szCs w:val="21"/>
                <w:highlight w:val="none"/>
              </w:rPr>
            </w:pPr>
            <w:r>
              <w:rPr>
                <w:rFonts w:hint="eastAsia" w:ascii="仿宋_GB2312" w:hAnsi="仿宋_GB2312" w:eastAsia="仿宋_GB2312" w:cs="仿宋_GB2312"/>
              </w:rPr>
              <w:t>根据投标文件中关于质保期及售后服务部分的表述，应包含详细的售后服务保障措施，售后服务体系，项目所在地</w:t>
            </w:r>
            <w:r>
              <w:rPr>
                <w:rFonts w:hint="eastAsia" w:ascii="仿宋_GB2312" w:hAnsi="仿宋_GB2312" w:eastAsia="仿宋_GB2312" w:cs="仿宋_GB2312"/>
                <w:lang w:eastAsia="zh-CN"/>
              </w:rPr>
              <w:t>的服务力量等</w:t>
            </w:r>
            <w:r>
              <w:rPr>
                <w:rFonts w:hint="eastAsia" w:ascii="仿宋_GB2312" w:hAnsi="仿宋_GB2312" w:eastAsia="仿宋_GB2312" w:cs="仿宋_GB2312"/>
              </w:rPr>
              <w:t>，按照上述综合表述内容酌情得0-</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分，技术标书中未体现此内容不得分。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4</w:t>
            </w:r>
          </w:p>
        </w:tc>
        <w:tc>
          <w:tcPr>
            <w:tcW w:w="1500" w:type="dxa"/>
            <w:vAlign w:val="center"/>
          </w:tcPr>
          <w:p>
            <w:pPr>
              <w:widowControl/>
              <w:shd w:val="clear" w:color="auto" w:fill="FFFFFF"/>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lang w:eastAsia="zh-CN"/>
              </w:rPr>
              <w:t>业绩</w:t>
            </w:r>
          </w:p>
        </w:tc>
        <w:tc>
          <w:tcPr>
            <w:tcW w:w="875" w:type="dxa"/>
            <w:vAlign w:val="center"/>
          </w:tcPr>
          <w:p>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10</w:t>
            </w:r>
          </w:p>
        </w:tc>
        <w:tc>
          <w:tcPr>
            <w:tcW w:w="560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rPr>
              <w:t>投标人每有一项</w:t>
            </w:r>
            <w:r>
              <w:rPr>
                <w:rFonts w:hint="eastAsia" w:ascii="仿宋_GB2312" w:hAnsi="仿宋_GB2312" w:eastAsia="仿宋_GB2312" w:cs="仿宋_GB2312"/>
                <w:lang w:val="en-US" w:eastAsia="zh-CN"/>
              </w:rPr>
              <w:t>招标文件要求的</w:t>
            </w:r>
            <w:r>
              <w:rPr>
                <w:rFonts w:hint="eastAsia" w:ascii="仿宋_GB2312" w:hAnsi="仿宋_GB2312" w:eastAsia="仿宋_GB2312" w:cs="仿宋_GB2312"/>
              </w:rPr>
              <w:t>业绩得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分，最多得</w:t>
            </w:r>
            <w:r>
              <w:rPr>
                <w:rFonts w:hint="eastAsia" w:ascii="仿宋_GB2312" w:hAnsi="仿宋_GB2312" w:eastAsia="仿宋_GB2312" w:cs="仿宋_GB2312"/>
                <w:lang w:val="en-US" w:eastAsia="zh-CN"/>
              </w:rPr>
              <w:t>10</w:t>
            </w:r>
            <w:r>
              <w:rPr>
                <w:rFonts w:hint="eastAsia" w:ascii="仿宋_GB2312" w:hAnsi="仿宋_GB2312" w:eastAsia="仿宋_GB2312" w:cs="仿宋_GB2312"/>
              </w:rPr>
              <w:t>分(必须提供合同原件</w:t>
            </w:r>
            <w:r>
              <w:rPr>
                <w:rFonts w:hint="eastAsia" w:ascii="仿宋_GB2312" w:hAnsi="仿宋_GB2312" w:eastAsia="仿宋_GB2312" w:cs="仿宋_GB2312"/>
                <w:lang w:eastAsia="zh-CN"/>
              </w:rPr>
              <w:t>扫描件</w:t>
            </w:r>
            <w:r>
              <w:rPr>
                <w:rFonts w:hint="eastAsia" w:ascii="仿宋_GB2312" w:hAnsi="仿宋_GB2312" w:eastAsia="仿宋_GB2312" w:cs="仿宋_GB2312"/>
              </w:rPr>
              <w:t>,否则不得分)</w:t>
            </w:r>
          </w:p>
        </w:tc>
      </w:tr>
    </w:tbl>
    <w:p>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1、投标人技术标的最终得分为所有评委打分汇总后的算术平均值。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color w:val="000000"/>
          <w:sz w:val="24"/>
          <w:szCs w:val="24"/>
        </w:rPr>
        <w:t>2、技术标根据评分办法进行打分，技术标评标小组推荐至少3家技术得分</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0分（含）以上的投标人入围。技术入围投标人不足三家时，本次按废标处理，招标人有权根据招标采购管理流程重新组织招标。</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sectPr>
          <w:pgSz w:w="11907" w:h="16840"/>
          <w:pgMar w:top="1785" w:right="1418" w:bottom="1418" w:left="1418" w:header="724" w:footer="851" w:gutter="0"/>
          <w:cols w:space="720" w:num="1"/>
          <w:docGrid w:linePitch="290" w:charSpace="-3931"/>
        </w:sectPr>
      </w:pPr>
    </w:p>
    <w:bookmarkEnd w:id="21"/>
    <w:p>
      <w:pPr>
        <w:spacing w:beforeLines="0" w:afterLines="0" w:line="360" w:lineRule="auto"/>
        <w:jc w:val="center"/>
        <w:rPr>
          <w:rFonts w:hint="eastAsia" w:ascii="宋体" w:hAnsi="宋体" w:eastAsia="宋体" w:cs="宋体"/>
          <w:b/>
          <w:bCs/>
          <w:kern w:val="44"/>
          <w:sz w:val="30"/>
          <w:szCs w:val="30"/>
          <w:lang w:val="zh-CN" w:eastAsia="zh-CN" w:bidi="ar-SA"/>
        </w:rPr>
      </w:pP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5173345</wp:posOffset>
            </wp:positionH>
            <wp:positionV relativeFrom="paragraph">
              <wp:posOffset>581660</wp:posOffset>
            </wp:positionV>
            <wp:extent cx="635" cy="635"/>
            <wp:effectExtent l="0" t="0" r="0" b="0"/>
            <wp:wrapNone/>
            <wp:docPr id="4" name="墨迹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墨迹 10"/>
                    <pic:cNvPicPr>
                      <a:picLocks noGrp="1" noChangeAspect="1"/>
                    </pic:cNvPicPr>
                  </pic:nvPicPr>
                  <pic:blipFill>
                    <a:blip r:embed="rId26"/>
                    <a:stretch>
                      <a:fillRect/>
                    </a:stretch>
                  </pic:blipFill>
                  <pic:spPr>
                    <a:xfrm>
                      <a:off x="0" y="0"/>
                      <a:ext cx="635" cy="635"/>
                    </a:xfrm>
                    <a:prstGeom prst="rect">
                      <a:avLst/>
                    </a:prstGeom>
                    <a:noFill/>
                    <a:ln>
                      <a:noFill/>
                    </a:ln>
                  </pic:spPr>
                </pic:pic>
              </a:graphicData>
            </a:graphic>
          </wp:anchor>
        </w:drawing>
      </w:r>
      <w:bookmarkStart w:id="22" w:name="_Toc142724994"/>
      <w:r>
        <w:rPr>
          <w:rFonts w:hint="eastAsia" w:ascii="宋体" w:hAnsi="宋体" w:eastAsia="宋体" w:cs="宋体"/>
          <w:sz w:val="30"/>
          <w:szCs w:val="30"/>
        </w:rPr>
        <w:t>第二章  采购货物概况</w:t>
      </w:r>
      <w:bookmarkEnd w:id="22"/>
    </w:p>
    <w:p>
      <w:pPr>
        <w:pStyle w:val="85"/>
        <w:rPr>
          <w:rFonts w:hint="eastAsia" w:ascii="宋体" w:hAnsi="宋体" w:eastAsia="宋体" w:cs="宋体"/>
          <w:b/>
          <w:bCs w:val="0"/>
        </w:rPr>
      </w:pPr>
      <w:r>
        <w:rPr>
          <w:rFonts w:hint="eastAsia" w:ascii="宋体" w:hAnsi="宋体" w:eastAsia="宋体" w:cs="宋体"/>
          <w:b/>
          <w:bCs w:val="0"/>
        </w:rPr>
        <w:t>一、项目说明</w:t>
      </w:r>
    </w:p>
    <w:p>
      <w:pPr>
        <w:adjustRightInd w:val="0"/>
        <w:snapToGrid w:val="0"/>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cs="宋体"/>
          <w:color w:val="000000"/>
          <w:sz w:val="24"/>
          <w:szCs w:val="24"/>
          <w:u w:val="single"/>
          <w:lang w:eastAsia="zh-CN"/>
        </w:rPr>
        <w:t>产品试验检测中心铝泵腐蚀自研设备物料采购项目</w:t>
      </w:r>
    </w:p>
    <w:p>
      <w:pPr>
        <w:adjustRightInd w:val="0"/>
        <w:snapToGrid w:val="0"/>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项目地点：</w:t>
      </w:r>
      <w:r>
        <w:rPr>
          <w:rFonts w:hint="eastAsia" w:ascii="宋体" w:hAnsi="宋体" w:eastAsia="宋体" w:cs="宋体"/>
          <w:color w:val="000000"/>
          <w:sz w:val="24"/>
          <w:szCs w:val="24"/>
          <w:u w:val="single"/>
        </w:rPr>
        <w:t>济南市高新区华奥路777号</w:t>
      </w:r>
    </w:p>
    <w:p>
      <w:pPr>
        <w:adjustRightInd w:val="0"/>
        <w:snapToGrid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rPr>
        <w:t>项目概况：</w:t>
      </w:r>
      <w:r>
        <w:rPr>
          <w:rFonts w:hint="eastAsia" w:ascii="宋体" w:hAnsi="宋体" w:eastAsia="宋体" w:cs="宋体"/>
          <w:sz w:val="24"/>
          <w:szCs w:val="24"/>
          <w:highlight w:val="none"/>
        </w:rPr>
        <w:t>本次</w:t>
      </w:r>
      <w:r>
        <w:rPr>
          <w:rFonts w:hint="eastAsia" w:ascii="宋体" w:hAnsi="宋体" w:eastAsia="宋体" w:cs="宋体"/>
          <w:sz w:val="24"/>
          <w:szCs w:val="24"/>
          <w:highlight w:val="none"/>
          <w:lang w:eastAsia="zh-CN"/>
        </w:rPr>
        <w:t>产品试验检测中心设备配件采购项目</w:t>
      </w:r>
      <w:r>
        <w:rPr>
          <w:rFonts w:hint="eastAsia" w:ascii="宋体" w:hAnsi="宋体" w:cs="宋体"/>
          <w:sz w:val="24"/>
          <w:szCs w:val="24"/>
          <w:highlight w:val="none"/>
          <w:lang w:val="en-US" w:eastAsia="zh-CN"/>
        </w:rPr>
        <w:t>主要进行</w:t>
      </w:r>
      <w:r>
        <w:rPr>
          <w:rFonts w:hint="eastAsia" w:ascii="宋体" w:hAnsi="宋体" w:eastAsia="宋体" w:cs="宋体"/>
          <w:sz w:val="24"/>
          <w:szCs w:val="24"/>
          <w:highlight w:val="none"/>
          <w:lang w:val="en-US" w:eastAsia="zh-CN"/>
        </w:rPr>
        <w:t>设备配件</w:t>
      </w:r>
      <w:r>
        <w:rPr>
          <w:rFonts w:hint="eastAsia" w:ascii="宋体" w:hAnsi="宋体" w:cs="宋体"/>
          <w:sz w:val="24"/>
          <w:szCs w:val="24"/>
          <w:highlight w:val="none"/>
          <w:lang w:val="en-US" w:eastAsia="zh-CN"/>
        </w:rPr>
        <w:t>的招标</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涉及</w:t>
      </w:r>
      <w:r>
        <w:rPr>
          <w:rFonts w:hint="eastAsia" w:ascii="宋体" w:hAnsi="宋体" w:eastAsia="宋体" w:cs="宋体"/>
          <w:sz w:val="24"/>
          <w:szCs w:val="24"/>
          <w:highlight w:val="none"/>
          <w:lang w:val="en-US" w:eastAsia="zh-CN"/>
        </w:rPr>
        <w:t>配件24</w:t>
      </w:r>
      <w:r>
        <w:rPr>
          <w:rFonts w:hint="eastAsia" w:ascii="宋体" w:hAnsi="宋体" w:cs="宋体"/>
          <w:sz w:val="24"/>
          <w:szCs w:val="24"/>
          <w:highlight w:val="none"/>
          <w:lang w:val="en-US" w:eastAsia="zh-CN"/>
        </w:rPr>
        <w:t>种，根据招标方使用需求订购，费用据实结算。</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采购货物主要构成一览表</w:t>
      </w:r>
    </w:p>
    <w:tbl>
      <w:tblPr>
        <w:tblStyle w:val="37"/>
        <w:tblW w:w="933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305"/>
        <w:gridCol w:w="2425"/>
        <w:gridCol w:w="964"/>
        <w:gridCol w:w="838"/>
        <w:gridCol w:w="653"/>
        <w:gridCol w:w="2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物料名称</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规格型号</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品牌</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图片示意（仅参考外形）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泵</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CP1018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master</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3800" cy="1005205"/>
                  <wp:effectExtent l="0" t="0" r="0" b="0"/>
                  <wp:docPr id="74" name="ID_C7FE57B8EADB49E9B4D12DDFA015F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D_C7FE57B8EADB49E9B4D12DDFA015FA07"/>
                          <pic:cNvPicPr>
                            <a:picLocks noChangeAspect="1"/>
                          </pic:cNvPicPr>
                        </pic:nvPicPr>
                        <pic:blipFill>
                          <a:blip r:embed="rId27"/>
                          <a:srcRect/>
                          <a:stretch>
                            <a:fillRect/>
                          </a:stretch>
                        </pic:blipFill>
                        <pic:spPr>
                          <a:xfrm>
                            <a:off x="0" y="0"/>
                            <a:ext cx="1193800" cy="100520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泵盖</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配套CP1018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master</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989330"/>
                  <wp:effectExtent l="0" t="0" r="6350" b="1270"/>
                  <wp:docPr id="75" name="ID_2D26562291F34C6896CE83A47B642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D_2D26562291F34C6896CE83A47B64213D"/>
                          <pic:cNvPicPr>
                            <a:picLocks noChangeAspect="1"/>
                          </pic:cNvPicPr>
                        </pic:nvPicPr>
                        <pic:blipFill>
                          <a:blip r:embed="rId28"/>
                          <a:stretch>
                            <a:fillRect/>
                          </a:stretch>
                        </pic:blipFill>
                        <pic:spPr>
                          <a:xfrm>
                            <a:off x="0" y="0"/>
                            <a:ext cx="927100" cy="98933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NDR-240-24</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明伟</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8880" cy="993775"/>
                  <wp:effectExtent l="0" t="0" r="1270" b="6350"/>
                  <wp:docPr id="33" name="ID_6E83A5155A1C472CBB188F8C09E00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D_6E83A5155A1C472CBB188F8C09E0098D"/>
                          <pic:cNvPicPr>
                            <a:picLocks noChangeAspect="1"/>
                          </pic:cNvPicPr>
                        </pic:nvPicPr>
                        <pic:blipFill>
                          <a:blip r:embed="rId29"/>
                          <a:stretch>
                            <a:fillRect/>
                          </a:stretch>
                        </pic:blipFill>
                        <pic:spPr>
                          <a:xfrm>
                            <a:off x="0" y="0"/>
                            <a:ext cx="1198880" cy="9937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显示屏</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KTP700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西门子</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5070" cy="930910"/>
                  <wp:effectExtent l="0" t="0" r="5080" b="2540"/>
                  <wp:docPr id="78" name="ID_021AEF801E68452EA0443589310DB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D_021AEF801E68452EA0443589310DB50E"/>
                          <pic:cNvPicPr>
                            <a:picLocks noChangeAspect="1"/>
                          </pic:cNvPicPr>
                        </pic:nvPicPr>
                        <pic:blipFill>
                          <a:blip r:embed="rId30"/>
                          <a:stretch>
                            <a:fillRect/>
                          </a:stretch>
                        </pic:blipFill>
                        <pic:spPr>
                          <a:xfrm>
                            <a:off x="0" y="0"/>
                            <a:ext cx="1195070" cy="93091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触摸屏PLC一体机</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7寸SMART型一体机</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艾莫迅</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52500" cy="675640"/>
                  <wp:effectExtent l="0" t="0" r="0" b="635"/>
                  <wp:docPr id="79" name="ID_C73BDA3A0C37440D8F869FCC49D13E16" descr="1cd2c71c701b88106ccaf5d2b59d7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D_C73BDA3A0C37440D8F869FCC49D13E16" descr="1cd2c71c701b88106ccaf5d2b59d7eeb"/>
                          <pic:cNvPicPr>
                            <a:picLocks noChangeAspect="1"/>
                          </pic:cNvPicPr>
                        </pic:nvPicPr>
                        <pic:blipFill>
                          <a:blip r:embed="rId31"/>
                          <a:srcRect l="-2048" r="-341"/>
                          <a:stretch>
                            <a:fillRect/>
                          </a:stretch>
                        </pic:blipFill>
                        <pic:spPr>
                          <a:xfrm>
                            <a:off x="0" y="0"/>
                            <a:ext cx="952500" cy="67564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温控器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AI526带485通信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宇电</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9005" cy="771525"/>
                  <wp:effectExtent l="0" t="0" r="4445" b="0"/>
                  <wp:docPr id="80" name="ID_041EC3BA7A4F4FCFACCC12ED929D5F13" descr="909ced74fadce427c836c1a6ebc599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D_041EC3BA7A4F4FCFACCC12ED929D5F13" descr="909ced74fadce427c836c1a6ebc599cf"/>
                          <pic:cNvPicPr>
                            <a:picLocks noChangeAspect="1"/>
                          </pic:cNvPicPr>
                        </pic:nvPicPr>
                        <pic:blipFill>
                          <a:blip r:embed="rId32"/>
                          <a:srcRect/>
                          <a:stretch>
                            <a:fillRect/>
                          </a:stretch>
                        </pic:blipFill>
                        <pic:spPr>
                          <a:xfrm>
                            <a:off x="0" y="0"/>
                            <a:ext cx="929005" cy="7715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中间继电器模组</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4位继电器模块</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欧姆龙</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34085" cy="952500"/>
                  <wp:effectExtent l="0" t="0" r="8890" b="0"/>
                  <wp:docPr id="81" name="ID_634CD9D8096B4492A18E674A2200AE91" descr="31d1e8dc50d68c5d41f616f693b9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D_634CD9D8096B4492A18E674A2200AE91" descr="31d1e8dc50d68c5d41f616f693b99707"/>
                          <pic:cNvPicPr>
                            <a:picLocks noChangeAspect="1"/>
                          </pic:cNvPicPr>
                        </pic:nvPicPr>
                        <pic:blipFill>
                          <a:blip r:embed="rId33"/>
                          <a:srcRect/>
                          <a:stretch>
                            <a:fillRect/>
                          </a:stretch>
                        </pic:blipFill>
                        <pic:spPr>
                          <a:xfrm>
                            <a:off x="0" y="0"/>
                            <a:ext cx="934085" cy="9525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固态继电器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SSR40H</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宇电</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9005" cy="923925"/>
                  <wp:effectExtent l="0" t="0" r="4445" b="0"/>
                  <wp:docPr id="7" name="ID_79604C3B5B64491C838DCC6052AC4065" descr="2990fa83ab7ff37185302e9eb0f83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79604C3B5B64491C838DCC6052AC4065" descr="2990fa83ab7ff37185302e9eb0f8300a"/>
                          <pic:cNvPicPr>
                            <a:picLocks noChangeAspect="1"/>
                          </pic:cNvPicPr>
                        </pic:nvPicPr>
                        <pic:blipFill>
                          <a:blip r:embed="rId34"/>
                          <a:srcRect/>
                          <a:stretch>
                            <a:fillRect/>
                          </a:stretch>
                        </pic:blipFill>
                        <pic:spPr>
                          <a:xfrm>
                            <a:off x="0" y="0"/>
                            <a:ext cx="929005" cy="9239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交流接触器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LC1N1210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施耐德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012825" cy="784225"/>
                  <wp:effectExtent l="0" t="0" r="6350" b="6350"/>
                  <wp:docPr id="82" name="ID_64B509635AB447DCAFB4C99CD7A748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D_64B509635AB447DCAFB4C99CD7A748B5"/>
                          <pic:cNvPicPr>
                            <a:picLocks noChangeAspect="1"/>
                          </pic:cNvPicPr>
                        </pic:nvPicPr>
                        <pic:blipFill>
                          <a:blip r:embed="rId35"/>
                          <a:stretch>
                            <a:fillRect/>
                          </a:stretch>
                        </pic:blipFill>
                        <pic:spPr>
                          <a:xfrm>
                            <a:off x="0" y="0"/>
                            <a:ext cx="1012825" cy="784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电机</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交流高速电机，功率小于5kW,最大转速5000转，配变频驱动器和L型安装支架</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926465"/>
                  <wp:effectExtent l="0" t="0" r="6350" b="6985"/>
                  <wp:docPr id="83" name="ID_B2ECC7EE323E476B9517F9FF27962B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D_B2ECC7EE323E476B9517F9FF27962B45"/>
                          <pic:cNvPicPr>
                            <a:picLocks noChangeAspect="1"/>
                          </pic:cNvPicPr>
                        </pic:nvPicPr>
                        <pic:blipFill>
                          <a:blip r:embed="rId36"/>
                          <a:stretch>
                            <a:fillRect/>
                          </a:stretch>
                        </pic:blipFill>
                        <pic:spPr>
                          <a:xfrm>
                            <a:off x="0" y="0"/>
                            <a:ext cx="927100" cy="92646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真空压力表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0-0.16Mpa；标准螺纹，黄铜接口M20*1.5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8880" cy="817880"/>
                  <wp:effectExtent l="0" t="0" r="1270" b="1270"/>
                  <wp:docPr id="84" name="ID_7589FD7EF79F4F09BBDCE396B4E923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D_7589FD7EF79F4F09BBDCE396B4E923F4"/>
                          <pic:cNvPicPr>
                            <a:picLocks noChangeAspect="1"/>
                          </pic:cNvPicPr>
                        </pic:nvPicPr>
                        <pic:blipFill>
                          <a:blip r:embed="rId37"/>
                          <a:stretch>
                            <a:fillRect/>
                          </a:stretch>
                        </pic:blipFill>
                        <pic:spPr>
                          <a:xfrm>
                            <a:off x="0" y="0"/>
                            <a:ext cx="1198880" cy="81788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抗震压力表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0-0.16Mpa；标准螺纹，黄铜接口M20*1.5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7610" cy="986155"/>
                  <wp:effectExtent l="0" t="0" r="2540" b="4445"/>
                  <wp:docPr id="85" name="ID_68F5387EDFF5405888E9F0628D597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D_68F5387EDFF5405888E9F0628D5979D6"/>
                          <pic:cNvPicPr>
                            <a:picLocks noChangeAspect="1"/>
                          </pic:cNvPicPr>
                        </pic:nvPicPr>
                        <pic:blipFill>
                          <a:blip r:embed="rId38"/>
                          <a:stretch>
                            <a:fillRect/>
                          </a:stretch>
                        </pic:blipFill>
                        <pic:spPr>
                          <a:xfrm>
                            <a:off x="0" y="0"/>
                            <a:ext cx="1197610" cy="9861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压力表缓冲管</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304材质，内螺纹M20*1.5，另一端焊接在主管道，包含焊接服务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681355"/>
                  <wp:effectExtent l="0" t="0" r="6350" b="4445"/>
                  <wp:docPr id="86" name="ID_01B0CAACD4A9439886589B8ECB8AD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D_01B0CAACD4A9439886589B8ECB8AD342"/>
                          <pic:cNvPicPr>
                            <a:picLocks noChangeAspect="1"/>
                          </pic:cNvPicPr>
                        </pic:nvPicPr>
                        <pic:blipFill>
                          <a:blip r:embed="rId39"/>
                          <a:srcRect/>
                          <a:stretch>
                            <a:fillRect/>
                          </a:stretch>
                        </pic:blipFill>
                        <pic:spPr>
                          <a:xfrm>
                            <a:off x="0" y="0"/>
                            <a:ext cx="927100" cy="6813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涡轮流量计</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0.8-8立方，输出4-20mA,带数据传输功能，24V电压；要求适配DN38主管，法兰盘国标DN32B系列</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1141730"/>
                  <wp:effectExtent l="0" t="0" r="6350" b="1270"/>
                  <wp:docPr id="10" name="ID_8EE8CA1FBDB343139F7BBF30006B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8EE8CA1FBDB343139F7BBF30006B0996"/>
                          <pic:cNvPicPr>
                            <a:picLocks noChangeAspect="1"/>
                          </pic:cNvPicPr>
                        </pic:nvPicPr>
                        <pic:blipFill>
                          <a:blip r:embed="rId40"/>
                          <a:stretch>
                            <a:fillRect/>
                          </a:stretch>
                        </pic:blipFill>
                        <pic:spPr>
                          <a:xfrm>
                            <a:off x="0" y="0"/>
                            <a:ext cx="927100" cy="114173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压力变送器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接口4分螺纹，标准款，量程0-160Kpa，4-20mA</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735" cy="986155"/>
                  <wp:effectExtent l="0" t="0" r="5715" b="4445"/>
                  <wp:docPr id="11" name="ID_D5D33B775D3C44BEB10A2A75D556C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D5D33B775D3C44BEB10A2A75D556CE96"/>
                          <pic:cNvPicPr>
                            <a:picLocks noChangeAspect="1"/>
                          </pic:cNvPicPr>
                        </pic:nvPicPr>
                        <pic:blipFill>
                          <a:blip r:embed="rId41"/>
                          <a:srcRect/>
                          <a:stretch>
                            <a:fillRect/>
                          </a:stretch>
                        </pic:blipFill>
                        <pic:spPr>
                          <a:xfrm>
                            <a:off x="0" y="0"/>
                            <a:ext cx="927735" cy="9861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Pt100温度变送器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接口4分螺纹，量程0-150摄氏度，4-20mA，杆长200mm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575945"/>
                  <wp:effectExtent l="0" t="0" r="6350" b="5080"/>
                  <wp:docPr id="12" name="ID_9DDE17BF9EFC48D69813D95974A5B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D_9DDE17BF9EFC48D69813D95974A5BB0A"/>
                          <pic:cNvPicPr>
                            <a:picLocks noChangeAspect="1"/>
                          </pic:cNvPicPr>
                        </pic:nvPicPr>
                        <pic:blipFill>
                          <a:blip r:embed="rId42"/>
                          <a:srcRect/>
                          <a:stretch>
                            <a:fillRect/>
                          </a:stretch>
                        </pic:blipFill>
                        <pic:spPr>
                          <a:xfrm>
                            <a:off x="0" y="0"/>
                            <a:ext cx="927100" cy="57594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加热棒</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接口4分螺纹，功率1KW，长度200mm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490220"/>
                  <wp:effectExtent l="0" t="0" r="6350" b="5080"/>
                  <wp:docPr id="13" name="ID_71CEF831B0D94D2FABF845B76D286A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D_71CEF831B0D94D2FABF845B76D286A28"/>
                          <pic:cNvPicPr>
                            <a:picLocks noChangeAspect="1"/>
                          </pic:cNvPicPr>
                        </pic:nvPicPr>
                        <pic:blipFill>
                          <a:blip r:embed="rId43"/>
                          <a:srcRect/>
                          <a:stretch>
                            <a:fillRect/>
                          </a:stretch>
                        </pic:blipFill>
                        <pic:spPr>
                          <a:xfrm>
                            <a:off x="0" y="0"/>
                            <a:ext cx="927100" cy="4902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安全阀</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接口4分螺纹，0.8Mpa；DN15黄铜材质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19150"/>
                  <wp:effectExtent l="0" t="0" r="6350" b="0"/>
                  <wp:docPr id="16" name="ID_684EEB4F07924853872092D8A044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684EEB4F07924853872092D8A0446684"/>
                          <pic:cNvPicPr>
                            <a:picLocks noChangeAspect="1"/>
                          </pic:cNvPicPr>
                        </pic:nvPicPr>
                        <pic:blipFill>
                          <a:blip r:embed="rId44"/>
                          <a:srcRect/>
                          <a:stretch>
                            <a:fillRect/>
                          </a:stretch>
                        </pic:blipFill>
                        <pic:spPr>
                          <a:xfrm>
                            <a:off x="0" y="0"/>
                            <a:ext cx="927100" cy="8191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气动控制电磁阀</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控制范围0-0.7Mpa，单向，一进一出，常闭式，24V电压，带气管快接头</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767080"/>
                  <wp:effectExtent l="0" t="0" r="6350" b="4445"/>
                  <wp:docPr id="87" name="ID_2944F6E14B714D67A750DD71D5BA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D_2944F6E14B714D67A750DD71D5BA8786"/>
                          <pic:cNvPicPr>
                            <a:picLocks noChangeAspect="1"/>
                          </pic:cNvPicPr>
                        </pic:nvPicPr>
                        <pic:blipFill>
                          <a:blip r:embed="rId45"/>
                          <a:srcRect/>
                          <a:stretch>
                            <a:fillRect/>
                          </a:stretch>
                        </pic:blipFill>
                        <pic:spPr>
                          <a:xfrm>
                            <a:off x="0" y="0"/>
                            <a:ext cx="927100" cy="76708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法兰</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不锈钢材质，新国标10kg，DN32B(接外径38mm的钢管），包含焊接费用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05180"/>
                  <wp:effectExtent l="0" t="0" r="6350" b="4445"/>
                  <wp:docPr id="88" name="ID_1EF86D005EBF487B93106456AB3F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D_1EF86D005EBF487B93106456AB3F2684"/>
                          <pic:cNvPicPr>
                            <a:picLocks noChangeAspect="1"/>
                          </pic:cNvPicPr>
                        </pic:nvPicPr>
                        <pic:blipFill>
                          <a:blip r:embed="rId46"/>
                          <a:srcRect/>
                          <a:stretch>
                            <a:fillRect/>
                          </a:stretch>
                        </pic:blipFill>
                        <pic:spPr>
                          <a:xfrm>
                            <a:off x="0" y="0"/>
                            <a:ext cx="927100" cy="80518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快接头套装</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Φ38 × 2mm，带配套卡盘（50.5）硅胶垫片，包含焊接费用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09625"/>
                  <wp:effectExtent l="0" t="0" r="6350" b="0"/>
                  <wp:docPr id="89" name="ID_467F7FAB6709450794B507C79019E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D_467F7FAB6709450794B507C79019EB0A"/>
                          <pic:cNvPicPr>
                            <a:picLocks noChangeAspect="1"/>
                          </pic:cNvPicPr>
                        </pic:nvPicPr>
                        <pic:blipFill>
                          <a:blip r:embed="rId47"/>
                          <a:srcRect/>
                          <a:stretch>
                            <a:fillRect/>
                          </a:stretch>
                        </pic:blipFill>
                        <pic:spPr>
                          <a:xfrm>
                            <a:off x="0" y="0"/>
                            <a:ext cx="927100" cy="8096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储液罐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体积（10L)，上盖定制开孔（4个4分螺纹孔，1个外径38的孔，用于焊接外径38壁厚1.5的不锈钢管）；底部侧边开孔焊接外径38壁厚1.5的不锈钢管，底部正中心预留排污口和阀门，竖直向下100mm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1"/>
                <w:u w:val="none"/>
                <w:lang w:bidi="ar"/>
              </w:rPr>
            </w:pPr>
            <w:r>
              <w:drawing>
                <wp:inline distT="0" distB="0" distL="114300" distR="114300">
                  <wp:extent cx="1417320" cy="1445260"/>
                  <wp:effectExtent l="0" t="0" r="1905" b="2540"/>
                  <wp:docPr id="14" name="ID_4F456B802DAE41048AFE2C6DD4E3F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_4F456B802DAE41048AFE2C6DD4E3F132"/>
                          <pic:cNvPicPr>
                            <a:picLocks noChangeAspect="1"/>
                          </pic:cNvPicPr>
                        </pic:nvPicPr>
                        <pic:blipFill>
                          <a:blip r:embed="rId48"/>
                          <a:srcRect/>
                          <a:stretch>
                            <a:fillRect/>
                          </a:stretch>
                        </pic:blipFill>
                        <pic:spPr>
                          <a:xfrm>
                            <a:off x="0" y="0"/>
                            <a:ext cx="1417320" cy="1445260"/>
                          </a:xfrm>
                          <a:prstGeom prst="rect">
                            <a:avLst/>
                          </a:prstGeom>
                          <a:noFill/>
                          <a:ln w="9525">
                            <a:noFill/>
                          </a:ln>
                        </pic:spPr>
                      </pic:pic>
                    </a:graphicData>
                  </a:graphic>
                </wp:inline>
              </w:drawing>
            </w:r>
            <w:r>
              <w:rPr>
                <w:rFonts w:hint="eastAsia"/>
                <w:b/>
                <w:bCs/>
                <w:lang w:val="en-US" w:eastAsia="zh-CN"/>
              </w:rPr>
              <w:t>详见“技术要求-定制产品”内容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加液罐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主体外径102mm，壁厚2mm，长度200mm，两端焊接封堵，定制开孔φ38mm、φ20mm和φ12mm的孔，其中φ38mm孔外焊接φ38mm钢管（长度50mm）、φ20mm孔外焊接漏斗型钢管（高度100mm，带盖，螺纹密封）和φ12mm孔外焊接φ12mm的钢管（长度20mm，内套丝，螺纹规格1分）。</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1"/>
                <w:u w:val="none"/>
                <w:lang w:bidi="ar"/>
              </w:rPr>
            </w:pPr>
            <w:r>
              <w:drawing>
                <wp:inline distT="0" distB="0" distL="114300" distR="114300">
                  <wp:extent cx="1439545" cy="1080770"/>
                  <wp:effectExtent l="0" t="0" r="8255" b="5080"/>
                  <wp:docPr id="15" name="ID_F95C25D360F04CDE8A5ECEDA94B6E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D_F95C25D360F04CDE8A5ECEDA94B6EDB0"/>
                          <pic:cNvPicPr>
                            <a:picLocks noChangeAspect="1"/>
                          </pic:cNvPicPr>
                        </pic:nvPicPr>
                        <pic:blipFill>
                          <a:blip r:embed="rId49"/>
                          <a:stretch>
                            <a:fillRect/>
                          </a:stretch>
                        </pic:blipFill>
                        <pic:spPr>
                          <a:xfrm>
                            <a:off x="0" y="0"/>
                            <a:ext cx="1439545" cy="1080770"/>
                          </a:xfrm>
                          <a:prstGeom prst="rect">
                            <a:avLst/>
                          </a:prstGeom>
                          <a:noFill/>
                          <a:ln w="9525">
                            <a:noFill/>
                          </a:ln>
                        </pic:spPr>
                      </pic:pic>
                    </a:graphicData>
                  </a:graphic>
                </wp:inline>
              </w:drawing>
            </w:r>
            <w:r>
              <w:rPr>
                <w:rFonts w:hint="eastAsia"/>
                <w:b/>
                <w:bCs/>
                <w:lang w:val="en-US" w:eastAsia="zh-CN"/>
              </w:rPr>
              <w:t>详见“技术要求-定制产品”内容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焊接管件</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φ38 × 1.5 mm，需加工至要尺寸，包含开孔、焊接等服务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宋体"/>
                <w:lang w:val="en-US" w:eastAsia="zh-CN"/>
              </w:rPr>
            </w:pPr>
            <w:r>
              <w:rPr>
                <w:rFonts w:hint="eastAsia"/>
                <w:b/>
                <w:bCs/>
                <w:lang w:val="en-US" w:eastAsia="zh-CN"/>
              </w:rPr>
              <w:t>详见“技术要求-定制产品”内容</w:t>
            </w:r>
          </w:p>
        </w:tc>
      </w:tr>
    </w:tbl>
    <w:p>
      <w:pPr>
        <w:pStyle w:val="85"/>
        <w:rPr>
          <w:rFonts w:hint="eastAsia" w:ascii="宋体" w:hAnsi="宋体" w:eastAsia="宋体" w:cs="宋体"/>
          <w:b/>
          <w:bCs w:val="0"/>
        </w:rPr>
      </w:pPr>
      <w:bookmarkStart w:id="23" w:name="_Toc142724999"/>
      <w:r>
        <w:rPr>
          <w:rFonts w:hint="eastAsia" w:ascii="宋体" w:hAnsi="宋体" w:eastAsia="宋体" w:cs="宋体"/>
          <w:b/>
          <w:bCs w:val="0"/>
        </w:rPr>
        <w:t>二、服务要求</w:t>
      </w:r>
    </w:p>
    <w:p>
      <w:pPr>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sz w:val="24"/>
          <w:szCs w:val="24"/>
        </w:rPr>
        <w:t>本</w:t>
      </w:r>
      <w:r>
        <w:rPr>
          <w:rFonts w:hint="eastAsia" w:ascii="宋体" w:hAnsi="宋体" w:cs="宋体"/>
          <w:sz w:val="24"/>
          <w:szCs w:val="24"/>
          <w:lang w:val="en-US" w:eastAsia="zh-CN"/>
        </w:rPr>
        <w:t>项目计划签订开口协议，根据招标方需求进行采购设备配件，由投标方提供技术支持</w:t>
      </w:r>
      <w:bookmarkStart w:id="24" w:name="_Toc24049"/>
      <w:bookmarkStart w:id="25" w:name="_Toc10152"/>
      <w:bookmarkStart w:id="26" w:name="_Toc31558"/>
      <w:bookmarkStart w:id="27" w:name="_Toc490750820"/>
      <w:bookmarkStart w:id="28" w:name="_Toc26699"/>
      <w:bookmarkStart w:id="29" w:name="_Toc385411768"/>
      <w:r>
        <w:rPr>
          <w:rFonts w:hint="eastAsia" w:ascii="宋体" w:hAnsi="宋体" w:cs="宋体"/>
          <w:sz w:val="24"/>
          <w:szCs w:val="24"/>
          <w:lang w:val="en-US" w:eastAsia="zh-CN"/>
        </w:rPr>
        <w:t>，负责定制产品的图纸深化和加工，若存在安装和装配问题，配合招标方免费整改。</w:t>
      </w:r>
      <w:r>
        <w:rPr>
          <w:rFonts w:hint="eastAsia" w:ascii="宋体" w:hAnsi="宋体" w:eastAsia="宋体" w:cs="宋体"/>
          <w:color w:val="000000"/>
          <w:sz w:val="24"/>
          <w:szCs w:val="24"/>
        </w:rPr>
        <w:t>自合同签订生效之日后，合同期内</w:t>
      </w:r>
      <w:r>
        <w:rPr>
          <w:rFonts w:hint="eastAsia" w:ascii="宋体" w:hAnsi="宋体" w:cs="宋体"/>
          <w:color w:val="000000"/>
          <w:sz w:val="24"/>
          <w:szCs w:val="24"/>
          <w:lang w:val="en-US" w:eastAsia="zh-CN"/>
        </w:rPr>
        <w:t>接招标</w:t>
      </w:r>
      <w:r>
        <w:rPr>
          <w:rFonts w:hint="eastAsia" w:ascii="宋体" w:hAnsi="宋体" w:eastAsia="宋体" w:cs="宋体"/>
          <w:color w:val="000000"/>
          <w:sz w:val="24"/>
          <w:szCs w:val="24"/>
        </w:rPr>
        <w:t>方通知</w:t>
      </w:r>
      <w:r>
        <w:rPr>
          <w:rFonts w:hint="eastAsia" w:ascii="宋体" w:hAnsi="宋体" w:cs="宋体"/>
          <w:color w:val="000000"/>
          <w:sz w:val="24"/>
          <w:szCs w:val="24"/>
          <w:lang w:val="en-US" w:eastAsia="zh-CN"/>
        </w:rPr>
        <w:t>后30</w:t>
      </w:r>
      <w:r>
        <w:rPr>
          <w:rFonts w:hint="eastAsia" w:ascii="宋体" w:hAnsi="宋体" w:eastAsia="宋体" w:cs="宋体"/>
          <w:color w:val="000000"/>
          <w:sz w:val="24"/>
          <w:szCs w:val="24"/>
        </w:rPr>
        <w:t>个日历日内供货到指定地点</w:t>
      </w:r>
      <w:r>
        <w:rPr>
          <w:rFonts w:hint="eastAsia" w:ascii="宋体" w:hAnsi="宋体" w:cs="宋体"/>
          <w:color w:val="000000"/>
          <w:sz w:val="24"/>
          <w:szCs w:val="24"/>
          <w:lang w:eastAsia="zh-CN"/>
        </w:rPr>
        <w:t>，</w:t>
      </w:r>
      <w:r>
        <w:rPr>
          <w:rFonts w:hint="eastAsia" w:ascii="宋体" w:hAnsi="宋体" w:cs="宋体"/>
          <w:sz w:val="24"/>
          <w:szCs w:val="24"/>
          <w:lang w:val="en-US" w:eastAsia="zh-CN" w:bidi="ar"/>
        </w:rPr>
        <w:t>定制产品可延长至45个日历日</w:t>
      </w:r>
      <w:r>
        <w:rPr>
          <w:rFonts w:hint="eastAsia" w:ascii="宋体" w:hAnsi="宋体" w:eastAsia="宋体" w:cs="宋体"/>
          <w:color w:val="000000"/>
          <w:sz w:val="24"/>
          <w:szCs w:val="24"/>
        </w:rPr>
        <w:t>。</w:t>
      </w:r>
    </w:p>
    <w:p>
      <w:pPr>
        <w:spacing w:line="360" w:lineRule="auto"/>
        <w:jc w:val="left"/>
        <w:rPr>
          <w:rFonts w:hint="eastAsia" w:ascii="宋体" w:hAnsi="宋体" w:eastAsia="宋体" w:cs="宋体"/>
          <w:b/>
          <w:bCs w:val="0"/>
          <w:kern w:val="2"/>
          <w:sz w:val="28"/>
          <w:szCs w:val="30"/>
          <w:lang w:val="en-US" w:eastAsia="zh-CN" w:bidi="ar-SA"/>
        </w:rPr>
      </w:pPr>
      <w:r>
        <w:rPr>
          <w:rFonts w:hint="eastAsia" w:ascii="宋体" w:hAnsi="宋体" w:eastAsia="宋体" w:cs="宋体"/>
          <w:b/>
          <w:bCs w:val="0"/>
          <w:kern w:val="2"/>
          <w:sz w:val="28"/>
          <w:szCs w:val="30"/>
          <w:lang w:val="en-US" w:eastAsia="zh-CN" w:bidi="ar-SA"/>
        </w:rPr>
        <w:t>三、技术要求</w:t>
      </w:r>
      <w:bookmarkEnd w:id="24"/>
      <w:bookmarkEnd w:id="25"/>
      <w:bookmarkEnd w:id="26"/>
      <w:bookmarkEnd w:id="27"/>
      <w:bookmarkEnd w:id="28"/>
      <w:bookmarkEnd w:id="29"/>
    </w:p>
    <w:p>
      <w:pPr>
        <w:spacing w:line="360" w:lineRule="auto"/>
        <w:ind w:firstLine="480" w:firstLineChars="200"/>
        <w:rPr>
          <w:rFonts w:hint="default" w:ascii="宋体" w:hAnsi="宋体" w:eastAsia="宋体" w:cs="宋体"/>
          <w:b w:val="0"/>
          <w:bCs/>
          <w:sz w:val="24"/>
          <w:szCs w:val="24"/>
          <w:lang w:val="en-US" w:eastAsia="zh-CN" w:bidi="ar"/>
        </w:rPr>
      </w:pPr>
      <w:r>
        <w:rPr>
          <w:rFonts w:hint="eastAsia" w:ascii="宋体" w:hAnsi="宋体" w:cs="宋体"/>
          <w:b w:val="0"/>
          <w:bCs/>
          <w:sz w:val="24"/>
          <w:szCs w:val="24"/>
          <w:lang w:val="en-US" w:eastAsia="zh-CN" w:bidi="ar"/>
        </w:rPr>
        <w:t>3.</w:t>
      </w:r>
      <w:r>
        <w:rPr>
          <w:rFonts w:hint="eastAsia" w:ascii="宋体" w:hAnsi="宋体" w:eastAsia="宋体" w:cs="宋体"/>
          <w:b w:val="0"/>
          <w:bCs/>
          <w:sz w:val="24"/>
          <w:szCs w:val="24"/>
          <w:lang w:bidi="ar"/>
        </w:rPr>
        <w:t>1</w:t>
      </w:r>
      <w:r>
        <w:rPr>
          <w:rFonts w:hint="eastAsia" w:ascii="宋体" w:hAnsi="宋体" w:eastAsia="宋体" w:cs="宋体"/>
          <w:b w:val="0"/>
          <w:bCs/>
          <w:sz w:val="24"/>
          <w:szCs w:val="24"/>
          <w:lang w:val="en-US" w:eastAsia="zh-CN" w:bidi="ar"/>
        </w:rPr>
        <w:t>标准件</w:t>
      </w:r>
    </w:p>
    <w:p>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采购标准件23种，</w:t>
      </w:r>
      <w:r>
        <w:rPr>
          <w:rFonts w:hint="eastAsia" w:ascii="宋体" w:hAnsi="宋体" w:eastAsia="宋体" w:cs="宋体"/>
          <w:sz w:val="24"/>
          <w:szCs w:val="24"/>
          <w:lang w:bidi="ar"/>
        </w:rPr>
        <w:t>中标方</w:t>
      </w:r>
      <w:r>
        <w:rPr>
          <w:rFonts w:hint="eastAsia" w:ascii="宋体" w:hAnsi="宋体" w:cs="宋体"/>
          <w:sz w:val="24"/>
          <w:szCs w:val="24"/>
          <w:lang w:val="en-US" w:eastAsia="zh-CN"/>
        </w:rPr>
        <w:t>需提供正品、全新配件，备件质保6个月，在质保期内出现质量问题，由</w:t>
      </w:r>
      <w:r>
        <w:rPr>
          <w:rFonts w:hint="eastAsia" w:ascii="宋体" w:hAnsi="宋体" w:eastAsia="宋体" w:cs="宋体"/>
          <w:sz w:val="24"/>
          <w:szCs w:val="24"/>
          <w:lang w:bidi="ar"/>
        </w:rPr>
        <w:t>中标方</w:t>
      </w:r>
      <w:r>
        <w:rPr>
          <w:rFonts w:hint="eastAsia" w:ascii="宋体" w:hAnsi="宋体" w:cs="宋体"/>
          <w:sz w:val="24"/>
          <w:szCs w:val="24"/>
          <w:lang w:val="en-US" w:eastAsia="zh-CN"/>
        </w:rPr>
        <w:t>免费负责更换。已明确品牌的配件，严格按照品牌型号采购。品牌为国产优质的标准件，投标时应确定1-3个投标品牌，以便调配货源。</w:t>
      </w:r>
    </w:p>
    <w:p>
      <w:pPr>
        <w:spacing w:line="360" w:lineRule="auto"/>
        <w:ind w:firstLine="480" w:firstLineChars="200"/>
        <w:rPr>
          <w:rFonts w:hint="default" w:ascii="宋体" w:hAnsi="宋体" w:eastAsia="宋体" w:cs="宋体"/>
          <w:b w:val="0"/>
          <w:bCs/>
          <w:sz w:val="24"/>
          <w:szCs w:val="24"/>
          <w:lang w:val="en-US" w:bidi="ar"/>
        </w:rPr>
      </w:pPr>
      <w:r>
        <w:rPr>
          <w:rFonts w:hint="eastAsia" w:ascii="宋体" w:hAnsi="宋体" w:cs="宋体"/>
          <w:b w:val="0"/>
          <w:bCs/>
          <w:sz w:val="24"/>
          <w:szCs w:val="24"/>
          <w:lang w:val="en-US" w:eastAsia="zh-CN" w:bidi="ar"/>
        </w:rPr>
        <w:t>3.</w:t>
      </w:r>
      <w:r>
        <w:rPr>
          <w:rFonts w:hint="eastAsia" w:ascii="宋体" w:hAnsi="宋体" w:eastAsia="宋体" w:cs="宋体"/>
          <w:b w:val="0"/>
          <w:bCs/>
          <w:sz w:val="24"/>
          <w:szCs w:val="24"/>
          <w:lang w:bidi="ar"/>
        </w:rPr>
        <w:t>2</w:t>
      </w:r>
      <w:r>
        <w:rPr>
          <w:rFonts w:hint="eastAsia" w:ascii="宋体" w:hAnsi="宋体" w:cs="宋体"/>
          <w:b w:val="0"/>
          <w:bCs/>
          <w:sz w:val="24"/>
          <w:szCs w:val="24"/>
          <w:lang w:val="en-US" w:eastAsia="zh-CN" w:bidi="ar"/>
        </w:rPr>
        <w:t>定制产品</w:t>
      </w:r>
    </w:p>
    <w:p>
      <w:pPr>
        <w:tabs>
          <w:tab w:val="left" w:pos="425"/>
        </w:tabs>
        <w:spacing w:line="360" w:lineRule="auto"/>
        <w:rPr>
          <w:rFonts w:hint="eastAsia" w:ascii="宋体" w:hAnsi="宋体" w:eastAsia="宋体" w:cs="宋体"/>
          <w:sz w:val="24"/>
          <w:szCs w:val="24"/>
          <w:lang w:val="en-US" w:eastAsia="zh-CN" w:bidi="ar"/>
        </w:rPr>
      </w:pPr>
      <w:r>
        <w:rPr>
          <w:rFonts w:hint="eastAsia" w:ascii="宋体" w:hAnsi="宋体" w:eastAsia="宋体" w:cs="宋体"/>
          <w:sz w:val="24"/>
          <w:szCs w:val="24"/>
          <w:lang w:bidi="ar"/>
        </w:rPr>
        <w:tab/>
      </w:r>
      <w:r>
        <w:rPr>
          <w:rFonts w:hint="eastAsia" w:ascii="宋体" w:hAnsi="宋体" w:eastAsia="宋体" w:cs="宋体"/>
          <w:sz w:val="24"/>
          <w:szCs w:val="24"/>
          <w:lang w:val="en-US" w:eastAsia="zh-CN" w:bidi="ar"/>
        </w:rPr>
        <w:t>定制产品共3类，分别为储液罐、加液罐和焊接管件</w:t>
      </w:r>
      <w:r>
        <w:rPr>
          <w:rFonts w:hint="eastAsia" w:ascii="宋体" w:hAnsi="宋体" w:eastAsia="宋体" w:cs="宋体"/>
          <w:sz w:val="24"/>
          <w:szCs w:val="24"/>
          <w:lang w:bidi="ar"/>
        </w:rPr>
        <w:t>。</w:t>
      </w:r>
      <w:r>
        <w:rPr>
          <w:rFonts w:hint="eastAsia" w:ascii="宋体" w:hAnsi="宋体" w:eastAsia="宋体" w:cs="宋体"/>
          <w:sz w:val="24"/>
          <w:szCs w:val="24"/>
          <w:lang w:val="en-US" w:eastAsia="zh-CN" w:bidi="ar"/>
        </w:rPr>
        <w:t>储液罐材质为不锈钢材质，要求耐压，壁厚4.5mm，桶高300mm，带底座，桶盖安装示意图开孔，桶身安装示意图焊接管道；</w:t>
      </w:r>
      <w:r>
        <w:rPr>
          <w:rFonts w:hint="eastAsia" w:ascii="宋体" w:hAnsi="宋体" w:eastAsia="宋体" w:cs="宋体"/>
          <w:sz w:val="24"/>
          <w:szCs w:val="24"/>
          <w:highlight w:val="none"/>
          <w:lang w:val="en-US" w:eastAsia="zh-CN" w:bidi="ar"/>
        </w:rPr>
        <w:t>加液罐材质要求不锈钢，壁厚2mm；焊</w:t>
      </w:r>
      <w:r>
        <w:rPr>
          <w:rFonts w:hint="eastAsia" w:ascii="宋体" w:hAnsi="宋体" w:eastAsia="宋体" w:cs="宋体"/>
          <w:sz w:val="24"/>
          <w:szCs w:val="24"/>
          <w:lang w:val="en-US" w:eastAsia="zh-CN" w:bidi="ar"/>
        </w:rPr>
        <w:t>接管件要求使用不锈钢材质钢管加工，直径为38mm，厚为1.5mm，使用法兰和快接头连接，法兰和快接头尺寸详见标准件并与钢管进行焊接连接，弯头采用不锈钢材质，与直管焊接连接。具体加工图纸如下，加工前与招标方确认尺寸，图纸尺寸仅供报价参考，中标后根据深化图纸加工：</w:t>
      </w:r>
    </w:p>
    <w:p>
      <w:pPr>
        <w:pStyle w:val="2"/>
        <w:numPr>
          <w:ilvl w:val="0"/>
          <w:numId w:val="8"/>
        </w:numPr>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储液罐</w:t>
      </w:r>
    </w:p>
    <w:p>
      <w:pPr>
        <w:pStyle w:val="3"/>
        <w:numPr>
          <w:ilvl w:val="-1"/>
          <w:numId w:val="0"/>
        </w:numPr>
        <w:ind w:left="0" w:leftChars="0"/>
        <w:jc w:val="center"/>
      </w:pPr>
      <w:r>
        <w:drawing>
          <wp:inline distT="0" distB="0" distL="114300" distR="114300">
            <wp:extent cx="4794885" cy="2929890"/>
            <wp:effectExtent l="0" t="0" r="5715" b="3810"/>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50"/>
                    <a:stretch>
                      <a:fillRect/>
                    </a:stretch>
                  </pic:blipFill>
                  <pic:spPr>
                    <a:xfrm>
                      <a:off x="0" y="0"/>
                      <a:ext cx="4794885" cy="2929890"/>
                    </a:xfrm>
                    <a:prstGeom prst="rect">
                      <a:avLst/>
                    </a:prstGeom>
                    <a:noFill/>
                    <a:ln>
                      <a:noFill/>
                    </a:ln>
                  </pic:spPr>
                </pic:pic>
              </a:graphicData>
            </a:graphic>
          </wp:inline>
        </w:drawing>
      </w:r>
    </w:p>
    <w:p>
      <w:pPr>
        <w:pStyle w:val="2"/>
        <w:numPr>
          <w:ilvl w:val="0"/>
          <w:numId w:val="8"/>
        </w:numPr>
        <w:adjustRightInd w:val="0"/>
        <w:snapToGrid w:val="0"/>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加液罐</w:t>
      </w:r>
    </w:p>
    <w:p>
      <w:pPr>
        <w:pStyle w:val="3"/>
        <w:ind w:left="0" w:leftChars="0"/>
        <w:jc w:val="center"/>
        <w:rPr>
          <w:rFonts w:hint="default"/>
          <w:lang w:val="en-US" w:eastAsia="zh-CN" w:bidi="ar"/>
        </w:rPr>
      </w:pPr>
      <w:r>
        <w:drawing>
          <wp:inline distT="0" distB="0" distL="114300" distR="114300">
            <wp:extent cx="4820920" cy="3865245"/>
            <wp:effectExtent l="0" t="0" r="8255" b="1905"/>
            <wp:docPr id="9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2"/>
                    <pic:cNvPicPr>
                      <a:picLocks noChangeAspect="1"/>
                    </pic:cNvPicPr>
                  </pic:nvPicPr>
                  <pic:blipFill>
                    <a:blip r:embed="rId51"/>
                    <a:stretch>
                      <a:fillRect/>
                    </a:stretch>
                  </pic:blipFill>
                  <pic:spPr>
                    <a:xfrm>
                      <a:off x="0" y="0"/>
                      <a:ext cx="4820920" cy="3865245"/>
                    </a:xfrm>
                    <a:prstGeom prst="rect">
                      <a:avLst/>
                    </a:prstGeom>
                    <a:noFill/>
                    <a:ln>
                      <a:noFill/>
                    </a:ln>
                  </pic:spPr>
                </pic:pic>
              </a:graphicData>
            </a:graphic>
          </wp:inline>
        </w:drawing>
      </w:r>
    </w:p>
    <w:p>
      <w:pPr>
        <w:pStyle w:val="2"/>
        <w:numPr>
          <w:ilvl w:val="0"/>
          <w:numId w:val="8"/>
        </w:numPr>
        <w:adjustRightInd w:val="0"/>
        <w:snapToGrid w:val="0"/>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焊接管件</w:t>
      </w:r>
    </w:p>
    <w:p>
      <w:pPr>
        <w:pStyle w:val="3"/>
        <w:adjustRightInd w:val="0"/>
        <w:snapToGrid w:val="0"/>
        <w:ind w:left="0" w:leftChars="0"/>
        <w:jc w:val="both"/>
      </w:pPr>
      <w:r>
        <w:drawing>
          <wp:inline distT="0" distB="0" distL="114300" distR="114300">
            <wp:extent cx="5755640" cy="3848100"/>
            <wp:effectExtent l="0" t="0" r="6985" b="0"/>
            <wp:docPr id="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pic:cNvPicPr>
                      <a:picLocks noChangeAspect="1"/>
                    </pic:cNvPicPr>
                  </pic:nvPicPr>
                  <pic:blipFill>
                    <a:blip r:embed="rId52"/>
                    <a:stretch>
                      <a:fillRect/>
                    </a:stretch>
                  </pic:blipFill>
                  <pic:spPr>
                    <a:xfrm>
                      <a:off x="0" y="0"/>
                      <a:ext cx="5755640" cy="3848100"/>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CN"/>
        </w:rPr>
        <w:t>图1整体装配示意图</w:t>
      </w:r>
    </w:p>
    <w:p>
      <w:pPr>
        <w:pStyle w:val="3"/>
        <w:adjustRightInd w:val="0"/>
        <w:snapToGrid w:val="0"/>
        <w:ind w:left="0" w:leftChars="0"/>
        <w:jc w:val="both"/>
      </w:pPr>
      <w:r>
        <w:drawing>
          <wp:inline distT="0" distB="0" distL="114300" distR="114300">
            <wp:extent cx="5743575" cy="2674620"/>
            <wp:effectExtent l="0" t="0" r="0" b="1905"/>
            <wp:docPr id="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7"/>
                    <pic:cNvPicPr>
                      <a:picLocks noChangeAspect="1"/>
                    </pic:cNvPicPr>
                  </pic:nvPicPr>
                  <pic:blipFill>
                    <a:blip r:embed="rId53"/>
                    <a:stretch>
                      <a:fillRect/>
                    </a:stretch>
                  </pic:blipFill>
                  <pic:spPr>
                    <a:xfrm>
                      <a:off x="0" y="0"/>
                      <a:ext cx="5743575" cy="2674620"/>
                    </a:xfrm>
                    <a:prstGeom prst="rect">
                      <a:avLst/>
                    </a:prstGeom>
                    <a:noFill/>
                    <a:ln>
                      <a:noFill/>
                    </a:ln>
                  </pic:spPr>
                </pic:pic>
              </a:graphicData>
            </a:graphic>
          </wp:inline>
        </w:drawing>
      </w:r>
    </w:p>
    <w:p>
      <w:pPr>
        <w:jc w:val="center"/>
        <w:rPr>
          <w:rFonts w:hint="eastAsia" w:eastAsia="宋体"/>
          <w:lang w:val="en-US" w:eastAsia="zh-CN"/>
        </w:rPr>
      </w:pPr>
      <w:r>
        <w:rPr>
          <w:rFonts w:hint="eastAsia" w:eastAsia="宋体"/>
          <w:lang w:val="en-US" w:eastAsia="zh-CN"/>
        </w:rPr>
        <w:t>图2管件1加工尺寸示意图</w:t>
      </w:r>
    </w:p>
    <w:p>
      <w:pPr>
        <w:pStyle w:val="2"/>
      </w:pPr>
      <w:r>
        <w:drawing>
          <wp:inline distT="0" distB="0" distL="114300" distR="114300">
            <wp:extent cx="5749925" cy="2973705"/>
            <wp:effectExtent l="0" t="0" r="3175" b="7620"/>
            <wp:docPr id="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
                    <pic:cNvPicPr>
                      <a:picLocks noChangeAspect="1"/>
                    </pic:cNvPicPr>
                  </pic:nvPicPr>
                  <pic:blipFill>
                    <a:blip r:embed="rId54"/>
                    <a:stretch>
                      <a:fillRect/>
                    </a:stretch>
                  </pic:blipFill>
                  <pic:spPr>
                    <a:xfrm>
                      <a:off x="0" y="0"/>
                      <a:ext cx="5749925" cy="2973705"/>
                    </a:xfrm>
                    <a:prstGeom prst="rect">
                      <a:avLst/>
                    </a:prstGeom>
                    <a:noFill/>
                    <a:ln>
                      <a:noFill/>
                    </a:ln>
                  </pic:spPr>
                </pic:pic>
              </a:graphicData>
            </a:graphic>
          </wp:inline>
        </w:drawing>
      </w:r>
    </w:p>
    <w:p>
      <w:pPr>
        <w:jc w:val="center"/>
      </w:pPr>
      <w:r>
        <w:rPr>
          <w:rFonts w:hint="eastAsia" w:eastAsia="宋体"/>
          <w:lang w:val="en-US" w:eastAsia="zh-CN"/>
        </w:rPr>
        <w:t>图3 管件2加工尺寸示意图</w:t>
      </w:r>
    </w:p>
    <w:p>
      <w:pPr>
        <w:pStyle w:val="3"/>
        <w:ind w:left="0" w:leftChars="0"/>
      </w:pPr>
      <w:r>
        <w:drawing>
          <wp:inline distT="0" distB="0" distL="114300" distR="114300">
            <wp:extent cx="5736590" cy="1772920"/>
            <wp:effectExtent l="0" t="0" r="6985" b="8255"/>
            <wp:docPr id="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
                    <pic:cNvPicPr>
                      <a:picLocks noChangeAspect="1"/>
                    </pic:cNvPicPr>
                  </pic:nvPicPr>
                  <pic:blipFill>
                    <a:blip r:embed="rId55"/>
                    <a:stretch>
                      <a:fillRect/>
                    </a:stretch>
                  </pic:blipFill>
                  <pic:spPr>
                    <a:xfrm>
                      <a:off x="0" y="0"/>
                      <a:ext cx="5736590" cy="1772920"/>
                    </a:xfrm>
                    <a:prstGeom prst="rect">
                      <a:avLst/>
                    </a:prstGeom>
                    <a:noFill/>
                    <a:ln>
                      <a:noFill/>
                    </a:ln>
                  </pic:spPr>
                </pic:pic>
              </a:graphicData>
            </a:graphic>
          </wp:inline>
        </w:drawing>
      </w:r>
    </w:p>
    <w:p>
      <w:pPr>
        <w:jc w:val="center"/>
        <w:rPr>
          <w:rFonts w:hint="eastAsia"/>
          <w:lang w:val="en-US" w:eastAsia="zh-CN" w:bidi="ar"/>
        </w:rPr>
      </w:pPr>
      <w:r>
        <w:rPr>
          <w:rFonts w:hint="eastAsia" w:eastAsia="宋体"/>
          <w:lang w:val="en-US" w:eastAsia="zh-CN"/>
        </w:rPr>
        <w:t>图4 管件3加工尺寸示意图</w:t>
      </w:r>
    </w:p>
    <w:p>
      <w:pPr>
        <w:adjustRightInd w:val="0"/>
        <w:snapToGrid w:val="0"/>
        <w:spacing w:line="460" w:lineRule="exact"/>
        <w:rPr>
          <w:rFonts w:hint="eastAsia" w:ascii="宋体" w:hAnsi="宋体" w:eastAsia="宋体" w:cs="宋体"/>
          <w:bCs/>
          <w:sz w:val="28"/>
          <w:szCs w:val="28"/>
        </w:rPr>
      </w:pPr>
      <w:r>
        <w:rPr>
          <w:rFonts w:hint="eastAsia" w:ascii="宋体" w:hAnsi="宋体" w:cs="宋体"/>
          <w:b/>
          <w:bCs/>
          <w:sz w:val="28"/>
          <w:szCs w:val="28"/>
          <w:lang w:val="en-US" w:eastAsia="zh-CN"/>
        </w:rPr>
        <w:t>四</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售后服务</w:t>
      </w:r>
    </w:p>
    <w:p>
      <w:pPr>
        <w:adjustRightInd w:val="0"/>
        <w:snapToGrid w:val="0"/>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bCs/>
          <w:sz w:val="24"/>
          <w:szCs w:val="24"/>
          <w:lang w:val="en-US" w:eastAsia="zh-CN"/>
        </w:rPr>
        <w:t xml:space="preserve">4.1 </w:t>
      </w:r>
      <w:r>
        <w:rPr>
          <w:rFonts w:hint="eastAsia" w:ascii="宋体" w:hAnsi="宋体" w:eastAsia="宋体" w:cs="宋体"/>
          <w:color w:val="000000"/>
          <w:sz w:val="24"/>
          <w:szCs w:val="24"/>
        </w:rPr>
        <w:t>质保期内免费提供零部件和及时有效的服务。质保期内因货物本身缺陷造成的各种故障，投标方应负责免费维修和服务。</w:t>
      </w:r>
    </w:p>
    <w:p>
      <w:pPr>
        <w:adjustRightInd w:val="0"/>
        <w:snapToGrid w:val="0"/>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质保期终止之日起一年内重复出现的质保期之内出现的故障，仍属质保范围而且应当免费。</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4.3</w:t>
      </w:r>
      <w:r>
        <w:rPr>
          <w:rFonts w:hint="eastAsia" w:ascii="宋体" w:hAnsi="宋体" w:eastAsia="宋体" w:cs="宋体"/>
          <w:color w:val="000000"/>
          <w:sz w:val="24"/>
          <w:szCs w:val="24"/>
        </w:rPr>
        <w:t>质量保证期满后，如出现质量问题，投标方也应及时修复和更换，且只收取成本费，费用由招标方承担。</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4.4</w:t>
      </w:r>
      <w:r>
        <w:rPr>
          <w:rFonts w:hint="eastAsia" w:ascii="宋体" w:hAnsi="宋体" w:cs="宋体"/>
          <w:color w:val="000000"/>
          <w:sz w:val="24"/>
          <w:szCs w:val="24"/>
        </w:rPr>
        <w:t>如发现所提供的</w:t>
      </w:r>
      <w:r>
        <w:rPr>
          <w:rFonts w:hint="eastAsia" w:ascii="宋体" w:hAnsi="宋体" w:cs="宋体"/>
          <w:color w:val="000000"/>
          <w:sz w:val="24"/>
          <w:szCs w:val="24"/>
          <w:lang w:val="en-US" w:eastAsia="zh-CN"/>
        </w:rPr>
        <w:t>货物</w:t>
      </w:r>
      <w:r>
        <w:rPr>
          <w:rFonts w:hint="eastAsia" w:ascii="宋体" w:hAnsi="宋体" w:cs="宋体"/>
          <w:color w:val="000000"/>
          <w:sz w:val="24"/>
          <w:szCs w:val="24"/>
        </w:rPr>
        <w:t>存在问题，需要投标方解决或配合解决时：在质保期之内，应在接到通知后24小时内上门提供免费技术支持</w:t>
      </w:r>
      <w:r>
        <w:rPr>
          <w:rFonts w:hint="eastAsia" w:ascii="宋体" w:hAnsi="宋体" w:cs="宋体"/>
          <w:color w:val="000000"/>
          <w:sz w:val="24"/>
          <w:szCs w:val="24"/>
          <w:lang w:eastAsia="zh-CN"/>
        </w:rPr>
        <w:t>；</w:t>
      </w:r>
      <w:r>
        <w:rPr>
          <w:rFonts w:hint="eastAsia" w:ascii="宋体" w:hAnsi="宋体" w:cs="宋体"/>
          <w:color w:val="000000"/>
          <w:sz w:val="24"/>
          <w:szCs w:val="24"/>
        </w:rPr>
        <w:t>在质保期之外，应在接到通知后48小时内上门提供免费技术支持。</w:t>
      </w:r>
    </w:p>
    <w:p>
      <w:pPr>
        <w:pStyle w:val="2"/>
        <w:keepNext w:val="0"/>
        <w:keepLines w:val="0"/>
        <w:pageBreakBefore w:val="0"/>
        <w:widowControl w:val="0"/>
        <w:kinsoku/>
        <w:wordWrap/>
        <w:overflowPunct/>
        <w:topLinePunct w:val="0"/>
        <w:autoSpaceDE/>
        <w:autoSpaceDN/>
        <w:bidi w:val="0"/>
        <w:ind w:firstLine="480" w:firstLineChars="200"/>
        <w:textAlignment w:val="auto"/>
        <w:rPr>
          <w:rFonts w:hint="eastAsia" w:eastAsia="宋体"/>
          <w:sz w:val="24"/>
          <w:szCs w:val="24"/>
          <w:lang w:val="en-US" w:eastAsia="zh-CN"/>
        </w:rPr>
      </w:pPr>
    </w:p>
    <w:bookmarkEnd w:id="23"/>
    <w:p>
      <w:pPr>
        <w:pStyle w:val="17"/>
        <w:rPr>
          <w:rFonts w:hint="eastAsia"/>
          <w:lang w:val="en-US" w:eastAsia="zh-CN"/>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仿宋_GB2312">
    <w:altName w:val="汉仪仿宋KW"/>
    <w:panose1 w:val="02010609030101010101"/>
    <w:charset w:val="86"/>
    <w:family w:val="modern"/>
    <w:pitch w:val="default"/>
    <w:sig w:usb0="00000000" w:usb1="0000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微软雅黑">
    <w:altName w:val="汉仪旗黑KW 55S"/>
    <w:panose1 w:val="020B0503020204020204"/>
    <w:charset w:val="86"/>
    <w:family w:val="auto"/>
    <w:pitch w:val="default"/>
    <w:sig w:usb0="00000000" w:usb1="00000000" w:usb2="00000016" w:usb3="00000000" w:csb0="0004001F"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PAGE   \* MERGEFORMAT</w:instrText>
    </w:r>
    <w:r>
      <w:fldChar w:fldCharType="separate"/>
    </w:r>
    <w:r>
      <w:rPr>
        <w:lang w:val="zh-CN"/>
      </w:rPr>
      <w:t>-</w:t>
    </w:r>
    <w:r>
      <w:t xml:space="preserve"> 2 -</w:t>
    </w:r>
    <w:r>
      <w:fldChar w:fldCharType="end"/>
    </w:r>
  </w:p>
  <w:p>
    <w:pPr>
      <w:pStyle w:val="22"/>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PAGE   \* MERGEFORMAT</w:instrText>
    </w:r>
    <w:r>
      <w:fldChar w:fldCharType="separate"/>
    </w:r>
    <w:r>
      <w:rPr>
        <w:lang w:val="zh-CN"/>
      </w:rPr>
      <w:t>-</w:t>
    </w:r>
    <w:r>
      <w:t xml:space="preserve"> 1 -</w:t>
    </w:r>
    <w:r>
      <w:fldChar w:fldCharType="end"/>
    </w:r>
  </w:p>
  <w:p>
    <w:pPr>
      <w:pStyle w:val="22"/>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BJHOEmLQIAAFkEAAAOAAAAAAAAAAEAIAAAAFkBAABkcnMvZTJvRG9jLnhtbFBLBQYAAAAA&#10;BgAGAFkBAAD4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1B268"/>
    <w:multiLevelType w:val="singleLevel"/>
    <w:tmpl w:val="BAD1B268"/>
    <w:lvl w:ilvl="0" w:tentative="0">
      <w:start w:val="2"/>
      <w:numFmt w:val="decimal"/>
      <w:suff w:val="nothing"/>
      <w:lvlText w:val="（%1）"/>
      <w:lvlJc w:val="left"/>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1112F11F"/>
    <w:multiLevelType w:val="singleLevel"/>
    <w:tmpl w:val="1112F11F"/>
    <w:lvl w:ilvl="0" w:tentative="0">
      <w:start w:val="1"/>
      <w:numFmt w:val="decimal"/>
      <w:suff w:val="nothing"/>
      <w:lvlText w:val="%1）"/>
      <w:lvlJc w:val="left"/>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0"/>
  </w:num>
  <w:num w:numId="3">
    <w:abstractNumId w:val="3"/>
  </w:num>
  <w:num w:numId="4">
    <w:abstractNumId w:val="2"/>
  </w:num>
  <w:num w:numId="5">
    <w:abstractNumId w:val="6"/>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kZGFkZjlkOWFlOTlhNWExODU4ODk5OWNmZDEyYTQ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501EE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133C5"/>
    <w:rsid w:val="00F204CA"/>
    <w:rsid w:val="00F47F06"/>
    <w:rsid w:val="00F702D9"/>
    <w:rsid w:val="00F71910"/>
    <w:rsid w:val="00F94AA9"/>
    <w:rsid w:val="0122795F"/>
    <w:rsid w:val="01395070"/>
    <w:rsid w:val="013D4B60"/>
    <w:rsid w:val="01A77925"/>
    <w:rsid w:val="02390453"/>
    <w:rsid w:val="02F94168"/>
    <w:rsid w:val="033764C0"/>
    <w:rsid w:val="034D0622"/>
    <w:rsid w:val="036106CF"/>
    <w:rsid w:val="03C926DB"/>
    <w:rsid w:val="03FA6ED5"/>
    <w:rsid w:val="04536448"/>
    <w:rsid w:val="047E2524"/>
    <w:rsid w:val="04A83611"/>
    <w:rsid w:val="04E5637F"/>
    <w:rsid w:val="0648365F"/>
    <w:rsid w:val="066465EF"/>
    <w:rsid w:val="06874187"/>
    <w:rsid w:val="07366F70"/>
    <w:rsid w:val="083D5445"/>
    <w:rsid w:val="085D4452"/>
    <w:rsid w:val="08E41D65"/>
    <w:rsid w:val="09921B84"/>
    <w:rsid w:val="099512B1"/>
    <w:rsid w:val="09AD4237"/>
    <w:rsid w:val="09ED2E9B"/>
    <w:rsid w:val="09F63AFE"/>
    <w:rsid w:val="09FA7D2A"/>
    <w:rsid w:val="0A067077"/>
    <w:rsid w:val="0A481841"/>
    <w:rsid w:val="0B0C10FF"/>
    <w:rsid w:val="0B6E5904"/>
    <w:rsid w:val="0B77495B"/>
    <w:rsid w:val="0B895A85"/>
    <w:rsid w:val="0CB30B4F"/>
    <w:rsid w:val="0CB54C63"/>
    <w:rsid w:val="0CFD1647"/>
    <w:rsid w:val="0D200E92"/>
    <w:rsid w:val="0D350DE1"/>
    <w:rsid w:val="0D412A91"/>
    <w:rsid w:val="0D5D42FF"/>
    <w:rsid w:val="0DED346A"/>
    <w:rsid w:val="0E9E4764"/>
    <w:rsid w:val="0EBE6BB4"/>
    <w:rsid w:val="0ED31B8B"/>
    <w:rsid w:val="0EE41165"/>
    <w:rsid w:val="0F6E2388"/>
    <w:rsid w:val="10B14C22"/>
    <w:rsid w:val="10C77FA2"/>
    <w:rsid w:val="10D14AD3"/>
    <w:rsid w:val="11575DFA"/>
    <w:rsid w:val="118B17C0"/>
    <w:rsid w:val="11D64C17"/>
    <w:rsid w:val="11FA6155"/>
    <w:rsid w:val="12C248F7"/>
    <w:rsid w:val="13160D6D"/>
    <w:rsid w:val="13471DF0"/>
    <w:rsid w:val="140E4594"/>
    <w:rsid w:val="146124BC"/>
    <w:rsid w:val="14A15C19"/>
    <w:rsid w:val="1559452A"/>
    <w:rsid w:val="158833B9"/>
    <w:rsid w:val="159E63D7"/>
    <w:rsid w:val="15A80EAD"/>
    <w:rsid w:val="161F262E"/>
    <w:rsid w:val="16D301F3"/>
    <w:rsid w:val="17133A30"/>
    <w:rsid w:val="1719707D"/>
    <w:rsid w:val="17907396"/>
    <w:rsid w:val="17EC378B"/>
    <w:rsid w:val="17F51899"/>
    <w:rsid w:val="17FE3C37"/>
    <w:rsid w:val="1894085E"/>
    <w:rsid w:val="18EE2250"/>
    <w:rsid w:val="19102702"/>
    <w:rsid w:val="19D76D7C"/>
    <w:rsid w:val="1A6F12F2"/>
    <w:rsid w:val="1AE22093"/>
    <w:rsid w:val="1AF50D1F"/>
    <w:rsid w:val="1AFA4BF4"/>
    <w:rsid w:val="1B7927E1"/>
    <w:rsid w:val="1B7C5E2D"/>
    <w:rsid w:val="1BFC051D"/>
    <w:rsid w:val="1BFE5601"/>
    <w:rsid w:val="1C454A56"/>
    <w:rsid w:val="1C5823F6"/>
    <w:rsid w:val="1C6A3ED7"/>
    <w:rsid w:val="1D507571"/>
    <w:rsid w:val="1DC7031F"/>
    <w:rsid w:val="1E03430E"/>
    <w:rsid w:val="1E6E4153"/>
    <w:rsid w:val="1EA821B8"/>
    <w:rsid w:val="1EAD74D5"/>
    <w:rsid w:val="1EBE4455"/>
    <w:rsid w:val="1ECB3353"/>
    <w:rsid w:val="1EDA5344"/>
    <w:rsid w:val="1EFA59E6"/>
    <w:rsid w:val="1F3B6A3A"/>
    <w:rsid w:val="1F6A2B6C"/>
    <w:rsid w:val="1F742887"/>
    <w:rsid w:val="20482782"/>
    <w:rsid w:val="206D21E8"/>
    <w:rsid w:val="20B561E4"/>
    <w:rsid w:val="20DB1848"/>
    <w:rsid w:val="21085780"/>
    <w:rsid w:val="216B6728"/>
    <w:rsid w:val="21933ED0"/>
    <w:rsid w:val="21E374A2"/>
    <w:rsid w:val="22574EFE"/>
    <w:rsid w:val="22D24584"/>
    <w:rsid w:val="23496F3C"/>
    <w:rsid w:val="234E4979"/>
    <w:rsid w:val="235A7FBB"/>
    <w:rsid w:val="238732C6"/>
    <w:rsid w:val="246211B3"/>
    <w:rsid w:val="24990C1C"/>
    <w:rsid w:val="249B646D"/>
    <w:rsid w:val="24A7403F"/>
    <w:rsid w:val="24DB1379"/>
    <w:rsid w:val="24EC5DD1"/>
    <w:rsid w:val="25160213"/>
    <w:rsid w:val="253F4153"/>
    <w:rsid w:val="254A48EC"/>
    <w:rsid w:val="25E92311"/>
    <w:rsid w:val="26373975"/>
    <w:rsid w:val="263A30DF"/>
    <w:rsid w:val="264E7B1E"/>
    <w:rsid w:val="26710D70"/>
    <w:rsid w:val="268564DD"/>
    <w:rsid w:val="26AB1249"/>
    <w:rsid w:val="26DD00C8"/>
    <w:rsid w:val="26EA00EF"/>
    <w:rsid w:val="275611F6"/>
    <w:rsid w:val="27F05BD9"/>
    <w:rsid w:val="27F4159B"/>
    <w:rsid w:val="289742A6"/>
    <w:rsid w:val="28A32C4B"/>
    <w:rsid w:val="298447A5"/>
    <w:rsid w:val="2991078C"/>
    <w:rsid w:val="29B80978"/>
    <w:rsid w:val="29EC6874"/>
    <w:rsid w:val="2A5524E8"/>
    <w:rsid w:val="2A64640A"/>
    <w:rsid w:val="2A71043B"/>
    <w:rsid w:val="2A7D3AEC"/>
    <w:rsid w:val="2AAB5DE7"/>
    <w:rsid w:val="2AFF766B"/>
    <w:rsid w:val="2B2160A9"/>
    <w:rsid w:val="2BD80E5D"/>
    <w:rsid w:val="2BE31190"/>
    <w:rsid w:val="2C575628"/>
    <w:rsid w:val="2CBE6618"/>
    <w:rsid w:val="2CC15D95"/>
    <w:rsid w:val="2D9C2B7A"/>
    <w:rsid w:val="2DA4087E"/>
    <w:rsid w:val="2DAC4350"/>
    <w:rsid w:val="2DB96A6D"/>
    <w:rsid w:val="2E352597"/>
    <w:rsid w:val="2E47051C"/>
    <w:rsid w:val="2E642E7C"/>
    <w:rsid w:val="2E9C43C4"/>
    <w:rsid w:val="2EB771D0"/>
    <w:rsid w:val="2ECE479A"/>
    <w:rsid w:val="2F25260C"/>
    <w:rsid w:val="2F8F3D61"/>
    <w:rsid w:val="2FC2620D"/>
    <w:rsid w:val="3018383F"/>
    <w:rsid w:val="30354AD0"/>
    <w:rsid w:val="312D1C4B"/>
    <w:rsid w:val="32144BB9"/>
    <w:rsid w:val="32566F80"/>
    <w:rsid w:val="32C62839"/>
    <w:rsid w:val="32D57EA5"/>
    <w:rsid w:val="333E30DB"/>
    <w:rsid w:val="33574D5E"/>
    <w:rsid w:val="337413A2"/>
    <w:rsid w:val="33A53D1B"/>
    <w:rsid w:val="33AF6948"/>
    <w:rsid w:val="33B2468A"/>
    <w:rsid w:val="345D45F6"/>
    <w:rsid w:val="347E0C7B"/>
    <w:rsid w:val="348200E2"/>
    <w:rsid w:val="34F7633C"/>
    <w:rsid w:val="351476F8"/>
    <w:rsid w:val="351B34FD"/>
    <w:rsid w:val="35862DE3"/>
    <w:rsid w:val="3599165E"/>
    <w:rsid w:val="35BD1A47"/>
    <w:rsid w:val="363D5FAB"/>
    <w:rsid w:val="365E28A7"/>
    <w:rsid w:val="37040D59"/>
    <w:rsid w:val="373D070E"/>
    <w:rsid w:val="374D4675"/>
    <w:rsid w:val="378F520B"/>
    <w:rsid w:val="37DC1CD5"/>
    <w:rsid w:val="37F4701F"/>
    <w:rsid w:val="381B2C1B"/>
    <w:rsid w:val="38AA5930"/>
    <w:rsid w:val="38D86941"/>
    <w:rsid w:val="39AD29A9"/>
    <w:rsid w:val="3A84207C"/>
    <w:rsid w:val="3A9C3D5F"/>
    <w:rsid w:val="3A9C574C"/>
    <w:rsid w:val="3AAD7959"/>
    <w:rsid w:val="3B1F232A"/>
    <w:rsid w:val="3B573A98"/>
    <w:rsid w:val="3BA42B0A"/>
    <w:rsid w:val="3BEE61FC"/>
    <w:rsid w:val="3D526E32"/>
    <w:rsid w:val="3DB37034"/>
    <w:rsid w:val="3DEC6107"/>
    <w:rsid w:val="3E2B12C1"/>
    <w:rsid w:val="3E5201AC"/>
    <w:rsid w:val="3E6D7B2B"/>
    <w:rsid w:val="3E7964D0"/>
    <w:rsid w:val="3EE002FD"/>
    <w:rsid w:val="3EE11CA2"/>
    <w:rsid w:val="3FC90D91"/>
    <w:rsid w:val="400242A3"/>
    <w:rsid w:val="40F40A87"/>
    <w:rsid w:val="41151DB4"/>
    <w:rsid w:val="41CA7043"/>
    <w:rsid w:val="42AF4C5E"/>
    <w:rsid w:val="4379477C"/>
    <w:rsid w:val="437C611B"/>
    <w:rsid w:val="44167D0E"/>
    <w:rsid w:val="442D5104"/>
    <w:rsid w:val="44352E99"/>
    <w:rsid w:val="457354A1"/>
    <w:rsid w:val="457C7883"/>
    <w:rsid w:val="460F14C8"/>
    <w:rsid w:val="463A18EA"/>
    <w:rsid w:val="46881E0E"/>
    <w:rsid w:val="46F74436"/>
    <w:rsid w:val="46F91F10"/>
    <w:rsid w:val="473E2065"/>
    <w:rsid w:val="474F4272"/>
    <w:rsid w:val="477912EF"/>
    <w:rsid w:val="477A330D"/>
    <w:rsid w:val="478B1022"/>
    <w:rsid w:val="47CA1B4A"/>
    <w:rsid w:val="482A2BCD"/>
    <w:rsid w:val="487250BE"/>
    <w:rsid w:val="48BD520B"/>
    <w:rsid w:val="48F36E7F"/>
    <w:rsid w:val="48FB5D34"/>
    <w:rsid w:val="49701512"/>
    <w:rsid w:val="4A78650B"/>
    <w:rsid w:val="4AD54A8E"/>
    <w:rsid w:val="4B0B04B0"/>
    <w:rsid w:val="4BF61160"/>
    <w:rsid w:val="4C191F1C"/>
    <w:rsid w:val="4C237A7B"/>
    <w:rsid w:val="4C2D36B6"/>
    <w:rsid w:val="4C3A530E"/>
    <w:rsid w:val="4CBD7ED0"/>
    <w:rsid w:val="4D75724F"/>
    <w:rsid w:val="4DD03C33"/>
    <w:rsid w:val="4DDE00FE"/>
    <w:rsid w:val="4E2A376D"/>
    <w:rsid w:val="4E564138"/>
    <w:rsid w:val="4E6D4BFE"/>
    <w:rsid w:val="4EB14C0F"/>
    <w:rsid w:val="4EC12C58"/>
    <w:rsid w:val="4F813436"/>
    <w:rsid w:val="4F9401A7"/>
    <w:rsid w:val="4FB77541"/>
    <w:rsid w:val="50322079"/>
    <w:rsid w:val="505E72D4"/>
    <w:rsid w:val="507534D0"/>
    <w:rsid w:val="507C14E9"/>
    <w:rsid w:val="520D3BC4"/>
    <w:rsid w:val="52173BDE"/>
    <w:rsid w:val="525E180D"/>
    <w:rsid w:val="527B6B0A"/>
    <w:rsid w:val="52950FA7"/>
    <w:rsid w:val="52B0193D"/>
    <w:rsid w:val="52BF03A6"/>
    <w:rsid w:val="538330B6"/>
    <w:rsid w:val="53962AE8"/>
    <w:rsid w:val="539B439B"/>
    <w:rsid w:val="53EC109A"/>
    <w:rsid w:val="53F1045F"/>
    <w:rsid w:val="540006A2"/>
    <w:rsid w:val="54507A5C"/>
    <w:rsid w:val="54BF319C"/>
    <w:rsid w:val="55012924"/>
    <w:rsid w:val="56BD287A"/>
    <w:rsid w:val="57192580"/>
    <w:rsid w:val="58657C62"/>
    <w:rsid w:val="586E02D0"/>
    <w:rsid w:val="5875340D"/>
    <w:rsid w:val="58EF1411"/>
    <w:rsid w:val="591B25EF"/>
    <w:rsid w:val="5943350B"/>
    <w:rsid w:val="59700A5F"/>
    <w:rsid w:val="59A1230A"/>
    <w:rsid w:val="5A1A3D88"/>
    <w:rsid w:val="5A581238"/>
    <w:rsid w:val="5A6641E6"/>
    <w:rsid w:val="5A696FA1"/>
    <w:rsid w:val="5A7871E4"/>
    <w:rsid w:val="5AE35625"/>
    <w:rsid w:val="5B5B72AF"/>
    <w:rsid w:val="5B835E40"/>
    <w:rsid w:val="5C654D27"/>
    <w:rsid w:val="5C6C6C7F"/>
    <w:rsid w:val="5C7659A5"/>
    <w:rsid w:val="5C7A5495"/>
    <w:rsid w:val="5C9A5B38"/>
    <w:rsid w:val="5D9A56C3"/>
    <w:rsid w:val="5DB96BD3"/>
    <w:rsid w:val="5DF644AB"/>
    <w:rsid w:val="5E606AC4"/>
    <w:rsid w:val="5E8963CB"/>
    <w:rsid w:val="5EEE698F"/>
    <w:rsid w:val="5EF332DD"/>
    <w:rsid w:val="5F1020E1"/>
    <w:rsid w:val="5F8A1E93"/>
    <w:rsid w:val="5F9F5213"/>
    <w:rsid w:val="604858AA"/>
    <w:rsid w:val="606F72DB"/>
    <w:rsid w:val="60AE53F2"/>
    <w:rsid w:val="60E27AAD"/>
    <w:rsid w:val="61277C32"/>
    <w:rsid w:val="616404C2"/>
    <w:rsid w:val="617821BF"/>
    <w:rsid w:val="61BA028F"/>
    <w:rsid w:val="61CD5CC5"/>
    <w:rsid w:val="62173786"/>
    <w:rsid w:val="622C2E8F"/>
    <w:rsid w:val="62983CC2"/>
    <w:rsid w:val="62C64E38"/>
    <w:rsid w:val="62F97210"/>
    <w:rsid w:val="631A1780"/>
    <w:rsid w:val="636F4F70"/>
    <w:rsid w:val="63D54FB6"/>
    <w:rsid w:val="63F80A35"/>
    <w:rsid w:val="63FF7B61"/>
    <w:rsid w:val="644017A3"/>
    <w:rsid w:val="6483706A"/>
    <w:rsid w:val="650C334B"/>
    <w:rsid w:val="65AD6236"/>
    <w:rsid w:val="65E139A2"/>
    <w:rsid w:val="66173D55"/>
    <w:rsid w:val="663743F7"/>
    <w:rsid w:val="66391F1D"/>
    <w:rsid w:val="66602608"/>
    <w:rsid w:val="66680690"/>
    <w:rsid w:val="66AF21DF"/>
    <w:rsid w:val="673E3563"/>
    <w:rsid w:val="6793565D"/>
    <w:rsid w:val="67E030E6"/>
    <w:rsid w:val="682555E2"/>
    <w:rsid w:val="68AF296B"/>
    <w:rsid w:val="68D128E1"/>
    <w:rsid w:val="68EA5751"/>
    <w:rsid w:val="6949691B"/>
    <w:rsid w:val="695B664F"/>
    <w:rsid w:val="699A3928"/>
    <w:rsid w:val="69D7211C"/>
    <w:rsid w:val="6A1B7B8C"/>
    <w:rsid w:val="6A2C3B47"/>
    <w:rsid w:val="6A9C2E19"/>
    <w:rsid w:val="6AA23E4A"/>
    <w:rsid w:val="6AAF0A00"/>
    <w:rsid w:val="6B4A1898"/>
    <w:rsid w:val="6B6F63E1"/>
    <w:rsid w:val="6C9C3206"/>
    <w:rsid w:val="6D592EA5"/>
    <w:rsid w:val="6D6E5F9A"/>
    <w:rsid w:val="6D745D1B"/>
    <w:rsid w:val="6D7B4623"/>
    <w:rsid w:val="6DEA61F3"/>
    <w:rsid w:val="6E563927"/>
    <w:rsid w:val="6E9D3265"/>
    <w:rsid w:val="6EF56BFD"/>
    <w:rsid w:val="6F1C23DC"/>
    <w:rsid w:val="6F4B2CC1"/>
    <w:rsid w:val="6FC8499E"/>
    <w:rsid w:val="70916390"/>
    <w:rsid w:val="709D4353"/>
    <w:rsid w:val="70A22DB5"/>
    <w:rsid w:val="70D263F9"/>
    <w:rsid w:val="71B132B0"/>
    <w:rsid w:val="720E4873"/>
    <w:rsid w:val="72135D18"/>
    <w:rsid w:val="73134EC7"/>
    <w:rsid w:val="73CB617F"/>
    <w:rsid w:val="74096F68"/>
    <w:rsid w:val="74AE2BAB"/>
    <w:rsid w:val="750D6EB1"/>
    <w:rsid w:val="755074D5"/>
    <w:rsid w:val="75554187"/>
    <w:rsid w:val="75662603"/>
    <w:rsid w:val="75866EBF"/>
    <w:rsid w:val="75AB479D"/>
    <w:rsid w:val="75FA2D4B"/>
    <w:rsid w:val="760065B4"/>
    <w:rsid w:val="76166A40"/>
    <w:rsid w:val="764B35A7"/>
    <w:rsid w:val="768F4812"/>
    <w:rsid w:val="76C9753D"/>
    <w:rsid w:val="76DB48D8"/>
    <w:rsid w:val="77543C13"/>
    <w:rsid w:val="77677682"/>
    <w:rsid w:val="77B67D6C"/>
    <w:rsid w:val="77EF6C01"/>
    <w:rsid w:val="78A82F32"/>
    <w:rsid w:val="79167E9C"/>
    <w:rsid w:val="79C1605A"/>
    <w:rsid w:val="7AD718AD"/>
    <w:rsid w:val="7B492674"/>
    <w:rsid w:val="7B7D2454"/>
    <w:rsid w:val="7B9F0178"/>
    <w:rsid w:val="7BD723C1"/>
    <w:rsid w:val="7BD9715F"/>
    <w:rsid w:val="7BFF132C"/>
    <w:rsid w:val="7C0B3F04"/>
    <w:rsid w:val="7CEC7892"/>
    <w:rsid w:val="7CF92E67"/>
    <w:rsid w:val="7D3B4375"/>
    <w:rsid w:val="7D3B6123"/>
    <w:rsid w:val="7D4635F6"/>
    <w:rsid w:val="7DA939D5"/>
    <w:rsid w:val="7E0272C8"/>
    <w:rsid w:val="7E060918"/>
    <w:rsid w:val="7E7044F2"/>
    <w:rsid w:val="7EAC6D02"/>
    <w:rsid w:val="7F855D7C"/>
    <w:rsid w:val="7FA95FBA"/>
    <w:rsid w:val="7FC00B62"/>
    <w:rsid w:val="7FCE7ECF"/>
    <w:rsid w:val="F7ECB3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45"/>
    <w:qFormat/>
    <w:uiPriority w:val="0"/>
    <w:pPr>
      <w:keepNext/>
      <w:keepLines/>
      <w:spacing w:before="340" w:after="330" w:line="576" w:lineRule="auto"/>
      <w:outlineLvl w:val="0"/>
    </w:pPr>
    <w:rPr>
      <w:b/>
      <w:bCs/>
      <w:kern w:val="44"/>
      <w:sz w:val="44"/>
      <w:szCs w:val="44"/>
      <w:lang w:val="zh-CN" w:eastAsia="zh-CN"/>
    </w:rPr>
  </w:style>
  <w:style w:type="paragraph" w:styleId="5">
    <w:name w:val="heading 2"/>
    <w:basedOn w:val="1"/>
    <w:next w:val="1"/>
    <w:link w:val="46"/>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6">
    <w:name w:val="heading 3"/>
    <w:basedOn w:val="1"/>
    <w:next w:val="1"/>
    <w:link w:val="47"/>
    <w:qFormat/>
    <w:uiPriority w:val="0"/>
    <w:pPr>
      <w:keepNext/>
      <w:keepLines/>
      <w:spacing w:before="260" w:after="260" w:line="416" w:lineRule="auto"/>
      <w:outlineLvl w:val="2"/>
    </w:pPr>
    <w:rPr>
      <w:b/>
      <w:bCs/>
      <w:sz w:val="32"/>
      <w:szCs w:val="32"/>
      <w:lang w:val="zh-CN" w:eastAsia="zh-CN"/>
    </w:rPr>
  </w:style>
  <w:style w:type="paragraph" w:styleId="7">
    <w:name w:val="heading 4"/>
    <w:basedOn w:val="1"/>
    <w:next w:val="1"/>
    <w:link w:val="49"/>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3"/>
    <w:qFormat/>
    <w:uiPriority w:val="0"/>
    <w:rPr>
      <w:rFonts w:ascii="仿宋_GB2312" w:eastAsia="仿宋_GB2312"/>
      <w:sz w:val="32"/>
      <w:lang w:val="zh-CN" w:eastAsia="zh-CN"/>
    </w:rPr>
  </w:style>
  <w:style w:type="paragraph" w:styleId="3">
    <w:name w:val="index 4"/>
    <w:basedOn w:val="1"/>
    <w:next w:val="1"/>
    <w:qFormat/>
    <w:uiPriority w:val="0"/>
    <w:pPr>
      <w:ind w:left="600" w:leftChars="600"/>
    </w:pPr>
  </w:style>
  <w:style w:type="paragraph" w:styleId="8">
    <w:name w:val="toc 7"/>
    <w:basedOn w:val="1"/>
    <w:next w:val="1"/>
    <w:qFormat/>
    <w:uiPriority w:val="0"/>
    <w:pPr>
      <w:ind w:left="1440"/>
      <w:jc w:val="left"/>
    </w:pPr>
    <w:rPr>
      <w:sz w:val="18"/>
      <w:szCs w:val="18"/>
    </w:rPr>
  </w:style>
  <w:style w:type="paragraph" w:styleId="9">
    <w:name w:val="caption"/>
    <w:basedOn w:val="1"/>
    <w:next w:val="1"/>
    <w:qFormat/>
    <w:uiPriority w:val="0"/>
    <w:pPr>
      <w:spacing w:before="152" w:after="160"/>
    </w:pPr>
    <w:rPr>
      <w:rFonts w:ascii="Arial" w:hAnsi="Arial" w:eastAsia="黑体" w:cs="Arial"/>
      <w:sz w:val="20"/>
    </w:rPr>
  </w:style>
  <w:style w:type="paragraph" w:styleId="10">
    <w:name w:val="Document Map"/>
    <w:basedOn w:val="1"/>
    <w:link w:val="64"/>
    <w:qFormat/>
    <w:uiPriority w:val="0"/>
    <w:pPr>
      <w:shd w:val="clear" w:color="auto" w:fill="000080"/>
    </w:pPr>
    <w:rPr>
      <w:rFonts w:asciiTheme="minorHAnsi" w:hAnsiTheme="minorHAnsi" w:eastAsiaTheme="minorEastAsia" w:cstheme="minorBidi"/>
      <w:sz w:val="24"/>
      <w:szCs w:val="24"/>
    </w:rPr>
  </w:style>
  <w:style w:type="paragraph" w:styleId="11">
    <w:name w:val="toa heading"/>
    <w:basedOn w:val="1"/>
    <w:next w:val="1"/>
    <w:qFormat/>
    <w:uiPriority w:val="0"/>
    <w:pPr>
      <w:spacing w:before="120"/>
    </w:pPr>
    <w:rPr>
      <w:rFonts w:ascii="Arial" w:hAnsi="Arial" w:cs="Arial"/>
      <w:sz w:val="24"/>
      <w:szCs w:val="24"/>
    </w:rPr>
  </w:style>
  <w:style w:type="paragraph" w:styleId="12">
    <w:name w:val="annotation text"/>
    <w:basedOn w:val="1"/>
    <w:link w:val="52"/>
    <w:unhideWhenUsed/>
    <w:qFormat/>
    <w:uiPriority w:val="0"/>
    <w:pPr>
      <w:jc w:val="left"/>
    </w:pPr>
  </w:style>
  <w:style w:type="paragraph" w:styleId="13">
    <w:name w:val="Body Text Indent"/>
    <w:basedOn w:val="1"/>
    <w:next w:val="14"/>
    <w:link w:val="95"/>
    <w:qFormat/>
    <w:uiPriority w:val="0"/>
    <w:pPr>
      <w:spacing w:after="120"/>
      <w:ind w:left="420" w:leftChars="200"/>
    </w:pPr>
    <w:rPr>
      <w:lang w:val="zh-CN" w:eastAsia="zh-CN"/>
    </w:rPr>
  </w:style>
  <w:style w:type="paragraph" w:styleId="14">
    <w:name w:val="Body Text 2"/>
    <w:basedOn w:val="1"/>
    <w:qFormat/>
    <w:uiPriority w:val="0"/>
    <w:pPr>
      <w:tabs>
        <w:tab w:val="left" w:pos="0"/>
        <w:tab w:val="left" w:pos="720"/>
        <w:tab w:val="left" w:pos="1440"/>
        <w:tab w:val="left" w:pos="2160"/>
        <w:tab w:val="left" w:pos="2880"/>
        <w:tab w:val="left" w:pos="3600"/>
        <w:tab w:val="left" w:pos="4320"/>
      </w:tabs>
      <w:autoSpaceDE w:val="0"/>
      <w:autoSpaceDN w:val="0"/>
      <w:adjustRightInd w:val="0"/>
      <w:spacing w:line="240" w:lineRule="atLeast"/>
    </w:pPr>
    <w:rPr>
      <w:sz w:val="24"/>
    </w:rPr>
  </w:style>
  <w:style w:type="paragraph" w:styleId="15">
    <w:name w:val="toc 5"/>
    <w:basedOn w:val="1"/>
    <w:next w:val="1"/>
    <w:qFormat/>
    <w:uiPriority w:val="0"/>
    <w:pPr>
      <w:ind w:left="960"/>
      <w:jc w:val="left"/>
    </w:pPr>
    <w:rPr>
      <w:sz w:val="18"/>
      <w:szCs w:val="18"/>
    </w:rPr>
  </w:style>
  <w:style w:type="paragraph" w:styleId="16">
    <w:name w:val="toc 3"/>
    <w:basedOn w:val="1"/>
    <w:next w:val="1"/>
    <w:qFormat/>
    <w:uiPriority w:val="0"/>
    <w:pPr>
      <w:ind w:left="480"/>
      <w:jc w:val="left"/>
    </w:pPr>
    <w:rPr>
      <w:i/>
      <w:iCs/>
      <w:sz w:val="20"/>
    </w:rPr>
  </w:style>
  <w:style w:type="paragraph" w:styleId="17">
    <w:name w:val="Plain Text"/>
    <w:basedOn w:val="1"/>
    <w:link w:val="66"/>
    <w:qFormat/>
    <w:uiPriority w:val="0"/>
    <w:rPr>
      <w:rFonts w:ascii="宋体" w:hAnsi="Courier New" w:cstheme="minorBidi"/>
      <w:szCs w:val="22"/>
    </w:rPr>
  </w:style>
  <w:style w:type="paragraph" w:styleId="18">
    <w:name w:val="toc 8"/>
    <w:basedOn w:val="1"/>
    <w:next w:val="1"/>
    <w:qFormat/>
    <w:uiPriority w:val="0"/>
    <w:pPr>
      <w:ind w:left="1680"/>
      <w:jc w:val="left"/>
    </w:pPr>
    <w:rPr>
      <w:sz w:val="18"/>
      <w:szCs w:val="18"/>
    </w:rPr>
  </w:style>
  <w:style w:type="paragraph" w:styleId="19">
    <w:name w:val="Date"/>
    <w:basedOn w:val="1"/>
    <w:next w:val="1"/>
    <w:link w:val="71"/>
    <w:qFormat/>
    <w:uiPriority w:val="0"/>
    <w:pPr>
      <w:ind w:left="100" w:leftChars="2500"/>
    </w:pPr>
    <w:rPr>
      <w:rFonts w:asciiTheme="minorHAnsi" w:hAnsiTheme="minorHAnsi" w:eastAsiaTheme="minorEastAsia" w:cstheme="minorBidi"/>
      <w:sz w:val="24"/>
      <w:szCs w:val="24"/>
    </w:rPr>
  </w:style>
  <w:style w:type="paragraph" w:styleId="20">
    <w:name w:val="Body Text Indent 2"/>
    <w:basedOn w:val="1"/>
    <w:link w:val="57"/>
    <w:qFormat/>
    <w:uiPriority w:val="0"/>
    <w:pPr>
      <w:spacing w:after="120" w:line="480" w:lineRule="auto"/>
      <w:ind w:left="420" w:leftChars="200"/>
    </w:pPr>
    <w:rPr>
      <w:rFonts w:asciiTheme="minorHAnsi" w:hAnsiTheme="minorHAnsi" w:eastAsiaTheme="minorEastAsia" w:cstheme="minorBidi"/>
      <w:szCs w:val="22"/>
    </w:rPr>
  </w:style>
  <w:style w:type="paragraph" w:styleId="21">
    <w:name w:val="Balloon Text"/>
    <w:basedOn w:val="1"/>
    <w:link w:val="74"/>
    <w:qFormat/>
    <w:uiPriority w:val="0"/>
    <w:rPr>
      <w:rFonts w:asciiTheme="minorHAnsi" w:hAnsiTheme="minorHAnsi" w:eastAsiaTheme="minorEastAsia" w:cstheme="minorBidi"/>
      <w:sz w:val="18"/>
      <w:szCs w:val="18"/>
    </w:rPr>
  </w:style>
  <w:style w:type="paragraph" w:styleId="22">
    <w:name w:val="footer"/>
    <w:basedOn w:val="1"/>
    <w:link w:val="60"/>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3">
    <w:name w:val="header"/>
    <w:basedOn w:val="1"/>
    <w:link w:val="68"/>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4">
    <w:name w:val="toc 1"/>
    <w:basedOn w:val="1"/>
    <w:next w:val="1"/>
    <w:qFormat/>
    <w:uiPriority w:val="0"/>
    <w:pPr>
      <w:spacing w:line="360" w:lineRule="auto"/>
      <w:jc w:val="left"/>
    </w:pPr>
    <w:rPr>
      <w:rFonts w:ascii="宋体" w:hAnsi="宋体"/>
      <w:b/>
      <w:caps/>
      <w:color w:val="FF0000"/>
      <w:szCs w:val="21"/>
    </w:rPr>
  </w:style>
  <w:style w:type="paragraph" w:styleId="25">
    <w:name w:val="toc 4"/>
    <w:basedOn w:val="1"/>
    <w:next w:val="1"/>
    <w:qFormat/>
    <w:uiPriority w:val="0"/>
    <w:pPr>
      <w:ind w:left="720"/>
      <w:jc w:val="left"/>
    </w:pPr>
    <w:rPr>
      <w:sz w:val="18"/>
      <w:szCs w:val="18"/>
    </w:rPr>
  </w:style>
  <w:style w:type="paragraph" w:styleId="26">
    <w:name w:val="List"/>
    <w:basedOn w:val="1"/>
    <w:qFormat/>
    <w:uiPriority w:val="0"/>
    <w:pPr>
      <w:ind w:left="420" w:hanging="420"/>
    </w:pPr>
  </w:style>
  <w:style w:type="paragraph" w:styleId="27">
    <w:name w:val="toc 6"/>
    <w:basedOn w:val="1"/>
    <w:next w:val="1"/>
    <w:qFormat/>
    <w:uiPriority w:val="0"/>
    <w:pPr>
      <w:ind w:left="1200"/>
      <w:jc w:val="left"/>
    </w:pPr>
    <w:rPr>
      <w:sz w:val="18"/>
      <w:szCs w:val="18"/>
    </w:rPr>
  </w:style>
  <w:style w:type="paragraph" w:styleId="28">
    <w:name w:val="Body Text Indent 3"/>
    <w:basedOn w:val="1"/>
    <w:link w:val="55"/>
    <w:qFormat/>
    <w:uiPriority w:val="0"/>
    <w:pPr>
      <w:spacing w:after="120"/>
      <w:ind w:left="420" w:leftChars="200"/>
    </w:pPr>
    <w:rPr>
      <w:rFonts w:asciiTheme="minorHAnsi" w:hAnsiTheme="minorHAnsi" w:eastAsiaTheme="minorEastAsia" w:cstheme="minorBidi"/>
      <w:sz w:val="16"/>
      <w:szCs w:val="16"/>
    </w:rPr>
  </w:style>
  <w:style w:type="paragraph" w:styleId="29">
    <w:name w:val="toc 2"/>
    <w:basedOn w:val="1"/>
    <w:next w:val="1"/>
    <w:unhideWhenUsed/>
    <w:qFormat/>
    <w:uiPriority w:val="0"/>
    <w:pPr>
      <w:ind w:left="420" w:leftChars="200"/>
    </w:pPr>
  </w:style>
  <w:style w:type="paragraph" w:styleId="30">
    <w:name w:val="toc 9"/>
    <w:basedOn w:val="1"/>
    <w:next w:val="1"/>
    <w:qFormat/>
    <w:uiPriority w:val="0"/>
    <w:pPr>
      <w:ind w:left="1920"/>
      <w:jc w:val="left"/>
    </w:pPr>
    <w:rPr>
      <w:sz w:val="18"/>
      <w:szCs w:val="18"/>
    </w:rPr>
  </w:style>
  <w:style w:type="paragraph" w:styleId="31">
    <w:name w:val="HTML Preformatted"/>
    <w:basedOn w:val="1"/>
    <w:next w:val="32"/>
    <w:semiHidden/>
    <w:qFormat/>
    <w:uiPriority w:val="0"/>
    <w:pPr>
      <w:spacing w:after="200" w:line="276" w:lineRule="auto"/>
      <w:jc w:val="left"/>
    </w:pPr>
    <w:rPr>
      <w:rFonts w:ascii="Courier New" w:hAnsi="Courier New"/>
      <w:kern w:val="0"/>
      <w:sz w:val="20"/>
      <w:szCs w:val="20"/>
    </w:rPr>
  </w:style>
  <w:style w:type="paragraph" w:styleId="32">
    <w:name w:val="Normal (Web)"/>
    <w:basedOn w:val="1"/>
    <w:next w:val="13"/>
    <w:qFormat/>
    <w:uiPriority w:val="0"/>
    <w:pPr>
      <w:spacing w:before="100" w:beforeAutospacing="1" w:after="100" w:afterAutospacing="1"/>
      <w:jc w:val="left"/>
    </w:pPr>
    <w:rPr>
      <w:kern w:val="0"/>
      <w:sz w:val="24"/>
    </w:rPr>
  </w:style>
  <w:style w:type="paragraph" w:styleId="33">
    <w:name w:val="index 1"/>
    <w:basedOn w:val="1"/>
    <w:next w:val="1"/>
    <w:qFormat/>
    <w:uiPriority w:val="0"/>
    <w:rPr>
      <w:sz w:val="24"/>
      <w:szCs w:val="24"/>
    </w:rPr>
  </w:style>
  <w:style w:type="paragraph" w:styleId="34">
    <w:name w:val="Title"/>
    <w:basedOn w:val="1"/>
    <w:next w:val="1"/>
    <w:link w:val="76"/>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5">
    <w:name w:val="annotation subject"/>
    <w:basedOn w:val="12"/>
    <w:next w:val="12"/>
    <w:link w:val="51"/>
    <w:qFormat/>
    <w:uiPriority w:val="0"/>
    <w:rPr>
      <w:rFonts w:asciiTheme="minorHAnsi" w:hAnsiTheme="minorHAnsi" w:eastAsiaTheme="minorEastAsia" w:cstheme="minorBidi"/>
      <w:b/>
      <w:bCs/>
      <w:szCs w:val="22"/>
    </w:rPr>
  </w:style>
  <w:style w:type="paragraph" w:styleId="36">
    <w:name w:val="Body Text First Indent 2"/>
    <w:basedOn w:val="13"/>
    <w:next w:val="29"/>
    <w:qFormat/>
    <w:uiPriority w:val="0"/>
    <w:pPr>
      <w:spacing w:after="120" w:line="276" w:lineRule="auto"/>
      <w:ind w:left="200" w:leftChars="200" w:firstLine="200" w:firstLineChars="200"/>
      <w:jc w:val="left"/>
    </w:pPr>
  </w:style>
  <w:style w:type="table" w:styleId="38">
    <w:name w:val="Table Grid"/>
    <w:basedOn w:val="37"/>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99"/>
    <w:rPr>
      <w:color w:val="800080"/>
      <w:u w:val="single"/>
    </w:rPr>
  </w:style>
  <w:style w:type="character" w:styleId="43">
    <w:name w:val="Hyperlink"/>
    <w:basedOn w:val="39"/>
    <w:qFormat/>
    <w:uiPriority w:val="0"/>
    <w:rPr>
      <w:rFonts w:cs="Times New Roman"/>
      <w:color w:val="1F4F88"/>
      <w:u w:val="none"/>
    </w:rPr>
  </w:style>
  <w:style w:type="character" w:styleId="44">
    <w:name w:val="annotation reference"/>
    <w:qFormat/>
    <w:uiPriority w:val="0"/>
    <w:rPr>
      <w:sz w:val="21"/>
      <w:szCs w:val="21"/>
    </w:rPr>
  </w:style>
  <w:style w:type="character" w:customStyle="1" w:styleId="45">
    <w:name w:val="标题 1 字符"/>
    <w:basedOn w:val="39"/>
    <w:link w:val="4"/>
    <w:qFormat/>
    <w:uiPriority w:val="0"/>
    <w:rPr>
      <w:rFonts w:ascii="Times New Roman" w:hAnsi="Times New Roman" w:eastAsia="宋体" w:cs="Times New Roman"/>
      <w:b/>
      <w:bCs/>
      <w:kern w:val="44"/>
      <w:sz w:val="44"/>
      <w:szCs w:val="44"/>
      <w:lang w:val="zh-CN" w:eastAsia="zh-CN"/>
    </w:rPr>
  </w:style>
  <w:style w:type="character" w:customStyle="1" w:styleId="46">
    <w:name w:val="标题 2 字符"/>
    <w:basedOn w:val="39"/>
    <w:link w:val="5"/>
    <w:qFormat/>
    <w:uiPriority w:val="0"/>
    <w:rPr>
      <w:rFonts w:ascii="Arial" w:hAnsi="Arial" w:eastAsia="黑体" w:cs="Times New Roman"/>
      <w:b/>
      <w:bCs/>
      <w:sz w:val="32"/>
      <w:szCs w:val="32"/>
      <w:lang w:val="zh-CN" w:eastAsia="zh-CN"/>
    </w:rPr>
  </w:style>
  <w:style w:type="character" w:customStyle="1" w:styleId="47">
    <w:name w:val="标题 3 字符"/>
    <w:basedOn w:val="39"/>
    <w:link w:val="6"/>
    <w:qFormat/>
    <w:uiPriority w:val="0"/>
    <w:rPr>
      <w:rFonts w:ascii="Times New Roman" w:hAnsi="Times New Roman" w:eastAsia="宋体" w:cs="Times New Roman"/>
      <w:b/>
      <w:bCs/>
      <w:sz w:val="32"/>
      <w:szCs w:val="32"/>
      <w:lang w:val="zh-CN" w:eastAsia="zh-CN"/>
    </w:rPr>
  </w:style>
  <w:style w:type="character" w:customStyle="1" w:styleId="48">
    <w:name w:val="标题 4 字符"/>
    <w:basedOn w:val="39"/>
    <w:semiHidden/>
    <w:qFormat/>
    <w:uiPriority w:val="9"/>
    <w:rPr>
      <w:rFonts w:asciiTheme="majorHAnsi" w:hAnsiTheme="majorHAnsi" w:eastAsiaTheme="majorEastAsia" w:cstheme="majorBidi"/>
      <w:b/>
      <w:bCs/>
      <w:sz w:val="28"/>
      <w:szCs w:val="28"/>
    </w:rPr>
  </w:style>
  <w:style w:type="character" w:customStyle="1" w:styleId="49">
    <w:name w:val="标题 4 字符1"/>
    <w:link w:val="7"/>
    <w:semiHidden/>
    <w:qFormat/>
    <w:uiPriority w:val="0"/>
    <w:rPr>
      <w:rFonts w:ascii="Cambria" w:hAnsi="Cambria" w:eastAsia="宋体" w:cs="Times New Roman"/>
      <w:b/>
      <w:bCs/>
      <w:sz w:val="28"/>
      <w:szCs w:val="28"/>
      <w:lang w:val="zh-CN" w:eastAsia="zh-CN"/>
    </w:rPr>
  </w:style>
  <w:style w:type="character" w:customStyle="1" w:styleId="50">
    <w:name w:val="纯文本 Char"/>
    <w:qFormat/>
    <w:uiPriority w:val="0"/>
    <w:rPr>
      <w:rFonts w:ascii="宋体" w:hAnsi="Courier New" w:eastAsia="宋体"/>
      <w:kern w:val="2"/>
      <w:sz w:val="21"/>
      <w:lang w:val="en-US" w:eastAsia="zh-CN" w:bidi="ar-SA"/>
    </w:rPr>
  </w:style>
  <w:style w:type="character" w:customStyle="1" w:styleId="51">
    <w:name w:val="批注主题 字符"/>
    <w:link w:val="35"/>
    <w:qFormat/>
    <w:uiPriority w:val="0"/>
    <w:rPr>
      <w:b/>
      <w:bCs/>
    </w:rPr>
  </w:style>
  <w:style w:type="character" w:customStyle="1" w:styleId="52">
    <w:name w:val="批注文字 字符"/>
    <w:basedOn w:val="39"/>
    <w:link w:val="12"/>
    <w:qFormat/>
    <w:uiPriority w:val="0"/>
    <w:rPr>
      <w:rFonts w:ascii="Times New Roman" w:hAnsi="Times New Roman" w:eastAsia="宋体" w:cs="Times New Roman"/>
      <w:szCs w:val="20"/>
    </w:rPr>
  </w:style>
  <w:style w:type="character" w:customStyle="1" w:styleId="53">
    <w:name w:val="批注主题 字符1"/>
    <w:basedOn w:val="52"/>
    <w:semiHidden/>
    <w:qFormat/>
    <w:uiPriority w:val="99"/>
    <w:rPr>
      <w:rFonts w:ascii="Times New Roman" w:hAnsi="Times New Roman" w:eastAsia="宋体" w:cs="Times New Roman"/>
      <w:b/>
      <w:bCs/>
      <w:szCs w:val="20"/>
    </w:rPr>
  </w:style>
  <w:style w:type="character" w:customStyle="1" w:styleId="54">
    <w:name w:val="批注文字 字符1"/>
    <w:qFormat/>
    <w:uiPriority w:val="0"/>
    <w:rPr>
      <w:kern w:val="2"/>
      <w:sz w:val="21"/>
    </w:rPr>
  </w:style>
  <w:style w:type="character" w:customStyle="1" w:styleId="55">
    <w:name w:val="正文文本缩进 3 字符"/>
    <w:link w:val="28"/>
    <w:qFormat/>
    <w:uiPriority w:val="0"/>
    <w:rPr>
      <w:sz w:val="16"/>
      <w:szCs w:val="16"/>
    </w:rPr>
  </w:style>
  <w:style w:type="character" w:customStyle="1" w:styleId="56">
    <w:name w:val="正文文本缩进 3 字符1"/>
    <w:basedOn w:val="39"/>
    <w:semiHidden/>
    <w:qFormat/>
    <w:uiPriority w:val="99"/>
    <w:rPr>
      <w:rFonts w:ascii="Times New Roman" w:hAnsi="Times New Roman" w:eastAsia="宋体" w:cs="Times New Roman"/>
      <w:sz w:val="16"/>
      <w:szCs w:val="16"/>
    </w:rPr>
  </w:style>
  <w:style w:type="character" w:customStyle="1" w:styleId="57">
    <w:name w:val="正文文本缩进 2 字符"/>
    <w:link w:val="20"/>
    <w:qFormat/>
    <w:uiPriority w:val="0"/>
  </w:style>
  <w:style w:type="character" w:customStyle="1" w:styleId="58">
    <w:name w:val="正文文本缩进 2 字符1"/>
    <w:basedOn w:val="39"/>
    <w:semiHidden/>
    <w:qFormat/>
    <w:uiPriority w:val="99"/>
    <w:rPr>
      <w:rFonts w:ascii="Times New Roman" w:hAnsi="Times New Roman" w:eastAsia="宋体" w:cs="Times New Roman"/>
      <w:szCs w:val="20"/>
    </w:rPr>
  </w:style>
  <w:style w:type="character" w:customStyle="1" w:styleId="59">
    <w:name w:val="Char Char3"/>
    <w:qFormat/>
    <w:uiPriority w:val="0"/>
    <w:rPr>
      <w:rFonts w:ascii="宋体" w:hAnsi="Courier New" w:eastAsia="宋体"/>
      <w:kern w:val="2"/>
      <w:sz w:val="21"/>
      <w:lang w:val="en-US" w:eastAsia="zh-CN" w:bidi="ar-SA"/>
    </w:rPr>
  </w:style>
  <w:style w:type="character" w:customStyle="1" w:styleId="60">
    <w:name w:val="页脚 字符"/>
    <w:link w:val="22"/>
    <w:qFormat/>
    <w:uiPriority w:val="0"/>
    <w:rPr>
      <w:sz w:val="18"/>
      <w:szCs w:val="18"/>
    </w:rPr>
  </w:style>
  <w:style w:type="character" w:customStyle="1" w:styleId="61">
    <w:name w:val="页脚 字符1"/>
    <w:basedOn w:val="39"/>
    <w:semiHidden/>
    <w:qFormat/>
    <w:uiPriority w:val="99"/>
    <w:rPr>
      <w:rFonts w:ascii="Times New Roman" w:hAnsi="Times New Roman" w:eastAsia="宋体" w:cs="Times New Roman"/>
      <w:sz w:val="18"/>
      <w:szCs w:val="18"/>
    </w:rPr>
  </w:style>
  <w:style w:type="character" w:customStyle="1" w:styleId="62">
    <w:name w:val="标书一级标题 字符"/>
    <w:link w:val="63"/>
    <w:qFormat/>
    <w:uiPriority w:val="0"/>
    <w:rPr>
      <w:rFonts w:eastAsia="黑体"/>
      <w:bCs/>
      <w:color w:val="000000"/>
      <w:kern w:val="44"/>
      <w:sz w:val="30"/>
      <w:szCs w:val="24"/>
    </w:rPr>
  </w:style>
  <w:style w:type="paragraph" w:customStyle="1" w:styleId="63">
    <w:name w:val="标书一级标题"/>
    <w:basedOn w:val="4"/>
    <w:link w:val="62"/>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4">
    <w:name w:val="文档结构图 字符"/>
    <w:link w:val="10"/>
    <w:qFormat/>
    <w:uiPriority w:val="0"/>
    <w:rPr>
      <w:sz w:val="24"/>
      <w:szCs w:val="24"/>
      <w:shd w:val="clear" w:color="auto" w:fill="000080"/>
    </w:rPr>
  </w:style>
  <w:style w:type="character" w:customStyle="1" w:styleId="65">
    <w:name w:val="文档结构图 字符1"/>
    <w:basedOn w:val="39"/>
    <w:semiHidden/>
    <w:qFormat/>
    <w:uiPriority w:val="99"/>
    <w:rPr>
      <w:rFonts w:ascii="Microsoft YaHei UI" w:hAnsi="Times New Roman" w:eastAsia="Microsoft YaHei UI" w:cs="Times New Roman"/>
      <w:sz w:val="18"/>
      <w:szCs w:val="18"/>
    </w:rPr>
  </w:style>
  <w:style w:type="character" w:customStyle="1" w:styleId="66">
    <w:name w:val="纯文本 字符1"/>
    <w:link w:val="17"/>
    <w:qFormat/>
    <w:uiPriority w:val="0"/>
    <w:rPr>
      <w:rFonts w:ascii="宋体" w:hAnsi="Courier New" w:eastAsia="宋体"/>
    </w:rPr>
  </w:style>
  <w:style w:type="character" w:customStyle="1" w:styleId="67">
    <w:name w:val="纯文本 字符"/>
    <w:basedOn w:val="39"/>
    <w:qFormat/>
    <w:uiPriority w:val="0"/>
    <w:rPr>
      <w:rFonts w:hAnsi="Courier New" w:cs="Courier New" w:asciiTheme="minorEastAsia"/>
      <w:szCs w:val="20"/>
    </w:rPr>
  </w:style>
  <w:style w:type="character" w:customStyle="1" w:styleId="68">
    <w:name w:val="页眉 字符"/>
    <w:link w:val="23"/>
    <w:qFormat/>
    <w:uiPriority w:val="0"/>
    <w:rPr>
      <w:rFonts w:eastAsia="宋体"/>
      <w:sz w:val="18"/>
      <w:szCs w:val="18"/>
    </w:rPr>
  </w:style>
  <w:style w:type="character" w:customStyle="1" w:styleId="69">
    <w:name w:val="页眉 字符1"/>
    <w:basedOn w:val="39"/>
    <w:semiHidden/>
    <w:qFormat/>
    <w:uiPriority w:val="99"/>
    <w:rPr>
      <w:rFonts w:ascii="Times New Roman" w:hAnsi="Times New Roman" w:eastAsia="宋体" w:cs="Times New Roman"/>
      <w:sz w:val="18"/>
      <w:szCs w:val="18"/>
    </w:rPr>
  </w:style>
  <w:style w:type="character" w:customStyle="1" w:styleId="70">
    <w:name w:val="apple-converted-space"/>
    <w:basedOn w:val="39"/>
    <w:qFormat/>
    <w:uiPriority w:val="0"/>
  </w:style>
  <w:style w:type="character" w:customStyle="1" w:styleId="71">
    <w:name w:val="日期 字符"/>
    <w:link w:val="19"/>
    <w:qFormat/>
    <w:uiPriority w:val="0"/>
    <w:rPr>
      <w:sz w:val="24"/>
      <w:szCs w:val="24"/>
    </w:rPr>
  </w:style>
  <w:style w:type="character" w:customStyle="1" w:styleId="72">
    <w:name w:val="日期 字符1"/>
    <w:basedOn w:val="39"/>
    <w:semiHidden/>
    <w:qFormat/>
    <w:uiPriority w:val="99"/>
    <w:rPr>
      <w:rFonts w:ascii="Times New Roman" w:hAnsi="Times New Roman" w:eastAsia="宋体" w:cs="Times New Roman"/>
      <w:szCs w:val="20"/>
    </w:rPr>
  </w:style>
  <w:style w:type="character" w:customStyle="1" w:styleId="73">
    <w:name w:val="Char Char2"/>
    <w:qFormat/>
    <w:uiPriority w:val="0"/>
    <w:rPr>
      <w:rFonts w:ascii="宋体" w:hAnsi="Courier New" w:cs="宋体"/>
      <w:kern w:val="2"/>
      <w:sz w:val="21"/>
      <w:szCs w:val="21"/>
    </w:rPr>
  </w:style>
  <w:style w:type="character" w:customStyle="1" w:styleId="74">
    <w:name w:val="批注框文本 字符"/>
    <w:link w:val="21"/>
    <w:qFormat/>
    <w:uiPriority w:val="0"/>
    <w:rPr>
      <w:sz w:val="18"/>
      <w:szCs w:val="18"/>
    </w:rPr>
  </w:style>
  <w:style w:type="character" w:customStyle="1" w:styleId="75">
    <w:name w:val="批注框文本 字符1"/>
    <w:basedOn w:val="39"/>
    <w:semiHidden/>
    <w:qFormat/>
    <w:uiPriority w:val="99"/>
    <w:rPr>
      <w:rFonts w:ascii="Times New Roman" w:hAnsi="Times New Roman" w:eastAsia="宋体" w:cs="Times New Roman"/>
      <w:sz w:val="18"/>
      <w:szCs w:val="18"/>
    </w:rPr>
  </w:style>
  <w:style w:type="character" w:customStyle="1" w:styleId="76">
    <w:name w:val="标题 字符"/>
    <w:link w:val="34"/>
    <w:qFormat/>
    <w:uiPriority w:val="0"/>
    <w:rPr>
      <w:rFonts w:ascii="Arial" w:hAnsi="Arial" w:cs="Arial"/>
      <w:b/>
      <w:bCs/>
      <w:sz w:val="32"/>
      <w:szCs w:val="32"/>
    </w:rPr>
  </w:style>
  <w:style w:type="character" w:customStyle="1" w:styleId="77">
    <w:name w:val="标题 字符1"/>
    <w:basedOn w:val="39"/>
    <w:qFormat/>
    <w:uiPriority w:val="10"/>
    <w:rPr>
      <w:rFonts w:asciiTheme="majorHAnsi" w:hAnsiTheme="majorHAnsi" w:eastAsiaTheme="majorEastAsia" w:cstheme="majorBidi"/>
      <w:b/>
      <w:bCs/>
      <w:sz w:val="32"/>
      <w:szCs w:val="32"/>
    </w:rPr>
  </w:style>
  <w:style w:type="character" w:customStyle="1" w:styleId="78">
    <w:name w:val="BODY TEXT Char"/>
    <w:link w:val="79"/>
    <w:qFormat/>
    <w:uiPriority w:val="0"/>
    <w:rPr>
      <w:rFonts w:eastAsia="新宋体"/>
      <w:szCs w:val="21"/>
    </w:rPr>
  </w:style>
  <w:style w:type="paragraph" w:customStyle="1" w:styleId="79">
    <w:name w:val="正文文本1"/>
    <w:basedOn w:val="1"/>
    <w:link w:val="78"/>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80">
    <w:name w:val="HTML Markup"/>
    <w:qFormat/>
    <w:uiPriority w:val="0"/>
    <w:rPr>
      <w:vanish/>
      <w:color w:val="FF0000"/>
    </w:rPr>
  </w:style>
  <w:style w:type="character" w:customStyle="1" w:styleId="81">
    <w:name w:val="Char Char5"/>
    <w:qFormat/>
    <w:uiPriority w:val="0"/>
    <w:rPr>
      <w:rFonts w:ascii="宋体" w:hAnsi="Courier New" w:eastAsia="宋体"/>
      <w:kern w:val="2"/>
      <w:sz w:val="21"/>
      <w:lang w:val="en-US" w:eastAsia="zh-CN" w:bidi="ar-SA"/>
    </w:rPr>
  </w:style>
  <w:style w:type="character" w:customStyle="1" w:styleId="82">
    <w:name w:val="标书正文格式 字符"/>
    <w:link w:val="83"/>
    <w:qFormat/>
    <w:uiPriority w:val="0"/>
    <w:rPr>
      <w:rFonts w:ascii="宋体" w:hAnsi="宋体"/>
      <w:color w:val="000000"/>
      <w:sz w:val="24"/>
      <w:szCs w:val="24"/>
    </w:rPr>
  </w:style>
  <w:style w:type="paragraph" w:customStyle="1" w:styleId="83">
    <w:name w:val="标书正文格式"/>
    <w:basedOn w:val="17"/>
    <w:link w:val="82"/>
    <w:qFormat/>
    <w:uiPriority w:val="0"/>
    <w:pPr>
      <w:spacing w:line="360" w:lineRule="auto"/>
      <w:ind w:firstLine="200" w:firstLineChars="200"/>
    </w:pPr>
    <w:rPr>
      <w:rFonts w:hAnsi="宋体" w:eastAsiaTheme="minorEastAsia"/>
      <w:color w:val="000000"/>
      <w:sz w:val="24"/>
      <w:szCs w:val="24"/>
    </w:rPr>
  </w:style>
  <w:style w:type="character" w:customStyle="1" w:styleId="84">
    <w:name w:val="标书二级标题 字符"/>
    <w:link w:val="85"/>
    <w:qFormat/>
    <w:uiPriority w:val="0"/>
    <w:rPr>
      <w:rFonts w:ascii="宋体" w:hAnsi="宋体" w:eastAsia="黑体"/>
      <w:bCs/>
      <w:sz w:val="28"/>
      <w:szCs w:val="30"/>
    </w:rPr>
  </w:style>
  <w:style w:type="paragraph" w:customStyle="1" w:styleId="85">
    <w:name w:val="标书二级标题"/>
    <w:basedOn w:val="5"/>
    <w:link w:val="84"/>
    <w:qFormat/>
    <w:uiPriority w:val="0"/>
    <w:pPr>
      <w:spacing w:before="0" w:after="0" w:line="240" w:lineRule="auto"/>
      <w:jc w:val="left"/>
    </w:pPr>
    <w:rPr>
      <w:rFonts w:ascii="宋体" w:hAnsi="宋体" w:cstheme="minorBidi"/>
      <w:b w:val="0"/>
      <w:sz w:val="28"/>
      <w:szCs w:val="30"/>
      <w:lang w:val="en-US" w:eastAsia="zh-CN"/>
    </w:rPr>
  </w:style>
  <w:style w:type="character" w:customStyle="1" w:styleId="86">
    <w:name w:val="标书表格 字符"/>
    <w:link w:val="87"/>
    <w:qFormat/>
    <w:uiPriority w:val="0"/>
    <w:rPr>
      <w:b/>
    </w:rPr>
  </w:style>
  <w:style w:type="paragraph" w:customStyle="1" w:styleId="87">
    <w:name w:val="标书表格"/>
    <w:basedOn w:val="1"/>
    <w:link w:val="86"/>
    <w:qFormat/>
    <w:uiPriority w:val="0"/>
    <w:pPr>
      <w:jc w:val="center"/>
    </w:pPr>
    <w:rPr>
      <w:rFonts w:asciiTheme="minorHAnsi" w:hAnsiTheme="minorHAnsi" w:eastAsiaTheme="minorEastAsia" w:cstheme="minorBidi"/>
      <w:b/>
      <w:szCs w:val="22"/>
    </w:rPr>
  </w:style>
  <w:style w:type="character" w:customStyle="1" w:styleId="88">
    <w:name w:val="标书三级标题 字符"/>
    <w:link w:val="89"/>
    <w:qFormat/>
    <w:uiPriority w:val="0"/>
    <w:rPr>
      <w:b/>
      <w:bCs/>
      <w:color w:val="000000"/>
      <w:sz w:val="24"/>
      <w:szCs w:val="24"/>
    </w:rPr>
  </w:style>
  <w:style w:type="paragraph" w:customStyle="1" w:styleId="89">
    <w:name w:val="标书三级标题"/>
    <w:basedOn w:val="6"/>
    <w:next w:val="83"/>
    <w:link w:val="88"/>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90">
    <w:name w:val="标正文 字符"/>
    <w:link w:val="91"/>
    <w:qFormat/>
    <w:uiPriority w:val="0"/>
    <w:rPr>
      <w:rFonts w:ascii="宋体" w:hAnsi="宋体"/>
      <w:color w:val="000000"/>
      <w:sz w:val="24"/>
      <w:szCs w:val="24"/>
    </w:rPr>
  </w:style>
  <w:style w:type="paragraph" w:customStyle="1" w:styleId="91">
    <w:name w:val="标正文"/>
    <w:basedOn w:val="83"/>
    <w:link w:val="90"/>
    <w:qFormat/>
    <w:uiPriority w:val="0"/>
  </w:style>
  <w:style w:type="character" w:customStyle="1" w:styleId="92">
    <w:name w:val="标三级标题 字符"/>
    <w:link w:val="93"/>
    <w:qFormat/>
    <w:uiPriority w:val="0"/>
    <w:rPr>
      <w:b/>
      <w:bCs/>
      <w:color w:val="000000"/>
      <w:sz w:val="24"/>
      <w:szCs w:val="24"/>
    </w:rPr>
  </w:style>
  <w:style w:type="paragraph" w:customStyle="1" w:styleId="93">
    <w:name w:val="标三级标题"/>
    <w:basedOn w:val="89"/>
    <w:link w:val="92"/>
    <w:qFormat/>
    <w:uiPriority w:val="0"/>
  </w:style>
  <w:style w:type="character" w:customStyle="1" w:styleId="94">
    <w:name w:val="正文文本缩进 字符"/>
    <w:basedOn w:val="39"/>
    <w:semiHidden/>
    <w:qFormat/>
    <w:uiPriority w:val="99"/>
    <w:rPr>
      <w:rFonts w:ascii="Times New Roman" w:hAnsi="Times New Roman" w:eastAsia="宋体" w:cs="Times New Roman"/>
      <w:szCs w:val="20"/>
    </w:rPr>
  </w:style>
  <w:style w:type="character" w:customStyle="1" w:styleId="95">
    <w:name w:val="正文文本缩进 字符1"/>
    <w:link w:val="13"/>
    <w:qFormat/>
    <w:uiPriority w:val="0"/>
    <w:rPr>
      <w:rFonts w:ascii="Times New Roman" w:hAnsi="Times New Roman" w:eastAsia="宋体" w:cs="Times New Roman"/>
      <w:szCs w:val="20"/>
      <w:lang w:val="zh-CN" w:eastAsia="zh-CN"/>
    </w:rPr>
  </w:style>
  <w:style w:type="paragraph" w:customStyle="1" w:styleId="9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7">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8">
    <w:name w:val="列表段落1"/>
    <w:basedOn w:val="1"/>
    <w:qFormat/>
    <w:uiPriority w:val="0"/>
    <w:pPr>
      <w:ind w:firstLine="420" w:firstLineChars="200"/>
    </w:pPr>
    <w:rPr>
      <w:rFonts w:ascii="Calibri" w:hAnsi="Calibri"/>
      <w:szCs w:val="22"/>
    </w:rPr>
  </w:style>
  <w:style w:type="paragraph" w:styleId="99">
    <w:name w:val="List Paragraph"/>
    <w:basedOn w:val="1"/>
    <w:qFormat/>
    <w:uiPriority w:val="34"/>
    <w:pPr>
      <w:ind w:firstLine="420" w:firstLineChars="200"/>
    </w:pPr>
    <w:rPr>
      <w:rFonts w:ascii="Calibri" w:hAnsi="Calibri"/>
      <w:szCs w:val="22"/>
    </w:rPr>
  </w:style>
  <w:style w:type="paragraph" w:customStyle="1" w:styleId="10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101">
    <w:name w:val="1列"/>
    <w:basedOn w:val="1"/>
    <w:qFormat/>
    <w:uiPriority w:val="0"/>
    <w:pPr>
      <w:spacing w:line="360" w:lineRule="auto"/>
      <w:ind w:left="401" w:hanging="401" w:hangingChars="191"/>
    </w:pPr>
    <w:rPr>
      <w:szCs w:val="24"/>
    </w:rPr>
  </w:style>
  <w:style w:type="character" w:customStyle="1" w:styleId="102">
    <w:name w:val="正文文本 字符"/>
    <w:basedOn w:val="39"/>
    <w:semiHidden/>
    <w:qFormat/>
    <w:uiPriority w:val="99"/>
    <w:rPr>
      <w:rFonts w:ascii="Times New Roman" w:hAnsi="Times New Roman" w:eastAsia="宋体" w:cs="Times New Roman"/>
      <w:szCs w:val="20"/>
    </w:rPr>
  </w:style>
  <w:style w:type="character" w:customStyle="1" w:styleId="103">
    <w:name w:val="正文文本 字符1"/>
    <w:link w:val="2"/>
    <w:qFormat/>
    <w:uiPriority w:val="0"/>
    <w:rPr>
      <w:rFonts w:ascii="仿宋_GB2312" w:hAnsi="Times New Roman" w:eastAsia="仿宋_GB2312" w:cs="Times New Roman"/>
      <w:sz w:val="32"/>
      <w:szCs w:val="20"/>
      <w:lang w:val="zh-CN" w:eastAsia="zh-CN"/>
    </w:rPr>
  </w:style>
  <w:style w:type="paragraph" w:customStyle="1" w:styleId="104">
    <w:name w:val="Char Char Char Char Char Char Char"/>
    <w:basedOn w:val="1"/>
    <w:qFormat/>
    <w:uiPriority w:val="0"/>
    <w:rPr>
      <w:rFonts w:ascii="Verdana" w:hAnsi="Verdana"/>
      <w:kern w:val="0"/>
      <w:sz w:val="20"/>
      <w:lang w:eastAsia="en-US"/>
    </w:rPr>
  </w:style>
  <w:style w:type="paragraph" w:customStyle="1" w:styleId="105">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7">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8">
    <w:name w:val="二级列表 Char"/>
    <w:basedOn w:val="1"/>
    <w:qFormat/>
    <w:uiPriority w:val="0"/>
    <w:rPr>
      <w:rFonts w:ascii="Calibri" w:hAnsi="Calibri"/>
    </w:rPr>
  </w:style>
  <w:style w:type="paragraph" w:customStyle="1" w:styleId="10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10">
    <w:name w:val="纯文本 Char2"/>
    <w:qFormat/>
    <w:uiPriority w:val="0"/>
    <w:rPr>
      <w:rFonts w:ascii="宋体" w:hAnsi="Courier New" w:eastAsia="宋体"/>
      <w:kern w:val="2"/>
      <w:sz w:val="21"/>
      <w:lang w:val="en-US" w:eastAsia="zh-CN" w:bidi="ar-SA"/>
    </w:rPr>
  </w:style>
  <w:style w:type="character" w:customStyle="1" w:styleId="111">
    <w:name w:val="HR正文 Char1"/>
    <w:link w:val="112"/>
    <w:qFormat/>
    <w:uiPriority w:val="0"/>
    <w:rPr>
      <w:sz w:val="24"/>
      <w:szCs w:val="24"/>
    </w:rPr>
  </w:style>
  <w:style w:type="paragraph" w:customStyle="1" w:styleId="112">
    <w:name w:val="HR正文"/>
    <w:basedOn w:val="1"/>
    <w:link w:val="111"/>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13">
    <w:name w:val="纯文本 Char1"/>
    <w:qFormat/>
    <w:uiPriority w:val="0"/>
    <w:rPr>
      <w:rFonts w:ascii="宋体" w:hAnsi="Courier New"/>
      <w:kern w:val="2"/>
      <w:sz w:val="21"/>
    </w:rPr>
  </w:style>
  <w:style w:type="paragraph" w:customStyle="1" w:styleId="114">
    <w:name w:val="标题4"/>
    <w:basedOn w:val="7"/>
    <w:qFormat/>
    <w:uiPriority w:val="0"/>
    <w:pPr>
      <w:keepLines w:val="0"/>
      <w:spacing w:before="240" w:after="60" w:line="240" w:lineRule="auto"/>
    </w:pPr>
    <w:rPr>
      <w:rFonts w:ascii="Times New Roman" w:hAnsi="Times New Roman"/>
    </w:rPr>
  </w:style>
  <w:style w:type="character" w:customStyle="1" w:styleId="115">
    <w:name w:val="页脚 Char1"/>
    <w:qFormat/>
    <w:uiPriority w:val="0"/>
    <w:rPr>
      <w:rFonts w:hint="default" w:ascii="Times New Roman" w:hAnsi="Times New Roman" w:eastAsia="宋体" w:cs="Times New Roman"/>
      <w:sz w:val="18"/>
      <w:szCs w:val="18"/>
    </w:rPr>
  </w:style>
  <w:style w:type="character" w:customStyle="1" w:styleId="116">
    <w:name w:val="页眉 Char1"/>
    <w:qFormat/>
    <w:uiPriority w:val="0"/>
    <w:rPr>
      <w:rFonts w:hint="default" w:ascii="Times New Roman" w:hAnsi="Times New Roman" w:eastAsia="宋体" w:cs="Times New Roman"/>
      <w:sz w:val="18"/>
      <w:szCs w:val="18"/>
    </w:rPr>
  </w:style>
  <w:style w:type="paragraph" w:customStyle="1" w:styleId="117">
    <w:name w:val="列出段落1"/>
    <w:basedOn w:val="1"/>
    <w:qFormat/>
    <w:uiPriority w:val="99"/>
    <w:pPr>
      <w:ind w:firstLine="420" w:firstLineChars="200"/>
    </w:pPr>
    <w:rPr>
      <w:rFonts w:ascii="Calibri" w:hAnsi="Calibri"/>
      <w:szCs w:val="22"/>
    </w:rPr>
  </w:style>
  <w:style w:type="paragraph" w:customStyle="1" w:styleId="118">
    <w:name w:val="List Paragraph1"/>
    <w:basedOn w:val="1"/>
    <w:qFormat/>
    <w:uiPriority w:val="99"/>
    <w:pPr>
      <w:ind w:firstLine="420" w:firstLineChars="200"/>
    </w:pPr>
    <w:rPr>
      <w:szCs w:val="24"/>
    </w:rPr>
  </w:style>
  <w:style w:type="character" w:customStyle="1" w:styleId="119">
    <w:name w:val="font51"/>
    <w:qFormat/>
    <w:uiPriority w:val="0"/>
    <w:rPr>
      <w:rFonts w:hint="eastAsia" w:ascii="宋体" w:hAnsi="宋体" w:eastAsia="宋体"/>
      <w:color w:val="000000"/>
      <w:sz w:val="18"/>
      <w:szCs w:val="18"/>
      <w:u w:val="none"/>
    </w:rPr>
  </w:style>
  <w:style w:type="character" w:customStyle="1" w:styleId="120">
    <w:name w:val="font111"/>
    <w:qFormat/>
    <w:uiPriority w:val="0"/>
    <w:rPr>
      <w:rFonts w:hint="default" w:ascii="Times New Roman" w:hAnsi="Times New Roman" w:cs="Times New Roman"/>
      <w:color w:val="000000"/>
      <w:sz w:val="18"/>
      <w:szCs w:val="18"/>
      <w:u w:val="none"/>
    </w:rPr>
  </w:style>
  <w:style w:type="character" w:customStyle="1" w:styleId="121">
    <w:name w:val="font101"/>
    <w:qFormat/>
    <w:uiPriority w:val="0"/>
    <w:rPr>
      <w:rFonts w:hint="eastAsia" w:ascii="宋体" w:hAnsi="宋体" w:eastAsia="宋体"/>
      <w:color w:val="000000"/>
      <w:sz w:val="18"/>
      <w:szCs w:val="18"/>
      <w:u w:val="none"/>
    </w:rPr>
  </w:style>
  <w:style w:type="character" w:customStyle="1" w:styleId="122">
    <w:name w:val="font61"/>
    <w:qFormat/>
    <w:uiPriority w:val="0"/>
    <w:rPr>
      <w:rFonts w:hint="eastAsia" w:ascii="宋体" w:hAnsi="宋体" w:eastAsia="宋体"/>
      <w:color w:val="000000"/>
      <w:sz w:val="18"/>
      <w:szCs w:val="18"/>
      <w:u w:val="none"/>
    </w:rPr>
  </w:style>
  <w:style w:type="character" w:customStyle="1" w:styleId="123">
    <w:name w:val="font121"/>
    <w:qFormat/>
    <w:uiPriority w:val="0"/>
    <w:rPr>
      <w:rFonts w:hint="default" w:ascii="Times New Roman" w:hAnsi="Times New Roman" w:cs="Times New Roman"/>
      <w:color w:val="000000"/>
      <w:sz w:val="18"/>
      <w:szCs w:val="18"/>
      <w:u w:val="none"/>
    </w:rPr>
  </w:style>
  <w:style w:type="character" w:customStyle="1" w:styleId="124">
    <w:name w:val="标题 1 Char"/>
    <w:qFormat/>
    <w:uiPriority w:val="9"/>
    <w:rPr>
      <w:b/>
      <w:bCs/>
      <w:kern w:val="44"/>
      <w:sz w:val="44"/>
      <w:szCs w:val="44"/>
    </w:rPr>
  </w:style>
  <w:style w:type="character" w:customStyle="1" w:styleId="125">
    <w:name w:val="标题 Char"/>
    <w:qFormat/>
    <w:uiPriority w:val="10"/>
    <w:rPr>
      <w:rFonts w:ascii="Cambria" w:hAnsi="Cambria" w:cs="Times New Roman"/>
      <w:b/>
      <w:bCs/>
      <w:kern w:val="2"/>
      <w:sz w:val="32"/>
      <w:szCs w:val="32"/>
    </w:rPr>
  </w:style>
  <w:style w:type="character" w:customStyle="1" w:styleId="126">
    <w:name w:val="font81"/>
    <w:qFormat/>
    <w:uiPriority w:val="0"/>
    <w:rPr>
      <w:rFonts w:hint="eastAsia" w:ascii="宋体" w:hAnsi="宋体" w:eastAsia="宋体"/>
      <w:color w:val="000000"/>
      <w:sz w:val="18"/>
      <w:szCs w:val="18"/>
      <w:u w:val="none"/>
    </w:rPr>
  </w:style>
  <w:style w:type="character" w:customStyle="1" w:styleId="127">
    <w:name w:val="font21"/>
    <w:qFormat/>
    <w:uiPriority w:val="0"/>
    <w:rPr>
      <w:rFonts w:hint="default" w:ascii="Times New Roman" w:hAnsi="Times New Roman" w:cs="Times New Roman"/>
      <w:color w:val="000000"/>
      <w:sz w:val="18"/>
      <w:szCs w:val="18"/>
      <w:u w:val="none"/>
    </w:rPr>
  </w:style>
  <w:style w:type="character" w:customStyle="1" w:styleId="128">
    <w:name w:val="font11"/>
    <w:qFormat/>
    <w:uiPriority w:val="0"/>
    <w:rPr>
      <w:rFonts w:hint="eastAsia" w:ascii="宋体" w:hAnsi="宋体" w:eastAsia="宋体"/>
      <w:color w:val="000000"/>
      <w:sz w:val="18"/>
      <w:szCs w:val="18"/>
      <w:u w:val="none"/>
    </w:rPr>
  </w:style>
  <w:style w:type="character" w:customStyle="1" w:styleId="129">
    <w:name w:val="font91"/>
    <w:qFormat/>
    <w:uiPriority w:val="0"/>
    <w:rPr>
      <w:rFonts w:hint="eastAsia" w:ascii="宋体" w:hAnsi="宋体" w:eastAsia="宋体"/>
      <w:color w:val="000000"/>
      <w:sz w:val="18"/>
      <w:szCs w:val="18"/>
      <w:u w:val="none"/>
    </w:rPr>
  </w:style>
  <w:style w:type="character" w:customStyle="1" w:styleId="130">
    <w:name w:val="font71"/>
    <w:qFormat/>
    <w:uiPriority w:val="0"/>
    <w:rPr>
      <w:rFonts w:hint="eastAsia" w:ascii="宋体" w:hAnsi="宋体" w:eastAsia="宋体"/>
      <w:color w:val="000000"/>
      <w:sz w:val="18"/>
      <w:szCs w:val="18"/>
      <w:u w:val="none"/>
    </w:rPr>
  </w:style>
  <w:style w:type="paragraph" w:customStyle="1" w:styleId="131">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33">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4">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5">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6">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7">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8">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9">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40">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1">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2">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4">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5">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6">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7">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9">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0">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53">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4">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5">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9">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0">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1">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2">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4">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5">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7">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8">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9">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70">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71">
    <w:name w:val="horibazhengwen"/>
    <w:unhideWhenUsed/>
    <w:qFormat/>
    <w:uiPriority w:val="0"/>
    <w:pPr>
      <w:widowControl/>
      <w:spacing w:after="120" w:line="360" w:lineRule="auto"/>
      <w:jc w:val="left"/>
    </w:pPr>
    <w:rPr>
      <w:rFonts w:ascii="Arial" w:hAnsi="Arial" w:eastAsia="宋体" w:cs="Times New Roman"/>
      <w:kern w:val="0"/>
      <w:sz w:val="20"/>
      <w:lang w:val="en-US" w:eastAsia="de-DE" w:bidi="ar-SA"/>
    </w:rPr>
  </w:style>
  <w:style w:type="paragraph" w:customStyle="1" w:styleId="172">
    <w:name w:val="dingdocnormal"/>
    <w:qFormat/>
    <w:uiPriority w:val="0"/>
    <w:rPr>
      <w:rFonts w:asciiTheme="minorHAnsi" w:hAnsiTheme="minorHAnsi" w:eastAsiaTheme="minorEastAsia" w:cstheme="minorBidi"/>
      <w:kern w:val="2"/>
      <w:sz w:val="24"/>
      <w:lang w:val="en-US" w:eastAsia="zh-CN" w:bidi="ar-SA"/>
    </w:rPr>
  </w:style>
  <w:style w:type="character" w:customStyle="1" w:styleId="173">
    <w:name w:val="font31"/>
    <w:basedOn w:val="39"/>
    <w:qFormat/>
    <w:uiPriority w:val="0"/>
    <w:rPr>
      <w:rFonts w:hint="eastAsia" w:ascii="微软雅黑" w:hAnsi="微软雅黑" w:eastAsia="微软雅黑" w:cs="微软雅黑"/>
      <w:color w:val="000000"/>
      <w:sz w:val="22"/>
      <w:szCs w:val="22"/>
      <w:u w:val="none"/>
    </w:rPr>
  </w:style>
  <w:style w:type="character" w:customStyle="1" w:styleId="174">
    <w:name w:val="font41"/>
    <w:basedOn w:val="3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42.png"/><Relationship Id="rId54" Type="http://schemas.openxmlformats.org/officeDocument/2006/relationships/image" Target="media/image41.jpeg"/><Relationship Id="rId53" Type="http://schemas.openxmlformats.org/officeDocument/2006/relationships/image" Target="media/image40.jpeg"/><Relationship Id="rId52" Type="http://schemas.openxmlformats.org/officeDocument/2006/relationships/image" Target="media/image39.jpeg"/><Relationship Id="rId51" Type="http://schemas.openxmlformats.org/officeDocument/2006/relationships/image" Target="media/image38.jpeg"/><Relationship Id="rId50" Type="http://schemas.openxmlformats.org/officeDocument/2006/relationships/image" Target="media/image37.jpeg"/><Relationship Id="rId5" Type="http://schemas.openxmlformats.org/officeDocument/2006/relationships/footer" Target="foot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header" Target="header2.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38</Pages>
  <Words>10576</Words>
  <Characters>11282</Characters>
  <Lines>247</Lines>
  <Paragraphs>69</Paragraphs>
  <TotalTime>0</TotalTime>
  <ScaleCrop>false</ScaleCrop>
  <LinksUpToDate>false</LinksUpToDate>
  <CharactersWithSpaces>15577</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2021-12-10T15:38:00Z</dcterms:created>
  <dc:creator>JonMMx 2000</dc:creator>
  <cp:lastModifiedBy>JonMMx 2000</cp:lastModifiedBy>
  <dcterms:modified xsi:type="dcterms:W3CDTF">2026-07-17T17:37:12Z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3BD35EC9D1E4495EBEF364759698A2DC_13</vt:lpwstr>
  </property>
  <property fmtid="{D5CDD505-2E9C-101B-9397-08002B2CF9AE}" pid="4" name="KSOTemplateDocerSaveRecord">
    <vt:lpwstr>eyJoZGlkIjoiN2ZiZjhjZjUxYjg2N2Y1ZjY0NTc5ZGMxYTcwNjRmNWYiLCJ1c2VySWQiOiIxNzY1OTg3MzI2In0=</vt:lpwstr>
  </property>
</Properties>
</file>