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EB68A1">
      <w:pPr>
        <w:pStyle w:val="2"/>
        <w:widowControl/>
        <w:jc w:val="center"/>
        <w:rPr>
          <w:i w:val="0"/>
          <w:iCs/>
          <w:sz w:val="32"/>
          <w:szCs w:val="32"/>
          <w:lang w:val="en-US"/>
        </w:rPr>
      </w:pPr>
      <w:bookmarkStart w:id="0" w:name="_Toc12866"/>
      <w:r>
        <w:rPr>
          <w:rFonts w:hint="eastAsia" w:cs="宋体"/>
          <w:i w:val="0"/>
          <w:iCs/>
          <w:sz w:val="32"/>
          <w:szCs w:val="32"/>
          <w:lang w:val="en-US" w:eastAsia="zh-CN"/>
        </w:rPr>
        <w:t>汕德卡TGA驾驶室侧围升级新增冲压模具技改项目招标公告</w:t>
      </w:r>
      <w:bookmarkEnd w:id="0"/>
    </w:p>
    <w:p w14:paraId="1EBE2D1A">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ZBGL2026070356</w:t>
      </w:r>
      <w:r>
        <w:rPr>
          <w:rFonts w:hint="eastAsia" w:ascii="Cambria" w:hAnsi="Cambria" w:eastAsia="宋体" w:cs="宋体"/>
          <w:b/>
          <w:bCs/>
          <w:i w:val="0"/>
          <w:iCs/>
          <w:sz w:val="22"/>
          <w:szCs w:val="22"/>
          <w:highlight w:val="none"/>
          <w:lang w:eastAsia="zh-CN"/>
        </w:rPr>
        <w:t>）</w:t>
      </w:r>
      <w:bookmarkEnd w:id="1"/>
    </w:p>
    <w:p w14:paraId="20BDA0D9">
      <w:pPr>
        <w:rPr>
          <w:rFonts w:hint="eastAsia" w:asciiTheme="majorEastAsia" w:hAnsiTheme="majorEastAsia" w:eastAsiaTheme="majorEastAsia" w:cstheme="majorEastAsia"/>
          <w:b/>
          <w:bCs/>
          <w:sz w:val="24"/>
          <w:szCs w:val="24"/>
        </w:rPr>
      </w:pPr>
    </w:p>
    <w:p w14:paraId="474C137B">
      <w:pPr>
        <w:rPr>
          <w:rFonts w:hint="eastAsia" w:asciiTheme="majorEastAsia" w:hAnsiTheme="majorEastAsia" w:eastAsiaTheme="majorEastAsia" w:cstheme="majorEastAsia"/>
          <w:b/>
          <w:bCs/>
          <w:sz w:val="24"/>
          <w:szCs w:val="24"/>
        </w:rPr>
      </w:pPr>
    </w:p>
    <w:tbl>
      <w:tblPr>
        <w:tblStyle w:val="12"/>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677DE7B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6FB91D9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06EEAF26">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2026-07-22 </w:t>
            </w:r>
          </w:p>
        </w:tc>
        <w:tc>
          <w:tcPr>
            <w:tcW w:w="2200" w:type="dxa"/>
            <w:shd w:val="clear" w:color="auto" w:fill="DEDEDE"/>
            <w:vAlign w:val="center"/>
          </w:tcPr>
          <w:p w14:paraId="09883BE4">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66EF447B">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2026-07-29 </w:t>
            </w:r>
          </w:p>
        </w:tc>
      </w:tr>
    </w:tbl>
    <w:p w14:paraId="3891D99F">
      <w:pPr>
        <w:rPr>
          <w:rFonts w:hint="eastAsia" w:asciiTheme="majorEastAsia" w:hAnsiTheme="majorEastAsia" w:eastAsiaTheme="majorEastAsia" w:cstheme="majorEastAsia"/>
          <w:b/>
          <w:bCs/>
          <w:sz w:val="24"/>
          <w:szCs w:val="24"/>
        </w:rPr>
      </w:pPr>
    </w:p>
    <w:p w14:paraId="22A1DC92">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34DE45B1">
      <w:pPr>
        <w:ind w:firstLine="480"/>
        <w:rPr>
          <w:rFonts w:hint="default" w:asciiTheme="majorEastAsia" w:hAnsiTheme="majorEastAsia" w:eastAsiaTheme="majorEastAsia" w:cstheme="majorEastAsia"/>
          <w:sz w:val="24"/>
          <w:szCs w:val="24"/>
          <w:highlight w:val="yellow"/>
          <w:lang w:val="en-US" w:eastAsia="zh-CN"/>
        </w:rPr>
      </w:pPr>
      <w:r>
        <w:rPr>
          <w:rFonts w:hint="eastAsia" w:ascii="宋体" w:hAnsi="宋体" w:eastAsia="宋体" w:cs="宋体"/>
          <w:b/>
          <w:bCs/>
          <w:sz w:val="24"/>
          <w:szCs w:val="24"/>
        </w:rPr>
        <w:t>新增汕德卡TGA驾驶室侧围升级驾驶16种冲压件生产所需的模具52套。</w:t>
      </w:r>
      <w:r>
        <w:rPr>
          <w:rFonts w:hint="eastAsia" w:asciiTheme="majorEastAsia" w:hAnsiTheme="majorEastAsia" w:eastAsiaTheme="majorEastAsia" w:cstheme="majorEastAsia"/>
          <w:sz w:val="24"/>
          <w:szCs w:val="24"/>
          <w:highlight w:val="yellow"/>
          <w:lang w:val="en-US" w:eastAsia="zh-CN"/>
        </w:rPr>
        <w:t>（若需详情，请联系技术联系人，或应标后见招标文件技术标书）</w:t>
      </w:r>
    </w:p>
    <w:p w14:paraId="36BF1B5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755D5F2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宋体" w:hAnsi="宋体" w:eastAsia="宋体" w:cs="宋体"/>
          <w:sz w:val="24"/>
          <w:szCs w:val="24"/>
          <w:u w:val="none"/>
        </w:rPr>
        <w:t>汕德卡TGA驾驶室侧围升级新增冲压模具技改项目</w:t>
      </w:r>
      <w:r>
        <w:rPr>
          <w:rFonts w:hint="eastAsia" w:asciiTheme="majorEastAsia" w:hAnsiTheme="majorEastAsia" w:eastAsiaTheme="majorEastAsia" w:cstheme="majorEastAsia"/>
          <w:sz w:val="24"/>
          <w:szCs w:val="24"/>
          <w:u w:val="none"/>
        </w:rPr>
        <w:t xml:space="preserve"> </w:t>
      </w:r>
    </w:p>
    <w:p w14:paraId="7130BC40">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项目类别：直管单位非生产招标 / 工艺设备 / 工艺设备</w:t>
      </w:r>
    </w:p>
    <w:p w14:paraId="3BA3571B">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26BCDC17">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7E60EC9E">
      <w:pPr>
        <w:pStyle w:val="8"/>
        <w:numPr>
          <w:ilvl w:val="0"/>
          <w:numId w:val="1"/>
        </w:numPr>
        <w:ind w:firstLine="480" w:firstLineChars="200"/>
        <w:rPr>
          <w:rFonts w:hAnsi="宋体" w:eastAsia="宋体" w:cs="宋体"/>
          <w:color w:val="000000"/>
          <w:sz w:val="24"/>
          <w:szCs w:val="24"/>
        </w:rPr>
      </w:pPr>
      <w:r>
        <w:rPr>
          <w:rFonts w:hint="eastAsia" w:hAnsi="宋体" w:eastAsia="宋体" w:cs="宋体"/>
          <w:color w:val="000000"/>
          <w:sz w:val="24"/>
          <w:szCs w:val="24"/>
        </w:rPr>
        <w:t>拟标投人必须是在中华人民共和国境内注册的独立法人机构，具有独立承担民事责任能力；注册资金不少于</w:t>
      </w:r>
      <w:r>
        <w:rPr>
          <w:rFonts w:hint="eastAsia" w:hAnsi="宋体" w:eastAsia="宋体" w:cs="Times New Roman"/>
          <w:b/>
          <w:bCs/>
          <w:color w:val="000000"/>
          <w:sz w:val="24"/>
          <w:szCs w:val="24"/>
          <w:highlight w:val="yellow"/>
        </w:rPr>
        <w:t>2</w:t>
      </w:r>
      <w:r>
        <w:rPr>
          <w:rFonts w:hint="eastAsia" w:hAnsi="宋体" w:eastAsia="宋体" w:cs="Times New Roman"/>
          <w:b/>
          <w:bCs/>
          <w:color w:val="000000"/>
          <w:sz w:val="24"/>
          <w:szCs w:val="24"/>
          <w:highlight w:val="yellow"/>
          <w:lang w:val="en-US" w:eastAsia="zh-CN"/>
        </w:rPr>
        <w:t>500</w:t>
      </w:r>
      <w:r>
        <w:rPr>
          <w:rFonts w:hint="eastAsia" w:hAnsi="宋体" w:eastAsia="宋体" w:cs="宋体"/>
          <w:b/>
          <w:color w:val="000000"/>
          <w:sz w:val="24"/>
          <w:szCs w:val="24"/>
          <w:highlight w:val="yellow"/>
          <w:u w:val="single"/>
          <w:lang w:val="en-US" w:eastAsia="zh-CN"/>
        </w:rPr>
        <w:t>万元</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67626687">
      <w:pPr>
        <w:pStyle w:val="8"/>
        <w:ind w:firstLine="480" w:firstLineChars="200"/>
        <w:rPr>
          <w:rFonts w:hAnsi="宋体" w:eastAsia="宋体" w:cs="宋体"/>
          <w:color w:val="000000"/>
          <w:sz w:val="24"/>
          <w:szCs w:val="24"/>
          <w:highlight w:val="yellow"/>
        </w:rPr>
      </w:pPr>
      <w:r>
        <w:rPr>
          <w:rFonts w:hint="eastAsia" w:hAnsi="宋体" w:eastAsia="宋体" w:cs="宋体"/>
          <w:color w:val="000000"/>
          <w:sz w:val="24"/>
          <w:szCs w:val="24"/>
          <w:highlight w:val="yellow"/>
        </w:rPr>
        <w:t>2.投标方为国内知名模具企业，乘用车车身冲压模具AA级企业；</w:t>
      </w:r>
    </w:p>
    <w:p w14:paraId="45043012">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4CB4F303">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4.拟投标人应提供法定代表人资格证明文件；</w:t>
      </w:r>
    </w:p>
    <w:p w14:paraId="54DB9713">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5.</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073F9DB4">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6.拟投标人不存在严重违规或被列入招标人“黑名单”的声明；</w:t>
      </w:r>
    </w:p>
    <w:p w14:paraId="2E91C826">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7.拟投标人</w:t>
      </w:r>
      <w:r>
        <w:rPr>
          <w:rFonts w:hint="eastAsia" w:hAnsi="宋体" w:eastAsia="宋体" w:cs="宋体"/>
          <w:sz w:val="24"/>
          <w:szCs w:val="24"/>
          <w:highlight w:val="yellow"/>
        </w:rPr>
        <w:t>近三年</w:t>
      </w:r>
      <w:r>
        <w:rPr>
          <w:rFonts w:hint="eastAsia" w:hAnsi="宋体" w:eastAsia="宋体" w:cs="宋体"/>
          <w:color w:val="000000"/>
          <w:sz w:val="24"/>
          <w:szCs w:val="24"/>
        </w:rPr>
        <w:t>经</w:t>
      </w:r>
      <w:r>
        <w:rPr>
          <w:rFonts w:hint="eastAsia" w:hAnsi="宋体" w:eastAsia="宋体" w:cs="宋体"/>
          <w:b/>
          <w:bCs/>
          <w:color w:val="000000"/>
          <w:sz w:val="24"/>
          <w:szCs w:val="24"/>
        </w:rPr>
        <w:t>第三方</w:t>
      </w:r>
      <w:r>
        <w:rPr>
          <w:rFonts w:hint="eastAsia" w:hAnsi="宋体" w:eastAsia="宋体" w:cs="宋体"/>
          <w:color w:val="000000"/>
          <w:sz w:val="24"/>
          <w:szCs w:val="24"/>
        </w:rPr>
        <w:t>会计师事务所审计且出具无保留意见的财务审计报告，并加盖公章，包括但不限于报告页、经审计的资产负债表、利润表、现金流量表及报表附注，且未显示异常；</w:t>
      </w:r>
    </w:p>
    <w:p w14:paraId="29B837C4">
      <w:pPr>
        <w:pStyle w:val="8"/>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8.</w:t>
      </w:r>
      <w:r>
        <w:rPr>
          <w:rFonts w:hint="eastAsia" w:hAnsi="宋体" w:eastAsia="宋体" w:cs="宋体"/>
          <w:color w:val="000000"/>
          <w:sz w:val="24"/>
          <w:szCs w:val="24"/>
        </w:rPr>
        <w:t>拟投标人有与本次招标内容相同或类似项目业绩，且近3年内无因服务不当而造成重大事故；</w:t>
      </w:r>
    </w:p>
    <w:p w14:paraId="1B402B81">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9.</w:t>
      </w:r>
      <w:r>
        <w:rPr>
          <w:rFonts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07D1AA6A">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10.拟投标人须认可招标人的工作指令，包括节、假日能正常开展工作的要求；</w:t>
      </w:r>
    </w:p>
    <w:p w14:paraId="118360FA">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11.拟投标人最近半年纳税正常；</w:t>
      </w:r>
    </w:p>
    <w:p w14:paraId="782C20B2">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12.拟投标人信用证明材料（征信报告）未显示异常；</w:t>
      </w:r>
    </w:p>
    <w:p w14:paraId="4FEF509D">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13.拟投标人的直接或间接股东、法定代表人、董事、监事、高管非重汽员工及其亲属；</w:t>
      </w:r>
    </w:p>
    <w:p w14:paraId="2AF46BEE">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14.</w:t>
      </w:r>
      <w:r>
        <w:rPr>
          <w:rFonts w:hAnsi="宋体" w:eastAsia="宋体" w:cs="宋体"/>
          <w:sz w:val="24"/>
          <w:szCs w:val="24"/>
        </w:rPr>
        <w:t>本项目不接受代理商投标</w:t>
      </w:r>
      <w:r>
        <w:rPr>
          <w:rFonts w:hint="eastAsia" w:hAnsi="宋体" w:eastAsia="宋体" w:cs="宋体"/>
          <w:color w:val="000000"/>
          <w:sz w:val="24"/>
          <w:szCs w:val="24"/>
        </w:rPr>
        <w:t>；</w:t>
      </w:r>
    </w:p>
    <w:p w14:paraId="7DDD5B94">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15.</w:t>
      </w:r>
      <w:r>
        <w:rPr>
          <w:rFonts w:hint="eastAsia" w:hAnsi="宋体" w:eastAsia="宋体" w:cs="宋体"/>
          <w:b/>
          <w:bCs/>
          <w:color w:val="000000"/>
          <w:sz w:val="24"/>
          <w:szCs w:val="24"/>
        </w:rPr>
        <w:t>本项目不接受联合体投标，</w:t>
      </w:r>
      <w:r>
        <w:rPr>
          <w:rFonts w:hint="eastAsia" w:hAnsi="宋体" w:eastAsia="宋体" w:cs="宋体"/>
          <w:color w:val="000000"/>
          <w:sz w:val="24"/>
          <w:szCs w:val="24"/>
        </w:rPr>
        <w:t>拟投标人必须是最终投标单位和签订合同单位，不得以任何理由将已中标项目以任何形式分包或转包给其他单位。</w:t>
      </w:r>
    </w:p>
    <w:p w14:paraId="300F3FF7">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16.与招标人存在利害关系可能影响招标公正性的法人、其他组织或者个人，不得参加投标。</w:t>
      </w:r>
    </w:p>
    <w:p w14:paraId="44D74540">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color w:val="FF0000"/>
          <w:sz w:val="24"/>
          <w:szCs w:val="24"/>
          <w:highlight w:val="yellow"/>
          <w:lang w:eastAsia="zh-CN"/>
        </w:rPr>
        <w:t>“应标”</w:t>
      </w:r>
      <w:r>
        <w:rPr>
          <w:rFonts w:hint="eastAsia" w:asciiTheme="majorEastAsia" w:hAnsiTheme="majorEastAsia" w:eastAsiaTheme="majorEastAsia" w:cstheme="majorEastAsia"/>
          <w:b/>
          <w:bCs/>
          <w:color w:val="FF0000"/>
          <w:sz w:val="24"/>
          <w:szCs w:val="24"/>
          <w:highlight w:val="yellow"/>
          <w:lang w:val="en-US" w:eastAsia="zh-CN"/>
        </w:rPr>
        <w:t>报名</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应标截止时间（同下采购文件领取截止时间）内</w:t>
      </w:r>
      <w:r>
        <w:rPr>
          <w:rFonts w:hint="eastAsia" w:asciiTheme="majorEastAsia" w:hAnsiTheme="majorEastAsia" w:eastAsiaTheme="majorEastAsia" w:cstheme="majorEastAsia"/>
          <w:b/>
          <w:bCs/>
          <w:sz w:val="24"/>
          <w:szCs w:val="24"/>
          <w:lang w:eastAsia="zh-CN"/>
        </w:rPr>
        <w:t>，在重汽e采通网站内，找到本项目进行“应标”操作，规定时间未进行“应标”操作将无法参标。</w:t>
      </w:r>
    </w:p>
    <w:p w14:paraId="72F050B4">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color w:val="FF0000"/>
          <w:sz w:val="24"/>
          <w:szCs w:val="24"/>
          <w:highlight w:val="yellow"/>
          <w:lang w:eastAsia="zh-CN"/>
        </w:rPr>
        <w:t>“应标”所上传资料</w:t>
      </w:r>
      <w:r>
        <w:rPr>
          <w:rFonts w:hint="eastAsia" w:asciiTheme="majorEastAsia" w:hAnsiTheme="majorEastAsia" w:eastAsiaTheme="majorEastAsia" w:cstheme="majorEastAsia"/>
          <w:b/>
          <w:bCs/>
          <w:sz w:val="24"/>
          <w:szCs w:val="24"/>
          <w:lang w:eastAsia="zh-CN"/>
        </w:rPr>
        <w:t>：</w:t>
      </w:r>
    </w:p>
    <w:p w14:paraId="49BB77C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1.营业执照副本复印件（需加盖公章）；</w:t>
      </w:r>
    </w:p>
    <w:p w14:paraId="144F503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投标函（附件）；</w:t>
      </w:r>
    </w:p>
    <w:p w14:paraId="66BDABA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156E7D96">
      <w:pPr>
        <w:spacing w:line="360" w:lineRule="auto"/>
        <w:ind w:firstLine="480" w:firstLineChars="200"/>
        <w:rPr>
          <w:rFonts w:ascii="宋体" w:hAnsi="宋体" w:eastAsia="宋体" w:cs="宋体"/>
          <w:b/>
          <w:color w:val="000000"/>
          <w:sz w:val="24"/>
          <w:szCs w:val="24"/>
          <w:highlight w:val="yellow"/>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近三年经第三方机构审计的财务报表（报告页、资产负债表、损益表、现金流量表）复印件（需加盖公章），必须连续，同时填写投标人基本情况表（附件）</w:t>
      </w:r>
      <w:r>
        <w:rPr>
          <w:rFonts w:hint="eastAsia" w:ascii="宋体" w:hAnsi="宋体" w:eastAsia="宋体" w:cs="宋体"/>
          <w:b/>
          <w:color w:val="000000"/>
          <w:sz w:val="24"/>
          <w:szCs w:val="24"/>
        </w:rPr>
        <w:t>；</w:t>
      </w:r>
    </w:p>
    <w:p w14:paraId="4AD4902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57AAE58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5234898B">
      <w:pPr>
        <w:spacing w:line="360" w:lineRule="auto"/>
        <w:ind w:firstLine="480" w:firstLineChars="200"/>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448D6BF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0074C89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1B40101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p>
    <w:p w14:paraId="39449AEB">
      <w:pPr>
        <w:pStyle w:val="8"/>
        <w:ind w:firstLine="480" w:firstLineChars="200"/>
        <w:rPr>
          <w:rFonts w:hint="eastAsia" w:asciiTheme="majorEastAsia" w:hAnsiTheme="majorEastAsia" w:eastAsiaTheme="majorEastAsia" w:cstheme="majorEastAsia"/>
          <w:b/>
          <w:bCs/>
          <w:sz w:val="24"/>
          <w:szCs w:val="24"/>
          <w:lang w:eastAsia="zh-CN"/>
        </w:rPr>
      </w:pPr>
      <w:r>
        <w:rPr>
          <w:rFonts w:hint="eastAsia" w:ascii="宋体" w:hAnsi="宋体" w:eastAsia="宋体" w:cs="宋体"/>
          <w:color w:val="000000"/>
          <w:sz w:val="24"/>
          <w:szCs w:val="24"/>
        </w:rPr>
        <w:t xml:space="preserve">11 </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7286623A">
      <w:pPr>
        <w:pStyle w:val="8"/>
        <w:rPr>
          <w:rFonts w:hint="eastAsia" w:asciiTheme="majorEastAsia" w:hAnsiTheme="majorEastAsia" w:eastAsiaTheme="majorEastAsia" w:cstheme="majorEastAsia"/>
          <w:b/>
          <w:bCs/>
          <w:sz w:val="24"/>
          <w:szCs w:val="24"/>
          <w:lang w:eastAsia="zh-CN"/>
        </w:rPr>
      </w:pPr>
    </w:p>
    <w:p w14:paraId="43697913">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lang w:eastAsia="zh-CN"/>
        </w:rPr>
        <w:t>备注：</w:t>
      </w:r>
      <w:r>
        <w:rPr>
          <w:rFonts w:hint="eastAsia" w:asciiTheme="majorEastAsia" w:hAnsiTheme="majorEastAsia" w:eastAsiaTheme="majorEastAsia" w:cstheme="majorEastAsia"/>
          <w:b/>
          <w:bCs/>
          <w:sz w:val="24"/>
          <w:szCs w:val="24"/>
          <w:lang w:val="en-US" w:eastAsia="zh-CN"/>
        </w:rPr>
        <w:t>以上相关资料必须齐全，作为应标成功的必要条件。</w:t>
      </w:r>
      <w:r>
        <w:rPr>
          <w:rFonts w:hint="eastAsia" w:asciiTheme="majorEastAsia" w:hAnsiTheme="majorEastAsia" w:eastAsiaTheme="majorEastAsia" w:cstheme="majorEastAsia"/>
          <w:b/>
          <w:bCs/>
          <w:sz w:val="24"/>
          <w:szCs w:val="24"/>
          <w:lang w:eastAsia="zh-CN"/>
        </w:rPr>
        <w:t>提供上述资料均须加盖单位公章，以PDF的形式在规定时间内上传至重汽e采通内。</w:t>
      </w:r>
    </w:p>
    <w:p w14:paraId="254815AE">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lang w:eastAsia="zh-CN"/>
        </w:rPr>
        <w:t>“应标”后，招标方进行资料审核，如“应标”资质不符合要求，“淘汰”；如“应标”资料不完整，“驳回”，补充资料，被“驳回”的单位，应在“应标”时间截止前补充完资料上传，否则视为“淘汰”；如资料无问题，视为“应标”成功，开放“投标”环节。</w:t>
      </w:r>
    </w:p>
    <w:p w14:paraId="3774A66F">
      <w:pPr>
        <w:rPr>
          <w:rFonts w:hint="eastAsia" w:asciiTheme="majorEastAsia" w:hAnsiTheme="majorEastAsia" w:eastAsiaTheme="majorEastAsia" w:cstheme="majorEastAsia"/>
          <w:b/>
          <w:bCs/>
          <w:color w:val="FF0000"/>
          <w:sz w:val="24"/>
          <w:szCs w:val="24"/>
          <w:highlight w:val="none"/>
          <w:lang w:eastAsia="zh-CN"/>
        </w:rPr>
      </w:pPr>
      <w:r>
        <w:rPr>
          <w:rFonts w:hint="eastAsia" w:asciiTheme="majorEastAsia" w:hAnsiTheme="majorEastAsia" w:eastAsiaTheme="majorEastAsia" w:cstheme="majorEastAsia"/>
          <w:b/>
          <w:bCs/>
          <w:color w:val="FF0000"/>
          <w:sz w:val="24"/>
          <w:szCs w:val="24"/>
          <w:highlight w:val="none"/>
          <w:lang w:eastAsia="zh-CN"/>
        </w:rPr>
        <w:t>备注：“淘汰”“驳回”不予做任何解释。</w:t>
      </w:r>
    </w:p>
    <w:p w14:paraId="0ABBEA8B">
      <w:pPr>
        <w:rPr>
          <w:rFonts w:hint="default" w:asciiTheme="majorEastAsia" w:hAnsiTheme="majorEastAsia" w:eastAsiaTheme="majorEastAsia" w:cstheme="majorEastAsia"/>
          <w:b/>
          <w:bCs/>
          <w:sz w:val="24"/>
          <w:szCs w:val="24"/>
          <w:lang w:val="en-US" w:eastAsia="zh-CN"/>
        </w:rPr>
      </w:pP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b/>
          <w:bCs/>
          <w:sz w:val="24"/>
          <w:szCs w:val="24"/>
        </w:rPr>
        <w:t>已注册供应商</w:t>
      </w:r>
      <w:r>
        <w:rPr>
          <w:rFonts w:ascii="宋体" w:hAnsi="宋体" w:eastAsia="宋体" w:cs="宋体"/>
          <w:sz w:val="24"/>
          <w:szCs w:val="24"/>
        </w:rPr>
        <w:t>：</w:t>
      </w:r>
      <w:r>
        <w:rPr>
          <w:rFonts w:hint="eastAsia" w:ascii="宋体" w:hAnsi="宋体" w:eastAsia="宋体" w:cs="宋体"/>
          <w:sz w:val="24"/>
          <w:szCs w:val="24"/>
          <w:highlight w:val="yellow"/>
          <w:lang w:val="en-US" w:eastAsia="zh-CN"/>
        </w:rPr>
        <w:t>已注册的投标人注意去重汽e采通平台检查更新近三年的经营概况，财务信息更新到近三年，</w:t>
      </w:r>
      <w:r>
        <w:rPr>
          <w:rFonts w:ascii="宋体" w:hAnsi="宋体" w:eastAsia="宋体" w:cs="宋体"/>
          <w:sz w:val="24"/>
          <w:szCs w:val="24"/>
          <w:highlight w:val="yellow"/>
        </w:rPr>
        <w:t>确保信息真实、完整</w:t>
      </w:r>
      <w:r>
        <w:rPr>
          <w:rFonts w:hint="eastAsia" w:ascii="宋体" w:hAnsi="宋体" w:eastAsia="宋体" w:cs="宋体"/>
          <w:sz w:val="24"/>
          <w:szCs w:val="24"/>
          <w:highlight w:val="yellow"/>
          <w:lang w:val="en-US" w:eastAsia="zh-CN"/>
        </w:rPr>
        <w:t>且不许有空余，若因此造成应标不成功，后果由投标人自行承担。（更新路径：重汽e采通-供应商中心-供应商变更-供应商财务数据变更管理-右上角：发起变更；详见SRM系统供应商用户近三年财务数据更新,</w:t>
      </w:r>
      <w:bookmarkStart w:id="6" w:name="_GoBack"/>
      <w:bookmarkEnd w:id="6"/>
      <w:r>
        <w:rPr>
          <w:rFonts w:hint="eastAsia" w:ascii="宋体" w:hAnsi="宋体" w:eastAsia="宋体" w:cs="宋体"/>
          <w:sz w:val="24"/>
          <w:szCs w:val="24"/>
          <w:highlight w:val="yellow"/>
          <w:lang w:val="en-US" w:eastAsia="zh-CN"/>
        </w:rPr>
        <w:t>附件3）</w:t>
      </w:r>
    </w:p>
    <w:p w14:paraId="05FEE92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52EB194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1F6DACB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07</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29</w:t>
      </w:r>
      <w:r>
        <w:rPr>
          <w:rFonts w:hint="eastAsia" w:asciiTheme="majorEastAsia" w:hAnsiTheme="majorEastAsia" w:eastAsiaTheme="majorEastAsia" w:cstheme="majorEastAsia"/>
          <w:sz w:val="24"/>
          <w:szCs w:val="24"/>
        </w:rPr>
        <w:t xml:space="preserve"> 17:00:00 </w:t>
      </w:r>
    </w:p>
    <w:p w14:paraId="4759D9F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14:paraId="3A64C75D">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14:paraId="77BB3C9A">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p>
    <w:p w14:paraId="6010EC64">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 xml:space="preserve"> 09:00:00 </w:t>
      </w:r>
    </w:p>
    <w:p w14:paraId="756D49F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14:paraId="18836169">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14:paraId="47B3B62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14:paraId="4EB316E7">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Theme="majorEastAsia" w:hAnsiTheme="majorEastAsia" w:eastAsiaTheme="majorEastAsia" w:cstheme="majorEastAsia"/>
          <w:sz w:val="24"/>
          <w:szCs w:val="24"/>
        </w:rPr>
        <w:t>山东省济南市历城区华奥路777号重汽科技大厦</w:t>
      </w:r>
      <w:r>
        <w:rPr>
          <w:rFonts w:hint="eastAsia" w:asciiTheme="majorEastAsia" w:hAnsiTheme="majorEastAsia" w:eastAsiaTheme="majorEastAsia" w:cstheme="majorEastAsia"/>
          <w:sz w:val="24"/>
          <w:szCs w:val="24"/>
          <w:lang w:val="en-US" w:eastAsia="zh-CN"/>
        </w:rPr>
        <w:t>3楼会议室</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14:paraId="1FAC7C52">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0F0EE9FD">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14:paraId="7FBD0B0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533DA6B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CCCDBA5">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14:paraId="25BF107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0B4B17B3">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杨淑超</w:t>
      </w:r>
    </w:p>
    <w:p w14:paraId="5BB75B62">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17860605820</w:t>
      </w:r>
    </w:p>
    <w:p w14:paraId="3F57C4CC">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商务联系人2：高亚楠</w:t>
      </w:r>
    </w:p>
    <w:p w14:paraId="3AB23D6B">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电话：18645591199</w:t>
      </w:r>
    </w:p>
    <w:p w14:paraId="400D5355">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邮箱：gaoyanan@sinotruk.com</w:t>
      </w:r>
    </w:p>
    <w:p w14:paraId="71914255">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技术联系人：刘磊</w:t>
      </w:r>
    </w:p>
    <w:p w14:paraId="317D4EF0">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电话：13245474837</w:t>
      </w:r>
    </w:p>
    <w:p w14:paraId="6A97F7CB">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邮箱：liu_lei@sinotruk.com</w:t>
      </w:r>
    </w:p>
    <w:p w14:paraId="3B00F455">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61216B8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5B93320D">
      <w:pPr>
        <w:ind w:firstLine="480" w:firstLineChars="20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14:paraId="317ABA5C">
      <w:pPr>
        <w:ind w:firstLine="480" w:firstLineChars="200"/>
        <w:rPr>
          <w:rFonts w:hint="eastAsia" w:asciiTheme="majorEastAsia" w:hAnsiTheme="majorEastAsia" w:eastAsiaTheme="majorEastAsia" w:cstheme="majorEastAsia"/>
          <w:sz w:val="24"/>
          <w:szCs w:val="24"/>
        </w:rPr>
      </w:pPr>
    </w:p>
    <w:p w14:paraId="232D9641">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注：</w:t>
      </w:r>
    </w:p>
    <w:p w14:paraId="12B5F7B5">
      <w:pPr>
        <w:ind w:left="479" w:leftChars="228" w:firstLine="0" w:firstLineChars="0"/>
        <w:rPr>
          <w:rFonts w:hint="eastAsia" w:asciiTheme="majorEastAsia" w:hAnsiTheme="majorEastAsia" w:eastAsiaTheme="majorEastAsia" w:cstheme="majorEastAsia"/>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w:t>
      </w:r>
      <w:r>
        <w:rPr>
          <w:rFonts w:hint="eastAsia" w:ascii="宋体" w:hAnsi="宋体" w:eastAsia="宋体" w:cs="宋体"/>
          <w:sz w:val="24"/>
          <w:szCs w:val="24"/>
          <w:highlight w:val="yellow"/>
          <w:lang w:val="en-US" w:eastAsia="zh-CN"/>
        </w:rPr>
        <w:t>已注册的投标人注意去重汽e采通平台检查更新近三年的经营概况，财务信息更新到近三年，</w:t>
      </w:r>
      <w:r>
        <w:rPr>
          <w:rFonts w:ascii="宋体" w:hAnsi="宋体" w:eastAsia="宋体" w:cs="宋体"/>
          <w:sz w:val="24"/>
          <w:szCs w:val="24"/>
          <w:highlight w:val="yellow"/>
        </w:rPr>
        <w:t>确保信息真实、完整</w:t>
      </w:r>
      <w:r>
        <w:rPr>
          <w:rFonts w:hint="eastAsia" w:ascii="宋体" w:hAnsi="宋体" w:eastAsia="宋体" w:cs="宋体"/>
          <w:sz w:val="24"/>
          <w:szCs w:val="24"/>
          <w:highlight w:val="yellow"/>
          <w:lang w:val="en-US" w:eastAsia="zh-CN"/>
        </w:rPr>
        <w:t>且不许有空余，若因此造成应标不成功，后果由投标人自行承担。（更新路径：重汽e采通-供应商中心-供应商变更-供应商财务数据变更管理-右上角：发起变更；详见SRM系统供应商用户近三年财务数据更新附件3）</w:t>
      </w:r>
    </w:p>
    <w:p w14:paraId="07650A6C">
      <w:pPr>
        <w:ind w:left="479" w:leftChars="228" w:firstLine="0" w:firstLineChars="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②开标过程概述：</w:t>
      </w:r>
    </w:p>
    <w:p w14:paraId="7711A2F2">
      <w:pPr>
        <w:pStyle w:val="8"/>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唱标流程：技术标唱标→技术标澄清→技术标评分→商务标唱标→价格澄清→商务标评审；</w:t>
      </w:r>
    </w:p>
    <w:p w14:paraId="7AAF900C">
      <w:pPr>
        <w:pStyle w:val="8"/>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开标过程A级项目进行三轮开标会，</w:t>
      </w:r>
      <w:r>
        <w:rPr>
          <w:rFonts w:hint="eastAsia" w:hAnsi="宋体" w:eastAsia="宋体" w:cs="宋体"/>
          <w:kern w:val="2"/>
          <w:sz w:val="24"/>
          <w:szCs w:val="24"/>
          <w:lang w:val="en-US" w:eastAsia="zh-CN" w:bidi="ar-SA"/>
        </w:rPr>
        <w:t>每轮均可能淘汰投标方</w:t>
      </w:r>
      <w:r>
        <w:rPr>
          <w:rFonts w:hint="eastAsia" w:ascii="宋体" w:hAnsi="宋体" w:eastAsia="宋体" w:cs="宋体"/>
          <w:kern w:val="2"/>
          <w:sz w:val="24"/>
          <w:szCs w:val="24"/>
          <w:lang w:val="en-US" w:eastAsia="zh-CN" w:bidi="ar-SA"/>
        </w:rPr>
        <w:t>。</w:t>
      </w:r>
    </w:p>
    <w:p w14:paraId="737B5701">
      <w:pPr>
        <w:pStyle w:val="8"/>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第一轮包括技术标答辩和商务标报价环节</w:t>
      </w:r>
      <w:r>
        <w:rPr>
          <w:rFonts w:hint="eastAsia" w:hAnsi="宋体" w:eastAsia="宋体" w:cs="宋体"/>
          <w:kern w:val="2"/>
          <w:sz w:val="24"/>
          <w:szCs w:val="24"/>
          <w:lang w:val="en-US" w:eastAsia="zh-CN" w:bidi="ar-SA"/>
        </w:rPr>
        <w:t>（报价次数没有具体限制，由专家组依据报价情况现场决定）</w:t>
      </w:r>
      <w:r>
        <w:rPr>
          <w:rFonts w:hint="eastAsia" w:ascii="宋体" w:hAnsi="宋体" w:eastAsia="宋体" w:cs="宋体"/>
          <w:kern w:val="2"/>
          <w:sz w:val="24"/>
          <w:szCs w:val="24"/>
          <w:lang w:val="en-US" w:eastAsia="zh-CN" w:bidi="ar-SA"/>
        </w:rPr>
        <w:t>。</w:t>
      </w:r>
    </w:p>
    <w:p w14:paraId="67EDCC87">
      <w:pPr>
        <w:pStyle w:val="8"/>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第二轮由专家组审查第一轮的技术和商务情况，并决定是否继续进行商务报价</w:t>
      </w:r>
      <w:r>
        <w:rPr>
          <w:rFonts w:hint="eastAsia" w:hAnsi="宋体" w:eastAsia="宋体" w:cs="宋体"/>
          <w:kern w:val="2"/>
          <w:sz w:val="24"/>
          <w:szCs w:val="24"/>
          <w:lang w:val="en-US" w:eastAsia="zh-CN" w:bidi="ar-SA"/>
        </w:rPr>
        <w:t>（报价次数没有具体限制，由专家组依据报价情况现场决定）</w:t>
      </w:r>
      <w:r>
        <w:rPr>
          <w:rFonts w:hint="eastAsia" w:ascii="宋体" w:hAnsi="宋体" w:eastAsia="宋体" w:cs="宋体"/>
          <w:kern w:val="2"/>
          <w:sz w:val="24"/>
          <w:szCs w:val="24"/>
          <w:lang w:val="en-US" w:eastAsia="zh-CN" w:bidi="ar-SA"/>
        </w:rPr>
        <w:t>。</w:t>
      </w:r>
    </w:p>
    <w:p w14:paraId="163DB8D7">
      <w:pPr>
        <w:pStyle w:val="8"/>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A级项目第三轮由专家组审查前两轮的技术和商务报价情况。</w:t>
      </w:r>
    </w:p>
    <w:p w14:paraId="41AA7F72">
      <w:pPr>
        <w:rPr>
          <w:rFonts w:hint="eastAsia" w:asciiTheme="majorEastAsia" w:hAnsiTheme="majorEastAsia" w:eastAsiaTheme="majorEastAsia" w:cstheme="majorEastAsia"/>
          <w:sz w:val="22"/>
          <w:szCs w:val="22"/>
          <w:highlight w:val="yellow"/>
          <w:lang w:val="en-US" w:eastAsia="zh-CN"/>
        </w:rPr>
      </w:pPr>
      <w:r>
        <w:rPr>
          <w:rFonts w:hint="eastAsia" w:asciiTheme="majorEastAsia" w:hAnsiTheme="majorEastAsia" w:eastAsiaTheme="majorEastAsia" w:cstheme="majorEastAsia"/>
          <w:sz w:val="22"/>
          <w:szCs w:val="22"/>
          <w:highlight w:val="yellow"/>
          <w:lang w:val="en-US" w:eastAsia="zh-CN"/>
        </w:rPr>
        <w:t>以上招标过程概述为项目联系人对中国重汽招标流程概述，投标人若投标即认可该招标流程。</w:t>
      </w:r>
    </w:p>
    <w:p w14:paraId="7C6170AD">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评审期间产生的技术</w:t>
      </w:r>
      <w:r>
        <w:rPr>
          <w:rFonts w:hint="eastAsia" w:ascii="宋体" w:hAnsi="宋体" w:eastAsia="宋体" w:cs="宋体"/>
          <w:color w:val="auto"/>
          <w:sz w:val="24"/>
          <w:szCs w:val="24"/>
          <w:highlight w:val="none"/>
          <w:lang w:val="en-US" w:eastAsia="zh-CN"/>
        </w:rPr>
        <w:t>和商务价格</w:t>
      </w:r>
      <w:r>
        <w:rPr>
          <w:rFonts w:hint="eastAsia" w:ascii="宋体" w:hAnsi="宋体" w:eastAsia="宋体" w:cs="宋体"/>
          <w:color w:val="auto"/>
          <w:sz w:val="24"/>
          <w:szCs w:val="24"/>
          <w:highlight w:val="none"/>
        </w:rPr>
        <w:t xml:space="preserve">澄清均由投标人在重汽e采通平台内完成提交；投标人均需自带笔记本电脑在重汽e采通平台自主进行投标和提交澄清函；投标和提交澄清函均有时间限制，超时未提交的按无效处理。  </w:t>
      </w:r>
    </w:p>
    <w:p w14:paraId="70331FFE">
      <w:pPr>
        <w:rPr>
          <w:rFonts w:hint="eastAsia" w:ascii="宋体" w:hAnsi="宋体" w:eastAsia="宋体" w:cs="宋体"/>
          <w:color w:val="auto"/>
          <w:sz w:val="24"/>
          <w:szCs w:val="24"/>
          <w:highlight w:val="none"/>
        </w:rPr>
      </w:pPr>
    </w:p>
    <w:p w14:paraId="41E4ABAF">
      <w:pPr>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注意：每一轮在重汽e采通提供澄清报价均有时间限制，未能在规定时间内提交澄清函及报价的视为放弃本次投标。</w:t>
      </w:r>
    </w:p>
    <w:p w14:paraId="52D4E852">
      <w:pPr>
        <w:rPr>
          <w:rFonts w:hint="default" w:asciiTheme="majorEastAsia" w:hAnsiTheme="majorEastAsia" w:eastAsiaTheme="majorEastAsia" w:cstheme="majorEastAsia"/>
          <w:sz w:val="22"/>
          <w:szCs w:val="22"/>
          <w:highlight w:val="yellow"/>
          <w:lang w:val="en-US" w:eastAsia="zh-CN"/>
        </w:rPr>
      </w:pPr>
    </w:p>
    <w:p w14:paraId="1EBA84D7">
      <w:pPr>
        <w:pStyle w:val="8"/>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附件1：</w:t>
      </w:r>
      <w:r>
        <w:rPr>
          <w:rFonts w:hint="eastAsia" w:hAnsi="宋体" w:eastAsia="宋体" w:cs="宋体"/>
          <w:b/>
          <w:bCs/>
          <w:color w:val="000000"/>
          <w:sz w:val="24"/>
          <w:szCs w:val="24"/>
        </w:rPr>
        <w:t>SRM非生产供应商注册操作手册</w:t>
      </w:r>
    </w:p>
    <w:p w14:paraId="7ED3B1FD">
      <w:pPr>
        <w:pStyle w:val="8"/>
        <w:rPr>
          <w:rFonts w:eastAsia="宋体"/>
        </w:rPr>
      </w:pPr>
    </w:p>
    <w:p w14:paraId="3EE9D9E5">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43B51465">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643BCE8">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12B13E29">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14:paraId="6EBB5DA4">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7E0A0978">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9"/>
                    <a:stretch>
                      <a:fillRect/>
                    </a:stretch>
                  </pic:blipFill>
                  <pic:spPr>
                    <a:xfrm>
                      <a:off x="0" y="0"/>
                      <a:ext cx="5760085" cy="2766707"/>
                    </a:xfrm>
                    <a:prstGeom prst="rect">
                      <a:avLst/>
                    </a:prstGeom>
                  </pic:spPr>
                </pic:pic>
              </a:graphicData>
            </a:graphic>
          </wp:inline>
        </w:drawing>
      </w:r>
    </w:p>
    <w:p w14:paraId="6BB10C6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E5F5181">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0"/>
                    <a:stretch>
                      <a:fillRect/>
                    </a:stretch>
                  </pic:blipFill>
                  <pic:spPr>
                    <a:xfrm>
                      <a:off x="0" y="0"/>
                      <a:ext cx="5760085" cy="2870054"/>
                    </a:xfrm>
                    <a:prstGeom prst="rect">
                      <a:avLst/>
                    </a:prstGeom>
                  </pic:spPr>
                </pic:pic>
              </a:graphicData>
            </a:graphic>
          </wp:inline>
        </w:drawing>
      </w:r>
    </w:p>
    <w:p w14:paraId="09CE7AC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A9BADEA">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1"/>
                    <a:stretch>
                      <a:fillRect/>
                    </a:stretch>
                  </pic:blipFill>
                  <pic:spPr>
                    <a:xfrm>
                      <a:off x="0" y="0"/>
                      <a:ext cx="5760085" cy="2853375"/>
                    </a:xfrm>
                    <a:prstGeom prst="rect">
                      <a:avLst/>
                    </a:prstGeom>
                  </pic:spPr>
                </pic:pic>
              </a:graphicData>
            </a:graphic>
          </wp:inline>
        </w:drawing>
      </w:r>
    </w:p>
    <w:p w14:paraId="40227B41">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3268A431">
      <w:pPr>
        <w:pStyle w:val="8"/>
      </w:pPr>
    </w:p>
    <w:p w14:paraId="20547785">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2"/>
                    <a:stretch>
                      <a:fillRect/>
                    </a:stretch>
                  </pic:blipFill>
                  <pic:spPr>
                    <a:xfrm>
                      <a:off x="0" y="0"/>
                      <a:ext cx="5760085" cy="2810122"/>
                    </a:xfrm>
                    <a:prstGeom prst="rect">
                      <a:avLst/>
                    </a:prstGeom>
                  </pic:spPr>
                </pic:pic>
              </a:graphicData>
            </a:graphic>
          </wp:inline>
        </w:drawing>
      </w:r>
    </w:p>
    <w:p w14:paraId="2564D118">
      <w:pPr>
        <w:pStyle w:val="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14:paraId="1E18A332">
      <w:pPr>
        <w:pStyle w:val="8"/>
      </w:pPr>
    </w:p>
    <w:p w14:paraId="1339601F">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BE53A73">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649D3CC7">
      <w:pPr>
        <w:pStyle w:val="8"/>
      </w:pPr>
      <w:r>
        <w:rPr>
          <w:rFonts w:hint="eastAsia" w:hAnsi="宋体" w:eastAsia="宋体" w:cs="宋体"/>
          <w:b/>
          <w:bCs/>
          <w:color w:val="000000"/>
          <w:sz w:val="24"/>
          <w:szCs w:val="28"/>
          <w:highlight w:val="yellow"/>
        </w:rPr>
        <w:t>2.配套能力“供货类别”填“直管单位非生产招标 / 工艺设备 / 工艺设备”，业务主管部门选择“</w:t>
      </w:r>
      <w:r>
        <w:rPr>
          <w:rFonts w:hint="eastAsia" w:hAnsi="宋体" w:eastAsia="宋体" w:cs="宋体"/>
          <w:b/>
          <w:bCs/>
          <w:color w:val="000000"/>
          <w:sz w:val="24"/>
          <w:szCs w:val="28"/>
          <w:highlight w:val="yellow"/>
          <w:lang w:val="en-US" w:eastAsia="zh-CN"/>
        </w:rPr>
        <w:t>工艺研究院</w:t>
      </w:r>
      <w:r>
        <w:rPr>
          <w:rFonts w:hint="eastAsia" w:hAnsi="宋体" w:eastAsia="宋体" w:cs="宋体"/>
          <w:b/>
          <w:bCs/>
          <w:color w:val="000000"/>
          <w:sz w:val="24"/>
          <w:szCs w:val="28"/>
          <w:highlight w:val="yellow"/>
        </w:rPr>
        <w:t>”。</w:t>
      </w:r>
    </w:p>
    <w:p w14:paraId="39BF1441">
      <w:pPr>
        <w:pStyle w:val="8"/>
        <w:sectPr>
          <w:pgSz w:w="11906" w:h="16838"/>
          <w:pgMar w:top="1588" w:right="1418" w:bottom="1134" w:left="1418" w:header="851" w:footer="992" w:gutter="0"/>
          <w:cols w:space="720" w:num="1"/>
          <w:titlePg/>
          <w:docGrid w:type="lines" w:linePitch="312" w:charSpace="0"/>
        </w:sectPr>
      </w:pPr>
    </w:p>
    <w:p w14:paraId="345FF8CE">
      <w:pPr>
        <w:pStyle w:val="8"/>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2</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4591C9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0"/>
          <w:rFonts w:hint="eastAsia" w:ascii="宋体" w:hAnsi="宋体" w:eastAsia="宋体" w:cs="宋体"/>
          <w:sz w:val="24"/>
          <w:szCs w:val="24"/>
        </w:rPr>
        <w:t>https://ecaitong.sinotruk.com:8012/</w:t>
      </w:r>
      <w:r>
        <w:rPr>
          <w:rStyle w:val="20"/>
          <w:rFonts w:hint="eastAsia" w:ascii="宋体" w:hAnsi="宋体" w:eastAsia="宋体" w:cs="宋体"/>
          <w:sz w:val="24"/>
          <w:szCs w:val="24"/>
        </w:rPr>
        <w:fldChar w:fldCharType="end"/>
      </w:r>
    </w:p>
    <w:p w14:paraId="5499A19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871E9F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5F23FBC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AEACE63">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C74775F">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07A0C2C5">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0675A7EB">
      <w:pPr>
        <w:rPr>
          <w:rFonts w:hint="eastAsia"/>
        </w:rPr>
      </w:pPr>
    </w:p>
    <w:p w14:paraId="38006DB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0CAF80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469F0585">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33C3CC47">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9EAECCE">
      <w:pPr>
        <w:pStyle w:val="8"/>
      </w:pPr>
      <w:r>
        <w:rPr>
          <w:rFonts w:hint="eastAsia" w:hAnsi="宋体" w:eastAsia="宋体" w:cs="宋体"/>
          <w:color w:val="000000"/>
          <w:sz w:val="24"/>
          <w:szCs w:val="28"/>
          <w:highlight w:val="yellow"/>
        </w:rPr>
        <w:t>注意：系统内的投标报价单位为“万元”，如开标现场发现填错报价，即直接淘汰。</w:t>
      </w:r>
    </w:p>
    <w:p w14:paraId="0B3A8A8A">
      <w:pPr>
        <w:pStyle w:val="8"/>
        <w:bidi w:val="0"/>
      </w:pPr>
      <w: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5BED6A6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342F58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049B1061">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6A74D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7B92FAE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BEFE23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2E99AAB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7457F59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1FB4CC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3D0BF3B6">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9A65D0E">
      <w:pPr>
        <w:pStyle w:val="8"/>
        <w:bidi w:val="0"/>
      </w:pPr>
      <w: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6741222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4A00133F">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11D38316">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0089D4D5">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1956600"/>
                    </a:xfrm>
                    <a:prstGeom prst="rect">
                      <a:avLst/>
                    </a:prstGeom>
                  </pic:spPr>
                </pic:pic>
              </a:graphicData>
            </a:graphic>
          </wp:inline>
        </w:drawing>
      </w:r>
    </w:p>
    <w:p w14:paraId="67797A16">
      <w:pPr>
        <w:pStyle w:val="8"/>
        <w:rPr>
          <w:rFonts w:hint="eastAsia" w:hAnsi="宋体" w:eastAsia="宋体" w:cs="Times New Roman"/>
          <w:b/>
          <w:color w:val="000000"/>
          <w:sz w:val="24"/>
          <w:szCs w:val="24"/>
        </w:rPr>
      </w:pPr>
    </w:p>
    <w:p w14:paraId="5129D0CC">
      <w:pPr>
        <w:pStyle w:val="8"/>
        <w:rPr>
          <w:rFonts w:hint="eastAsia" w:hAnsi="宋体" w:eastAsia="宋体" w:cs="Times New Roman"/>
          <w:b/>
          <w:color w:val="000000"/>
          <w:sz w:val="24"/>
          <w:szCs w:val="24"/>
        </w:rPr>
      </w:pPr>
    </w:p>
    <w:p w14:paraId="09D63BEF">
      <w:pPr>
        <w:pStyle w:val="8"/>
        <w:bidi w:val="0"/>
        <w:rPr>
          <w:rFonts w:hint="eastAsia"/>
        </w:rPr>
      </w:pPr>
    </w:p>
    <w:p w14:paraId="6AE5B976">
      <w:pPr>
        <w:pStyle w:val="8"/>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3</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14:paraId="341BC1C8">
      <w:pPr>
        <w:bidi w:val="0"/>
      </w:pPr>
      <w:r>
        <w:drawing>
          <wp:inline distT="0" distB="0" distL="114300" distR="114300">
            <wp:extent cx="5749290" cy="2501265"/>
            <wp:effectExtent l="0" t="0" r="381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0"/>
                    <a:stretch>
                      <a:fillRect/>
                    </a:stretch>
                  </pic:blipFill>
                  <pic:spPr>
                    <a:xfrm>
                      <a:off x="0" y="0"/>
                      <a:ext cx="5749290" cy="2501265"/>
                    </a:xfrm>
                    <a:prstGeom prst="rect">
                      <a:avLst/>
                    </a:prstGeom>
                    <a:noFill/>
                    <a:ln>
                      <a:noFill/>
                    </a:ln>
                  </pic:spPr>
                </pic:pic>
              </a:graphicData>
            </a:graphic>
          </wp:inline>
        </w:drawing>
      </w:r>
    </w:p>
    <w:p w14:paraId="747E0D4C">
      <w:pPr>
        <w:bidi w:val="0"/>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1"/>
                    <a:stretch>
                      <a:fillRect/>
                    </a:stretch>
                  </pic:blipFill>
                  <pic:spPr>
                    <a:xfrm>
                      <a:off x="0" y="0"/>
                      <a:ext cx="5746750" cy="3303270"/>
                    </a:xfrm>
                    <a:prstGeom prst="rect">
                      <a:avLst/>
                    </a:prstGeom>
                    <a:noFill/>
                    <a:ln>
                      <a:noFill/>
                    </a:ln>
                  </pic:spPr>
                </pic:pic>
              </a:graphicData>
            </a:graphic>
          </wp:inline>
        </w:drawing>
      </w:r>
    </w:p>
    <w:p w14:paraId="6AEF790E">
      <w:pPr>
        <w:bidi w:val="0"/>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22"/>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23"/>
                    <a:stretch>
                      <a:fillRect/>
                    </a:stretch>
                  </pic:blipFill>
                  <pic:spPr>
                    <a:xfrm>
                      <a:off x="0" y="0"/>
                      <a:ext cx="5742940" cy="2925445"/>
                    </a:xfrm>
                    <a:prstGeom prst="rect">
                      <a:avLst/>
                    </a:prstGeom>
                    <a:noFill/>
                    <a:ln>
                      <a:noFill/>
                    </a:ln>
                  </pic:spPr>
                </pic:pic>
              </a:graphicData>
            </a:graphic>
          </wp:inline>
        </w:drawing>
      </w:r>
    </w:p>
    <w:p w14:paraId="1CB716DF"/>
    <w:p w14:paraId="4E1C36EC">
      <w:pPr>
        <w:pStyle w:val="3"/>
        <w:bidi w:val="0"/>
        <w:rPr>
          <w:rFonts w:hint="eastAsia"/>
          <w:lang w:val="en-US" w:eastAsia="zh-CN"/>
        </w:rPr>
        <w:sectPr>
          <w:pgSz w:w="11906" w:h="16838"/>
          <w:pgMar w:top="1440" w:right="1800" w:bottom="1440" w:left="1800" w:header="851" w:footer="992" w:gutter="0"/>
          <w:cols w:space="425" w:num="1"/>
          <w:docGrid w:type="lines" w:linePitch="312" w:charSpace="0"/>
        </w:sectPr>
      </w:pPr>
    </w:p>
    <w:p w14:paraId="0667C82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bookmarkStart w:id="2" w:name="_Toc212369550"/>
      <w:bookmarkStart w:id="3" w:name="_Toc25811"/>
      <w:bookmarkStart w:id="4" w:name="_Toc353881012"/>
      <w:bookmarkStart w:id="5"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2"/>
      <w:bookmarkEnd w:id="3"/>
      <w:bookmarkEnd w:id="4"/>
      <w:bookmarkEnd w:id="5"/>
    </w:p>
    <w:p w14:paraId="56761C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致：中国重汽集团济南卡车股份有限公司：</w:t>
      </w:r>
    </w:p>
    <w:p w14:paraId="0C4119C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u w:val="single"/>
        </w:rPr>
        <w:t>汕德卡TGA驾驶室侧围升级新增冲压模具技改项目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3887958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4481386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C5CF29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04D3C01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4A7DB48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5384A93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35D7A7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42F80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D55BFA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DA63A1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D0E74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E8C69B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BC0A3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850B9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BE8BDF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1ACC602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D90C30E">
      <w:pPr>
        <w:rPr>
          <w:rFonts w:ascii="黑体" w:hAnsi="Calibri" w:eastAsia="黑体" w:cs="Times New Roman"/>
          <w:color w:val="000000"/>
          <w:sz w:val="24"/>
          <w:szCs w:val="24"/>
        </w:rPr>
      </w:pPr>
    </w:p>
    <w:p w14:paraId="2597CD99">
      <w:pPr>
        <w:rPr>
          <w:rFonts w:ascii="黑体" w:hAnsi="Calibri" w:eastAsia="黑体" w:cs="Times New Roman"/>
          <w:color w:val="000000"/>
          <w:sz w:val="24"/>
          <w:szCs w:val="24"/>
        </w:rPr>
      </w:pPr>
    </w:p>
    <w:p w14:paraId="4BB7346F">
      <w:pPr>
        <w:pStyle w:val="8"/>
        <w:rPr>
          <w:rFonts w:ascii="黑体" w:hAnsi="Calibri" w:eastAsia="黑体" w:cs="Times New Roman"/>
          <w:color w:val="000000"/>
          <w:sz w:val="24"/>
          <w:szCs w:val="24"/>
        </w:rPr>
      </w:pPr>
    </w:p>
    <w:p w14:paraId="4E635599">
      <w:pPr>
        <w:pStyle w:val="8"/>
        <w:rPr>
          <w:rFonts w:ascii="黑体" w:hAnsi="Calibri" w:eastAsia="黑体" w:cs="Times New Roman"/>
          <w:color w:val="000000"/>
          <w:sz w:val="24"/>
          <w:szCs w:val="24"/>
        </w:rPr>
      </w:pPr>
    </w:p>
    <w:p w14:paraId="53D7AF2A">
      <w:pPr>
        <w:pStyle w:val="8"/>
        <w:rPr>
          <w:rFonts w:ascii="黑体" w:hAnsi="Calibri" w:eastAsia="黑体" w:cs="Times New Roman"/>
          <w:color w:val="000000"/>
          <w:sz w:val="24"/>
          <w:szCs w:val="24"/>
        </w:rPr>
      </w:pPr>
    </w:p>
    <w:p w14:paraId="1467BD45">
      <w:pPr>
        <w:pStyle w:val="8"/>
        <w:rPr>
          <w:rFonts w:ascii="黑体" w:hAnsi="Calibri" w:eastAsia="黑体" w:cs="Times New Roman"/>
          <w:color w:val="000000"/>
          <w:sz w:val="24"/>
          <w:szCs w:val="24"/>
        </w:rPr>
      </w:pPr>
    </w:p>
    <w:p w14:paraId="6AD4BFD4">
      <w:pPr>
        <w:rPr>
          <w:rFonts w:ascii="黑体" w:hAnsi="Calibri" w:eastAsia="黑体" w:cs="Times New Roman"/>
          <w:color w:val="000000"/>
          <w:sz w:val="24"/>
          <w:szCs w:val="24"/>
        </w:rPr>
      </w:pPr>
    </w:p>
    <w:p w14:paraId="7ED017F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法定代表人授权委托书</w:t>
      </w:r>
    </w:p>
    <w:p w14:paraId="1033FA3B">
      <w:pPr>
        <w:adjustRightInd w:val="0"/>
        <w:snapToGrid w:val="0"/>
        <w:spacing w:before="93" w:beforeLines="30" w:line="240" w:lineRule="exact"/>
        <w:jc w:val="center"/>
        <w:rPr>
          <w:rFonts w:ascii="宋体" w:hAnsi="Calibri" w:eastAsia="宋体" w:cs="Times New Roman"/>
          <w:sz w:val="24"/>
          <w:szCs w:val="20"/>
        </w:rPr>
      </w:pPr>
    </w:p>
    <w:p w14:paraId="351376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u w:val="single"/>
        </w:rPr>
        <w:t>汕德卡TGA驾驶室侧围升级新增冲压模具技改项目，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B17C5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6C2F1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1FC27A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61899917">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2FB2F0E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ED09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48A1D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18BD22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C09FC3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61E4A0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430A221E">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6CBA83F">
      <w:pPr>
        <w:rPr>
          <w:rFonts w:ascii="Calibri" w:hAnsi="Calibri" w:eastAsia="黑体" w:cs="Times New Roman"/>
          <w:b/>
          <w:bCs/>
          <w:color w:val="000000"/>
          <w:sz w:val="28"/>
          <w:szCs w:val="20"/>
        </w:rPr>
      </w:pPr>
    </w:p>
    <w:p w14:paraId="7E02606F">
      <w:pPr>
        <w:pStyle w:val="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C3A83BA">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hint="eastAsia" w:ascii="宋体" w:hAnsi="宋体" w:eastAsia="宋体" w:cs="宋体"/>
          <w:spacing w:val="-14"/>
          <w:sz w:val="24"/>
          <w:szCs w:val="24"/>
          <w:lang w:val="en-US"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2BDC44B9">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756CBC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3C4531FE">
            <w:pPr>
              <w:pStyle w:val="27"/>
              <w:spacing w:before="114"/>
              <w:ind w:left="720"/>
            </w:pPr>
            <w:r>
              <w:t xml:space="preserve">企业名称 </w:t>
            </w:r>
          </w:p>
        </w:tc>
        <w:tc>
          <w:tcPr>
            <w:tcW w:w="4680" w:type="dxa"/>
            <w:gridSpan w:val="4"/>
            <w:vAlign w:val="center"/>
          </w:tcPr>
          <w:p w14:paraId="459BAD5F">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0056F606">
            <w:pPr>
              <w:pStyle w:val="2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2328F5DC">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604F8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679428CA">
            <w:pPr>
              <w:pStyle w:val="27"/>
              <w:spacing w:before="114"/>
              <w:ind w:left="720"/>
            </w:pPr>
            <w:r>
              <w:t xml:space="preserve">企业地址 </w:t>
            </w:r>
          </w:p>
        </w:tc>
        <w:tc>
          <w:tcPr>
            <w:tcW w:w="4680" w:type="dxa"/>
            <w:gridSpan w:val="4"/>
            <w:vAlign w:val="center"/>
          </w:tcPr>
          <w:p w14:paraId="39EDB443">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6F2930E0">
            <w:pPr>
              <w:pStyle w:val="2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1A44E69B">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2F47B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697054F">
            <w:pPr>
              <w:pStyle w:val="27"/>
              <w:spacing w:before="111"/>
              <w:ind w:left="720"/>
            </w:pPr>
            <w:r>
              <w:t xml:space="preserve">企业性质 </w:t>
            </w:r>
          </w:p>
        </w:tc>
        <w:tc>
          <w:tcPr>
            <w:tcW w:w="4680" w:type="dxa"/>
            <w:gridSpan w:val="4"/>
            <w:vAlign w:val="center"/>
          </w:tcPr>
          <w:p w14:paraId="4AB38463">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63EA97E3">
            <w:pPr>
              <w:pStyle w:val="27"/>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9D1DC1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AFFC8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81F8E62">
            <w:pPr>
              <w:pStyle w:val="27"/>
              <w:spacing w:before="111"/>
              <w:ind w:left="509"/>
              <w:rPr>
                <w:highlight w:val="yellow"/>
              </w:rPr>
            </w:pPr>
            <w:r>
              <w:t xml:space="preserve">企业法人代表  </w:t>
            </w:r>
          </w:p>
        </w:tc>
        <w:tc>
          <w:tcPr>
            <w:tcW w:w="4680" w:type="dxa"/>
            <w:gridSpan w:val="4"/>
          </w:tcPr>
          <w:p w14:paraId="2DA62835">
            <w:pPr>
              <w:pStyle w:val="3"/>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5A615497">
            <w:pPr>
              <w:pStyle w:val="27"/>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62F70EC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CC8BC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1BCDF21">
            <w:pPr>
              <w:pStyle w:val="27"/>
              <w:spacing w:before="114"/>
              <w:ind w:left="720"/>
            </w:pPr>
            <w:r>
              <w:t xml:space="preserve">品牌区分 </w:t>
            </w:r>
          </w:p>
        </w:tc>
        <w:tc>
          <w:tcPr>
            <w:tcW w:w="7500" w:type="dxa"/>
            <w:gridSpan w:val="6"/>
          </w:tcPr>
          <w:p w14:paraId="45C8A0AC">
            <w:pPr>
              <w:pStyle w:val="27"/>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21730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BEEBFAE">
            <w:pPr>
              <w:pStyle w:val="27"/>
              <w:spacing w:before="178"/>
              <w:ind w:left="720"/>
            </w:pPr>
            <w:r>
              <w:t xml:space="preserve">品牌名称 </w:t>
            </w:r>
          </w:p>
        </w:tc>
        <w:tc>
          <w:tcPr>
            <w:tcW w:w="3583" w:type="dxa"/>
            <w:gridSpan w:val="3"/>
            <w:vAlign w:val="center"/>
          </w:tcPr>
          <w:p w14:paraId="113C6123">
            <w:pPr>
              <w:widowControl/>
              <w:rPr>
                <w:rFonts w:ascii="宋体" w:hAnsi="宋体" w:eastAsia="仿宋_GB2312"/>
                <w:kern w:val="0"/>
                <w:szCs w:val="21"/>
                <w:lang w:bidi="ar"/>
              </w:rPr>
            </w:pPr>
          </w:p>
        </w:tc>
        <w:tc>
          <w:tcPr>
            <w:tcW w:w="1097" w:type="dxa"/>
          </w:tcPr>
          <w:p w14:paraId="546736FB">
            <w:pPr>
              <w:pStyle w:val="27"/>
              <w:spacing w:before="15"/>
              <w:ind w:left="279"/>
            </w:pPr>
            <w:r>
              <w:rPr>
                <w:spacing w:val="-2"/>
              </w:rPr>
              <w:t>质量</w:t>
            </w:r>
            <w:r>
              <w:t xml:space="preserve"> </w:t>
            </w:r>
          </w:p>
          <w:p w14:paraId="16B52F07">
            <w:pPr>
              <w:pStyle w:val="27"/>
              <w:spacing w:before="30" w:line="277" w:lineRule="exact"/>
              <w:ind w:left="279"/>
            </w:pPr>
            <w:r>
              <w:rPr>
                <w:rFonts w:hint="eastAsia"/>
              </w:rPr>
              <w:t>体系</w:t>
            </w:r>
          </w:p>
        </w:tc>
        <w:tc>
          <w:tcPr>
            <w:tcW w:w="2820" w:type="dxa"/>
            <w:gridSpan w:val="2"/>
          </w:tcPr>
          <w:p w14:paraId="3FD9CBFA">
            <w:pPr>
              <w:pStyle w:val="27"/>
              <w:spacing w:before="158"/>
              <w:jc w:val="center"/>
              <w:rPr>
                <w:sz w:val="24"/>
              </w:rPr>
            </w:pPr>
            <w:r>
              <w:rPr>
                <w:rFonts w:hint="eastAsia"/>
                <w:kern w:val="0"/>
                <w:szCs w:val="21"/>
                <w:lang w:bidi="ar"/>
              </w:rPr>
              <w:t>/</w:t>
            </w:r>
          </w:p>
        </w:tc>
      </w:tr>
      <w:tr w14:paraId="3563C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54860B14">
            <w:pPr>
              <w:pStyle w:val="27"/>
              <w:spacing w:before="149"/>
              <w:ind w:left="3345" w:right="3223"/>
              <w:jc w:val="center"/>
            </w:pPr>
            <w:r>
              <w:rPr>
                <w:rFonts w:hint="eastAsia"/>
                <w:szCs w:val="21"/>
              </w:rPr>
              <w:t>单位概况</w:t>
            </w:r>
          </w:p>
        </w:tc>
      </w:tr>
      <w:tr w14:paraId="4965E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51218418">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0DD56B6E">
            <w:pPr>
              <w:widowControl/>
              <w:textAlignment w:val="center"/>
              <w:rPr>
                <w:rFonts w:ascii="宋体" w:hAnsi="宋体" w:eastAsia="宋体" w:cs="宋体"/>
                <w:szCs w:val="21"/>
              </w:rPr>
            </w:pPr>
          </w:p>
        </w:tc>
        <w:tc>
          <w:tcPr>
            <w:tcW w:w="1530" w:type="dxa"/>
            <w:vAlign w:val="center"/>
          </w:tcPr>
          <w:p w14:paraId="4F872537">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0EAB890C">
            <w:pPr>
              <w:widowControl/>
              <w:jc w:val="center"/>
              <w:textAlignment w:val="center"/>
              <w:rPr>
                <w:rFonts w:ascii="宋体" w:hAnsi="宋体" w:eastAsia="宋体" w:cs="宋体"/>
                <w:szCs w:val="21"/>
              </w:rPr>
            </w:pPr>
          </w:p>
        </w:tc>
        <w:tc>
          <w:tcPr>
            <w:tcW w:w="1097" w:type="dxa"/>
            <w:vAlign w:val="center"/>
          </w:tcPr>
          <w:p w14:paraId="65B55192">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7807416D">
            <w:pPr>
              <w:widowControl/>
              <w:jc w:val="center"/>
              <w:textAlignment w:val="center"/>
              <w:rPr>
                <w:rFonts w:ascii="宋体" w:hAnsi="宋体" w:eastAsia="宋体" w:cs="宋体"/>
                <w:szCs w:val="21"/>
              </w:rPr>
            </w:pPr>
          </w:p>
        </w:tc>
      </w:tr>
      <w:tr w14:paraId="465CAF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658E0653">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4958003">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59C7B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CB68B9A">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3216894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A13F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F3F6A02">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ED2DA78">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07EE0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C0F4EC6">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624DDF5D">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6995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E65664C">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312782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3956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4E7A1E6">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53A95E6">
            <w:pPr>
              <w:widowControl/>
              <w:jc w:val="left"/>
              <w:rPr>
                <w:rFonts w:ascii="宋体" w:hAnsi="宋体" w:eastAsia="宋体" w:cs="宋体"/>
                <w:kern w:val="0"/>
                <w:szCs w:val="21"/>
                <w:lang w:bidi="ar"/>
              </w:rPr>
            </w:pPr>
          </w:p>
        </w:tc>
      </w:tr>
    </w:tbl>
    <w:p w14:paraId="4658499D">
      <w:pPr>
        <w:pStyle w:val="8"/>
        <w:rPr>
          <w:rFonts w:ascii="Times New Roman" w:hAnsi="Times New Roman" w:eastAsia="宋体" w:cs="Times New Roman"/>
          <w:b/>
          <w:bCs/>
          <w:color w:val="000000"/>
          <w:sz w:val="24"/>
          <w:szCs w:val="24"/>
        </w:rPr>
      </w:pPr>
    </w:p>
    <w:p w14:paraId="440CF2C3">
      <w:pPr>
        <w:pStyle w:val="8"/>
        <w:rPr>
          <w:rFonts w:ascii="Times New Roman" w:hAnsi="Times New Roman" w:eastAsia="宋体" w:cs="Times New Roman"/>
          <w:b/>
          <w:bCs/>
          <w:color w:val="000000"/>
          <w:sz w:val="24"/>
          <w:szCs w:val="24"/>
        </w:rPr>
      </w:pPr>
    </w:p>
    <w:p w14:paraId="3FC9FDCE">
      <w:pPr>
        <w:pStyle w:val="8"/>
        <w:rPr>
          <w:rFonts w:ascii="Times New Roman" w:hAnsi="Times New Roman" w:eastAsia="宋体" w:cs="Times New Roman"/>
          <w:b/>
          <w:bCs/>
          <w:color w:val="000000"/>
          <w:sz w:val="24"/>
          <w:szCs w:val="24"/>
        </w:rPr>
      </w:pPr>
    </w:p>
    <w:p w14:paraId="431A8EF1">
      <w:pPr>
        <w:pStyle w:val="8"/>
        <w:rPr>
          <w:rFonts w:ascii="Times New Roman" w:hAnsi="Times New Roman" w:eastAsia="宋体" w:cs="Times New Roman"/>
          <w:b/>
          <w:bCs/>
          <w:color w:val="000000"/>
          <w:sz w:val="24"/>
          <w:szCs w:val="24"/>
        </w:rPr>
      </w:pPr>
    </w:p>
    <w:p w14:paraId="6CEA9BD9">
      <w:pPr>
        <w:pStyle w:val="8"/>
        <w:rPr>
          <w:rFonts w:ascii="Times New Roman" w:hAnsi="Times New Roman" w:eastAsia="宋体" w:cs="Times New Roman"/>
          <w:b/>
          <w:bCs/>
          <w:color w:val="000000"/>
          <w:sz w:val="24"/>
          <w:szCs w:val="24"/>
        </w:rPr>
      </w:pPr>
    </w:p>
    <w:p w14:paraId="7F69CE09">
      <w:pPr>
        <w:pStyle w:val="8"/>
        <w:rPr>
          <w:rFonts w:ascii="Times New Roman" w:hAnsi="Times New Roman" w:eastAsia="宋体" w:cs="Times New Roman"/>
          <w:b/>
          <w:bCs/>
          <w:color w:val="000000"/>
          <w:sz w:val="24"/>
          <w:szCs w:val="24"/>
        </w:rPr>
      </w:pPr>
    </w:p>
    <w:p w14:paraId="1912395D">
      <w:pPr>
        <w:pStyle w:val="8"/>
        <w:rPr>
          <w:rFonts w:ascii="Times New Roman" w:hAnsi="Times New Roman" w:eastAsia="宋体" w:cs="Times New Roman"/>
          <w:b/>
          <w:bCs/>
          <w:color w:val="000000"/>
          <w:sz w:val="24"/>
          <w:szCs w:val="24"/>
        </w:rPr>
      </w:pPr>
    </w:p>
    <w:p w14:paraId="6B2F75A1">
      <w:pPr>
        <w:pStyle w:val="8"/>
        <w:rPr>
          <w:rFonts w:ascii="Times New Roman" w:hAnsi="Times New Roman" w:eastAsia="宋体" w:cs="Times New Roman"/>
          <w:b/>
          <w:bCs/>
          <w:color w:val="000000"/>
          <w:sz w:val="24"/>
          <w:szCs w:val="24"/>
        </w:rPr>
      </w:pPr>
    </w:p>
    <w:p w14:paraId="16C0A152">
      <w:pPr>
        <w:pStyle w:val="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76F975C4">
      <w:pPr>
        <w:pStyle w:val="8"/>
        <w:rPr>
          <w:rFonts w:ascii="Times New Roman" w:hAnsi="Times New Roman" w:eastAsia="宋体" w:cs="Times New Roman"/>
          <w:b/>
          <w:bCs/>
          <w:color w:val="000000"/>
          <w:sz w:val="24"/>
          <w:szCs w:val="24"/>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334E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B27DC22">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24F50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C0B281">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3B8CD5DB">
            <w:pPr>
              <w:spacing w:line="440" w:lineRule="exact"/>
              <w:jc w:val="center"/>
              <w:rPr>
                <w:rFonts w:ascii="宋体" w:hAnsi="宋体"/>
                <w:color w:val="000000"/>
                <w:sz w:val="24"/>
                <w:szCs w:val="24"/>
              </w:rPr>
            </w:pPr>
          </w:p>
        </w:tc>
      </w:tr>
      <w:tr w14:paraId="3E21A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73FDE5B">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18422F6A">
            <w:pPr>
              <w:spacing w:line="440" w:lineRule="exact"/>
              <w:jc w:val="center"/>
              <w:rPr>
                <w:rFonts w:ascii="宋体" w:hAnsi="宋体"/>
                <w:color w:val="000000"/>
                <w:sz w:val="24"/>
                <w:szCs w:val="24"/>
              </w:rPr>
            </w:pPr>
          </w:p>
        </w:tc>
      </w:tr>
      <w:tr w14:paraId="7AAAA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D0ED534">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2D15EBF5">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3D09D518">
            <w:pPr>
              <w:spacing w:line="440" w:lineRule="exact"/>
              <w:jc w:val="center"/>
              <w:rPr>
                <w:rFonts w:ascii="宋体" w:hAnsi="宋体"/>
                <w:color w:val="000000"/>
                <w:sz w:val="24"/>
                <w:szCs w:val="24"/>
              </w:rPr>
            </w:pPr>
            <w:r>
              <w:rPr>
                <w:rFonts w:hint="eastAsia" w:ascii="宋体" w:hAnsi="宋体" w:eastAsia="宋体"/>
                <w:color w:val="000000"/>
                <w:sz w:val="24"/>
                <w:szCs w:val="24"/>
              </w:rPr>
              <w:t>2024年</w:t>
            </w:r>
          </w:p>
        </w:tc>
        <w:tc>
          <w:tcPr>
            <w:tcW w:w="1288" w:type="dxa"/>
            <w:vAlign w:val="center"/>
          </w:tcPr>
          <w:p w14:paraId="3D40D14F">
            <w:pPr>
              <w:spacing w:line="440" w:lineRule="exact"/>
              <w:jc w:val="center"/>
              <w:rPr>
                <w:rFonts w:ascii="宋体" w:hAnsi="宋体"/>
                <w:color w:val="000000"/>
                <w:sz w:val="24"/>
                <w:szCs w:val="24"/>
              </w:rPr>
            </w:pPr>
            <w:r>
              <w:rPr>
                <w:rFonts w:hint="eastAsia" w:ascii="宋体" w:hAnsi="宋体" w:eastAsia="宋体"/>
                <w:color w:val="000000"/>
                <w:sz w:val="24"/>
                <w:szCs w:val="24"/>
              </w:rPr>
              <w:t>2025年</w:t>
            </w:r>
          </w:p>
        </w:tc>
      </w:tr>
      <w:tr w14:paraId="495C9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05BD26F">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5DA4AF62">
            <w:pPr>
              <w:spacing w:line="440" w:lineRule="exact"/>
              <w:jc w:val="center"/>
              <w:rPr>
                <w:rFonts w:ascii="宋体" w:hAnsi="宋体"/>
                <w:color w:val="000000"/>
                <w:sz w:val="24"/>
                <w:szCs w:val="24"/>
              </w:rPr>
            </w:pPr>
          </w:p>
        </w:tc>
        <w:tc>
          <w:tcPr>
            <w:tcW w:w="1288" w:type="dxa"/>
          </w:tcPr>
          <w:p w14:paraId="11E93240">
            <w:pPr>
              <w:spacing w:line="440" w:lineRule="exact"/>
              <w:jc w:val="center"/>
              <w:rPr>
                <w:rFonts w:ascii="宋体" w:hAnsi="宋体"/>
                <w:color w:val="000000"/>
                <w:sz w:val="24"/>
                <w:szCs w:val="24"/>
              </w:rPr>
            </w:pPr>
          </w:p>
        </w:tc>
        <w:tc>
          <w:tcPr>
            <w:tcW w:w="1288" w:type="dxa"/>
          </w:tcPr>
          <w:p w14:paraId="3A39757A">
            <w:pPr>
              <w:spacing w:line="440" w:lineRule="exact"/>
              <w:jc w:val="center"/>
              <w:rPr>
                <w:rFonts w:ascii="宋体" w:hAnsi="宋体"/>
                <w:color w:val="000000"/>
                <w:sz w:val="24"/>
                <w:szCs w:val="24"/>
              </w:rPr>
            </w:pPr>
          </w:p>
        </w:tc>
      </w:tr>
      <w:tr w14:paraId="1247C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A4A7D1">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6AC6F542">
            <w:pPr>
              <w:spacing w:line="440" w:lineRule="exact"/>
              <w:jc w:val="center"/>
              <w:rPr>
                <w:rFonts w:ascii="宋体" w:hAnsi="宋体"/>
                <w:color w:val="000000"/>
                <w:sz w:val="24"/>
                <w:szCs w:val="24"/>
              </w:rPr>
            </w:pPr>
          </w:p>
        </w:tc>
        <w:tc>
          <w:tcPr>
            <w:tcW w:w="1288" w:type="dxa"/>
          </w:tcPr>
          <w:p w14:paraId="6DBBDA63">
            <w:pPr>
              <w:spacing w:line="440" w:lineRule="exact"/>
              <w:jc w:val="center"/>
              <w:rPr>
                <w:rFonts w:ascii="宋体" w:hAnsi="宋体"/>
                <w:color w:val="000000"/>
                <w:sz w:val="24"/>
                <w:szCs w:val="24"/>
              </w:rPr>
            </w:pPr>
          </w:p>
        </w:tc>
        <w:tc>
          <w:tcPr>
            <w:tcW w:w="1288" w:type="dxa"/>
          </w:tcPr>
          <w:p w14:paraId="5AB5FA14">
            <w:pPr>
              <w:spacing w:line="440" w:lineRule="exact"/>
              <w:jc w:val="center"/>
              <w:rPr>
                <w:rFonts w:ascii="宋体" w:hAnsi="宋体"/>
                <w:color w:val="000000"/>
                <w:sz w:val="24"/>
                <w:szCs w:val="24"/>
              </w:rPr>
            </w:pPr>
          </w:p>
        </w:tc>
      </w:tr>
      <w:tr w14:paraId="55BCE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62AD20F">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13C98037">
            <w:pPr>
              <w:spacing w:line="440" w:lineRule="exact"/>
              <w:jc w:val="center"/>
              <w:rPr>
                <w:rFonts w:ascii="宋体" w:hAnsi="宋体"/>
                <w:color w:val="000000"/>
                <w:sz w:val="24"/>
                <w:szCs w:val="24"/>
                <w:highlight w:val="yellow"/>
              </w:rPr>
            </w:pPr>
          </w:p>
        </w:tc>
        <w:tc>
          <w:tcPr>
            <w:tcW w:w="1288" w:type="dxa"/>
          </w:tcPr>
          <w:p w14:paraId="34486DA3">
            <w:pPr>
              <w:spacing w:line="440" w:lineRule="exact"/>
              <w:jc w:val="center"/>
              <w:rPr>
                <w:rFonts w:ascii="宋体" w:hAnsi="宋体"/>
                <w:color w:val="000000"/>
                <w:sz w:val="24"/>
                <w:szCs w:val="24"/>
                <w:highlight w:val="yellow"/>
              </w:rPr>
            </w:pPr>
          </w:p>
        </w:tc>
        <w:tc>
          <w:tcPr>
            <w:tcW w:w="1288" w:type="dxa"/>
          </w:tcPr>
          <w:p w14:paraId="59A2CDC5">
            <w:pPr>
              <w:spacing w:line="440" w:lineRule="exact"/>
              <w:jc w:val="center"/>
              <w:rPr>
                <w:rFonts w:ascii="宋体" w:hAnsi="宋体"/>
                <w:color w:val="000000"/>
                <w:sz w:val="24"/>
                <w:szCs w:val="24"/>
                <w:highlight w:val="yellow"/>
              </w:rPr>
            </w:pPr>
          </w:p>
        </w:tc>
      </w:tr>
      <w:tr w14:paraId="0245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B75E08B">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04341A67">
            <w:pPr>
              <w:spacing w:line="440" w:lineRule="exact"/>
              <w:jc w:val="center"/>
              <w:rPr>
                <w:rFonts w:ascii="宋体" w:hAnsi="宋体"/>
                <w:color w:val="000000"/>
                <w:sz w:val="24"/>
                <w:szCs w:val="24"/>
              </w:rPr>
            </w:pPr>
          </w:p>
        </w:tc>
        <w:tc>
          <w:tcPr>
            <w:tcW w:w="1288" w:type="dxa"/>
          </w:tcPr>
          <w:p w14:paraId="5DE59617">
            <w:pPr>
              <w:spacing w:line="440" w:lineRule="exact"/>
              <w:jc w:val="center"/>
              <w:rPr>
                <w:rFonts w:ascii="宋体" w:hAnsi="宋体"/>
                <w:color w:val="000000"/>
                <w:sz w:val="24"/>
                <w:szCs w:val="24"/>
              </w:rPr>
            </w:pPr>
          </w:p>
        </w:tc>
        <w:tc>
          <w:tcPr>
            <w:tcW w:w="1288" w:type="dxa"/>
          </w:tcPr>
          <w:p w14:paraId="4BBBE4CB">
            <w:pPr>
              <w:spacing w:line="440" w:lineRule="exact"/>
              <w:jc w:val="center"/>
              <w:rPr>
                <w:rFonts w:ascii="宋体" w:hAnsi="宋体"/>
                <w:color w:val="000000"/>
                <w:sz w:val="24"/>
                <w:szCs w:val="24"/>
              </w:rPr>
            </w:pPr>
          </w:p>
        </w:tc>
      </w:tr>
      <w:tr w14:paraId="75A3D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1800F51">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18D87690">
            <w:pPr>
              <w:spacing w:line="440" w:lineRule="exact"/>
              <w:jc w:val="center"/>
              <w:rPr>
                <w:rFonts w:ascii="宋体" w:hAnsi="宋体"/>
                <w:color w:val="000000"/>
                <w:sz w:val="24"/>
                <w:szCs w:val="24"/>
              </w:rPr>
            </w:pPr>
          </w:p>
        </w:tc>
        <w:tc>
          <w:tcPr>
            <w:tcW w:w="1288" w:type="dxa"/>
          </w:tcPr>
          <w:p w14:paraId="43493E84">
            <w:pPr>
              <w:spacing w:line="440" w:lineRule="exact"/>
              <w:jc w:val="center"/>
              <w:rPr>
                <w:rFonts w:ascii="宋体" w:hAnsi="宋体"/>
                <w:color w:val="000000"/>
                <w:sz w:val="24"/>
                <w:szCs w:val="24"/>
              </w:rPr>
            </w:pPr>
          </w:p>
        </w:tc>
        <w:tc>
          <w:tcPr>
            <w:tcW w:w="1288" w:type="dxa"/>
          </w:tcPr>
          <w:p w14:paraId="6BF01D60">
            <w:pPr>
              <w:spacing w:line="440" w:lineRule="exact"/>
              <w:jc w:val="center"/>
              <w:rPr>
                <w:rFonts w:ascii="宋体" w:hAnsi="宋体"/>
                <w:color w:val="000000"/>
                <w:sz w:val="24"/>
                <w:szCs w:val="24"/>
              </w:rPr>
            </w:pPr>
          </w:p>
        </w:tc>
      </w:tr>
      <w:tr w14:paraId="7CBBA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FE2B89">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16D8EE54">
            <w:pPr>
              <w:spacing w:line="440" w:lineRule="exact"/>
              <w:jc w:val="center"/>
              <w:rPr>
                <w:rFonts w:ascii="宋体" w:hAnsi="宋体"/>
                <w:color w:val="000000"/>
                <w:sz w:val="24"/>
                <w:szCs w:val="24"/>
                <w:highlight w:val="yellow"/>
              </w:rPr>
            </w:pPr>
          </w:p>
        </w:tc>
        <w:tc>
          <w:tcPr>
            <w:tcW w:w="1288" w:type="dxa"/>
          </w:tcPr>
          <w:p w14:paraId="1B3BD1E7">
            <w:pPr>
              <w:spacing w:line="440" w:lineRule="exact"/>
              <w:jc w:val="center"/>
              <w:rPr>
                <w:rFonts w:ascii="宋体" w:hAnsi="宋体"/>
                <w:color w:val="000000"/>
                <w:sz w:val="24"/>
                <w:szCs w:val="24"/>
                <w:highlight w:val="yellow"/>
              </w:rPr>
            </w:pPr>
          </w:p>
        </w:tc>
        <w:tc>
          <w:tcPr>
            <w:tcW w:w="1288" w:type="dxa"/>
          </w:tcPr>
          <w:p w14:paraId="60F04609">
            <w:pPr>
              <w:spacing w:line="440" w:lineRule="exact"/>
              <w:jc w:val="center"/>
              <w:rPr>
                <w:rFonts w:ascii="宋体" w:hAnsi="宋体"/>
                <w:color w:val="000000"/>
                <w:sz w:val="24"/>
                <w:szCs w:val="24"/>
                <w:highlight w:val="yellow"/>
              </w:rPr>
            </w:pPr>
          </w:p>
        </w:tc>
      </w:tr>
      <w:tr w14:paraId="4A051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6EF4C06">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65445054">
            <w:pPr>
              <w:spacing w:line="440" w:lineRule="exact"/>
              <w:jc w:val="center"/>
              <w:rPr>
                <w:rFonts w:ascii="宋体" w:hAnsi="宋体"/>
                <w:color w:val="000000"/>
                <w:sz w:val="24"/>
                <w:szCs w:val="24"/>
                <w:highlight w:val="yellow"/>
              </w:rPr>
            </w:pPr>
          </w:p>
        </w:tc>
        <w:tc>
          <w:tcPr>
            <w:tcW w:w="1288" w:type="dxa"/>
          </w:tcPr>
          <w:p w14:paraId="08CA91AB">
            <w:pPr>
              <w:spacing w:line="440" w:lineRule="exact"/>
              <w:jc w:val="center"/>
              <w:rPr>
                <w:rFonts w:ascii="宋体" w:hAnsi="宋体"/>
                <w:color w:val="000000"/>
                <w:sz w:val="24"/>
                <w:szCs w:val="24"/>
                <w:highlight w:val="yellow"/>
              </w:rPr>
            </w:pPr>
          </w:p>
        </w:tc>
        <w:tc>
          <w:tcPr>
            <w:tcW w:w="1288" w:type="dxa"/>
          </w:tcPr>
          <w:p w14:paraId="5E42F6DB">
            <w:pPr>
              <w:spacing w:line="440" w:lineRule="exact"/>
              <w:jc w:val="center"/>
              <w:rPr>
                <w:rFonts w:ascii="宋体" w:hAnsi="宋体"/>
                <w:color w:val="000000"/>
                <w:sz w:val="24"/>
                <w:szCs w:val="24"/>
                <w:highlight w:val="yellow"/>
              </w:rPr>
            </w:pPr>
          </w:p>
        </w:tc>
      </w:tr>
      <w:tr w14:paraId="0BCDE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F463438">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034E0C3C">
            <w:pPr>
              <w:spacing w:line="440" w:lineRule="exact"/>
              <w:jc w:val="center"/>
              <w:rPr>
                <w:rFonts w:ascii="宋体" w:hAnsi="宋体"/>
                <w:color w:val="000000"/>
                <w:sz w:val="24"/>
                <w:szCs w:val="24"/>
              </w:rPr>
            </w:pPr>
          </w:p>
        </w:tc>
        <w:tc>
          <w:tcPr>
            <w:tcW w:w="1288" w:type="dxa"/>
          </w:tcPr>
          <w:p w14:paraId="6437FCA3">
            <w:pPr>
              <w:spacing w:line="440" w:lineRule="exact"/>
              <w:jc w:val="center"/>
              <w:rPr>
                <w:rFonts w:ascii="宋体" w:hAnsi="宋体"/>
                <w:color w:val="000000"/>
                <w:sz w:val="24"/>
                <w:szCs w:val="24"/>
              </w:rPr>
            </w:pPr>
          </w:p>
        </w:tc>
        <w:tc>
          <w:tcPr>
            <w:tcW w:w="1288" w:type="dxa"/>
          </w:tcPr>
          <w:p w14:paraId="52E3E4D0">
            <w:pPr>
              <w:spacing w:line="440" w:lineRule="exact"/>
              <w:jc w:val="center"/>
              <w:rPr>
                <w:rFonts w:ascii="宋体" w:hAnsi="宋体"/>
                <w:color w:val="000000"/>
                <w:sz w:val="24"/>
                <w:szCs w:val="24"/>
              </w:rPr>
            </w:pPr>
          </w:p>
        </w:tc>
      </w:tr>
      <w:tr w14:paraId="72AC2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59B193F">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A24875D">
            <w:pPr>
              <w:spacing w:line="440" w:lineRule="exact"/>
              <w:jc w:val="center"/>
              <w:rPr>
                <w:rFonts w:ascii="宋体" w:hAnsi="宋体"/>
                <w:color w:val="000000"/>
                <w:sz w:val="24"/>
                <w:szCs w:val="24"/>
              </w:rPr>
            </w:pPr>
          </w:p>
        </w:tc>
        <w:tc>
          <w:tcPr>
            <w:tcW w:w="1288" w:type="dxa"/>
          </w:tcPr>
          <w:p w14:paraId="4669CFD4">
            <w:pPr>
              <w:spacing w:line="440" w:lineRule="exact"/>
              <w:jc w:val="center"/>
              <w:rPr>
                <w:rFonts w:ascii="宋体" w:hAnsi="宋体"/>
                <w:color w:val="000000"/>
                <w:sz w:val="24"/>
                <w:szCs w:val="24"/>
              </w:rPr>
            </w:pPr>
          </w:p>
        </w:tc>
        <w:tc>
          <w:tcPr>
            <w:tcW w:w="1288" w:type="dxa"/>
          </w:tcPr>
          <w:p w14:paraId="6456D812">
            <w:pPr>
              <w:spacing w:line="440" w:lineRule="exact"/>
              <w:jc w:val="center"/>
              <w:rPr>
                <w:rFonts w:ascii="宋体" w:hAnsi="宋体"/>
                <w:color w:val="000000"/>
                <w:sz w:val="24"/>
                <w:szCs w:val="24"/>
              </w:rPr>
            </w:pPr>
          </w:p>
        </w:tc>
      </w:tr>
      <w:tr w14:paraId="75568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12755BF">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6D116DB4">
            <w:pPr>
              <w:spacing w:line="440" w:lineRule="exact"/>
              <w:jc w:val="center"/>
              <w:rPr>
                <w:rFonts w:ascii="宋体" w:hAnsi="宋体"/>
                <w:color w:val="000000"/>
                <w:sz w:val="24"/>
                <w:szCs w:val="24"/>
              </w:rPr>
            </w:pPr>
          </w:p>
        </w:tc>
        <w:tc>
          <w:tcPr>
            <w:tcW w:w="1288" w:type="dxa"/>
          </w:tcPr>
          <w:p w14:paraId="50AA931E">
            <w:pPr>
              <w:spacing w:line="440" w:lineRule="exact"/>
              <w:jc w:val="center"/>
              <w:rPr>
                <w:rFonts w:ascii="宋体" w:hAnsi="宋体"/>
                <w:color w:val="000000"/>
                <w:sz w:val="24"/>
                <w:szCs w:val="24"/>
              </w:rPr>
            </w:pPr>
          </w:p>
        </w:tc>
        <w:tc>
          <w:tcPr>
            <w:tcW w:w="1288" w:type="dxa"/>
          </w:tcPr>
          <w:p w14:paraId="3ADAC223">
            <w:pPr>
              <w:spacing w:line="440" w:lineRule="exact"/>
              <w:jc w:val="center"/>
              <w:rPr>
                <w:rFonts w:ascii="宋体" w:hAnsi="宋体"/>
                <w:color w:val="000000"/>
                <w:sz w:val="24"/>
                <w:szCs w:val="24"/>
              </w:rPr>
            </w:pPr>
          </w:p>
        </w:tc>
      </w:tr>
    </w:tbl>
    <w:p w14:paraId="12F3DDC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308FA8D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24DAE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93309E0">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460EA6D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B23AFD2">
      <w:pPr>
        <w:spacing w:line="240" w:lineRule="exact"/>
        <w:jc w:val="center"/>
        <w:rPr>
          <w:rFonts w:ascii="宋体" w:hAnsi="Calibri" w:eastAsia="宋体" w:cs="Times New Roman"/>
          <w:b/>
          <w:bCs/>
          <w:sz w:val="36"/>
          <w:szCs w:val="20"/>
        </w:rPr>
      </w:pPr>
    </w:p>
    <w:p w14:paraId="631CCEB9">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汕德卡TGA驾驶室侧围升级新增冲压模具技改项目项目</w:t>
      </w:r>
    </w:p>
    <w:p w14:paraId="63337B5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中国重汽集团济南卡车股份有限公司：</w:t>
      </w:r>
    </w:p>
    <w:p w14:paraId="490F237A">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4D0D09E">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39E01A4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5E2B8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B8CA4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435301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78350A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B8FBA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9AA38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9809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AAA7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E8A4F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0CFB1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0A2C2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4D8D7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23812BF">
      <w:pPr>
        <w:spacing w:line="360" w:lineRule="auto"/>
        <w:ind w:firstLine="480" w:firstLineChars="200"/>
        <w:rPr>
          <w:rFonts w:ascii="宋体" w:hAnsi="宋体" w:eastAsia="宋体" w:cs="Times New Roman"/>
          <w:sz w:val="24"/>
          <w:szCs w:val="20"/>
          <w:u w:val="single"/>
        </w:rPr>
      </w:pPr>
    </w:p>
    <w:p w14:paraId="1C341C6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16326E4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7BDE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AADDFDD">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p>
    <w:p w14:paraId="10EAE892">
      <w:pPr>
        <w:pStyle w:val="3"/>
        <w:bidi w:val="0"/>
        <w:rPr>
          <w:rFonts w:hint="eastAsia"/>
          <w:lang w:val="en-US" w:eastAsia="zh-CN"/>
        </w:rPr>
        <w:sectPr>
          <w:pgSz w:w="11906" w:h="16838"/>
          <w:pgMar w:top="1440" w:right="1800" w:bottom="1440" w:left="1800" w:header="851" w:footer="992" w:gutter="0"/>
          <w:cols w:space="425" w:num="1"/>
          <w:docGrid w:type="lines" w:linePitch="312" w:charSpace="0"/>
        </w:sectPr>
      </w:pPr>
    </w:p>
    <w:p w14:paraId="033474C6">
      <w:pPr>
        <w:pStyle w:val="3"/>
        <w:bidi w:val="0"/>
        <w:rPr>
          <w:rFonts w:hint="default"/>
          <w:lang w:val="en-US" w:eastAsia="zh-CN"/>
        </w:rPr>
      </w:pPr>
      <w:r>
        <w:rPr>
          <w:rFonts w:hint="eastAsia"/>
          <w:lang w:val="en-US" w:eastAsia="zh-CN"/>
        </w:rPr>
        <w:t>附件4 投标报名表</w:t>
      </w:r>
    </w:p>
    <w:p w14:paraId="708E040B">
      <w:pPr>
        <w:pageBreakBefore w:val="0"/>
        <w:kinsoku/>
        <w:wordWrap/>
        <w:overflowPunct/>
        <w:topLinePunct w:val="0"/>
        <w:bidi w:val="0"/>
        <w:ind w:left="0" w:leftChars="0" w:right="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投标报名表</w:t>
      </w:r>
    </w:p>
    <w:p w14:paraId="0CD7F7F7">
      <w:pPr>
        <w:pageBreakBefore w:val="0"/>
        <w:kinsoku/>
        <w:wordWrap/>
        <w:overflowPunct/>
        <w:topLinePunct w:val="0"/>
        <w:bidi w:val="0"/>
        <w:ind w:left="0" w:leftChars="0" w:right="0"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公章：</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2556B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6230687B">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项目名称</w:t>
            </w:r>
          </w:p>
        </w:tc>
        <w:tc>
          <w:tcPr>
            <w:tcW w:w="7123" w:type="dxa"/>
            <w:gridSpan w:val="3"/>
            <w:vAlign w:val="center"/>
          </w:tcPr>
          <w:p w14:paraId="446D5C7D">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p>
        </w:tc>
      </w:tr>
      <w:tr w14:paraId="739B1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jc w:val="center"/>
        </w:trPr>
        <w:tc>
          <w:tcPr>
            <w:tcW w:w="1801" w:type="dxa"/>
            <w:vAlign w:val="center"/>
          </w:tcPr>
          <w:p w14:paraId="714D27E7">
            <w:pPr>
              <w:pageBreakBefore w:val="0"/>
              <w:kinsoku/>
              <w:wordWrap/>
              <w:overflowPunct/>
              <w:topLinePunct w:val="0"/>
              <w:bidi w:val="0"/>
              <w:ind w:left="0" w:leftChars="0" w:right="0" w:firstLine="280" w:firstLineChars="1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投标单位</w:t>
            </w:r>
          </w:p>
          <w:p w14:paraId="46A610BB">
            <w:pPr>
              <w:pageBreakBefore w:val="0"/>
              <w:kinsoku/>
              <w:wordWrap/>
              <w:overflowPunct/>
              <w:topLinePunct w:val="0"/>
              <w:bidi w:val="0"/>
              <w:ind w:left="0" w:leftChars="0" w:right="0" w:firstLine="280" w:firstLineChars="1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（全称）</w:t>
            </w:r>
          </w:p>
        </w:tc>
        <w:tc>
          <w:tcPr>
            <w:tcW w:w="7123" w:type="dxa"/>
            <w:gridSpan w:val="3"/>
            <w:vAlign w:val="center"/>
          </w:tcPr>
          <w:p w14:paraId="0C0DAEEE">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p>
        </w:tc>
      </w:tr>
      <w:tr w14:paraId="44926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1801" w:type="dxa"/>
            <w:vAlign w:val="center"/>
          </w:tcPr>
          <w:p w14:paraId="5870DC90">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项目负责人</w:t>
            </w:r>
          </w:p>
        </w:tc>
        <w:tc>
          <w:tcPr>
            <w:tcW w:w="2526" w:type="dxa"/>
            <w:vAlign w:val="center"/>
          </w:tcPr>
          <w:p w14:paraId="5B4DF69C">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p>
        </w:tc>
        <w:tc>
          <w:tcPr>
            <w:tcW w:w="2272" w:type="dxa"/>
            <w:vAlign w:val="center"/>
          </w:tcPr>
          <w:p w14:paraId="0035ED2C">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联系电话</w:t>
            </w:r>
          </w:p>
        </w:tc>
        <w:tc>
          <w:tcPr>
            <w:tcW w:w="2325" w:type="dxa"/>
            <w:vAlign w:val="center"/>
          </w:tcPr>
          <w:p w14:paraId="7A558EA6">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p>
        </w:tc>
      </w:tr>
      <w:tr w14:paraId="095E6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jc w:val="center"/>
        </w:trPr>
        <w:tc>
          <w:tcPr>
            <w:tcW w:w="1801" w:type="dxa"/>
            <w:vAlign w:val="center"/>
          </w:tcPr>
          <w:p w14:paraId="43B29E00">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公司电话</w:t>
            </w:r>
          </w:p>
        </w:tc>
        <w:tc>
          <w:tcPr>
            <w:tcW w:w="2526" w:type="dxa"/>
            <w:vAlign w:val="center"/>
          </w:tcPr>
          <w:p w14:paraId="5E4CBFD6">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p>
        </w:tc>
        <w:tc>
          <w:tcPr>
            <w:tcW w:w="2272" w:type="dxa"/>
            <w:vAlign w:val="center"/>
          </w:tcPr>
          <w:p w14:paraId="3A1AA162">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传真</w:t>
            </w:r>
          </w:p>
        </w:tc>
        <w:tc>
          <w:tcPr>
            <w:tcW w:w="2325" w:type="dxa"/>
            <w:vAlign w:val="center"/>
          </w:tcPr>
          <w:p w14:paraId="4282831B">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p>
        </w:tc>
      </w:tr>
      <w:tr w14:paraId="3E15A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jc w:val="center"/>
        </w:trPr>
        <w:tc>
          <w:tcPr>
            <w:tcW w:w="1801" w:type="dxa"/>
            <w:vAlign w:val="center"/>
          </w:tcPr>
          <w:p w14:paraId="257C47A6">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E-mail</w:t>
            </w:r>
          </w:p>
        </w:tc>
        <w:tc>
          <w:tcPr>
            <w:tcW w:w="7123" w:type="dxa"/>
            <w:gridSpan w:val="3"/>
            <w:vAlign w:val="center"/>
          </w:tcPr>
          <w:p w14:paraId="2D2F095F">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p>
        </w:tc>
      </w:tr>
      <w:tr w14:paraId="15EA1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1" w:hRule="atLeast"/>
          <w:jc w:val="center"/>
        </w:trPr>
        <w:tc>
          <w:tcPr>
            <w:tcW w:w="1801" w:type="dxa"/>
            <w:vAlign w:val="center"/>
          </w:tcPr>
          <w:p w14:paraId="127530C3">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报名时间</w:t>
            </w:r>
          </w:p>
        </w:tc>
        <w:tc>
          <w:tcPr>
            <w:tcW w:w="7123" w:type="dxa"/>
            <w:gridSpan w:val="3"/>
            <w:vAlign w:val="center"/>
          </w:tcPr>
          <w:p w14:paraId="1A6E7DCC">
            <w:pPr>
              <w:pageBreakBefore w:val="0"/>
              <w:kinsoku/>
              <w:wordWrap/>
              <w:overflowPunct/>
              <w:topLinePunct w:val="0"/>
              <w:bidi w:val="0"/>
              <w:ind w:left="0" w:leftChars="0" w:right="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年月日</w:t>
            </w:r>
          </w:p>
        </w:tc>
      </w:tr>
    </w:tbl>
    <w:p w14:paraId="274EEDF1">
      <w:pPr>
        <w:rPr>
          <w:rFonts w:hint="eastAsia"/>
        </w:rPr>
      </w:pPr>
    </w:p>
    <w:p w14:paraId="69A49889">
      <w:pPr>
        <w:rPr>
          <w:rFonts w:hint="eastAsia" w:ascii="仿宋_GB2312" w:hAnsi="仿宋_GB2312" w:eastAsia="仿宋_GB2312" w:cs="仿宋_GB2312"/>
        </w:rPr>
      </w:pPr>
    </w:p>
    <w:p w14:paraId="55944D04">
      <w:pPr>
        <w:rPr>
          <w:rFonts w:hint="eastAsia" w:ascii="仿宋_GB2312" w:hAnsi="仿宋_GB2312" w:eastAsia="仿宋_GB2312" w:cs="仿宋_GB2312"/>
        </w:rPr>
      </w:pPr>
    </w:p>
    <w:p w14:paraId="6E5FC0B5">
      <w:pPr>
        <w:rPr>
          <w:rFonts w:hint="eastAsia" w:ascii="仿宋_GB2312" w:hAnsi="仿宋_GB2312" w:eastAsia="仿宋_GB2312" w:cs="仿宋_GB2312"/>
        </w:rPr>
      </w:pPr>
    </w:p>
    <w:p w14:paraId="3ACDBD91">
      <w:pPr>
        <w:jc w:val="both"/>
      </w:pPr>
    </w:p>
    <w:p w14:paraId="30C11EC0">
      <w:pPr>
        <w:rPr>
          <w:rFonts w:hint="eastAsia" w:ascii="仿宋_GB2312" w:hAnsi="仿宋_GB2312" w:eastAsia="仿宋_GB2312" w:cs="仿宋_GB2312"/>
        </w:rPr>
      </w:pPr>
    </w:p>
    <w:p w14:paraId="0FCB89C6">
      <w:pPr>
        <w:rPr>
          <w:rFonts w:hint="eastAsia" w:ascii="仿宋_GB2312" w:hAnsi="仿宋_GB2312" w:eastAsia="仿宋_GB2312" w:cs="仿宋_GB2312"/>
        </w:rPr>
      </w:pPr>
    </w:p>
    <w:p w14:paraId="3D1838AF">
      <w:pPr>
        <w:jc w:val="both"/>
      </w:pPr>
    </w:p>
    <w:p w14:paraId="30E3B80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062B0FC5">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10021">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32159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2532159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8BD35">
    <w:pPr>
      <w:pStyle w:val="9"/>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CDE9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6DCDE9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97969D">
    <w:pPr>
      <w:pStyle w:val="9"/>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4DC2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764DC2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FD102">
    <w:pPr>
      <w:pStyle w:val="9"/>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7235F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777235F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6AF07E"/>
    <w:multiLevelType w:val="singleLevel"/>
    <w:tmpl w:val="CC6AF07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34A75"/>
    <w:rsid w:val="01A6045D"/>
    <w:rsid w:val="04301453"/>
    <w:rsid w:val="09646A02"/>
    <w:rsid w:val="098361C3"/>
    <w:rsid w:val="0B6B051B"/>
    <w:rsid w:val="0C682624"/>
    <w:rsid w:val="0DA6000F"/>
    <w:rsid w:val="0E4433D7"/>
    <w:rsid w:val="0FAC178F"/>
    <w:rsid w:val="104C3089"/>
    <w:rsid w:val="17525C24"/>
    <w:rsid w:val="1A5F0822"/>
    <w:rsid w:val="1CBE329F"/>
    <w:rsid w:val="21E743B5"/>
    <w:rsid w:val="25331BE5"/>
    <w:rsid w:val="27315D1D"/>
    <w:rsid w:val="283D5FEB"/>
    <w:rsid w:val="3219033A"/>
    <w:rsid w:val="340F6593"/>
    <w:rsid w:val="3762626B"/>
    <w:rsid w:val="39374E9E"/>
    <w:rsid w:val="404E4FD5"/>
    <w:rsid w:val="415E038C"/>
    <w:rsid w:val="41C81496"/>
    <w:rsid w:val="42BA2C13"/>
    <w:rsid w:val="42C30FDF"/>
    <w:rsid w:val="42E45495"/>
    <w:rsid w:val="435E0E0D"/>
    <w:rsid w:val="44907102"/>
    <w:rsid w:val="45AD6A5F"/>
    <w:rsid w:val="47DD599F"/>
    <w:rsid w:val="48031288"/>
    <w:rsid w:val="4807521E"/>
    <w:rsid w:val="48512E7D"/>
    <w:rsid w:val="48EF075C"/>
    <w:rsid w:val="495024F9"/>
    <w:rsid w:val="4B7153F0"/>
    <w:rsid w:val="4E25790F"/>
    <w:rsid w:val="536770A5"/>
    <w:rsid w:val="57855221"/>
    <w:rsid w:val="57BF3EB6"/>
    <w:rsid w:val="594B58EE"/>
    <w:rsid w:val="5A1223DE"/>
    <w:rsid w:val="64753845"/>
    <w:rsid w:val="66D60058"/>
    <w:rsid w:val="6B0F2793"/>
    <w:rsid w:val="6C152603"/>
    <w:rsid w:val="6F6918B6"/>
    <w:rsid w:val="75027EA7"/>
    <w:rsid w:val="76B850E0"/>
    <w:rsid w:val="77E571F5"/>
    <w:rsid w:val="7A5738E1"/>
    <w:rsid w:val="7DA44D30"/>
    <w:rsid w:val="7E2F54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link w:val="26"/>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5">
    <w:name w:val="Body Text"/>
    <w:basedOn w:val="1"/>
    <w:next w:val="6"/>
    <w:qFormat/>
    <w:uiPriority w:val="0"/>
    <w:rPr>
      <w:rFonts w:ascii="仿宋_GB2312" w:eastAsia="仿宋_GB2312" w:hAnsiTheme="minorHAnsi" w:cstheme="minorBidi"/>
      <w:sz w:val="32"/>
      <w:szCs w:val="22"/>
    </w:rPr>
  </w:style>
  <w:style w:type="paragraph" w:customStyle="1" w:styleId="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7">
    <w:name w:val="Body Text Indent"/>
    <w:basedOn w:val="1"/>
    <w:qFormat/>
    <w:uiPriority w:val="0"/>
    <w:pPr>
      <w:spacing w:line="480" w:lineRule="auto"/>
      <w:ind w:left="420" w:leftChars="200" w:firstLine="480" w:firstLineChars="200"/>
    </w:pPr>
    <w:rPr>
      <w:sz w:val="24"/>
    </w:rPr>
  </w:style>
  <w:style w:type="paragraph" w:styleId="8">
    <w:name w:val="Plain Text"/>
    <w:basedOn w:val="1"/>
    <w:qFormat/>
    <w:uiPriority w:val="0"/>
    <w:rPr>
      <w:rFonts w:ascii="宋体"/>
      <w:szCs w:val="20"/>
    </w:r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Body Text First Indent 2"/>
    <w:basedOn w:val="7"/>
    <w:qFormat/>
    <w:uiPriority w:val="0"/>
    <w:pPr>
      <w:spacing w:line="276" w:lineRule="auto"/>
      <w:ind w:firstLine="420"/>
      <w:jc w:val="left"/>
    </w:pPr>
    <w:rPr>
      <w:rFonts w:ascii="Calibri" w:hAnsi="Calibri"/>
      <w:kern w:val="0"/>
      <w:sz w:val="22"/>
      <w:lang w:eastAsia="en-US"/>
    </w:rPr>
  </w:style>
  <w:style w:type="character" w:styleId="14">
    <w:name w:val="Strong"/>
    <w:basedOn w:val="13"/>
    <w:qFormat/>
    <w:uiPriority w:val="0"/>
    <w:rPr>
      <w:b/>
    </w:rPr>
  </w:style>
  <w:style w:type="character" w:styleId="15">
    <w:name w:val="FollowedHyperlink"/>
    <w:basedOn w:val="13"/>
    <w:qFormat/>
    <w:uiPriority w:val="0"/>
    <w:rPr>
      <w:color w:val="800080"/>
      <w:u w:val="none"/>
    </w:rPr>
  </w:style>
  <w:style w:type="character" w:styleId="16">
    <w:name w:val="HTML Definition"/>
    <w:basedOn w:val="13"/>
    <w:qFormat/>
    <w:uiPriority w:val="0"/>
  </w:style>
  <w:style w:type="character" w:styleId="17">
    <w:name w:val="HTML Typewriter"/>
    <w:basedOn w:val="13"/>
    <w:qFormat/>
    <w:uiPriority w:val="0"/>
    <w:rPr>
      <w:rFonts w:hint="default" w:ascii="monospace" w:hAnsi="monospace" w:eastAsia="monospace" w:cs="monospace"/>
      <w:sz w:val="20"/>
    </w:rPr>
  </w:style>
  <w:style w:type="character" w:styleId="18">
    <w:name w:val="HTML Acronym"/>
    <w:basedOn w:val="13"/>
    <w:qFormat/>
    <w:uiPriority w:val="0"/>
  </w:style>
  <w:style w:type="character" w:styleId="19">
    <w:name w:val="HTML Variable"/>
    <w:basedOn w:val="13"/>
    <w:qFormat/>
    <w:uiPriority w:val="0"/>
  </w:style>
  <w:style w:type="character" w:styleId="20">
    <w:name w:val="Hyperlink"/>
    <w:basedOn w:val="13"/>
    <w:qFormat/>
    <w:uiPriority w:val="0"/>
    <w:rPr>
      <w:color w:val="0000FF"/>
      <w:u w:val="none"/>
    </w:rPr>
  </w:style>
  <w:style w:type="character" w:styleId="21">
    <w:name w:val="HTML Code"/>
    <w:basedOn w:val="13"/>
    <w:qFormat/>
    <w:uiPriority w:val="0"/>
    <w:rPr>
      <w:rFonts w:hint="default" w:ascii="monospace" w:hAnsi="monospace" w:eastAsia="monospace" w:cs="monospace"/>
      <w:sz w:val="20"/>
    </w:rPr>
  </w:style>
  <w:style w:type="character" w:styleId="22">
    <w:name w:val="HTML Cite"/>
    <w:basedOn w:val="13"/>
    <w:qFormat/>
    <w:uiPriority w:val="0"/>
  </w:style>
  <w:style w:type="character" w:styleId="23">
    <w:name w:val="HTML Keyboard"/>
    <w:basedOn w:val="13"/>
    <w:qFormat/>
    <w:uiPriority w:val="0"/>
    <w:rPr>
      <w:rFonts w:ascii="monospace" w:hAnsi="monospace" w:eastAsia="monospace" w:cs="monospace"/>
      <w:sz w:val="20"/>
    </w:rPr>
  </w:style>
  <w:style w:type="character" w:styleId="24">
    <w:name w:val="HTML Sample"/>
    <w:basedOn w:val="13"/>
    <w:qFormat/>
    <w:uiPriority w:val="0"/>
    <w:rPr>
      <w:rFonts w:hint="default" w:ascii="monospace" w:hAnsi="monospace" w:eastAsia="monospace" w:cs="monospace"/>
    </w:rPr>
  </w:style>
  <w:style w:type="paragraph" w:customStyle="1" w:styleId="25">
    <w:name w:val="列出段落1"/>
    <w:basedOn w:val="1"/>
    <w:qFormat/>
    <w:uiPriority w:val="34"/>
    <w:pPr>
      <w:ind w:firstLine="420" w:firstLineChars="200"/>
    </w:pPr>
    <w:rPr>
      <w:rFonts w:ascii="Calibri" w:hAnsi="Calibri"/>
      <w:szCs w:val="22"/>
    </w:rPr>
  </w:style>
  <w:style w:type="character" w:customStyle="1" w:styleId="26">
    <w:name w:val="标题 2 Char"/>
    <w:link w:val="2"/>
    <w:autoRedefine/>
    <w:qFormat/>
    <w:uiPriority w:val="9"/>
    <w:rPr>
      <w:rFonts w:ascii="Cambria" w:hAnsi="Cambria"/>
      <w:b/>
      <w:bCs/>
      <w:i/>
      <w:iCs/>
      <w:sz w:val="28"/>
      <w:szCs w:val="28"/>
    </w:rPr>
  </w:style>
  <w:style w:type="paragraph" w:customStyle="1" w:styleId="27">
    <w:name w:val="Table Paragraph"/>
    <w:basedOn w:val="1"/>
    <w:qFormat/>
    <w:uiPriority w:val="1"/>
    <w:rPr>
      <w:rFonts w:ascii="宋体" w:hAnsi="宋体" w:eastAsia="宋体" w:cs="宋体"/>
    </w:rPr>
  </w:style>
  <w:style w:type="table" w:customStyle="1" w:styleId="2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3258</Words>
  <Characters>3608</Characters>
  <Lines>0</Lines>
  <Paragraphs>0</Paragraphs>
  <TotalTime>46</TotalTime>
  <ScaleCrop>false</ScaleCrop>
  <LinksUpToDate>false</LinksUpToDate>
  <CharactersWithSpaces>3728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杨淑超</cp:lastModifiedBy>
  <dcterms:modified xsi:type="dcterms:W3CDTF">2026-07-22T07:41:44Z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eyJoZGlkIjoiZWRkMzBjZWNmNjY5ZmRlYTM1NDA3YmNkODVkNWNhM2YiLCJ1c2VySWQiOiIxNzY1NTI4OTg1In0=</vt:lpwstr>
  </property>
  <property fmtid="{D5CDD505-2E9C-101B-9397-08002B2CF9AE}" pid="4" name="ICV">
    <vt:lpwstr>36BA767B9B1647D78DB7367FAC05A487_13</vt:lpwstr>
  </property>
</Properties>
</file>