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rPr>
          <w:color w:val="auto"/>
          <w:highlight w:val="none"/>
        </w:rPr>
      </w:pPr>
      <w:r>
        <w:rPr>
          <w:color w:val="auto"/>
          <w:sz w:val="48"/>
          <w:szCs w:val="48"/>
          <w:highlight w:val="none"/>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color w:val="auto"/>
          <w:sz w:val="48"/>
          <w:szCs w:val="48"/>
          <w:highlight w:val="none"/>
        </w:rPr>
      </w:pPr>
    </w:p>
    <w:p w14:paraId="3EA24C15">
      <w:pPr>
        <w:ind w:right="280"/>
        <w:jc w:val="center"/>
        <w:rPr>
          <w:rFonts w:ascii="宋体" w:hAnsi="宋体"/>
          <w:color w:val="auto"/>
          <w:sz w:val="48"/>
          <w:szCs w:val="48"/>
          <w:highlight w:val="none"/>
        </w:rPr>
      </w:pPr>
    </w:p>
    <w:p w14:paraId="734DA162">
      <w:pPr>
        <w:ind w:right="280"/>
        <w:jc w:val="center"/>
        <w:rPr>
          <w:rFonts w:ascii="宋体" w:hAnsi="宋体"/>
          <w:color w:val="auto"/>
          <w:sz w:val="48"/>
          <w:szCs w:val="48"/>
          <w:highlight w:val="none"/>
        </w:rPr>
      </w:pPr>
    </w:p>
    <w:p w14:paraId="0435320E">
      <w:pPr>
        <w:ind w:right="280"/>
        <w:jc w:val="center"/>
        <w:rPr>
          <w:rFonts w:ascii="宋体" w:hAnsi="宋体"/>
          <w:color w:val="auto"/>
          <w:sz w:val="48"/>
          <w:szCs w:val="48"/>
          <w:highlight w:val="none"/>
        </w:rPr>
      </w:pPr>
    </w:p>
    <w:p w14:paraId="07CDE389">
      <w:pPr>
        <w:ind w:right="280"/>
        <w:jc w:val="center"/>
        <w:rPr>
          <w:rFonts w:ascii="楷体_GB2312" w:hAnsi="宋体" w:eastAsia="楷体_GB2312"/>
          <w:color w:val="auto"/>
          <w:sz w:val="52"/>
          <w:szCs w:val="52"/>
          <w:highlight w:val="none"/>
        </w:rPr>
      </w:pPr>
    </w:p>
    <w:p w14:paraId="2BC1A672">
      <w:pPr>
        <w:ind w:right="280"/>
        <w:jc w:val="center"/>
        <w:rPr>
          <w:rFonts w:hint="eastAsia" w:ascii="楷体_GB2312" w:hAnsi="宋体" w:eastAsia="楷体_GB2312"/>
          <w:color w:val="auto"/>
          <w:sz w:val="52"/>
          <w:szCs w:val="52"/>
          <w:highlight w:val="none"/>
        </w:rPr>
      </w:pPr>
      <w:r>
        <w:rPr>
          <w:rFonts w:hint="eastAsia" w:ascii="楷体_GB2312" w:hAnsi="宋体" w:eastAsia="楷体_GB2312"/>
          <w:color w:val="auto"/>
          <w:sz w:val="52"/>
          <w:szCs w:val="52"/>
          <w:highlight w:val="none"/>
        </w:rPr>
        <w:t>重汽汽车金融有限公司</w:t>
      </w:r>
    </w:p>
    <w:p w14:paraId="009EA4D6">
      <w:pPr>
        <w:ind w:right="280"/>
        <w:jc w:val="center"/>
        <w:rPr>
          <w:rFonts w:ascii="楷体_GB2312" w:hAnsi="宋体" w:eastAsia="楷体_GB2312"/>
          <w:color w:val="auto"/>
          <w:sz w:val="52"/>
          <w:szCs w:val="52"/>
          <w:highlight w:val="none"/>
        </w:rPr>
      </w:pPr>
      <w:r>
        <w:rPr>
          <w:rFonts w:hint="eastAsia" w:ascii="楷体_GB2312" w:hAnsi="宋体" w:eastAsia="楷体_GB2312"/>
          <w:color w:val="auto"/>
          <w:sz w:val="52"/>
          <w:szCs w:val="52"/>
          <w:highlight w:val="none"/>
        </w:rPr>
        <w:t>催收合作服务商入库采购招标项目</w:t>
      </w:r>
    </w:p>
    <w:p w14:paraId="612663B5">
      <w:pPr>
        <w:ind w:right="280"/>
        <w:jc w:val="center"/>
        <w:rPr>
          <w:color w:val="auto"/>
          <w:sz w:val="28"/>
          <w:szCs w:val="28"/>
          <w:highlight w:val="none"/>
        </w:rPr>
      </w:pPr>
    </w:p>
    <w:p w14:paraId="18CBF8EA">
      <w:pPr>
        <w:ind w:right="280"/>
        <w:jc w:val="center"/>
        <w:rPr>
          <w:color w:val="auto"/>
          <w:sz w:val="28"/>
          <w:szCs w:val="28"/>
          <w:highlight w:val="none"/>
        </w:rPr>
      </w:pPr>
    </w:p>
    <w:p w14:paraId="6418E5FF">
      <w:pPr>
        <w:jc w:val="center"/>
        <w:rPr>
          <w:rFonts w:ascii="宋体" w:hAnsi="宋体" w:cs="宋体"/>
          <w:color w:val="auto"/>
          <w:sz w:val="72"/>
          <w:szCs w:val="72"/>
          <w:highlight w:val="none"/>
        </w:rPr>
      </w:pPr>
      <w:r>
        <w:rPr>
          <w:rFonts w:hint="eastAsia" w:ascii="宋体" w:hAnsi="宋体" w:cs="宋体"/>
          <w:color w:val="auto"/>
          <w:sz w:val="72"/>
          <w:szCs w:val="72"/>
          <w:highlight w:val="none"/>
        </w:rPr>
        <w:t>招标文件</w:t>
      </w:r>
    </w:p>
    <w:p w14:paraId="2A3C624C">
      <w:pPr>
        <w:jc w:val="center"/>
        <w:rPr>
          <w:rFonts w:ascii="宋体" w:hAnsi="宋体"/>
          <w:color w:val="auto"/>
          <w:sz w:val="48"/>
          <w:szCs w:val="48"/>
          <w:highlight w:val="none"/>
        </w:rPr>
      </w:pPr>
    </w:p>
    <w:p w14:paraId="6993BE58">
      <w:pPr>
        <w:jc w:val="center"/>
        <w:rPr>
          <w:rFonts w:ascii="宋体" w:hAnsi="宋体"/>
          <w:color w:val="auto"/>
          <w:sz w:val="48"/>
          <w:szCs w:val="48"/>
          <w:highlight w:val="none"/>
        </w:rPr>
      </w:pPr>
    </w:p>
    <w:p w14:paraId="63FA33C5">
      <w:pPr>
        <w:widowControl/>
        <w:spacing w:line="360" w:lineRule="auto"/>
        <w:jc w:val="center"/>
        <w:rPr>
          <w:rFonts w:hint="eastAsia" w:ascii="宋体" w:hAnsi="宋体" w:eastAsia="宋体" w:cs="宋体"/>
          <w:b/>
          <w:bCs/>
          <w:color w:val="auto"/>
          <w:kern w:val="0"/>
          <w:sz w:val="32"/>
          <w:szCs w:val="32"/>
          <w:highlight w:val="none"/>
          <w:u w:val="single"/>
          <w:lang w:val="en-US" w:eastAsia="zh-CN"/>
        </w:rPr>
      </w:pPr>
      <w:r>
        <w:rPr>
          <w:rFonts w:hint="eastAsia" w:ascii="宋体" w:hAnsi="宋体" w:cs="宋体"/>
          <w:b/>
          <w:bCs/>
          <w:color w:val="auto"/>
          <w:kern w:val="0"/>
          <w:sz w:val="32"/>
          <w:szCs w:val="32"/>
          <w:highlight w:val="none"/>
        </w:rPr>
        <w:t>项目编号：</w:t>
      </w:r>
      <w:r>
        <w:rPr>
          <w:rFonts w:hint="eastAsia" w:ascii="宋体" w:hAnsi="宋体" w:cs="宋体"/>
          <w:b/>
          <w:bCs/>
          <w:color w:val="auto"/>
          <w:kern w:val="0"/>
          <w:sz w:val="32"/>
          <w:szCs w:val="32"/>
          <w:highlight w:val="none"/>
          <w:lang w:val="en-US" w:eastAsia="zh-CN"/>
        </w:rPr>
        <w:t>ZBGL2026060105</w:t>
      </w:r>
    </w:p>
    <w:p w14:paraId="111CA3F9">
      <w:pPr>
        <w:jc w:val="center"/>
        <w:rPr>
          <w:rFonts w:ascii="宋体" w:hAnsi="宋体"/>
          <w:color w:val="auto"/>
          <w:sz w:val="28"/>
          <w:szCs w:val="28"/>
          <w:highlight w:val="none"/>
        </w:rPr>
      </w:pPr>
    </w:p>
    <w:p w14:paraId="12CB50D1">
      <w:pPr>
        <w:jc w:val="center"/>
        <w:rPr>
          <w:rFonts w:ascii="宋体" w:hAnsi="宋体"/>
          <w:color w:val="auto"/>
          <w:sz w:val="28"/>
          <w:szCs w:val="28"/>
          <w:highlight w:val="none"/>
        </w:rPr>
      </w:pPr>
    </w:p>
    <w:p w14:paraId="1CE80EBC">
      <w:pPr>
        <w:jc w:val="center"/>
        <w:rPr>
          <w:rFonts w:ascii="宋体" w:hAnsi="宋体"/>
          <w:color w:val="auto"/>
          <w:sz w:val="28"/>
          <w:szCs w:val="28"/>
          <w:highlight w:val="none"/>
        </w:rPr>
      </w:pPr>
      <w:r>
        <w:rPr>
          <w:rFonts w:hint="eastAsia" w:ascii="宋体" w:hAnsi="宋体"/>
          <w:color w:val="auto"/>
          <w:sz w:val="28"/>
          <w:szCs w:val="28"/>
          <w:highlight w:val="none"/>
        </w:rPr>
        <w:t>招 标 人：</w:t>
      </w:r>
      <w:r>
        <w:rPr>
          <w:rFonts w:hint="eastAsia" w:ascii="宋体" w:hAnsi="宋体"/>
          <w:color w:val="auto"/>
          <w:sz w:val="28"/>
          <w:szCs w:val="28"/>
          <w:highlight w:val="none"/>
          <w:lang w:val="en-US" w:eastAsia="zh-CN"/>
        </w:rPr>
        <w:t>重汽汽车金融</w:t>
      </w:r>
      <w:r>
        <w:rPr>
          <w:rFonts w:hint="eastAsia" w:ascii="宋体" w:hAnsi="宋体"/>
          <w:color w:val="auto"/>
          <w:sz w:val="28"/>
          <w:szCs w:val="28"/>
          <w:highlight w:val="none"/>
        </w:rPr>
        <w:t>有限公司</w:t>
      </w:r>
    </w:p>
    <w:p w14:paraId="0D8A0D9A">
      <w:pPr>
        <w:jc w:val="center"/>
        <w:rPr>
          <w:rFonts w:ascii="宋体" w:hAnsi="宋体"/>
          <w:color w:val="auto"/>
          <w:sz w:val="28"/>
          <w:szCs w:val="28"/>
          <w:highlight w:val="none"/>
        </w:rPr>
      </w:pPr>
    </w:p>
    <w:p w14:paraId="0438957B">
      <w:pPr>
        <w:jc w:val="center"/>
        <w:rPr>
          <w:rFonts w:ascii="宋体" w:hAnsi="宋体"/>
          <w:color w:val="auto"/>
          <w:sz w:val="28"/>
          <w:szCs w:val="28"/>
          <w:highlight w:val="none"/>
          <w:u w:val="single"/>
        </w:rPr>
      </w:pPr>
      <w:r>
        <w:rPr>
          <w:rFonts w:hint="eastAsia" w:ascii="宋体" w:hAnsi="宋体"/>
          <w:color w:val="auto"/>
          <w:sz w:val="28"/>
          <w:szCs w:val="28"/>
          <w:highlight w:val="none"/>
          <w:u w:val="single"/>
        </w:rPr>
        <w:t>20</w:t>
      </w:r>
      <w:r>
        <w:rPr>
          <w:rFonts w:hint="eastAsia" w:ascii="宋体" w:hAnsi="宋体"/>
          <w:color w:val="auto"/>
          <w:sz w:val="28"/>
          <w:szCs w:val="28"/>
          <w:highlight w:val="none"/>
          <w:u w:val="single"/>
          <w:lang w:val="en-US" w:eastAsia="zh-CN"/>
        </w:rPr>
        <w:t>26</w:t>
      </w:r>
      <w:r>
        <w:rPr>
          <w:rFonts w:hint="eastAsia" w:ascii="宋体" w:hAnsi="宋体"/>
          <w:color w:val="auto"/>
          <w:sz w:val="28"/>
          <w:szCs w:val="28"/>
          <w:highlight w:val="none"/>
          <w:u w:val="single"/>
        </w:rPr>
        <w:t>年</w:t>
      </w:r>
      <w:r>
        <w:rPr>
          <w:rFonts w:hint="eastAsia" w:ascii="宋体" w:hAnsi="宋体"/>
          <w:color w:val="auto"/>
          <w:sz w:val="28"/>
          <w:szCs w:val="28"/>
          <w:highlight w:val="none"/>
          <w:u w:val="single"/>
          <w:lang w:val="en-US" w:eastAsia="zh-CN"/>
        </w:rPr>
        <w:t>6</w:t>
      </w:r>
      <w:r>
        <w:rPr>
          <w:rFonts w:hint="eastAsia" w:ascii="宋体" w:hAnsi="宋体"/>
          <w:color w:val="auto"/>
          <w:sz w:val="28"/>
          <w:szCs w:val="28"/>
          <w:highlight w:val="none"/>
          <w:u w:val="single"/>
        </w:rPr>
        <w:t>月</w:t>
      </w:r>
    </w:p>
    <w:p w14:paraId="09CB3C92">
      <w:pPr>
        <w:spacing w:line="480" w:lineRule="auto"/>
        <w:jc w:val="center"/>
        <w:rPr>
          <w:rFonts w:ascii="宋体" w:hAnsi="宋体"/>
          <w:b/>
          <w:bCs/>
          <w:color w:val="auto"/>
          <w:sz w:val="48"/>
          <w:szCs w:val="48"/>
          <w:highlight w:val="none"/>
        </w:rPr>
      </w:pPr>
    </w:p>
    <w:p w14:paraId="64DBDE99">
      <w:pPr>
        <w:spacing w:line="480" w:lineRule="auto"/>
        <w:jc w:val="center"/>
        <w:rPr>
          <w:rFonts w:ascii="宋体" w:hAnsi="宋体"/>
          <w:b/>
          <w:bCs/>
          <w:color w:val="auto"/>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highlight w:val="none"/>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14:paraId="176426B1">
          <w:pPr>
            <w:pStyle w:val="69"/>
            <w:jc w:val="center"/>
            <w:rPr>
              <w:rFonts w:ascii="黑体" w:hAnsi="黑体" w:eastAsia="黑体"/>
              <w:b/>
              <w:color w:val="auto"/>
              <w:sz w:val="44"/>
              <w:szCs w:val="44"/>
              <w:highlight w:val="none"/>
              <w:lang w:val="zh-CN"/>
            </w:rPr>
          </w:pPr>
          <w:r>
            <w:rPr>
              <w:rFonts w:ascii="黑体" w:hAnsi="黑体" w:eastAsia="黑体"/>
              <w:b/>
              <w:color w:val="auto"/>
              <w:sz w:val="44"/>
              <w:szCs w:val="44"/>
              <w:highlight w:val="none"/>
              <w:lang w:val="zh-CN"/>
            </w:rPr>
            <w:t>目</w:t>
          </w:r>
          <w:r>
            <w:rPr>
              <w:rFonts w:hint="eastAsia" w:ascii="黑体" w:hAnsi="黑体" w:eastAsia="黑体"/>
              <w:b/>
              <w:color w:val="auto"/>
              <w:sz w:val="44"/>
              <w:szCs w:val="44"/>
              <w:highlight w:val="none"/>
              <w:lang w:val="zh-CN"/>
            </w:rPr>
            <w:t xml:space="preserve"> </w:t>
          </w:r>
          <w:r>
            <w:rPr>
              <w:rFonts w:ascii="黑体" w:hAnsi="黑体" w:eastAsia="黑体"/>
              <w:b/>
              <w:color w:val="auto"/>
              <w:sz w:val="44"/>
              <w:szCs w:val="44"/>
              <w:highlight w:val="none"/>
              <w:lang w:val="zh-CN"/>
            </w:rPr>
            <w:t xml:space="preserve">    录</w:t>
          </w:r>
        </w:p>
        <w:p w14:paraId="7521C1BD">
          <w:pPr>
            <w:pStyle w:val="21"/>
            <w:tabs>
              <w:tab w:val="right" w:leader="dot" w:pos="9070"/>
              <w:tab w:val="clear" w:pos="8729"/>
            </w:tabs>
            <w:rPr>
              <w:color w:val="auto"/>
              <w:highlight w:val="none"/>
            </w:rPr>
          </w:pPr>
          <w:r>
            <w:rPr>
              <w:rFonts w:hint="eastAsia" w:ascii="Calibri" w:hAnsi="Calibri"/>
              <w:bCs/>
              <w:color w:val="auto"/>
              <w:kern w:val="44"/>
              <w:sz w:val="36"/>
              <w:szCs w:val="44"/>
              <w:highlight w:val="none"/>
            </w:rPr>
            <w:fldChar w:fldCharType="begin"/>
          </w:r>
          <w:r>
            <w:rPr>
              <w:rFonts w:hint="eastAsia" w:ascii="Calibri" w:hAnsi="Calibri"/>
              <w:bCs/>
              <w:color w:val="auto"/>
              <w:kern w:val="44"/>
              <w:sz w:val="36"/>
              <w:szCs w:val="44"/>
              <w:highlight w:val="none"/>
            </w:rPr>
            <w:instrText xml:space="preserve">TOC \o "1-1" \h \u </w:instrText>
          </w:r>
          <w:r>
            <w:rPr>
              <w:rFonts w:hint="eastAsia" w:ascii="Calibri" w:hAnsi="Calibri"/>
              <w:bCs/>
              <w:color w:val="auto"/>
              <w:kern w:val="44"/>
              <w:sz w:val="36"/>
              <w:szCs w:val="44"/>
              <w:highlight w:val="none"/>
            </w:rPr>
            <w:fldChar w:fldCharType="separate"/>
          </w: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_Toc12202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招标公告（适用于公开招标）</w:t>
          </w:r>
          <w:r>
            <w:rPr>
              <w:color w:val="auto"/>
              <w:highlight w:val="none"/>
            </w:rPr>
            <w:tab/>
          </w:r>
          <w:r>
            <w:rPr>
              <w:color w:val="auto"/>
              <w:highlight w:val="none"/>
            </w:rPr>
            <w:fldChar w:fldCharType="begin"/>
          </w:r>
          <w:r>
            <w:rPr>
              <w:color w:val="auto"/>
              <w:highlight w:val="none"/>
            </w:rPr>
            <w:instrText xml:space="preserve"> PAGEREF _Toc12202 \h </w:instrText>
          </w:r>
          <w:r>
            <w:rPr>
              <w:color w:val="auto"/>
              <w:highlight w:val="none"/>
            </w:rPr>
            <w:fldChar w:fldCharType="separate"/>
          </w:r>
          <w:r>
            <w:rPr>
              <w:color w:val="auto"/>
              <w:highlight w:val="none"/>
            </w:rPr>
            <w:t>- 1 -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0D0F67E2">
          <w:pPr>
            <w:pStyle w:val="21"/>
            <w:tabs>
              <w:tab w:val="right" w:leader="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_Toc7477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重汽汽车金融有限公司催收合作服务商入库</w:t>
          </w:r>
          <w:r>
            <w:rPr>
              <w:rFonts w:hint="eastAsia"/>
              <w:color w:val="auto"/>
              <w:highlight w:val="none"/>
              <w:lang w:val="en-US" w:eastAsia="zh-CN"/>
            </w:rPr>
            <w:t>采购</w:t>
          </w:r>
          <w:r>
            <w:rPr>
              <w:rFonts w:hint="eastAsia"/>
              <w:color w:val="auto"/>
              <w:highlight w:val="none"/>
            </w:rPr>
            <w:t>招标公告</w:t>
          </w:r>
          <w:r>
            <w:rPr>
              <w:color w:val="auto"/>
              <w:highlight w:val="none"/>
            </w:rPr>
            <w:tab/>
          </w:r>
          <w:r>
            <w:rPr>
              <w:color w:val="auto"/>
              <w:highlight w:val="none"/>
            </w:rPr>
            <w:fldChar w:fldCharType="begin"/>
          </w:r>
          <w:r>
            <w:rPr>
              <w:color w:val="auto"/>
              <w:highlight w:val="none"/>
            </w:rPr>
            <w:instrText xml:space="preserve"> PAGEREF _Toc7477 \h </w:instrText>
          </w:r>
          <w:r>
            <w:rPr>
              <w:color w:val="auto"/>
              <w:highlight w:val="none"/>
            </w:rPr>
            <w:fldChar w:fldCharType="separate"/>
          </w:r>
          <w:r>
            <w:rPr>
              <w:color w:val="auto"/>
              <w:highlight w:val="none"/>
            </w:rPr>
            <w:t>- 1 -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7DC1C155">
          <w:pPr>
            <w:pStyle w:val="21"/>
            <w:tabs>
              <w:tab w:val="right" w:leader="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_Toc10704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第一部分  投标人须知</w:t>
          </w:r>
          <w:r>
            <w:rPr>
              <w:color w:val="auto"/>
              <w:highlight w:val="none"/>
            </w:rPr>
            <w:tab/>
          </w:r>
          <w:r>
            <w:rPr>
              <w:color w:val="auto"/>
              <w:highlight w:val="none"/>
            </w:rPr>
            <w:fldChar w:fldCharType="begin"/>
          </w:r>
          <w:r>
            <w:rPr>
              <w:color w:val="auto"/>
              <w:highlight w:val="none"/>
            </w:rPr>
            <w:instrText xml:space="preserve"> PAGEREF _Toc10704 \h </w:instrText>
          </w:r>
          <w:r>
            <w:rPr>
              <w:color w:val="auto"/>
              <w:highlight w:val="none"/>
            </w:rPr>
            <w:fldChar w:fldCharType="separate"/>
          </w:r>
          <w:r>
            <w:rPr>
              <w:color w:val="auto"/>
              <w:highlight w:val="none"/>
            </w:rPr>
            <w:t>- 3 -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4E40B565">
          <w:pPr>
            <w:pStyle w:val="21"/>
            <w:tabs>
              <w:tab w:val="right" w:leader="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_Toc21111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第二部分　</w:t>
          </w:r>
          <w:r>
            <w:rPr>
              <w:rFonts w:hint="eastAsia"/>
              <w:color w:val="auto"/>
              <w:highlight w:val="none"/>
              <w:lang w:val="en-US" w:eastAsia="zh-CN"/>
            </w:rPr>
            <w:t>技术标书</w:t>
          </w:r>
          <w:r>
            <w:rPr>
              <w:color w:val="auto"/>
              <w:highlight w:val="none"/>
            </w:rPr>
            <w:tab/>
          </w:r>
          <w:r>
            <w:rPr>
              <w:color w:val="auto"/>
              <w:highlight w:val="none"/>
            </w:rPr>
            <w:fldChar w:fldCharType="begin"/>
          </w:r>
          <w:r>
            <w:rPr>
              <w:color w:val="auto"/>
              <w:highlight w:val="none"/>
            </w:rPr>
            <w:instrText xml:space="preserve"> PAGEREF _Toc21111 \h </w:instrText>
          </w:r>
          <w:r>
            <w:rPr>
              <w:color w:val="auto"/>
              <w:highlight w:val="none"/>
            </w:rPr>
            <w:fldChar w:fldCharType="separate"/>
          </w:r>
          <w:r>
            <w:rPr>
              <w:color w:val="auto"/>
              <w:highlight w:val="none"/>
            </w:rPr>
            <w:t>- 14 -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303270A1">
          <w:pPr>
            <w:pStyle w:val="21"/>
            <w:tabs>
              <w:tab w:val="right" w:leader="dot" w:pos="9070"/>
              <w:tab w:val="clear" w:pos="8729"/>
            </w:tabs>
            <w:rPr>
              <w:color w:val="auto"/>
              <w:highlight w:val="none"/>
            </w:rPr>
          </w:pPr>
          <w:r>
            <w:rPr>
              <w:rFonts w:hint="eastAsia" w:ascii="Calibri" w:hAnsi="Calibri" w:eastAsia="宋体" w:cs="Times New Roman"/>
              <w:bCs/>
              <w:color w:val="auto"/>
              <w:kern w:val="44"/>
              <w:szCs w:val="44"/>
              <w:highlight w:val="none"/>
            </w:rPr>
            <w:fldChar w:fldCharType="begin"/>
          </w:r>
          <w:r>
            <w:rPr>
              <w:rFonts w:hint="eastAsia" w:ascii="Calibri" w:hAnsi="Calibri" w:eastAsia="宋体" w:cs="Times New Roman"/>
              <w:bCs/>
              <w:color w:val="auto"/>
              <w:kern w:val="44"/>
              <w:szCs w:val="44"/>
              <w:highlight w:val="none"/>
            </w:rPr>
            <w:instrText xml:space="preserve"> HYPERLINK \l _Toc17038 </w:instrText>
          </w:r>
          <w:r>
            <w:rPr>
              <w:rFonts w:hint="eastAsia" w:ascii="Calibri" w:hAnsi="Calibri" w:eastAsia="宋体" w:cs="Times New Roman"/>
              <w:bCs/>
              <w:color w:val="auto"/>
              <w:kern w:val="44"/>
              <w:szCs w:val="44"/>
              <w:highlight w:val="none"/>
            </w:rPr>
            <w:fldChar w:fldCharType="separate"/>
          </w:r>
          <w:r>
            <w:rPr>
              <w:rFonts w:hint="eastAsia"/>
              <w:color w:val="auto"/>
              <w:highlight w:val="none"/>
            </w:rPr>
            <w:t>第</w:t>
          </w:r>
          <w:r>
            <w:rPr>
              <w:rFonts w:hint="eastAsia"/>
              <w:color w:val="auto"/>
              <w:highlight w:val="none"/>
              <w:lang w:val="en-US" w:eastAsia="zh-CN"/>
            </w:rPr>
            <w:t>三</w:t>
          </w:r>
          <w:r>
            <w:rPr>
              <w:rFonts w:hint="eastAsia"/>
              <w:color w:val="auto"/>
              <w:highlight w:val="none"/>
            </w:rPr>
            <w:t>部分　</w:t>
          </w:r>
          <w:r>
            <w:rPr>
              <w:rFonts w:hint="eastAsia"/>
              <w:color w:val="auto"/>
              <w:highlight w:val="none"/>
              <w:lang w:val="en-US" w:eastAsia="zh-CN"/>
            </w:rPr>
            <w:t>投标文件附件</w:t>
          </w:r>
          <w:r>
            <w:rPr>
              <w:color w:val="auto"/>
              <w:highlight w:val="none"/>
            </w:rPr>
            <w:tab/>
          </w:r>
          <w:r>
            <w:rPr>
              <w:color w:val="auto"/>
              <w:highlight w:val="none"/>
            </w:rPr>
            <w:fldChar w:fldCharType="begin"/>
          </w:r>
          <w:r>
            <w:rPr>
              <w:color w:val="auto"/>
              <w:highlight w:val="none"/>
            </w:rPr>
            <w:instrText xml:space="preserve"> PAGEREF _Toc17038 \h </w:instrText>
          </w:r>
          <w:r>
            <w:rPr>
              <w:color w:val="auto"/>
              <w:highlight w:val="none"/>
            </w:rPr>
            <w:fldChar w:fldCharType="separate"/>
          </w:r>
          <w:r>
            <w:rPr>
              <w:color w:val="auto"/>
              <w:highlight w:val="none"/>
            </w:rPr>
            <w:t>- 15 -</w:t>
          </w:r>
          <w:r>
            <w:rPr>
              <w:color w:val="auto"/>
              <w:highlight w:val="none"/>
            </w:rPr>
            <w:fldChar w:fldCharType="end"/>
          </w:r>
          <w:r>
            <w:rPr>
              <w:rFonts w:hint="eastAsia" w:ascii="Calibri" w:hAnsi="Calibri" w:eastAsia="宋体" w:cs="Times New Roman"/>
              <w:bCs/>
              <w:color w:val="auto"/>
              <w:kern w:val="44"/>
              <w:szCs w:val="44"/>
              <w:highlight w:val="none"/>
            </w:rPr>
            <w:fldChar w:fldCharType="end"/>
          </w:r>
        </w:p>
        <w:p w14:paraId="06440FC7">
          <w:pPr>
            <w:pStyle w:val="21"/>
            <w:tabs>
              <w:tab w:val="right" w:leader="dot" w:pos="9070"/>
              <w:tab w:val="clear" w:pos="8729"/>
            </w:tabs>
            <w:rPr>
              <w:color w:val="auto"/>
              <w:highlight w:val="none"/>
            </w:rPr>
          </w:pPr>
        </w:p>
        <w:p w14:paraId="6617A57C">
          <w:pPr>
            <w:pStyle w:val="21"/>
            <w:rPr>
              <w:color w:val="auto"/>
              <w:highlight w:val="none"/>
            </w:rPr>
          </w:pPr>
          <w:r>
            <w:rPr>
              <w:rFonts w:hint="eastAsia" w:ascii="Calibri" w:hAnsi="Calibri" w:eastAsia="宋体" w:cs="Times New Roman"/>
              <w:bCs/>
              <w:color w:val="auto"/>
              <w:kern w:val="44"/>
              <w:szCs w:val="44"/>
              <w:highlight w:val="none"/>
            </w:rPr>
            <w:fldChar w:fldCharType="end"/>
          </w:r>
        </w:p>
      </w:sdtContent>
    </w:sdt>
    <w:p w14:paraId="582BF911">
      <w:pPr>
        <w:pStyle w:val="15"/>
        <w:tabs>
          <w:tab w:val="left" w:pos="2940"/>
        </w:tabs>
        <w:spacing w:line="360" w:lineRule="auto"/>
        <w:rPr>
          <w:color w:val="auto"/>
          <w:highlight w:val="none"/>
        </w:rPr>
      </w:pPr>
      <w:r>
        <w:rPr>
          <w:color w:val="auto"/>
          <w:highlight w:val="none"/>
        </w:rPr>
        <w:tab/>
      </w:r>
    </w:p>
    <w:p w14:paraId="29FEE1FC">
      <w:pPr>
        <w:pStyle w:val="15"/>
        <w:spacing w:line="360" w:lineRule="auto"/>
        <w:jc w:val="center"/>
        <w:rPr>
          <w:color w:val="auto"/>
          <w:highlight w:val="none"/>
        </w:rPr>
      </w:pPr>
    </w:p>
    <w:p w14:paraId="6103752E">
      <w:pPr>
        <w:pStyle w:val="15"/>
        <w:spacing w:line="360" w:lineRule="auto"/>
        <w:jc w:val="center"/>
        <w:rPr>
          <w:color w:val="auto"/>
          <w:highlight w:val="none"/>
        </w:rP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2"/>
        <w:rPr>
          <w:color w:val="auto"/>
          <w:highlight w:val="none"/>
        </w:rPr>
      </w:pPr>
      <w:bookmarkStart w:id="0" w:name="_Toc47976587"/>
      <w:bookmarkStart w:id="1" w:name="_Toc7104"/>
      <w:bookmarkStart w:id="2" w:name="_Toc12202"/>
      <w:r>
        <w:rPr>
          <w:rFonts w:hint="eastAsia"/>
          <w:color w:val="auto"/>
          <w:highlight w:val="none"/>
        </w:rPr>
        <w:t>招标公告</w:t>
      </w:r>
      <w:bookmarkEnd w:id="0"/>
      <w:r>
        <w:rPr>
          <w:rFonts w:hint="eastAsia"/>
          <w:color w:val="auto"/>
          <w:highlight w:val="none"/>
        </w:rPr>
        <w:t>（适用于公开招标）</w:t>
      </w:r>
      <w:bookmarkEnd w:id="1"/>
      <w:bookmarkEnd w:id="2"/>
    </w:p>
    <w:p w14:paraId="5953C7BF">
      <w:pPr>
        <w:pStyle w:val="72"/>
        <w:jc w:val="center"/>
        <w:rPr>
          <w:rFonts w:hint="eastAsia"/>
          <w:color w:val="auto"/>
          <w:sz w:val="28"/>
          <w:highlight w:val="none"/>
        </w:rPr>
      </w:pPr>
      <w:bookmarkStart w:id="3" w:name="_Toc7477"/>
      <w:bookmarkStart w:id="4" w:name="_Toc32474"/>
      <w:r>
        <w:rPr>
          <w:rFonts w:hint="eastAsia"/>
          <w:color w:val="auto"/>
          <w:sz w:val="28"/>
          <w:highlight w:val="none"/>
        </w:rPr>
        <w:t>重汽汽车金融有限公司</w:t>
      </w:r>
      <w:r>
        <w:rPr>
          <w:rFonts w:hint="eastAsia"/>
          <w:color w:val="auto"/>
          <w:sz w:val="28"/>
          <w:highlight w:val="none"/>
          <w:lang w:val="en-US" w:eastAsia="zh-CN"/>
        </w:rPr>
        <w:t>2026年</w:t>
      </w:r>
      <w:r>
        <w:rPr>
          <w:rFonts w:hint="eastAsia"/>
          <w:color w:val="auto"/>
          <w:sz w:val="28"/>
          <w:highlight w:val="none"/>
        </w:rPr>
        <w:t>催收合作服务商入库</w:t>
      </w:r>
      <w:r>
        <w:rPr>
          <w:rFonts w:hint="eastAsia"/>
          <w:color w:val="auto"/>
          <w:sz w:val="28"/>
          <w:highlight w:val="none"/>
          <w:lang w:val="en-US" w:eastAsia="zh-CN"/>
        </w:rPr>
        <w:t>采购</w:t>
      </w:r>
      <w:r>
        <w:rPr>
          <w:rFonts w:hint="eastAsia"/>
          <w:color w:val="auto"/>
          <w:sz w:val="28"/>
          <w:highlight w:val="none"/>
        </w:rPr>
        <w:t>招标公告</w:t>
      </w:r>
      <w:bookmarkEnd w:id="3"/>
      <w:bookmarkEnd w:id="4"/>
    </w:p>
    <w:p w14:paraId="2A47C58A">
      <w:pPr>
        <w:pStyle w:val="73"/>
        <w:rPr>
          <w:color w:val="auto"/>
          <w:highlight w:val="none"/>
        </w:rPr>
      </w:pPr>
      <w:bookmarkStart w:id="5" w:name="_Toc47976588"/>
      <w:r>
        <w:rPr>
          <w:rFonts w:hint="eastAsia"/>
          <w:color w:val="auto"/>
          <w:highlight w:val="none"/>
        </w:rPr>
        <w:t>项目名称及项目编号</w:t>
      </w:r>
      <w:bookmarkEnd w:id="5"/>
    </w:p>
    <w:p w14:paraId="14AD97EB">
      <w:pPr>
        <w:pStyle w:val="74"/>
        <w:rPr>
          <w:color w:val="auto"/>
          <w:highlight w:val="none"/>
        </w:rPr>
      </w:pPr>
      <w:r>
        <w:rPr>
          <w:rFonts w:hint="eastAsia"/>
          <w:color w:val="auto"/>
          <w:highlight w:val="none"/>
        </w:rPr>
        <w:t>项目名称：重汽汽车金融有限公司催收合作服务商入库</w:t>
      </w:r>
      <w:r>
        <w:rPr>
          <w:rFonts w:hint="eastAsia"/>
          <w:color w:val="auto"/>
          <w:highlight w:val="none"/>
          <w:lang w:val="en-US" w:eastAsia="zh-CN"/>
        </w:rPr>
        <w:t>采购</w:t>
      </w:r>
    </w:p>
    <w:p w14:paraId="15020D03">
      <w:pPr>
        <w:pStyle w:val="74"/>
        <w:rPr>
          <w:color w:val="auto"/>
          <w:highlight w:val="none"/>
        </w:rPr>
      </w:pPr>
      <w:r>
        <w:rPr>
          <w:rFonts w:hint="eastAsia"/>
          <w:color w:val="auto"/>
          <w:highlight w:val="none"/>
        </w:rPr>
        <w:t>项目编号：ZBGL2026060105</w:t>
      </w:r>
    </w:p>
    <w:p w14:paraId="0AB9F24D">
      <w:pPr>
        <w:pStyle w:val="73"/>
        <w:rPr>
          <w:color w:val="auto"/>
          <w:highlight w:val="none"/>
        </w:rPr>
      </w:pPr>
      <w:bookmarkStart w:id="6" w:name="_Toc47976589"/>
      <w:r>
        <w:rPr>
          <w:rFonts w:hint="eastAsia"/>
          <w:color w:val="auto"/>
          <w:highlight w:val="none"/>
          <w:lang w:val="en-US" w:eastAsia="zh-CN"/>
        </w:rPr>
        <w:t>项目概况</w:t>
      </w:r>
      <w:r>
        <w:rPr>
          <w:rFonts w:hint="eastAsia"/>
          <w:color w:val="auto"/>
          <w:highlight w:val="none"/>
        </w:rPr>
        <w:t>及招标形式</w:t>
      </w:r>
      <w:bookmarkEnd w:id="6"/>
    </w:p>
    <w:p w14:paraId="1A912F05">
      <w:pPr>
        <w:pStyle w:val="74"/>
        <w:numPr>
          <w:ilvl w:val="0"/>
          <w:numId w:val="11"/>
        </w:numPr>
        <w:rPr>
          <w:color w:val="auto"/>
          <w:highlight w:val="none"/>
        </w:rPr>
      </w:pPr>
      <w:r>
        <w:rPr>
          <w:rFonts w:hint="eastAsia"/>
          <w:color w:val="auto"/>
          <w:highlight w:val="none"/>
        </w:rPr>
        <w:t>招标内容：将重汽汽车金融公司的部分催收工作委托给第三方催收合作服务商进行管理。</w:t>
      </w:r>
    </w:p>
    <w:p w14:paraId="4EC58B63">
      <w:pPr>
        <w:pStyle w:val="74"/>
        <w:rPr>
          <w:color w:val="auto"/>
          <w:highlight w:val="none"/>
        </w:rPr>
      </w:pPr>
      <w:r>
        <w:rPr>
          <w:rFonts w:hint="eastAsia"/>
          <w:color w:val="auto"/>
          <w:highlight w:val="none"/>
        </w:rPr>
        <w:t>招标形式：</w:t>
      </w:r>
      <w:r>
        <w:rPr>
          <w:rFonts w:hint="eastAsia"/>
          <w:color w:val="auto"/>
          <w:highlight w:val="none"/>
          <w:lang w:val="en-US" w:eastAsia="zh-CN"/>
        </w:rPr>
        <w:t>公开招标</w:t>
      </w:r>
      <w:r>
        <w:rPr>
          <w:rStyle w:val="98"/>
          <w:rFonts w:hint="eastAsia"/>
          <w:b w:val="0"/>
          <w:color w:val="auto"/>
          <w:highlight w:val="none"/>
        </w:rPr>
        <w:t>。</w:t>
      </w:r>
    </w:p>
    <w:p w14:paraId="0B813421">
      <w:pPr>
        <w:pStyle w:val="73"/>
        <w:rPr>
          <w:color w:val="auto"/>
          <w:highlight w:val="none"/>
        </w:rPr>
      </w:pPr>
      <w:bookmarkStart w:id="7" w:name="_Toc47976590"/>
      <w:r>
        <w:rPr>
          <w:rFonts w:hint="eastAsia"/>
          <w:color w:val="auto"/>
          <w:highlight w:val="none"/>
        </w:rPr>
        <w:t>投标人资格要求</w:t>
      </w:r>
      <w:bookmarkEnd w:id="7"/>
    </w:p>
    <w:p w14:paraId="2B997BAE">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1.投标人须遵守《中华人民共和国招标投标法》及其它有关的法律和法规；为中华人民共和国境内注册的独立法人机构，具有独立承担民事责任能力；</w:t>
      </w:r>
    </w:p>
    <w:p w14:paraId="354CA891">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2.标投人必须是在中华人民共和国境内注册的独立法人机构，具有独立承担民事责任能力；注册资金不少于100万人民币（或等值其他货币）；公司成立2年以上（以营业执照成立日期到开标当日满年为准），且经营范围至少包括下列中的一项：贷后管理及保全、信贷违约通知、通知提醒服务、信息咨询、信用风险管理、商账风险管理、金融业务流程合作等；并在人员、设备、资金、等方面具有承担本项目的能力；</w:t>
      </w:r>
    </w:p>
    <w:p w14:paraId="16A438A4">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3.投标人须具有良好的商业信誉和健全的财务会计制度，财务状况和市场行为良好。没有处于被有权机关吊销营业执照、吊销资质、停业整顿、取消投标资格以及财产被接管、冻结或进入破产程序等；</w:t>
      </w:r>
    </w:p>
    <w:p w14:paraId="40EEDE4C">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4.投标人在“信用中国”中未列入联合惩戒失信人名单，且工商行政管理局的《国家企业信用信息公示系统》中查询不存在不良记录；</w:t>
      </w:r>
    </w:p>
    <w:p w14:paraId="20EF00AF">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5.无招标违规、谎报年度报告信息、提供虚假资质资料等行为或其他行政处罚记录；近三年内在经营活动中无与本项目有关的违法及重大违规情况。</w:t>
      </w:r>
    </w:p>
    <w:p w14:paraId="5627C490">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6.投标人没有被列入招标人处《黑名单》（《黑名单》指投标人与招标人在以往或正在进行的合作中，存在招标人认为的违反合同约定或违反法律法规等的失信行为）的；</w:t>
      </w:r>
    </w:p>
    <w:p w14:paraId="529DBB40">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lang w:val="en-US" w:eastAsia="zh-CN"/>
        </w:rPr>
      </w:pPr>
      <w:r>
        <w:rPr>
          <w:rFonts w:hint="eastAsia"/>
          <w:color w:val="auto"/>
          <w:highlight w:val="none"/>
          <w:lang w:val="en-US" w:eastAsia="zh-CN"/>
        </w:rPr>
        <w:t>7.投标人须具有履行招标文件所有设备、专业技术等要求的能力；具有一年以上催收实务操作经验；具有固定的办公场所，须自行配备满足公司业务发展需要的各类办公设备、配备催收业务所需的电子设备和催收系统，系统应具备对呼入呼出电话的录音、催收记录管理等功能；</w:t>
      </w:r>
    </w:p>
    <w:p w14:paraId="3A3D3BEE">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lang w:val="en-US" w:eastAsia="zh-CN"/>
        </w:rPr>
      </w:pPr>
      <w:r>
        <w:rPr>
          <w:rFonts w:hint="eastAsia"/>
          <w:color w:val="auto"/>
          <w:highlight w:val="none"/>
          <w:lang w:val="en-US" w:eastAsia="zh-CN"/>
        </w:rPr>
        <w:t>8.投标人须有依法缴纳税收和社会保障资金的良好记录；</w:t>
      </w:r>
    </w:p>
    <w:p w14:paraId="5697ED27">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lang w:val="en-US" w:eastAsia="zh-CN"/>
        </w:rPr>
      </w:pPr>
      <w:r>
        <w:rPr>
          <w:rFonts w:hint="eastAsia"/>
          <w:color w:val="auto"/>
          <w:highlight w:val="none"/>
          <w:lang w:val="en-US" w:eastAsia="zh-CN"/>
        </w:rPr>
        <w:t>9.投标人须具有健全的内部管理制度或内部控制制度，有效控制从业人员的职业道德风险和操作风险，具有较为完整的催收工作流程和工作标准等管理制度；</w:t>
      </w:r>
    </w:p>
    <w:p w14:paraId="31DB0FAB">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lang w:val="en-US" w:eastAsia="zh-CN"/>
        </w:rPr>
      </w:pPr>
      <w:r>
        <w:rPr>
          <w:rFonts w:hint="eastAsia"/>
          <w:color w:val="auto"/>
          <w:highlight w:val="none"/>
          <w:lang w:val="en-US" w:eastAsia="zh-CN"/>
        </w:rPr>
        <w:t>10.投标人及其主要控制人/股东未发生过恶性催收被监管部门通报、处罚或被媒体曝光事件；具有投诉处置等应急预案，有效防范或缓释突发状况造成的潜在风险；</w:t>
      </w:r>
    </w:p>
    <w:p w14:paraId="36A5C264">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11.投标人须认可招标人的工作指令，包括节、假日能正常开展工作的要求。</w:t>
      </w:r>
    </w:p>
    <w:p w14:paraId="5B04EB4B">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12.拟投标人的直接或间接股东、法定代表人、董事、监事、高管非重汽员工及其亲属；</w:t>
      </w:r>
    </w:p>
    <w:p w14:paraId="6750D29C">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rPr>
      </w:pPr>
      <w:r>
        <w:rPr>
          <w:rFonts w:hint="eastAsia"/>
          <w:color w:val="auto"/>
          <w:highlight w:val="none"/>
          <w:lang w:val="en-US" w:eastAsia="zh-CN"/>
        </w:rPr>
        <w:t>13.投标人必须是最终投标、签订合同的单位，不得以任何理由将已中标项目以任何形式转包或者分包给其他单位。</w:t>
      </w:r>
    </w:p>
    <w:p w14:paraId="2F6BCD52">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2" w:firstLineChars="200"/>
        <w:textAlignment w:val="auto"/>
        <w:rPr>
          <w:rFonts w:hint="eastAsia"/>
          <w:color w:val="auto"/>
          <w:highlight w:val="none"/>
          <w:lang w:val="en-US" w:eastAsia="zh-CN"/>
        </w:rPr>
      </w:pPr>
      <w:r>
        <w:rPr>
          <w:rFonts w:hint="eastAsia"/>
          <w:color w:val="auto"/>
          <w:highlight w:val="none"/>
          <w:lang w:val="en-US" w:eastAsia="zh-CN"/>
        </w:rPr>
        <w:t>14.本次招标项目不接受联合体投标；</w:t>
      </w:r>
    </w:p>
    <w:p w14:paraId="5468156D">
      <w:pPr>
        <w:pStyle w:val="73"/>
        <w:numPr>
          <w:ilvl w:val="0"/>
          <w:numId w:val="0"/>
        </w:numPr>
        <w:ind w:leftChars="0" w:firstLine="422" w:firstLineChars="200"/>
        <w:rPr>
          <w:color w:val="auto"/>
          <w:highlight w:val="none"/>
        </w:rPr>
      </w:pPr>
      <w:r>
        <w:rPr>
          <w:rFonts w:hint="eastAsia" w:ascii="宋体" w:eastAsia="宋体" w:cs="Times New Roman"/>
          <w:bCs w:val="0"/>
          <w:color w:val="auto"/>
          <w:sz w:val="21"/>
          <w:highlight w:val="none"/>
          <w:lang w:val="en-US" w:eastAsia="zh-CN"/>
        </w:rPr>
        <w:t>15.相关法律法规对合格投标人的其他要求。</w:t>
      </w:r>
    </w:p>
    <w:p w14:paraId="76B97D53">
      <w:pPr>
        <w:pStyle w:val="73"/>
        <w:rPr>
          <w:color w:val="auto"/>
          <w:highlight w:val="none"/>
        </w:rPr>
      </w:pPr>
      <w:bookmarkStart w:id="8" w:name="_Toc47976591"/>
      <w:r>
        <w:rPr>
          <w:rFonts w:hint="eastAsia"/>
          <w:color w:val="auto"/>
          <w:highlight w:val="none"/>
        </w:rPr>
        <w:t>报名及招标文件的获取</w:t>
      </w:r>
      <w:bookmarkEnd w:id="8"/>
    </w:p>
    <w:p w14:paraId="6A01DD8D">
      <w:pPr>
        <w:pStyle w:val="73"/>
        <w:numPr>
          <w:ilvl w:val="-1"/>
          <w:numId w:val="0"/>
        </w:numPr>
        <w:ind w:left="0" w:firstLine="422" w:firstLineChars="200"/>
        <w:rPr>
          <w:rFonts w:hint="eastAsia" w:ascii="宋体" w:eastAsia="宋体" w:cs="Times New Roman"/>
          <w:bCs w:val="0"/>
          <w:color w:val="auto"/>
          <w:sz w:val="21"/>
          <w:highlight w:val="none"/>
        </w:rPr>
      </w:pPr>
      <w:r>
        <w:rPr>
          <w:rFonts w:hint="eastAsia" w:ascii="宋体" w:hAnsi="Courier New" w:eastAsia="宋体" w:cs="Times New Roman"/>
          <w:bCs w:val="0"/>
          <w:color w:val="auto"/>
          <w:kern w:val="2"/>
          <w:sz w:val="21"/>
          <w:szCs w:val="20"/>
          <w:highlight w:val="none"/>
        </w:rPr>
        <w:t>招标人将本项目有关招标文件，通过</w:t>
      </w:r>
      <w:r>
        <w:rPr>
          <w:rFonts w:hint="eastAsia" w:ascii="宋体" w:eastAsia="宋体" w:cs="Times New Roman"/>
          <w:bCs w:val="0"/>
          <w:color w:val="auto"/>
          <w:kern w:val="2"/>
          <w:sz w:val="21"/>
          <w:szCs w:val="20"/>
          <w:highlight w:val="none"/>
          <w:lang w:val="en-US" w:eastAsia="zh-CN"/>
        </w:rPr>
        <w:t>中国</w:t>
      </w:r>
      <w:r>
        <w:rPr>
          <w:rFonts w:hint="eastAsia" w:ascii="宋体" w:hAnsi="Courier New" w:eastAsia="宋体" w:cs="Times New Roman"/>
          <w:bCs w:val="0"/>
          <w:color w:val="auto"/>
          <w:kern w:val="2"/>
          <w:sz w:val="21"/>
          <w:szCs w:val="20"/>
          <w:highlight w:val="none"/>
          <w:lang w:val="en-US" w:eastAsia="zh-CN"/>
        </w:rPr>
        <w:t>重汽e采通平台</w:t>
      </w:r>
      <w:r>
        <w:rPr>
          <w:rFonts w:hint="eastAsia" w:ascii="宋体" w:hAnsi="Courier New" w:eastAsia="宋体" w:cs="Times New Roman"/>
          <w:bCs w:val="0"/>
          <w:color w:val="auto"/>
          <w:kern w:val="2"/>
          <w:sz w:val="21"/>
          <w:szCs w:val="20"/>
          <w:highlight w:val="none"/>
        </w:rPr>
        <w:t>进行公布，具体地址如下：https://ecaitong.sinotruk.com:8012/。</w:t>
      </w:r>
    </w:p>
    <w:p w14:paraId="4509C0DA">
      <w:pPr>
        <w:pStyle w:val="73"/>
        <w:rPr>
          <w:color w:val="auto"/>
          <w:highlight w:val="none"/>
        </w:rPr>
      </w:pPr>
      <w:bookmarkStart w:id="9" w:name="_Toc47976592"/>
      <w:r>
        <w:rPr>
          <w:rFonts w:hint="eastAsia"/>
          <w:color w:val="auto"/>
          <w:highlight w:val="none"/>
        </w:rPr>
        <w:t>投标文件的递交</w:t>
      </w:r>
      <w:bookmarkEnd w:id="9"/>
    </w:p>
    <w:p w14:paraId="7B170F60">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投标截止日期：</w:t>
      </w:r>
      <w:r>
        <w:rPr>
          <w:rFonts w:hint="eastAsia" w:ascii="宋体" w:eastAsia="宋体" w:cs="Times New Roman"/>
          <w:bCs w:val="0"/>
          <w:sz w:val="21"/>
          <w:highlight w:val="none"/>
        </w:rPr>
        <w:t>2026年6月</w:t>
      </w:r>
      <w:r>
        <w:rPr>
          <w:rFonts w:hint="eastAsia" w:ascii="宋体" w:eastAsia="宋体" w:cs="Times New Roman"/>
          <w:bCs w:val="0"/>
          <w:sz w:val="21"/>
          <w:highlight w:val="none"/>
          <w:lang w:val="en-US" w:eastAsia="zh-CN"/>
        </w:rPr>
        <w:t>22</w:t>
      </w:r>
      <w:r>
        <w:rPr>
          <w:rFonts w:hint="eastAsia" w:ascii="宋体" w:eastAsia="宋体" w:cs="Times New Roman"/>
          <w:bCs w:val="0"/>
          <w:sz w:val="21"/>
          <w:highlight w:val="none"/>
        </w:rPr>
        <w:t xml:space="preserve">日 </w:t>
      </w:r>
      <w:r>
        <w:rPr>
          <w:rFonts w:hint="eastAsia" w:ascii="宋体" w:eastAsia="宋体" w:cs="Times New Roman"/>
          <w:bCs w:val="0"/>
          <w:sz w:val="21"/>
          <w:highlight w:val="none"/>
          <w:lang w:val="en-US" w:eastAsia="zh-CN"/>
        </w:rPr>
        <w:t>09</w:t>
      </w:r>
      <w:r>
        <w:rPr>
          <w:rFonts w:hint="eastAsia" w:ascii="宋体" w:eastAsia="宋体" w:cs="Times New Roman"/>
          <w:bCs w:val="0"/>
          <w:sz w:val="21"/>
          <w:highlight w:val="none"/>
        </w:rPr>
        <w:t>:00</w:t>
      </w:r>
      <w:r>
        <w:rPr>
          <w:rFonts w:hint="eastAsia" w:ascii="宋体" w:hAnsi="Courier New" w:eastAsia="宋体" w:cs="Times New Roman"/>
          <w:bCs w:val="0"/>
          <w:i w:val="0"/>
          <w:iCs w:val="0"/>
          <w:caps w:val="0"/>
          <w:color w:val="auto"/>
          <w:spacing w:val="0"/>
          <w:sz w:val="21"/>
          <w:szCs w:val="20"/>
          <w:highlight w:val="none"/>
          <w:shd w:val="clear"/>
        </w:rPr>
        <w:t>，投标报名通过中国重汽e采通</w:t>
      </w:r>
      <w:r>
        <w:rPr>
          <w:rFonts w:hint="eastAsia" w:ascii="宋体" w:hAnsi="Courier New" w:eastAsia="宋体" w:cs="Times New Roman"/>
          <w:bCs w:val="0"/>
          <w:i w:val="0"/>
          <w:iCs w:val="0"/>
          <w:caps w:val="0"/>
          <w:color w:val="auto"/>
          <w:spacing w:val="0"/>
          <w:sz w:val="21"/>
          <w:szCs w:val="20"/>
          <w:highlight w:val="none"/>
          <w:shd w:val="clear"/>
          <w:lang w:eastAsia="zh-CN"/>
        </w:rPr>
        <w:t>平台</w:t>
      </w:r>
      <w:r>
        <w:rPr>
          <w:rFonts w:hint="eastAsia" w:ascii="宋体" w:hAnsi="Courier New" w:eastAsia="宋体" w:cs="Times New Roman"/>
          <w:bCs w:val="0"/>
          <w:i w:val="0"/>
          <w:iCs w:val="0"/>
          <w:caps w:val="0"/>
          <w:color w:val="auto"/>
          <w:spacing w:val="0"/>
          <w:sz w:val="21"/>
          <w:szCs w:val="20"/>
          <w:highlight w:val="none"/>
          <w:shd w:val="clear"/>
        </w:rPr>
        <w:t>提交</w:t>
      </w:r>
      <w:r>
        <w:rPr>
          <w:rFonts w:hint="eastAsia" w:ascii="宋体" w:eastAsia="宋体" w:cs="Times New Roman"/>
          <w:bCs w:val="0"/>
          <w:i w:val="0"/>
          <w:iCs w:val="0"/>
          <w:caps w:val="0"/>
          <w:color w:val="auto"/>
          <w:spacing w:val="0"/>
          <w:sz w:val="21"/>
          <w:szCs w:val="20"/>
          <w:highlight w:val="none"/>
          <w:shd w:val="clear"/>
          <w:lang w:eastAsia="zh-CN"/>
        </w:rPr>
        <w:t>，</w:t>
      </w:r>
      <w:r>
        <w:rPr>
          <w:rFonts w:hint="eastAsia" w:ascii="宋体" w:hAnsi="Courier New" w:eastAsia="宋体" w:cs="Times New Roman"/>
          <w:bCs w:val="0"/>
          <w:i w:val="0"/>
          <w:iCs w:val="0"/>
          <w:caps w:val="0"/>
          <w:color w:val="auto"/>
          <w:spacing w:val="0"/>
          <w:sz w:val="21"/>
          <w:szCs w:val="20"/>
          <w:highlight w:val="none"/>
          <w:shd w:val="clear"/>
        </w:rPr>
        <w:t>纸质版线下开标时提交，电子版需在递交截止时间前上传至中国重汽e采通系统。</w:t>
      </w:r>
    </w:p>
    <w:p w14:paraId="00247483">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应标资料要求：按照以下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619CE7D6">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14:paraId="49161726">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报名时提供的资料不合格的会在系统被驳回，请及时查阅审核状态并及时补齐资料，不能按时补充资料的视为自动放弃本次投标。</w:t>
      </w:r>
    </w:p>
    <w:p w14:paraId="6BAEB204">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请投标人自行确认中国重汽e采通系统中供应商信息完整、准确，因供应商信息不全或错误导致的报名不成功，由投标人自行承担。</w:t>
      </w:r>
    </w:p>
    <w:p w14:paraId="77150FFE">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资质文件组成：</w:t>
      </w:r>
    </w:p>
    <w:p w14:paraId="0F1F5C78">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(1)法定代表人身份证明；</w:t>
      </w:r>
    </w:p>
    <w:p w14:paraId="502FA267">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(2)法定代表人授权委托书（授权人需带身份证原件）；</w:t>
      </w:r>
    </w:p>
    <w:p w14:paraId="79138CC7">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(3)营业执照副本原件或复印件并加盖公章；</w:t>
      </w:r>
    </w:p>
    <w:p w14:paraId="1AA25D62">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(4)证明投标人满足投标资料表中列出的业绩要求的文件（投标人近一年典型案例，提供合同关键页含合同项目名称、签订合同双方的落款盖章、签订日期的关键页）；</w:t>
      </w:r>
    </w:p>
    <w:p w14:paraId="55C2B946">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(5)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0840B06">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(6)企业最近半年完税证明、信用证明材料（征信报告）；</w:t>
      </w:r>
    </w:p>
    <w:p w14:paraId="24DA88BA">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(7)年度纳税信用评价信息（可从电子税务局查询截图，需加盖公章）；</w:t>
      </w:r>
    </w:p>
    <w:p w14:paraId="3DD7D027">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(8)企业对外担保说明（写明贵单位对外有无对外担保和质押业务，需加盖公章）。</w:t>
      </w:r>
    </w:p>
    <w:p w14:paraId="3DF33B33">
      <w:pPr>
        <w:pStyle w:val="73"/>
        <w:numPr>
          <w:ilvl w:val="-1"/>
          <w:numId w:val="0"/>
        </w:numPr>
        <w:ind w:left="0" w:firstLine="422" w:firstLineChars="200"/>
        <w:rPr>
          <w:rFonts w:hint="eastAsia" w:ascii="宋体" w:eastAsia="宋体"/>
          <w:bCs w:val="0"/>
          <w:color w:val="auto"/>
          <w:sz w:val="21"/>
          <w:highlight w:val="none"/>
        </w:rPr>
      </w:pPr>
      <w:r>
        <w:rPr>
          <w:rFonts w:hint="eastAsia" w:ascii="宋体" w:eastAsia="宋体"/>
          <w:bCs w:val="0"/>
          <w:color w:val="auto"/>
          <w:sz w:val="21"/>
          <w:highlight w:val="none"/>
        </w:rPr>
        <w:t>(9)信用中国截图或国家企业信用信息公示系统截图；</w:t>
      </w:r>
    </w:p>
    <w:p w14:paraId="3A557D22">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eastAsia="宋体"/>
          <w:bCs w:val="0"/>
          <w:color w:val="auto"/>
          <w:sz w:val="21"/>
          <w:highlight w:val="none"/>
        </w:rPr>
        <w:t>(10)招标文件中要求的其它资格证明文件。</w:t>
      </w:r>
    </w:p>
    <w:p w14:paraId="5A5375DE">
      <w:pPr>
        <w:pStyle w:val="73"/>
        <w:numPr>
          <w:ilvl w:val="-1"/>
          <w:numId w:val="0"/>
        </w:numPr>
        <w:ind w:left="0" w:firstLine="422" w:firstLineChars="200"/>
        <w:rPr>
          <w:rFonts w:hint="eastAsia" w:ascii="宋体" w:hAnsi="Courier New" w:eastAsia="宋体" w:cs="Times New Roman"/>
          <w:bCs w:val="0"/>
          <w:i w:val="0"/>
          <w:iCs w:val="0"/>
          <w:caps w:val="0"/>
          <w:color w:val="auto"/>
          <w:spacing w:val="0"/>
          <w:sz w:val="21"/>
          <w:szCs w:val="20"/>
          <w:highlight w:val="none"/>
          <w:shd w:val="clear"/>
        </w:rPr>
      </w:pPr>
      <w:r>
        <w:rPr>
          <w:rFonts w:hint="eastAsia" w:ascii="宋体" w:hAnsi="Courier New" w:eastAsia="宋体" w:cs="Times New Roman"/>
          <w:bCs w:val="0"/>
          <w:i w:val="0"/>
          <w:iCs w:val="0"/>
          <w:caps w:val="0"/>
          <w:color w:val="auto"/>
          <w:spacing w:val="0"/>
          <w:sz w:val="21"/>
          <w:szCs w:val="20"/>
          <w:highlight w:val="none"/>
          <w:shd w:val="clear"/>
        </w:rPr>
        <w:t>以上报名资料均要加盖公章。</w:t>
      </w:r>
    </w:p>
    <w:p w14:paraId="27B65ABD">
      <w:pPr>
        <w:pStyle w:val="73"/>
        <w:rPr>
          <w:color w:val="auto"/>
          <w:highlight w:val="none"/>
        </w:rPr>
      </w:pPr>
      <w:r>
        <w:rPr>
          <w:rFonts w:hint="eastAsia"/>
          <w:color w:val="auto"/>
          <w:highlight w:val="none"/>
          <w:lang w:val="en-US" w:eastAsia="zh-CN"/>
        </w:rPr>
        <w:t>开标时间和地点</w:t>
      </w:r>
    </w:p>
    <w:p w14:paraId="17B498DE">
      <w:pPr>
        <w:pStyle w:val="73"/>
        <w:numPr>
          <w:ilvl w:val="-1"/>
          <w:numId w:val="0"/>
        </w:numPr>
        <w:ind w:left="0" w:firstLine="422" w:firstLineChars="200"/>
        <w:rPr>
          <w:rFonts w:hint="eastAsia" w:ascii="宋体" w:eastAsia="宋体" w:cs="Times New Roman"/>
          <w:bCs w:val="0"/>
          <w:color w:val="auto"/>
          <w:sz w:val="21"/>
          <w:highlight w:val="none"/>
          <w:lang w:val="en-US" w:eastAsia="zh-CN"/>
        </w:rPr>
      </w:pPr>
      <w:r>
        <w:rPr>
          <w:rFonts w:hint="eastAsia" w:ascii="宋体" w:eastAsia="宋体" w:cs="Times New Roman"/>
          <w:bCs w:val="0"/>
          <w:color w:val="auto"/>
          <w:sz w:val="21"/>
          <w:highlight w:val="none"/>
          <w:lang w:val="en-US" w:eastAsia="zh-CN"/>
        </w:rPr>
        <w:t>开标地点：山东省济南市华奥路777号重汽科技大厦</w:t>
      </w:r>
    </w:p>
    <w:p w14:paraId="5F016AF6">
      <w:pPr>
        <w:pStyle w:val="73"/>
        <w:numPr>
          <w:ilvl w:val="-1"/>
          <w:numId w:val="0"/>
        </w:numPr>
        <w:ind w:left="0" w:firstLine="422" w:firstLineChars="200"/>
        <w:rPr>
          <w:color w:val="auto"/>
          <w:highlight w:val="none"/>
        </w:rPr>
      </w:pPr>
      <w:r>
        <w:rPr>
          <w:rFonts w:hint="eastAsia" w:ascii="宋体" w:eastAsia="宋体" w:cs="Times New Roman"/>
          <w:bCs w:val="0"/>
          <w:color w:val="auto"/>
          <w:sz w:val="21"/>
          <w:highlight w:val="none"/>
          <w:lang w:val="en-US" w:eastAsia="zh-CN"/>
        </w:rPr>
        <w:t>开标时间：暂定2026年6月22日 10:00，若有变动另行通知。</w:t>
      </w:r>
    </w:p>
    <w:p w14:paraId="22385406">
      <w:pPr>
        <w:pStyle w:val="73"/>
        <w:rPr>
          <w:color w:val="auto"/>
          <w:highlight w:val="none"/>
        </w:rPr>
      </w:pPr>
      <w:bookmarkStart w:id="10" w:name="_Toc47976593"/>
      <w:r>
        <w:rPr>
          <w:rFonts w:hint="eastAsia"/>
          <w:color w:val="auto"/>
          <w:highlight w:val="none"/>
        </w:rPr>
        <w:t>招标公告发布媒介</w:t>
      </w:r>
      <w:bookmarkEnd w:id="10"/>
    </w:p>
    <w:p w14:paraId="15C59335">
      <w:pPr>
        <w:pStyle w:val="74"/>
        <w:numPr>
          <w:ilvl w:val="0"/>
          <w:numId w:val="0"/>
        </w:numPr>
        <w:ind w:left="0" w:firstLine="422" w:firstLineChars="200"/>
        <w:rPr>
          <w:rFonts w:hint="eastAsia"/>
          <w:color w:val="auto"/>
          <w:highlight w:val="none"/>
        </w:rPr>
      </w:pPr>
      <w:r>
        <w:rPr>
          <w:rFonts w:hint="eastAsia"/>
          <w:color w:val="auto"/>
          <w:highlight w:val="none"/>
        </w:rPr>
        <w:t>本次招标公告同时在阳光采购服务平台（www.ygcgfw.com）</w:t>
      </w:r>
      <w:r>
        <w:rPr>
          <w:rFonts w:hint="eastAsia"/>
          <w:color w:val="auto"/>
          <w:highlight w:val="none"/>
          <w:lang w:eastAsia="zh-CN"/>
        </w:rPr>
        <w:t>、</w:t>
      </w:r>
      <w:r>
        <w:rPr>
          <w:rFonts w:hint="eastAsia"/>
          <w:color w:val="auto"/>
          <w:highlight w:val="none"/>
        </w:rPr>
        <w:t>中国重汽集团官网（www.cnhtc.com.cn）发布。</w:t>
      </w:r>
    </w:p>
    <w:p w14:paraId="65FC2213">
      <w:pPr>
        <w:pStyle w:val="73"/>
        <w:rPr>
          <w:color w:val="auto"/>
          <w:highlight w:val="none"/>
        </w:rPr>
      </w:pPr>
      <w:bookmarkStart w:id="11" w:name="_Toc47976594"/>
      <w:r>
        <w:rPr>
          <w:rFonts w:hint="eastAsia"/>
          <w:color w:val="auto"/>
          <w:highlight w:val="none"/>
        </w:rPr>
        <w:t>联系方式</w:t>
      </w:r>
      <w:bookmarkEnd w:id="11"/>
    </w:p>
    <w:p w14:paraId="1CB872D1">
      <w:pPr>
        <w:pStyle w:val="74"/>
        <w:numPr>
          <w:ilvl w:val="0"/>
          <w:numId w:val="0"/>
        </w:numPr>
        <w:ind w:left="0" w:firstLine="422" w:firstLineChars="200"/>
        <w:rPr>
          <w:rFonts w:hint="eastAsia" w:ascii="宋体" w:hAnsi="Courier New" w:eastAsia="宋体" w:cs="Times New Roman"/>
          <w:i w:val="0"/>
          <w:iCs w:val="0"/>
          <w:caps w:val="0"/>
          <w:color w:val="auto"/>
          <w:spacing w:val="0"/>
          <w:highlight w:val="none"/>
        </w:rPr>
      </w:pPr>
      <w:r>
        <w:rPr>
          <w:rFonts w:hint="eastAsia" w:ascii="宋体" w:hAnsi="Courier New" w:eastAsia="宋体" w:cs="Times New Roman"/>
          <w:b/>
          <w:bCs w:val="0"/>
          <w:i w:val="0"/>
          <w:iCs w:val="0"/>
          <w:caps w:val="0"/>
          <w:color w:val="auto"/>
          <w:spacing w:val="0"/>
          <w:kern w:val="2"/>
          <w:sz w:val="21"/>
          <w:szCs w:val="20"/>
          <w:highlight w:val="none"/>
          <w:shd w:val="clear"/>
          <w:vertAlign w:val="baseline"/>
          <w:lang w:val="en-US" w:eastAsia="zh-CN" w:bidi="ar"/>
        </w:rPr>
        <w:t>联系人：</w:t>
      </w: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王国栋 电话：0531-58066535；曲尧 电话：0531-58066537</w:t>
      </w:r>
    </w:p>
    <w:p w14:paraId="2C9C836F">
      <w:pPr>
        <w:pStyle w:val="74"/>
        <w:numPr>
          <w:ilvl w:val="0"/>
          <w:numId w:val="0"/>
        </w:numPr>
        <w:ind w:left="0" w:firstLine="422" w:firstLineChars="200"/>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pPr>
      <w:r>
        <w:rPr>
          <w:rFonts w:hint="eastAsia" w:ascii="宋体" w:hAnsi="Courier New" w:eastAsia="宋体" w:cs="Times New Roman"/>
          <w:b/>
          <w:bCs w:val="0"/>
          <w:i w:val="0"/>
          <w:iCs w:val="0"/>
          <w:caps w:val="0"/>
          <w:color w:val="auto"/>
          <w:spacing w:val="0"/>
          <w:kern w:val="2"/>
          <w:sz w:val="21"/>
          <w:szCs w:val="20"/>
          <w:highlight w:val="none"/>
          <w:shd w:val="clear"/>
          <w:vertAlign w:val="baseline"/>
          <w:lang w:val="en-US" w:eastAsia="zh-CN" w:bidi="ar"/>
        </w:rPr>
        <w:t>通讯地址：</w:t>
      </w: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山东</w:t>
      </w:r>
      <w:r>
        <w:rPr>
          <w:rFonts w:hint="eastAsia" w:cs="Times New Roman"/>
          <w:i w:val="0"/>
          <w:iCs w:val="0"/>
          <w:caps w:val="0"/>
          <w:color w:val="auto"/>
          <w:spacing w:val="0"/>
          <w:kern w:val="2"/>
          <w:sz w:val="21"/>
          <w:szCs w:val="20"/>
          <w:highlight w:val="none"/>
          <w:shd w:val="clear"/>
          <w:vertAlign w:val="baseline"/>
          <w:lang w:val="en-US" w:eastAsia="zh-CN" w:bidi="ar"/>
        </w:rPr>
        <w:t>省</w:t>
      </w: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济南市华奥路777号重汽科技大厦4楼资产管理部</w:t>
      </w:r>
    </w:p>
    <w:p w14:paraId="6B6E4E30">
      <w:pPr>
        <w:pStyle w:val="74"/>
        <w:numPr>
          <w:ilvl w:val="0"/>
          <w:numId w:val="0"/>
        </w:numPr>
        <w:ind w:left="0" w:firstLine="0" w:firstLineChars="0"/>
        <w:rPr>
          <w:rFonts w:hint="eastAsia"/>
          <w:color w:val="auto"/>
          <w:highlight w:val="none"/>
          <w:lang w:bidi="ar"/>
        </w:rPr>
      </w:pPr>
      <w:r>
        <w:rPr>
          <w:rFonts w:hint="eastAsia" w:ascii="黑体" w:eastAsia="黑体"/>
          <w:bCs/>
          <w:color w:val="auto"/>
          <w:sz w:val="28"/>
          <w:highlight w:val="none"/>
          <w:lang w:bidi="ar-SA"/>
        </w:rPr>
        <w:t>九、其他说明</w:t>
      </w:r>
      <w:r>
        <w:rPr>
          <w:rFonts w:hint="eastAsia"/>
          <w:color w:val="auto"/>
          <w:highlight w:val="none"/>
          <w:lang w:bidi="ar"/>
        </w:rPr>
        <w:t xml:space="preserve">  </w:t>
      </w:r>
    </w:p>
    <w:p w14:paraId="226F36BE">
      <w:pPr>
        <w:pStyle w:val="74"/>
        <w:numPr>
          <w:ilvl w:val="0"/>
          <w:numId w:val="0"/>
        </w:numPr>
        <w:ind w:left="0" w:firstLine="422" w:firstLineChars="200"/>
        <w:rPr>
          <w:rFonts w:hint="eastAsia"/>
          <w:color w:val="auto"/>
          <w:highlight w:val="none"/>
          <w:lang w:bidi="ar"/>
        </w:rPr>
      </w:pPr>
      <w:r>
        <w:rPr>
          <w:rFonts w:hint="eastAsia"/>
          <w:color w:val="auto"/>
          <w:highlight w:val="none"/>
          <w:lang w:bidi="ar"/>
        </w:rPr>
        <w:t>1.供应商需在阳光采购服务平台进行注册，注册后搜索该项目并进行报名。</w:t>
      </w:r>
    </w:p>
    <w:p w14:paraId="4498B98F">
      <w:pPr>
        <w:pStyle w:val="74"/>
        <w:numPr>
          <w:ilvl w:val="0"/>
          <w:numId w:val="0"/>
        </w:numPr>
        <w:ind w:left="0" w:firstLine="422" w:firstLineChars="200"/>
        <w:rPr>
          <w:rFonts w:hint="eastAsia" w:ascii="宋体" w:hAnsi="Courier New" w:eastAsia="宋体" w:cs="Times New Roman"/>
          <w:i w:val="0"/>
          <w:iCs w:val="0"/>
          <w:caps w:val="0"/>
          <w:color w:val="auto"/>
          <w:spacing w:val="0"/>
          <w:kern w:val="2"/>
          <w:sz w:val="21"/>
          <w:szCs w:val="20"/>
          <w:highlight w:val="none"/>
          <w:u w:val="none"/>
          <w:shd w:val="clear"/>
          <w:vertAlign w:val="baseline"/>
          <w:lang w:val="en-US" w:eastAsia="zh-CN" w:bidi="ar"/>
        </w:rPr>
      </w:pPr>
      <w:r>
        <w:rPr>
          <w:rFonts w:hint="eastAsia"/>
          <w:color w:val="auto"/>
          <w:highlight w:val="none"/>
          <w:lang w:bidi="ar"/>
        </w:rPr>
        <w:t>2.供应商需在重汽官网搜索本项目招标公告，根据要求准备</w:t>
      </w:r>
      <w:r>
        <w:rPr>
          <w:rFonts w:hint="eastAsia"/>
          <w:color w:val="auto"/>
          <w:highlight w:val="none"/>
          <w:u w:val="none"/>
          <w:lang w:bidi="ar"/>
        </w:rPr>
        <w:t>报名资料。</w:t>
      </w:r>
    </w:p>
    <w:p w14:paraId="7315AE7F">
      <w:pPr>
        <w:pStyle w:val="74"/>
        <w:numPr>
          <w:ilvl w:val="0"/>
          <w:numId w:val="0"/>
        </w:numPr>
        <w:ind w:left="0" w:firstLine="422" w:firstLineChars="200"/>
        <w:rPr>
          <w:rFonts w:hint="eastAsia" w:ascii="宋体" w:hAnsi="Courier New" w:eastAsia="宋体" w:cs="Times New Roman"/>
          <w:i w:val="0"/>
          <w:iCs w:val="0"/>
          <w:caps w:val="0"/>
          <w:color w:val="auto"/>
          <w:spacing w:val="0"/>
          <w:kern w:val="2"/>
          <w:sz w:val="21"/>
          <w:szCs w:val="20"/>
          <w:highlight w:val="none"/>
          <w:u w:val="none"/>
          <w:shd w:val="clear"/>
          <w:vertAlign w:val="baseline"/>
          <w:lang w:val="en-US" w:eastAsia="zh-CN" w:bidi="ar"/>
        </w:rPr>
      </w:pPr>
    </w:p>
    <w:p w14:paraId="410F58AB">
      <w:pPr>
        <w:pStyle w:val="77"/>
        <w:ind w:firstLine="6535" w:firstLineChars="3100"/>
        <w:jc w:val="both"/>
        <w:rPr>
          <w:rFonts w:hint="eastAsia" w:ascii="宋体" w:hAnsi="Courier New" w:eastAsia="宋体" w:cs="Times New Roman"/>
          <w:b/>
          <w:color w:val="auto"/>
          <w:kern w:val="2"/>
          <w:sz w:val="21"/>
          <w:highlight w:val="none"/>
          <w:lang w:val="en-US" w:eastAsia="zh-CN" w:bidi="ar-SA"/>
        </w:rPr>
      </w:pPr>
      <w:r>
        <w:rPr>
          <w:rFonts w:hint="eastAsia" w:ascii="宋体" w:hAnsi="Courier New" w:eastAsia="宋体" w:cs="Times New Roman"/>
          <w:b/>
          <w:color w:val="auto"/>
          <w:kern w:val="2"/>
          <w:sz w:val="21"/>
          <w:highlight w:val="none"/>
          <w:lang w:val="en-US" w:eastAsia="zh-CN" w:bidi="ar-SA"/>
        </w:rPr>
        <w:t>2026年6月3日</w:t>
      </w:r>
    </w:p>
    <w:p w14:paraId="04C96706">
      <w:pPr>
        <w:pStyle w:val="77"/>
        <w:rPr>
          <w:rFonts w:hint="eastAsia" w:ascii="宋体" w:hAnsi="Courier New" w:eastAsia="宋体" w:cs="Times New Roman"/>
          <w:b/>
          <w:color w:val="auto"/>
          <w:kern w:val="2"/>
          <w:sz w:val="21"/>
          <w:highlight w:val="none"/>
          <w:lang w:val="en-US" w:eastAsia="zh-CN" w:bidi="ar-SA"/>
        </w:rPr>
      </w:pPr>
    </w:p>
    <w:p w14:paraId="5540CCC2">
      <w:pPr>
        <w:pStyle w:val="77"/>
        <w:rPr>
          <w:color w:val="auto"/>
          <w:highlight w:val="none"/>
          <w:u w:val="none"/>
        </w:rPr>
      </w:pPr>
    </w:p>
    <w:p w14:paraId="69043298">
      <w:pPr>
        <w:pStyle w:val="77"/>
        <w:rPr>
          <w:color w:val="auto"/>
          <w:highlight w:val="none"/>
        </w:rPr>
      </w:pPr>
    </w:p>
    <w:p w14:paraId="42A0E471">
      <w:pPr>
        <w:pStyle w:val="77"/>
        <w:rPr>
          <w:color w:val="auto"/>
          <w:highlight w:val="none"/>
        </w:rPr>
      </w:pPr>
    </w:p>
    <w:p w14:paraId="55A74A7C">
      <w:pPr>
        <w:pStyle w:val="77"/>
        <w:rPr>
          <w:color w:val="auto"/>
          <w:highlight w:val="none"/>
        </w:rPr>
      </w:pPr>
    </w:p>
    <w:p w14:paraId="1C0F107F">
      <w:pPr>
        <w:pStyle w:val="77"/>
        <w:rPr>
          <w:color w:val="auto"/>
          <w:highlight w:val="none"/>
        </w:rPr>
      </w:pPr>
    </w:p>
    <w:p w14:paraId="028B5269">
      <w:pPr>
        <w:pStyle w:val="77"/>
        <w:rPr>
          <w:color w:val="auto"/>
          <w:highlight w:val="none"/>
        </w:rPr>
      </w:pPr>
    </w:p>
    <w:p w14:paraId="19C2CD04">
      <w:pPr>
        <w:pStyle w:val="77"/>
        <w:rPr>
          <w:color w:val="auto"/>
          <w:highlight w:val="none"/>
        </w:rPr>
      </w:pPr>
    </w:p>
    <w:p w14:paraId="4AE941C7">
      <w:pPr>
        <w:pStyle w:val="77"/>
        <w:rPr>
          <w:color w:val="auto"/>
          <w:highlight w:val="none"/>
        </w:rPr>
      </w:pPr>
    </w:p>
    <w:p w14:paraId="02E4B19E">
      <w:pPr>
        <w:pStyle w:val="77"/>
        <w:rPr>
          <w:color w:val="auto"/>
          <w:highlight w:val="none"/>
        </w:rPr>
      </w:pPr>
    </w:p>
    <w:p w14:paraId="3FFC7B22">
      <w:pPr>
        <w:pStyle w:val="77"/>
        <w:rPr>
          <w:color w:val="auto"/>
          <w:highlight w:val="none"/>
        </w:rPr>
      </w:pPr>
    </w:p>
    <w:p w14:paraId="547F3B33">
      <w:pPr>
        <w:pStyle w:val="77"/>
        <w:rPr>
          <w:color w:val="auto"/>
          <w:highlight w:val="none"/>
        </w:rPr>
      </w:pPr>
    </w:p>
    <w:p w14:paraId="006136FF">
      <w:pPr>
        <w:pStyle w:val="77"/>
        <w:rPr>
          <w:color w:val="auto"/>
          <w:highlight w:val="none"/>
        </w:rPr>
      </w:pPr>
    </w:p>
    <w:p w14:paraId="03150291">
      <w:pPr>
        <w:pStyle w:val="77"/>
        <w:rPr>
          <w:color w:val="auto"/>
          <w:highlight w:val="none"/>
        </w:rPr>
      </w:pPr>
    </w:p>
    <w:p w14:paraId="0DF19F4D">
      <w:pPr>
        <w:pStyle w:val="77"/>
        <w:rPr>
          <w:color w:val="auto"/>
          <w:highlight w:val="none"/>
        </w:rPr>
      </w:pPr>
    </w:p>
    <w:p w14:paraId="119B559C">
      <w:pPr>
        <w:pStyle w:val="77"/>
        <w:rPr>
          <w:color w:val="auto"/>
          <w:highlight w:val="none"/>
        </w:rPr>
      </w:pPr>
    </w:p>
    <w:p w14:paraId="7F29CBF6">
      <w:pPr>
        <w:pStyle w:val="77"/>
        <w:rPr>
          <w:color w:val="auto"/>
          <w:highlight w:val="none"/>
        </w:rPr>
      </w:pPr>
    </w:p>
    <w:p w14:paraId="05CC7008">
      <w:pPr>
        <w:pStyle w:val="77"/>
        <w:rPr>
          <w:color w:val="auto"/>
          <w:highlight w:val="none"/>
        </w:rPr>
      </w:pPr>
    </w:p>
    <w:p w14:paraId="1A70C67C">
      <w:pPr>
        <w:pStyle w:val="77"/>
        <w:rPr>
          <w:color w:val="auto"/>
          <w:highlight w:val="none"/>
        </w:rPr>
      </w:pPr>
    </w:p>
    <w:p w14:paraId="3EBAEE40">
      <w:pPr>
        <w:pStyle w:val="77"/>
        <w:rPr>
          <w:color w:val="auto"/>
          <w:highlight w:val="none"/>
        </w:rPr>
      </w:pPr>
    </w:p>
    <w:p w14:paraId="088B48A0">
      <w:pPr>
        <w:pStyle w:val="77"/>
        <w:rPr>
          <w:color w:val="auto"/>
          <w:highlight w:val="none"/>
        </w:rPr>
      </w:pPr>
    </w:p>
    <w:p w14:paraId="7E9E7AB6">
      <w:pPr>
        <w:pStyle w:val="77"/>
        <w:rPr>
          <w:color w:val="auto"/>
          <w:highlight w:val="none"/>
        </w:rPr>
      </w:pPr>
    </w:p>
    <w:p w14:paraId="2E88CE48">
      <w:pPr>
        <w:pStyle w:val="77"/>
        <w:rPr>
          <w:color w:val="auto"/>
          <w:highlight w:val="none"/>
        </w:rPr>
      </w:pPr>
    </w:p>
    <w:p w14:paraId="048F18B4">
      <w:pPr>
        <w:pStyle w:val="77"/>
        <w:rPr>
          <w:color w:val="auto"/>
          <w:highlight w:val="none"/>
        </w:rPr>
      </w:pPr>
    </w:p>
    <w:p w14:paraId="3D820EEC">
      <w:pPr>
        <w:pStyle w:val="72"/>
        <w:rPr>
          <w:color w:val="auto"/>
          <w:highlight w:val="none"/>
        </w:rPr>
      </w:pPr>
      <w:bookmarkStart w:id="12" w:name="_Toc10704"/>
      <w:bookmarkStart w:id="13" w:name="_Toc47976595"/>
      <w:bookmarkStart w:id="14" w:name="_Toc7753"/>
      <w:r>
        <w:rPr>
          <w:rFonts w:hint="eastAsia"/>
          <w:color w:val="auto"/>
          <w:highlight w:val="none"/>
        </w:rPr>
        <w:t>第一部分  投标人须知</w:t>
      </w:r>
      <w:bookmarkEnd w:id="12"/>
      <w:bookmarkEnd w:id="13"/>
      <w:bookmarkEnd w:id="14"/>
    </w:p>
    <w:p w14:paraId="418340FC">
      <w:pPr>
        <w:pStyle w:val="73"/>
        <w:numPr>
          <w:ilvl w:val="0"/>
          <w:numId w:val="12"/>
        </w:numPr>
        <w:ind w:left="420"/>
        <w:jc w:val="left"/>
        <w:rPr>
          <w:color w:val="auto"/>
          <w:highlight w:val="none"/>
        </w:rPr>
      </w:pPr>
      <w:bookmarkStart w:id="15" w:name="_Toc47976596"/>
      <w:r>
        <w:rPr>
          <w:rFonts w:hint="eastAsia"/>
          <w:color w:val="auto"/>
          <w:highlight w:val="none"/>
        </w:rPr>
        <w:t>项目介绍</w:t>
      </w:r>
      <w:bookmarkEnd w:id="15"/>
    </w:p>
    <w:p w14:paraId="6360E7CD">
      <w:pPr>
        <w:pStyle w:val="77"/>
        <w:numPr>
          <w:ilvl w:val="0"/>
          <w:numId w:val="13"/>
        </w:numPr>
        <w:ind w:left="425" w:leftChars="0" w:hanging="425" w:firstLineChars="0"/>
        <w:rPr>
          <w:color w:val="auto"/>
          <w:highlight w:val="none"/>
        </w:rPr>
      </w:pPr>
      <w:r>
        <w:rPr>
          <w:rFonts w:hint="eastAsia"/>
          <w:color w:val="auto"/>
          <w:highlight w:val="none"/>
        </w:rPr>
        <w:t>项目名称：重汽汽车金融有限公司催收合作服务商入库</w:t>
      </w:r>
      <w:r>
        <w:rPr>
          <w:rFonts w:hint="eastAsia"/>
          <w:color w:val="auto"/>
          <w:highlight w:val="none"/>
          <w:lang w:val="en-US" w:eastAsia="zh-CN"/>
        </w:rPr>
        <w:t>采购</w:t>
      </w:r>
    </w:p>
    <w:p w14:paraId="17A97EAA">
      <w:pPr>
        <w:pStyle w:val="77"/>
        <w:numPr>
          <w:ilvl w:val="0"/>
          <w:numId w:val="13"/>
        </w:numPr>
        <w:ind w:left="425" w:leftChars="0" w:hanging="425" w:firstLineChars="0"/>
        <w:rPr>
          <w:color w:val="auto"/>
          <w:highlight w:val="none"/>
        </w:rPr>
      </w:pPr>
      <w:r>
        <w:rPr>
          <w:rFonts w:hint="eastAsia"/>
          <w:color w:val="auto"/>
          <w:highlight w:val="none"/>
        </w:rPr>
        <w:t>项目编号：ZBGL2026060105</w:t>
      </w:r>
      <w:bookmarkStart w:id="37" w:name="_GoBack"/>
      <w:bookmarkEnd w:id="37"/>
    </w:p>
    <w:p w14:paraId="5C6CF568">
      <w:pPr>
        <w:pStyle w:val="77"/>
        <w:numPr>
          <w:ilvl w:val="0"/>
          <w:numId w:val="13"/>
        </w:numPr>
        <w:ind w:left="425" w:leftChars="0" w:hanging="425" w:firstLineChars="0"/>
        <w:rPr>
          <w:color w:val="auto"/>
          <w:highlight w:val="none"/>
        </w:rPr>
      </w:pPr>
      <w:r>
        <w:rPr>
          <w:rFonts w:hint="eastAsia"/>
          <w:color w:val="auto"/>
          <w:highlight w:val="none"/>
        </w:rPr>
        <w:t>招标形式：</w:t>
      </w:r>
      <w:bookmarkStart w:id="16" w:name="_Toc47112482"/>
      <w:r>
        <w:rPr>
          <w:rFonts w:hint="eastAsia"/>
          <w:color w:val="auto"/>
          <w:highlight w:val="none"/>
          <w:lang w:val="en-US" w:eastAsia="zh-CN"/>
        </w:rPr>
        <w:t>公开招标</w:t>
      </w:r>
    </w:p>
    <w:p w14:paraId="742B3A80">
      <w:pPr>
        <w:pStyle w:val="77"/>
        <w:numPr>
          <w:ilvl w:val="0"/>
          <w:numId w:val="13"/>
        </w:numPr>
        <w:ind w:left="0" w:leftChars="0" w:firstLine="0" w:firstLineChars="0"/>
        <w:rPr>
          <w:color w:val="auto"/>
          <w:highlight w:val="none"/>
        </w:rPr>
      </w:pPr>
      <w:r>
        <w:rPr>
          <w:rFonts w:hint="eastAsia"/>
          <w:color w:val="auto"/>
          <w:highlight w:val="none"/>
          <w:lang w:val="en-US" w:eastAsia="zh-CN"/>
        </w:rPr>
        <w:t>项目概况：为强化逾期业务催收合作服务商采购及费用支出管理，提高催收合作服务商服务质量、提高逾期业务回款率，重汽汽车金融有限公司就催收合作服务商入库采购进行公开招标。本次招标仅为入库，招标人不对具体催收业务分配作出承诺，招标人有权按照内部管理要求、综合考虑服务商能力等分配催收业务。</w:t>
      </w:r>
    </w:p>
    <w:p w14:paraId="151561C8">
      <w:pPr>
        <w:pStyle w:val="77"/>
        <w:numPr>
          <w:ilvl w:val="0"/>
          <w:numId w:val="13"/>
        </w:numPr>
        <w:ind w:left="0" w:leftChars="0" w:firstLine="0" w:firstLineChars="0"/>
        <w:rPr>
          <w:rFonts w:hint="default" w:ascii="宋体" w:hAnsi="Courier New" w:eastAsia="宋体" w:cs="Times New Roman"/>
          <w:color w:val="auto"/>
          <w:highlight w:val="none"/>
          <w:lang w:val="en-US" w:eastAsia="zh-CN"/>
        </w:rPr>
      </w:pPr>
      <w:r>
        <w:rPr>
          <w:rFonts w:hint="eastAsia" w:cs="Times New Roman"/>
          <w:color w:val="auto"/>
          <w:highlight w:val="none"/>
          <w:lang w:val="en-US" w:eastAsia="zh-CN"/>
        </w:rPr>
        <w:t>招标内容</w:t>
      </w:r>
      <w:r>
        <w:rPr>
          <w:rFonts w:hint="eastAsia" w:ascii="宋体" w:hAnsi="Courier New" w:eastAsia="宋体" w:cs="Times New Roman"/>
          <w:color w:val="auto"/>
          <w:highlight w:val="none"/>
          <w:lang w:val="en-US" w:eastAsia="zh-CN"/>
        </w:rPr>
        <w:t>具体要求详见《技术标书》。</w:t>
      </w:r>
    </w:p>
    <w:p w14:paraId="5B11253A">
      <w:pPr>
        <w:pStyle w:val="77"/>
        <w:numPr>
          <w:ilvl w:val="0"/>
          <w:numId w:val="13"/>
        </w:numPr>
        <w:ind w:left="0" w:leftChars="0" w:firstLine="0" w:firstLineChars="0"/>
        <w:rPr>
          <w:rFonts w:hint="default" w:cs="Times New Roman"/>
          <w:color w:val="auto"/>
          <w:highlight w:val="none"/>
          <w:u w:val="none"/>
          <w:lang w:val="en-US" w:eastAsia="zh-CN"/>
        </w:rPr>
      </w:pPr>
      <w:r>
        <w:rPr>
          <w:rFonts w:hint="eastAsia"/>
          <w:color w:val="auto"/>
          <w:highlight w:val="none"/>
          <w:lang w:val="en-US" w:eastAsia="zh-CN"/>
        </w:rPr>
        <w:t>报价：</w:t>
      </w:r>
      <w:r>
        <w:rPr>
          <w:rFonts w:hint="eastAsia" w:cs="Times New Roman"/>
          <w:b/>
          <w:bCs/>
          <w:color w:val="auto"/>
          <w:highlight w:val="none"/>
          <w:u w:val="none"/>
          <w:lang w:val="en-US" w:eastAsia="zh-CN"/>
        </w:rPr>
        <w:t>报价应包含币种、不含税金额、税率及价税合计金额。</w:t>
      </w:r>
    </w:p>
    <w:p w14:paraId="0C0A5B26">
      <w:pPr>
        <w:shd w:val="clear"/>
        <w:spacing w:line="360" w:lineRule="auto"/>
        <w:ind w:firstLine="0" w:firstLineChars="0"/>
        <w:rPr>
          <w:rFonts w:hint="eastAsia" w:ascii="宋体" w:hAnsi="Courier New" w:eastAsia="宋体" w:cs="Times New Roman"/>
          <w:b/>
          <w:bCs/>
          <w:color w:val="auto"/>
          <w:sz w:val="21"/>
          <w:highlight w:val="none"/>
          <w:u w:val="none"/>
          <w:lang w:val="en-US" w:eastAsia="zh-CN"/>
        </w:rPr>
      </w:pPr>
      <w:r>
        <w:rPr>
          <w:rFonts w:hint="eastAsia" w:ascii="宋体" w:hAnsi="Courier New" w:eastAsia="宋体" w:cs="Times New Roman"/>
          <w:b/>
          <w:bCs/>
          <w:color w:val="auto"/>
          <w:sz w:val="21"/>
          <w:highlight w:val="none"/>
          <w:u w:val="none"/>
        </w:rPr>
        <w:t>各投标人在报价时，</w:t>
      </w:r>
      <w:r>
        <w:rPr>
          <w:rFonts w:hint="eastAsia" w:ascii="宋体" w:hAnsi="Courier New" w:eastAsia="宋体" w:cs="Times New Roman"/>
          <w:b/>
          <w:bCs/>
          <w:color w:val="auto"/>
          <w:sz w:val="21"/>
          <w:highlight w:val="none"/>
          <w:u w:val="none"/>
          <w:lang w:val="en-US" w:eastAsia="zh-CN"/>
        </w:rPr>
        <w:t>按照下表格式报价，且</w:t>
      </w:r>
      <w:r>
        <w:rPr>
          <w:rFonts w:hint="eastAsia" w:ascii="宋体" w:hAnsi="Courier New" w:cs="Times New Roman"/>
          <w:b/>
          <w:bCs/>
          <w:color w:val="auto"/>
          <w:sz w:val="21"/>
          <w:highlight w:val="none"/>
          <w:u w:val="none"/>
          <w:lang w:val="en-US" w:eastAsia="zh-CN"/>
        </w:rPr>
        <w:t>报价</w:t>
      </w:r>
      <w:r>
        <w:rPr>
          <w:rFonts w:hint="eastAsia" w:ascii="宋体" w:hAnsi="Courier New" w:eastAsia="宋体" w:cs="Times New Roman"/>
          <w:b/>
          <w:bCs/>
          <w:color w:val="auto"/>
          <w:sz w:val="21"/>
          <w:highlight w:val="none"/>
          <w:u w:val="none"/>
          <w:lang w:val="en-US" w:eastAsia="zh-CN"/>
        </w:rPr>
        <w:t>不得高于</w:t>
      </w:r>
      <w:r>
        <w:rPr>
          <w:rFonts w:hint="eastAsia" w:ascii="宋体" w:hAnsi="Courier New" w:cs="Times New Roman"/>
          <w:b/>
          <w:bCs/>
          <w:color w:val="auto"/>
          <w:sz w:val="21"/>
          <w:highlight w:val="none"/>
          <w:u w:val="none"/>
          <w:lang w:val="en-US" w:eastAsia="zh-CN"/>
        </w:rPr>
        <w:t>95.16</w:t>
      </w:r>
      <w:r>
        <w:rPr>
          <w:rFonts w:hint="eastAsia" w:ascii="宋体" w:hAnsi="Courier New" w:eastAsia="宋体" w:cs="Times New Roman"/>
          <w:b/>
          <w:bCs/>
          <w:color w:val="auto"/>
          <w:sz w:val="21"/>
          <w:highlight w:val="none"/>
          <w:u w:val="none"/>
          <w:lang w:val="en-US" w:eastAsia="zh-CN"/>
        </w:rPr>
        <w:t>万元（含税）。</w:t>
      </w:r>
    </w:p>
    <w:tbl>
      <w:tblPr>
        <w:tblStyle w:val="31"/>
        <w:tblW w:w="499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33"/>
        <w:gridCol w:w="4056"/>
        <w:gridCol w:w="912"/>
        <w:gridCol w:w="1261"/>
        <w:gridCol w:w="849"/>
        <w:gridCol w:w="1469"/>
      </w:tblGrid>
      <w:tr w14:paraId="0BDF0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0DE79843">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sz w:val="21"/>
                <w:szCs w:val="21"/>
                <w:highlight w:val="none"/>
                <w:u w:val="none"/>
              </w:rPr>
            </w:pPr>
            <w:r>
              <w:rPr>
                <w:rFonts w:hint="eastAsia" w:ascii="仿宋_GB2312" w:hAnsi="仿宋_GB2312" w:eastAsia="仿宋_GB2312" w:cs="仿宋_GB2312"/>
                <w:b/>
                <w:bCs/>
                <w:i w:val="0"/>
                <w:iCs w:val="0"/>
                <w:color w:val="auto"/>
                <w:kern w:val="0"/>
                <w:sz w:val="21"/>
                <w:szCs w:val="21"/>
                <w:highlight w:val="none"/>
                <w:u w:val="none"/>
                <w:lang w:val="en-US" w:eastAsia="zh-CN" w:bidi="ar"/>
              </w:rPr>
              <w:t>序号</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6EFEB536">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sz w:val="21"/>
                <w:szCs w:val="21"/>
                <w:highlight w:val="none"/>
                <w:u w:val="none"/>
                <w:lang w:val="en-US" w:eastAsia="zh-CN"/>
              </w:rPr>
            </w:pPr>
            <w:r>
              <w:rPr>
                <w:rFonts w:hint="eastAsia" w:ascii="仿宋_GB2312" w:hAnsi="仿宋_GB2312" w:eastAsia="仿宋_GB2312" w:cs="仿宋_GB2312"/>
                <w:b/>
                <w:bCs/>
                <w:i w:val="0"/>
                <w:iCs w:val="0"/>
                <w:color w:val="auto"/>
                <w:sz w:val="21"/>
                <w:szCs w:val="21"/>
                <w:highlight w:val="none"/>
                <w:u w:val="none"/>
                <w:lang w:val="en-US" w:eastAsia="zh-CN"/>
              </w:rPr>
              <w:t>类型</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5DE55DD5">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sz w:val="21"/>
                <w:szCs w:val="21"/>
                <w:highlight w:val="none"/>
                <w:u w:val="none"/>
                <w:lang w:val="en-US"/>
              </w:rPr>
            </w:pPr>
            <w:r>
              <w:rPr>
                <w:rFonts w:hint="eastAsia" w:ascii="仿宋_GB2312" w:hAnsi="仿宋_GB2312" w:eastAsia="仿宋_GB2312" w:cs="仿宋_GB2312"/>
                <w:b/>
                <w:bCs/>
                <w:i w:val="0"/>
                <w:iCs w:val="0"/>
                <w:color w:val="auto"/>
                <w:kern w:val="0"/>
                <w:sz w:val="21"/>
                <w:szCs w:val="21"/>
                <w:highlight w:val="none"/>
                <w:u w:val="none"/>
                <w:lang w:val="en-US" w:eastAsia="zh-CN" w:bidi="ar"/>
              </w:rPr>
              <w:t>数量</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3B4CCC2F">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eastAsia" w:ascii="仿宋_GB2312" w:hAnsi="仿宋_GB2312" w:eastAsia="仿宋_GB2312" w:cs="仿宋_GB2312"/>
                <w:b/>
                <w:bCs/>
                <w:i w:val="0"/>
                <w:iCs w:val="0"/>
                <w:color w:val="auto"/>
                <w:kern w:val="0"/>
                <w:sz w:val="21"/>
                <w:szCs w:val="21"/>
                <w:highlight w:val="none"/>
                <w:u w:val="none"/>
                <w:lang w:val="en-US" w:eastAsia="zh-CN" w:bidi="ar"/>
              </w:rPr>
              <w:t>贷款余额</w:t>
            </w:r>
          </w:p>
          <w:p w14:paraId="67F4571D">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eastAsia" w:ascii="仿宋_GB2312" w:hAnsi="仿宋_GB2312" w:eastAsia="仿宋_GB2312" w:cs="仿宋_GB2312"/>
                <w:b/>
                <w:bCs/>
                <w:i w:val="0"/>
                <w:iCs w:val="0"/>
                <w:color w:val="auto"/>
                <w:kern w:val="0"/>
                <w:sz w:val="21"/>
                <w:szCs w:val="21"/>
                <w:highlight w:val="none"/>
                <w:u w:val="none"/>
                <w:lang w:val="en-US" w:eastAsia="zh-CN" w:bidi="ar"/>
              </w:rPr>
              <w:t>（万元）</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41990D63">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eastAsia" w:ascii="仿宋_GB2312" w:hAnsi="仿宋_GB2312" w:eastAsia="仿宋_GB2312" w:cs="仿宋_GB2312"/>
                <w:b/>
                <w:bCs/>
                <w:i w:val="0"/>
                <w:iCs w:val="0"/>
                <w:color w:val="auto"/>
                <w:kern w:val="0"/>
                <w:sz w:val="21"/>
                <w:szCs w:val="21"/>
                <w:highlight w:val="none"/>
                <w:u w:val="none"/>
                <w:lang w:val="en-US" w:eastAsia="zh-CN" w:bidi="ar"/>
              </w:rPr>
              <w:t>佣金</w:t>
            </w:r>
          </w:p>
          <w:p w14:paraId="63AF6E05">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eastAsia" w:ascii="仿宋_GB2312" w:hAnsi="仿宋_GB2312" w:eastAsia="仿宋_GB2312" w:cs="仿宋_GB2312"/>
                <w:b/>
                <w:bCs/>
                <w:i w:val="0"/>
                <w:iCs w:val="0"/>
                <w:color w:val="auto"/>
                <w:kern w:val="0"/>
                <w:sz w:val="21"/>
                <w:szCs w:val="21"/>
                <w:highlight w:val="none"/>
                <w:u w:val="none"/>
                <w:lang w:val="en-US" w:eastAsia="zh-CN" w:bidi="ar"/>
              </w:rPr>
              <w:t>比例</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725A3E09">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eastAsia" w:ascii="仿宋_GB2312" w:hAnsi="仿宋_GB2312" w:eastAsia="仿宋_GB2312" w:cs="仿宋_GB2312"/>
                <w:b/>
                <w:bCs/>
                <w:i w:val="0"/>
                <w:iCs w:val="0"/>
                <w:color w:val="auto"/>
                <w:kern w:val="0"/>
                <w:sz w:val="21"/>
                <w:szCs w:val="21"/>
                <w:highlight w:val="none"/>
                <w:u w:val="none"/>
                <w:lang w:val="en-US" w:eastAsia="zh-CN" w:bidi="ar"/>
              </w:rPr>
              <w:t>总费用上限</w:t>
            </w:r>
          </w:p>
          <w:p w14:paraId="2863F81B">
            <w:pPr>
              <w:keepNext w:val="0"/>
              <w:keepLines w:val="0"/>
              <w:pageBreakBefore w:val="0"/>
              <w:widowControl/>
              <w:suppressLineNumbers w:val="0"/>
              <w:shd w:val="clear"/>
              <w:kinsoku/>
              <w:wordWrap/>
              <w:overflowPunct/>
              <w:topLinePunct w:val="0"/>
              <w:autoSpaceDE/>
              <w:autoSpaceDN/>
              <w:bidi w:val="0"/>
              <w:adjustRightInd/>
              <w:snapToGrid w:val="0"/>
              <w:spacing w:line="240" w:lineRule="auto"/>
              <w:jc w:val="center"/>
              <w:textAlignment w:val="center"/>
              <w:rPr>
                <w:rFonts w:hint="eastAsia" w:ascii="仿宋_GB2312" w:hAnsi="仿宋_GB2312" w:eastAsia="仿宋_GB2312" w:cs="仿宋_GB2312"/>
                <w:b/>
                <w:bCs/>
                <w:i w:val="0"/>
                <w:iCs w:val="0"/>
                <w:color w:val="auto"/>
                <w:sz w:val="21"/>
                <w:szCs w:val="21"/>
                <w:highlight w:val="none"/>
                <w:u w:val="none"/>
              </w:rPr>
            </w:pPr>
            <w:r>
              <w:rPr>
                <w:rFonts w:hint="eastAsia" w:ascii="仿宋_GB2312" w:hAnsi="仿宋_GB2312" w:eastAsia="仿宋_GB2312" w:cs="仿宋_GB2312"/>
                <w:b/>
                <w:bCs/>
                <w:i w:val="0"/>
                <w:iCs w:val="0"/>
                <w:color w:val="auto"/>
                <w:kern w:val="0"/>
                <w:sz w:val="21"/>
                <w:szCs w:val="21"/>
                <w:highlight w:val="none"/>
                <w:u w:val="none"/>
                <w:lang w:val="en-US" w:eastAsia="zh-CN" w:bidi="ar"/>
              </w:rPr>
              <w:t>（元）</w:t>
            </w:r>
          </w:p>
        </w:tc>
      </w:tr>
      <w:tr w14:paraId="139C3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760B076D">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sz w:val="21"/>
                <w:szCs w:val="21"/>
                <w:highlight w:val="none"/>
                <w:u w:val="none"/>
              </w:rPr>
            </w:pPr>
            <w:r>
              <w:rPr>
                <w:rFonts w:hint="default" w:ascii="仿宋_GB2312" w:hAnsi="宋体" w:eastAsia="仿宋_GB2312" w:cs="仿宋_GB2312"/>
                <w:i w:val="0"/>
                <w:iCs w:val="0"/>
                <w:color w:val="auto"/>
                <w:kern w:val="0"/>
                <w:sz w:val="21"/>
                <w:szCs w:val="21"/>
                <w:highlight w:val="none"/>
                <w:u w:val="none"/>
                <w:lang w:val="en-US" w:eastAsia="zh-CN" w:bidi="ar"/>
              </w:rPr>
              <w:t>1</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6EAB8848">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逾期天数1（含）-30（含）天</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331F234D">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577笔</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02EC5F8F">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10481.05</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757E39AA">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sz w:val="21"/>
                <w:szCs w:val="21"/>
                <w:highlight w:val="none"/>
                <w:u w:val="none"/>
              </w:rPr>
            </w:pPr>
            <w:r>
              <w:rPr>
                <w:rFonts w:hint="default" w:ascii="仿宋_GB2312" w:hAnsi="宋体" w:eastAsia="仿宋_GB2312" w:cs="仿宋_GB2312"/>
                <w:i w:val="0"/>
                <w:iCs w:val="0"/>
                <w:color w:val="auto"/>
                <w:kern w:val="0"/>
                <w:sz w:val="21"/>
                <w:szCs w:val="21"/>
                <w:highlight w:val="none"/>
                <w:u w:val="none"/>
                <w:lang w:val="en-US" w:eastAsia="zh-CN" w:bidi="ar"/>
              </w:rPr>
              <w:t>1.20%</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5EA4675F">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sz w:val="21"/>
                <w:szCs w:val="21"/>
                <w:highlight w:val="none"/>
                <w:u w:val="none"/>
                <w:lang w:val="en-US"/>
              </w:rPr>
            </w:pPr>
            <w:r>
              <w:rPr>
                <w:rFonts w:hint="default" w:ascii="仿宋_GB2312" w:hAnsi="宋体" w:eastAsia="仿宋_GB2312" w:cs="仿宋_GB2312"/>
                <w:i w:val="0"/>
                <w:iCs w:val="0"/>
                <w:color w:val="auto"/>
                <w:kern w:val="0"/>
                <w:sz w:val="21"/>
                <w:szCs w:val="21"/>
                <w:highlight w:val="none"/>
                <w:u w:val="none"/>
                <w:lang w:val="en-US" w:eastAsia="zh-CN" w:bidi="ar"/>
              </w:rPr>
              <w:t>150,927.12</w:t>
            </w:r>
          </w:p>
        </w:tc>
      </w:tr>
      <w:tr w14:paraId="7B9B8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314A7DFD">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2</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1E18D98E">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逾期天数30（不含）-90（含）天</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578DE378">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75笔</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053A4FE5">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1,129.88</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28B03D29">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6%</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5938C0CF">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81,351.66</w:t>
            </w:r>
          </w:p>
        </w:tc>
      </w:tr>
      <w:tr w14:paraId="4C612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331B5BBE">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3</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5FF7DB09">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逾期天数90（不含）-180（含）天</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599E8E9D">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44笔</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63C5B932">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292.29</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0F001466">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12%</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4F6F80F9">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42,089.31</w:t>
            </w:r>
          </w:p>
        </w:tc>
      </w:tr>
      <w:tr w14:paraId="0246E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66B14F7A">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4</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2031A9F8">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逾期天数180（不含）-360（含）天</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2A793970">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49笔</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50B71346">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399.76</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7A251AF4">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18%</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504C475C">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86,347.90</w:t>
            </w:r>
          </w:p>
        </w:tc>
      </w:tr>
      <w:tr w14:paraId="687116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5C121DED">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5</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4CB1C98E">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逾期天数360（不含）以上</w:t>
            </w: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410781C8">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default" w:ascii="仿宋_GB2312" w:hAnsi="宋体" w:eastAsia="仿宋_GB2312" w:cs="仿宋_GB2312"/>
                <w:i w:val="0"/>
                <w:iCs w:val="0"/>
                <w:color w:val="auto"/>
                <w:kern w:val="0"/>
                <w:sz w:val="21"/>
                <w:szCs w:val="21"/>
                <w:highlight w:val="none"/>
                <w:u w:val="none"/>
                <w:lang w:val="en-US" w:eastAsia="zh-CN" w:bidi="ar"/>
              </w:rPr>
              <w:t>152笔</w:t>
            </w: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65430EA6">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2"/>
                <w:sz w:val="21"/>
                <w:szCs w:val="21"/>
                <w:highlight w:val="none"/>
                <w:u w:val="none"/>
                <w:lang w:val="en-US" w:eastAsia="zh-CN" w:bidi="ar-SA"/>
              </w:rPr>
            </w:pPr>
            <w:r>
              <w:rPr>
                <w:rFonts w:hint="eastAsia" w:ascii="宋体" w:hAnsi="宋体" w:eastAsia="宋体" w:cs="宋体"/>
                <w:i w:val="0"/>
                <w:iCs w:val="0"/>
                <w:color w:val="auto"/>
                <w:kern w:val="0"/>
                <w:sz w:val="22"/>
                <w:szCs w:val="22"/>
                <w:highlight w:val="none"/>
                <w:u w:val="none"/>
                <w:lang w:val="en-US" w:eastAsia="zh-CN" w:bidi="ar"/>
              </w:rPr>
              <w:t>2,238.31</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0EFB03D8">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22%</w:t>
            </w:r>
          </w:p>
        </w:tc>
        <w:tc>
          <w:tcPr>
            <w:tcW w:w="791" w:type="pct"/>
            <w:tcBorders>
              <w:top w:val="single" w:color="000000" w:sz="4" w:space="0"/>
              <w:left w:val="single" w:color="000000" w:sz="4" w:space="0"/>
              <w:bottom w:val="single" w:color="000000" w:sz="4" w:space="0"/>
              <w:right w:val="single" w:color="000000" w:sz="4" w:space="0"/>
            </w:tcBorders>
            <w:noWrap/>
            <w:vAlign w:val="center"/>
          </w:tcPr>
          <w:p w14:paraId="015E17FE">
            <w:pPr>
              <w:keepNext w:val="0"/>
              <w:keepLines w:val="0"/>
              <w:widowControl/>
              <w:suppressLineNumbers w:val="0"/>
              <w:shd w:val="clear"/>
              <w:snapToGrid w:val="0"/>
              <w:jc w:val="center"/>
              <w:textAlignment w:val="center"/>
              <w:rPr>
                <w:rFonts w:hint="eastAsia" w:ascii="仿宋_GB2312" w:hAnsi="仿宋_GB2312" w:eastAsia="仿宋_GB2312" w:cs="仿宋_GB2312"/>
                <w:i w:val="0"/>
                <w:iCs w:val="0"/>
                <w:color w:val="auto"/>
                <w:kern w:val="0"/>
                <w:sz w:val="21"/>
                <w:szCs w:val="21"/>
                <w:highlight w:val="none"/>
                <w:u w:val="none"/>
                <w:lang w:val="en-US" w:eastAsia="zh-CN" w:bidi="ar"/>
              </w:rPr>
            </w:pPr>
            <w:r>
              <w:rPr>
                <w:rFonts w:hint="default" w:ascii="仿宋_GB2312" w:hAnsi="宋体" w:eastAsia="仿宋_GB2312" w:cs="仿宋_GB2312"/>
                <w:i w:val="0"/>
                <w:iCs w:val="0"/>
                <w:color w:val="auto"/>
                <w:kern w:val="0"/>
                <w:sz w:val="21"/>
                <w:szCs w:val="21"/>
                <w:highlight w:val="none"/>
                <w:u w:val="none"/>
                <w:lang w:val="en-US" w:eastAsia="zh-CN" w:bidi="ar"/>
              </w:rPr>
              <w:t>590,913.86</w:t>
            </w:r>
          </w:p>
        </w:tc>
      </w:tr>
      <w:tr w14:paraId="39384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395" w:type="pct"/>
            <w:tcBorders>
              <w:top w:val="single" w:color="000000" w:sz="4" w:space="0"/>
              <w:left w:val="single" w:color="000000" w:sz="4" w:space="0"/>
              <w:bottom w:val="single" w:color="000000" w:sz="4" w:space="0"/>
              <w:right w:val="single" w:color="000000" w:sz="4" w:space="0"/>
            </w:tcBorders>
            <w:noWrap/>
            <w:vAlign w:val="center"/>
          </w:tcPr>
          <w:p w14:paraId="440F1007">
            <w:pPr>
              <w:keepNext w:val="0"/>
              <w:keepLines w:val="0"/>
              <w:widowControl/>
              <w:suppressLineNumbers w:val="0"/>
              <w:shd w:val="clear"/>
              <w:snapToGrid w:val="0"/>
              <w:jc w:val="center"/>
              <w:textAlignment w:val="center"/>
              <w:rPr>
                <w:rFonts w:hint="eastAsia" w:ascii="仿宋_GB2312" w:hAnsi="仿宋_GB2312" w:eastAsia="仿宋_GB2312" w:cs="仿宋_GB2312"/>
                <w:b/>
                <w:bCs/>
                <w:i w:val="0"/>
                <w:iCs w:val="0"/>
                <w:color w:val="auto"/>
                <w:sz w:val="21"/>
                <w:szCs w:val="21"/>
                <w:highlight w:val="none"/>
                <w:u w:val="none"/>
              </w:rPr>
            </w:pPr>
            <w:r>
              <w:rPr>
                <w:rFonts w:hint="default" w:ascii="仿宋_GB2312" w:hAnsi="宋体" w:eastAsia="仿宋_GB2312" w:cs="仿宋_GB2312"/>
                <w:b/>
                <w:bCs/>
                <w:i w:val="0"/>
                <w:iCs w:val="0"/>
                <w:color w:val="auto"/>
                <w:kern w:val="0"/>
                <w:sz w:val="21"/>
                <w:szCs w:val="21"/>
                <w:highlight w:val="none"/>
                <w:u w:val="none"/>
                <w:lang w:val="en-US" w:eastAsia="zh-CN" w:bidi="ar"/>
              </w:rPr>
              <w:t>合计</w:t>
            </w:r>
          </w:p>
        </w:tc>
        <w:tc>
          <w:tcPr>
            <w:tcW w:w="2184" w:type="pct"/>
            <w:tcBorders>
              <w:top w:val="single" w:color="000000" w:sz="4" w:space="0"/>
              <w:left w:val="single" w:color="000000" w:sz="4" w:space="0"/>
              <w:bottom w:val="single" w:color="000000" w:sz="4" w:space="0"/>
              <w:right w:val="single" w:color="000000" w:sz="4" w:space="0"/>
            </w:tcBorders>
            <w:noWrap/>
            <w:vAlign w:val="center"/>
          </w:tcPr>
          <w:p w14:paraId="6DB84F47">
            <w:pPr>
              <w:shd w:val="clear"/>
              <w:snapToGrid w:val="0"/>
              <w:jc w:val="center"/>
              <w:rPr>
                <w:color w:val="auto"/>
                <w:highlight w:val="none"/>
              </w:rPr>
            </w:pPr>
          </w:p>
        </w:tc>
        <w:tc>
          <w:tcPr>
            <w:tcW w:w="491" w:type="pct"/>
            <w:tcBorders>
              <w:top w:val="single" w:color="000000" w:sz="4" w:space="0"/>
              <w:left w:val="single" w:color="000000" w:sz="4" w:space="0"/>
              <w:bottom w:val="single" w:color="000000" w:sz="4" w:space="0"/>
              <w:right w:val="single" w:color="000000" w:sz="4" w:space="0"/>
            </w:tcBorders>
            <w:noWrap/>
            <w:vAlign w:val="center"/>
          </w:tcPr>
          <w:p w14:paraId="4206F3C9">
            <w:pPr>
              <w:keepNext w:val="0"/>
              <w:keepLines w:val="0"/>
              <w:widowControl/>
              <w:suppressLineNumbers w:val="0"/>
              <w:shd w:val="clear"/>
              <w:snapToGrid w:val="0"/>
              <w:jc w:val="center"/>
              <w:textAlignment w:val="center"/>
              <w:rPr>
                <w:rFonts w:hint="eastAsia" w:ascii="仿宋_GB2312" w:hAnsi="仿宋_GB2312" w:eastAsia="仿宋_GB2312" w:cs="仿宋_GB2312"/>
                <w:b/>
                <w:bCs/>
                <w:i w:val="0"/>
                <w:iCs w:val="0"/>
                <w:color w:val="auto"/>
                <w:sz w:val="21"/>
                <w:szCs w:val="21"/>
                <w:highlight w:val="none"/>
                <w:u w:val="none"/>
                <w:lang w:val="en-US" w:eastAsia="zh-CN"/>
              </w:rPr>
            </w:pPr>
          </w:p>
        </w:tc>
        <w:tc>
          <w:tcPr>
            <w:tcW w:w="679" w:type="pct"/>
            <w:tcBorders>
              <w:top w:val="single" w:color="000000" w:sz="4" w:space="0"/>
              <w:left w:val="single" w:color="000000" w:sz="4" w:space="0"/>
              <w:bottom w:val="single" w:color="000000" w:sz="4" w:space="0"/>
              <w:right w:val="single" w:color="000000" w:sz="4" w:space="0"/>
            </w:tcBorders>
            <w:noWrap/>
            <w:vAlign w:val="center"/>
          </w:tcPr>
          <w:p w14:paraId="2C14A9AF">
            <w:pPr>
              <w:shd w:val="clear"/>
              <w:snapToGrid w:val="0"/>
              <w:jc w:val="center"/>
              <w:rPr>
                <w:rFonts w:hint="eastAsia" w:ascii="仿宋_GB2312" w:hAnsi="仿宋_GB2312" w:eastAsia="仿宋_GB2312" w:cs="仿宋_GB2312"/>
                <w:b/>
                <w:bCs/>
                <w:i w:val="0"/>
                <w:iCs w:val="0"/>
                <w:color w:val="auto"/>
                <w:kern w:val="0"/>
                <w:sz w:val="21"/>
                <w:szCs w:val="21"/>
                <w:highlight w:val="none"/>
                <w:u w:val="none"/>
                <w:lang w:val="en-US" w:eastAsia="zh-CN" w:bidi="ar"/>
              </w:rPr>
            </w:pPr>
            <w:r>
              <w:rPr>
                <w:rFonts w:hint="default" w:ascii="仿宋_GB2312" w:hAnsi="宋体" w:eastAsia="仿宋_GB2312" w:cs="仿宋_GB2312"/>
                <w:b/>
                <w:bCs/>
                <w:i w:val="0"/>
                <w:iCs w:val="0"/>
                <w:color w:val="auto"/>
                <w:kern w:val="0"/>
                <w:sz w:val="21"/>
                <w:szCs w:val="21"/>
                <w:highlight w:val="none"/>
                <w:u w:val="none"/>
                <w:lang w:val="en-US" w:eastAsia="zh-CN" w:bidi="ar"/>
              </w:rPr>
              <w:t>4,060.24</w:t>
            </w:r>
          </w:p>
        </w:tc>
        <w:tc>
          <w:tcPr>
            <w:tcW w:w="457" w:type="pct"/>
            <w:tcBorders>
              <w:top w:val="single" w:color="000000" w:sz="4" w:space="0"/>
              <w:left w:val="single" w:color="000000" w:sz="4" w:space="0"/>
              <w:bottom w:val="single" w:color="000000" w:sz="4" w:space="0"/>
              <w:right w:val="single" w:color="000000" w:sz="4" w:space="0"/>
            </w:tcBorders>
            <w:noWrap/>
            <w:vAlign w:val="center"/>
          </w:tcPr>
          <w:p w14:paraId="5AA5B7B8">
            <w:pPr>
              <w:keepNext w:val="0"/>
              <w:keepLines w:val="0"/>
              <w:widowControl/>
              <w:suppressLineNumbers w:val="0"/>
              <w:shd w:val="clear"/>
              <w:snapToGrid w:val="0"/>
              <w:jc w:val="center"/>
              <w:textAlignment w:val="center"/>
              <w:rPr>
                <w:rFonts w:hint="eastAsia" w:ascii="仿宋_GB2312" w:hAnsi="仿宋_GB2312" w:eastAsia="仿宋_GB2312" w:cs="仿宋_GB2312"/>
                <w:b/>
                <w:bCs/>
                <w:i w:val="0"/>
                <w:iCs w:val="0"/>
                <w:color w:val="auto"/>
                <w:kern w:val="0"/>
                <w:sz w:val="21"/>
                <w:szCs w:val="21"/>
                <w:highlight w:val="none"/>
                <w:u w:val="none"/>
                <w:lang w:val="en-US" w:eastAsia="zh-CN" w:bidi="ar"/>
              </w:rPr>
            </w:pPr>
          </w:p>
        </w:tc>
        <w:tc>
          <w:tcPr>
            <w:tcW w:w="79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44122">
            <w:pPr>
              <w:keepNext w:val="0"/>
              <w:keepLines w:val="0"/>
              <w:widowControl/>
              <w:suppressLineNumbers w:val="0"/>
              <w:shd w:val="clear"/>
              <w:snapToGrid w:val="0"/>
              <w:jc w:val="center"/>
              <w:textAlignment w:val="center"/>
              <w:rPr>
                <w:rFonts w:hint="eastAsia" w:ascii="仿宋_GB2312" w:hAnsi="宋体" w:eastAsia="仿宋_GB2312" w:cs="仿宋_GB2312"/>
                <w:b/>
                <w:bCs/>
                <w:i w:val="0"/>
                <w:iCs w:val="0"/>
                <w:color w:val="auto"/>
                <w:kern w:val="2"/>
                <w:sz w:val="21"/>
                <w:szCs w:val="21"/>
                <w:highlight w:val="none"/>
                <w:u w:val="none"/>
                <w:lang w:val="en-US" w:eastAsia="zh-CN" w:bidi="ar-SA"/>
              </w:rPr>
            </w:pPr>
            <w:r>
              <w:rPr>
                <w:rFonts w:hint="default" w:ascii="仿宋_GB2312" w:hAnsi="宋体" w:eastAsia="仿宋_GB2312" w:cs="仿宋_GB2312"/>
                <w:b/>
                <w:bCs/>
                <w:i w:val="0"/>
                <w:iCs w:val="0"/>
                <w:color w:val="auto"/>
                <w:kern w:val="0"/>
                <w:sz w:val="21"/>
                <w:szCs w:val="21"/>
                <w:highlight w:val="none"/>
                <w:u w:val="none"/>
                <w:lang w:val="en-US" w:eastAsia="zh-CN" w:bidi="ar"/>
              </w:rPr>
              <w:t>951,629.84</w:t>
            </w:r>
          </w:p>
        </w:tc>
      </w:tr>
    </w:tbl>
    <w:p w14:paraId="0ACF3ADA">
      <w:pPr>
        <w:pStyle w:val="77"/>
        <w:numPr>
          <w:ilvl w:val="-1"/>
          <w:numId w:val="0"/>
        </w:numPr>
        <w:shd w:val="clear"/>
        <w:ind w:left="0" w:firstLine="0" w:firstLineChars="0"/>
        <w:rPr>
          <w:rFonts w:hint="eastAsia" w:ascii="宋体" w:hAnsi="Courier New" w:eastAsia="宋体" w:cs="Times New Roman"/>
          <w:b/>
          <w:bCs/>
          <w:color w:val="auto"/>
          <w:sz w:val="21"/>
          <w:highlight w:val="none"/>
          <w:u w:val="none"/>
          <w:lang w:val="en-US" w:eastAsia="zh-CN"/>
        </w:rPr>
      </w:pPr>
      <w:r>
        <w:rPr>
          <w:rFonts w:hint="eastAsia" w:ascii="宋体" w:hAnsi="Courier New" w:eastAsia="宋体" w:cs="Times New Roman"/>
          <w:b/>
          <w:bCs/>
          <w:color w:val="auto"/>
          <w:sz w:val="21"/>
          <w:highlight w:val="none"/>
          <w:u w:val="none"/>
        </w:rPr>
        <w:t>中标入库后中标人以各自所报的收费标准为最高上限。</w:t>
      </w:r>
    </w:p>
    <w:p w14:paraId="10BC6F77">
      <w:pPr>
        <w:pStyle w:val="77"/>
        <w:numPr>
          <w:ilvl w:val="-1"/>
          <w:numId w:val="0"/>
        </w:numPr>
        <w:shd w:val="clear"/>
        <w:ind w:left="0" w:leftChars="0" w:firstLine="0" w:firstLineChars="0"/>
        <w:rPr>
          <w:rFonts w:hint="default" w:cs="Times New Roman"/>
          <w:color w:val="auto"/>
          <w:highlight w:val="none"/>
          <w:u w:val="none"/>
          <w:lang w:val="en-US" w:eastAsia="zh-CN"/>
        </w:rPr>
      </w:pPr>
      <w:r>
        <w:rPr>
          <w:rFonts w:hint="eastAsia" w:cs="Times New Roman"/>
          <w:b/>
          <w:bCs/>
          <w:color w:val="auto"/>
          <w:highlight w:val="none"/>
          <w:u w:val="none"/>
          <w:lang w:val="en-US" w:eastAsia="zh-CN"/>
        </w:rPr>
        <w:t>本项目最高限价：各投标人在报价时，不得高于95.16万元（含税）。投标人的报价（含税价）及费率超出上述范围的，按无效报价处理。</w:t>
      </w:r>
    </w:p>
    <w:p w14:paraId="69866A26">
      <w:pPr>
        <w:pStyle w:val="77"/>
        <w:numPr>
          <w:ilvl w:val="-1"/>
          <w:numId w:val="0"/>
        </w:numPr>
        <w:ind w:left="0" w:firstLine="0"/>
        <w:rPr>
          <w:rFonts w:hint="eastAsia" w:cs="Times New Roman"/>
          <w:color w:val="auto"/>
          <w:highlight w:val="none"/>
        </w:rPr>
      </w:pPr>
      <w:r>
        <w:rPr>
          <w:rFonts w:hint="eastAsia" w:cs="Times New Roman"/>
          <w:color w:val="auto"/>
          <w:highlight w:val="none"/>
          <w:lang w:val="en-US" w:eastAsia="zh-CN"/>
        </w:rPr>
        <w:t>7.</w:t>
      </w:r>
      <w:r>
        <w:rPr>
          <w:rFonts w:hint="eastAsia" w:ascii="宋体" w:hAnsi="Courier New" w:eastAsia="宋体" w:cs="Times New Roman"/>
          <w:color w:val="auto"/>
          <w:highlight w:val="none"/>
          <w:lang w:val="en-US" w:eastAsia="zh-CN"/>
        </w:rPr>
        <w:t>招标人信息：</w:t>
      </w:r>
    </w:p>
    <w:p w14:paraId="31DDBBA5">
      <w:pPr>
        <w:pStyle w:val="77"/>
        <w:numPr>
          <w:ilvl w:val="-1"/>
          <w:numId w:val="0"/>
        </w:numPr>
        <w:ind w:left="0" w:firstLine="0"/>
        <w:rPr>
          <w:rFonts w:hint="eastAsia" w:ascii="宋体" w:hAnsi="Courier New" w:eastAsia="宋体" w:cs="Times New Roman"/>
          <w:i w:val="0"/>
          <w:iCs w:val="0"/>
          <w:caps w:val="0"/>
          <w:color w:val="auto"/>
          <w:spacing w:val="0"/>
          <w:sz w:val="21"/>
          <w:szCs w:val="20"/>
          <w:highlight w:val="none"/>
        </w:rPr>
      </w:pP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招标人名称：重汽汽车金融有限公司</w:t>
      </w:r>
    </w:p>
    <w:p w14:paraId="50D02002">
      <w:pPr>
        <w:pStyle w:val="77"/>
        <w:numPr>
          <w:ilvl w:val="-1"/>
          <w:numId w:val="0"/>
        </w:numPr>
        <w:ind w:left="0" w:firstLine="0"/>
        <w:rPr>
          <w:rFonts w:hint="eastAsia" w:ascii="宋体" w:hAnsi="Courier New" w:eastAsia="宋体" w:cs="Times New Roman"/>
          <w:i w:val="0"/>
          <w:iCs w:val="0"/>
          <w:caps w:val="0"/>
          <w:color w:val="auto"/>
          <w:spacing w:val="0"/>
          <w:sz w:val="21"/>
          <w:szCs w:val="20"/>
          <w:highlight w:val="none"/>
        </w:rPr>
      </w:pP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地址：山东省济南市华奥路777号重汽科技大厦4楼资产管理部</w:t>
      </w:r>
    </w:p>
    <w:p w14:paraId="2F56E0A7">
      <w:pPr>
        <w:pStyle w:val="77"/>
        <w:numPr>
          <w:ilvl w:val="-1"/>
          <w:numId w:val="0"/>
        </w:numPr>
        <w:ind w:left="0" w:firstLine="0"/>
        <w:rPr>
          <w:rFonts w:hint="eastAsia" w:ascii="宋体" w:hAnsi="Courier New" w:eastAsia="宋体" w:cs="Times New Roman"/>
          <w:i w:val="0"/>
          <w:iCs w:val="0"/>
          <w:caps w:val="0"/>
          <w:color w:val="auto"/>
          <w:spacing w:val="0"/>
          <w:sz w:val="21"/>
          <w:szCs w:val="20"/>
          <w:highlight w:val="none"/>
        </w:rPr>
      </w:pP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联系人：王国栋、曲尧</w:t>
      </w:r>
    </w:p>
    <w:p w14:paraId="2A2F2260">
      <w:pPr>
        <w:pStyle w:val="77"/>
        <w:numPr>
          <w:ilvl w:val="-1"/>
          <w:numId w:val="0"/>
        </w:numPr>
        <w:ind w:left="0" w:leftChars="0" w:firstLine="0" w:firstLineChars="0"/>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pP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电话：0531-58066535、0531-58066537</w:t>
      </w:r>
    </w:p>
    <w:p w14:paraId="02296F1D">
      <w:pPr>
        <w:pStyle w:val="77"/>
        <w:numPr>
          <w:ilvl w:val="-1"/>
          <w:numId w:val="0"/>
        </w:numPr>
        <w:ind w:left="0" w:leftChars="0" w:firstLine="0" w:firstLineChars="0"/>
        <w:rPr>
          <w:rFonts w:hint="default" w:ascii="宋体" w:hAnsi="Courier New" w:eastAsia="宋体" w:cs="Times New Roman"/>
          <w:i w:val="0"/>
          <w:iCs w:val="0"/>
          <w:caps w:val="0"/>
          <w:color w:val="auto"/>
          <w:spacing w:val="0"/>
          <w:kern w:val="2"/>
          <w:sz w:val="21"/>
          <w:szCs w:val="20"/>
          <w:highlight w:val="none"/>
          <w:shd w:val="clear"/>
          <w:vertAlign w:val="baseline"/>
          <w:lang w:val="en-US" w:eastAsia="zh-CN" w:bidi="ar"/>
        </w:rPr>
      </w:pPr>
      <w:r>
        <w:rPr>
          <w:rFonts w:hint="eastAsia" w:cs="Times New Roman"/>
          <w:i w:val="0"/>
          <w:iCs w:val="0"/>
          <w:caps w:val="0"/>
          <w:color w:val="auto"/>
          <w:spacing w:val="0"/>
          <w:kern w:val="2"/>
          <w:sz w:val="21"/>
          <w:szCs w:val="20"/>
          <w:highlight w:val="none"/>
          <w:shd w:val="clear"/>
          <w:vertAlign w:val="baseline"/>
          <w:lang w:val="en-US" w:eastAsia="zh-CN" w:bidi="ar"/>
        </w:rPr>
        <w:t>邮箱：quyao@sinotruk.com</w:t>
      </w:r>
    </w:p>
    <w:bookmarkEnd w:id="16"/>
    <w:p w14:paraId="50DC6C75">
      <w:pPr>
        <w:pStyle w:val="73"/>
        <w:rPr>
          <w:color w:val="auto"/>
          <w:highlight w:val="none"/>
        </w:rPr>
      </w:pPr>
      <w:bookmarkStart w:id="17" w:name="_Toc47976598"/>
      <w:r>
        <w:rPr>
          <w:rFonts w:hint="eastAsia"/>
          <w:color w:val="auto"/>
          <w:highlight w:val="none"/>
        </w:rPr>
        <w:t>合格的投标人。</w:t>
      </w:r>
      <w:bookmarkEnd w:id="17"/>
    </w:p>
    <w:p w14:paraId="16F0D16B">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1.投标人须遵守《中华人民共和国招标投标法》及其它有关的法律和法规；为中华人民共和国境内注册的独立法人机构，具有独立承担民事责任能力；</w:t>
      </w:r>
    </w:p>
    <w:p w14:paraId="682D9EC5">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2.标投人必须是在中华人民共和国境内注册的独立法人机构，具有独立承担民事责任能力；注册资金不少于100万人民币（或等值其他货币）；公司成立2年以上（以营业执照成立日期到开标当日满年为准），且即经营范围至少包括下列中的一项：贷后管理及保全、信贷违约通知、通知提醒服务、信息咨询、信用风险管理、商账风险管理、金融业务流程合作等；并在人员、设备、资金、等方面具有承担本项目的能力；</w:t>
      </w:r>
    </w:p>
    <w:p w14:paraId="4B35B580">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3.投标人须具有良好的商业信誉和健全的财务会计制度，财务状况和市场行为良好。没有处于被有权机关吊销营业执照、吊销资质、停业整顿、取消投标资格以及财产被接管、冻结或进入破产程序等；</w:t>
      </w:r>
    </w:p>
    <w:p w14:paraId="7F857839">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4.投标人在“信用中国”中未列入联合惩戒失信人名单，且工商行政管理局的《国家企业信用信息公示系统》中查询不存在不良记录；</w:t>
      </w:r>
    </w:p>
    <w:p w14:paraId="54A09041">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5.无招标违规、谎报年度报告信息、提供虚假资质资料等行为或其他行政处罚记录；近三年内在经营活动中无与本项目有关的违法及重大违规情况。</w:t>
      </w:r>
    </w:p>
    <w:p w14:paraId="3CFFCBD0">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6.投标人没有被列入招标人处《黑名单》（《黑名单》指投标人与招标人在以往或正在进行的合作中，存在招标人认为的违反合同约定或违反法律法规等的失信行为）的；</w:t>
      </w:r>
    </w:p>
    <w:p w14:paraId="7A75CBFE">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7.投标人须具有履行招标文件所有设备、专业技术等要求的能力；具有一年以上催收实务操作经验；具有固定的办公场所，须自行配备满足公司业务发展需要的各类办公设备、配备催收业务所需的电子设备和催收系统，系统应具备对呼入呼出电话的录音、催收记录管理等功能；</w:t>
      </w:r>
    </w:p>
    <w:p w14:paraId="20A3A469">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8.投标人须有依法缴纳税收和社会保障资金的良好记录；</w:t>
      </w:r>
    </w:p>
    <w:p w14:paraId="23267C63">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9.投标人须具有健全的内部管理制度或内部控制制度，有效控制从业人员的职业道德风险和操作风险，具有较为完整的催收工作流程和工作标准等管理制度；</w:t>
      </w:r>
    </w:p>
    <w:p w14:paraId="18DD361F">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10.投标人及其主要控制人/股东未发生过恶性催收被监管部门通报、处罚或被媒体曝光事件；具有投诉处置等应急预案，有效防范或缓释突发状况造成的潜在风险；</w:t>
      </w:r>
    </w:p>
    <w:p w14:paraId="5B7A394F">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11.投标人须认可招标人的工作指令，包括节、假日能正常开展工作的要求。</w:t>
      </w:r>
    </w:p>
    <w:p w14:paraId="12B9491C">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12.拟投标人的直接或间接股东、法定代表人、董事、监事、高管非重汽员工及其亲属；</w:t>
      </w:r>
    </w:p>
    <w:p w14:paraId="58D84C8C">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rPr>
      </w:pPr>
      <w:r>
        <w:rPr>
          <w:rFonts w:hint="eastAsia" w:cs="Times New Roman"/>
          <w:b w:val="0"/>
          <w:color w:val="auto"/>
          <w:highlight w:val="none"/>
          <w:lang w:val="en-US" w:eastAsia="zh-CN"/>
        </w:rPr>
        <w:t>13.投标人必须是最终投标、签订合同的单位，不得以任何理由将已中标项目以任何形式转包或者分包给其他单位。</w:t>
      </w:r>
    </w:p>
    <w:p w14:paraId="0F86AA92">
      <w:pPr>
        <w:pStyle w:val="74"/>
        <w:keepNext w:val="0"/>
        <w:keepLines w:val="0"/>
        <w:pageBreakBefore w:val="0"/>
        <w:widowControl w:val="0"/>
        <w:numPr>
          <w:ilvl w:val="0"/>
          <w:numId w:val="0"/>
        </w:numPr>
        <w:kinsoku/>
        <w:wordWrap/>
        <w:overflowPunct/>
        <w:topLinePunct w:val="0"/>
        <w:autoSpaceDE/>
        <w:autoSpaceDN/>
        <w:bidi w:val="0"/>
        <w:adjustRightInd/>
        <w:snapToGrid/>
        <w:ind w:left="0" w:leftChars="0" w:firstLine="420" w:firstLineChars="20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14.本次招标项目不接受联合体投标；</w:t>
      </w:r>
    </w:p>
    <w:p w14:paraId="14D156C1">
      <w:pPr>
        <w:ind w:firstLine="420" w:firstLineChars="200"/>
        <w:rPr>
          <w:rFonts w:hint="eastAsia" w:ascii="宋体" w:hAnsi="Courier New" w:cs="Times New Roman"/>
          <w:color w:val="auto"/>
          <w:highlight w:val="none"/>
        </w:rPr>
      </w:pPr>
      <w:r>
        <w:rPr>
          <w:rFonts w:hint="eastAsia" w:ascii="宋体" w:hAnsi="Courier New" w:cs="Times New Roman"/>
          <w:color w:val="auto"/>
          <w:highlight w:val="none"/>
          <w:lang w:val="en-US" w:eastAsia="zh-CN"/>
        </w:rPr>
        <w:t>15.相关法律法规对合格投标人的其他要求。</w:t>
      </w:r>
    </w:p>
    <w:p w14:paraId="31CA8C38">
      <w:pPr>
        <w:pStyle w:val="73"/>
        <w:rPr>
          <w:rFonts w:hint="eastAsia" w:hAnsi="Courier New" w:cs="Times New Roman"/>
          <w:color w:val="auto"/>
          <w:highlight w:val="none"/>
        </w:rPr>
      </w:pPr>
      <w:r>
        <w:rPr>
          <w:rFonts w:hint="eastAsia" w:hAnsi="Courier New" w:cs="Times New Roman"/>
          <w:color w:val="auto"/>
          <w:highlight w:val="none"/>
        </w:rPr>
        <w:t>招标文件的</w:t>
      </w:r>
      <w:r>
        <w:rPr>
          <w:rFonts w:hint="eastAsia" w:hAnsi="Courier New" w:cs="Times New Roman"/>
          <w:color w:val="auto"/>
          <w:highlight w:val="none"/>
          <w:lang w:val="en-US" w:eastAsia="zh-CN"/>
        </w:rPr>
        <w:t>领取、</w:t>
      </w:r>
      <w:r>
        <w:rPr>
          <w:rFonts w:hint="eastAsia" w:hAnsi="Courier New" w:cs="Times New Roman"/>
          <w:color w:val="auto"/>
          <w:highlight w:val="none"/>
        </w:rPr>
        <w:t>答疑、</w:t>
      </w:r>
      <w:r>
        <w:rPr>
          <w:rFonts w:hint="eastAsia" w:hAnsi="Courier New" w:cs="Times New Roman"/>
          <w:color w:val="auto"/>
          <w:highlight w:val="none"/>
          <w:lang w:val="en-US" w:eastAsia="zh-CN"/>
        </w:rPr>
        <w:t>应标</w:t>
      </w:r>
      <w:r>
        <w:rPr>
          <w:rFonts w:hint="eastAsia" w:hAnsi="Courier New" w:cs="Times New Roman"/>
          <w:color w:val="auto"/>
          <w:highlight w:val="none"/>
        </w:rPr>
        <w:t>及投标报名</w:t>
      </w:r>
    </w:p>
    <w:p w14:paraId="09A92690">
      <w:pPr>
        <w:pStyle w:val="77"/>
        <w:numPr>
          <w:ilvl w:val="0"/>
          <w:numId w:val="14"/>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发标时间：20</w:t>
      </w:r>
      <w:r>
        <w:rPr>
          <w:rFonts w:hint="eastAsia" w:cs="Times New Roman"/>
          <w:color w:val="auto"/>
          <w:highlight w:val="none"/>
          <w:lang w:val="en-US" w:eastAsia="zh-CN"/>
        </w:rPr>
        <w:t>26</w:t>
      </w:r>
      <w:r>
        <w:rPr>
          <w:rFonts w:hint="eastAsia" w:ascii="宋体" w:hAnsi="Courier New" w:eastAsia="宋体" w:cs="Times New Roman"/>
          <w:color w:val="auto"/>
          <w:highlight w:val="none"/>
          <w:lang w:val="en-US" w:eastAsia="zh-CN"/>
        </w:rPr>
        <w:t>年</w:t>
      </w:r>
      <w:r>
        <w:rPr>
          <w:rFonts w:hint="eastAsia" w:cs="Times New Roman"/>
          <w:color w:val="auto"/>
          <w:highlight w:val="none"/>
          <w:lang w:val="en-US" w:eastAsia="zh-CN"/>
        </w:rPr>
        <w:t>6</w:t>
      </w:r>
      <w:r>
        <w:rPr>
          <w:rFonts w:hint="eastAsia" w:ascii="宋体" w:hAnsi="Courier New" w:eastAsia="宋体" w:cs="Times New Roman"/>
          <w:color w:val="auto"/>
          <w:highlight w:val="none"/>
          <w:lang w:val="en-US" w:eastAsia="zh-CN"/>
        </w:rPr>
        <w:t>月</w:t>
      </w:r>
      <w:r>
        <w:rPr>
          <w:rFonts w:hint="eastAsia" w:cs="Times New Roman"/>
          <w:color w:val="auto"/>
          <w:highlight w:val="none"/>
          <w:u w:val="none"/>
          <w:lang w:val="en-US" w:eastAsia="zh-CN"/>
        </w:rPr>
        <w:t>10</w:t>
      </w:r>
      <w:r>
        <w:rPr>
          <w:rFonts w:hint="eastAsia" w:ascii="宋体" w:hAnsi="Courier New" w:eastAsia="宋体" w:cs="Times New Roman"/>
          <w:color w:val="auto"/>
          <w:highlight w:val="none"/>
          <w:lang w:val="en-US" w:eastAsia="zh-CN"/>
        </w:rPr>
        <w:t>日</w:t>
      </w:r>
    </w:p>
    <w:p w14:paraId="7480CA22">
      <w:pPr>
        <w:pStyle w:val="77"/>
        <w:numPr>
          <w:ilvl w:val="0"/>
          <w:numId w:val="14"/>
        </w:numPr>
        <w:ind w:left="0" w:leftChars="0" w:firstLine="0"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招标文件领取方式、地点及领取截止时间</w:t>
      </w:r>
      <w:r>
        <w:rPr>
          <w:rFonts w:hint="eastAsia" w:cs="Times New Roman"/>
          <w:color w:val="auto"/>
          <w:highlight w:val="none"/>
          <w:lang w:val="en-US" w:eastAsia="zh-CN"/>
        </w:rPr>
        <w:t>：招标人将本项目有关招标文件，通过中国重汽e采通平台进行公布，具体地址如下：https://ecaitong.sinotruk.com:8012/。</w:t>
      </w:r>
    </w:p>
    <w:p w14:paraId="62084E4B">
      <w:pPr>
        <w:pStyle w:val="77"/>
        <w:numPr>
          <w:ilvl w:val="0"/>
          <w:numId w:val="14"/>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答疑时间：20</w:t>
      </w:r>
      <w:r>
        <w:rPr>
          <w:rFonts w:hint="eastAsia" w:cs="Times New Roman"/>
          <w:color w:val="auto"/>
          <w:highlight w:val="none"/>
          <w:lang w:val="en-US" w:eastAsia="zh-CN"/>
        </w:rPr>
        <w:t>26</w:t>
      </w:r>
      <w:r>
        <w:rPr>
          <w:rFonts w:hint="eastAsia" w:ascii="宋体" w:hAnsi="Courier New" w:eastAsia="宋体" w:cs="Times New Roman"/>
          <w:color w:val="auto"/>
          <w:highlight w:val="none"/>
          <w:lang w:val="en-US" w:eastAsia="zh-CN"/>
        </w:rPr>
        <w:t>年</w:t>
      </w:r>
      <w:r>
        <w:rPr>
          <w:rFonts w:hint="eastAsia" w:cs="Times New Roman"/>
          <w:color w:val="auto"/>
          <w:highlight w:val="none"/>
          <w:lang w:val="en-US" w:eastAsia="zh-CN"/>
        </w:rPr>
        <w:t>6</w:t>
      </w:r>
      <w:r>
        <w:rPr>
          <w:rFonts w:hint="eastAsia" w:ascii="宋体" w:hAnsi="Courier New" w:eastAsia="宋体" w:cs="Times New Roman"/>
          <w:color w:val="auto"/>
          <w:highlight w:val="none"/>
          <w:lang w:val="en-US" w:eastAsia="zh-CN"/>
        </w:rPr>
        <w:t>月</w:t>
      </w:r>
      <w:r>
        <w:rPr>
          <w:rFonts w:hint="eastAsia" w:cs="Times New Roman"/>
          <w:color w:val="auto"/>
          <w:highlight w:val="none"/>
          <w:lang w:val="en-US" w:eastAsia="zh-CN"/>
        </w:rPr>
        <w:t>12</w:t>
      </w:r>
      <w:r>
        <w:rPr>
          <w:rFonts w:hint="eastAsia" w:ascii="宋体" w:hAnsi="Courier New" w:eastAsia="宋体" w:cs="Times New Roman"/>
          <w:color w:val="auto"/>
          <w:highlight w:val="none"/>
          <w:lang w:val="en-US" w:eastAsia="zh-CN"/>
        </w:rPr>
        <w:t>日前</w:t>
      </w:r>
    </w:p>
    <w:p w14:paraId="62CB87C4">
      <w:pPr>
        <w:pStyle w:val="77"/>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color w:val="auto"/>
          <w:highlight w:val="none"/>
          <w:lang w:val="en-US" w:eastAsia="zh-CN"/>
        </w:rPr>
      </w:pPr>
      <w:r>
        <w:rPr>
          <w:rFonts w:hint="eastAsia" w:cs="Times New Roman"/>
          <w:color w:val="auto"/>
          <w:highlight w:val="none"/>
          <w:lang w:val="en-US" w:eastAsia="zh-CN"/>
        </w:rPr>
        <w:t>提交疑问</w:t>
      </w:r>
      <w:r>
        <w:rPr>
          <w:rFonts w:hint="eastAsia" w:ascii="宋体" w:hAnsi="Courier New" w:eastAsia="宋体" w:cs="Times New Roman"/>
          <w:color w:val="auto"/>
          <w:highlight w:val="none"/>
          <w:lang w:val="en-US" w:eastAsia="zh-CN"/>
        </w:rPr>
        <w:t>方式</w:t>
      </w:r>
      <w:r>
        <w:rPr>
          <w:rFonts w:hint="eastAsia" w:cs="Times New Roman"/>
          <w:color w:val="auto"/>
          <w:highlight w:val="none"/>
          <w:lang w:val="en-US" w:eastAsia="zh-CN"/>
        </w:rPr>
        <w:t>：将答疑问题以word文件格式发送至联系人邮件内，并电话联系工作人员查收，</w:t>
      </w:r>
      <w:r>
        <w:rPr>
          <w:rFonts w:hint="eastAsia" w:cs="Times New Roman"/>
          <w:b/>
          <w:bCs/>
          <w:color w:val="auto"/>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7"/>
        <w:numPr>
          <w:ilvl w:val="0"/>
          <w:numId w:val="14"/>
        </w:numPr>
        <w:ind w:left="425" w:leftChars="0" w:hanging="425"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领取答疑、澄清和修改文件时间：20</w:t>
      </w:r>
      <w:r>
        <w:rPr>
          <w:rFonts w:hint="eastAsia" w:cs="Times New Roman"/>
          <w:color w:val="auto"/>
          <w:highlight w:val="none"/>
          <w:lang w:val="en-US" w:eastAsia="zh-CN"/>
        </w:rPr>
        <w:t>26</w:t>
      </w:r>
      <w:r>
        <w:rPr>
          <w:rFonts w:hint="eastAsia" w:ascii="宋体" w:hAnsi="Courier New" w:eastAsia="宋体" w:cs="Times New Roman"/>
          <w:color w:val="auto"/>
          <w:highlight w:val="none"/>
          <w:lang w:val="en-US" w:eastAsia="zh-CN"/>
        </w:rPr>
        <w:t>年</w:t>
      </w:r>
      <w:r>
        <w:rPr>
          <w:rFonts w:hint="eastAsia" w:cs="Times New Roman"/>
          <w:color w:val="auto"/>
          <w:highlight w:val="none"/>
          <w:lang w:val="en-US" w:eastAsia="zh-CN"/>
        </w:rPr>
        <w:t>6</w:t>
      </w:r>
      <w:r>
        <w:rPr>
          <w:rFonts w:hint="eastAsia" w:ascii="宋体" w:hAnsi="Courier New" w:eastAsia="宋体" w:cs="Times New Roman"/>
          <w:color w:val="auto"/>
          <w:highlight w:val="none"/>
          <w:lang w:val="en-US" w:eastAsia="zh-CN"/>
        </w:rPr>
        <w:t>月</w:t>
      </w:r>
      <w:r>
        <w:rPr>
          <w:rFonts w:hint="eastAsia" w:cs="Times New Roman"/>
          <w:color w:val="auto"/>
          <w:highlight w:val="none"/>
          <w:lang w:val="en-US" w:eastAsia="zh-CN"/>
        </w:rPr>
        <w:t>15</w:t>
      </w:r>
      <w:r>
        <w:rPr>
          <w:rFonts w:hint="eastAsia" w:ascii="宋体" w:hAnsi="Courier New" w:eastAsia="宋体" w:cs="Times New Roman"/>
          <w:color w:val="auto"/>
          <w:highlight w:val="none"/>
          <w:lang w:val="en-US" w:eastAsia="zh-CN"/>
        </w:rPr>
        <w:t>日前：</w:t>
      </w:r>
    </w:p>
    <w:p w14:paraId="59AC1516">
      <w:pPr>
        <w:pStyle w:val="77"/>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答疑、澄清和修改文件方式：招标人将以电子邮件的方式将招标文件的答疑澄清文件发送至答疑文件提交时登记的电子邮箱。</w:t>
      </w:r>
    </w:p>
    <w:p w14:paraId="463D4A0E">
      <w:pPr>
        <w:pStyle w:val="77"/>
        <w:numPr>
          <w:ilvl w:val="0"/>
          <w:numId w:val="14"/>
        </w:numPr>
        <w:ind w:left="0" w:leftChars="0" w:firstLine="0" w:firstLineChars="0"/>
        <w:jc w:val="both"/>
        <w:rPr>
          <w:rFonts w:hint="eastAsia" w:ascii="宋体" w:hAnsi="Courier New" w:eastAsia="宋体" w:cs="Times New Roman"/>
          <w:color w:val="auto"/>
          <w:highlight w:val="none"/>
          <w:lang w:val="en-US" w:eastAsia="zh-CN"/>
        </w:rPr>
      </w:pPr>
      <w:r>
        <w:rPr>
          <w:rFonts w:hint="eastAsia" w:ascii="宋体" w:hAnsi="Courier New" w:eastAsia="宋体" w:cs="Times New Roman"/>
          <w:color w:val="auto"/>
          <w:highlight w:val="none"/>
          <w:lang w:val="en-US" w:eastAsia="zh-CN"/>
        </w:rPr>
        <w:t>报名方式</w:t>
      </w:r>
      <w:r>
        <w:rPr>
          <w:rFonts w:hint="eastAsia" w:cs="Times New Roman"/>
          <w:color w:val="auto"/>
          <w:highlight w:val="none"/>
          <w:lang w:val="en-US" w:eastAsia="zh-CN"/>
        </w:rPr>
        <w:t>：投标人根据招标人发布的招标信息，通过“中国重汽e采通”平台报名，在平台进入“供应商应标”，选择对应的项目，点击“应标”后按照投标文件组成资格证明文件要求准备资料并上传，资质审查通过即为报名成功。</w:t>
      </w:r>
    </w:p>
    <w:p w14:paraId="6DC2B408">
      <w:pPr>
        <w:pStyle w:val="77"/>
        <w:numPr>
          <w:ilvl w:val="0"/>
          <w:numId w:val="14"/>
        </w:numPr>
        <w:ind w:left="425" w:leftChars="0" w:hanging="425" w:firstLineChars="0"/>
        <w:jc w:val="both"/>
        <w:rPr>
          <w:rFonts w:hint="eastAsia" w:ascii="宋体" w:hAnsi="Courier New" w:eastAsia="宋体" w:cs="Times New Roman"/>
          <w:color w:val="auto"/>
          <w:highlight w:val="none"/>
          <w:lang w:val="en-US" w:eastAsia="zh-CN"/>
        </w:rPr>
      </w:pPr>
      <w:r>
        <w:rPr>
          <w:rFonts w:hint="eastAsia" w:cs="Times New Roman"/>
          <w:color w:val="auto"/>
          <w:highlight w:val="none"/>
          <w:lang w:val="en-US" w:eastAsia="zh-CN"/>
        </w:rPr>
        <w:t>应标</w:t>
      </w:r>
      <w:r>
        <w:rPr>
          <w:rFonts w:hint="eastAsia" w:ascii="宋体" w:hAnsi="Courier New" w:eastAsia="宋体" w:cs="Times New Roman"/>
          <w:color w:val="auto"/>
          <w:highlight w:val="none"/>
          <w:lang w:val="en-US" w:eastAsia="zh-CN"/>
        </w:rPr>
        <w:t>截止时间</w:t>
      </w:r>
      <w:r>
        <w:rPr>
          <w:rFonts w:hint="eastAsia" w:cs="Times New Roman"/>
          <w:color w:val="auto"/>
          <w:highlight w:val="none"/>
          <w:lang w:val="en-US" w:eastAsia="zh-CN"/>
        </w:rPr>
        <w:t>：</w:t>
      </w:r>
      <w:r>
        <w:rPr>
          <w:rFonts w:hint="eastAsia" w:ascii="宋体" w:hAnsi="Courier New" w:eastAsia="宋体" w:cs="Times New Roman"/>
          <w:color w:val="auto"/>
          <w:highlight w:val="none"/>
          <w:lang w:val="en-US" w:eastAsia="zh-CN"/>
        </w:rPr>
        <w:t>20</w:t>
      </w:r>
      <w:r>
        <w:rPr>
          <w:rFonts w:hint="eastAsia" w:cs="Times New Roman"/>
          <w:color w:val="auto"/>
          <w:highlight w:val="none"/>
          <w:lang w:val="en-US" w:eastAsia="zh-CN"/>
        </w:rPr>
        <w:t>26</w:t>
      </w:r>
      <w:r>
        <w:rPr>
          <w:rFonts w:hint="eastAsia" w:ascii="宋体" w:hAnsi="Courier New" w:eastAsia="宋体" w:cs="Times New Roman"/>
          <w:color w:val="auto"/>
          <w:highlight w:val="none"/>
          <w:lang w:val="en-US" w:eastAsia="zh-CN"/>
        </w:rPr>
        <w:t>年</w:t>
      </w:r>
      <w:r>
        <w:rPr>
          <w:rFonts w:hint="eastAsia" w:cs="Times New Roman"/>
          <w:color w:val="auto"/>
          <w:highlight w:val="none"/>
          <w:lang w:val="en-US" w:eastAsia="zh-CN"/>
        </w:rPr>
        <w:t>6</w:t>
      </w:r>
      <w:r>
        <w:rPr>
          <w:rFonts w:hint="eastAsia" w:ascii="宋体" w:hAnsi="Courier New" w:eastAsia="宋体" w:cs="Times New Roman"/>
          <w:color w:val="auto"/>
          <w:highlight w:val="none"/>
          <w:lang w:val="en-US" w:eastAsia="zh-CN"/>
        </w:rPr>
        <w:t>月</w:t>
      </w:r>
      <w:r>
        <w:rPr>
          <w:rFonts w:hint="eastAsia" w:cs="Times New Roman"/>
          <w:color w:val="auto"/>
          <w:highlight w:val="none"/>
          <w:lang w:val="en-US" w:eastAsia="zh-CN"/>
        </w:rPr>
        <w:t>16</w:t>
      </w:r>
      <w:r>
        <w:rPr>
          <w:rFonts w:hint="eastAsia" w:ascii="宋体" w:hAnsi="Courier New" w:eastAsia="宋体" w:cs="Times New Roman"/>
          <w:color w:val="auto"/>
          <w:highlight w:val="none"/>
          <w:lang w:val="en-US" w:eastAsia="zh-CN"/>
        </w:rPr>
        <w:t>日</w:t>
      </w:r>
      <w:r>
        <w:rPr>
          <w:rFonts w:hint="eastAsia" w:ascii="宋体" w:eastAsia="宋体" w:cs="Times New Roman"/>
          <w:b w:val="0"/>
          <w:bCs w:val="0"/>
          <w:i w:val="0"/>
          <w:iCs w:val="0"/>
          <w:caps w:val="0"/>
          <w:color w:val="auto"/>
          <w:spacing w:val="0"/>
          <w:sz w:val="21"/>
          <w:szCs w:val="20"/>
          <w:highlight w:val="none"/>
          <w:shd w:val="clear"/>
          <w:vertAlign w:val="baseline"/>
          <w:lang w:val="en-US" w:eastAsia="zh-CN"/>
        </w:rPr>
        <w:t xml:space="preserve"> 17:00</w:t>
      </w:r>
      <w:r>
        <w:rPr>
          <w:rFonts w:hint="eastAsia" w:ascii="宋体" w:hAnsi="Courier New" w:eastAsia="宋体" w:cs="Times New Roman"/>
          <w:color w:val="auto"/>
          <w:highlight w:val="none"/>
          <w:lang w:val="en-US" w:eastAsia="zh-CN"/>
        </w:rPr>
        <w:t>前</w:t>
      </w:r>
      <w:r>
        <w:rPr>
          <w:rFonts w:hint="eastAsia" w:cs="Times New Roman"/>
          <w:color w:val="auto"/>
          <w:highlight w:val="none"/>
          <w:lang w:val="en-US" w:eastAsia="zh-CN"/>
        </w:rPr>
        <w:t>。</w:t>
      </w:r>
    </w:p>
    <w:p w14:paraId="2521BCA0">
      <w:pPr>
        <w:pStyle w:val="77"/>
        <w:numPr>
          <w:ilvl w:val="0"/>
          <w:numId w:val="14"/>
        </w:numPr>
        <w:ind w:left="0" w:leftChars="0" w:firstLine="0" w:firstLineChars="0"/>
        <w:jc w:val="both"/>
        <w:rPr>
          <w:rFonts w:hint="eastAsia" w:ascii="宋体" w:hAnsi="Courier New" w:eastAsia="宋体" w:cs="Times New Roman"/>
          <w:color w:val="auto"/>
          <w:highlight w:val="none"/>
          <w:lang w:val="en-US" w:eastAsia="zh-CN"/>
        </w:rPr>
      </w:pPr>
      <w:r>
        <w:rPr>
          <w:rFonts w:hint="eastAsia" w:cs="Times New Roman"/>
          <w:color w:val="auto"/>
          <w:highlight w:val="none"/>
          <w:lang w:val="en-US" w:eastAsia="zh-CN"/>
        </w:rPr>
        <w:t>其他</w:t>
      </w:r>
      <w:r>
        <w:rPr>
          <w:rFonts w:hint="eastAsia" w:hAnsi="Courier New" w:cs="Times New Roman"/>
          <w:b w:val="0"/>
          <w:bCs w:val="0"/>
          <w:color w:val="auto"/>
          <w:sz w:val="21"/>
          <w:szCs w:val="20"/>
          <w:highlight w:val="none"/>
          <w:lang w:val="en-US" w:eastAsia="zh-CN"/>
        </w:rPr>
        <w:t>：</w:t>
      </w:r>
      <w:r>
        <w:rPr>
          <w:rFonts w:hint="eastAsia" w:ascii="宋体" w:hAnsi="Courier New" w:eastAsia="宋体" w:cs="Times New Roman"/>
          <w:i w:val="0"/>
          <w:iCs w:val="0"/>
          <w:caps w:val="0"/>
          <w:color w:val="auto"/>
          <w:spacing w:val="0"/>
          <w:sz w:val="21"/>
          <w:szCs w:val="20"/>
          <w:highlight w:val="none"/>
          <w:shd w:val="clear"/>
        </w:rPr>
        <w:t>逾期报名的，投标文件不予受理。</w:t>
      </w:r>
    </w:p>
    <w:p w14:paraId="0C785EC5">
      <w:pPr>
        <w:pStyle w:val="73"/>
        <w:rPr>
          <w:rFonts w:hint="eastAsia" w:ascii="宋体" w:hAnsi="Courier New" w:eastAsia="宋体" w:cs="Times New Roman"/>
          <w:color w:val="auto"/>
          <w:highlight w:val="none"/>
          <w:lang w:val="en-US" w:eastAsia="zh-CN"/>
        </w:rPr>
      </w:pPr>
      <w:r>
        <w:rPr>
          <w:rFonts w:hint="eastAsia" w:hAnsi="Courier New" w:cs="Times New Roman"/>
          <w:color w:val="auto"/>
          <w:highlight w:val="none"/>
        </w:rPr>
        <w:t>投标文件</w:t>
      </w:r>
      <w:r>
        <w:rPr>
          <w:rFonts w:hint="eastAsia" w:cs="Times New Roman"/>
          <w:color w:val="auto"/>
          <w:highlight w:val="none"/>
          <w:lang w:val="en-US" w:eastAsia="zh-CN"/>
        </w:rPr>
        <w:t>编制</w:t>
      </w:r>
    </w:p>
    <w:p w14:paraId="59493963">
      <w:pPr>
        <w:pStyle w:val="74"/>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color w:val="auto"/>
          <w:highlight w:val="none"/>
        </w:rPr>
      </w:pPr>
      <w:r>
        <w:rPr>
          <w:rFonts w:hint="eastAsia"/>
          <w:b w:val="0"/>
          <w:color w:val="auto"/>
          <w:highlight w:val="none"/>
          <w:lang w:val="en-US" w:eastAsia="zh-CN"/>
        </w:rPr>
        <w:t>投标文件的组成</w:t>
      </w:r>
    </w:p>
    <w:p w14:paraId="5EA04826">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投标人编写的投标文件由《投标文件（资质标）》、《投标文件（技术标）》、《投标文件（商务标）》（开标一览表）文件组成，共计</w:t>
      </w:r>
      <w:r>
        <w:rPr>
          <w:rFonts w:hint="eastAsia" w:cs="Times New Roman"/>
          <w:b w:val="0"/>
          <w:bCs/>
          <w:color w:val="auto"/>
          <w:highlight w:val="none"/>
          <w:u w:val="single"/>
          <w:lang w:val="en-US" w:eastAsia="zh-CN"/>
        </w:rPr>
        <w:t>3</w:t>
      </w:r>
      <w:r>
        <w:rPr>
          <w:rFonts w:hint="eastAsia" w:ascii="宋体" w:hAnsi="Courier New" w:eastAsia="宋体" w:cs="Times New Roman"/>
          <w:b w:val="0"/>
          <w:bCs/>
          <w:color w:val="auto"/>
          <w:highlight w:val="none"/>
          <w:lang w:val="en-US" w:eastAsia="zh-CN"/>
        </w:rPr>
        <w:t>个文件。</w:t>
      </w:r>
    </w:p>
    <w:p w14:paraId="2DD7BA97">
      <w:pPr>
        <w:pStyle w:val="75"/>
        <w:numPr>
          <w:ilvl w:val="0"/>
          <w:numId w:val="16"/>
        </w:numPr>
        <w:ind w:left="425" w:leftChars="0" w:hanging="425" w:firstLineChars="0"/>
        <w:rPr>
          <w:b w:val="0"/>
          <w:bCs/>
          <w:color w:val="auto"/>
          <w:highlight w:val="none"/>
        </w:rPr>
      </w:pPr>
      <w:r>
        <w:rPr>
          <w:rFonts w:hint="eastAsia"/>
          <w:b w:val="0"/>
          <w:bCs/>
          <w:color w:val="auto"/>
          <w:highlight w:val="none"/>
        </w:rPr>
        <w:t>资质文件：</w:t>
      </w:r>
    </w:p>
    <w:p w14:paraId="13BAC003">
      <w:pPr>
        <w:pStyle w:val="76"/>
        <w:numPr>
          <w:ilvl w:val="0"/>
          <w:numId w:val="17"/>
        </w:numPr>
        <w:ind w:left="425" w:leftChars="0" w:hanging="425" w:firstLineChars="0"/>
        <w:rPr>
          <w:b w:val="0"/>
          <w:bCs/>
          <w:color w:val="auto"/>
          <w:highlight w:val="none"/>
        </w:rPr>
      </w:pPr>
      <w:r>
        <w:rPr>
          <w:rFonts w:hint="eastAsia"/>
          <w:b w:val="0"/>
          <w:bCs/>
          <w:color w:val="auto"/>
          <w:highlight w:val="none"/>
        </w:rPr>
        <w:t>法定代表人身份证明；</w:t>
      </w:r>
    </w:p>
    <w:p w14:paraId="4DBDF119">
      <w:pPr>
        <w:pStyle w:val="76"/>
        <w:numPr>
          <w:ilvl w:val="0"/>
          <w:numId w:val="17"/>
        </w:numPr>
        <w:ind w:left="425" w:leftChars="0" w:hanging="425" w:firstLineChars="0"/>
        <w:rPr>
          <w:b w:val="0"/>
          <w:bCs/>
          <w:color w:val="auto"/>
          <w:highlight w:val="none"/>
        </w:rPr>
      </w:pPr>
      <w:r>
        <w:rPr>
          <w:rFonts w:hint="eastAsia"/>
          <w:b w:val="0"/>
          <w:bCs/>
          <w:color w:val="auto"/>
          <w:highlight w:val="none"/>
        </w:rPr>
        <w:t>法定代表人授权委托书（授权人需带身份证原件）；</w:t>
      </w:r>
    </w:p>
    <w:p w14:paraId="73FE5F95">
      <w:pPr>
        <w:pStyle w:val="76"/>
        <w:numPr>
          <w:ilvl w:val="0"/>
          <w:numId w:val="17"/>
        </w:numPr>
        <w:ind w:left="425" w:leftChars="0" w:hanging="425" w:firstLineChars="0"/>
        <w:rPr>
          <w:b w:val="0"/>
          <w:bCs/>
          <w:color w:val="auto"/>
          <w:highlight w:val="none"/>
        </w:rPr>
      </w:pPr>
      <w:r>
        <w:rPr>
          <w:rFonts w:hint="eastAsia"/>
          <w:b w:val="0"/>
          <w:bCs/>
          <w:color w:val="auto"/>
          <w:highlight w:val="none"/>
        </w:rPr>
        <w:t>营业执照副本原件</w:t>
      </w:r>
      <w:r>
        <w:rPr>
          <w:rFonts w:hint="eastAsia"/>
          <w:b w:val="0"/>
          <w:bCs/>
          <w:color w:val="auto"/>
          <w:highlight w:val="none"/>
          <w:lang w:val="en-US" w:eastAsia="zh-CN"/>
        </w:rPr>
        <w:t>或复印件并加盖公章</w:t>
      </w:r>
      <w:r>
        <w:rPr>
          <w:rFonts w:hint="eastAsia"/>
          <w:b w:val="0"/>
          <w:bCs/>
          <w:color w:val="auto"/>
          <w:highlight w:val="none"/>
        </w:rPr>
        <w:t>；</w:t>
      </w:r>
    </w:p>
    <w:p w14:paraId="6A7B69C9">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rPr>
        <w:t>证明投标人满足投标资料表中列出的业绩要求的文件</w:t>
      </w:r>
      <w:r>
        <w:rPr>
          <w:rFonts w:hint="eastAsia"/>
          <w:b w:val="0"/>
          <w:bCs/>
          <w:color w:val="auto"/>
          <w:highlight w:val="none"/>
          <w:lang w:eastAsia="zh-CN"/>
        </w:rPr>
        <w:t>（投标人近</w:t>
      </w:r>
      <w:r>
        <w:rPr>
          <w:rFonts w:hint="eastAsia"/>
          <w:b w:val="0"/>
          <w:bCs/>
          <w:color w:val="auto"/>
          <w:highlight w:val="none"/>
          <w:lang w:val="en-US" w:eastAsia="zh-CN"/>
        </w:rPr>
        <w:t>一</w:t>
      </w:r>
      <w:r>
        <w:rPr>
          <w:rFonts w:hint="eastAsia"/>
          <w:b w:val="0"/>
          <w:bCs/>
          <w:color w:val="auto"/>
          <w:highlight w:val="none"/>
          <w:lang w:eastAsia="zh-CN"/>
        </w:rPr>
        <w:t>年典型案例，提供合同关键页含合同项目名称、签订合同双方的落款盖章、签订日期的关键页）；</w:t>
      </w:r>
    </w:p>
    <w:p w14:paraId="2E43C7FD">
      <w:pPr>
        <w:pStyle w:val="76"/>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hAnsi="Courier New"/>
          <w:b w:val="0"/>
          <w:bCs/>
          <w:color w:val="auto"/>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6"/>
        <w:numPr>
          <w:ilvl w:val="0"/>
          <w:numId w:val="17"/>
        </w:numPr>
        <w:ind w:left="425" w:leftChars="0" w:hanging="425" w:firstLineChars="0"/>
        <w:rPr>
          <w:rFonts w:hint="eastAsia" w:hAnsi="Courier New"/>
          <w:b w:val="0"/>
          <w:bCs/>
          <w:color w:val="auto"/>
          <w:highlight w:val="none"/>
        </w:rPr>
      </w:pPr>
      <w:r>
        <w:rPr>
          <w:rFonts w:hint="eastAsia" w:hAnsi="Courier New"/>
          <w:b w:val="0"/>
          <w:bCs/>
          <w:color w:val="auto"/>
          <w:highlight w:val="none"/>
        </w:rPr>
        <w:t>企业最近半年完税证明、信用证明材料（征信报告）；</w:t>
      </w:r>
    </w:p>
    <w:p w14:paraId="2F1917FF">
      <w:pPr>
        <w:pStyle w:val="76"/>
        <w:numPr>
          <w:ilvl w:val="0"/>
          <w:numId w:val="17"/>
        </w:numPr>
        <w:ind w:left="425" w:leftChars="0" w:hanging="425" w:firstLineChars="0"/>
        <w:rPr>
          <w:rFonts w:hint="eastAsia" w:hAnsi="Courier New"/>
          <w:b w:val="0"/>
          <w:bCs/>
          <w:color w:val="auto"/>
          <w:highlight w:val="none"/>
        </w:rPr>
      </w:pPr>
      <w:r>
        <w:rPr>
          <w:rFonts w:hint="eastAsia" w:hAnsi="Courier New"/>
          <w:b w:val="0"/>
          <w:bCs/>
          <w:color w:val="auto"/>
          <w:highlight w:val="none"/>
        </w:rPr>
        <w:t>年度纳税信用评价信息（可从电子税务局查询截图，需加盖公章）；</w:t>
      </w:r>
    </w:p>
    <w:p w14:paraId="66CC3FFB">
      <w:pPr>
        <w:pStyle w:val="76"/>
        <w:numPr>
          <w:ilvl w:val="0"/>
          <w:numId w:val="17"/>
        </w:numPr>
        <w:ind w:left="425" w:leftChars="0" w:hanging="425" w:firstLineChars="0"/>
        <w:rPr>
          <w:rFonts w:hint="eastAsia" w:hAnsi="Courier New"/>
          <w:b w:val="0"/>
          <w:bCs/>
          <w:color w:val="auto"/>
          <w:highlight w:val="none"/>
        </w:rPr>
      </w:pPr>
      <w:r>
        <w:rPr>
          <w:rFonts w:hint="eastAsia" w:hAnsi="Courier New"/>
          <w:b w:val="0"/>
          <w:bCs/>
          <w:color w:val="auto"/>
          <w:highlight w:val="none"/>
        </w:rPr>
        <w:t>企业对外担保说明（写明贵单位对外有无对外担保和质押业务，需加盖公章）。</w:t>
      </w:r>
    </w:p>
    <w:p w14:paraId="49857420">
      <w:pPr>
        <w:pStyle w:val="76"/>
        <w:numPr>
          <w:ilvl w:val="0"/>
          <w:numId w:val="17"/>
        </w:numPr>
        <w:ind w:left="425" w:leftChars="0" w:hanging="425" w:firstLineChars="0"/>
        <w:rPr>
          <w:b w:val="0"/>
          <w:bCs/>
          <w:color w:val="auto"/>
          <w:highlight w:val="none"/>
        </w:rPr>
      </w:pPr>
      <w:r>
        <w:rPr>
          <w:rFonts w:hint="eastAsia"/>
          <w:b w:val="0"/>
          <w:bCs/>
          <w:color w:val="auto"/>
          <w:highlight w:val="none"/>
        </w:rPr>
        <w:t>信用中国截图或国家企业信用信息公示系统截图；</w:t>
      </w:r>
    </w:p>
    <w:p w14:paraId="08F8AAFD">
      <w:pPr>
        <w:pStyle w:val="76"/>
        <w:numPr>
          <w:ilvl w:val="0"/>
          <w:numId w:val="17"/>
        </w:numPr>
        <w:ind w:left="425" w:leftChars="0" w:hanging="425" w:firstLineChars="0"/>
        <w:rPr>
          <w:b w:val="0"/>
          <w:bCs/>
          <w:color w:val="auto"/>
          <w:highlight w:val="none"/>
        </w:rPr>
      </w:pPr>
      <w:r>
        <w:rPr>
          <w:rFonts w:hint="eastAsia"/>
          <w:b w:val="0"/>
          <w:bCs/>
          <w:color w:val="auto"/>
          <w:highlight w:val="none"/>
        </w:rPr>
        <w:t>招标文件中要求的其它资格证明文件。</w:t>
      </w:r>
    </w:p>
    <w:p w14:paraId="0FCAA68A">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color w:val="auto"/>
          <w:highlight w:val="none"/>
        </w:rPr>
      </w:pPr>
      <w:r>
        <w:rPr>
          <w:rFonts w:hint="eastAsia"/>
          <w:b w:val="0"/>
          <w:bCs/>
          <w:color w:val="auto"/>
          <w:highlight w:val="none"/>
        </w:rPr>
        <w:t>对于投标人资质审核不通过的，招标人有权拒绝其投标。</w:t>
      </w:r>
    </w:p>
    <w:p w14:paraId="35D922EF">
      <w:pPr>
        <w:pStyle w:val="75"/>
        <w:numPr>
          <w:ilvl w:val="0"/>
          <w:numId w:val="16"/>
        </w:numPr>
        <w:ind w:left="425" w:leftChars="0" w:hanging="425" w:firstLineChars="0"/>
        <w:rPr>
          <w:rFonts w:hint="eastAsia" w:cs="Times New Roman"/>
          <w:b w:val="0"/>
          <w:bCs/>
          <w:color w:val="auto"/>
          <w:highlight w:val="none"/>
        </w:rPr>
      </w:pPr>
      <w:r>
        <w:rPr>
          <w:rFonts w:hint="eastAsia" w:cs="Times New Roman"/>
          <w:b w:val="0"/>
          <w:bCs/>
          <w:color w:val="auto"/>
          <w:highlight w:val="none"/>
        </w:rPr>
        <w:t>技术标：</w:t>
      </w:r>
    </w:p>
    <w:p w14:paraId="38D14D06">
      <w:pPr>
        <w:pStyle w:val="76"/>
        <w:numPr>
          <w:ilvl w:val="0"/>
          <w:numId w:val="19"/>
        </w:numPr>
        <w:ind w:left="425" w:leftChars="0" w:hanging="425"/>
        <w:rPr>
          <w:rFonts w:hint="eastAsia"/>
          <w:b/>
          <w:bCs w:val="0"/>
          <w:color w:val="auto"/>
          <w:highlight w:val="none"/>
          <w:lang w:val="en-US" w:eastAsia="zh-CN"/>
        </w:rPr>
      </w:pPr>
      <w:r>
        <w:rPr>
          <w:rFonts w:hint="eastAsia"/>
          <w:b/>
          <w:bCs w:val="0"/>
          <w:color w:val="auto"/>
          <w:highlight w:val="none"/>
          <w:lang w:val="en-US" w:eastAsia="zh-CN"/>
        </w:rPr>
        <w:t xml:space="preserve">服务方案                                                   </w:t>
      </w:r>
    </w:p>
    <w:p w14:paraId="0B4A9D96">
      <w:pPr>
        <w:pStyle w:val="76"/>
        <w:numPr>
          <w:ilvl w:val="0"/>
          <w:numId w:val="0"/>
        </w:numPr>
        <w:ind w:leftChars="0"/>
        <w:rPr>
          <w:rFonts w:hint="eastAsia"/>
          <w:b/>
          <w:bCs w:val="0"/>
          <w:color w:val="auto"/>
          <w:highlight w:val="none"/>
          <w:lang w:val="en-US" w:eastAsia="zh-CN"/>
        </w:rPr>
      </w:pPr>
      <w:r>
        <w:rPr>
          <w:rFonts w:hint="eastAsia"/>
          <w:b/>
          <w:bCs w:val="0"/>
          <w:color w:val="auto"/>
          <w:highlight w:val="none"/>
          <w:lang w:val="en-US" w:eastAsia="zh-CN"/>
        </w:rPr>
        <w:t>投标人完整的质量管理及服务体系，投标人应根据项目特点写出服务方案及服务保证措施，具体内容包含但不限于以下内容：</w:t>
      </w:r>
    </w:p>
    <w:p w14:paraId="681CB670">
      <w:pPr>
        <w:pStyle w:val="76"/>
        <w:numPr>
          <w:ilvl w:val="0"/>
          <w:numId w:val="0"/>
        </w:numPr>
        <w:ind w:leftChars="0"/>
        <w:rPr>
          <w:rFonts w:hint="eastAsia"/>
          <w:b/>
          <w:bCs w:val="0"/>
          <w:color w:val="auto"/>
          <w:highlight w:val="none"/>
          <w:lang w:val="en-US" w:eastAsia="zh-CN"/>
        </w:rPr>
      </w:pPr>
      <w:r>
        <w:rPr>
          <w:rFonts w:hint="eastAsia"/>
          <w:b/>
          <w:bCs w:val="0"/>
          <w:color w:val="auto"/>
          <w:highlight w:val="none"/>
          <w:lang w:val="en-US" w:eastAsia="zh-CN"/>
        </w:rPr>
        <w:fldChar w:fldCharType="begin"/>
      </w:r>
      <w:r>
        <w:rPr>
          <w:rFonts w:hint="eastAsia"/>
          <w:b/>
          <w:bCs w:val="0"/>
          <w:color w:val="auto"/>
          <w:highlight w:val="none"/>
          <w:lang w:val="en-US" w:eastAsia="zh-CN"/>
        </w:rPr>
        <w:instrText xml:space="preserve"> = 1 \* GB3 </w:instrText>
      </w:r>
      <w:r>
        <w:rPr>
          <w:rFonts w:hint="eastAsia"/>
          <w:b/>
          <w:bCs w:val="0"/>
          <w:color w:val="auto"/>
          <w:highlight w:val="none"/>
          <w:lang w:val="en-US" w:eastAsia="zh-CN"/>
        </w:rPr>
        <w:fldChar w:fldCharType="separate"/>
      </w:r>
      <w:r>
        <w:rPr>
          <w:rFonts w:hint="eastAsia"/>
          <w:b/>
          <w:bCs w:val="0"/>
          <w:color w:val="auto"/>
          <w:highlight w:val="none"/>
          <w:lang w:val="en-US" w:eastAsia="zh-CN"/>
        </w:rPr>
        <w:t>①</w:t>
      </w:r>
      <w:r>
        <w:rPr>
          <w:rFonts w:hint="eastAsia"/>
          <w:b/>
          <w:bCs w:val="0"/>
          <w:color w:val="auto"/>
          <w:highlight w:val="none"/>
          <w:lang w:val="en-US" w:eastAsia="zh-CN"/>
        </w:rPr>
        <w:fldChar w:fldCharType="end"/>
      </w:r>
      <w:r>
        <w:rPr>
          <w:rFonts w:hint="eastAsia"/>
          <w:b/>
          <w:bCs w:val="0"/>
          <w:color w:val="auto"/>
          <w:highlight w:val="none"/>
          <w:lang w:val="en-US" w:eastAsia="zh-CN"/>
        </w:rPr>
        <w:t>服务方案；</w:t>
      </w:r>
      <w:r>
        <w:rPr>
          <w:rFonts w:hint="eastAsia"/>
          <w:b/>
          <w:bCs w:val="0"/>
          <w:color w:val="auto"/>
          <w:highlight w:val="none"/>
          <w:lang w:val="en-US" w:eastAsia="zh-CN"/>
        </w:rPr>
        <w:fldChar w:fldCharType="begin"/>
      </w:r>
      <w:r>
        <w:rPr>
          <w:rFonts w:hint="eastAsia"/>
          <w:b/>
          <w:bCs w:val="0"/>
          <w:color w:val="auto"/>
          <w:highlight w:val="none"/>
          <w:lang w:val="en-US" w:eastAsia="zh-CN"/>
        </w:rPr>
        <w:instrText xml:space="preserve"> = 2 \* GB3 </w:instrText>
      </w:r>
      <w:r>
        <w:rPr>
          <w:rFonts w:hint="eastAsia"/>
          <w:b/>
          <w:bCs w:val="0"/>
          <w:color w:val="auto"/>
          <w:highlight w:val="none"/>
          <w:lang w:val="en-US" w:eastAsia="zh-CN"/>
        </w:rPr>
        <w:fldChar w:fldCharType="separate"/>
      </w:r>
      <w:r>
        <w:rPr>
          <w:rFonts w:hint="eastAsia"/>
          <w:b/>
          <w:bCs w:val="0"/>
          <w:color w:val="auto"/>
          <w:highlight w:val="none"/>
          <w:lang w:val="en-US" w:eastAsia="zh-CN"/>
        </w:rPr>
        <w:t>②</w:t>
      </w:r>
      <w:r>
        <w:rPr>
          <w:rFonts w:hint="eastAsia"/>
          <w:b/>
          <w:bCs w:val="0"/>
          <w:color w:val="auto"/>
          <w:highlight w:val="none"/>
          <w:lang w:val="en-US" w:eastAsia="zh-CN"/>
        </w:rPr>
        <w:fldChar w:fldCharType="end"/>
      </w:r>
      <w:r>
        <w:rPr>
          <w:rFonts w:hint="eastAsia"/>
          <w:b/>
          <w:bCs w:val="0"/>
          <w:color w:val="auto"/>
          <w:highlight w:val="none"/>
          <w:lang w:val="en-US" w:eastAsia="zh-CN"/>
        </w:rPr>
        <w:t>业务支持程度；③开展类似工作的优势；④服务承诺；⑤合理化建议。</w:t>
      </w:r>
    </w:p>
    <w:p w14:paraId="1CAC4376">
      <w:pPr>
        <w:pStyle w:val="76"/>
        <w:numPr>
          <w:ilvl w:val="0"/>
          <w:numId w:val="0"/>
        </w:numPr>
        <w:ind w:leftChars="0"/>
        <w:rPr>
          <w:rFonts w:hint="eastAsia"/>
          <w:b/>
          <w:bCs w:val="0"/>
          <w:color w:val="auto"/>
          <w:highlight w:val="none"/>
          <w:lang w:val="en-US" w:eastAsia="zh-CN"/>
        </w:rPr>
      </w:pPr>
      <w:r>
        <w:rPr>
          <w:rFonts w:hint="eastAsia"/>
          <w:b/>
          <w:bCs w:val="0"/>
          <w:color w:val="auto"/>
          <w:highlight w:val="none"/>
          <w:lang w:val="en-US" w:eastAsia="zh-CN"/>
        </w:rPr>
        <w:t>免费服务项目：若有能提供的免费项目，请列明项目内容并注明免费。此项不计入总报价。</w:t>
      </w:r>
    </w:p>
    <w:p w14:paraId="12C082A4">
      <w:pPr>
        <w:pStyle w:val="76"/>
        <w:numPr>
          <w:ilvl w:val="0"/>
          <w:numId w:val="19"/>
        </w:numPr>
        <w:ind w:left="0" w:leftChars="0" w:firstLine="0"/>
        <w:rPr>
          <w:rFonts w:hint="eastAsia"/>
          <w:b/>
          <w:bCs w:val="0"/>
          <w:color w:val="auto"/>
          <w:highlight w:val="none"/>
          <w:lang w:val="en-US" w:eastAsia="zh-CN"/>
        </w:rPr>
      </w:pPr>
      <w:r>
        <w:rPr>
          <w:rFonts w:hint="eastAsia"/>
          <w:b/>
          <w:bCs w:val="0"/>
          <w:color w:val="auto"/>
          <w:highlight w:val="none"/>
          <w:lang w:val="en-US" w:eastAsia="zh-CN"/>
        </w:rPr>
        <w:t>服务业绩一览表及拟服务团队。包含主要负责人及基本成员的简历、简介和主要业绩介绍（见附件4）；</w:t>
      </w:r>
    </w:p>
    <w:p w14:paraId="3D40617D">
      <w:pPr>
        <w:pStyle w:val="76"/>
        <w:numPr>
          <w:ilvl w:val="0"/>
          <w:numId w:val="19"/>
        </w:numPr>
        <w:ind w:left="0" w:leftChars="0" w:firstLine="0"/>
        <w:rPr>
          <w:rFonts w:hint="eastAsia"/>
          <w:b/>
          <w:bCs w:val="0"/>
          <w:color w:val="auto"/>
          <w:highlight w:val="none"/>
          <w:lang w:val="en-US" w:eastAsia="zh-CN"/>
        </w:rPr>
      </w:pPr>
      <w:r>
        <w:rPr>
          <w:rFonts w:hint="eastAsia"/>
          <w:b/>
          <w:bCs w:val="0"/>
          <w:color w:val="auto"/>
          <w:highlight w:val="none"/>
          <w:lang w:val="en-US" w:eastAsia="zh-CN"/>
        </w:rPr>
        <w:t>投标人认为需要加以说明的其他内容。</w:t>
      </w:r>
    </w:p>
    <w:p w14:paraId="222A2249">
      <w:pPr>
        <w:pStyle w:val="76"/>
        <w:numPr>
          <w:ilvl w:val="0"/>
          <w:numId w:val="19"/>
        </w:numPr>
        <w:ind w:left="0" w:leftChars="0" w:firstLine="0"/>
        <w:rPr>
          <w:rFonts w:hint="eastAsia"/>
          <w:b/>
          <w:bCs w:val="0"/>
          <w:color w:val="auto"/>
          <w:highlight w:val="none"/>
          <w:lang w:val="en-US" w:eastAsia="zh-CN"/>
        </w:rPr>
      </w:pPr>
      <w:r>
        <w:rPr>
          <w:rFonts w:hint="eastAsia"/>
          <w:b/>
          <w:bCs w:val="0"/>
          <w:color w:val="auto"/>
          <w:highlight w:val="none"/>
          <w:lang w:val="en-US" w:eastAsia="zh-CN"/>
        </w:rPr>
        <w:t>技术条款偏离表（见附件5）</w:t>
      </w:r>
    </w:p>
    <w:p w14:paraId="5E4E385E">
      <w:pPr>
        <w:pStyle w:val="76"/>
        <w:numPr>
          <w:ilvl w:val="0"/>
          <w:numId w:val="0"/>
        </w:numPr>
        <w:ind w:leftChars="0"/>
        <w:rPr>
          <w:rFonts w:hint="eastAsia"/>
          <w:b/>
          <w:bCs w:val="0"/>
          <w:color w:val="auto"/>
          <w:highlight w:val="none"/>
          <w:lang w:val="en-US" w:eastAsia="zh-CN"/>
        </w:rPr>
      </w:pPr>
      <w:r>
        <w:rPr>
          <w:rFonts w:hint="eastAsia"/>
          <w:b/>
          <w:bCs w:val="0"/>
          <w:color w:val="auto"/>
          <w:highlight w:val="none"/>
          <w:lang w:val="en-US" w:eastAsia="zh-CN"/>
        </w:rPr>
        <w:t>特别注意：技术标资料中一定不要包含报价内容。</w:t>
      </w:r>
    </w:p>
    <w:p w14:paraId="47175D6D">
      <w:pPr>
        <w:pStyle w:val="75"/>
        <w:numPr>
          <w:ilvl w:val="0"/>
          <w:numId w:val="16"/>
        </w:numPr>
        <w:ind w:left="425" w:leftChars="0" w:hanging="425" w:firstLineChars="0"/>
        <w:rPr>
          <w:rFonts w:hint="eastAsia" w:cs="Times New Roman"/>
          <w:b w:val="0"/>
          <w:bCs/>
          <w:color w:val="auto"/>
          <w:highlight w:val="none"/>
        </w:rPr>
      </w:pPr>
      <w:r>
        <w:rPr>
          <w:rFonts w:hint="eastAsia" w:cs="Times New Roman"/>
          <w:b w:val="0"/>
          <w:bCs/>
          <w:color w:val="auto"/>
          <w:highlight w:val="none"/>
        </w:rPr>
        <w:t>商务标：</w:t>
      </w:r>
    </w:p>
    <w:p w14:paraId="5D50B329">
      <w:pPr>
        <w:pStyle w:val="76"/>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b w:val="0"/>
          <w:bCs/>
          <w:color w:val="auto"/>
          <w:highlight w:val="none"/>
        </w:rPr>
      </w:pPr>
      <w:r>
        <w:rPr>
          <w:rFonts w:hint="eastAsia"/>
          <w:b w:val="0"/>
          <w:bCs/>
          <w:color w:val="auto"/>
          <w:highlight w:val="none"/>
          <w:lang w:val="en-US" w:eastAsia="zh-CN"/>
        </w:rPr>
        <w:t>开标一览表（见附件3）；</w:t>
      </w:r>
    </w:p>
    <w:p w14:paraId="0DFA5CBE">
      <w:pPr>
        <w:pStyle w:val="76"/>
        <w:numPr>
          <w:ilvl w:val="0"/>
          <w:numId w:val="20"/>
        </w:numPr>
        <w:ind w:left="425" w:leftChars="0" w:hanging="425" w:firstLineChars="0"/>
        <w:rPr>
          <w:b w:val="0"/>
          <w:bCs/>
          <w:color w:val="auto"/>
          <w:highlight w:val="none"/>
        </w:rPr>
      </w:pPr>
      <w:r>
        <w:rPr>
          <w:rFonts w:hint="eastAsia"/>
          <w:b w:val="0"/>
          <w:bCs/>
          <w:color w:val="auto"/>
          <w:highlight w:val="none"/>
        </w:rPr>
        <w:t>投标函（见附件</w:t>
      </w:r>
      <w:r>
        <w:rPr>
          <w:rFonts w:hint="eastAsia"/>
          <w:b w:val="0"/>
          <w:bCs/>
          <w:color w:val="auto"/>
          <w:highlight w:val="none"/>
          <w:lang w:val="en-US" w:eastAsia="zh-CN"/>
        </w:rPr>
        <w:t>1</w:t>
      </w:r>
      <w:r>
        <w:rPr>
          <w:rFonts w:hint="eastAsia"/>
          <w:b w:val="0"/>
          <w:bCs/>
          <w:color w:val="auto"/>
          <w:highlight w:val="none"/>
        </w:rPr>
        <w:t>）</w:t>
      </w:r>
      <w:r>
        <w:rPr>
          <w:rFonts w:hint="eastAsia"/>
          <w:b w:val="0"/>
          <w:bCs/>
          <w:color w:val="auto"/>
          <w:highlight w:val="none"/>
          <w:lang w:eastAsia="zh-CN"/>
        </w:rPr>
        <w:t>；</w:t>
      </w:r>
    </w:p>
    <w:p w14:paraId="5C36F232">
      <w:pPr>
        <w:pStyle w:val="76"/>
        <w:numPr>
          <w:ilvl w:val="0"/>
          <w:numId w:val="20"/>
        </w:numPr>
        <w:ind w:left="425" w:leftChars="0" w:hanging="425" w:firstLineChars="0"/>
        <w:rPr>
          <w:b w:val="0"/>
          <w:bCs/>
          <w:color w:val="auto"/>
          <w:highlight w:val="none"/>
        </w:rPr>
      </w:pPr>
      <w:r>
        <w:rPr>
          <w:rFonts w:hint="eastAsia"/>
          <w:b w:val="0"/>
          <w:bCs/>
          <w:color w:val="auto"/>
          <w:highlight w:val="none"/>
        </w:rPr>
        <w:t>商务条款偏离表</w:t>
      </w:r>
      <w:r>
        <w:rPr>
          <w:rFonts w:hint="eastAsia"/>
          <w:b w:val="0"/>
          <w:bCs/>
          <w:color w:val="auto"/>
          <w:highlight w:val="none"/>
          <w:lang w:eastAsia="zh-CN"/>
        </w:rPr>
        <w:t>（</w:t>
      </w:r>
      <w:r>
        <w:rPr>
          <w:rFonts w:hint="eastAsia"/>
          <w:b w:val="0"/>
          <w:bCs/>
          <w:color w:val="auto"/>
          <w:highlight w:val="none"/>
          <w:lang w:val="en-US" w:eastAsia="zh-CN"/>
        </w:rPr>
        <w:t>见附件6</w:t>
      </w:r>
      <w:r>
        <w:rPr>
          <w:rFonts w:hint="eastAsia"/>
          <w:b w:val="0"/>
          <w:bCs/>
          <w:color w:val="auto"/>
          <w:highlight w:val="none"/>
          <w:lang w:eastAsia="zh-CN"/>
        </w:rPr>
        <w:t>）</w:t>
      </w:r>
      <w:r>
        <w:rPr>
          <w:rFonts w:hint="eastAsia"/>
          <w:b w:val="0"/>
          <w:bCs/>
          <w:color w:val="auto"/>
          <w:highlight w:val="none"/>
        </w:rPr>
        <w:t>；</w:t>
      </w:r>
    </w:p>
    <w:p w14:paraId="53DECED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color w:val="auto"/>
          <w:highlight w:val="none"/>
          <w:lang w:val="en-US" w:eastAsia="zh-CN"/>
        </w:rPr>
      </w:pPr>
      <w:r>
        <w:rPr>
          <w:rFonts w:hint="eastAsia" w:cs="Times New Roman"/>
          <w:b w:val="0"/>
          <w:bCs/>
          <w:color w:val="auto"/>
          <w:highlight w:val="none"/>
          <w:lang w:val="en-US" w:eastAsia="zh-CN"/>
        </w:rPr>
        <w:t>商务报价注意内容：</w:t>
      </w:r>
      <w:r>
        <w:rPr>
          <w:rFonts w:hint="eastAsia" w:cs="Times New Roman"/>
          <w:b w:val="0"/>
          <w:bCs/>
          <w:color w:val="auto"/>
          <w:highlight w:val="none"/>
        </w:rPr>
        <w:t>最高投标限价（招标控制价）：人民币</w:t>
      </w:r>
      <w:r>
        <w:rPr>
          <w:rFonts w:hint="eastAsia" w:cs="Times New Roman"/>
          <w:b w:val="0"/>
          <w:bCs/>
          <w:color w:val="auto"/>
          <w:highlight w:val="none"/>
          <w:u w:val="single"/>
          <w:lang w:val="en-US" w:eastAsia="zh-CN"/>
        </w:rPr>
        <w:t>95.16</w:t>
      </w:r>
      <w:r>
        <w:rPr>
          <w:rFonts w:hint="eastAsia" w:cs="Times New Roman"/>
          <w:b w:val="0"/>
          <w:bCs/>
          <w:color w:val="auto"/>
          <w:highlight w:val="none"/>
        </w:rPr>
        <w:t>万元（含税），超过投标限价无法投标。</w:t>
      </w:r>
    </w:p>
    <w:p w14:paraId="70E2A45F">
      <w:pPr>
        <w:pStyle w:val="74"/>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color w:val="auto"/>
          <w:highlight w:val="none"/>
          <w:lang w:val="en-US" w:eastAsia="zh-CN"/>
        </w:rPr>
      </w:pPr>
      <w:r>
        <w:rPr>
          <w:rFonts w:hint="eastAsia" w:cs="Times New Roman"/>
          <w:b w:val="0"/>
          <w:color w:val="auto"/>
          <w:highlight w:val="none"/>
          <w:lang w:val="en-US" w:eastAsia="zh-CN"/>
        </w:rPr>
        <w:t>投标文件的投递</w:t>
      </w:r>
    </w:p>
    <w:p w14:paraId="776A71A0">
      <w:pPr>
        <w:pStyle w:val="76"/>
        <w:numPr>
          <w:ilvl w:val="0"/>
          <w:numId w:val="21"/>
        </w:numPr>
        <w:ind w:left="0" w:leftChars="0" w:firstLine="0" w:firstLineChars="0"/>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投标方式：本次招标注册、应标、澄清、报价全部操作需要登录中国重汽E采通</w:t>
      </w:r>
      <w:r>
        <w:rPr>
          <w:rFonts w:hint="eastAsia" w:cs="Times New Roman"/>
          <w:b w:val="0"/>
          <w:bCs/>
          <w:color w:val="auto"/>
          <w:highlight w:val="none"/>
          <w:lang w:val="en-US" w:eastAsia="zh-CN"/>
        </w:rPr>
        <w:t>平台</w:t>
      </w:r>
      <w:r>
        <w:rPr>
          <w:rFonts w:hint="eastAsia" w:ascii="宋体" w:hAnsi="Courier New" w:eastAsia="宋体" w:cs="Times New Roman"/>
          <w:b w:val="0"/>
          <w:bCs/>
          <w:color w:val="auto"/>
          <w:highlight w:val="none"/>
          <w:lang w:val="en-US" w:eastAsia="zh-CN"/>
        </w:rPr>
        <w:t>进行操作，网址如下：</w:t>
      </w:r>
      <w:r>
        <w:rPr>
          <w:rFonts w:hint="eastAsia" w:ascii="宋体" w:hAnsi="Courier New" w:eastAsia="宋体" w:cs="Times New Roman"/>
          <w:b w:val="0"/>
          <w:bCs/>
          <w:color w:val="auto"/>
          <w:highlight w:val="none"/>
          <w:lang w:val="en-US" w:eastAsia="zh-CN"/>
        </w:rPr>
        <w:fldChar w:fldCharType="begin"/>
      </w:r>
      <w:r>
        <w:rPr>
          <w:rFonts w:hint="eastAsia" w:ascii="宋体" w:hAnsi="Courier New" w:eastAsia="宋体" w:cs="Times New Roman"/>
          <w:b w:val="0"/>
          <w:bCs/>
          <w:color w:val="auto"/>
          <w:highlight w:val="none"/>
          <w:lang w:val="en-US" w:eastAsia="zh-CN"/>
        </w:rPr>
        <w:instrText xml:space="preserve">HYPERLINK "http://ecaitong.sinotruk.com:8012/，请于截止日期前完成注册、应标等操作。"</w:instrText>
      </w:r>
      <w:r>
        <w:rPr>
          <w:rFonts w:hint="eastAsia" w:ascii="宋体" w:hAnsi="Courier New" w:eastAsia="宋体" w:cs="Times New Roman"/>
          <w:b w:val="0"/>
          <w:bCs/>
          <w:color w:val="auto"/>
          <w:highlight w:val="none"/>
          <w:lang w:val="en-US" w:eastAsia="zh-CN"/>
        </w:rPr>
        <w:fldChar w:fldCharType="separate"/>
      </w:r>
      <w:r>
        <w:rPr>
          <w:rFonts w:hint="eastAsia" w:ascii="宋体" w:hAnsi="Courier New" w:eastAsia="宋体" w:cs="Times New Roman"/>
          <w:b w:val="0"/>
          <w:bCs/>
          <w:color w:val="auto"/>
          <w:highlight w:val="none"/>
          <w:lang w:val="en-US" w:eastAsia="zh-CN"/>
        </w:rPr>
        <w:t>https://ecaitong.sinotruk.com:8012，请于截止日期前完成注册、应标、投标等操作，超过截止日期未将盖章（或电子章）技术标、商务标、资质等文件上传</w:t>
      </w:r>
      <w:r>
        <w:rPr>
          <w:rFonts w:hint="eastAsia" w:cs="Times New Roman"/>
          <w:b w:val="0"/>
          <w:bCs/>
          <w:color w:val="auto"/>
          <w:highlight w:val="none"/>
          <w:lang w:val="en-US" w:eastAsia="zh-CN"/>
        </w:rPr>
        <w:t>平台</w:t>
      </w:r>
      <w:r>
        <w:rPr>
          <w:rFonts w:hint="eastAsia" w:ascii="宋体" w:hAnsi="Courier New" w:eastAsia="宋体" w:cs="Times New Roman"/>
          <w:b w:val="0"/>
          <w:bCs/>
          <w:color w:val="auto"/>
          <w:highlight w:val="none"/>
          <w:lang w:val="en-US" w:eastAsia="zh-CN"/>
        </w:rPr>
        <w:t>的，</w:t>
      </w:r>
      <w:r>
        <w:rPr>
          <w:rFonts w:hint="eastAsia" w:cs="Times New Roman"/>
          <w:b w:val="0"/>
          <w:bCs/>
          <w:color w:val="auto"/>
          <w:highlight w:val="none"/>
          <w:lang w:val="en-US" w:eastAsia="zh-CN"/>
        </w:rPr>
        <w:t>平台</w:t>
      </w:r>
      <w:r>
        <w:rPr>
          <w:rFonts w:hint="eastAsia" w:ascii="宋体" w:hAnsi="Courier New" w:eastAsia="宋体" w:cs="Times New Roman"/>
          <w:b w:val="0"/>
          <w:bCs/>
          <w:color w:val="auto"/>
          <w:highlight w:val="none"/>
          <w:lang w:val="en-US" w:eastAsia="zh-CN"/>
        </w:rPr>
        <w:t>自动关闭上传入口，视为放弃应标。</w:t>
      </w:r>
      <w:r>
        <w:rPr>
          <w:rFonts w:hint="eastAsia" w:ascii="宋体" w:hAnsi="Courier New" w:eastAsia="宋体" w:cs="Times New Roman"/>
          <w:b w:val="0"/>
          <w:bCs/>
          <w:color w:val="auto"/>
          <w:highlight w:val="none"/>
          <w:lang w:val="en-US" w:eastAsia="zh-CN"/>
        </w:rPr>
        <w:fldChar w:fldCharType="end"/>
      </w:r>
    </w:p>
    <w:p w14:paraId="430BD106">
      <w:pPr>
        <w:pStyle w:val="76"/>
        <w:numPr>
          <w:ilvl w:val="0"/>
          <w:numId w:val="21"/>
        </w:numPr>
        <w:ind w:left="425" w:hanging="425"/>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联系人及联系方式：</w:t>
      </w: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王国栋、曲尧</w:t>
      </w:r>
      <w:r>
        <w:rPr>
          <w:rFonts w:hint="eastAsia" w:cs="Times New Roman"/>
          <w:i w:val="0"/>
          <w:iCs w:val="0"/>
          <w:caps w:val="0"/>
          <w:color w:val="auto"/>
          <w:spacing w:val="0"/>
          <w:kern w:val="2"/>
          <w:sz w:val="21"/>
          <w:szCs w:val="20"/>
          <w:highlight w:val="none"/>
          <w:shd w:val="clear"/>
          <w:vertAlign w:val="baseline"/>
          <w:lang w:val="en-US" w:eastAsia="zh-CN" w:bidi="ar"/>
        </w:rPr>
        <w:t>（</w:t>
      </w:r>
      <w:r>
        <w:rPr>
          <w:rFonts w:hint="eastAsia" w:ascii="宋体" w:hAnsi="Courier New" w:eastAsia="宋体" w:cs="Times New Roman"/>
          <w:i w:val="0"/>
          <w:iCs w:val="0"/>
          <w:caps w:val="0"/>
          <w:color w:val="auto"/>
          <w:spacing w:val="0"/>
          <w:kern w:val="2"/>
          <w:sz w:val="21"/>
          <w:szCs w:val="20"/>
          <w:highlight w:val="none"/>
          <w:shd w:val="clear"/>
          <w:vertAlign w:val="baseline"/>
          <w:lang w:val="en-US" w:eastAsia="zh-CN" w:bidi="ar"/>
        </w:rPr>
        <w:t>0531-58066535、0531-58066537</w:t>
      </w:r>
      <w:r>
        <w:rPr>
          <w:rFonts w:hint="eastAsia" w:cs="Times New Roman"/>
          <w:i w:val="0"/>
          <w:iCs w:val="0"/>
          <w:caps w:val="0"/>
          <w:color w:val="auto"/>
          <w:spacing w:val="0"/>
          <w:kern w:val="2"/>
          <w:sz w:val="21"/>
          <w:szCs w:val="20"/>
          <w:highlight w:val="none"/>
          <w:shd w:val="clear"/>
          <w:vertAlign w:val="baseline"/>
          <w:lang w:val="en-US" w:eastAsia="zh-CN" w:bidi="ar"/>
        </w:rPr>
        <w:t>）</w:t>
      </w:r>
    </w:p>
    <w:p w14:paraId="4AAA3F9B">
      <w:pPr>
        <w:pStyle w:val="76"/>
        <w:numPr>
          <w:ilvl w:val="0"/>
          <w:numId w:val="21"/>
        </w:numPr>
        <w:ind w:left="425" w:leftChars="0" w:hanging="425" w:firstLineChars="0"/>
        <w:rPr>
          <w:rFonts w:hint="eastAsia" w:ascii="宋体" w:hAnsi="Courier New" w:eastAsia="宋体" w:cs="Times New Roman"/>
          <w:b w:val="0"/>
          <w:bCs/>
          <w:color w:val="auto"/>
          <w:highlight w:val="none"/>
          <w:lang w:val="en-US" w:eastAsia="zh-CN"/>
        </w:rPr>
      </w:pPr>
      <w:r>
        <w:rPr>
          <w:rFonts w:hint="eastAsia" w:ascii="宋体" w:hAnsi="Courier New" w:eastAsia="宋体" w:cs="Times New Roman"/>
          <w:b w:val="0"/>
          <w:bCs/>
          <w:color w:val="auto"/>
          <w:highlight w:val="none"/>
          <w:lang w:val="en-US" w:eastAsia="zh-CN"/>
        </w:rPr>
        <w:t>投标文件递交截止时间：20</w:t>
      </w:r>
      <w:r>
        <w:rPr>
          <w:rFonts w:hint="eastAsia" w:cs="Times New Roman"/>
          <w:b w:val="0"/>
          <w:bCs/>
          <w:color w:val="auto"/>
          <w:highlight w:val="none"/>
          <w:lang w:val="en-US" w:eastAsia="zh-CN"/>
        </w:rPr>
        <w:t>26</w:t>
      </w:r>
      <w:r>
        <w:rPr>
          <w:rFonts w:hint="eastAsia" w:ascii="宋体" w:hAnsi="Courier New" w:eastAsia="宋体" w:cs="Times New Roman"/>
          <w:b w:val="0"/>
          <w:bCs/>
          <w:color w:val="auto"/>
          <w:highlight w:val="none"/>
          <w:lang w:val="en-US" w:eastAsia="zh-CN"/>
        </w:rPr>
        <w:t>年</w:t>
      </w:r>
      <w:r>
        <w:rPr>
          <w:rFonts w:hint="eastAsia" w:cs="Times New Roman"/>
          <w:b w:val="0"/>
          <w:bCs/>
          <w:color w:val="auto"/>
          <w:highlight w:val="none"/>
          <w:lang w:val="en-US" w:eastAsia="zh-CN"/>
        </w:rPr>
        <w:t>6</w:t>
      </w:r>
      <w:r>
        <w:rPr>
          <w:rFonts w:hint="eastAsia" w:ascii="宋体" w:hAnsi="Courier New" w:eastAsia="宋体" w:cs="Times New Roman"/>
          <w:b w:val="0"/>
          <w:bCs/>
          <w:color w:val="auto"/>
          <w:highlight w:val="none"/>
          <w:lang w:val="en-US" w:eastAsia="zh-CN"/>
        </w:rPr>
        <w:t>月</w:t>
      </w:r>
      <w:r>
        <w:rPr>
          <w:rFonts w:hint="eastAsia" w:cs="Times New Roman"/>
          <w:b w:val="0"/>
          <w:bCs/>
          <w:color w:val="auto"/>
          <w:highlight w:val="none"/>
          <w:lang w:val="en-US" w:eastAsia="zh-CN"/>
        </w:rPr>
        <w:t>22</w:t>
      </w:r>
      <w:r>
        <w:rPr>
          <w:rFonts w:hint="eastAsia" w:ascii="宋体" w:hAnsi="Courier New" w:eastAsia="宋体" w:cs="Times New Roman"/>
          <w:b w:val="0"/>
          <w:bCs/>
          <w:color w:val="auto"/>
          <w:highlight w:val="none"/>
          <w:lang w:val="en-US" w:eastAsia="zh-CN"/>
        </w:rPr>
        <w:t>日</w:t>
      </w:r>
      <w:r>
        <w:rPr>
          <w:rFonts w:hint="eastAsia" w:ascii="宋体" w:eastAsia="宋体" w:cs="Times New Roman"/>
          <w:b w:val="0"/>
          <w:bCs/>
          <w:i w:val="0"/>
          <w:iCs w:val="0"/>
          <w:caps w:val="0"/>
          <w:color w:val="auto"/>
          <w:spacing w:val="0"/>
          <w:sz w:val="21"/>
          <w:szCs w:val="20"/>
          <w:highlight w:val="none"/>
          <w:shd w:val="clear"/>
          <w:vertAlign w:val="baseline"/>
          <w:lang w:val="en-US" w:eastAsia="zh-CN"/>
        </w:rPr>
        <w:t xml:space="preserve"> </w:t>
      </w:r>
      <w:r>
        <w:rPr>
          <w:rFonts w:hint="eastAsia" w:cs="Times New Roman"/>
          <w:b w:val="0"/>
          <w:bCs/>
          <w:i w:val="0"/>
          <w:iCs w:val="0"/>
          <w:caps w:val="0"/>
          <w:color w:val="auto"/>
          <w:spacing w:val="0"/>
          <w:sz w:val="21"/>
          <w:szCs w:val="20"/>
          <w:highlight w:val="none"/>
          <w:shd w:val="clear"/>
          <w:vertAlign w:val="baseline"/>
          <w:lang w:val="en-US" w:eastAsia="zh-CN"/>
        </w:rPr>
        <w:t>09</w:t>
      </w:r>
      <w:r>
        <w:rPr>
          <w:rFonts w:hint="eastAsia" w:ascii="宋体" w:eastAsia="宋体" w:cs="Times New Roman"/>
          <w:b w:val="0"/>
          <w:bCs/>
          <w:i w:val="0"/>
          <w:iCs w:val="0"/>
          <w:caps w:val="0"/>
          <w:color w:val="auto"/>
          <w:spacing w:val="0"/>
          <w:sz w:val="21"/>
          <w:szCs w:val="20"/>
          <w:highlight w:val="none"/>
          <w:shd w:val="clear"/>
          <w:vertAlign w:val="baseline"/>
          <w:lang w:val="en-US" w:eastAsia="zh-CN"/>
        </w:rPr>
        <w:t>:00</w:t>
      </w:r>
    </w:p>
    <w:p w14:paraId="0C17CF21">
      <w:pPr>
        <w:pStyle w:val="76"/>
        <w:numPr>
          <w:ilvl w:val="0"/>
          <w:numId w:val="21"/>
        </w:numPr>
        <w:ind w:left="0" w:leftChars="0" w:firstLine="0" w:firstLineChars="0"/>
        <w:rPr>
          <w:rFonts w:hint="default" w:ascii="宋体" w:hAnsi="Courier New" w:eastAsia="宋体" w:cs="Times New Roman"/>
          <w:b w:val="0"/>
          <w:bCs/>
          <w:color w:val="auto"/>
          <w:highlight w:val="none"/>
          <w:lang w:val="en-US" w:eastAsia="zh-CN"/>
        </w:rPr>
      </w:pPr>
      <w:r>
        <w:rPr>
          <w:rFonts w:hint="eastAsia" w:cs="Times New Roman"/>
          <w:b w:val="0"/>
          <w:bCs/>
          <w:color w:val="auto"/>
          <w:highlight w:val="none"/>
          <w:lang w:val="en-US" w:eastAsia="zh-CN"/>
        </w:rPr>
        <w:t>本次投标文件除上传至中国重汽e采通平台外，还需准备纸质文件，资质标、技术标及商务标分别封存，正本1份，副本3份，同时现场讲标文件还需存储在U盘中一并装入标书密封袋，随投标材料一并提供。</w:t>
      </w:r>
    </w:p>
    <w:p w14:paraId="25974AAC">
      <w:pPr>
        <w:pStyle w:val="73"/>
        <w:rPr>
          <w:rFonts w:hint="eastAsia" w:hAnsi="Courier New" w:cs="Times New Roman"/>
          <w:color w:val="auto"/>
          <w:highlight w:val="none"/>
        </w:rPr>
      </w:pPr>
      <w:bookmarkStart w:id="18" w:name="_Toc47976601"/>
      <w:r>
        <w:rPr>
          <w:rFonts w:hint="eastAsia" w:hAnsi="Courier New" w:cs="Times New Roman"/>
          <w:color w:val="auto"/>
          <w:highlight w:val="none"/>
        </w:rPr>
        <w:t>投标保证金</w:t>
      </w:r>
      <w:r>
        <w:rPr>
          <w:rFonts w:hint="eastAsia" w:hAnsi="Courier New" w:cs="Times New Roman"/>
          <w:color w:val="auto"/>
          <w:highlight w:val="none"/>
          <w:lang w:val="en-US" w:eastAsia="zh-CN"/>
        </w:rPr>
        <w:t>收取</w:t>
      </w:r>
      <w:r>
        <w:rPr>
          <w:rFonts w:hint="eastAsia" w:hAnsi="Courier New" w:cs="Times New Roman"/>
          <w:color w:val="auto"/>
          <w:highlight w:val="none"/>
          <w:lang w:eastAsia="zh-CN"/>
        </w:rPr>
        <w:t>、</w:t>
      </w:r>
      <w:r>
        <w:rPr>
          <w:rFonts w:hint="eastAsia" w:hAnsi="Courier New" w:cs="Times New Roman"/>
          <w:color w:val="auto"/>
          <w:highlight w:val="none"/>
          <w:lang w:val="en-US" w:eastAsia="zh-CN"/>
        </w:rPr>
        <w:t>缴纳</w:t>
      </w:r>
      <w:r>
        <w:rPr>
          <w:rFonts w:hint="eastAsia" w:hAnsi="Courier New" w:cs="Times New Roman"/>
          <w:color w:val="auto"/>
          <w:highlight w:val="none"/>
        </w:rPr>
        <w:t>有效期</w:t>
      </w:r>
      <w:r>
        <w:rPr>
          <w:rFonts w:hint="eastAsia" w:hAnsi="Courier New" w:cs="Times New Roman"/>
          <w:color w:val="auto"/>
          <w:highlight w:val="none"/>
          <w:lang w:val="en-US" w:eastAsia="zh-CN"/>
        </w:rPr>
        <w:t>及罚没</w:t>
      </w:r>
    </w:p>
    <w:p w14:paraId="071E67B8">
      <w:pPr>
        <w:pStyle w:val="73"/>
        <w:numPr>
          <w:ilvl w:val="0"/>
          <w:numId w:val="22"/>
        </w:numPr>
        <w:ind w:left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投标保证金的缴纳</w:t>
      </w:r>
    </w:p>
    <w:p w14:paraId="021ADBC0">
      <w:pPr>
        <w:pStyle w:val="73"/>
        <w:numPr>
          <w:ilvl w:val="0"/>
          <w:numId w:val="23"/>
        </w:numPr>
        <w:ind w:left="425" w:leftChars="0" w:hanging="425" w:firstLineChars="0"/>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w:t>
      </w:r>
      <w:r>
        <w:rPr>
          <w:rFonts w:hint="eastAsia" w:ascii="宋体" w:hAnsi="宋体" w:eastAsia="宋体" w:cs="宋体"/>
          <w:b w:val="0"/>
          <w:bCs w:val="0"/>
          <w:color w:val="auto"/>
          <w:sz w:val="21"/>
          <w:szCs w:val="21"/>
          <w:highlight w:val="none"/>
          <w:lang w:val="en-US" w:eastAsia="zh-CN"/>
        </w:rPr>
        <w:t>的缴纳</w:t>
      </w:r>
      <w:r>
        <w:rPr>
          <w:rFonts w:hint="eastAsia" w:ascii="宋体" w:hAnsi="宋体" w:eastAsia="宋体" w:cs="宋体"/>
          <w:b w:val="0"/>
          <w:bCs w:val="0"/>
          <w:color w:val="auto"/>
          <w:sz w:val="21"/>
          <w:szCs w:val="21"/>
          <w:highlight w:val="none"/>
        </w:rPr>
        <w:t>形式：</w:t>
      </w:r>
      <w:r>
        <w:rPr>
          <w:rFonts w:hint="eastAsia" w:ascii="宋体" w:hAnsi="宋体" w:eastAsia="宋体" w:cs="宋体"/>
          <w:b w:val="0"/>
          <w:bCs w:val="0"/>
          <w:color w:val="auto"/>
          <w:sz w:val="21"/>
          <w:szCs w:val="21"/>
          <w:highlight w:val="none"/>
          <w:lang w:val="en-US" w:eastAsia="zh-CN"/>
        </w:rPr>
        <w:t>电汇或网银(需从投标人基本账户中转出)</w:t>
      </w:r>
      <w:r>
        <w:rPr>
          <w:rFonts w:hint="eastAsia" w:ascii="宋体" w:hAnsi="宋体" w:eastAsia="宋体" w:cs="宋体"/>
          <w:b w:val="0"/>
          <w:bCs w:val="0"/>
          <w:color w:val="auto"/>
          <w:sz w:val="21"/>
          <w:szCs w:val="21"/>
          <w:highlight w:val="none"/>
          <w:u w:val="none"/>
          <w:lang w:val="en-US" w:eastAsia="zh-CN"/>
        </w:rPr>
        <w:t>；</w:t>
      </w:r>
    </w:p>
    <w:p w14:paraId="0C107E39">
      <w:pPr>
        <w:pStyle w:val="73"/>
        <w:numPr>
          <w:ilvl w:val="0"/>
          <w:numId w:val="23"/>
        </w:numPr>
        <w:ind w:left="425" w:leftChars="0" w:hanging="425" w:firstLine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none"/>
          <w:u w:val="single"/>
          <w:lang w:val="en-US" w:eastAsia="zh-CN"/>
        </w:rPr>
        <w:t>10000</w:t>
      </w:r>
      <w:r>
        <w:rPr>
          <w:rFonts w:hint="eastAsia" w:ascii="宋体" w:hAnsi="宋体" w:eastAsia="宋体" w:cs="宋体"/>
          <w:b w:val="0"/>
          <w:bCs w:val="0"/>
          <w:color w:val="auto"/>
          <w:sz w:val="21"/>
          <w:szCs w:val="21"/>
          <w:highlight w:val="none"/>
        </w:rPr>
        <w:t>元</w:t>
      </w:r>
    </w:p>
    <w:p w14:paraId="67BFA8B0">
      <w:pPr>
        <w:pStyle w:val="73"/>
        <w:numPr>
          <w:ilvl w:val="0"/>
          <w:numId w:val="23"/>
        </w:numPr>
        <w:ind w:left="425" w:hanging="425"/>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投标保证金收款账户信息：</w:t>
      </w:r>
    </w:p>
    <w:p w14:paraId="38A934F5">
      <w:pPr>
        <w:numPr>
          <w:ilvl w:val="-1"/>
          <w:numId w:val="0"/>
        </w:numPr>
        <w:tabs>
          <w:tab w:val="left" w:pos="556"/>
          <w:tab w:val="left" w:pos="612"/>
        </w:tabs>
        <w:spacing w:line="360" w:lineRule="auto"/>
        <w:ind w:left="-11" w:firstLine="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户名：重汽汽车金融有限公司</w:t>
      </w:r>
    </w:p>
    <w:p w14:paraId="6D6510AD">
      <w:pPr>
        <w:numPr>
          <w:ilvl w:val="-1"/>
          <w:numId w:val="0"/>
        </w:numPr>
        <w:tabs>
          <w:tab w:val="left" w:pos="556"/>
          <w:tab w:val="left" w:pos="612"/>
        </w:tabs>
        <w:spacing w:line="360" w:lineRule="auto"/>
        <w:ind w:left="-11" w:firstLine="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账号：8112501412100610655</w:t>
      </w:r>
    </w:p>
    <w:p w14:paraId="4D9A8A0B">
      <w:pPr>
        <w:numPr>
          <w:ilvl w:val="-1"/>
          <w:numId w:val="0"/>
        </w:numPr>
        <w:tabs>
          <w:tab w:val="left" w:pos="556"/>
          <w:tab w:val="left" w:pos="612"/>
        </w:tabs>
        <w:spacing w:line="360" w:lineRule="auto"/>
        <w:ind w:left="-11" w:firstLine="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开户行：中信银行济南舜耕支行</w:t>
      </w:r>
    </w:p>
    <w:p w14:paraId="376A6CA4">
      <w:pPr>
        <w:numPr>
          <w:ilvl w:val="-1"/>
          <w:numId w:val="0"/>
        </w:numPr>
        <w:tabs>
          <w:tab w:val="left" w:pos="556"/>
          <w:tab w:val="left" w:pos="612"/>
        </w:tabs>
        <w:spacing w:line="360" w:lineRule="auto"/>
        <w:ind w:left="-11" w:firstLine="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联行号：302451037264</w:t>
      </w:r>
    </w:p>
    <w:p w14:paraId="4BC95925">
      <w:pPr>
        <w:numPr>
          <w:ilvl w:val="-1"/>
          <w:numId w:val="0"/>
        </w:numPr>
        <w:tabs>
          <w:tab w:val="left" w:pos="556"/>
          <w:tab w:val="left" w:pos="612"/>
        </w:tabs>
        <w:ind w:left="-11"/>
        <w:rPr>
          <w:rFonts w:hint="eastAsia" w:ascii="宋体" w:hAnsi="宋体" w:eastAsia="宋体" w:cs="宋体"/>
          <w:b w:val="0"/>
          <w:bCs w:val="0"/>
          <w:color w:val="auto"/>
          <w:sz w:val="21"/>
          <w:szCs w:val="21"/>
          <w:highlight w:val="none"/>
          <w:u w:val="single"/>
          <w:lang w:val="en-US" w:eastAsia="zh-CN"/>
        </w:rPr>
      </w:pPr>
      <w:r>
        <w:rPr>
          <w:rFonts w:hint="eastAsia" w:ascii="宋体" w:hAnsi="宋体" w:eastAsia="宋体" w:cs="宋体"/>
          <w:color w:val="auto"/>
          <w:sz w:val="21"/>
          <w:szCs w:val="21"/>
          <w:highlight w:val="none"/>
          <w:lang w:val="en-US" w:eastAsia="zh-CN"/>
        </w:rPr>
        <w:t>(4)汇款备注信息：</w:t>
      </w:r>
      <w:r>
        <w:rPr>
          <w:rFonts w:hint="eastAsia" w:ascii="宋体" w:hAnsi="宋体" w:eastAsia="宋体" w:cs="宋体"/>
          <w:color w:val="auto"/>
          <w:sz w:val="21"/>
          <w:szCs w:val="21"/>
          <w:highlight w:val="none"/>
          <w:lang w:eastAsia="zh-CN"/>
        </w:rPr>
        <w:t>投标保证金—</w:t>
      </w:r>
      <w:r>
        <w:rPr>
          <w:rFonts w:hint="eastAsia" w:ascii="宋体" w:hAnsi="宋体" w:eastAsia="宋体" w:cs="宋体"/>
          <w:color w:val="auto"/>
          <w:sz w:val="21"/>
          <w:szCs w:val="21"/>
          <w:highlight w:val="none"/>
          <w:lang w:val="en-US" w:eastAsia="zh-CN"/>
        </w:rPr>
        <w:t>重汽汽金催收合作-</w:t>
      </w:r>
      <w:r>
        <w:rPr>
          <w:rFonts w:hint="eastAsia" w:ascii="宋体" w:hAnsi="宋体" w:eastAsia="宋体" w:cs="宋体"/>
          <w:color w:val="auto"/>
          <w:sz w:val="21"/>
          <w:szCs w:val="21"/>
          <w:highlight w:val="none"/>
          <w:lang w:eastAsia="zh-CN"/>
        </w:rPr>
        <w:t>五个字以内公司简称</w:t>
      </w:r>
    </w:p>
    <w:p w14:paraId="0F466A06">
      <w:pPr>
        <w:pStyle w:val="73"/>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u w:val="none"/>
          <w:lang w:val="en-US" w:eastAsia="zh-CN"/>
        </w:rPr>
        <w:t>2</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b w:val="0"/>
          <w:bCs w:val="0"/>
          <w:color w:val="auto"/>
          <w:sz w:val="21"/>
          <w:szCs w:val="21"/>
          <w:highlight w:val="none"/>
        </w:rPr>
        <w:t>保证金缴纳截止时间：</w:t>
      </w:r>
      <w:r>
        <w:rPr>
          <w:rFonts w:hint="eastAsia" w:ascii="宋体" w:hAnsi="宋体" w:eastAsia="宋体" w:cs="宋体"/>
          <w:b w:val="0"/>
          <w:bCs w:val="0"/>
          <w:color w:val="auto"/>
          <w:sz w:val="21"/>
          <w:szCs w:val="21"/>
          <w:highlight w:val="none"/>
          <w:lang w:val="en-US" w:eastAsia="zh-CN"/>
        </w:rPr>
        <w:t>2026年6月22日 09:00</w:t>
      </w:r>
    </w:p>
    <w:p w14:paraId="651D414D">
      <w:pPr>
        <w:pStyle w:val="73"/>
        <w:numPr>
          <w:ilvl w:val="0"/>
          <w:numId w:val="0"/>
        </w:numPr>
        <w:ind w:leftChars="0"/>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对于没有中标的</w:t>
      </w:r>
      <w:r>
        <w:rPr>
          <w:rFonts w:hint="eastAsia" w:ascii="宋体" w:hAnsi="宋体" w:eastAsia="宋体" w:cs="宋体"/>
          <w:b w:val="0"/>
          <w:bCs w:val="0"/>
          <w:color w:val="auto"/>
          <w:sz w:val="21"/>
          <w:szCs w:val="21"/>
          <w:highlight w:val="none"/>
          <w:lang w:eastAsia="zh-CN"/>
        </w:rPr>
        <w:t>投标人</w:t>
      </w:r>
      <w:r>
        <w:rPr>
          <w:rFonts w:hint="eastAsia" w:ascii="宋体" w:hAnsi="宋体" w:eastAsia="宋体" w:cs="宋体"/>
          <w:b w:val="0"/>
          <w:bCs w:val="0"/>
          <w:color w:val="auto"/>
          <w:sz w:val="21"/>
          <w:szCs w:val="21"/>
          <w:highlight w:val="none"/>
        </w:rPr>
        <w:t>，投标保证金将于招标人内部完成中标人评审并确认最终中标人后在</w:t>
      </w:r>
      <w:r>
        <w:rPr>
          <w:rFonts w:hint="eastAsia" w:ascii="宋体" w:hAnsi="宋体" w:eastAsia="宋体" w:cs="宋体"/>
          <w:b w:val="0"/>
          <w:bCs w:val="0"/>
          <w:color w:val="auto"/>
          <w:sz w:val="21"/>
          <w:szCs w:val="21"/>
          <w:highlight w:val="none"/>
          <w:u w:val="single"/>
          <w:lang w:val="en-US" w:eastAsia="zh-CN"/>
        </w:rPr>
        <w:t>30</w:t>
      </w:r>
      <w:r>
        <w:rPr>
          <w:rFonts w:hint="eastAsia" w:ascii="宋体" w:hAnsi="宋体" w:eastAsia="宋体" w:cs="宋体"/>
          <w:b w:val="0"/>
          <w:bCs w:val="0"/>
          <w:color w:val="auto"/>
          <w:sz w:val="21"/>
          <w:szCs w:val="21"/>
          <w:highlight w:val="none"/>
        </w:rPr>
        <w:t>工作日内予以原路返还（无息）；对于中标方，投标保证金将在签订合同后</w:t>
      </w:r>
      <w:r>
        <w:rPr>
          <w:rFonts w:hint="eastAsia" w:ascii="宋体" w:hAnsi="宋体" w:eastAsia="宋体" w:cs="宋体"/>
          <w:b w:val="0"/>
          <w:bCs w:val="0"/>
          <w:color w:val="auto"/>
          <w:sz w:val="21"/>
          <w:szCs w:val="21"/>
          <w:highlight w:val="none"/>
          <w:u w:val="single"/>
          <w:lang w:val="en-US" w:eastAsia="zh-CN"/>
        </w:rPr>
        <w:t>30</w:t>
      </w:r>
      <w:r>
        <w:rPr>
          <w:rFonts w:hint="eastAsia" w:ascii="宋体" w:hAnsi="宋体" w:eastAsia="宋体" w:cs="宋体"/>
          <w:b w:val="0"/>
          <w:bCs w:val="0"/>
          <w:color w:val="auto"/>
          <w:sz w:val="21"/>
          <w:szCs w:val="21"/>
          <w:highlight w:val="none"/>
          <w:lang w:val="en-US" w:eastAsia="zh-CN"/>
        </w:rPr>
        <w:t>个</w:t>
      </w:r>
      <w:r>
        <w:rPr>
          <w:rFonts w:hint="eastAsia" w:ascii="宋体" w:hAnsi="宋体" w:eastAsia="宋体" w:cs="宋体"/>
          <w:b w:val="0"/>
          <w:bCs w:val="0"/>
          <w:color w:val="auto"/>
          <w:sz w:val="21"/>
          <w:szCs w:val="21"/>
          <w:highlight w:val="none"/>
        </w:rPr>
        <w:t>工作日内原路返还（无息）。</w:t>
      </w:r>
    </w:p>
    <w:p w14:paraId="271EC8CF">
      <w:pPr>
        <w:pStyle w:val="73"/>
        <w:numPr>
          <w:ilvl w:val="0"/>
          <w:numId w:val="0"/>
        </w:numPr>
        <w:ind w:leftChars="0"/>
        <w:rPr>
          <w:rFonts w:hint="eastAsia" w:ascii="宋体" w:hAnsi="宋体" w:eastAsia="仿宋_GB2312" w:cs="宋体"/>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lang w:val="en-US" w:eastAsia="zh-CN"/>
        </w:rPr>
        <w:t>3.</w:t>
      </w:r>
      <w:r>
        <w:rPr>
          <w:rFonts w:hint="eastAsia" w:ascii="宋体" w:hAnsi="宋体" w:eastAsia="宋体" w:cs="宋体"/>
          <w:b w:val="0"/>
          <w:bCs w:val="0"/>
          <w:color w:val="auto"/>
          <w:sz w:val="21"/>
          <w:szCs w:val="21"/>
          <w:highlight w:val="none"/>
        </w:rPr>
        <w:t>发生以下情况时，有权没收保证金：</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①供应商在提交响应文件截止时间后撤回响应文件的；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②供应商在响应文件中提供虚假材料的；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③除因不可抗力或谈判文件、询价通知书认可的情形以外，成交供应商不与采购人签订合同的；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④供应商与采购人、其他供应商或者采购代理机构恶意串通、围标、陪标的；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⑦自中标通知书发出之日起30日内，中标人无正当理由投标人无正当签订合同的；</w:t>
      </w:r>
      <w:r>
        <w:rPr>
          <w:rFonts w:hint="eastAsia" w:ascii="宋体" w:hAnsi="宋体" w:eastAsia="宋体" w:cs="宋体"/>
          <w:b w:val="0"/>
          <w:bCs w:val="0"/>
          <w:color w:val="auto"/>
          <w:sz w:val="21"/>
          <w:szCs w:val="21"/>
          <w:highlight w:val="none"/>
        </w:rPr>
        <w:br w:type="textWrapping"/>
      </w:r>
      <w:r>
        <w:rPr>
          <w:rFonts w:hint="eastAsia" w:ascii="宋体" w:hAnsi="宋体" w:eastAsia="宋体" w:cs="宋体"/>
          <w:b w:val="0"/>
          <w:bCs w:val="0"/>
          <w:color w:val="auto"/>
          <w:sz w:val="21"/>
          <w:szCs w:val="21"/>
          <w:highlight w:val="none"/>
        </w:rPr>
        <w:t>⑧采购文件规定的其他情形</w:t>
      </w:r>
      <w:r>
        <w:rPr>
          <w:rFonts w:hint="eastAsia" w:ascii="宋体" w:hAnsi="宋体" w:eastAsia="宋体" w:cs="宋体"/>
          <w:b w:val="0"/>
          <w:bCs w:val="0"/>
          <w:color w:val="auto"/>
          <w:sz w:val="21"/>
          <w:szCs w:val="21"/>
          <w:highlight w:val="none"/>
          <w:lang w:eastAsia="zh-CN"/>
        </w:rPr>
        <w:t>。</w:t>
      </w:r>
    </w:p>
    <w:bookmarkEnd w:id="18"/>
    <w:p w14:paraId="368B6990">
      <w:pPr>
        <w:pStyle w:val="73"/>
        <w:rPr>
          <w:color w:val="auto"/>
          <w:highlight w:val="none"/>
        </w:rPr>
      </w:pPr>
      <w:r>
        <w:rPr>
          <w:rFonts w:hint="eastAsia"/>
          <w:color w:val="auto"/>
          <w:highlight w:val="none"/>
          <w:lang w:val="en-US" w:eastAsia="zh-CN"/>
        </w:rPr>
        <w:t>开评标</w:t>
      </w:r>
    </w:p>
    <w:p w14:paraId="44DD26EB">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开标时间：暂定2026年6月22日 10:00，若有变动另行通知。</w:t>
      </w:r>
    </w:p>
    <w:p w14:paraId="06F7B67A">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开标地点：山东省济南市华奥路777号重汽科技大厦</w:t>
      </w:r>
    </w:p>
    <w:p w14:paraId="420F0E0C">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开标方式：</w:t>
      </w:r>
    </w:p>
    <w:p w14:paraId="4DCBC48A">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auto"/>
          <w:sz w:val="21"/>
          <w:szCs w:val="21"/>
          <w:highlight w:val="none"/>
        </w:rPr>
      </w:pPr>
      <w:r>
        <w:rPr>
          <w:rFonts w:hint="eastAsia" w:ascii="宋体" w:hAnsi="Courier New" w:eastAsia="宋体" w:cs="Times New Roman"/>
          <w:b w:val="0"/>
          <w:bCs/>
          <w:color w:val="auto"/>
          <w:kern w:val="2"/>
          <w:sz w:val="21"/>
          <w:highlight w:val="none"/>
          <w:lang w:val="en-US" w:eastAsia="zh-CN" w:bidi="ar-SA"/>
        </w:rPr>
        <w:t>现场招</w:t>
      </w:r>
      <w:r>
        <w:rPr>
          <w:rFonts w:hint="eastAsia" w:ascii="宋体" w:hAnsi="宋体" w:eastAsia="宋体" w:cs="宋体"/>
          <w:b w:val="0"/>
          <w:bCs w:val="0"/>
          <w:color w:val="auto"/>
          <w:sz w:val="21"/>
          <w:szCs w:val="21"/>
          <w:highlight w:val="none"/>
          <w:lang w:val="en-US" w:eastAsia="zh-CN"/>
        </w:rPr>
        <w:t>标：</w:t>
      </w:r>
      <w:r>
        <w:rPr>
          <w:rFonts w:hint="eastAsia" w:ascii="宋体" w:hAnsi="宋体" w:eastAsia="宋体" w:cs="宋体"/>
          <w:color w:val="auto"/>
          <w:sz w:val="21"/>
          <w:szCs w:val="21"/>
          <w:highlight w:val="none"/>
        </w:rPr>
        <w:t>现场参与开标。</w:t>
      </w:r>
    </w:p>
    <w:p w14:paraId="2C652027">
      <w:pPr>
        <w:pStyle w:val="73"/>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w:t>
      </w:r>
    </w:p>
    <w:p w14:paraId="6136E50F">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评标方法</w:t>
      </w:r>
    </w:p>
    <w:p w14:paraId="649C28C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color w:val="auto"/>
          <w:highlight w:val="none"/>
          <w:lang w:val="en-US" w:eastAsia="zh-CN"/>
        </w:rPr>
      </w:pPr>
      <w:r>
        <w:rPr>
          <w:rFonts w:hint="eastAsia" w:cs="Times New Roman"/>
          <w:b w:val="0"/>
          <w:bCs/>
          <w:color w:val="auto"/>
          <w:highlight w:val="none"/>
          <w:lang w:val="en-US" w:eastAsia="zh-CN"/>
        </w:rPr>
        <w:t>评标方法（合理最低价中标）</w:t>
      </w:r>
    </w:p>
    <w:p w14:paraId="2509BD7C">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w:t>
      </w:r>
    </w:p>
    <w:p w14:paraId="0B2A8F6D">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auto"/>
          <w:sz w:val="21"/>
          <w:szCs w:val="21"/>
          <w:highlight w:val="none"/>
        </w:rPr>
      </w:pPr>
      <w:r>
        <w:rPr>
          <w:rFonts w:hint="eastAsia" w:ascii="宋体" w:hAnsi="宋体" w:eastAsia="宋体" w:cs="宋体"/>
          <w:b/>
          <w:color w:val="auto"/>
          <w:sz w:val="21"/>
          <w:szCs w:val="21"/>
          <w:highlight w:val="none"/>
        </w:rPr>
        <w:t>应标资格审查：在“中国重汽e采通”应标报名时，</w:t>
      </w:r>
      <w:r>
        <w:rPr>
          <w:rFonts w:hint="eastAsia" w:ascii="宋体" w:hAnsi="宋体" w:eastAsia="宋体" w:cs="宋体"/>
          <w:b/>
          <w:bCs/>
          <w:color w:val="auto"/>
          <w:sz w:val="21"/>
          <w:szCs w:val="21"/>
          <w:highlight w:val="none"/>
        </w:rPr>
        <w:t>按照第</w:t>
      </w:r>
      <w:r>
        <w:rPr>
          <w:rFonts w:hint="eastAsia" w:ascii="宋体" w:hAnsi="宋体" w:eastAsia="宋体" w:cs="宋体"/>
          <w:b/>
          <w:bCs/>
          <w:color w:val="auto"/>
          <w:sz w:val="21"/>
          <w:szCs w:val="21"/>
          <w:highlight w:val="none"/>
          <w:lang w:val="en-US" w:eastAsia="zh-CN"/>
        </w:rPr>
        <w:t>一</w:t>
      </w:r>
      <w:r>
        <w:rPr>
          <w:rFonts w:hint="eastAsia" w:ascii="宋体" w:hAnsi="宋体" w:eastAsia="宋体" w:cs="宋体"/>
          <w:b/>
          <w:bCs/>
          <w:color w:val="auto"/>
          <w:sz w:val="21"/>
          <w:szCs w:val="21"/>
          <w:highlight w:val="none"/>
        </w:rPr>
        <w:t>部分第</w:t>
      </w:r>
      <w:r>
        <w:rPr>
          <w:rFonts w:hint="eastAsia" w:ascii="宋体" w:hAnsi="宋体" w:eastAsia="宋体" w:cs="宋体"/>
          <w:b/>
          <w:bCs/>
          <w:color w:val="auto"/>
          <w:sz w:val="21"/>
          <w:szCs w:val="21"/>
          <w:highlight w:val="none"/>
          <w:lang w:val="en-US" w:eastAsia="zh-CN"/>
        </w:rPr>
        <w:t>四</w:t>
      </w:r>
      <w:r>
        <w:rPr>
          <w:rFonts w:hint="eastAsia" w:ascii="宋体" w:hAnsi="宋体" w:eastAsia="宋体" w:cs="宋体"/>
          <w:b/>
          <w:bCs/>
          <w:color w:val="auto"/>
          <w:sz w:val="21"/>
          <w:szCs w:val="21"/>
          <w:highlight w:val="none"/>
        </w:rPr>
        <w:t>条投标文件</w:t>
      </w:r>
      <w:r>
        <w:rPr>
          <w:rFonts w:hint="eastAsia" w:ascii="宋体" w:hAnsi="宋体" w:eastAsia="宋体" w:cs="宋体"/>
          <w:b/>
          <w:bCs/>
          <w:color w:val="auto"/>
          <w:sz w:val="21"/>
          <w:szCs w:val="21"/>
          <w:highlight w:val="none"/>
          <w:lang w:val="en-US" w:eastAsia="zh-CN"/>
        </w:rPr>
        <w:t>编制</w:t>
      </w:r>
      <w:r>
        <w:rPr>
          <w:rFonts w:hint="eastAsia" w:ascii="宋体" w:hAnsi="宋体" w:eastAsia="宋体" w:cs="宋体"/>
          <w:b/>
          <w:bCs/>
          <w:color w:val="auto"/>
          <w:sz w:val="21"/>
          <w:szCs w:val="21"/>
          <w:highlight w:val="none"/>
        </w:rPr>
        <w:t>资格证明文件中的1.1-1.1</w:t>
      </w:r>
      <w:r>
        <w:rPr>
          <w:rFonts w:hint="eastAsia" w:ascii="宋体" w:hAnsi="宋体" w:cs="宋体"/>
          <w:b/>
          <w:bCs/>
          <w:color w:val="auto"/>
          <w:sz w:val="21"/>
          <w:szCs w:val="21"/>
          <w:highlight w:val="none"/>
          <w:lang w:val="en-US" w:eastAsia="zh-CN"/>
        </w:rPr>
        <w:t>0</w:t>
      </w:r>
      <w:r>
        <w:rPr>
          <w:rFonts w:hint="eastAsia" w:ascii="宋体" w:hAnsi="宋体" w:eastAsia="宋体" w:cs="宋体"/>
          <w:b/>
          <w:bCs/>
          <w:color w:val="auto"/>
          <w:sz w:val="21"/>
          <w:szCs w:val="21"/>
          <w:highlight w:val="none"/>
        </w:rPr>
        <w:t>准备资料，上传完毕后，等待审核</w:t>
      </w:r>
      <w:r>
        <w:rPr>
          <w:rFonts w:hint="eastAsia" w:ascii="宋体" w:hAnsi="宋体" w:eastAsia="宋体" w:cs="宋体"/>
          <w:b/>
          <w:color w:val="auto"/>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技术标评审：技术标评标专家组，通过重汽e采通，对各投标人的《投标文件（技术标）》进行综合评审；评审期间产生的技术澄清均由投标人在重汽e采通平台内完成提交；</w:t>
      </w:r>
      <w:r>
        <w:rPr>
          <w:rFonts w:hint="eastAsia" w:ascii="宋体" w:hAnsi="宋体" w:cs="宋体"/>
          <w:b/>
          <w:bCs/>
          <w:color w:val="auto"/>
          <w:sz w:val="21"/>
          <w:szCs w:val="21"/>
          <w:highlight w:val="none"/>
          <w:lang w:val="en-US" w:eastAsia="zh-CN"/>
        </w:rPr>
        <w:t>综合</w:t>
      </w:r>
      <w:r>
        <w:rPr>
          <w:rFonts w:hint="eastAsia" w:ascii="宋体" w:hAnsi="宋体" w:eastAsia="宋体" w:cs="宋体"/>
          <w:b/>
          <w:bCs/>
          <w:color w:val="auto"/>
          <w:sz w:val="21"/>
          <w:szCs w:val="21"/>
          <w:highlight w:val="none"/>
        </w:rPr>
        <w:t>评审</w:t>
      </w:r>
      <w:r>
        <w:rPr>
          <w:rFonts w:hint="eastAsia" w:ascii="宋体" w:hAnsi="宋体" w:cs="宋体"/>
          <w:b/>
          <w:bCs/>
          <w:color w:val="auto"/>
          <w:sz w:val="21"/>
          <w:szCs w:val="21"/>
          <w:highlight w:val="none"/>
          <w:lang w:val="en-US" w:eastAsia="zh-CN"/>
        </w:rPr>
        <w:t>得分70分及以上</w:t>
      </w:r>
      <w:r>
        <w:rPr>
          <w:rFonts w:hint="eastAsia" w:ascii="宋体" w:hAnsi="宋体" w:eastAsia="宋体" w:cs="宋体"/>
          <w:b/>
          <w:bCs/>
          <w:color w:val="auto"/>
          <w:sz w:val="21"/>
          <w:szCs w:val="21"/>
          <w:highlight w:val="none"/>
        </w:rPr>
        <w:t>的单位进入商务标评审环节，</w:t>
      </w:r>
      <w:r>
        <w:rPr>
          <w:rFonts w:hint="eastAsia" w:ascii="宋体" w:hAnsi="宋体" w:cs="宋体"/>
          <w:b/>
          <w:bCs/>
          <w:color w:val="auto"/>
          <w:sz w:val="21"/>
          <w:szCs w:val="21"/>
          <w:highlight w:val="none"/>
          <w:lang w:val="en-US" w:eastAsia="zh-CN"/>
        </w:rPr>
        <w:t>综合</w:t>
      </w:r>
      <w:r>
        <w:rPr>
          <w:rFonts w:hint="eastAsia" w:ascii="宋体" w:hAnsi="宋体" w:eastAsia="宋体" w:cs="宋体"/>
          <w:b/>
          <w:bCs/>
          <w:color w:val="auto"/>
          <w:sz w:val="21"/>
          <w:szCs w:val="21"/>
          <w:highlight w:val="none"/>
        </w:rPr>
        <w:t>评审</w:t>
      </w:r>
      <w:r>
        <w:rPr>
          <w:rFonts w:hint="eastAsia" w:ascii="宋体" w:hAnsi="宋体" w:cs="宋体"/>
          <w:b/>
          <w:bCs/>
          <w:color w:val="auto"/>
          <w:sz w:val="21"/>
          <w:szCs w:val="21"/>
          <w:highlight w:val="none"/>
          <w:lang w:val="en-US" w:eastAsia="zh-CN"/>
        </w:rPr>
        <w:t>得分低于70分</w:t>
      </w:r>
      <w:r>
        <w:rPr>
          <w:rFonts w:hint="eastAsia" w:ascii="宋体" w:hAnsi="宋体" w:eastAsia="宋体" w:cs="宋体"/>
          <w:b/>
          <w:bCs/>
          <w:color w:val="auto"/>
          <w:sz w:val="21"/>
          <w:szCs w:val="21"/>
          <w:highlight w:val="none"/>
        </w:rPr>
        <w:t>的单位被淘汰；具体</w:t>
      </w:r>
      <w:r>
        <w:rPr>
          <w:rFonts w:hint="eastAsia" w:ascii="宋体" w:hAnsi="宋体" w:eastAsia="宋体" w:cs="宋体"/>
          <w:b/>
          <w:bCs/>
          <w:color w:val="auto"/>
          <w:sz w:val="21"/>
          <w:szCs w:val="21"/>
          <w:highlight w:val="none"/>
          <w:lang w:val="en-US" w:eastAsia="zh-CN"/>
        </w:rPr>
        <w:t>评分详见</w:t>
      </w:r>
      <w:r>
        <w:rPr>
          <w:rFonts w:hint="eastAsia" w:ascii="宋体" w:hAnsi="宋体" w:eastAsia="宋体" w:cs="宋体"/>
          <w:b/>
          <w:bCs/>
          <w:color w:val="auto"/>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商务标评审：商务条款相应确认→价格澄清→商务标评审；评审期间产生的商务价格澄清均由投标人在重汽e采通平台限时内完成提交；</w:t>
      </w:r>
    </w:p>
    <w:p w14:paraId="148C0E04">
      <w:pPr>
        <w:pStyle w:val="76"/>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color w:val="auto"/>
          <w:highlight w:val="none"/>
        </w:rPr>
      </w:pPr>
      <w:r>
        <w:rPr>
          <w:rFonts w:hint="eastAsia" w:cs="Times New Roman"/>
          <w:b/>
          <w:bCs w:val="0"/>
          <w:color w:val="auto"/>
          <w:highlight w:val="none"/>
        </w:rPr>
        <w:t>注意：投标人均需要自带笔记本电脑在重汽e采通进行自主投标和提交澄清函；投标和提交澄清函均有时间限制，超时未提交的按无效处理。</w:t>
      </w:r>
    </w:p>
    <w:p w14:paraId="6970A44F">
      <w:pPr>
        <w:pStyle w:val="73"/>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评分标准</w:t>
      </w:r>
    </w:p>
    <w:p w14:paraId="15B1F20F">
      <w:pPr>
        <w:pStyle w:val="12"/>
        <w:numPr>
          <w:ilvl w:val="0"/>
          <w:numId w:val="28"/>
        </w:numPr>
        <w:ind w:left="0" w:firstLine="0"/>
        <w:rPr>
          <w:rFonts w:hint="eastAsia" w:ascii="宋体" w:hAnsi="宋体" w:cs="宋体"/>
          <w:b/>
          <w:bCs/>
          <w:color w:val="auto"/>
          <w:kern w:val="2"/>
          <w:sz w:val="21"/>
          <w:szCs w:val="21"/>
          <w:highlight w:val="none"/>
          <w:lang w:val="en-US" w:eastAsia="zh-CN" w:bidi="ar-SA"/>
        </w:rPr>
      </w:pPr>
      <w:r>
        <w:rPr>
          <w:rFonts w:hint="eastAsia" w:ascii="宋体" w:hAnsi="宋体" w:eastAsia="宋体" w:cs="宋体"/>
          <w:b/>
          <w:bCs/>
          <w:color w:val="auto"/>
          <w:sz w:val="21"/>
          <w:szCs w:val="21"/>
          <w:highlight w:val="none"/>
          <w:lang w:val="en-US" w:eastAsia="zh-CN"/>
        </w:rPr>
        <w:t>采用</w:t>
      </w:r>
      <w:r>
        <w:rPr>
          <w:rFonts w:hint="eastAsia" w:ascii="宋体" w:hAnsi="宋体" w:eastAsia="宋体" w:cs="宋体"/>
          <w:b/>
          <w:bCs/>
          <w:color w:val="auto"/>
          <w:kern w:val="2"/>
          <w:sz w:val="21"/>
          <w:szCs w:val="21"/>
          <w:highlight w:val="none"/>
          <w:lang w:val="en-US" w:eastAsia="zh-CN" w:bidi="ar-SA"/>
        </w:rPr>
        <w:t>合理最低价中标评标方法</w:t>
      </w:r>
      <w:r>
        <w:rPr>
          <w:rFonts w:hint="eastAsia" w:ascii="宋体" w:hAnsi="宋体" w:cs="宋体"/>
          <w:b/>
          <w:bCs/>
          <w:color w:val="auto"/>
          <w:kern w:val="2"/>
          <w:sz w:val="21"/>
          <w:szCs w:val="21"/>
          <w:highlight w:val="none"/>
          <w:lang w:val="en-US" w:eastAsia="zh-CN" w:bidi="ar-SA"/>
        </w:rPr>
        <w:t>；</w:t>
      </w:r>
    </w:p>
    <w:p w14:paraId="71B26A49">
      <w:pPr>
        <w:pStyle w:val="12"/>
        <w:numPr>
          <w:ilvl w:val="0"/>
          <w:numId w:val="28"/>
        </w:numPr>
        <w:ind w:left="0" w:firstLine="0"/>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技术标总分100分</w:t>
      </w:r>
      <w:r>
        <w:rPr>
          <w:rFonts w:hint="eastAsia" w:ascii="宋体" w:hAnsi="宋体" w:cs="宋体"/>
          <w:b/>
          <w:bCs/>
          <w:color w:val="auto"/>
          <w:kern w:val="2"/>
          <w:sz w:val="21"/>
          <w:szCs w:val="21"/>
          <w:highlight w:val="none"/>
          <w:lang w:val="en-US" w:eastAsia="zh-CN" w:bidi="ar-SA"/>
        </w:rPr>
        <w:t>；</w:t>
      </w:r>
    </w:p>
    <w:tbl>
      <w:tblPr>
        <w:tblStyle w:val="31"/>
        <w:tblW w:w="94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9"/>
        <w:gridCol w:w="1427"/>
        <w:gridCol w:w="6095"/>
        <w:gridCol w:w="644"/>
      </w:tblGrid>
      <w:tr w14:paraId="0C311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1289" w:type="dxa"/>
            <w:noWrap w:val="0"/>
            <w:tcMar>
              <w:top w:w="15" w:type="dxa"/>
              <w:left w:w="15" w:type="dxa"/>
              <w:bottom w:w="15" w:type="dxa"/>
              <w:right w:w="15" w:type="dxa"/>
            </w:tcMar>
            <w:vAlign w:val="center"/>
          </w:tcPr>
          <w:p w14:paraId="489F9596">
            <w:pPr>
              <w:widowControl/>
              <w:spacing w:line="360" w:lineRule="auto"/>
              <w:jc w:val="center"/>
              <w:textAlignment w:val="center"/>
              <w:rPr>
                <w:rFonts w:hint="eastAsia" w:ascii="宋体" w:hAnsi="宋体" w:cs="宋体"/>
                <w:b/>
                <w:color w:val="auto"/>
                <w:kern w:val="0"/>
                <w:sz w:val="24"/>
                <w:highlight w:val="none"/>
                <w:lang w:val="en-US" w:eastAsia="zh-CN"/>
              </w:rPr>
            </w:pPr>
            <w:r>
              <w:rPr>
                <w:rFonts w:hint="eastAsia" w:ascii="宋体" w:hAnsi="宋体" w:cs="宋体"/>
                <w:b/>
                <w:color w:val="auto"/>
                <w:kern w:val="0"/>
                <w:sz w:val="24"/>
                <w:highlight w:val="none"/>
                <w:lang w:val="en-US" w:eastAsia="zh-CN"/>
              </w:rPr>
              <w:t>技术标</w:t>
            </w:r>
          </w:p>
          <w:p w14:paraId="0A6A53E4">
            <w:pPr>
              <w:widowControl/>
              <w:spacing w:line="360" w:lineRule="auto"/>
              <w:jc w:val="center"/>
              <w:textAlignment w:val="center"/>
              <w:rPr>
                <w:rFonts w:ascii="宋体" w:hAnsi="宋体" w:cs="宋体"/>
                <w:b/>
                <w:color w:val="auto"/>
                <w:sz w:val="24"/>
                <w:highlight w:val="none"/>
              </w:rPr>
            </w:pPr>
            <w:r>
              <w:rPr>
                <w:rFonts w:hint="eastAsia" w:ascii="宋体" w:hAnsi="宋体" w:cs="宋体"/>
                <w:b/>
                <w:color w:val="auto"/>
                <w:kern w:val="0"/>
                <w:sz w:val="24"/>
                <w:highlight w:val="none"/>
              </w:rPr>
              <w:t>评分项目</w:t>
            </w:r>
          </w:p>
        </w:tc>
        <w:tc>
          <w:tcPr>
            <w:tcW w:w="1427" w:type="dxa"/>
            <w:noWrap w:val="0"/>
            <w:tcMar>
              <w:top w:w="15" w:type="dxa"/>
              <w:left w:w="15" w:type="dxa"/>
              <w:bottom w:w="15" w:type="dxa"/>
              <w:right w:w="15" w:type="dxa"/>
            </w:tcMar>
            <w:vAlign w:val="center"/>
          </w:tcPr>
          <w:p w14:paraId="57998523">
            <w:pPr>
              <w:widowControl/>
              <w:spacing w:line="360" w:lineRule="auto"/>
              <w:jc w:val="center"/>
              <w:textAlignment w:val="center"/>
              <w:rPr>
                <w:rFonts w:ascii="宋体" w:hAnsi="宋体" w:cs="宋体"/>
                <w:b/>
                <w:color w:val="auto"/>
                <w:kern w:val="0"/>
                <w:sz w:val="24"/>
                <w:highlight w:val="none"/>
              </w:rPr>
            </w:pPr>
            <w:r>
              <w:rPr>
                <w:rFonts w:hint="eastAsia" w:ascii="宋体" w:hAnsi="宋体" w:cs="宋体"/>
                <w:b/>
                <w:color w:val="auto"/>
                <w:kern w:val="0"/>
                <w:sz w:val="24"/>
                <w:highlight w:val="none"/>
              </w:rPr>
              <w:t>评分因素</w:t>
            </w:r>
          </w:p>
        </w:tc>
        <w:tc>
          <w:tcPr>
            <w:tcW w:w="6095" w:type="dxa"/>
            <w:noWrap w:val="0"/>
            <w:tcMar>
              <w:top w:w="15" w:type="dxa"/>
              <w:left w:w="15" w:type="dxa"/>
              <w:bottom w:w="15" w:type="dxa"/>
              <w:right w:w="15" w:type="dxa"/>
            </w:tcMar>
            <w:vAlign w:val="center"/>
          </w:tcPr>
          <w:p w14:paraId="7CD16ED7">
            <w:pPr>
              <w:widowControl/>
              <w:spacing w:line="360" w:lineRule="auto"/>
              <w:jc w:val="center"/>
              <w:textAlignment w:val="center"/>
              <w:rPr>
                <w:rFonts w:ascii="宋体" w:hAnsi="宋体" w:cs="宋体"/>
                <w:b/>
                <w:color w:val="auto"/>
                <w:sz w:val="24"/>
                <w:highlight w:val="none"/>
              </w:rPr>
            </w:pPr>
            <w:r>
              <w:rPr>
                <w:rFonts w:hint="eastAsia" w:ascii="宋体" w:hAnsi="宋体" w:cs="宋体"/>
                <w:b/>
                <w:color w:val="auto"/>
                <w:kern w:val="0"/>
                <w:sz w:val="24"/>
                <w:highlight w:val="none"/>
              </w:rPr>
              <w:t>说明</w:t>
            </w:r>
          </w:p>
        </w:tc>
        <w:tc>
          <w:tcPr>
            <w:tcW w:w="644" w:type="dxa"/>
            <w:noWrap w:val="0"/>
            <w:tcMar>
              <w:top w:w="15" w:type="dxa"/>
              <w:left w:w="15" w:type="dxa"/>
              <w:bottom w:w="15" w:type="dxa"/>
              <w:right w:w="15" w:type="dxa"/>
            </w:tcMar>
            <w:vAlign w:val="center"/>
          </w:tcPr>
          <w:p w14:paraId="7862EC38">
            <w:pPr>
              <w:widowControl/>
              <w:spacing w:line="360" w:lineRule="auto"/>
              <w:jc w:val="center"/>
              <w:textAlignment w:val="center"/>
              <w:rPr>
                <w:rFonts w:ascii="宋体" w:hAnsi="宋体" w:cs="宋体"/>
                <w:b/>
                <w:color w:val="auto"/>
                <w:sz w:val="24"/>
                <w:highlight w:val="none"/>
              </w:rPr>
            </w:pPr>
            <w:r>
              <w:rPr>
                <w:rFonts w:hint="eastAsia" w:ascii="宋体" w:hAnsi="宋体" w:cs="宋体"/>
                <w:b/>
                <w:color w:val="auto"/>
                <w:kern w:val="0"/>
                <w:sz w:val="24"/>
                <w:highlight w:val="none"/>
              </w:rPr>
              <w:t>分值分配</w:t>
            </w:r>
          </w:p>
        </w:tc>
      </w:tr>
      <w:tr w14:paraId="0D658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vMerge w:val="restart"/>
            <w:noWrap w:val="0"/>
            <w:tcMar>
              <w:top w:w="15" w:type="dxa"/>
              <w:left w:w="15" w:type="dxa"/>
              <w:bottom w:w="15" w:type="dxa"/>
              <w:right w:w="15" w:type="dxa"/>
            </w:tcMar>
            <w:vAlign w:val="center"/>
          </w:tcPr>
          <w:p w14:paraId="39F973FF">
            <w:pPr>
              <w:spacing w:line="360" w:lineRule="auto"/>
              <w:jc w:val="center"/>
              <w:textAlignment w:val="center"/>
              <w:rPr>
                <w:rFonts w:ascii="宋体" w:hAnsi="宋体" w:cs="宋体"/>
                <w:b/>
                <w:color w:val="auto"/>
                <w:kern w:val="0"/>
                <w:sz w:val="24"/>
                <w:highlight w:val="none"/>
              </w:rPr>
            </w:pPr>
            <w:r>
              <w:rPr>
                <w:rFonts w:hint="eastAsia" w:ascii="宋体" w:hAnsi="宋体" w:cs="宋体"/>
                <w:b/>
                <w:color w:val="auto"/>
                <w:sz w:val="24"/>
                <w:highlight w:val="none"/>
              </w:rPr>
              <w:t>技术部分</w:t>
            </w:r>
            <w:r>
              <w:rPr>
                <w:rFonts w:hint="eastAsia" w:ascii="宋体" w:hAnsi="宋体" w:cs="宋体"/>
                <w:b/>
                <w:color w:val="auto"/>
                <w:kern w:val="0"/>
                <w:sz w:val="24"/>
                <w:highlight w:val="none"/>
              </w:rPr>
              <w:t>（</w:t>
            </w:r>
            <w:r>
              <w:rPr>
                <w:rFonts w:hint="eastAsia" w:ascii="宋体" w:hAnsi="宋体" w:cs="宋体"/>
                <w:b/>
                <w:color w:val="auto"/>
                <w:kern w:val="0"/>
                <w:sz w:val="24"/>
                <w:highlight w:val="none"/>
                <w:lang w:val="en-US" w:eastAsia="zh-CN"/>
              </w:rPr>
              <w:t>100</w:t>
            </w:r>
            <w:r>
              <w:rPr>
                <w:rFonts w:hint="eastAsia" w:ascii="宋体" w:hAnsi="宋体" w:cs="宋体"/>
                <w:b/>
                <w:color w:val="auto"/>
                <w:kern w:val="0"/>
                <w:sz w:val="24"/>
                <w:highlight w:val="none"/>
              </w:rPr>
              <w:t>分）</w:t>
            </w:r>
          </w:p>
        </w:tc>
        <w:tc>
          <w:tcPr>
            <w:tcW w:w="1427" w:type="dxa"/>
            <w:noWrap w:val="0"/>
            <w:tcMar>
              <w:top w:w="15" w:type="dxa"/>
              <w:left w:w="15" w:type="dxa"/>
              <w:bottom w:w="15" w:type="dxa"/>
              <w:right w:w="15" w:type="dxa"/>
            </w:tcMar>
            <w:vAlign w:val="center"/>
          </w:tcPr>
          <w:p w14:paraId="783B3CB0">
            <w:pPr>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资质</w:t>
            </w:r>
            <w:r>
              <w:rPr>
                <w:rFonts w:hint="eastAsia" w:ascii="宋体" w:hAnsi="宋体" w:eastAsia="宋体" w:cs="宋体"/>
                <w:color w:val="auto"/>
                <w:szCs w:val="21"/>
                <w:highlight w:val="none"/>
              </w:rPr>
              <w:t>实力</w:t>
            </w:r>
          </w:p>
        </w:tc>
        <w:tc>
          <w:tcPr>
            <w:tcW w:w="6095" w:type="dxa"/>
            <w:noWrap w:val="0"/>
            <w:tcMar>
              <w:top w:w="15" w:type="dxa"/>
              <w:left w:w="15" w:type="dxa"/>
              <w:bottom w:w="15" w:type="dxa"/>
              <w:right w:w="15" w:type="dxa"/>
            </w:tcMar>
            <w:vAlign w:val="center"/>
          </w:tcPr>
          <w:p w14:paraId="6D8E8603">
            <w:pPr>
              <w:widowControl/>
              <w:jc w:val="left"/>
              <w:rPr>
                <w:rFonts w:hint="default" w:ascii="宋体" w:hAnsi="宋体" w:cs="宋体"/>
                <w:color w:val="auto"/>
                <w:kern w:val="0"/>
                <w:sz w:val="24"/>
                <w:highlight w:val="none"/>
                <w:lang w:val="en-US" w:eastAsia="zh-CN"/>
              </w:rPr>
            </w:pPr>
            <w:r>
              <w:rPr>
                <w:rFonts w:hint="eastAsia" w:ascii="宋体" w:hAnsi="宋体" w:cs="宋体"/>
                <w:color w:val="auto"/>
                <w:kern w:val="0"/>
                <w:szCs w:val="21"/>
                <w:highlight w:val="none"/>
                <w:lang w:val="en-US" w:eastAsia="zh-CN"/>
              </w:rPr>
              <w:t>投标人</w:t>
            </w:r>
            <w:r>
              <w:rPr>
                <w:rFonts w:hint="eastAsia" w:ascii="宋体" w:hAnsi="宋体" w:cs="宋体"/>
                <w:color w:val="auto"/>
                <w:kern w:val="0"/>
                <w:szCs w:val="21"/>
                <w:highlight w:val="none"/>
              </w:rPr>
              <w:t>具备ISO9001质量管理体系认证、ISO27001信息安全管理体系认证、</w:t>
            </w:r>
            <w:r>
              <w:rPr>
                <w:rFonts w:hint="eastAsia" w:ascii="宋体" w:hAnsi="宋体" w:cs="宋体"/>
                <w:color w:val="auto"/>
                <w:kern w:val="0"/>
                <w:szCs w:val="21"/>
                <w:highlight w:val="none"/>
                <w:lang w:val="en-US" w:eastAsia="zh-CN"/>
              </w:rPr>
              <w:t>增值电信业务经营许可证</w:t>
            </w:r>
            <w:r>
              <w:rPr>
                <w:rFonts w:hint="eastAsia" w:ascii="宋体" w:hAnsi="宋体" w:cs="宋体"/>
                <w:color w:val="auto"/>
                <w:kern w:val="0"/>
                <w:szCs w:val="21"/>
                <w:highlight w:val="none"/>
              </w:rPr>
              <w:t>，每提供一个得</w:t>
            </w:r>
            <w:r>
              <w:rPr>
                <w:rFonts w:hint="eastAsia" w:ascii="宋体" w:hAnsi="宋体" w:cs="宋体"/>
                <w:color w:val="auto"/>
                <w:kern w:val="0"/>
                <w:szCs w:val="21"/>
                <w:highlight w:val="none"/>
                <w:lang w:val="en-US" w:eastAsia="zh-CN"/>
              </w:rPr>
              <w:t>2</w:t>
            </w:r>
            <w:r>
              <w:rPr>
                <w:rFonts w:hint="eastAsia" w:ascii="宋体" w:hAnsi="宋体" w:cs="宋体"/>
                <w:color w:val="auto"/>
                <w:kern w:val="0"/>
                <w:szCs w:val="21"/>
                <w:highlight w:val="none"/>
              </w:rPr>
              <w:t>分，最高得</w:t>
            </w:r>
            <w:r>
              <w:rPr>
                <w:rFonts w:hint="eastAsia" w:ascii="宋体" w:hAnsi="宋体" w:cs="宋体"/>
                <w:color w:val="auto"/>
                <w:kern w:val="0"/>
                <w:szCs w:val="21"/>
                <w:highlight w:val="none"/>
                <w:lang w:val="en-US" w:eastAsia="zh-CN"/>
              </w:rPr>
              <w:t>6</w:t>
            </w:r>
            <w:r>
              <w:rPr>
                <w:rFonts w:hint="eastAsia" w:ascii="宋体" w:hAnsi="宋体" w:cs="宋体"/>
                <w:color w:val="auto"/>
                <w:kern w:val="0"/>
                <w:szCs w:val="21"/>
                <w:highlight w:val="none"/>
              </w:rPr>
              <w:t>分。</w:t>
            </w:r>
            <w:r>
              <w:rPr>
                <w:rFonts w:hint="eastAsia" w:ascii="宋体" w:hAnsi="宋体" w:cs="宋体"/>
                <w:color w:val="auto"/>
                <w:kern w:val="0"/>
                <w:szCs w:val="21"/>
                <w:highlight w:val="none"/>
              </w:rPr>
              <w:br w:type="textWrapping"/>
            </w:r>
            <w:r>
              <w:rPr>
                <w:rFonts w:hint="eastAsia" w:ascii="宋体" w:hAnsi="宋体" w:cs="宋体"/>
                <w:b/>
                <w:color w:val="auto"/>
                <w:kern w:val="0"/>
                <w:szCs w:val="21"/>
                <w:highlight w:val="none"/>
              </w:rPr>
              <w:t>（提供有效的认证证书，未提供不得分）</w:t>
            </w:r>
          </w:p>
        </w:tc>
        <w:tc>
          <w:tcPr>
            <w:tcW w:w="644" w:type="dxa"/>
            <w:noWrap w:val="0"/>
            <w:tcMar>
              <w:top w:w="15" w:type="dxa"/>
              <w:left w:w="15" w:type="dxa"/>
              <w:bottom w:w="15" w:type="dxa"/>
              <w:right w:w="15" w:type="dxa"/>
            </w:tcMar>
            <w:vAlign w:val="center"/>
          </w:tcPr>
          <w:p w14:paraId="55FCD274">
            <w:pPr>
              <w:widowControl/>
              <w:spacing w:line="360" w:lineRule="auto"/>
              <w:jc w:val="center"/>
              <w:textAlignment w:val="center"/>
              <w:rPr>
                <w:rFonts w:hint="default"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6</w:t>
            </w:r>
          </w:p>
        </w:tc>
      </w:tr>
      <w:tr w14:paraId="3C6DE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1289" w:type="dxa"/>
            <w:vMerge w:val="continue"/>
            <w:noWrap w:val="0"/>
            <w:tcMar>
              <w:top w:w="15" w:type="dxa"/>
              <w:left w:w="15" w:type="dxa"/>
              <w:bottom w:w="15" w:type="dxa"/>
              <w:right w:w="15" w:type="dxa"/>
            </w:tcMar>
            <w:vAlign w:val="center"/>
          </w:tcPr>
          <w:p w14:paraId="343AA725">
            <w:pPr>
              <w:spacing w:line="360" w:lineRule="auto"/>
              <w:jc w:val="center"/>
              <w:textAlignment w:val="center"/>
              <w:rPr>
                <w:rFonts w:ascii="宋体" w:hAnsi="宋体" w:cs="宋体"/>
                <w:b/>
                <w:color w:val="auto"/>
                <w:kern w:val="0"/>
                <w:sz w:val="24"/>
                <w:highlight w:val="none"/>
              </w:rPr>
            </w:pPr>
          </w:p>
        </w:tc>
        <w:tc>
          <w:tcPr>
            <w:tcW w:w="1427" w:type="dxa"/>
            <w:noWrap w:val="0"/>
            <w:tcMar>
              <w:top w:w="15" w:type="dxa"/>
              <w:left w:w="15" w:type="dxa"/>
              <w:bottom w:w="15" w:type="dxa"/>
              <w:right w:w="15" w:type="dxa"/>
            </w:tcMar>
            <w:vAlign w:val="center"/>
          </w:tcPr>
          <w:p w14:paraId="60EB449A">
            <w:pPr>
              <w:pStyle w:val="63"/>
              <w:widowControl/>
              <w:spacing w:line="360" w:lineRule="auto"/>
              <w:ind w:firstLine="0" w:firstLineChars="0"/>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Cs w:val="21"/>
                <w:highlight w:val="none"/>
              </w:rPr>
              <w:t>催收系统建设</w:t>
            </w:r>
          </w:p>
        </w:tc>
        <w:tc>
          <w:tcPr>
            <w:tcW w:w="6095" w:type="dxa"/>
            <w:noWrap w:val="0"/>
            <w:tcMar>
              <w:top w:w="15" w:type="dxa"/>
              <w:left w:w="15" w:type="dxa"/>
              <w:bottom w:w="15" w:type="dxa"/>
              <w:right w:w="15" w:type="dxa"/>
            </w:tcMar>
            <w:vAlign w:val="center"/>
          </w:tcPr>
          <w:p w14:paraId="7A006F94">
            <w:pPr>
              <w:pStyle w:val="63"/>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eastAsia" w:ascii="宋体" w:hAnsi="宋体" w:eastAsia="宋体" w:cs="宋体"/>
                <w:color w:val="auto"/>
                <w:kern w:val="2"/>
                <w:sz w:val="21"/>
                <w:szCs w:val="21"/>
                <w:highlight w:val="none"/>
                <w:lang w:val="en-GB" w:eastAsia="zh-CN" w:bidi="ar-SA"/>
              </w:rPr>
            </w:pPr>
            <w:r>
              <w:rPr>
                <w:rFonts w:hint="eastAsia" w:ascii="宋体" w:hAnsi="宋体" w:eastAsia="宋体" w:cs="宋体"/>
                <w:color w:val="auto"/>
                <w:kern w:val="2"/>
                <w:sz w:val="21"/>
                <w:szCs w:val="21"/>
                <w:highlight w:val="none"/>
                <w:lang w:val="en-US" w:eastAsia="zh-CN" w:bidi="ar-SA"/>
              </w:rPr>
              <w:t>投标人具有独立催收系统，</w:t>
            </w:r>
            <w:r>
              <w:rPr>
                <w:rFonts w:hint="eastAsia" w:ascii="宋体" w:hAnsi="宋体" w:eastAsia="宋体" w:cs="宋体"/>
                <w:color w:val="auto"/>
                <w:kern w:val="2"/>
                <w:sz w:val="21"/>
                <w:szCs w:val="21"/>
                <w:highlight w:val="none"/>
                <w:lang w:val="en-GB" w:eastAsia="zh-CN" w:bidi="ar-SA"/>
              </w:rPr>
              <w:t>提供催收基础设施证明，</w:t>
            </w:r>
            <w:r>
              <w:rPr>
                <w:rFonts w:hint="eastAsia" w:ascii="宋体" w:hAnsi="宋体" w:eastAsia="宋体" w:cs="宋体"/>
                <w:color w:val="auto"/>
                <w:kern w:val="2"/>
                <w:sz w:val="21"/>
                <w:szCs w:val="21"/>
                <w:highlight w:val="none"/>
                <w:lang w:val="en-US" w:eastAsia="zh-CN" w:bidi="ar-SA"/>
              </w:rPr>
              <w:t>包含</w:t>
            </w:r>
            <w:r>
              <w:rPr>
                <w:rFonts w:hint="eastAsia" w:ascii="宋体" w:hAnsi="宋体" w:eastAsia="宋体" w:cs="宋体"/>
                <w:color w:val="auto"/>
                <w:kern w:val="2"/>
                <w:sz w:val="21"/>
                <w:szCs w:val="21"/>
                <w:highlight w:val="none"/>
                <w:lang w:val="en-GB" w:eastAsia="zh-CN" w:bidi="ar-SA"/>
              </w:rPr>
              <w:t>提供相关现场图片、系统界面展示、线路合作协议、机房照片、相关管理制度等相关证明材料。</w:t>
            </w:r>
          </w:p>
          <w:p w14:paraId="03BB57AD">
            <w:pPr>
              <w:pStyle w:val="63"/>
              <w:keepNext w:val="0"/>
              <w:keepLines w:val="0"/>
              <w:pageBreakBefore w:val="0"/>
              <w:widowControl/>
              <w:kinsoku/>
              <w:wordWrap/>
              <w:overflowPunct/>
              <w:topLinePunct w:val="0"/>
              <w:autoSpaceDE/>
              <w:autoSpaceDN/>
              <w:bidi w:val="0"/>
              <w:adjustRightInd/>
              <w:snapToGrid/>
              <w:spacing w:line="240" w:lineRule="auto"/>
              <w:ind w:firstLine="0" w:firstLineChars="0"/>
              <w:jc w:val="left"/>
              <w:textAlignment w:val="auto"/>
              <w:rPr>
                <w:rFonts w:hint="eastAsia" w:ascii="宋体" w:hAnsi="宋体" w:eastAsia="宋体" w:cs="宋体"/>
                <w:color w:val="auto"/>
                <w:kern w:val="0"/>
                <w:sz w:val="24"/>
                <w:szCs w:val="20"/>
                <w:highlight w:val="none"/>
                <w:lang w:val="en-GB" w:eastAsia="zh-CN" w:bidi="ar-SA"/>
              </w:rPr>
            </w:pPr>
            <w:r>
              <w:rPr>
                <w:rFonts w:hint="eastAsia" w:ascii="宋体" w:hAnsi="宋体" w:eastAsia="宋体" w:cs="宋体"/>
                <w:color w:val="auto"/>
                <w:kern w:val="2"/>
                <w:sz w:val="21"/>
                <w:szCs w:val="21"/>
                <w:highlight w:val="none"/>
                <w:lang w:val="en-GB" w:eastAsia="zh-CN" w:bidi="ar-SA"/>
              </w:rPr>
              <w:t>分最优、较好、一般、较差四个等级，分别得</w:t>
            </w:r>
            <w:r>
              <w:rPr>
                <w:rFonts w:hint="eastAsia" w:ascii="宋体" w:hAnsi="宋体" w:eastAsia="宋体" w:cs="宋体"/>
                <w:color w:val="auto"/>
                <w:kern w:val="2"/>
                <w:sz w:val="21"/>
                <w:szCs w:val="21"/>
                <w:highlight w:val="none"/>
                <w:lang w:val="en-US" w:eastAsia="zh-CN" w:bidi="ar-SA"/>
              </w:rPr>
              <w:t>6-9</w:t>
            </w:r>
            <w:r>
              <w:rPr>
                <w:rFonts w:hint="eastAsia" w:ascii="宋体" w:hAnsi="宋体" w:eastAsia="宋体" w:cs="宋体"/>
                <w:color w:val="auto"/>
                <w:kern w:val="2"/>
                <w:sz w:val="21"/>
                <w:szCs w:val="21"/>
                <w:highlight w:val="none"/>
                <w:lang w:val="en-GB" w:eastAsia="zh-CN" w:bidi="ar-SA"/>
              </w:rPr>
              <w:t>分、4-</w:t>
            </w:r>
            <w:r>
              <w:rPr>
                <w:rFonts w:hint="eastAsia" w:ascii="宋体" w:hAnsi="宋体" w:eastAsia="宋体" w:cs="宋体"/>
                <w:color w:val="auto"/>
                <w:kern w:val="2"/>
                <w:sz w:val="21"/>
                <w:szCs w:val="21"/>
                <w:highlight w:val="none"/>
                <w:lang w:val="en-US" w:eastAsia="zh-CN" w:bidi="ar-SA"/>
              </w:rPr>
              <w:t>5</w:t>
            </w:r>
            <w:r>
              <w:rPr>
                <w:rFonts w:hint="eastAsia" w:ascii="宋体" w:hAnsi="宋体" w:eastAsia="宋体" w:cs="宋体"/>
                <w:color w:val="auto"/>
                <w:kern w:val="2"/>
                <w:sz w:val="21"/>
                <w:szCs w:val="21"/>
                <w:highlight w:val="none"/>
                <w:lang w:val="en-GB" w:eastAsia="zh-CN" w:bidi="ar-SA"/>
              </w:rPr>
              <w:t>分、</w:t>
            </w:r>
            <w:r>
              <w:rPr>
                <w:rFonts w:hint="eastAsia" w:ascii="宋体" w:hAnsi="宋体" w:eastAsia="宋体" w:cs="宋体"/>
                <w:color w:val="auto"/>
                <w:kern w:val="2"/>
                <w:sz w:val="21"/>
                <w:szCs w:val="21"/>
                <w:highlight w:val="none"/>
                <w:lang w:val="en-US" w:eastAsia="zh-CN" w:bidi="ar-SA"/>
              </w:rPr>
              <w:t>2-</w:t>
            </w:r>
            <w:r>
              <w:rPr>
                <w:rFonts w:hint="eastAsia" w:ascii="宋体" w:hAnsi="宋体" w:eastAsia="宋体" w:cs="宋体"/>
                <w:color w:val="auto"/>
                <w:kern w:val="2"/>
                <w:sz w:val="21"/>
                <w:szCs w:val="21"/>
                <w:highlight w:val="none"/>
                <w:lang w:val="en-GB" w:eastAsia="zh-CN" w:bidi="ar-SA"/>
              </w:rPr>
              <w:t>3分、0-1分。</w:t>
            </w:r>
          </w:p>
        </w:tc>
        <w:tc>
          <w:tcPr>
            <w:tcW w:w="644" w:type="dxa"/>
            <w:noWrap w:val="0"/>
            <w:tcMar>
              <w:top w:w="15" w:type="dxa"/>
              <w:left w:w="15" w:type="dxa"/>
              <w:bottom w:w="15" w:type="dxa"/>
              <w:right w:w="15" w:type="dxa"/>
            </w:tcMar>
            <w:vAlign w:val="center"/>
          </w:tcPr>
          <w:p w14:paraId="10AADC8A">
            <w:pPr>
              <w:widowControl/>
              <w:spacing w:line="360" w:lineRule="auto"/>
              <w:jc w:val="center"/>
              <w:textAlignment w:val="center"/>
              <w:rPr>
                <w:rFonts w:hint="eastAsia" w:ascii="宋体" w:hAnsi="宋体" w:cs="宋体"/>
                <w:color w:val="auto"/>
                <w:kern w:val="0"/>
                <w:sz w:val="24"/>
                <w:szCs w:val="22"/>
                <w:highlight w:val="none"/>
                <w:lang w:val="en-US" w:eastAsia="zh-CN" w:bidi="ar-SA"/>
              </w:rPr>
            </w:pPr>
            <w:r>
              <w:rPr>
                <w:rFonts w:hint="eastAsia" w:ascii="宋体" w:hAnsi="宋体" w:cs="宋体"/>
                <w:color w:val="auto"/>
                <w:kern w:val="0"/>
                <w:sz w:val="24"/>
                <w:highlight w:val="none"/>
                <w:lang w:val="en-US" w:eastAsia="zh-CN"/>
              </w:rPr>
              <w:t>9</w:t>
            </w:r>
          </w:p>
        </w:tc>
      </w:tr>
      <w:tr w14:paraId="1E615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8" w:hRule="atLeast"/>
          <w:jc w:val="center"/>
        </w:trPr>
        <w:tc>
          <w:tcPr>
            <w:tcW w:w="1289" w:type="dxa"/>
            <w:vMerge w:val="continue"/>
            <w:noWrap w:val="0"/>
            <w:tcMar>
              <w:top w:w="15" w:type="dxa"/>
              <w:left w:w="15" w:type="dxa"/>
              <w:bottom w:w="15" w:type="dxa"/>
              <w:right w:w="15" w:type="dxa"/>
            </w:tcMar>
            <w:vAlign w:val="center"/>
          </w:tcPr>
          <w:p w14:paraId="50ECD036">
            <w:pPr>
              <w:widowControl/>
              <w:spacing w:line="360" w:lineRule="auto"/>
              <w:jc w:val="center"/>
              <w:textAlignment w:val="center"/>
              <w:rPr>
                <w:rFonts w:ascii="宋体" w:hAnsi="宋体" w:cs="宋体"/>
                <w:b/>
                <w:color w:val="auto"/>
                <w:sz w:val="24"/>
                <w:highlight w:val="none"/>
              </w:rPr>
            </w:pPr>
          </w:p>
        </w:tc>
        <w:tc>
          <w:tcPr>
            <w:tcW w:w="1427" w:type="dxa"/>
            <w:noWrap w:val="0"/>
            <w:tcMar>
              <w:top w:w="15" w:type="dxa"/>
              <w:left w:w="15" w:type="dxa"/>
              <w:bottom w:w="15" w:type="dxa"/>
              <w:right w:w="15" w:type="dxa"/>
            </w:tcMar>
            <w:vAlign w:val="center"/>
          </w:tcPr>
          <w:p w14:paraId="785DAE0F">
            <w:pPr>
              <w:spacing w:line="360" w:lineRule="auto"/>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lang w:val="en-US" w:eastAsia="zh-CN"/>
              </w:rPr>
              <w:t>项目</w:t>
            </w:r>
            <w:r>
              <w:rPr>
                <w:rFonts w:hint="eastAsia" w:ascii="宋体" w:hAnsi="宋体" w:eastAsia="宋体" w:cs="宋体"/>
                <w:color w:val="auto"/>
                <w:szCs w:val="21"/>
                <w:highlight w:val="none"/>
              </w:rPr>
              <w:t>服务承诺</w:t>
            </w:r>
          </w:p>
          <w:p w14:paraId="77F934FE">
            <w:pPr>
              <w:spacing w:line="360" w:lineRule="auto"/>
              <w:jc w:val="center"/>
              <w:rPr>
                <w:rFonts w:ascii="宋体" w:hAnsi="宋体" w:eastAsia="宋体" w:cs="宋体"/>
                <w:color w:val="auto"/>
                <w:szCs w:val="21"/>
                <w:highlight w:val="none"/>
              </w:rPr>
            </w:pPr>
          </w:p>
        </w:tc>
        <w:tc>
          <w:tcPr>
            <w:tcW w:w="6095" w:type="dxa"/>
            <w:noWrap w:val="0"/>
            <w:tcMar>
              <w:top w:w="15" w:type="dxa"/>
              <w:left w:w="15" w:type="dxa"/>
              <w:bottom w:w="15" w:type="dxa"/>
              <w:right w:w="15" w:type="dxa"/>
            </w:tcMar>
            <w:vAlign w:val="center"/>
          </w:tcPr>
          <w:p w14:paraId="6CB6B151">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1</w:t>
            </w:r>
            <w:r>
              <w:rPr>
                <w:rFonts w:ascii="宋体" w:hAnsi="宋体" w:eastAsia="宋体" w:cs="宋体"/>
                <w:color w:val="auto"/>
                <w:szCs w:val="21"/>
                <w:highlight w:val="none"/>
              </w:rPr>
              <w:t>.</w:t>
            </w:r>
            <w:r>
              <w:rPr>
                <w:rFonts w:hint="eastAsia" w:ascii="宋体" w:hAnsi="宋体" w:eastAsia="宋体" w:cs="宋体"/>
                <w:color w:val="auto"/>
                <w:szCs w:val="21"/>
                <w:highlight w:val="none"/>
                <w:lang w:val="en-US" w:eastAsia="zh-CN"/>
              </w:rPr>
              <w:t>投标人</w:t>
            </w:r>
            <w:r>
              <w:rPr>
                <w:rFonts w:hint="eastAsia" w:ascii="宋体" w:hAnsi="宋体" w:eastAsia="宋体" w:cs="宋体"/>
                <w:color w:val="auto"/>
                <w:szCs w:val="21"/>
                <w:highlight w:val="none"/>
              </w:rPr>
              <w:t>能够承诺和</w:t>
            </w:r>
            <w:r>
              <w:rPr>
                <w:rFonts w:hint="eastAsia" w:ascii="宋体" w:hAnsi="宋体" w:eastAsia="宋体" w:cs="宋体"/>
                <w:color w:val="auto"/>
                <w:szCs w:val="21"/>
                <w:highlight w:val="none"/>
                <w:lang w:val="en-US" w:eastAsia="zh-CN"/>
              </w:rPr>
              <w:t>邀标人</w:t>
            </w:r>
            <w:r>
              <w:rPr>
                <w:rFonts w:hint="eastAsia" w:ascii="宋体" w:hAnsi="宋体" w:eastAsia="宋体" w:cs="宋体"/>
                <w:color w:val="auto"/>
                <w:szCs w:val="21"/>
                <w:highlight w:val="none"/>
              </w:rPr>
              <w:t>建立顺畅沟通机制，包括按要求定期及时反馈催收记录，根据需要及时调取寄送催收档案，不定期接收业务检查，得</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分；未承诺或承诺内容不全，不得分。</w:t>
            </w:r>
            <w:r>
              <w:rPr>
                <w:rFonts w:hint="eastAsia" w:ascii="宋体" w:hAnsi="宋体" w:eastAsia="宋体" w:cs="宋体"/>
                <w:color w:val="auto"/>
                <w:szCs w:val="21"/>
                <w:highlight w:val="none"/>
              </w:rPr>
              <w:br w:type="textWrapping"/>
            </w:r>
            <w:r>
              <w:rPr>
                <w:rFonts w:ascii="宋体" w:hAnsi="宋体" w:eastAsia="宋体" w:cs="宋体"/>
                <w:color w:val="auto"/>
                <w:szCs w:val="21"/>
                <w:highlight w:val="none"/>
              </w:rPr>
              <w:t>2.</w:t>
            </w:r>
            <w:r>
              <w:rPr>
                <w:rFonts w:hint="eastAsia" w:ascii="宋体" w:hAnsi="宋体" w:eastAsia="宋体" w:cs="宋体"/>
                <w:color w:val="auto"/>
                <w:szCs w:val="21"/>
                <w:highlight w:val="none"/>
                <w:lang w:val="en-US" w:eastAsia="zh-CN"/>
              </w:rPr>
              <w:t>投标人</w:t>
            </w:r>
            <w:r>
              <w:rPr>
                <w:rFonts w:hint="eastAsia" w:ascii="宋体" w:hAnsi="宋体" w:eastAsia="宋体" w:cs="宋体"/>
                <w:color w:val="auto"/>
                <w:szCs w:val="21"/>
                <w:highlight w:val="none"/>
              </w:rPr>
              <w:t>须能满足向</w:t>
            </w:r>
            <w:r>
              <w:rPr>
                <w:rFonts w:hint="eastAsia" w:ascii="宋体" w:hAnsi="宋体" w:eastAsia="宋体" w:cs="宋体"/>
                <w:color w:val="auto"/>
                <w:szCs w:val="21"/>
                <w:highlight w:val="none"/>
                <w:lang w:val="en-US" w:eastAsia="zh-CN"/>
              </w:rPr>
              <w:t>邀标</w:t>
            </w:r>
            <w:r>
              <w:rPr>
                <w:rFonts w:hint="eastAsia" w:ascii="宋体" w:hAnsi="宋体" w:eastAsia="宋体" w:cs="宋体"/>
                <w:color w:val="auto"/>
                <w:szCs w:val="21"/>
                <w:highlight w:val="none"/>
              </w:rPr>
              <w:t>人提供优质服务的基本要求，并愿意接受</w:t>
            </w:r>
            <w:r>
              <w:rPr>
                <w:rFonts w:hint="eastAsia" w:ascii="宋体" w:hAnsi="宋体" w:eastAsia="宋体" w:cs="宋体"/>
                <w:color w:val="auto"/>
                <w:szCs w:val="21"/>
                <w:highlight w:val="none"/>
                <w:lang w:val="en-US" w:eastAsia="zh-CN"/>
              </w:rPr>
              <w:t>邀标人</w:t>
            </w:r>
            <w:r>
              <w:rPr>
                <w:rFonts w:hint="eastAsia" w:ascii="宋体" w:hAnsi="宋体" w:eastAsia="宋体" w:cs="宋体"/>
                <w:color w:val="auto"/>
                <w:szCs w:val="21"/>
                <w:highlight w:val="none"/>
              </w:rPr>
              <w:t>的持续管理、业务辅导、专项培训、绩效监督(提供相关承诺书原件) 得</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分；未承诺或承诺内容不全，不得分。</w:t>
            </w:r>
          </w:p>
          <w:p w14:paraId="5EB3B9BF">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3.</w:t>
            </w:r>
            <w:r>
              <w:rPr>
                <w:rFonts w:hint="eastAsia" w:ascii="宋体" w:hAnsi="宋体" w:eastAsia="宋体" w:cs="宋体"/>
                <w:color w:val="auto"/>
                <w:szCs w:val="21"/>
                <w:highlight w:val="none"/>
                <w:lang w:val="en-US" w:eastAsia="zh-CN"/>
              </w:rPr>
              <w:t>投标人</w:t>
            </w:r>
            <w:r>
              <w:rPr>
                <w:rFonts w:hint="eastAsia" w:ascii="宋体" w:hAnsi="宋体" w:eastAsia="宋体" w:cs="宋体"/>
                <w:color w:val="auto"/>
                <w:szCs w:val="21"/>
                <w:highlight w:val="none"/>
              </w:rPr>
              <w:t>须具备信息失联修复工具及能够提供第三方数据平台来补充逾期客户信息得</w:t>
            </w:r>
            <w:r>
              <w:rPr>
                <w:rFonts w:hint="eastAsia" w:ascii="宋体" w:hAnsi="宋体" w:eastAsia="宋体" w:cs="宋体"/>
                <w:color w:val="auto"/>
                <w:szCs w:val="21"/>
                <w:highlight w:val="none"/>
                <w:lang w:val="en-US" w:eastAsia="zh-CN"/>
              </w:rPr>
              <w:t>5</w:t>
            </w:r>
            <w:r>
              <w:rPr>
                <w:rFonts w:hint="eastAsia" w:ascii="宋体" w:hAnsi="宋体" w:eastAsia="宋体" w:cs="宋体"/>
                <w:color w:val="auto"/>
                <w:szCs w:val="21"/>
                <w:highlight w:val="none"/>
              </w:rPr>
              <w:t>分；未承诺或承诺内容不全，不得分。</w:t>
            </w:r>
          </w:p>
          <w:p w14:paraId="0B1F8BD3">
            <w:pPr>
              <w:keepNext w:val="0"/>
              <w:keepLines w:val="0"/>
              <w:pageBreakBefore w:val="0"/>
              <w:widowControl w:val="0"/>
              <w:kinsoku/>
              <w:wordWrap/>
              <w:overflowPunct/>
              <w:topLinePunct w:val="0"/>
              <w:autoSpaceDE/>
              <w:autoSpaceDN/>
              <w:bidi w:val="0"/>
              <w:adjustRightInd/>
              <w:snapToGrid/>
              <w:spacing w:line="240" w:lineRule="auto"/>
              <w:jc w:val="left"/>
              <w:textAlignment w:val="auto"/>
              <w:rPr>
                <w:rFonts w:ascii="宋体" w:hAnsi="宋体" w:eastAsia="宋体" w:cs="宋体"/>
                <w:color w:val="auto"/>
                <w:szCs w:val="21"/>
                <w:highlight w:val="none"/>
              </w:rPr>
            </w:pPr>
            <w:r>
              <w:rPr>
                <w:rFonts w:hint="eastAsia" w:ascii="宋体" w:hAnsi="宋体" w:eastAsia="宋体" w:cs="宋体"/>
                <w:color w:val="auto"/>
                <w:szCs w:val="21"/>
                <w:highlight w:val="none"/>
              </w:rPr>
              <w:t>（提供加盖公章的承诺函）</w:t>
            </w:r>
          </w:p>
        </w:tc>
        <w:tc>
          <w:tcPr>
            <w:tcW w:w="644" w:type="dxa"/>
            <w:noWrap w:val="0"/>
            <w:tcMar>
              <w:top w:w="15" w:type="dxa"/>
              <w:left w:w="15" w:type="dxa"/>
              <w:bottom w:w="15" w:type="dxa"/>
              <w:right w:w="15" w:type="dxa"/>
            </w:tcMar>
            <w:vAlign w:val="center"/>
          </w:tcPr>
          <w:p w14:paraId="56403C50">
            <w:pPr>
              <w:widowControl/>
              <w:spacing w:line="360" w:lineRule="auto"/>
              <w:jc w:val="center"/>
              <w:textAlignment w:val="center"/>
              <w:rPr>
                <w:rFonts w:hint="default" w:ascii="宋体" w:hAnsi="宋体" w:eastAsia="宋体" w:cs="宋体"/>
                <w:color w:val="auto"/>
                <w:kern w:val="0"/>
                <w:sz w:val="24"/>
                <w:highlight w:val="none"/>
                <w:lang w:val="en-US" w:eastAsia="zh-CN"/>
              </w:rPr>
            </w:pPr>
            <w:r>
              <w:rPr>
                <w:rFonts w:hint="eastAsia" w:ascii="宋体" w:hAnsi="宋体" w:cs="宋体"/>
                <w:color w:val="auto"/>
                <w:kern w:val="0"/>
                <w:sz w:val="24"/>
                <w:highlight w:val="none"/>
                <w:lang w:val="en-US" w:eastAsia="zh-CN"/>
              </w:rPr>
              <w:t>15</w:t>
            </w:r>
          </w:p>
        </w:tc>
      </w:tr>
      <w:tr w14:paraId="71ABE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8" w:hRule="atLeast"/>
          <w:jc w:val="center"/>
        </w:trPr>
        <w:tc>
          <w:tcPr>
            <w:tcW w:w="1289" w:type="dxa"/>
            <w:vMerge w:val="continue"/>
            <w:noWrap w:val="0"/>
            <w:tcMar>
              <w:top w:w="15" w:type="dxa"/>
              <w:left w:w="15" w:type="dxa"/>
              <w:bottom w:w="15" w:type="dxa"/>
              <w:right w:w="15" w:type="dxa"/>
            </w:tcMar>
            <w:vAlign w:val="center"/>
          </w:tcPr>
          <w:p w14:paraId="4E96E79F">
            <w:pPr>
              <w:widowControl/>
              <w:spacing w:line="360" w:lineRule="auto"/>
              <w:jc w:val="center"/>
              <w:textAlignment w:val="center"/>
              <w:rPr>
                <w:rFonts w:ascii="宋体" w:hAnsi="宋体" w:cs="宋体"/>
                <w:b/>
                <w:color w:val="auto"/>
                <w:sz w:val="24"/>
                <w:highlight w:val="none"/>
              </w:rPr>
            </w:pPr>
          </w:p>
        </w:tc>
        <w:tc>
          <w:tcPr>
            <w:tcW w:w="1427" w:type="dxa"/>
            <w:noWrap w:val="0"/>
            <w:tcMar>
              <w:top w:w="15" w:type="dxa"/>
              <w:left w:w="15" w:type="dxa"/>
              <w:bottom w:w="15" w:type="dxa"/>
              <w:right w:w="15" w:type="dxa"/>
            </w:tcMar>
            <w:vAlign w:val="center"/>
          </w:tcPr>
          <w:p w14:paraId="4E8B9848">
            <w:pPr>
              <w:spacing w:line="360" w:lineRule="auto"/>
              <w:jc w:val="center"/>
              <w:rPr>
                <w:rFonts w:ascii="宋体" w:hAnsi="宋体" w:eastAsia="宋体" w:cs="宋体"/>
                <w:color w:val="auto"/>
                <w:szCs w:val="21"/>
                <w:highlight w:val="none"/>
              </w:rPr>
            </w:pPr>
            <w:r>
              <w:rPr>
                <w:rFonts w:hint="eastAsia" w:ascii="宋体" w:hAnsi="宋体" w:eastAsia="宋体" w:cs="宋体"/>
                <w:color w:val="auto"/>
                <w:szCs w:val="21"/>
                <w:highlight w:val="none"/>
              </w:rPr>
              <w:t>项目经验</w:t>
            </w:r>
          </w:p>
        </w:tc>
        <w:tc>
          <w:tcPr>
            <w:tcW w:w="6095" w:type="dxa"/>
            <w:noWrap w:val="0"/>
            <w:tcMar>
              <w:top w:w="15" w:type="dxa"/>
              <w:left w:w="15" w:type="dxa"/>
              <w:bottom w:w="15" w:type="dxa"/>
              <w:right w:w="15" w:type="dxa"/>
            </w:tcMar>
            <w:vAlign w:val="center"/>
          </w:tcPr>
          <w:p w14:paraId="2BEB8650">
            <w:pPr>
              <w:widowControl/>
              <w:jc w:val="left"/>
              <w:rPr>
                <w:rFonts w:hint="eastAsia" w:ascii="宋体" w:hAnsi="宋体" w:eastAsia="宋体" w:cs="Times New Roman"/>
                <w:color w:val="auto"/>
                <w:kern w:val="2"/>
                <w:sz w:val="21"/>
                <w:szCs w:val="21"/>
                <w:highlight w:val="none"/>
                <w:lang w:eastAsia="zh-CN"/>
              </w:rPr>
            </w:pPr>
            <w:r>
              <w:rPr>
                <w:rFonts w:hint="eastAsia" w:ascii="宋体" w:hAnsi="宋体" w:eastAsia="宋体" w:cs="Times New Roman"/>
                <w:color w:val="auto"/>
                <w:kern w:val="2"/>
                <w:sz w:val="21"/>
                <w:szCs w:val="21"/>
                <w:highlight w:val="none"/>
              </w:rPr>
              <w:t>投标人承接的类似项目业绩情况；投标人近</w:t>
            </w:r>
            <w:r>
              <w:rPr>
                <w:rFonts w:hint="eastAsia" w:ascii="宋体" w:hAnsi="宋体" w:eastAsia="宋体" w:cs="Times New Roman"/>
                <w:color w:val="auto"/>
                <w:kern w:val="2"/>
                <w:sz w:val="21"/>
                <w:szCs w:val="21"/>
                <w:highlight w:val="none"/>
                <w:lang w:val="en-US" w:eastAsia="zh-CN"/>
              </w:rPr>
              <w:t>两年</w:t>
            </w:r>
            <w:r>
              <w:rPr>
                <w:rFonts w:hint="eastAsia" w:ascii="宋体" w:hAnsi="宋体" w:eastAsia="宋体" w:cs="Times New Roman"/>
                <w:color w:val="auto"/>
                <w:kern w:val="2"/>
                <w:sz w:val="21"/>
                <w:szCs w:val="21"/>
                <w:highlight w:val="none"/>
              </w:rPr>
              <w:t>典型案例，</w:t>
            </w:r>
            <w:r>
              <w:rPr>
                <w:rFonts w:hint="eastAsia" w:ascii="宋体" w:hAnsi="宋体" w:eastAsia="宋体" w:cs="Times New Roman"/>
                <w:color w:val="auto"/>
                <w:kern w:val="2"/>
                <w:sz w:val="21"/>
                <w:szCs w:val="21"/>
                <w:highlight w:val="none"/>
                <w:lang w:val="en-US" w:eastAsia="zh-CN"/>
              </w:rPr>
              <w:t>提供</w:t>
            </w:r>
            <w:r>
              <w:rPr>
                <w:rFonts w:hint="eastAsia" w:ascii="宋体" w:hAnsi="宋体" w:eastAsia="宋体" w:cs="Times New Roman"/>
                <w:color w:val="auto"/>
                <w:kern w:val="2"/>
                <w:sz w:val="21"/>
                <w:szCs w:val="21"/>
                <w:highlight w:val="none"/>
              </w:rPr>
              <w:t>合同关键页（含合同项目名称、签订合同双方的落款盖章、签订日期的关键页）</w:t>
            </w:r>
            <w:r>
              <w:rPr>
                <w:rFonts w:hint="eastAsia" w:ascii="宋体" w:hAnsi="宋体" w:eastAsia="宋体" w:cs="Times New Roman"/>
                <w:color w:val="auto"/>
                <w:kern w:val="2"/>
                <w:sz w:val="21"/>
                <w:szCs w:val="21"/>
                <w:highlight w:val="none"/>
                <w:lang w:eastAsia="zh-CN"/>
              </w:rPr>
              <w:t>。</w:t>
            </w:r>
          </w:p>
          <w:p w14:paraId="37E4E41D">
            <w:pPr>
              <w:widowControl/>
              <w:jc w:val="left"/>
              <w:rPr>
                <w:rFonts w:hint="eastAsia" w:ascii="宋体" w:hAnsi="宋体" w:eastAsia="宋体" w:cs="宋体"/>
                <w:color w:val="auto"/>
                <w:szCs w:val="21"/>
                <w:highlight w:val="none"/>
              </w:rPr>
            </w:pPr>
            <w:r>
              <w:rPr>
                <w:rFonts w:hint="eastAsia" w:ascii="宋体" w:hAnsi="宋体" w:eastAsia="宋体" w:cs="Times New Roman"/>
                <w:color w:val="auto"/>
                <w:kern w:val="2"/>
                <w:sz w:val="21"/>
                <w:szCs w:val="21"/>
                <w:highlight w:val="none"/>
              </w:rPr>
              <w:t>投标人每具备1个符合要求的项目经验，得</w:t>
            </w:r>
            <w:r>
              <w:rPr>
                <w:rFonts w:hint="eastAsia" w:ascii="宋体" w:hAnsi="宋体" w:eastAsia="宋体" w:cs="Times New Roman"/>
                <w:color w:val="auto"/>
                <w:kern w:val="2"/>
                <w:sz w:val="21"/>
                <w:szCs w:val="21"/>
                <w:highlight w:val="none"/>
                <w:lang w:val="en-US" w:eastAsia="zh-CN"/>
              </w:rPr>
              <w:t>5</w:t>
            </w:r>
            <w:r>
              <w:rPr>
                <w:rFonts w:hint="eastAsia" w:ascii="宋体" w:hAnsi="宋体" w:eastAsia="宋体" w:cs="Times New Roman"/>
                <w:color w:val="auto"/>
                <w:kern w:val="2"/>
                <w:sz w:val="21"/>
                <w:szCs w:val="21"/>
                <w:highlight w:val="none"/>
              </w:rPr>
              <w:t>分。本项满分</w:t>
            </w:r>
            <w:r>
              <w:rPr>
                <w:rFonts w:hint="eastAsia" w:ascii="宋体" w:hAnsi="宋体" w:eastAsia="宋体" w:cs="Times New Roman"/>
                <w:color w:val="auto"/>
                <w:kern w:val="2"/>
                <w:sz w:val="21"/>
                <w:szCs w:val="21"/>
                <w:highlight w:val="none"/>
                <w:lang w:val="en-US" w:eastAsia="zh-CN"/>
              </w:rPr>
              <w:t>25</w:t>
            </w:r>
            <w:r>
              <w:rPr>
                <w:rFonts w:hint="eastAsia" w:ascii="宋体" w:hAnsi="宋体" w:eastAsia="宋体" w:cs="Times New Roman"/>
                <w:color w:val="auto"/>
                <w:kern w:val="2"/>
                <w:sz w:val="21"/>
                <w:szCs w:val="21"/>
                <w:highlight w:val="none"/>
              </w:rPr>
              <w:t>分。</w:t>
            </w:r>
          </w:p>
        </w:tc>
        <w:tc>
          <w:tcPr>
            <w:tcW w:w="644" w:type="dxa"/>
            <w:noWrap w:val="0"/>
            <w:tcMar>
              <w:top w:w="15" w:type="dxa"/>
              <w:left w:w="15" w:type="dxa"/>
              <w:bottom w:w="15" w:type="dxa"/>
              <w:right w:w="15" w:type="dxa"/>
            </w:tcMar>
            <w:vAlign w:val="center"/>
          </w:tcPr>
          <w:p w14:paraId="7AEA4D09">
            <w:pPr>
              <w:widowControl/>
              <w:spacing w:line="360" w:lineRule="auto"/>
              <w:jc w:val="center"/>
              <w:textAlignment w:val="center"/>
              <w:rPr>
                <w:rFonts w:hint="eastAsia" w:ascii="宋体" w:hAnsi="宋体" w:cs="宋体"/>
                <w:color w:val="auto"/>
                <w:kern w:val="0"/>
                <w:sz w:val="24"/>
                <w:highlight w:val="none"/>
                <w:lang w:val="en-US" w:eastAsia="zh-CN"/>
              </w:rPr>
            </w:pPr>
            <w:r>
              <w:rPr>
                <w:rFonts w:hint="eastAsia" w:ascii="宋体" w:hAnsi="宋体" w:cs="宋体"/>
                <w:color w:val="auto"/>
                <w:sz w:val="24"/>
                <w:highlight w:val="none"/>
                <w:lang w:val="en-US" w:eastAsia="zh-CN"/>
              </w:rPr>
              <w:t>25</w:t>
            </w:r>
          </w:p>
        </w:tc>
      </w:tr>
      <w:tr w14:paraId="680E8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3" w:hRule="atLeast"/>
          <w:jc w:val="center"/>
        </w:trPr>
        <w:tc>
          <w:tcPr>
            <w:tcW w:w="1289" w:type="dxa"/>
            <w:vMerge w:val="continue"/>
            <w:noWrap w:val="0"/>
            <w:tcMar>
              <w:top w:w="15" w:type="dxa"/>
              <w:left w:w="15" w:type="dxa"/>
              <w:bottom w:w="15" w:type="dxa"/>
              <w:right w:w="15" w:type="dxa"/>
            </w:tcMar>
            <w:vAlign w:val="center"/>
          </w:tcPr>
          <w:p w14:paraId="5009520E">
            <w:pPr>
              <w:widowControl/>
              <w:spacing w:line="360" w:lineRule="auto"/>
              <w:jc w:val="center"/>
              <w:textAlignment w:val="center"/>
              <w:rPr>
                <w:rFonts w:ascii="宋体" w:hAnsi="宋体" w:cs="宋体"/>
                <w:b/>
                <w:color w:val="auto"/>
                <w:sz w:val="24"/>
                <w:highlight w:val="none"/>
              </w:rPr>
            </w:pPr>
          </w:p>
        </w:tc>
        <w:tc>
          <w:tcPr>
            <w:tcW w:w="1427" w:type="dxa"/>
            <w:noWrap w:val="0"/>
            <w:tcMar>
              <w:top w:w="15" w:type="dxa"/>
              <w:left w:w="15" w:type="dxa"/>
              <w:bottom w:w="15" w:type="dxa"/>
              <w:right w:w="15" w:type="dxa"/>
            </w:tcMar>
            <w:vAlign w:val="center"/>
          </w:tcPr>
          <w:p w14:paraId="1B7A7330">
            <w:pPr>
              <w:pStyle w:val="63"/>
              <w:widowControl/>
              <w:spacing w:line="360" w:lineRule="auto"/>
              <w:ind w:firstLine="0" w:firstLineChars="0"/>
              <w:jc w:val="center"/>
              <w:rPr>
                <w:rFonts w:ascii="宋体" w:hAnsi="宋体" w:eastAsia="宋体" w:cs="宋体"/>
                <w:color w:val="auto"/>
                <w:szCs w:val="21"/>
                <w:highlight w:val="none"/>
              </w:rPr>
            </w:pPr>
            <w:r>
              <w:rPr>
                <w:rFonts w:hint="eastAsia" w:ascii="宋体" w:hAnsi="宋体" w:eastAsia="宋体" w:cs="宋体"/>
                <w:color w:val="auto"/>
                <w:szCs w:val="21"/>
                <w:highlight w:val="none"/>
              </w:rPr>
              <w:t>项目实施方案</w:t>
            </w:r>
          </w:p>
        </w:tc>
        <w:tc>
          <w:tcPr>
            <w:tcW w:w="6095" w:type="dxa"/>
            <w:noWrap w:val="0"/>
            <w:tcMar>
              <w:top w:w="15" w:type="dxa"/>
              <w:left w:w="15" w:type="dxa"/>
              <w:bottom w:w="15" w:type="dxa"/>
              <w:right w:w="15" w:type="dxa"/>
            </w:tcMar>
            <w:vAlign w:val="center"/>
          </w:tcPr>
          <w:p w14:paraId="2D5BBB45">
            <w:pPr>
              <w:widowControl/>
              <w:autoSpaceDE w:val="0"/>
              <w:autoSpaceDN w:val="0"/>
              <w:adjustRightInd w:val="0"/>
              <w:spacing w:line="288" w:lineRule="auto"/>
              <w:jc w:val="left"/>
              <w:rPr>
                <w:rFonts w:hint="eastAsia" w:ascii="宋体" w:hAnsi="宋体" w:eastAsia="宋体" w:cs="宋体"/>
                <w:color w:val="auto"/>
                <w:kern w:val="2"/>
                <w:sz w:val="21"/>
                <w:szCs w:val="21"/>
                <w:highlight w:val="none"/>
                <w:lang w:val="en-GB" w:eastAsia="zh-CN" w:bidi="ar-SA"/>
              </w:rPr>
            </w:pPr>
            <w:r>
              <w:rPr>
                <w:rFonts w:hint="eastAsia" w:ascii="宋体" w:hAnsi="宋体" w:eastAsia="宋体" w:cs="宋体"/>
                <w:color w:val="auto"/>
                <w:kern w:val="2"/>
                <w:sz w:val="21"/>
                <w:szCs w:val="21"/>
                <w:highlight w:val="none"/>
                <w:lang w:val="en-GB" w:eastAsia="zh-CN" w:bidi="ar-SA"/>
              </w:rPr>
              <w:t>投标人应当针对邀标人的</w:t>
            </w:r>
            <w:r>
              <w:rPr>
                <w:rFonts w:hint="eastAsia" w:ascii="宋体" w:hAnsi="宋体" w:eastAsia="宋体" w:cs="宋体"/>
                <w:color w:val="auto"/>
                <w:kern w:val="2"/>
                <w:sz w:val="21"/>
                <w:szCs w:val="21"/>
                <w:highlight w:val="none"/>
                <w:lang w:val="en-US" w:eastAsia="zh-CN" w:bidi="ar-SA"/>
              </w:rPr>
              <w:t>催收合作</w:t>
            </w:r>
            <w:r>
              <w:rPr>
                <w:rFonts w:hint="eastAsia" w:ascii="宋体" w:hAnsi="宋体" w:eastAsia="宋体" w:cs="宋体"/>
                <w:color w:val="auto"/>
                <w:kern w:val="2"/>
                <w:sz w:val="21"/>
                <w:szCs w:val="21"/>
                <w:highlight w:val="none"/>
                <w:lang w:val="en-GB" w:eastAsia="zh-CN" w:bidi="ar-SA"/>
              </w:rPr>
              <w:t>业务制定详细的服务方案，包括但不限于催收业务作业标准、是否专案催收、人员配置、培训机制、投诉预警及处理、信息安全与保密、管理考核、应急预案等内容进行明确，</w:t>
            </w:r>
            <w:r>
              <w:rPr>
                <w:rFonts w:hint="eastAsia" w:ascii="宋体" w:hAnsi="宋体" w:cs="宋体"/>
                <w:color w:val="auto"/>
                <w:kern w:val="0"/>
                <w:szCs w:val="21"/>
                <w:highlight w:val="none"/>
              </w:rPr>
              <w:t>须保证所采取的催收手段合法、合规、有效，如电话、信函、法务等，</w:t>
            </w:r>
            <w:r>
              <w:rPr>
                <w:rFonts w:hint="eastAsia" w:ascii="宋体" w:hAnsi="宋体" w:eastAsia="宋体" w:cs="宋体"/>
                <w:color w:val="auto"/>
                <w:kern w:val="2"/>
                <w:sz w:val="21"/>
                <w:szCs w:val="21"/>
                <w:highlight w:val="none"/>
                <w:lang w:val="en-GB" w:eastAsia="zh-CN" w:bidi="ar-SA"/>
              </w:rPr>
              <w:t>保证服务及时性、有效性和经济性：</w:t>
            </w:r>
          </w:p>
          <w:p w14:paraId="742F7EBC">
            <w:pPr>
              <w:widowControl/>
              <w:autoSpaceDE w:val="0"/>
              <w:autoSpaceDN w:val="0"/>
              <w:adjustRightInd w:val="0"/>
              <w:spacing w:line="288" w:lineRule="auto"/>
              <w:jc w:val="left"/>
              <w:rPr>
                <w:rFonts w:hint="eastAsia" w:ascii="宋体" w:hAnsi="宋体" w:eastAsia="宋体" w:cs="宋体"/>
                <w:color w:val="auto"/>
                <w:kern w:val="2"/>
                <w:sz w:val="21"/>
                <w:szCs w:val="21"/>
                <w:highlight w:val="none"/>
                <w:lang w:val="en-GB" w:eastAsia="zh-CN" w:bidi="ar-SA"/>
              </w:rPr>
            </w:pPr>
            <w:r>
              <w:rPr>
                <w:rFonts w:hint="eastAsia" w:ascii="宋体" w:hAnsi="宋体" w:eastAsia="宋体" w:cs="宋体"/>
                <w:color w:val="auto"/>
                <w:kern w:val="2"/>
                <w:sz w:val="21"/>
                <w:szCs w:val="21"/>
                <w:highlight w:val="none"/>
                <w:lang w:val="en-GB" w:eastAsia="zh-CN" w:bidi="ar-SA"/>
              </w:rPr>
              <w:t>1）服务团队具备丰富的同类型项目经验，</w:t>
            </w:r>
            <w:r>
              <w:rPr>
                <w:rFonts w:hint="eastAsia" w:ascii="宋体" w:hAnsi="宋体" w:eastAsia="宋体" w:cs="宋体"/>
                <w:color w:val="auto"/>
                <w:kern w:val="2"/>
                <w:sz w:val="21"/>
                <w:szCs w:val="21"/>
                <w:highlight w:val="none"/>
                <w:lang w:val="en-US" w:eastAsia="zh-CN" w:bidi="ar-SA"/>
              </w:rPr>
              <w:t>对汽车金融业务催收合作业务熟悉度高，</w:t>
            </w:r>
            <w:r>
              <w:rPr>
                <w:rFonts w:hint="eastAsia" w:ascii="宋体" w:hAnsi="宋体" w:eastAsia="宋体" w:cs="宋体"/>
                <w:color w:val="auto"/>
                <w:kern w:val="2"/>
                <w:sz w:val="21"/>
                <w:szCs w:val="21"/>
                <w:highlight w:val="none"/>
                <w:lang w:val="en-GB" w:eastAsia="zh-CN" w:bidi="ar-SA"/>
              </w:rPr>
              <w:t>服务方案编制科学、合理，符合公司</w:t>
            </w:r>
            <w:r>
              <w:rPr>
                <w:rFonts w:hint="eastAsia" w:ascii="宋体" w:hAnsi="宋体" w:eastAsia="宋体" w:cs="宋体"/>
                <w:color w:val="auto"/>
                <w:kern w:val="2"/>
                <w:sz w:val="21"/>
                <w:szCs w:val="21"/>
                <w:highlight w:val="none"/>
                <w:lang w:val="en-US" w:eastAsia="zh-CN" w:bidi="ar-SA"/>
              </w:rPr>
              <w:t>对催收合作工作的</w:t>
            </w:r>
            <w:r>
              <w:rPr>
                <w:rFonts w:hint="eastAsia" w:ascii="宋体" w:hAnsi="宋体" w:eastAsia="宋体" w:cs="宋体"/>
                <w:color w:val="auto"/>
                <w:kern w:val="2"/>
                <w:sz w:val="21"/>
                <w:szCs w:val="21"/>
                <w:highlight w:val="none"/>
                <w:lang w:val="en-GB" w:eastAsia="zh-CN" w:bidi="ar-SA"/>
              </w:rPr>
              <w:t>要求，工作思路清晰，可行性强，得</w:t>
            </w:r>
            <w:r>
              <w:rPr>
                <w:rFonts w:hint="eastAsia" w:ascii="宋体" w:hAnsi="宋体" w:eastAsia="宋体" w:cs="宋体"/>
                <w:color w:val="auto"/>
                <w:kern w:val="2"/>
                <w:sz w:val="21"/>
                <w:szCs w:val="21"/>
                <w:highlight w:val="none"/>
                <w:lang w:val="en-US" w:eastAsia="zh-CN" w:bidi="ar-SA"/>
              </w:rPr>
              <w:t>30-45</w:t>
            </w:r>
            <w:r>
              <w:rPr>
                <w:rFonts w:hint="eastAsia" w:ascii="宋体" w:hAnsi="宋体" w:eastAsia="宋体" w:cs="宋体"/>
                <w:color w:val="auto"/>
                <w:kern w:val="2"/>
                <w:sz w:val="21"/>
                <w:szCs w:val="21"/>
                <w:highlight w:val="none"/>
                <w:lang w:val="en-GB" w:eastAsia="zh-CN" w:bidi="ar-SA"/>
              </w:rPr>
              <w:t>分；</w:t>
            </w:r>
          </w:p>
          <w:p w14:paraId="54228FEE">
            <w:pPr>
              <w:widowControl/>
              <w:autoSpaceDE w:val="0"/>
              <w:autoSpaceDN w:val="0"/>
              <w:adjustRightInd w:val="0"/>
              <w:spacing w:line="288" w:lineRule="auto"/>
              <w:jc w:val="left"/>
              <w:rPr>
                <w:rFonts w:hint="eastAsia" w:ascii="宋体" w:hAnsi="宋体" w:eastAsia="宋体" w:cs="宋体"/>
                <w:color w:val="auto"/>
                <w:kern w:val="2"/>
                <w:sz w:val="21"/>
                <w:szCs w:val="21"/>
                <w:highlight w:val="none"/>
                <w:lang w:val="en-GB" w:eastAsia="zh-CN" w:bidi="ar-SA"/>
              </w:rPr>
            </w:pPr>
            <w:r>
              <w:rPr>
                <w:rFonts w:hint="eastAsia" w:ascii="宋体" w:hAnsi="宋体" w:eastAsia="宋体" w:cs="宋体"/>
                <w:color w:val="auto"/>
                <w:kern w:val="2"/>
                <w:sz w:val="21"/>
                <w:szCs w:val="21"/>
                <w:highlight w:val="none"/>
                <w:lang w:val="en-GB" w:eastAsia="zh-CN" w:bidi="ar-SA"/>
              </w:rPr>
              <w:t>2）服务团队具备一定的同类型项目经验，</w:t>
            </w:r>
            <w:r>
              <w:rPr>
                <w:rFonts w:hint="eastAsia" w:ascii="宋体" w:hAnsi="宋体" w:eastAsia="宋体" w:cs="宋体"/>
                <w:color w:val="auto"/>
                <w:kern w:val="2"/>
                <w:sz w:val="21"/>
                <w:szCs w:val="21"/>
                <w:highlight w:val="none"/>
                <w:lang w:val="en-US" w:eastAsia="zh-CN" w:bidi="ar-SA"/>
              </w:rPr>
              <w:t>对汽车金融业务熟悉度较高，</w:t>
            </w:r>
            <w:r>
              <w:rPr>
                <w:rFonts w:hint="eastAsia" w:ascii="宋体" w:hAnsi="宋体" w:eastAsia="宋体" w:cs="宋体"/>
                <w:color w:val="auto"/>
                <w:kern w:val="2"/>
                <w:sz w:val="21"/>
                <w:szCs w:val="21"/>
                <w:highlight w:val="none"/>
                <w:lang w:val="en-GB" w:eastAsia="zh-CN" w:bidi="ar-SA"/>
              </w:rPr>
              <w:t>服务方案编制</w:t>
            </w:r>
            <w:r>
              <w:rPr>
                <w:rFonts w:hint="eastAsia" w:ascii="宋体" w:hAnsi="宋体" w:eastAsia="宋体" w:cs="宋体"/>
                <w:color w:val="auto"/>
                <w:kern w:val="2"/>
                <w:sz w:val="21"/>
                <w:szCs w:val="21"/>
                <w:highlight w:val="none"/>
                <w:lang w:val="en-US" w:eastAsia="zh-CN" w:bidi="ar-SA"/>
              </w:rPr>
              <w:t>较为</w:t>
            </w:r>
            <w:r>
              <w:rPr>
                <w:rFonts w:hint="eastAsia" w:ascii="宋体" w:hAnsi="宋体" w:eastAsia="宋体" w:cs="宋体"/>
                <w:color w:val="auto"/>
                <w:kern w:val="2"/>
                <w:sz w:val="21"/>
                <w:szCs w:val="21"/>
                <w:highlight w:val="none"/>
                <w:lang w:val="en-GB" w:eastAsia="zh-CN" w:bidi="ar-SA"/>
              </w:rPr>
              <w:t>科学、合理，得</w:t>
            </w:r>
            <w:r>
              <w:rPr>
                <w:rFonts w:hint="eastAsia" w:ascii="宋体" w:hAnsi="宋体" w:eastAsia="宋体" w:cs="宋体"/>
                <w:color w:val="auto"/>
                <w:kern w:val="2"/>
                <w:sz w:val="21"/>
                <w:szCs w:val="21"/>
                <w:highlight w:val="none"/>
                <w:lang w:val="en-US" w:eastAsia="zh-CN" w:bidi="ar-SA"/>
              </w:rPr>
              <w:t>15-29</w:t>
            </w:r>
            <w:r>
              <w:rPr>
                <w:rFonts w:hint="eastAsia" w:ascii="宋体" w:hAnsi="宋体" w:eastAsia="宋体" w:cs="宋体"/>
                <w:color w:val="auto"/>
                <w:kern w:val="2"/>
                <w:sz w:val="21"/>
                <w:szCs w:val="21"/>
                <w:highlight w:val="none"/>
                <w:lang w:val="en-GB" w:eastAsia="zh-CN" w:bidi="ar-SA"/>
              </w:rPr>
              <w:t>分；</w:t>
            </w:r>
          </w:p>
          <w:p w14:paraId="436CEFE4">
            <w:pPr>
              <w:widowControl/>
              <w:autoSpaceDE w:val="0"/>
              <w:autoSpaceDN w:val="0"/>
              <w:adjustRightInd w:val="0"/>
              <w:spacing w:line="288" w:lineRule="auto"/>
              <w:jc w:val="left"/>
              <w:rPr>
                <w:rFonts w:hint="eastAsia" w:ascii="微软雅黑" w:hAnsi="微软雅黑" w:eastAsia="微软雅黑" w:cs="宋体"/>
                <w:color w:val="auto"/>
                <w:kern w:val="0"/>
                <w:sz w:val="24"/>
                <w:szCs w:val="24"/>
                <w:highlight w:val="none"/>
                <w:lang w:val="en-GB" w:eastAsia="zh-CN"/>
              </w:rPr>
            </w:pPr>
            <w:r>
              <w:rPr>
                <w:rFonts w:hint="eastAsia" w:ascii="宋体" w:hAnsi="宋体" w:eastAsia="宋体" w:cs="宋体"/>
                <w:color w:val="auto"/>
                <w:kern w:val="2"/>
                <w:sz w:val="21"/>
                <w:szCs w:val="21"/>
                <w:highlight w:val="none"/>
                <w:lang w:val="en-GB" w:eastAsia="zh-CN" w:bidi="ar-SA"/>
              </w:rPr>
              <w:t>3）服务团队具备的同类型项目经验较少，</w:t>
            </w:r>
            <w:r>
              <w:rPr>
                <w:rFonts w:hint="eastAsia" w:ascii="宋体" w:hAnsi="宋体" w:eastAsia="宋体" w:cs="宋体"/>
                <w:color w:val="auto"/>
                <w:kern w:val="2"/>
                <w:sz w:val="21"/>
                <w:szCs w:val="21"/>
                <w:highlight w:val="none"/>
                <w:lang w:val="en-US" w:eastAsia="zh-CN" w:bidi="ar-SA"/>
              </w:rPr>
              <w:t>对汽车金融业务熟悉度较低，</w:t>
            </w:r>
            <w:r>
              <w:rPr>
                <w:rFonts w:hint="eastAsia" w:ascii="宋体" w:hAnsi="宋体" w:eastAsia="宋体" w:cs="宋体"/>
                <w:color w:val="auto"/>
                <w:kern w:val="2"/>
                <w:sz w:val="21"/>
                <w:szCs w:val="21"/>
                <w:highlight w:val="none"/>
                <w:lang w:val="en-GB" w:eastAsia="zh-CN" w:bidi="ar-SA"/>
              </w:rPr>
              <w:t>服务方案工作思路较为模糊，可行性较低，方案内容混乱，与项目需求契合度较低；得0-</w:t>
            </w:r>
            <w:r>
              <w:rPr>
                <w:rFonts w:hint="eastAsia" w:ascii="宋体" w:hAnsi="宋体" w:eastAsia="宋体" w:cs="宋体"/>
                <w:color w:val="auto"/>
                <w:kern w:val="2"/>
                <w:sz w:val="21"/>
                <w:szCs w:val="21"/>
                <w:highlight w:val="none"/>
                <w:lang w:val="en-US" w:eastAsia="zh-CN" w:bidi="ar-SA"/>
              </w:rPr>
              <w:t>14</w:t>
            </w:r>
            <w:r>
              <w:rPr>
                <w:rFonts w:hint="eastAsia" w:ascii="宋体" w:hAnsi="宋体" w:eastAsia="宋体" w:cs="宋体"/>
                <w:color w:val="auto"/>
                <w:kern w:val="2"/>
                <w:sz w:val="21"/>
                <w:szCs w:val="21"/>
                <w:highlight w:val="none"/>
                <w:lang w:val="en-GB" w:eastAsia="zh-CN" w:bidi="ar-SA"/>
              </w:rPr>
              <w:t>分。</w:t>
            </w:r>
          </w:p>
        </w:tc>
        <w:tc>
          <w:tcPr>
            <w:tcW w:w="644" w:type="dxa"/>
            <w:noWrap w:val="0"/>
            <w:tcMar>
              <w:top w:w="15" w:type="dxa"/>
              <w:left w:w="15" w:type="dxa"/>
              <w:bottom w:w="15" w:type="dxa"/>
              <w:right w:w="15" w:type="dxa"/>
            </w:tcMar>
            <w:vAlign w:val="center"/>
          </w:tcPr>
          <w:p w14:paraId="2678FF44">
            <w:pPr>
              <w:widowControl/>
              <w:spacing w:line="360" w:lineRule="auto"/>
              <w:jc w:val="center"/>
              <w:textAlignment w:val="center"/>
              <w:rPr>
                <w:rFonts w:hint="default" w:ascii="宋体" w:hAnsi="宋体" w:eastAsia="宋体" w:cs="宋体"/>
                <w:color w:val="auto"/>
                <w:kern w:val="0"/>
                <w:sz w:val="24"/>
                <w:highlight w:val="none"/>
                <w:lang w:val="en-US" w:eastAsia="zh-CN"/>
              </w:rPr>
            </w:pPr>
            <w:r>
              <w:rPr>
                <w:rFonts w:hint="eastAsia" w:ascii="宋体" w:hAnsi="宋体" w:cs="宋体"/>
                <w:color w:val="auto"/>
                <w:kern w:val="0"/>
                <w:sz w:val="24"/>
                <w:highlight w:val="none"/>
                <w:lang w:val="en-US" w:eastAsia="zh-CN"/>
              </w:rPr>
              <w:t>45</w:t>
            </w:r>
          </w:p>
        </w:tc>
      </w:tr>
      <w:tr w14:paraId="7F12E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 w:hRule="atLeast"/>
          <w:jc w:val="center"/>
        </w:trPr>
        <w:tc>
          <w:tcPr>
            <w:tcW w:w="1289" w:type="dxa"/>
            <w:noWrap w:val="0"/>
            <w:tcMar>
              <w:top w:w="15" w:type="dxa"/>
              <w:left w:w="15" w:type="dxa"/>
              <w:bottom w:w="15" w:type="dxa"/>
              <w:right w:w="15" w:type="dxa"/>
            </w:tcMar>
            <w:vAlign w:val="center"/>
          </w:tcPr>
          <w:p w14:paraId="5AF3CBAD">
            <w:pPr>
              <w:widowControl/>
              <w:spacing w:line="360" w:lineRule="auto"/>
              <w:jc w:val="center"/>
              <w:textAlignment w:val="center"/>
              <w:rPr>
                <w:rFonts w:ascii="宋体" w:hAnsi="宋体" w:cs="宋体"/>
                <w:b/>
                <w:bCs/>
                <w:color w:val="auto"/>
                <w:sz w:val="24"/>
                <w:highlight w:val="none"/>
              </w:rPr>
            </w:pPr>
            <w:r>
              <w:rPr>
                <w:rFonts w:hint="eastAsia" w:ascii="宋体" w:hAnsi="宋体" w:cs="宋体"/>
                <w:b/>
                <w:bCs/>
                <w:color w:val="auto"/>
                <w:kern w:val="0"/>
                <w:sz w:val="24"/>
                <w:highlight w:val="none"/>
              </w:rPr>
              <w:t>合计</w:t>
            </w:r>
          </w:p>
        </w:tc>
        <w:tc>
          <w:tcPr>
            <w:tcW w:w="8166" w:type="dxa"/>
            <w:gridSpan w:val="3"/>
            <w:noWrap w:val="0"/>
            <w:tcMar>
              <w:top w:w="15" w:type="dxa"/>
              <w:left w:w="15" w:type="dxa"/>
              <w:bottom w:w="15" w:type="dxa"/>
              <w:right w:w="15" w:type="dxa"/>
            </w:tcMar>
            <w:vAlign w:val="center"/>
          </w:tcPr>
          <w:p w14:paraId="5DB2569A">
            <w:pPr>
              <w:pStyle w:val="63"/>
              <w:widowControl/>
              <w:spacing w:line="360" w:lineRule="auto"/>
              <w:ind w:firstLine="0" w:firstLineChars="0"/>
              <w:jc w:val="center"/>
              <w:rPr>
                <w:rFonts w:ascii="宋体" w:hAnsi="宋体" w:cs="宋体"/>
                <w:b/>
                <w:bCs/>
                <w:color w:val="auto"/>
                <w:sz w:val="24"/>
                <w:highlight w:val="none"/>
              </w:rPr>
            </w:pPr>
            <w:r>
              <w:rPr>
                <w:rFonts w:hint="eastAsia" w:ascii="宋体" w:hAnsi="宋体" w:cs="宋体"/>
                <w:b/>
                <w:bCs/>
                <w:color w:val="auto"/>
                <w:sz w:val="24"/>
                <w:highlight w:val="none"/>
              </w:rPr>
              <w:t>100</w:t>
            </w:r>
          </w:p>
        </w:tc>
      </w:tr>
    </w:tbl>
    <w:p w14:paraId="63FE6794">
      <w:pPr>
        <w:pStyle w:val="12"/>
        <w:numPr>
          <w:ilvl w:val="-1"/>
          <w:numId w:val="0"/>
        </w:numPr>
        <w:rPr>
          <w:rFonts w:hint="eastAsia" w:ascii="宋体" w:hAnsi="宋体" w:eastAsia="宋体" w:cs="宋体"/>
          <w:b/>
          <w:bCs/>
          <w:color w:val="auto"/>
          <w:kern w:val="2"/>
          <w:sz w:val="21"/>
          <w:szCs w:val="21"/>
          <w:highlight w:val="none"/>
          <w:lang w:val="en-US" w:eastAsia="zh-CN" w:bidi="ar-SA"/>
        </w:rPr>
      </w:pPr>
      <w:r>
        <w:rPr>
          <w:rFonts w:hint="eastAsia" w:ascii="宋体" w:hAnsi="宋体" w:eastAsia="宋体" w:cs="宋体"/>
          <w:b/>
          <w:bCs/>
          <w:color w:val="auto"/>
          <w:kern w:val="2"/>
          <w:sz w:val="21"/>
          <w:szCs w:val="21"/>
          <w:highlight w:val="none"/>
          <w:lang w:val="en-US" w:eastAsia="zh-CN" w:bidi="ar-SA"/>
        </w:rPr>
        <w:t>(3)技术标评分不带入商务标，技术标入围后，投标人与专家组需在报价基础上，开展至少三轮商务谈判，</w:t>
      </w:r>
      <w:r>
        <w:rPr>
          <w:rFonts w:hint="eastAsia" w:ascii="宋体" w:hAnsi="宋体" w:cs="宋体"/>
          <w:b/>
          <w:bCs/>
          <w:color w:val="auto"/>
          <w:kern w:val="2"/>
          <w:sz w:val="21"/>
          <w:szCs w:val="21"/>
          <w:highlight w:val="none"/>
          <w:lang w:val="en-US" w:eastAsia="zh-CN" w:bidi="ar-SA"/>
        </w:rPr>
        <w:t>原则上选取合理价格最低的四家中标</w:t>
      </w:r>
      <w:r>
        <w:rPr>
          <w:rFonts w:hint="eastAsia" w:ascii="宋体" w:hAnsi="宋体" w:eastAsia="宋体" w:cs="宋体"/>
          <w:b/>
          <w:bCs/>
          <w:color w:val="auto"/>
          <w:kern w:val="2"/>
          <w:sz w:val="21"/>
          <w:szCs w:val="21"/>
          <w:highlight w:val="none"/>
          <w:lang w:val="en-US" w:eastAsia="zh-CN" w:bidi="ar-SA"/>
        </w:rPr>
        <w:t>。</w:t>
      </w:r>
    </w:p>
    <w:p w14:paraId="7C0A112D">
      <w:pPr>
        <w:pStyle w:val="73"/>
        <w:rPr>
          <w:color w:val="auto"/>
          <w:highlight w:val="none"/>
        </w:rPr>
      </w:pPr>
      <w:r>
        <w:rPr>
          <w:rFonts w:hint="eastAsia"/>
          <w:color w:val="auto"/>
          <w:highlight w:val="none"/>
          <w:lang w:val="en-US" w:eastAsia="zh-CN"/>
        </w:rPr>
        <w:t>定标</w:t>
      </w:r>
    </w:p>
    <w:p w14:paraId="6B705137">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rPr>
        <w:t>本项目只产生</w:t>
      </w:r>
      <w:r>
        <w:rPr>
          <w:rFonts w:hint="eastAsia" w:ascii="宋体" w:hAnsi="宋体" w:eastAsia="宋体" w:cs="宋体"/>
          <w:b w:val="0"/>
          <w:bCs w:val="0"/>
          <w:color w:val="auto"/>
          <w:sz w:val="21"/>
          <w:szCs w:val="21"/>
          <w:highlight w:val="none"/>
          <w:u w:val="single"/>
          <w:lang w:val="en-US" w:eastAsia="zh-CN"/>
        </w:rPr>
        <w:t>4</w:t>
      </w:r>
      <w:r>
        <w:rPr>
          <w:rFonts w:hint="eastAsia" w:ascii="宋体" w:hAnsi="宋体" w:eastAsia="宋体" w:cs="宋体"/>
          <w:b w:val="0"/>
          <w:bCs w:val="0"/>
          <w:color w:val="auto"/>
          <w:sz w:val="21"/>
          <w:szCs w:val="21"/>
          <w:highlight w:val="none"/>
        </w:rPr>
        <w:t>个中标人。中标人签订合同前须进行最终审查。最终审查的对象</w:t>
      </w:r>
      <w:r>
        <w:rPr>
          <w:rFonts w:hint="eastAsia" w:ascii="宋体" w:hAnsi="宋体" w:eastAsia="宋体" w:cs="宋体"/>
          <w:b w:val="0"/>
          <w:bCs w:val="0"/>
          <w:color w:val="auto"/>
          <w:sz w:val="21"/>
          <w:szCs w:val="21"/>
          <w:highlight w:val="none"/>
          <w:lang w:val="en-US" w:eastAsia="zh-CN"/>
        </w:rPr>
        <w:t>是</w:t>
      </w:r>
      <w:r>
        <w:rPr>
          <w:rFonts w:hint="eastAsia" w:ascii="宋体" w:hAnsi="宋体" w:eastAsia="宋体" w:cs="宋体"/>
          <w:b w:val="0"/>
          <w:bCs w:val="0"/>
          <w:color w:val="auto"/>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color w:val="auto"/>
          <w:sz w:val="21"/>
          <w:szCs w:val="21"/>
          <w:highlight w:val="none"/>
          <w:lang w:val="en-US" w:eastAsia="zh-CN"/>
        </w:rPr>
        <w:t>的</w:t>
      </w:r>
      <w:r>
        <w:rPr>
          <w:rFonts w:hint="eastAsia" w:ascii="宋体" w:hAnsi="宋体" w:eastAsia="宋体" w:cs="宋体"/>
          <w:b w:val="0"/>
          <w:bCs w:val="0"/>
          <w:color w:val="auto"/>
          <w:sz w:val="21"/>
          <w:szCs w:val="21"/>
          <w:highlight w:val="none"/>
        </w:rPr>
        <w:t>，则本次评标作废</w:t>
      </w:r>
      <w:r>
        <w:rPr>
          <w:rFonts w:hint="eastAsia" w:ascii="宋体" w:hAnsi="宋体" w:eastAsia="宋体" w:cs="宋体"/>
          <w:b w:val="0"/>
          <w:bCs w:val="0"/>
          <w:color w:val="auto"/>
          <w:sz w:val="21"/>
          <w:szCs w:val="21"/>
          <w:highlight w:val="none"/>
          <w:lang w:val="en-US" w:eastAsia="zh-CN"/>
        </w:rPr>
        <w:t>或变更意向中标人</w:t>
      </w:r>
      <w:r>
        <w:rPr>
          <w:rFonts w:hint="eastAsia" w:ascii="宋体" w:hAnsi="宋体" w:eastAsia="宋体" w:cs="宋体"/>
          <w:b w:val="0"/>
          <w:bCs w:val="0"/>
          <w:color w:val="auto"/>
          <w:sz w:val="21"/>
          <w:szCs w:val="21"/>
          <w:highlight w:val="none"/>
          <w:lang w:eastAsia="zh-CN"/>
        </w:rPr>
        <w:t>。</w:t>
      </w:r>
    </w:p>
    <w:p w14:paraId="4B41384C">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bCs/>
          <w:color w:val="auto"/>
          <w:sz w:val="21"/>
          <w:szCs w:val="21"/>
          <w:highlight w:val="none"/>
          <w:lang w:val="en-US" w:eastAsia="zh-CN"/>
        </w:rPr>
        <w:t>本次招标仅为入库，招标人不对具体催收业务分配作出承诺，招标人有权按照内部管理要求、综合考虑服务商能力等分配催收业务。</w:t>
      </w:r>
    </w:p>
    <w:p w14:paraId="434A2260">
      <w:pPr>
        <w:pStyle w:val="73"/>
        <w:rPr>
          <w:color w:val="auto"/>
          <w:highlight w:val="none"/>
        </w:rPr>
      </w:pPr>
      <w:r>
        <w:rPr>
          <w:rFonts w:hint="eastAsia"/>
          <w:color w:val="auto"/>
          <w:highlight w:val="none"/>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w:t>
      </w:r>
      <w:r>
        <w:rPr>
          <w:rFonts w:hint="eastAsia" w:ascii="宋体" w:hAnsi="宋体" w:eastAsia="宋体" w:cs="宋体"/>
          <w:color w:val="auto"/>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(2)</w:t>
      </w:r>
      <w:r>
        <w:rPr>
          <w:rFonts w:hint="eastAsia" w:ascii="宋体" w:hAnsi="宋体" w:eastAsia="宋体" w:cs="宋体"/>
          <w:color w:val="auto"/>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(3)</w:t>
      </w:r>
      <w:r>
        <w:rPr>
          <w:rFonts w:hint="eastAsia" w:ascii="宋体" w:hAnsi="宋体" w:eastAsia="宋体" w:cs="宋体"/>
          <w:color w:val="auto"/>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(4)</w:t>
      </w:r>
      <w:r>
        <w:rPr>
          <w:rFonts w:hint="eastAsia" w:ascii="宋体" w:hAnsi="宋体" w:eastAsia="宋体" w:cs="宋体"/>
          <w:color w:val="auto"/>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(5)</w:t>
      </w:r>
      <w:r>
        <w:rPr>
          <w:rFonts w:hint="eastAsia" w:ascii="宋体" w:hAnsi="宋体" w:eastAsia="宋体" w:cs="宋体"/>
          <w:color w:val="auto"/>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(6)</w:t>
      </w:r>
      <w:r>
        <w:rPr>
          <w:rFonts w:hint="eastAsia" w:ascii="宋体" w:hAnsi="宋体" w:eastAsia="宋体" w:cs="宋体"/>
          <w:color w:val="auto"/>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(7)</w:t>
      </w:r>
      <w:r>
        <w:rPr>
          <w:rFonts w:hint="eastAsia" w:ascii="宋体" w:hAnsi="宋体" w:eastAsia="宋体" w:cs="宋体"/>
          <w:color w:val="auto"/>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(8)</w:t>
      </w:r>
      <w:r>
        <w:rPr>
          <w:rFonts w:hint="eastAsia" w:ascii="宋体" w:hAnsi="宋体" w:eastAsia="宋体" w:cs="宋体"/>
          <w:color w:val="auto"/>
          <w:sz w:val="21"/>
          <w:szCs w:val="21"/>
          <w:highlight w:val="none"/>
        </w:rPr>
        <w:t>投标人负责人为同一人或者存在控股、管理关系的不同单位；</w:t>
      </w:r>
    </w:p>
    <w:p w14:paraId="6C6BB3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(9)</w:t>
      </w:r>
      <w:r>
        <w:rPr>
          <w:rFonts w:hint="eastAsia" w:ascii="宋体" w:hAnsi="宋体" w:eastAsia="宋体" w:cs="宋体"/>
          <w:color w:val="auto"/>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(10)</w:t>
      </w:r>
      <w:r>
        <w:rPr>
          <w:rFonts w:hint="eastAsia" w:ascii="宋体" w:hAnsi="宋体" w:eastAsia="宋体" w:cs="宋体"/>
          <w:color w:val="auto"/>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(11)</w:t>
      </w:r>
      <w:r>
        <w:rPr>
          <w:rFonts w:hint="eastAsia" w:ascii="宋体" w:hAnsi="宋体" w:eastAsia="宋体" w:cs="宋体"/>
          <w:color w:val="auto"/>
          <w:sz w:val="21"/>
          <w:szCs w:val="21"/>
          <w:highlight w:val="none"/>
        </w:rPr>
        <w:t>投标人报价均超过</w:t>
      </w:r>
      <w:r>
        <w:rPr>
          <w:rFonts w:hint="eastAsia" w:ascii="宋体" w:hAnsi="宋体" w:cs="宋体"/>
          <w:color w:val="auto"/>
          <w:sz w:val="21"/>
          <w:szCs w:val="21"/>
          <w:highlight w:val="none"/>
          <w:lang w:val="en-US" w:eastAsia="zh-CN"/>
        </w:rPr>
        <w:t>最高限价</w:t>
      </w:r>
      <w:r>
        <w:rPr>
          <w:rFonts w:hint="eastAsia" w:ascii="宋体" w:hAnsi="宋体" w:eastAsia="宋体" w:cs="宋体"/>
          <w:color w:val="auto"/>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(12)</w:t>
      </w:r>
      <w:r>
        <w:rPr>
          <w:rFonts w:hint="eastAsia" w:ascii="宋体" w:hAnsi="宋体" w:eastAsia="宋体" w:cs="宋体"/>
          <w:color w:val="auto"/>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(13)</w:t>
      </w:r>
      <w:r>
        <w:rPr>
          <w:rFonts w:hint="eastAsia" w:ascii="宋体" w:hAnsi="宋体" w:eastAsia="宋体" w:cs="宋体"/>
          <w:b w:val="0"/>
          <w:bCs w:val="0"/>
          <w:color w:val="auto"/>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(14)</w:t>
      </w:r>
      <w:r>
        <w:rPr>
          <w:rFonts w:hint="eastAsia" w:ascii="宋体" w:hAnsi="宋体" w:eastAsia="宋体" w:cs="宋体"/>
          <w:color w:val="auto"/>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auto"/>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color w:val="auto"/>
          <w:sz w:val="21"/>
          <w:szCs w:val="21"/>
          <w:highlight w:val="none"/>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auto"/>
          <w:sz w:val="21"/>
          <w:szCs w:val="21"/>
          <w:highlight w:val="none"/>
        </w:rPr>
      </w:pPr>
      <w:r>
        <w:rPr>
          <w:rFonts w:hint="default" w:ascii="宋体" w:hAnsi="宋体" w:eastAsia="宋体" w:cs="宋体"/>
          <w:color w:val="auto"/>
          <w:kern w:val="2"/>
          <w:sz w:val="21"/>
          <w:szCs w:val="21"/>
          <w:highlight w:val="none"/>
          <w:lang w:val="en-US" w:eastAsia="zh-CN" w:bidi="ar-SA"/>
        </w:rPr>
        <w:t>(</w:t>
      </w:r>
      <w:r>
        <w:rPr>
          <w:rFonts w:hint="eastAsia" w:ascii="宋体" w:hAnsi="宋体" w:cs="宋体"/>
          <w:color w:val="auto"/>
          <w:kern w:val="2"/>
          <w:sz w:val="21"/>
          <w:szCs w:val="21"/>
          <w:highlight w:val="none"/>
          <w:lang w:val="en-US" w:eastAsia="zh-CN" w:bidi="ar-SA"/>
        </w:rPr>
        <w:t>2</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3</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ascii="宋体" w:hAnsi="宋体" w:cs="宋体"/>
          <w:bCs/>
          <w:color w:val="auto"/>
          <w:kern w:val="2"/>
          <w:sz w:val="21"/>
          <w:szCs w:val="21"/>
          <w:highlight w:val="none"/>
          <w:lang w:val="en-US" w:eastAsia="zh-CN" w:bidi="ar-SA"/>
        </w:rPr>
        <w:t>4</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因重大变故，采购任务取消的</w:t>
      </w:r>
      <w:bookmarkStart w:id="19" w:name="OLE_LINK26"/>
      <w:bookmarkStart w:id="20" w:name="OLE_LINK28"/>
      <w:bookmarkStart w:id="21" w:name="OLE_LINK29"/>
      <w:bookmarkStart w:id="22" w:name="OLE_LINK25"/>
      <w:bookmarkStart w:id="23" w:name="OLE_LINK27"/>
      <w:r>
        <w:rPr>
          <w:rFonts w:hint="eastAsia" w:ascii="宋体" w:hAnsi="宋体" w:eastAsia="宋体" w:cs="宋体"/>
          <w:bCs/>
          <w:color w:val="auto"/>
          <w:sz w:val="21"/>
          <w:szCs w:val="21"/>
          <w:highlight w:val="none"/>
        </w:rPr>
        <w:t>；</w:t>
      </w:r>
      <w:bookmarkEnd w:id="19"/>
      <w:bookmarkEnd w:id="20"/>
      <w:bookmarkEnd w:id="21"/>
      <w:bookmarkEnd w:id="22"/>
      <w:bookmarkEnd w:id="23"/>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color w:val="auto"/>
          <w:sz w:val="21"/>
          <w:szCs w:val="21"/>
          <w:highlight w:val="none"/>
        </w:rPr>
      </w:pPr>
      <w:r>
        <w:rPr>
          <w:rFonts w:hint="default" w:ascii="宋体" w:hAnsi="宋体" w:eastAsia="宋体" w:cs="宋体"/>
          <w:bCs/>
          <w:color w:val="auto"/>
          <w:kern w:val="2"/>
          <w:sz w:val="21"/>
          <w:szCs w:val="21"/>
          <w:highlight w:val="none"/>
          <w:lang w:val="en-US" w:eastAsia="zh-CN" w:bidi="ar-SA"/>
        </w:rPr>
        <w:t>(</w:t>
      </w:r>
      <w:r>
        <w:rPr>
          <w:rFonts w:hint="eastAsia" w:hAnsi="宋体" w:cs="宋体"/>
          <w:bCs/>
          <w:color w:val="auto"/>
          <w:kern w:val="2"/>
          <w:sz w:val="21"/>
          <w:szCs w:val="21"/>
          <w:highlight w:val="none"/>
          <w:lang w:val="en-US" w:eastAsia="zh-CN" w:bidi="ar-SA"/>
        </w:rPr>
        <w:t>5</w:t>
      </w:r>
      <w:r>
        <w:rPr>
          <w:rFonts w:hint="default" w:ascii="宋体" w:hAnsi="宋体" w:eastAsia="宋体" w:cs="宋体"/>
          <w:bCs/>
          <w:color w:val="auto"/>
          <w:kern w:val="2"/>
          <w:sz w:val="21"/>
          <w:szCs w:val="21"/>
          <w:highlight w:val="none"/>
          <w:lang w:val="en-US" w:eastAsia="zh-CN" w:bidi="ar-SA"/>
        </w:rPr>
        <w:t>)</w:t>
      </w:r>
      <w:r>
        <w:rPr>
          <w:rFonts w:hint="eastAsia" w:ascii="宋体" w:hAnsi="宋体" w:eastAsia="宋体" w:cs="宋体"/>
          <w:bCs/>
          <w:color w:val="auto"/>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color w:val="auto"/>
          <w:sz w:val="21"/>
          <w:szCs w:val="21"/>
          <w:highlight w:val="none"/>
        </w:rPr>
      </w:pPr>
      <w:r>
        <w:rPr>
          <w:rFonts w:hint="eastAsia" w:ascii="宋体" w:hAnsi="宋体" w:eastAsia="宋体" w:cs="宋体"/>
          <w:color w:val="auto"/>
          <w:kern w:val="2"/>
          <w:sz w:val="21"/>
          <w:szCs w:val="21"/>
          <w:highlight w:val="none"/>
          <w:lang w:val="en-US" w:eastAsia="zh-CN" w:bidi="ar-SA"/>
        </w:rPr>
        <w:t>3</w:t>
      </w:r>
      <w:r>
        <w:rPr>
          <w:rFonts w:hint="default" w:ascii="Times New Roman" w:hAnsi="Times New Roman" w:eastAsia="宋体" w:cs="Times New Roman"/>
          <w:color w:val="auto"/>
          <w:kern w:val="2"/>
          <w:sz w:val="21"/>
          <w:szCs w:val="21"/>
          <w:highlight w:val="none"/>
          <w:lang w:val="en-US" w:eastAsia="zh-CN" w:bidi="ar-SA"/>
        </w:rPr>
        <w:t>.</w:t>
      </w:r>
      <w:r>
        <w:rPr>
          <w:rFonts w:hint="eastAsia" w:ascii="宋体" w:hAnsi="宋体" w:eastAsia="宋体" w:cs="宋体"/>
          <w:color w:val="auto"/>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3"/>
        <w:rPr>
          <w:color w:val="auto"/>
          <w:highlight w:val="none"/>
        </w:rPr>
      </w:pPr>
      <w:r>
        <w:rPr>
          <w:rFonts w:hint="eastAsia"/>
          <w:color w:val="auto"/>
          <w:highlight w:val="none"/>
          <w:lang w:val="en-US" w:eastAsia="zh-CN"/>
        </w:rPr>
        <w:t>合同签订</w:t>
      </w:r>
    </w:p>
    <w:p w14:paraId="096E29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合同以双方最终签署的版本为准。</w:t>
      </w:r>
    </w:p>
    <w:p w14:paraId="610E8BB3">
      <w:pPr>
        <w:pStyle w:val="73"/>
        <w:rPr>
          <w:color w:val="auto"/>
          <w:highlight w:val="none"/>
        </w:rPr>
      </w:pPr>
      <w:r>
        <w:rPr>
          <w:rFonts w:hint="eastAsia"/>
          <w:color w:val="auto"/>
          <w:highlight w:val="none"/>
          <w:lang w:val="en-US" w:eastAsia="zh-CN"/>
        </w:rPr>
        <w:t>交货及付款</w:t>
      </w:r>
    </w:p>
    <w:p w14:paraId="291F9531">
      <w:pPr>
        <w:pStyle w:val="73"/>
        <w:numPr>
          <w:ilvl w:val="-1"/>
          <w:numId w:val="0"/>
        </w:numPr>
        <w:ind w:left="0" w:leftChars="0" w:firstLine="0" w:firstLineChars="0"/>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1.付款方式：银行转账</w:t>
      </w:r>
    </w:p>
    <w:p w14:paraId="3B88AC2F">
      <w:pPr>
        <w:pStyle w:val="73"/>
        <w:numPr>
          <w:ilvl w:val="-1"/>
          <w:numId w:val="0"/>
        </w:numPr>
        <w:ind w:left="0" w:leftChars="0" w:firstLine="0" w:firstLineChars="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服务费用按批次结算，委案结束次月清算上批次发生的服务费用，招标人审核认定金额后，收到符合财务要求的等额增值税专用发票及完整报账材料，提交报账流程，财务审核通过后付款，付款条件为发票挂账后立即到期。</w:t>
      </w:r>
    </w:p>
    <w:p w14:paraId="14CE0D05">
      <w:pPr>
        <w:pStyle w:val="73"/>
        <w:numPr>
          <w:ilvl w:val="-1"/>
          <w:numId w:val="0"/>
        </w:numPr>
        <w:ind w:left="0" w:leftChars="0" w:firstLine="0" w:firstLineChars="0"/>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3.服务期限</w:t>
      </w:r>
      <w:r>
        <w:rPr>
          <w:rFonts w:hint="eastAsia" w:ascii="宋体" w:hAnsi="宋体" w:eastAsia="宋体" w:cs="宋体"/>
          <w:b w:val="0"/>
          <w:bCs w:val="0"/>
          <w:color w:val="auto"/>
          <w:sz w:val="21"/>
          <w:szCs w:val="21"/>
          <w:highlight w:val="none"/>
          <w:u w:val="single"/>
          <w:lang w:val="en-US" w:eastAsia="zh-CN"/>
        </w:rPr>
        <w:t>2</w:t>
      </w:r>
      <w:r>
        <w:rPr>
          <w:rFonts w:hint="eastAsia" w:ascii="宋体" w:hAnsi="宋体" w:eastAsia="宋体" w:cs="宋体"/>
          <w:b w:val="0"/>
          <w:bCs w:val="0"/>
          <w:color w:val="auto"/>
          <w:sz w:val="21"/>
          <w:szCs w:val="21"/>
          <w:highlight w:val="none"/>
          <w:lang w:val="en-US" w:eastAsia="zh-CN"/>
        </w:rPr>
        <w:t>年。</w:t>
      </w:r>
    </w:p>
    <w:p w14:paraId="6E0D7439">
      <w:pPr>
        <w:pStyle w:val="73"/>
        <w:rPr>
          <w:rFonts w:hint="eastAsia"/>
          <w:color w:val="auto"/>
          <w:highlight w:val="none"/>
          <w:lang w:val="en-US" w:eastAsia="zh-CN"/>
        </w:rPr>
      </w:pPr>
      <w:r>
        <w:rPr>
          <w:rFonts w:hint="eastAsia"/>
          <w:color w:val="auto"/>
          <w:highlight w:val="none"/>
          <w:lang w:val="en-US" w:eastAsia="zh-CN"/>
        </w:rPr>
        <w:t>本次招标最终解释权归</w:t>
      </w:r>
      <w:r>
        <w:rPr>
          <w:rFonts w:hint="eastAsia"/>
          <w:b/>
          <w:bCs/>
          <w:color w:val="auto"/>
          <w:highlight w:val="none"/>
          <w:u w:val="none"/>
          <w:lang w:val="en-US" w:eastAsia="zh-CN"/>
        </w:rPr>
        <w:t>重汽汽车金融有限公司</w:t>
      </w:r>
      <w:r>
        <w:rPr>
          <w:rFonts w:hint="eastAsia"/>
          <w:color w:val="auto"/>
          <w:highlight w:val="none"/>
          <w:lang w:val="en-US" w:eastAsia="zh-CN"/>
        </w:rPr>
        <w:t>。</w:t>
      </w:r>
    </w:p>
    <w:p w14:paraId="66BCACD8">
      <w:pPr>
        <w:pStyle w:val="77"/>
        <w:rPr>
          <w:color w:val="auto"/>
          <w:highlight w:val="none"/>
        </w:rPr>
      </w:pPr>
    </w:p>
    <w:p w14:paraId="07A4B493">
      <w:pPr>
        <w:pStyle w:val="72"/>
        <w:jc w:val="both"/>
        <w:rPr>
          <w:rFonts w:hint="eastAsia"/>
          <w:color w:val="auto"/>
          <w:highlight w:val="none"/>
        </w:rPr>
      </w:pPr>
      <w:bookmarkStart w:id="24" w:name="_Toc47976607"/>
    </w:p>
    <w:p w14:paraId="0CF0635F">
      <w:pPr>
        <w:pStyle w:val="72"/>
        <w:jc w:val="both"/>
        <w:rPr>
          <w:rFonts w:hint="eastAsia"/>
          <w:color w:val="auto"/>
          <w:highlight w:val="none"/>
        </w:rPr>
      </w:pPr>
    </w:p>
    <w:p w14:paraId="3BF9777E">
      <w:pPr>
        <w:pStyle w:val="72"/>
        <w:jc w:val="both"/>
        <w:rPr>
          <w:rFonts w:hint="eastAsia"/>
          <w:color w:val="auto"/>
          <w:highlight w:val="none"/>
        </w:rPr>
      </w:pPr>
    </w:p>
    <w:p w14:paraId="7D949382">
      <w:pPr>
        <w:pStyle w:val="72"/>
        <w:jc w:val="both"/>
        <w:rPr>
          <w:rFonts w:hint="eastAsia"/>
          <w:color w:val="auto"/>
          <w:highlight w:val="none"/>
        </w:rPr>
      </w:pPr>
    </w:p>
    <w:p w14:paraId="243FF35F">
      <w:pPr>
        <w:pStyle w:val="72"/>
        <w:jc w:val="both"/>
        <w:rPr>
          <w:rFonts w:hint="eastAsia"/>
          <w:color w:val="auto"/>
          <w:highlight w:val="none"/>
        </w:rPr>
      </w:pPr>
    </w:p>
    <w:p w14:paraId="1FB6CA61">
      <w:pPr>
        <w:pStyle w:val="72"/>
        <w:jc w:val="center"/>
        <w:rPr>
          <w:rFonts w:hint="default" w:eastAsia="黑体"/>
          <w:color w:val="auto"/>
          <w:highlight w:val="none"/>
          <w:lang w:val="en-US" w:eastAsia="zh-CN"/>
        </w:rPr>
      </w:pPr>
      <w:bookmarkStart w:id="25" w:name="_Toc21111"/>
      <w:bookmarkStart w:id="26" w:name="_Toc1910"/>
      <w:r>
        <w:rPr>
          <w:rFonts w:hint="eastAsia"/>
          <w:color w:val="auto"/>
          <w:highlight w:val="none"/>
        </w:rPr>
        <w:t>第二部分　</w:t>
      </w:r>
      <w:bookmarkEnd w:id="24"/>
      <w:r>
        <w:rPr>
          <w:rFonts w:hint="eastAsia"/>
          <w:color w:val="auto"/>
          <w:highlight w:val="none"/>
          <w:lang w:val="en-US" w:eastAsia="zh-CN"/>
        </w:rPr>
        <w:t>技术标书</w:t>
      </w:r>
      <w:bookmarkEnd w:id="25"/>
      <w:bookmarkEnd w:id="26"/>
    </w:p>
    <w:p w14:paraId="296B783E">
      <w:pPr>
        <w:pStyle w:val="76"/>
        <w:numPr>
          <w:ilvl w:val="-1"/>
          <w:numId w:val="0"/>
        </w:numPr>
        <w:ind w:left="0" w:leftChars="0" w:firstLine="0"/>
        <w:rPr>
          <w:rFonts w:hint="eastAsia"/>
          <w:b/>
          <w:bCs w:val="0"/>
          <w:color w:val="auto"/>
          <w:highlight w:val="none"/>
          <w:lang w:val="en-US" w:eastAsia="zh-CN"/>
        </w:rPr>
      </w:pPr>
      <w:r>
        <w:rPr>
          <w:rFonts w:hint="eastAsia" w:ascii="黑体" w:hAnsi="黑体" w:eastAsia="黑体" w:cs="黑体"/>
          <w:b/>
          <w:bCs w:val="0"/>
          <w:color w:val="auto"/>
          <w:sz w:val="28"/>
          <w:szCs w:val="28"/>
          <w:highlight w:val="none"/>
          <w:lang w:val="en-US" w:eastAsia="zh-CN"/>
        </w:rPr>
        <w:t xml:space="preserve">一、服务方案 </w:t>
      </w:r>
      <w:r>
        <w:rPr>
          <w:rFonts w:hint="eastAsia"/>
          <w:b/>
          <w:bCs w:val="0"/>
          <w:color w:val="auto"/>
          <w:highlight w:val="none"/>
          <w:lang w:val="en-US" w:eastAsia="zh-CN"/>
        </w:rPr>
        <w:t xml:space="preserve">                                                  </w:t>
      </w:r>
    </w:p>
    <w:p w14:paraId="7D9BF13D">
      <w:pPr>
        <w:pStyle w:val="76"/>
        <w:numPr>
          <w:ilvl w:val="0"/>
          <w:numId w:val="0"/>
        </w:numPr>
        <w:ind w:leftChars="0"/>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投标人完整的质量管理及服务体系，投标人应根据项目特点写出服务方案及服务保证措施，具体内容包含但不限于以下内容：</w:t>
      </w:r>
    </w:p>
    <w:p w14:paraId="02E7375C">
      <w:pPr>
        <w:pStyle w:val="76"/>
        <w:numPr>
          <w:ilvl w:val="0"/>
          <w:numId w:val="29"/>
        </w:numPr>
        <w:ind w:left="425" w:leftChars="0" w:hanging="425"/>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服务方案；</w:t>
      </w:r>
    </w:p>
    <w:p w14:paraId="282F173F">
      <w:pPr>
        <w:pStyle w:val="76"/>
        <w:numPr>
          <w:ilvl w:val="0"/>
          <w:numId w:val="29"/>
        </w:numPr>
        <w:ind w:left="425" w:leftChars="0" w:hanging="425"/>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业务支持程度；</w:t>
      </w:r>
    </w:p>
    <w:p w14:paraId="19222775">
      <w:pPr>
        <w:pStyle w:val="76"/>
        <w:numPr>
          <w:ilvl w:val="0"/>
          <w:numId w:val="29"/>
        </w:numPr>
        <w:ind w:left="425" w:leftChars="0" w:hanging="425"/>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开展类似工作的优势；</w:t>
      </w:r>
    </w:p>
    <w:p w14:paraId="6A1A5D0C">
      <w:pPr>
        <w:pStyle w:val="76"/>
        <w:numPr>
          <w:ilvl w:val="0"/>
          <w:numId w:val="29"/>
        </w:numPr>
        <w:ind w:left="425" w:leftChars="0" w:hanging="425"/>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服务承诺；</w:t>
      </w:r>
    </w:p>
    <w:p w14:paraId="604FF9CC">
      <w:pPr>
        <w:pStyle w:val="76"/>
        <w:numPr>
          <w:ilvl w:val="0"/>
          <w:numId w:val="29"/>
        </w:numPr>
        <w:ind w:left="425" w:leftChars="0" w:hanging="425"/>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合理化建议。</w:t>
      </w:r>
    </w:p>
    <w:p w14:paraId="633B9115">
      <w:pPr>
        <w:pStyle w:val="76"/>
        <w:numPr>
          <w:ilvl w:val="0"/>
          <w:numId w:val="0"/>
        </w:numPr>
        <w:ind w:leftChars="0"/>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免费服务项目：若有能提供的免费项目，请列明项目内容并注明免费。此项不计入总报价。</w:t>
      </w:r>
    </w:p>
    <w:p w14:paraId="5811503E">
      <w:pPr>
        <w:pStyle w:val="76"/>
        <w:numPr>
          <w:ilvl w:val="-1"/>
          <w:numId w:val="0"/>
        </w:numPr>
        <w:ind w:left="0" w:leftChars="0" w:firstLine="0"/>
        <w:rPr>
          <w:rFonts w:hint="eastAsia" w:ascii="黑体" w:hAnsi="黑体" w:eastAsia="黑体" w:cs="黑体"/>
          <w:b/>
          <w:bCs w:val="0"/>
          <w:color w:val="auto"/>
          <w:sz w:val="28"/>
          <w:szCs w:val="28"/>
          <w:highlight w:val="none"/>
          <w:lang w:val="en-US" w:eastAsia="zh-CN"/>
        </w:rPr>
      </w:pPr>
      <w:r>
        <w:rPr>
          <w:rFonts w:hint="eastAsia" w:ascii="黑体" w:hAnsi="黑体" w:eastAsia="黑体" w:cs="黑体"/>
          <w:b/>
          <w:bCs w:val="0"/>
          <w:color w:val="auto"/>
          <w:sz w:val="28"/>
          <w:szCs w:val="28"/>
          <w:highlight w:val="none"/>
          <w:lang w:val="en-US" w:eastAsia="zh-CN"/>
        </w:rPr>
        <w:t>二、服务业绩一览表及拟服务团队</w:t>
      </w:r>
    </w:p>
    <w:p w14:paraId="61920CEF">
      <w:pPr>
        <w:pStyle w:val="76"/>
        <w:numPr>
          <w:ilvl w:val="-1"/>
          <w:numId w:val="0"/>
        </w:numPr>
        <w:ind w:left="0" w:leftChars="0" w:firstLine="0"/>
        <w:rPr>
          <w:rFonts w:hint="eastAsia"/>
          <w:b/>
          <w:bCs w:val="0"/>
          <w:color w:val="auto"/>
          <w:highlight w:val="none"/>
          <w:lang w:val="en-US" w:eastAsia="zh-CN"/>
        </w:rPr>
      </w:pPr>
      <w:r>
        <w:rPr>
          <w:rFonts w:hint="eastAsia" w:ascii="宋体" w:hAnsi="宋体" w:eastAsia="宋体" w:cs="宋体"/>
          <w:b w:val="0"/>
          <w:bCs w:val="0"/>
          <w:color w:val="auto"/>
          <w:szCs w:val="21"/>
          <w:highlight w:val="none"/>
          <w:lang w:val="en-US" w:eastAsia="zh-CN"/>
        </w:rPr>
        <w:t>包含主要负责人及基本成员的简历、简介和主要业绩介绍</w:t>
      </w:r>
      <w:r>
        <w:rPr>
          <w:rFonts w:hint="eastAsia"/>
          <w:b w:val="0"/>
          <w:bCs/>
          <w:color w:val="auto"/>
          <w:highlight w:val="none"/>
          <w:lang w:val="en-US" w:eastAsia="zh-CN"/>
        </w:rPr>
        <w:t>（见附件4）。</w:t>
      </w:r>
    </w:p>
    <w:p w14:paraId="775F27C4">
      <w:pPr>
        <w:pStyle w:val="76"/>
        <w:numPr>
          <w:ilvl w:val="-1"/>
          <w:numId w:val="0"/>
        </w:numPr>
        <w:ind w:left="0" w:leftChars="0" w:firstLine="0"/>
        <w:rPr>
          <w:rFonts w:hint="eastAsia" w:ascii="黑体" w:hAnsi="黑体" w:eastAsia="黑体" w:cs="黑体"/>
          <w:b/>
          <w:bCs w:val="0"/>
          <w:color w:val="auto"/>
          <w:sz w:val="28"/>
          <w:szCs w:val="28"/>
          <w:highlight w:val="none"/>
          <w:lang w:val="en-US" w:eastAsia="zh-CN"/>
        </w:rPr>
      </w:pPr>
      <w:r>
        <w:rPr>
          <w:rFonts w:hint="eastAsia" w:ascii="黑体" w:hAnsi="黑体" w:eastAsia="黑体" w:cs="黑体"/>
          <w:b/>
          <w:bCs w:val="0"/>
          <w:color w:val="auto"/>
          <w:sz w:val="28"/>
          <w:szCs w:val="28"/>
          <w:highlight w:val="none"/>
          <w:lang w:val="en-US" w:eastAsia="zh-CN"/>
        </w:rPr>
        <w:t>三、投标人认为需要加以说明的其他内容。</w:t>
      </w:r>
    </w:p>
    <w:p w14:paraId="052BA6A5">
      <w:pPr>
        <w:pStyle w:val="76"/>
        <w:numPr>
          <w:ilvl w:val="0"/>
          <w:numId w:val="0"/>
        </w:numPr>
        <w:ind w:leftChars="0"/>
        <w:rPr>
          <w:rFonts w:hint="eastAsia"/>
          <w:b/>
          <w:bCs w:val="0"/>
          <w:color w:val="auto"/>
          <w:highlight w:val="none"/>
          <w:lang w:val="en-US" w:eastAsia="zh-CN"/>
        </w:rPr>
      </w:pPr>
      <w:r>
        <w:rPr>
          <w:rFonts w:hint="eastAsia"/>
          <w:b/>
          <w:bCs w:val="0"/>
          <w:color w:val="auto"/>
          <w:highlight w:val="none"/>
          <w:lang w:val="en-US" w:eastAsia="zh-CN"/>
        </w:rPr>
        <w:t>特别注意：技术标资料中一定不要包含报价内容。</w:t>
      </w:r>
    </w:p>
    <w:p w14:paraId="68C5DFD7">
      <w:pPr>
        <w:pStyle w:val="77"/>
        <w:rPr>
          <w:b/>
          <w:bCs/>
          <w:color w:val="auto"/>
          <w:highlight w:val="none"/>
        </w:rPr>
      </w:pPr>
    </w:p>
    <w:p w14:paraId="41362990">
      <w:pPr>
        <w:pStyle w:val="77"/>
        <w:rPr>
          <w:b/>
          <w:bCs/>
          <w:color w:val="auto"/>
          <w:highlight w:val="none"/>
        </w:rPr>
      </w:pPr>
    </w:p>
    <w:p w14:paraId="654EBC09">
      <w:pPr>
        <w:pStyle w:val="77"/>
        <w:rPr>
          <w:b/>
          <w:bCs/>
          <w:color w:val="auto"/>
          <w:highlight w:val="none"/>
        </w:rPr>
      </w:pPr>
    </w:p>
    <w:p w14:paraId="03A4D662">
      <w:pPr>
        <w:pStyle w:val="77"/>
        <w:rPr>
          <w:b/>
          <w:bCs/>
          <w:color w:val="auto"/>
          <w:highlight w:val="none"/>
        </w:rPr>
      </w:pPr>
    </w:p>
    <w:p w14:paraId="548B73A4">
      <w:pPr>
        <w:pStyle w:val="77"/>
        <w:rPr>
          <w:b/>
          <w:bCs/>
          <w:color w:val="auto"/>
          <w:highlight w:val="none"/>
        </w:rPr>
      </w:pPr>
    </w:p>
    <w:p w14:paraId="4B1D8B2F">
      <w:pPr>
        <w:pStyle w:val="77"/>
        <w:rPr>
          <w:b/>
          <w:bCs/>
          <w:color w:val="auto"/>
          <w:highlight w:val="none"/>
        </w:rPr>
      </w:pPr>
    </w:p>
    <w:p w14:paraId="55E54AC2">
      <w:pPr>
        <w:pStyle w:val="77"/>
        <w:rPr>
          <w:color w:val="auto"/>
          <w:highlight w:val="none"/>
        </w:rPr>
      </w:pPr>
    </w:p>
    <w:p w14:paraId="01ECF9E7">
      <w:pPr>
        <w:pStyle w:val="77"/>
        <w:rPr>
          <w:color w:val="auto"/>
          <w:highlight w:val="none"/>
        </w:rPr>
      </w:pPr>
    </w:p>
    <w:p w14:paraId="52EDA2BC">
      <w:pPr>
        <w:pStyle w:val="77"/>
        <w:rPr>
          <w:color w:val="auto"/>
          <w:highlight w:val="none"/>
        </w:rPr>
      </w:pPr>
    </w:p>
    <w:p w14:paraId="1CC60CB4">
      <w:pPr>
        <w:pStyle w:val="77"/>
        <w:rPr>
          <w:color w:val="auto"/>
          <w:highlight w:val="none"/>
        </w:rPr>
      </w:pPr>
    </w:p>
    <w:p w14:paraId="5CC07D8C">
      <w:pPr>
        <w:pStyle w:val="77"/>
        <w:rPr>
          <w:color w:val="auto"/>
          <w:highlight w:val="none"/>
        </w:rPr>
      </w:pPr>
    </w:p>
    <w:p w14:paraId="5D536908">
      <w:pPr>
        <w:pStyle w:val="77"/>
        <w:rPr>
          <w:color w:val="auto"/>
          <w:highlight w:val="none"/>
        </w:rPr>
      </w:pPr>
    </w:p>
    <w:p w14:paraId="7D0078CB">
      <w:pPr>
        <w:pStyle w:val="77"/>
        <w:rPr>
          <w:color w:val="auto"/>
          <w:highlight w:val="none"/>
        </w:rPr>
      </w:pPr>
    </w:p>
    <w:p w14:paraId="3316B72B">
      <w:pPr>
        <w:pStyle w:val="77"/>
        <w:rPr>
          <w:color w:val="auto"/>
          <w:highlight w:val="none"/>
        </w:rPr>
      </w:pPr>
    </w:p>
    <w:p w14:paraId="0EB8BBEB">
      <w:pPr>
        <w:pStyle w:val="72"/>
        <w:rPr>
          <w:rFonts w:hint="default" w:eastAsia="黑体"/>
          <w:color w:val="auto"/>
          <w:highlight w:val="none"/>
          <w:lang w:val="en-US" w:eastAsia="zh-CN"/>
        </w:rPr>
      </w:pPr>
      <w:bookmarkStart w:id="27" w:name="_Toc47976615"/>
      <w:bookmarkStart w:id="28" w:name="_Toc17038"/>
      <w:bookmarkStart w:id="29" w:name="_Toc5925"/>
      <w:r>
        <w:rPr>
          <w:rFonts w:hint="eastAsia"/>
          <w:color w:val="auto"/>
          <w:highlight w:val="none"/>
        </w:rPr>
        <w:t>第</w:t>
      </w:r>
      <w:r>
        <w:rPr>
          <w:rFonts w:hint="eastAsia"/>
          <w:color w:val="auto"/>
          <w:highlight w:val="none"/>
          <w:lang w:val="en-US" w:eastAsia="zh-CN"/>
        </w:rPr>
        <w:t>三</w:t>
      </w:r>
      <w:r>
        <w:rPr>
          <w:rFonts w:hint="eastAsia"/>
          <w:color w:val="auto"/>
          <w:highlight w:val="none"/>
        </w:rPr>
        <w:t>部分　</w:t>
      </w:r>
      <w:bookmarkEnd w:id="27"/>
      <w:r>
        <w:rPr>
          <w:rFonts w:hint="eastAsia"/>
          <w:color w:val="auto"/>
          <w:highlight w:val="none"/>
          <w:lang w:val="en-US" w:eastAsia="zh-CN"/>
        </w:rPr>
        <w:t>投标文件附件</w:t>
      </w:r>
      <w:bookmarkEnd w:id="28"/>
      <w:bookmarkEnd w:id="29"/>
    </w:p>
    <w:p w14:paraId="600DE1DD">
      <w:pPr>
        <w:pStyle w:val="72"/>
        <w:jc w:val="left"/>
        <w:rPr>
          <w:rFonts w:hint="eastAsia" w:ascii="宋体" w:hAnsi="宋体" w:eastAsia="宋体" w:cs="宋体"/>
          <w:color w:val="auto"/>
          <w:sz w:val="32"/>
          <w:szCs w:val="32"/>
          <w:highlight w:val="none"/>
          <w:lang w:eastAsia="zh-CN"/>
        </w:rPr>
      </w:pPr>
      <w:bookmarkStart w:id="30" w:name="_Toc47976616"/>
      <w:bookmarkStart w:id="31" w:name="_Toc4225"/>
      <w:bookmarkStart w:id="32" w:name="_Toc29651"/>
      <w:r>
        <w:rPr>
          <w:rFonts w:hint="eastAsia" w:ascii="宋体" w:hAnsi="宋体" w:eastAsia="宋体" w:cs="宋体"/>
          <w:color w:val="auto"/>
          <w:sz w:val="32"/>
          <w:szCs w:val="32"/>
          <w:highlight w:val="none"/>
        </w:rPr>
        <w:t>附件</w:t>
      </w:r>
      <w:bookmarkEnd w:id="30"/>
      <w:bookmarkEnd w:id="31"/>
      <w:r>
        <w:rPr>
          <w:rFonts w:hint="eastAsia" w:ascii="宋体" w:hAnsi="宋体" w:eastAsia="宋体" w:cs="宋体"/>
          <w:color w:val="auto"/>
          <w:sz w:val="32"/>
          <w:szCs w:val="32"/>
          <w:highlight w:val="none"/>
          <w:lang w:val="en-US" w:eastAsia="zh-CN"/>
        </w:rPr>
        <w:t>1</w:t>
      </w:r>
      <w:bookmarkEnd w:id="32"/>
    </w:p>
    <w:p w14:paraId="3D26BC99">
      <w:pPr>
        <w:keepNext/>
        <w:keepLines/>
        <w:jc w:val="center"/>
        <w:outlineLvl w:val="2"/>
        <w:rPr>
          <w:rFonts w:hint="eastAsia" w:ascii="宋体" w:hAnsi="宋体" w:eastAsia="宋体" w:cs="宋体"/>
          <w:b/>
          <w:bCs/>
          <w:color w:val="auto"/>
          <w:sz w:val="32"/>
          <w:szCs w:val="32"/>
          <w:highlight w:val="none"/>
        </w:rPr>
      </w:pPr>
      <w:r>
        <w:rPr>
          <w:rFonts w:hint="eastAsia" w:ascii="宋体" w:hAnsi="宋体" w:eastAsia="宋体" w:cs="宋体"/>
          <w:b/>
          <w:bCs/>
          <w:color w:val="auto"/>
          <w:sz w:val="32"/>
          <w:szCs w:val="32"/>
          <w:highlight w:val="none"/>
        </w:rPr>
        <w:t>投标函</w:t>
      </w:r>
    </w:p>
    <w:p w14:paraId="0B39DB8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致：</w:t>
      </w:r>
      <w:r>
        <w:rPr>
          <w:rFonts w:hint="eastAsia" w:ascii="宋体" w:hAnsi="宋体" w:cs="Times New Roman"/>
          <w:color w:val="auto"/>
          <w:sz w:val="24"/>
          <w:szCs w:val="24"/>
          <w:highlight w:val="none"/>
          <w:lang w:val="en-US" w:eastAsia="zh-CN"/>
        </w:rPr>
        <w:t>重</w:t>
      </w:r>
      <w:r>
        <w:rPr>
          <w:rFonts w:hint="eastAsia" w:ascii="宋体" w:hAnsi="宋体" w:cs="Times New Roman"/>
          <w:color w:val="auto"/>
          <w:sz w:val="24"/>
          <w:szCs w:val="24"/>
          <w:highlight w:val="none"/>
          <w:u w:val="single"/>
          <w:lang w:val="en-US" w:eastAsia="zh-CN"/>
        </w:rPr>
        <w:t>汽汽车金融有限公司</w:t>
      </w:r>
      <w:r>
        <w:rPr>
          <w:rFonts w:hint="eastAsia" w:ascii="宋体" w:hAnsi="宋体" w:cs="Times New Roman"/>
          <w:color w:val="auto"/>
          <w:sz w:val="24"/>
          <w:szCs w:val="24"/>
          <w:highlight w:val="none"/>
          <w:lang w:val="en-US" w:eastAsia="zh-CN"/>
        </w:rPr>
        <w:t xml:space="preserve"> </w:t>
      </w:r>
      <w:r>
        <w:rPr>
          <w:rFonts w:hint="eastAsia" w:ascii="宋体" w:hAnsi="宋体" w:eastAsia="宋体" w:cs="Times New Roman"/>
          <w:color w:val="auto"/>
          <w:sz w:val="24"/>
          <w:szCs w:val="24"/>
          <w:highlight w:val="none"/>
        </w:rPr>
        <w:t>：</w:t>
      </w:r>
    </w:p>
    <w:p w14:paraId="7F916B1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根据贵方</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bCs/>
          <w:snapToGrid w:val="0"/>
          <w:color w:val="auto"/>
          <w:kern w:val="0"/>
          <w:sz w:val="24"/>
          <w:szCs w:val="24"/>
          <w:highlight w:val="none"/>
        </w:rPr>
        <w:t>招标公告</w:t>
      </w:r>
      <w:r>
        <w:rPr>
          <w:rFonts w:hint="eastAsia" w:ascii="宋体" w:hAnsi="宋体" w:eastAsia="宋体" w:cs="Times New Roman"/>
          <w:color w:val="auto"/>
          <w:sz w:val="24"/>
          <w:szCs w:val="24"/>
          <w:highlight w:val="none"/>
        </w:rPr>
        <w:t>，</w:t>
      </w:r>
      <w:r>
        <w:rPr>
          <w:rFonts w:ascii="宋体" w:hAnsi="宋体" w:eastAsia="宋体" w:cs="Times New Roman"/>
          <w:b/>
          <w:color w:val="auto"/>
          <w:sz w:val="24"/>
          <w:szCs w:val="24"/>
          <w:highlight w:val="none"/>
          <w:u w:val="single"/>
        </w:rPr>
        <w:t xml:space="preserve">            </w:t>
      </w:r>
      <w:r>
        <w:rPr>
          <w:rFonts w:hint="eastAsia" w:ascii="宋体" w:hAnsi="宋体" w:eastAsia="宋体" w:cs="Times New Roman"/>
          <w:color w:val="auto"/>
          <w:sz w:val="24"/>
          <w:szCs w:val="24"/>
          <w:highlight w:val="none"/>
        </w:rPr>
        <w:t>投标公司，</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法人代表人为</w:t>
      </w:r>
      <w:r>
        <w:rPr>
          <w:rFonts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，正式授权</w:t>
      </w:r>
      <w:r>
        <w:rPr>
          <w:rFonts w:ascii="宋体" w:hAnsi="宋体" w:eastAsia="宋体" w:cs="Times New Roman"/>
          <w:color w:val="auto"/>
          <w:sz w:val="24"/>
          <w:szCs w:val="24"/>
          <w:highlight w:val="none"/>
          <w:u w:val="single"/>
        </w:rPr>
        <w:t xml:space="preserve">           </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提交纸质投标文件：资质证明文件、商务文件和技术文件正本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份、副本</w:t>
      </w:r>
      <w:r>
        <w:rPr>
          <w:rFonts w:hint="eastAsia" w:ascii="宋体" w:hAnsi="宋体" w:cs="Times New Roman"/>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份；电子版投标文件一份。</w:t>
      </w:r>
    </w:p>
    <w:p w14:paraId="26D6294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据此函，签字代表宣布同意如下：</w:t>
      </w:r>
    </w:p>
    <w:p w14:paraId="71FBB532">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1</w:t>
      </w:r>
      <w:r>
        <w:rPr>
          <w:rFonts w:hint="eastAsia" w:ascii="宋体" w:hAnsi="宋体" w:eastAsia="宋体" w:cs="Times New Roman"/>
          <w:color w:val="auto"/>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2</w:t>
      </w:r>
      <w:r>
        <w:rPr>
          <w:rFonts w:hint="eastAsia" w:ascii="宋体" w:hAnsi="宋体" w:eastAsia="宋体" w:cs="Times New Roman"/>
          <w:color w:val="auto"/>
          <w:sz w:val="24"/>
          <w:szCs w:val="24"/>
          <w:highlight w:val="none"/>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3</w:t>
      </w:r>
      <w:r>
        <w:rPr>
          <w:rFonts w:hint="eastAsia" w:ascii="宋体" w:hAnsi="宋体" w:eastAsia="宋体" w:cs="Times New Roman"/>
          <w:color w:val="auto"/>
          <w:sz w:val="24"/>
          <w:szCs w:val="24"/>
          <w:highlight w:val="none"/>
        </w:rPr>
        <w:t>.本投标有效期自开标日起</w:t>
      </w:r>
      <w:r>
        <w:rPr>
          <w:rFonts w:ascii="宋体" w:hAnsi="宋体" w:eastAsia="宋体" w:cs="Times New Roman"/>
          <w:bCs/>
          <w:color w:val="auto"/>
          <w:sz w:val="24"/>
          <w:szCs w:val="24"/>
          <w:highlight w:val="none"/>
          <w:u w:val="single"/>
        </w:rPr>
        <w:t xml:space="preserve"> </w:t>
      </w:r>
      <w:r>
        <w:rPr>
          <w:rFonts w:hint="eastAsia" w:ascii="宋体" w:hAnsi="宋体" w:cs="Times New Roman"/>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个日历日。</w:t>
      </w:r>
    </w:p>
    <w:p w14:paraId="459E3F15">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4</w:t>
      </w:r>
      <w:r>
        <w:rPr>
          <w:rFonts w:hint="eastAsia" w:ascii="宋体" w:hAnsi="宋体" w:eastAsia="宋体" w:cs="Times New Roman"/>
          <w:color w:val="auto"/>
          <w:sz w:val="24"/>
          <w:szCs w:val="24"/>
          <w:highlight w:val="none"/>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5</w:t>
      </w:r>
      <w:r>
        <w:rPr>
          <w:rFonts w:hint="eastAsia" w:ascii="宋体" w:hAnsi="宋体" w:eastAsia="宋体" w:cs="Times New Roman"/>
          <w:color w:val="auto"/>
          <w:sz w:val="24"/>
          <w:szCs w:val="24"/>
          <w:highlight w:val="none"/>
        </w:rPr>
        <w:t>.投标人同意按照贵方要求提供与投标有关的一切数据或资料。</w:t>
      </w:r>
    </w:p>
    <w:p w14:paraId="4F02BADB">
      <w:pPr>
        <w:spacing w:line="360" w:lineRule="auto"/>
        <w:ind w:firstLine="480" w:firstLineChars="200"/>
        <w:rPr>
          <w:rFonts w:ascii="宋体" w:hAnsi="宋体" w:eastAsia="宋体" w:cs="Times New Roman"/>
          <w:color w:val="auto"/>
          <w:sz w:val="24"/>
          <w:szCs w:val="24"/>
          <w:highlight w:val="none"/>
        </w:rPr>
      </w:pPr>
      <w:r>
        <w:rPr>
          <w:rFonts w:ascii="宋体" w:hAnsi="宋体" w:eastAsia="宋体" w:cs="Times New Roman"/>
          <w:color w:val="auto"/>
          <w:sz w:val="24"/>
          <w:szCs w:val="24"/>
          <w:highlight w:val="none"/>
        </w:rPr>
        <w:t>6</w:t>
      </w:r>
      <w:r>
        <w:rPr>
          <w:rFonts w:hint="eastAsia" w:ascii="宋体" w:hAnsi="宋体" w:eastAsia="宋体" w:cs="Times New Roman"/>
          <w:color w:val="auto"/>
          <w:sz w:val="24"/>
          <w:szCs w:val="24"/>
          <w:highlight w:val="none"/>
        </w:rPr>
        <w:t>.与本投标有关的一切正式往来信函请寄：</w:t>
      </w:r>
    </w:p>
    <w:p w14:paraId="3404A7CE">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地址：</w:t>
      </w:r>
      <w:r>
        <w:rPr>
          <w:rFonts w:ascii="宋体" w:hAnsi="宋体" w:eastAsia="宋体" w:cs="Times New Roman"/>
          <w:color w:val="auto"/>
          <w:sz w:val="24"/>
          <w:szCs w:val="24"/>
          <w:highlight w:val="none"/>
        </w:rPr>
        <w:t xml:space="preserve">                             </w:t>
      </w:r>
    </w:p>
    <w:p w14:paraId="24E63A1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邮编：</w:t>
      </w:r>
      <w:r>
        <w:rPr>
          <w:rFonts w:ascii="宋体" w:hAnsi="宋体" w:eastAsia="宋体" w:cs="Times New Roman"/>
          <w:color w:val="auto"/>
          <w:sz w:val="24"/>
          <w:szCs w:val="24"/>
          <w:highlight w:val="none"/>
        </w:rPr>
        <w:t xml:space="preserve">        </w:t>
      </w:r>
    </w:p>
    <w:p w14:paraId="40F28EC1">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电话：</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传真：</w:t>
      </w:r>
      <w:r>
        <w:rPr>
          <w:rFonts w:ascii="宋体" w:hAnsi="宋体" w:eastAsia="宋体" w:cs="Times New Roman"/>
          <w:color w:val="auto"/>
          <w:sz w:val="24"/>
          <w:szCs w:val="24"/>
          <w:highlight w:val="none"/>
        </w:rPr>
        <w:t xml:space="preserve">                   </w:t>
      </w:r>
    </w:p>
    <w:p w14:paraId="1D482AFB">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投标人代表姓名：</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职务：</w:t>
      </w:r>
      <w:r>
        <w:rPr>
          <w:rFonts w:ascii="宋体" w:hAnsi="宋体" w:eastAsia="宋体" w:cs="Times New Roman"/>
          <w:color w:val="auto"/>
          <w:sz w:val="24"/>
          <w:szCs w:val="24"/>
          <w:highlight w:val="none"/>
        </w:rPr>
        <w:t xml:space="preserve">          </w:t>
      </w:r>
    </w:p>
    <w:p w14:paraId="43152E4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开户银行：</w:t>
      </w:r>
      <w:r>
        <w:rPr>
          <w:rFonts w:ascii="宋体" w:hAnsi="宋体" w:eastAsia="宋体" w:cs="Times New Roman"/>
          <w:color w:val="auto"/>
          <w:sz w:val="24"/>
          <w:szCs w:val="24"/>
          <w:highlight w:val="none"/>
        </w:rPr>
        <w:t xml:space="preserve">                   </w:t>
      </w:r>
    </w:p>
    <w:p w14:paraId="2F8C4A40">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银行帐号：</w:t>
      </w:r>
      <w:r>
        <w:rPr>
          <w:rFonts w:ascii="宋体" w:hAnsi="宋体" w:eastAsia="宋体" w:cs="Times New Roman"/>
          <w:color w:val="auto"/>
          <w:sz w:val="24"/>
          <w:szCs w:val="24"/>
          <w:highlight w:val="none"/>
        </w:rPr>
        <w:t xml:space="preserve">                   </w:t>
      </w:r>
    </w:p>
    <w:p w14:paraId="04462310">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w:t>
      </w:r>
      <w:r>
        <w:rPr>
          <w:rFonts w:hint="eastAsia" w:ascii="宋体" w:hAnsi="宋体" w:eastAsia="宋体" w:cs="Times New Roman"/>
          <w:bCs/>
          <w:color w:val="auto"/>
          <w:sz w:val="24"/>
          <w:szCs w:val="24"/>
          <w:highlight w:val="none"/>
        </w:rPr>
        <w:t>盖章）</w:t>
      </w:r>
      <w:r>
        <w:rPr>
          <w:rFonts w:ascii="宋体" w:hAnsi="宋体" w:eastAsia="宋体" w:cs="Times New Roman"/>
          <w:color w:val="auto"/>
          <w:sz w:val="24"/>
          <w:szCs w:val="24"/>
          <w:highlight w:val="none"/>
        </w:rPr>
        <w:t xml:space="preserve">: </w:t>
      </w:r>
    </w:p>
    <w:p w14:paraId="7045671E">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授权代表签字</w:t>
      </w:r>
      <w:r>
        <w:rPr>
          <w:rFonts w:hint="eastAsia" w:ascii="宋体" w:hAnsi="宋体" w:eastAsia="宋体" w:cs="Times New Roman"/>
          <w:bCs/>
          <w:color w:val="auto"/>
          <w:sz w:val="24"/>
          <w:szCs w:val="24"/>
          <w:highlight w:val="none"/>
        </w:rPr>
        <w:t>：</w:t>
      </w:r>
    </w:p>
    <w:p w14:paraId="284F62AD">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日期：</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月</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日</w:t>
      </w:r>
    </w:p>
    <w:p w14:paraId="50D9D845">
      <w:pPr>
        <w:rPr>
          <w:rFonts w:ascii="黑体" w:hAnsi="Calibri" w:eastAsia="黑体" w:cs="Times New Roman"/>
          <w:color w:val="auto"/>
          <w:sz w:val="24"/>
          <w:szCs w:val="24"/>
          <w:highlight w:val="none"/>
        </w:rPr>
      </w:pPr>
    </w:p>
    <w:p w14:paraId="32681108">
      <w:pPr>
        <w:jc w:val="both"/>
        <w:rPr>
          <w:rFonts w:ascii="宋体"/>
          <w:b/>
          <w:color w:val="auto"/>
          <w:szCs w:val="24"/>
          <w:highlight w:val="none"/>
        </w:rPr>
      </w:pPr>
    </w:p>
    <w:p w14:paraId="57006D89">
      <w:pPr>
        <w:pStyle w:val="73"/>
        <w:numPr>
          <w:ilvl w:val="0"/>
          <w:numId w:val="0"/>
        </w:numPr>
        <w:ind w:leftChars="0"/>
        <w:rPr>
          <w:rFonts w:hint="eastAsia" w:ascii="宋体" w:hAnsi="宋体" w:eastAsia="宋体" w:cs="宋体"/>
          <w:color w:val="auto"/>
          <w:sz w:val="32"/>
          <w:szCs w:val="32"/>
          <w:highlight w:val="none"/>
          <w:lang w:val="en-US" w:eastAsia="zh-CN"/>
        </w:rPr>
      </w:pPr>
      <w:bookmarkStart w:id="33" w:name="_Toc47976618"/>
      <w:bookmarkStart w:id="34" w:name="_Toc29366865"/>
      <w:bookmarkStart w:id="35" w:name="_Toc29366869"/>
      <w:r>
        <w:rPr>
          <w:rFonts w:hint="eastAsia" w:ascii="宋体" w:hAnsi="宋体" w:eastAsia="宋体" w:cs="宋体"/>
          <w:color w:val="auto"/>
          <w:sz w:val="32"/>
          <w:szCs w:val="32"/>
          <w:highlight w:val="none"/>
          <w:lang w:val="en-US" w:eastAsia="zh-CN"/>
        </w:rPr>
        <w:t>附件2</w:t>
      </w:r>
    </w:p>
    <w:bookmarkEnd w:id="33"/>
    <w:p w14:paraId="0179E87D">
      <w:pPr>
        <w:spacing w:line="360" w:lineRule="auto"/>
        <w:jc w:val="center"/>
        <w:rPr>
          <w:rFonts w:hint="eastAsia" w:ascii="宋体" w:hAnsi="宋体" w:eastAsia="宋体" w:cs="宋体"/>
          <w:color w:val="auto"/>
          <w:sz w:val="32"/>
          <w:szCs w:val="32"/>
          <w:highlight w:val="none"/>
        </w:rPr>
      </w:pPr>
      <w:r>
        <w:rPr>
          <w:rFonts w:hint="eastAsia" w:ascii="宋体" w:hAnsi="宋体" w:eastAsia="宋体" w:cs="宋体"/>
          <w:b/>
          <w:bCs/>
          <w:color w:val="auto"/>
          <w:sz w:val="32"/>
          <w:szCs w:val="32"/>
          <w:highlight w:val="none"/>
        </w:rPr>
        <w:t>法定代表人授权委托书</w:t>
      </w:r>
    </w:p>
    <w:p w14:paraId="19A97CD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本授权委托书声明：我＿＿＿＿＿＿＿（姓名）系＿＿＿＿＿＿＿＿＿＿＿＿＿＿＿＿＿＿＿＿＿＿＿＿（投标人全称）的法定代表人，就</w:t>
      </w:r>
      <w:r>
        <w:rPr>
          <w:rFonts w:ascii="宋体" w:hAnsi="宋体" w:eastAsia="宋体" w:cs="Times New Roman"/>
          <w:b/>
          <w:bCs/>
          <w:color w:val="auto"/>
          <w:sz w:val="24"/>
          <w:szCs w:val="24"/>
          <w:highlight w:val="none"/>
          <w:u w:val="single"/>
        </w:rPr>
        <w:t xml:space="preserve"> </w:t>
      </w:r>
      <w:r>
        <w:rPr>
          <w:rFonts w:hint="eastAsia" w:ascii="宋体" w:hAnsi="宋体" w:cs="Times New Roman"/>
          <w:b/>
          <w:bCs/>
          <w:color w:val="auto"/>
          <w:sz w:val="24"/>
          <w:szCs w:val="24"/>
          <w:highlight w:val="none"/>
          <w:u w:val="single"/>
          <w:lang w:val="en-US" w:eastAsia="zh-CN"/>
        </w:rPr>
        <w:t xml:space="preserve">                      </w:t>
      </w:r>
      <w:r>
        <w:rPr>
          <w:rFonts w:hint="eastAsia" w:ascii="宋体" w:hAnsi="宋体" w:eastAsia="宋体" w:cs="Times New Roman"/>
          <w:color w:val="auto"/>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color w:val="auto"/>
                <w:sz w:val="24"/>
                <w:szCs w:val="20"/>
                <w:highlight w:val="none"/>
                <w:u w:val="none"/>
              </w:rPr>
            </w:pPr>
            <w:r>
              <w:rPr>
                <w:rFonts w:hint="eastAsia" w:ascii="宋体" w:hAnsi="宋体" w:eastAsia="宋体" w:cs="Times New Roman"/>
                <w:color w:val="auto"/>
                <w:sz w:val="24"/>
                <w:szCs w:val="20"/>
                <w:highlight w:val="none"/>
              </w:rPr>
              <w:t>附法人身份证明复印件</w:t>
            </w:r>
            <w:r>
              <w:rPr>
                <w:rFonts w:hint="eastAsia" w:ascii="宋体" w:hAnsi="宋体" w:eastAsia="宋体" w:cs="Times New Roman"/>
                <w:color w:val="auto"/>
                <w:sz w:val="24"/>
                <w:szCs w:val="20"/>
                <w:highlight w:val="none"/>
                <w:u w:val="none"/>
                <w:lang w:eastAsia="zh-CN"/>
              </w:rPr>
              <w:t>（</w:t>
            </w:r>
            <w:r>
              <w:rPr>
                <w:rFonts w:hint="eastAsia" w:ascii="宋体" w:hAnsi="宋体" w:eastAsia="宋体" w:cs="Times New Roman"/>
                <w:color w:val="auto"/>
                <w:sz w:val="24"/>
                <w:szCs w:val="20"/>
                <w:highlight w:val="none"/>
                <w:u w:val="none"/>
                <w:lang w:val="en-US" w:eastAsia="zh-CN"/>
              </w:rPr>
              <w:t>正反面）</w:t>
            </w:r>
          </w:p>
          <w:p w14:paraId="0A0449F6">
            <w:pPr>
              <w:adjustRightInd w:val="0"/>
              <w:snapToGrid w:val="0"/>
              <w:spacing w:before="93" w:beforeLines="30" w:line="312" w:lineRule="auto"/>
              <w:jc w:val="center"/>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附授权代理人身份证明复印件</w:t>
            </w:r>
            <w:r>
              <w:rPr>
                <w:rFonts w:hint="eastAsia" w:ascii="宋体" w:hAnsi="宋体" w:eastAsia="宋体" w:cs="Times New Roman"/>
                <w:color w:val="auto"/>
                <w:sz w:val="24"/>
                <w:szCs w:val="20"/>
                <w:highlight w:val="none"/>
                <w:lang w:eastAsia="zh-CN"/>
              </w:rPr>
              <w:t>（</w:t>
            </w:r>
            <w:r>
              <w:rPr>
                <w:rFonts w:hint="eastAsia" w:ascii="宋体" w:hAnsi="宋体" w:eastAsia="宋体" w:cs="Times New Roman"/>
                <w:color w:val="auto"/>
                <w:sz w:val="24"/>
                <w:szCs w:val="20"/>
                <w:highlight w:val="none"/>
                <w:lang w:val="en-US" w:eastAsia="zh-CN"/>
              </w:rPr>
              <w:t>正反面</w:t>
            </w:r>
            <w:r>
              <w:rPr>
                <w:rFonts w:hint="eastAsia" w:ascii="宋体" w:hAnsi="宋体" w:eastAsia="宋体" w:cs="Times New Roman"/>
                <w:color w:val="auto"/>
                <w:sz w:val="24"/>
                <w:szCs w:val="20"/>
                <w:highlight w:val="none"/>
                <w:lang w:eastAsia="zh-CN"/>
              </w:rPr>
              <w:t>）</w:t>
            </w:r>
          </w:p>
        </w:tc>
      </w:tr>
    </w:tbl>
    <w:p w14:paraId="37BFA8A8">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全权代表姓名：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性别：</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年龄：</w:t>
      </w:r>
    </w:p>
    <w:p w14:paraId="3B6DD363">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单位：</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部门：</w:t>
      </w:r>
      <w:r>
        <w:rPr>
          <w:rFonts w:ascii="宋体" w:hAnsi="宋体" w:eastAsia="宋体" w:cs="Times New Roman"/>
          <w:color w:val="auto"/>
          <w:sz w:val="24"/>
          <w:szCs w:val="24"/>
          <w:highlight w:val="none"/>
        </w:rPr>
        <w:t xml:space="preserve">          </w:t>
      </w:r>
      <w:r>
        <w:rPr>
          <w:rFonts w:hint="eastAsia" w:ascii="宋体" w:hAnsi="宋体" w:eastAsia="宋体" w:cs="Times New Roman"/>
          <w:color w:val="auto"/>
          <w:sz w:val="24"/>
          <w:szCs w:val="24"/>
          <w:highlight w:val="none"/>
        </w:rPr>
        <w:t>职务：</w:t>
      </w:r>
    </w:p>
    <w:p w14:paraId="0F64A2A6">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法定代表人签字或盖章</w:t>
      </w:r>
      <w:r>
        <w:rPr>
          <w:rFonts w:ascii="宋体" w:hAnsi="宋体" w:eastAsia="宋体" w:cs="Times New Roman"/>
          <w:color w:val="auto"/>
          <w:sz w:val="24"/>
          <w:szCs w:val="24"/>
          <w:highlight w:val="none"/>
        </w:rPr>
        <w:t xml:space="preserve">                          </w:t>
      </w:r>
    </w:p>
    <w:p w14:paraId="100F211A">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被授权人签字</w:t>
      </w:r>
      <w:r>
        <w:rPr>
          <w:rFonts w:ascii="宋体" w:hAnsi="宋体" w:eastAsia="宋体" w:cs="Times New Roman"/>
          <w:color w:val="auto"/>
          <w:sz w:val="24"/>
          <w:szCs w:val="24"/>
          <w:highlight w:val="none"/>
        </w:rPr>
        <w:t xml:space="preserve">  </w:t>
      </w:r>
    </w:p>
    <w:p w14:paraId="7B47F762">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被授权人电话：</w:t>
      </w:r>
      <w:r>
        <w:rPr>
          <w:rFonts w:ascii="宋体" w:hAnsi="宋体" w:eastAsia="宋体" w:cs="Times New Roman"/>
          <w:color w:val="auto"/>
          <w:sz w:val="24"/>
          <w:szCs w:val="24"/>
          <w:highlight w:val="none"/>
        </w:rPr>
        <w:t xml:space="preserve">   </w:t>
      </w:r>
    </w:p>
    <w:p w14:paraId="6B9DBB7C">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投标人名称（公章）</w:t>
      </w:r>
      <w:r>
        <w:rPr>
          <w:rFonts w:ascii="宋体" w:hAnsi="宋体" w:eastAsia="宋体" w:cs="Times New Roman"/>
          <w:color w:val="auto"/>
          <w:sz w:val="24"/>
          <w:szCs w:val="24"/>
          <w:highlight w:val="none"/>
        </w:rPr>
        <w:t xml:space="preserve">                       </w:t>
      </w:r>
    </w:p>
    <w:p w14:paraId="152336F1">
      <w:pPr>
        <w:spacing w:line="460" w:lineRule="exact"/>
        <w:ind w:firstLine="5520" w:firstLineChars="2300"/>
        <w:rPr>
          <w:rFonts w:ascii="宋体" w:hAnsi="Calibri" w:eastAsia="宋体" w:cs="Times New Roman"/>
          <w:color w:val="auto"/>
          <w:sz w:val="24"/>
          <w:szCs w:val="20"/>
          <w:highlight w:val="none"/>
          <w:u w:val="single"/>
        </w:rPr>
      </w:pP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2B3FEAEC">
      <w:pPr>
        <w:spacing w:line="360" w:lineRule="auto"/>
        <w:ind w:firstLine="4800" w:firstLineChars="2000"/>
        <w:rPr>
          <w:rFonts w:ascii="宋体" w:hAnsi="宋体" w:cs="宋体"/>
          <w:color w:val="auto"/>
          <w:sz w:val="24"/>
          <w:szCs w:val="21"/>
          <w:highlight w:val="none"/>
        </w:rPr>
      </w:pPr>
    </w:p>
    <w:p w14:paraId="42BBE3A2">
      <w:pPr>
        <w:spacing w:line="360" w:lineRule="auto"/>
        <w:ind w:firstLine="4800" w:firstLineChars="2000"/>
        <w:rPr>
          <w:rFonts w:ascii="宋体" w:hAnsi="宋体" w:cs="宋体"/>
          <w:color w:val="auto"/>
          <w:sz w:val="24"/>
          <w:szCs w:val="21"/>
          <w:highlight w:val="none"/>
        </w:rPr>
      </w:pPr>
    </w:p>
    <w:p w14:paraId="3D18A567">
      <w:pPr>
        <w:spacing w:line="360" w:lineRule="auto"/>
        <w:ind w:firstLine="4800" w:firstLineChars="2000"/>
        <w:rPr>
          <w:rFonts w:ascii="宋体" w:hAnsi="宋体" w:cs="宋体"/>
          <w:color w:val="auto"/>
          <w:sz w:val="24"/>
          <w:szCs w:val="21"/>
          <w:highlight w:val="none"/>
        </w:rPr>
      </w:pPr>
    </w:p>
    <w:p w14:paraId="758E3B4E">
      <w:pPr>
        <w:spacing w:line="360" w:lineRule="auto"/>
        <w:ind w:firstLine="4800" w:firstLineChars="2000"/>
        <w:rPr>
          <w:rFonts w:ascii="宋体" w:hAnsi="宋体" w:cs="宋体"/>
          <w:color w:val="auto"/>
          <w:sz w:val="24"/>
          <w:szCs w:val="21"/>
          <w:highlight w:val="none"/>
        </w:rPr>
      </w:pPr>
    </w:p>
    <w:p w14:paraId="69663AF6">
      <w:pPr>
        <w:pStyle w:val="15"/>
        <w:rPr>
          <w:color w:val="auto"/>
          <w:highlight w:val="none"/>
        </w:rPr>
      </w:pPr>
    </w:p>
    <w:p w14:paraId="3A5DEF51">
      <w:pPr>
        <w:spacing w:line="360" w:lineRule="auto"/>
        <w:rPr>
          <w:rFonts w:ascii="宋体" w:hAnsi="宋体" w:cs="宋体"/>
          <w:color w:val="auto"/>
          <w:sz w:val="24"/>
          <w:szCs w:val="21"/>
          <w:highlight w:val="none"/>
        </w:rPr>
      </w:pPr>
    </w:p>
    <w:bookmarkEnd w:id="34"/>
    <w:bookmarkEnd w:id="35"/>
    <w:p w14:paraId="53E6B306">
      <w:pPr>
        <w:pStyle w:val="73"/>
        <w:numPr>
          <w:ilvl w:val="0"/>
          <w:numId w:val="0"/>
        </w:numPr>
        <w:ind w:leftChars="0"/>
        <w:rPr>
          <w:rFonts w:hint="eastAsia" w:ascii="宋体" w:hAnsi="宋体" w:eastAsia="宋体" w:cs="宋体"/>
          <w:color w:val="auto"/>
          <w:sz w:val="32"/>
          <w:szCs w:val="32"/>
          <w:highlight w:val="none"/>
          <w:lang w:val="en-US" w:eastAsia="zh-CN"/>
        </w:rPr>
      </w:pPr>
      <w:r>
        <w:rPr>
          <w:rFonts w:hint="eastAsia" w:ascii="宋体" w:hAnsi="宋体" w:eastAsia="宋体" w:cs="宋体"/>
          <w:color w:val="auto"/>
          <w:sz w:val="32"/>
          <w:szCs w:val="32"/>
          <w:highlight w:val="none"/>
          <w:lang w:val="en-US" w:eastAsia="zh-CN"/>
        </w:rPr>
        <w:t>附件3</w:t>
      </w:r>
    </w:p>
    <w:p w14:paraId="769BF465">
      <w:pPr>
        <w:pStyle w:val="73"/>
        <w:numPr>
          <w:ilvl w:val="0"/>
          <w:numId w:val="0"/>
        </w:numPr>
        <w:ind w:leftChars="0"/>
        <w:jc w:val="center"/>
        <w:rPr>
          <w:rFonts w:hint="eastAsia"/>
          <w:color w:val="auto"/>
          <w:highlight w:val="none"/>
          <w:lang w:val="en-US" w:eastAsia="zh-CN"/>
        </w:rPr>
      </w:pPr>
      <w:r>
        <w:rPr>
          <w:rFonts w:hint="eastAsia"/>
          <w:color w:val="auto"/>
          <w:highlight w:val="none"/>
          <w:lang w:val="en-US" w:eastAsia="zh-CN"/>
        </w:rPr>
        <w:t>开标一览表</w:t>
      </w:r>
    </w:p>
    <w:p w14:paraId="3554547B">
      <w:pPr>
        <w:spacing w:line="360" w:lineRule="auto"/>
        <w:ind w:right="187"/>
        <w:rPr>
          <w:rFonts w:hint="eastAsia" w:ascii="宋体" w:hAnsi="宋体"/>
          <w:b/>
          <w:bCs/>
          <w:color w:val="auto"/>
          <w:sz w:val="24"/>
          <w:highlight w:val="none"/>
        </w:rPr>
      </w:pPr>
      <w:r>
        <w:rPr>
          <w:rFonts w:hint="eastAsia" w:ascii="宋体" w:hAnsi="宋体"/>
          <w:b/>
          <w:bCs/>
          <w:color w:val="auto"/>
          <w:sz w:val="24"/>
          <w:highlight w:val="none"/>
        </w:rPr>
        <w:t>项目名称：</w:t>
      </w:r>
      <w:r>
        <w:rPr>
          <w:rFonts w:hint="eastAsia" w:ascii="宋体" w:hAnsi="宋体"/>
          <w:b/>
          <w:bCs/>
          <w:color w:val="auto"/>
          <w:sz w:val="24"/>
          <w:highlight w:val="none"/>
          <w:u w:val="single"/>
        </w:rPr>
        <w:t xml:space="preserve">                  </w:t>
      </w:r>
      <w:r>
        <w:rPr>
          <w:rFonts w:hint="eastAsia" w:ascii="宋体" w:hAnsi="宋体"/>
          <w:b/>
          <w:bCs/>
          <w:color w:val="auto"/>
          <w:sz w:val="24"/>
          <w:highlight w:val="none"/>
        </w:rPr>
        <w:t xml:space="preserve"> </w:t>
      </w:r>
    </w:p>
    <w:tbl>
      <w:tblPr>
        <w:tblStyle w:val="3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1"/>
        <w:gridCol w:w="6644"/>
      </w:tblGrid>
      <w:tr w14:paraId="16FBE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trPr>
        <w:tc>
          <w:tcPr>
            <w:tcW w:w="2081" w:type="dxa"/>
            <w:noWrap w:val="0"/>
            <w:vAlign w:val="center"/>
          </w:tcPr>
          <w:p w14:paraId="1964EDD0">
            <w:pPr>
              <w:jc w:val="center"/>
              <w:rPr>
                <w:rFonts w:hint="eastAsia" w:ascii="宋体" w:hAnsi="宋体"/>
                <w:b/>
                <w:bCs/>
                <w:color w:val="auto"/>
                <w:sz w:val="24"/>
                <w:highlight w:val="none"/>
              </w:rPr>
            </w:pPr>
            <w:r>
              <w:rPr>
                <w:rFonts w:hint="eastAsia" w:ascii="宋体" w:hAnsi="宋体"/>
                <w:b/>
                <w:bCs/>
                <w:color w:val="auto"/>
                <w:sz w:val="24"/>
                <w:highlight w:val="none"/>
              </w:rPr>
              <w:t>投标人名称</w:t>
            </w:r>
          </w:p>
        </w:tc>
        <w:tc>
          <w:tcPr>
            <w:tcW w:w="6644" w:type="dxa"/>
            <w:noWrap w:val="0"/>
            <w:vAlign w:val="center"/>
          </w:tcPr>
          <w:p w14:paraId="5AEC310E">
            <w:pPr>
              <w:jc w:val="center"/>
              <w:rPr>
                <w:rFonts w:hint="eastAsia" w:ascii="宋体" w:hAnsi="宋体"/>
                <w:b/>
                <w:bCs/>
                <w:color w:val="auto"/>
                <w:sz w:val="24"/>
                <w:highlight w:val="none"/>
              </w:rPr>
            </w:pPr>
          </w:p>
        </w:tc>
      </w:tr>
      <w:tr w14:paraId="0BECF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2" w:hRule="atLeast"/>
        </w:trPr>
        <w:tc>
          <w:tcPr>
            <w:tcW w:w="2081" w:type="dxa"/>
            <w:noWrap w:val="0"/>
            <w:vAlign w:val="center"/>
          </w:tcPr>
          <w:p w14:paraId="50DF24D2">
            <w:pPr>
              <w:tabs>
                <w:tab w:val="left" w:pos="420"/>
              </w:tabs>
              <w:jc w:val="center"/>
              <w:rPr>
                <w:rFonts w:hint="eastAsia" w:ascii="宋体" w:hAnsi="宋体"/>
                <w:b/>
                <w:bCs/>
                <w:color w:val="auto"/>
                <w:sz w:val="24"/>
                <w:highlight w:val="none"/>
              </w:rPr>
            </w:pPr>
            <w:r>
              <w:rPr>
                <w:rFonts w:hint="eastAsia" w:ascii="宋体" w:hAnsi="宋体"/>
                <w:b/>
                <w:bCs/>
                <w:color w:val="auto"/>
                <w:sz w:val="24"/>
                <w:highlight w:val="none"/>
              </w:rPr>
              <w:t>投标报价</w:t>
            </w:r>
          </w:p>
        </w:tc>
        <w:tc>
          <w:tcPr>
            <w:tcW w:w="6644" w:type="dxa"/>
            <w:noWrap w:val="0"/>
            <w:vAlign w:val="center"/>
          </w:tcPr>
          <w:p w14:paraId="12C61A5F">
            <w:pPr>
              <w:numPr>
                <w:ilvl w:val="0"/>
                <w:numId w:val="30"/>
              </w:numPr>
              <w:adjustRightInd w:val="0"/>
              <w:snapToGrid w:val="0"/>
              <w:spacing w:line="360" w:lineRule="auto"/>
              <w:jc w:val="left"/>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cs="宋体"/>
                <w:color w:val="auto"/>
                <w:kern w:val="0"/>
                <w:sz w:val="22"/>
                <w:szCs w:val="22"/>
                <w:highlight w:val="none"/>
                <w:u w:val="none"/>
                <w:lang w:bidi="ar"/>
              </w:rPr>
              <w:t>逾期天数1（含）-30（含）天</w:t>
            </w:r>
            <w:r>
              <w:rPr>
                <w:rFonts w:hint="eastAsia" w:ascii="宋体" w:hAnsi="宋体" w:cs="宋体"/>
                <w:color w:val="auto"/>
                <w:kern w:val="0"/>
                <w:sz w:val="22"/>
                <w:szCs w:val="22"/>
                <w:highlight w:val="none"/>
                <w:u w:val="none"/>
                <w:lang w:eastAsia="zh-CN" w:bidi="ar"/>
              </w:rPr>
              <w:t>，</w:t>
            </w:r>
            <w:r>
              <w:rPr>
                <w:rFonts w:hint="eastAsia" w:ascii="宋体" w:hAnsi="宋体" w:eastAsia="宋体" w:cs="宋体"/>
                <w:b w:val="0"/>
                <w:bCs w:val="0"/>
                <w:i w:val="0"/>
                <w:iCs w:val="0"/>
                <w:color w:val="auto"/>
                <w:kern w:val="0"/>
                <w:sz w:val="22"/>
                <w:szCs w:val="22"/>
                <w:highlight w:val="none"/>
                <w:u w:val="none"/>
                <w:lang w:val="en-US" w:eastAsia="zh-CN" w:bidi="ar"/>
              </w:rPr>
              <w:t>佣金比例为收回金额的</w:t>
            </w:r>
            <w:r>
              <w:rPr>
                <w:rFonts w:hint="eastAsia" w:ascii="宋体" w:hAnsi="宋体" w:cs="宋体"/>
                <w:b w:val="0"/>
                <w:bCs w:val="0"/>
                <w:i w:val="0"/>
                <w:iCs w:val="0"/>
                <w:color w:val="auto"/>
                <w:kern w:val="0"/>
                <w:sz w:val="22"/>
                <w:szCs w:val="22"/>
                <w:highlight w:val="none"/>
                <w:u w:val="none"/>
                <w:lang w:val="en-US" w:eastAsia="zh-CN" w:bidi="ar"/>
              </w:rPr>
              <w:t xml:space="preserve">    </w:t>
            </w:r>
            <w:r>
              <w:rPr>
                <w:rFonts w:hint="eastAsia" w:ascii="宋体" w:hAnsi="宋体" w:eastAsia="宋体" w:cs="宋体"/>
                <w:b w:val="0"/>
                <w:bCs w:val="0"/>
                <w:i w:val="0"/>
                <w:iCs w:val="0"/>
                <w:color w:val="auto"/>
                <w:kern w:val="0"/>
                <w:sz w:val="22"/>
                <w:szCs w:val="22"/>
                <w:highlight w:val="none"/>
                <w:u w:val="none"/>
                <w:lang w:val="en-US" w:eastAsia="zh-CN" w:bidi="ar"/>
              </w:rPr>
              <w:t>%</w:t>
            </w:r>
          </w:p>
          <w:p w14:paraId="118FCADC">
            <w:pPr>
              <w:numPr>
                <w:ilvl w:val="0"/>
                <w:numId w:val="30"/>
              </w:numPr>
              <w:adjustRightInd w:val="0"/>
              <w:snapToGrid w:val="0"/>
              <w:spacing w:line="360" w:lineRule="auto"/>
              <w:jc w:val="left"/>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b w:val="0"/>
                <w:bCs w:val="0"/>
                <w:i w:val="0"/>
                <w:iCs w:val="0"/>
                <w:color w:val="auto"/>
                <w:kern w:val="0"/>
                <w:sz w:val="22"/>
                <w:szCs w:val="22"/>
                <w:highlight w:val="none"/>
                <w:u w:val="none"/>
                <w:lang w:val="en-US" w:eastAsia="zh-CN" w:bidi="ar"/>
              </w:rPr>
              <w:t>逾期天数30（不含）-90（含）天，佣金比例为收回金额的</w:t>
            </w:r>
            <w:r>
              <w:rPr>
                <w:rFonts w:hint="eastAsia" w:ascii="宋体" w:hAnsi="宋体" w:cs="宋体"/>
                <w:b w:val="0"/>
                <w:bCs w:val="0"/>
                <w:i w:val="0"/>
                <w:iCs w:val="0"/>
                <w:color w:val="auto"/>
                <w:kern w:val="0"/>
                <w:sz w:val="22"/>
                <w:szCs w:val="22"/>
                <w:highlight w:val="none"/>
                <w:u w:val="none"/>
                <w:lang w:val="en-US" w:eastAsia="zh-CN" w:bidi="ar"/>
              </w:rPr>
              <w:t xml:space="preserve">    </w:t>
            </w:r>
            <w:r>
              <w:rPr>
                <w:rFonts w:hint="eastAsia" w:ascii="宋体" w:hAnsi="宋体" w:eastAsia="宋体" w:cs="宋体"/>
                <w:b w:val="0"/>
                <w:bCs w:val="0"/>
                <w:i w:val="0"/>
                <w:iCs w:val="0"/>
                <w:color w:val="auto"/>
                <w:kern w:val="0"/>
                <w:sz w:val="22"/>
                <w:szCs w:val="22"/>
                <w:highlight w:val="none"/>
                <w:u w:val="none"/>
                <w:lang w:val="en-US" w:eastAsia="zh-CN" w:bidi="ar"/>
              </w:rPr>
              <w:t>%</w:t>
            </w:r>
          </w:p>
          <w:p w14:paraId="50AED374">
            <w:pPr>
              <w:numPr>
                <w:ilvl w:val="0"/>
                <w:numId w:val="30"/>
              </w:numPr>
              <w:adjustRightInd w:val="0"/>
              <w:snapToGrid w:val="0"/>
              <w:spacing w:line="360" w:lineRule="auto"/>
              <w:jc w:val="left"/>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b w:val="0"/>
                <w:bCs w:val="0"/>
                <w:i w:val="0"/>
                <w:iCs w:val="0"/>
                <w:color w:val="auto"/>
                <w:kern w:val="0"/>
                <w:sz w:val="22"/>
                <w:szCs w:val="22"/>
                <w:highlight w:val="none"/>
                <w:u w:val="none"/>
                <w:lang w:val="en-US" w:eastAsia="zh-CN" w:bidi="ar"/>
              </w:rPr>
              <w:t>逾期天数90（不含）-180（含）天，佣金比例为收回金额的</w:t>
            </w:r>
            <w:r>
              <w:rPr>
                <w:rFonts w:hint="eastAsia" w:ascii="宋体" w:hAnsi="宋体" w:cs="宋体"/>
                <w:b w:val="0"/>
                <w:bCs w:val="0"/>
                <w:i w:val="0"/>
                <w:iCs w:val="0"/>
                <w:color w:val="auto"/>
                <w:kern w:val="0"/>
                <w:sz w:val="22"/>
                <w:szCs w:val="22"/>
                <w:highlight w:val="none"/>
                <w:u w:val="none"/>
                <w:lang w:val="en-US" w:eastAsia="zh-CN" w:bidi="ar"/>
              </w:rPr>
              <w:t xml:space="preserve">    </w:t>
            </w:r>
            <w:r>
              <w:rPr>
                <w:rFonts w:hint="eastAsia" w:ascii="宋体" w:hAnsi="宋体" w:eastAsia="宋体" w:cs="宋体"/>
                <w:b w:val="0"/>
                <w:bCs w:val="0"/>
                <w:i w:val="0"/>
                <w:iCs w:val="0"/>
                <w:color w:val="auto"/>
                <w:kern w:val="0"/>
                <w:sz w:val="22"/>
                <w:szCs w:val="22"/>
                <w:highlight w:val="none"/>
                <w:u w:val="none"/>
                <w:lang w:val="en-US" w:eastAsia="zh-CN" w:bidi="ar"/>
              </w:rPr>
              <w:t>%</w:t>
            </w:r>
          </w:p>
          <w:p w14:paraId="1BA4DE4C">
            <w:pPr>
              <w:numPr>
                <w:ilvl w:val="0"/>
                <w:numId w:val="30"/>
              </w:numPr>
              <w:adjustRightInd w:val="0"/>
              <w:snapToGrid w:val="0"/>
              <w:spacing w:line="360" w:lineRule="auto"/>
              <w:jc w:val="left"/>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b w:val="0"/>
                <w:bCs w:val="0"/>
                <w:i w:val="0"/>
                <w:iCs w:val="0"/>
                <w:color w:val="auto"/>
                <w:kern w:val="0"/>
                <w:sz w:val="22"/>
                <w:szCs w:val="22"/>
                <w:highlight w:val="none"/>
                <w:u w:val="none"/>
                <w:lang w:val="en-US" w:eastAsia="zh-CN" w:bidi="ar"/>
              </w:rPr>
              <w:t>逾期天数180（不含）-360（含）天，佣金比例为收回金额的</w:t>
            </w:r>
            <w:r>
              <w:rPr>
                <w:rFonts w:hint="eastAsia" w:ascii="宋体" w:hAnsi="宋体" w:cs="宋体"/>
                <w:b w:val="0"/>
                <w:bCs w:val="0"/>
                <w:i w:val="0"/>
                <w:iCs w:val="0"/>
                <w:color w:val="auto"/>
                <w:kern w:val="0"/>
                <w:sz w:val="22"/>
                <w:szCs w:val="22"/>
                <w:highlight w:val="none"/>
                <w:u w:val="none"/>
                <w:lang w:val="en-US" w:eastAsia="zh-CN" w:bidi="ar"/>
              </w:rPr>
              <w:t xml:space="preserve">    </w:t>
            </w:r>
            <w:r>
              <w:rPr>
                <w:rFonts w:hint="eastAsia" w:ascii="宋体" w:hAnsi="宋体" w:eastAsia="宋体" w:cs="宋体"/>
                <w:b w:val="0"/>
                <w:bCs w:val="0"/>
                <w:i w:val="0"/>
                <w:iCs w:val="0"/>
                <w:color w:val="auto"/>
                <w:kern w:val="0"/>
                <w:sz w:val="22"/>
                <w:szCs w:val="22"/>
                <w:highlight w:val="none"/>
                <w:u w:val="none"/>
                <w:lang w:val="en-US" w:eastAsia="zh-CN" w:bidi="ar"/>
              </w:rPr>
              <w:t>%</w:t>
            </w:r>
          </w:p>
          <w:p w14:paraId="7A6704F1">
            <w:pPr>
              <w:numPr>
                <w:ilvl w:val="0"/>
                <w:numId w:val="30"/>
              </w:numPr>
              <w:adjustRightInd w:val="0"/>
              <w:snapToGrid w:val="0"/>
              <w:spacing w:line="360" w:lineRule="auto"/>
              <w:jc w:val="left"/>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b w:val="0"/>
                <w:bCs w:val="0"/>
                <w:i w:val="0"/>
                <w:iCs w:val="0"/>
                <w:color w:val="auto"/>
                <w:kern w:val="0"/>
                <w:sz w:val="22"/>
                <w:szCs w:val="22"/>
                <w:highlight w:val="none"/>
                <w:u w:val="none"/>
                <w:lang w:val="en-US" w:eastAsia="zh-CN" w:bidi="ar"/>
              </w:rPr>
              <w:t>逾期天数360（不含）以上，佣金比例为收回金额的</w:t>
            </w:r>
            <w:r>
              <w:rPr>
                <w:rFonts w:hint="eastAsia" w:ascii="宋体" w:hAnsi="宋体" w:cs="宋体"/>
                <w:b w:val="0"/>
                <w:bCs w:val="0"/>
                <w:i w:val="0"/>
                <w:iCs w:val="0"/>
                <w:color w:val="auto"/>
                <w:kern w:val="0"/>
                <w:sz w:val="22"/>
                <w:szCs w:val="22"/>
                <w:highlight w:val="none"/>
                <w:u w:val="none"/>
                <w:lang w:val="en-US" w:eastAsia="zh-CN" w:bidi="ar"/>
              </w:rPr>
              <w:t xml:space="preserve">    </w:t>
            </w:r>
            <w:r>
              <w:rPr>
                <w:rFonts w:hint="eastAsia" w:ascii="宋体" w:hAnsi="宋体" w:eastAsia="宋体" w:cs="宋体"/>
                <w:b w:val="0"/>
                <w:bCs w:val="0"/>
                <w:i w:val="0"/>
                <w:iCs w:val="0"/>
                <w:color w:val="auto"/>
                <w:kern w:val="0"/>
                <w:sz w:val="22"/>
                <w:szCs w:val="22"/>
                <w:highlight w:val="none"/>
                <w:u w:val="none"/>
                <w:lang w:val="en-US" w:eastAsia="zh-CN" w:bidi="ar"/>
              </w:rPr>
              <w:t>%</w:t>
            </w:r>
          </w:p>
          <w:p w14:paraId="3AFC1294">
            <w:pPr>
              <w:numPr>
                <w:ilvl w:val="0"/>
                <w:numId w:val="0"/>
              </w:numPr>
              <w:adjustRightInd w:val="0"/>
              <w:snapToGrid w:val="0"/>
              <w:spacing w:line="360" w:lineRule="auto"/>
              <w:jc w:val="left"/>
              <w:rPr>
                <w:rFonts w:hint="eastAsia" w:ascii="宋体" w:hAnsi="宋体" w:eastAsia="宋体"/>
                <w:b/>
                <w:bCs/>
                <w:color w:val="auto"/>
                <w:sz w:val="24"/>
                <w:highlight w:val="none"/>
                <w:lang w:val="en-US" w:eastAsia="zh-CN"/>
              </w:rPr>
            </w:pPr>
            <w:r>
              <w:rPr>
                <w:rFonts w:hint="eastAsia" w:ascii="宋体" w:hAnsi="宋体" w:eastAsia="宋体" w:cs="宋体"/>
                <w:b w:val="0"/>
                <w:bCs w:val="0"/>
                <w:i w:val="0"/>
                <w:iCs w:val="0"/>
                <w:color w:val="auto"/>
                <w:kern w:val="0"/>
                <w:sz w:val="22"/>
                <w:szCs w:val="22"/>
                <w:highlight w:val="none"/>
                <w:u w:val="none"/>
                <w:lang w:val="en-US" w:eastAsia="zh-CN" w:bidi="ar"/>
              </w:rPr>
              <w:t>总费用报价_____元（含税），不含税价格_____元，税率_____%。</w:t>
            </w:r>
          </w:p>
        </w:tc>
      </w:tr>
      <w:tr w14:paraId="68324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trPr>
        <w:tc>
          <w:tcPr>
            <w:tcW w:w="2081" w:type="dxa"/>
            <w:noWrap w:val="0"/>
            <w:vAlign w:val="center"/>
          </w:tcPr>
          <w:p w14:paraId="146CB167">
            <w:pPr>
              <w:adjustRightInd w:val="0"/>
              <w:snapToGrid w:val="0"/>
              <w:spacing w:line="360" w:lineRule="auto"/>
              <w:jc w:val="center"/>
              <w:rPr>
                <w:rFonts w:hint="eastAsia" w:ascii="宋体" w:hAnsi="宋体"/>
                <w:b/>
                <w:bCs/>
                <w:color w:val="auto"/>
                <w:sz w:val="24"/>
                <w:highlight w:val="none"/>
              </w:rPr>
            </w:pPr>
            <w:r>
              <w:rPr>
                <w:rFonts w:hint="eastAsia" w:ascii="宋体" w:hAnsi="宋体"/>
                <w:b/>
                <w:bCs/>
                <w:color w:val="auto"/>
                <w:sz w:val="24"/>
                <w:highlight w:val="none"/>
              </w:rPr>
              <w:t>项目负责人</w:t>
            </w:r>
          </w:p>
        </w:tc>
        <w:tc>
          <w:tcPr>
            <w:tcW w:w="6644" w:type="dxa"/>
            <w:noWrap w:val="0"/>
            <w:vAlign w:val="center"/>
          </w:tcPr>
          <w:p w14:paraId="1CE939BA">
            <w:pPr>
              <w:adjustRightInd w:val="0"/>
              <w:snapToGrid w:val="0"/>
              <w:spacing w:line="360" w:lineRule="auto"/>
              <w:jc w:val="left"/>
              <w:rPr>
                <w:rFonts w:hint="eastAsia" w:ascii="宋体" w:hAnsi="宋体"/>
                <w:b/>
                <w:bCs/>
                <w:color w:val="auto"/>
                <w:sz w:val="24"/>
                <w:highlight w:val="none"/>
              </w:rPr>
            </w:pPr>
          </w:p>
        </w:tc>
      </w:tr>
    </w:tbl>
    <w:p w14:paraId="0B093042">
      <w:pPr>
        <w:spacing w:line="400" w:lineRule="exact"/>
        <w:rPr>
          <w:rFonts w:ascii="宋体" w:hAnsi="Calibri" w:eastAsia="宋体" w:cs="Times New Roman"/>
          <w:color w:val="auto"/>
          <w:szCs w:val="21"/>
          <w:highlight w:val="none"/>
        </w:rPr>
      </w:pPr>
      <w:r>
        <w:rPr>
          <w:rFonts w:hint="eastAsia" w:ascii="宋体" w:hAnsi="宋体" w:eastAsia="宋体" w:cs="Times New Roman"/>
          <w:b/>
          <w:bCs/>
          <w:color w:val="auto"/>
          <w:szCs w:val="21"/>
          <w:highlight w:val="none"/>
        </w:rPr>
        <w:t>注：</w:t>
      </w:r>
    </w:p>
    <w:p w14:paraId="440943D3">
      <w:pPr>
        <w:spacing w:line="520" w:lineRule="exact"/>
        <w:rPr>
          <w:rFonts w:ascii="宋体" w:hAnsi="Calibri" w:eastAsia="宋体" w:cs="Times New Roman"/>
          <w:b/>
          <w:bCs/>
          <w:color w:val="auto"/>
          <w:szCs w:val="21"/>
          <w:highlight w:val="none"/>
        </w:rPr>
      </w:pPr>
      <w:r>
        <w:rPr>
          <w:rFonts w:ascii="宋体" w:hAnsi="宋体" w:eastAsia="宋体" w:cs="Times New Roman"/>
          <w:b/>
          <w:bCs/>
          <w:color w:val="auto"/>
          <w:szCs w:val="21"/>
          <w:highlight w:val="none"/>
        </w:rPr>
        <w:t>1</w:t>
      </w:r>
      <w:r>
        <w:rPr>
          <w:rFonts w:hint="eastAsia" w:ascii="宋体" w:hAnsi="宋体" w:eastAsia="宋体" w:cs="Times New Roman"/>
          <w:b/>
          <w:bCs/>
          <w:color w:val="auto"/>
          <w:szCs w:val="21"/>
          <w:highlight w:val="none"/>
        </w:rPr>
        <w:t>.此表中的报价必须与相应的报价明细表中的报价一致。</w:t>
      </w:r>
    </w:p>
    <w:p w14:paraId="4A5EE63D">
      <w:pPr>
        <w:spacing w:line="300" w:lineRule="auto"/>
        <w:rPr>
          <w:rFonts w:ascii="宋体" w:hAnsi="宋体" w:eastAsia="宋体" w:cs="宋体"/>
          <w:b/>
          <w:color w:val="auto"/>
          <w:szCs w:val="20"/>
          <w:highlight w:val="none"/>
        </w:rPr>
      </w:pPr>
      <w:r>
        <w:rPr>
          <w:rFonts w:hint="eastAsia" w:ascii="宋体" w:hAnsi="宋体" w:cs="宋体"/>
          <w:b/>
          <w:color w:val="auto"/>
          <w:szCs w:val="20"/>
          <w:highlight w:val="none"/>
          <w:lang w:val="en-US" w:eastAsia="zh-CN"/>
        </w:rPr>
        <w:t>2</w:t>
      </w:r>
      <w:r>
        <w:rPr>
          <w:rFonts w:hint="eastAsia" w:ascii="宋体" w:hAnsi="宋体" w:eastAsia="宋体" w:cs="宋体"/>
          <w:b/>
          <w:color w:val="auto"/>
          <w:szCs w:val="20"/>
          <w:highlight w:val="none"/>
        </w:rPr>
        <w:t>.需写明含税价、不含税价格、税率。</w:t>
      </w:r>
    </w:p>
    <w:p w14:paraId="716860CE">
      <w:pPr>
        <w:pStyle w:val="15"/>
        <w:rPr>
          <w:rFonts w:hint="eastAsia" w:hAnsi="宋体" w:eastAsia="宋体" w:cs="Times New Roman"/>
          <w:b/>
          <w:bCs/>
          <w:color w:val="auto"/>
          <w:szCs w:val="21"/>
          <w:highlight w:val="none"/>
        </w:rPr>
      </w:pPr>
      <w:r>
        <w:rPr>
          <w:rFonts w:hint="eastAsia" w:hAnsi="宋体" w:cs="宋体"/>
          <w:b/>
          <w:color w:val="auto"/>
          <w:szCs w:val="20"/>
          <w:highlight w:val="none"/>
          <w:lang w:val="en-US" w:eastAsia="zh-CN"/>
        </w:rPr>
        <w:t>3</w:t>
      </w:r>
      <w:r>
        <w:rPr>
          <w:rFonts w:hint="eastAsia" w:hAnsi="宋体" w:eastAsia="宋体" w:cs="宋体"/>
          <w:b/>
          <w:color w:val="auto"/>
          <w:szCs w:val="20"/>
          <w:highlight w:val="none"/>
        </w:rPr>
        <w:t>.</w:t>
      </w:r>
      <w:r>
        <w:rPr>
          <w:rFonts w:hint="eastAsia" w:hAnsi="宋体" w:eastAsia="宋体" w:cs="Times New Roman"/>
          <w:b/>
          <w:bCs/>
          <w:color w:val="auto"/>
          <w:szCs w:val="21"/>
          <w:highlight w:val="none"/>
        </w:rPr>
        <w:t>投标总价包括</w:t>
      </w:r>
      <w:r>
        <w:rPr>
          <w:rFonts w:hint="eastAsia" w:hAnsi="宋体" w:cs="Times New Roman"/>
          <w:b/>
          <w:bCs/>
          <w:color w:val="auto"/>
          <w:szCs w:val="21"/>
          <w:highlight w:val="none"/>
          <w:u w:val="none"/>
          <w:lang w:val="en-US" w:eastAsia="zh-CN"/>
        </w:rPr>
        <w:t>全部费用</w:t>
      </w:r>
      <w:r>
        <w:rPr>
          <w:rFonts w:hint="eastAsia" w:hAnsi="宋体" w:eastAsia="宋体" w:cs="Times New Roman"/>
          <w:b/>
          <w:bCs/>
          <w:color w:val="auto"/>
          <w:szCs w:val="21"/>
          <w:highlight w:val="none"/>
        </w:rPr>
        <w:t>。</w:t>
      </w:r>
    </w:p>
    <w:p w14:paraId="7CA9A866">
      <w:pPr>
        <w:pStyle w:val="15"/>
        <w:rPr>
          <w:rFonts w:hint="eastAsia" w:hAnsi="宋体" w:eastAsia="宋体" w:cs="Times New Roman"/>
          <w:b/>
          <w:bCs/>
          <w:color w:val="auto"/>
          <w:szCs w:val="21"/>
          <w:highlight w:val="none"/>
        </w:rPr>
      </w:pPr>
    </w:p>
    <w:p w14:paraId="31061A95">
      <w:pPr>
        <w:pStyle w:val="15"/>
        <w:rPr>
          <w:rFonts w:hint="eastAsia" w:hAnsi="宋体" w:eastAsia="宋体" w:cs="Times New Roman"/>
          <w:b/>
          <w:bCs/>
          <w:color w:val="auto"/>
          <w:szCs w:val="21"/>
          <w:highlight w:val="none"/>
        </w:rPr>
      </w:pPr>
    </w:p>
    <w:p w14:paraId="5A2F2EC2">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投标人：（盖章）</w:t>
      </w:r>
    </w:p>
    <w:p w14:paraId="3B316BD5">
      <w:pPr>
        <w:spacing w:line="660" w:lineRule="exact"/>
        <w:jc w:val="righ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5E5A5D5F">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01ACD7E1">
      <w:pPr>
        <w:tabs>
          <w:tab w:val="left" w:pos="764"/>
        </w:tabs>
        <w:rPr>
          <w:color w:val="auto"/>
          <w:highlight w:val="none"/>
        </w:rPr>
      </w:pPr>
    </w:p>
    <w:p w14:paraId="6E7F97B7">
      <w:pPr>
        <w:pStyle w:val="73"/>
        <w:numPr>
          <w:ilvl w:val="0"/>
          <w:numId w:val="0"/>
        </w:numPr>
        <w:ind w:leftChars="0"/>
        <w:rPr>
          <w:color w:val="auto"/>
          <w:highlight w:val="none"/>
        </w:rPr>
      </w:pPr>
    </w:p>
    <w:p w14:paraId="3F830A7C">
      <w:pPr>
        <w:pStyle w:val="73"/>
        <w:numPr>
          <w:ilvl w:val="0"/>
          <w:numId w:val="0"/>
        </w:numPr>
        <w:ind w:leftChars="0"/>
        <w:rPr>
          <w:color w:val="auto"/>
          <w:highlight w:val="none"/>
        </w:rPr>
      </w:pPr>
    </w:p>
    <w:p w14:paraId="1D8A3199">
      <w:pPr>
        <w:pStyle w:val="77"/>
        <w:ind w:firstLine="630" w:firstLineChars="300"/>
        <w:rPr>
          <w:rFonts w:hint="eastAsia"/>
          <w:color w:val="auto"/>
          <w:highlight w:val="none"/>
        </w:rPr>
      </w:pPr>
    </w:p>
    <w:p w14:paraId="566D53E9">
      <w:pPr>
        <w:pStyle w:val="77"/>
        <w:rPr>
          <w:rFonts w:hint="eastAsia" w:ascii="宋体" w:hAnsi="宋体" w:eastAsia="宋体" w:cs="宋体"/>
          <w:b/>
          <w:bCs/>
          <w:color w:val="auto"/>
          <w:kern w:val="2"/>
          <w:sz w:val="32"/>
          <w:szCs w:val="32"/>
          <w:highlight w:val="none"/>
          <w:lang w:val="en-US" w:eastAsia="zh-CN" w:bidi="ar-SA"/>
        </w:rPr>
      </w:pPr>
    </w:p>
    <w:p w14:paraId="23E75332">
      <w:pPr>
        <w:pStyle w:val="77"/>
        <w:rPr>
          <w:rFonts w:hint="default" w:hAnsi="宋体"/>
          <w:color w:val="auto"/>
          <w:sz w:val="24"/>
          <w:highlight w:val="none"/>
          <w:lang w:val="en-US"/>
        </w:rPr>
      </w:pPr>
      <w:r>
        <w:rPr>
          <w:rFonts w:hint="eastAsia" w:ascii="宋体" w:hAnsi="宋体" w:eastAsia="宋体" w:cs="宋体"/>
          <w:b/>
          <w:bCs/>
          <w:color w:val="auto"/>
          <w:kern w:val="2"/>
          <w:sz w:val="32"/>
          <w:szCs w:val="32"/>
          <w:highlight w:val="none"/>
          <w:lang w:val="en-US" w:eastAsia="zh-CN" w:bidi="ar-SA"/>
        </w:rPr>
        <w:t>附件4</w:t>
      </w:r>
    </w:p>
    <w:p w14:paraId="14D89576">
      <w:pPr>
        <w:snapToGrid w:val="0"/>
        <w:spacing w:before="240" w:beforeLines="100" w:after="240" w:afterLines="100" w:line="360" w:lineRule="auto"/>
        <w:jc w:val="center"/>
        <w:rPr>
          <w:rFonts w:hint="eastAsia" w:ascii="宋体" w:hAnsi="宋体"/>
          <w:b/>
          <w:color w:val="auto"/>
          <w:sz w:val="28"/>
          <w:szCs w:val="28"/>
          <w:highlight w:val="none"/>
          <w:lang w:eastAsia="zh-CN"/>
        </w:rPr>
      </w:pPr>
      <w:bookmarkStart w:id="36" w:name="_Toc454207350"/>
      <w:r>
        <w:rPr>
          <w:rFonts w:hint="eastAsia" w:ascii="宋体" w:hAnsi="宋体"/>
          <w:b/>
          <w:color w:val="auto"/>
          <w:sz w:val="28"/>
          <w:szCs w:val="28"/>
          <w:highlight w:val="none"/>
        </w:rPr>
        <w:t>服务业绩</w:t>
      </w:r>
      <w:r>
        <w:rPr>
          <w:rFonts w:hint="eastAsia" w:ascii="宋体" w:hAnsi="宋体"/>
          <w:b/>
          <w:color w:val="auto"/>
          <w:sz w:val="28"/>
          <w:szCs w:val="28"/>
          <w:highlight w:val="none"/>
          <w:lang w:eastAsia="zh-CN"/>
        </w:rPr>
        <w:t>及拟服务团队</w:t>
      </w:r>
    </w:p>
    <w:p w14:paraId="504127A8">
      <w:pPr>
        <w:snapToGrid w:val="0"/>
        <w:spacing w:before="240" w:beforeLines="100" w:after="240" w:afterLines="100" w:line="360" w:lineRule="auto"/>
        <w:jc w:val="center"/>
        <w:rPr>
          <w:rFonts w:ascii="宋体" w:hAnsi="宋体"/>
          <w:b/>
          <w:color w:val="auto"/>
          <w:sz w:val="28"/>
          <w:szCs w:val="28"/>
          <w:highlight w:val="none"/>
        </w:rPr>
      </w:pPr>
      <w:r>
        <w:rPr>
          <w:rFonts w:hint="eastAsia" w:ascii="宋体" w:hAnsi="宋体"/>
          <w:b/>
          <w:color w:val="auto"/>
          <w:sz w:val="28"/>
          <w:szCs w:val="28"/>
          <w:highlight w:val="none"/>
          <w:lang w:eastAsia="zh-CN"/>
        </w:rPr>
        <w:t>主要负责人、基本成员业绩</w:t>
      </w:r>
      <w:r>
        <w:rPr>
          <w:rFonts w:hint="eastAsia" w:ascii="宋体" w:hAnsi="宋体"/>
          <w:b/>
          <w:color w:val="auto"/>
          <w:sz w:val="28"/>
          <w:szCs w:val="28"/>
          <w:highlight w:val="none"/>
        </w:rPr>
        <w:t>一览表</w:t>
      </w:r>
      <w:bookmarkEnd w:id="36"/>
    </w:p>
    <w:p w14:paraId="580C1B30">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提供投标人近</w:t>
      </w:r>
      <w:r>
        <w:rPr>
          <w:rFonts w:hint="eastAsia" w:ascii="宋体" w:hAnsi="宋体" w:eastAsia="宋体" w:cs="Times New Roman"/>
          <w:color w:val="auto"/>
          <w:sz w:val="24"/>
          <w:szCs w:val="24"/>
          <w:highlight w:val="none"/>
          <w:lang w:val="en-US" w:eastAsia="zh-CN"/>
        </w:rPr>
        <w:t>两年</w:t>
      </w:r>
      <w:r>
        <w:rPr>
          <w:rFonts w:hint="eastAsia" w:ascii="宋体" w:hAnsi="宋体" w:eastAsia="宋体" w:cs="Times New Roman"/>
          <w:color w:val="auto"/>
          <w:sz w:val="24"/>
          <w:szCs w:val="24"/>
          <w:highlight w:val="none"/>
        </w:rPr>
        <w:t>承接与本次</w:t>
      </w:r>
      <w:r>
        <w:rPr>
          <w:rFonts w:hint="eastAsia" w:ascii="宋体" w:hAnsi="宋体" w:eastAsia="宋体" w:cs="Times New Roman"/>
          <w:color w:val="auto"/>
          <w:sz w:val="24"/>
          <w:szCs w:val="24"/>
          <w:highlight w:val="none"/>
          <w:lang w:eastAsia="zh-CN"/>
        </w:rPr>
        <w:t>邀标</w:t>
      </w:r>
      <w:r>
        <w:rPr>
          <w:rFonts w:hint="eastAsia" w:ascii="宋体" w:hAnsi="宋体" w:eastAsia="宋体" w:cs="Times New Roman"/>
          <w:color w:val="auto"/>
          <w:sz w:val="24"/>
          <w:szCs w:val="24"/>
          <w:highlight w:val="none"/>
        </w:rPr>
        <w:t>内容类似的服务业绩。</w:t>
      </w:r>
    </w:p>
    <w:p w14:paraId="481C6B8E">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所有业绩须提供有关的证明材料。证明材料中须显示出项目名称、服务时间等</w:t>
      </w:r>
    </w:p>
    <w:tbl>
      <w:tblPr>
        <w:tblStyle w:val="31"/>
        <w:tblW w:w="951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3"/>
        <w:gridCol w:w="1691"/>
        <w:gridCol w:w="2145"/>
        <w:gridCol w:w="1930"/>
        <w:gridCol w:w="2184"/>
      </w:tblGrid>
      <w:tr w14:paraId="7ECE1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169CE172">
            <w:pPr>
              <w:jc w:val="center"/>
              <w:rPr>
                <w:rFonts w:hint="eastAsia" w:ascii="宋体" w:hAnsi="宋体"/>
                <w:color w:val="auto"/>
                <w:sz w:val="24"/>
                <w:szCs w:val="28"/>
                <w:highlight w:val="none"/>
              </w:rPr>
            </w:pPr>
            <w:r>
              <w:rPr>
                <w:rFonts w:hint="eastAsia" w:ascii="宋体" w:hAnsi="宋体"/>
                <w:color w:val="auto"/>
                <w:sz w:val="24"/>
                <w:szCs w:val="28"/>
                <w:highlight w:val="none"/>
              </w:rPr>
              <w:t>使用单位</w:t>
            </w:r>
          </w:p>
        </w:tc>
        <w:tc>
          <w:tcPr>
            <w:tcW w:w="1691" w:type="dxa"/>
            <w:tcBorders>
              <w:top w:val="single" w:color="auto" w:sz="4" w:space="0"/>
              <w:left w:val="single" w:color="auto" w:sz="4" w:space="0"/>
              <w:bottom w:val="single" w:color="auto" w:sz="4" w:space="0"/>
              <w:right w:val="single" w:color="auto" w:sz="4" w:space="0"/>
            </w:tcBorders>
            <w:noWrap w:val="0"/>
            <w:vAlign w:val="center"/>
          </w:tcPr>
          <w:p w14:paraId="59D47E37">
            <w:pPr>
              <w:jc w:val="center"/>
              <w:rPr>
                <w:rFonts w:hint="eastAsia" w:ascii="宋体" w:hAnsi="宋体"/>
                <w:color w:val="auto"/>
                <w:sz w:val="24"/>
                <w:szCs w:val="28"/>
                <w:highlight w:val="none"/>
              </w:rPr>
            </w:pPr>
            <w:r>
              <w:rPr>
                <w:rFonts w:hint="eastAsia" w:ascii="宋体" w:hAnsi="宋体"/>
                <w:color w:val="auto"/>
                <w:sz w:val="24"/>
                <w:szCs w:val="28"/>
                <w:highlight w:val="none"/>
              </w:rPr>
              <w:t>项目名称</w:t>
            </w:r>
          </w:p>
        </w:tc>
        <w:tc>
          <w:tcPr>
            <w:tcW w:w="2145" w:type="dxa"/>
            <w:tcBorders>
              <w:top w:val="single" w:color="auto" w:sz="4" w:space="0"/>
              <w:left w:val="single" w:color="auto" w:sz="4" w:space="0"/>
              <w:bottom w:val="single" w:color="auto" w:sz="4" w:space="0"/>
              <w:right w:val="single" w:color="auto" w:sz="4" w:space="0"/>
            </w:tcBorders>
            <w:noWrap w:val="0"/>
            <w:vAlign w:val="center"/>
          </w:tcPr>
          <w:p w14:paraId="7098713E">
            <w:pPr>
              <w:jc w:val="center"/>
              <w:rPr>
                <w:rFonts w:hint="eastAsia" w:ascii="宋体" w:hAnsi="宋体"/>
                <w:color w:val="auto"/>
                <w:sz w:val="24"/>
                <w:szCs w:val="28"/>
                <w:highlight w:val="none"/>
              </w:rPr>
            </w:pPr>
            <w:r>
              <w:rPr>
                <w:rFonts w:hint="eastAsia" w:ascii="宋体" w:hAnsi="宋体"/>
                <w:color w:val="auto"/>
                <w:sz w:val="24"/>
                <w:szCs w:val="28"/>
                <w:highlight w:val="none"/>
              </w:rPr>
              <w:t>服务周期</w:t>
            </w:r>
          </w:p>
        </w:tc>
        <w:tc>
          <w:tcPr>
            <w:tcW w:w="1930" w:type="dxa"/>
            <w:tcBorders>
              <w:top w:val="single" w:color="auto" w:sz="4" w:space="0"/>
              <w:left w:val="single" w:color="auto" w:sz="4" w:space="0"/>
              <w:bottom w:val="single" w:color="auto" w:sz="4" w:space="0"/>
              <w:right w:val="single" w:color="auto" w:sz="4" w:space="0"/>
            </w:tcBorders>
            <w:noWrap w:val="0"/>
            <w:vAlign w:val="center"/>
          </w:tcPr>
          <w:p w14:paraId="76D07E7B">
            <w:pPr>
              <w:jc w:val="center"/>
              <w:rPr>
                <w:rFonts w:hint="eastAsia" w:ascii="宋体" w:hAnsi="宋体"/>
                <w:color w:val="auto"/>
                <w:sz w:val="24"/>
                <w:szCs w:val="28"/>
                <w:highlight w:val="none"/>
              </w:rPr>
            </w:pPr>
            <w:r>
              <w:rPr>
                <w:rFonts w:hint="eastAsia" w:ascii="宋体" w:hAnsi="宋体"/>
                <w:color w:val="auto"/>
                <w:sz w:val="24"/>
                <w:szCs w:val="28"/>
                <w:highlight w:val="none"/>
              </w:rPr>
              <w:t>服务质量</w:t>
            </w:r>
          </w:p>
        </w:tc>
        <w:tc>
          <w:tcPr>
            <w:tcW w:w="2184" w:type="dxa"/>
            <w:tcBorders>
              <w:top w:val="single" w:color="auto" w:sz="4" w:space="0"/>
              <w:left w:val="single" w:color="auto" w:sz="4" w:space="0"/>
              <w:bottom w:val="single" w:color="auto" w:sz="4" w:space="0"/>
              <w:right w:val="single" w:color="auto" w:sz="4" w:space="0"/>
            </w:tcBorders>
            <w:noWrap w:val="0"/>
            <w:vAlign w:val="center"/>
          </w:tcPr>
          <w:p w14:paraId="46E40EF3">
            <w:pPr>
              <w:jc w:val="center"/>
              <w:rPr>
                <w:rFonts w:hint="eastAsia" w:ascii="宋体" w:hAnsi="宋体"/>
                <w:color w:val="auto"/>
                <w:sz w:val="24"/>
                <w:szCs w:val="28"/>
                <w:highlight w:val="none"/>
              </w:rPr>
            </w:pPr>
            <w:r>
              <w:rPr>
                <w:rFonts w:hint="eastAsia" w:ascii="宋体" w:hAnsi="宋体"/>
                <w:color w:val="auto"/>
                <w:sz w:val="24"/>
                <w:szCs w:val="28"/>
                <w:highlight w:val="none"/>
              </w:rPr>
              <w:t>其他说明</w:t>
            </w:r>
          </w:p>
        </w:tc>
      </w:tr>
      <w:tr w14:paraId="2ECCA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4165502A">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7E336713">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718D95DD">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3F35C1FE">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2A6FF60D">
            <w:pPr>
              <w:jc w:val="center"/>
              <w:rPr>
                <w:rFonts w:hint="eastAsia" w:ascii="宋体" w:hAnsi="宋体"/>
                <w:color w:val="auto"/>
                <w:szCs w:val="21"/>
                <w:highlight w:val="none"/>
              </w:rPr>
            </w:pPr>
          </w:p>
        </w:tc>
      </w:tr>
      <w:tr w14:paraId="2F4E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4C98D00D">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4F6D0529">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5617B452">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1B1E4D81">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3FC75E0B">
            <w:pPr>
              <w:jc w:val="center"/>
              <w:rPr>
                <w:rFonts w:hint="eastAsia" w:ascii="宋体" w:hAnsi="宋体"/>
                <w:color w:val="auto"/>
                <w:szCs w:val="21"/>
                <w:highlight w:val="none"/>
              </w:rPr>
            </w:pPr>
          </w:p>
        </w:tc>
      </w:tr>
      <w:tr w14:paraId="0CFFC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715EC959">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3B0F0A8D">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53AD16A6">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31F9B507">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27D433B1">
            <w:pPr>
              <w:jc w:val="center"/>
              <w:rPr>
                <w:rFonts w:hint="eastAsia" w:ascii="宋体" w:hAnsi="宋体"/>
                <w:color w:val="auto"/>
                <w:szCs w:val="21"/>
                <w:highlight w:val="none"/>
              </w:rPr>
            </w:pPr>
          </w:p>
        </w:tc>
      </w:tr>
      <w:tr w14:paraId="76895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37B65A44">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3ADE2D5A">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0C720ADE">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20853DAC">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239E2CDE">
            <w:pPr>
              <w:jc w:val="center"/>
              <w:rPr>
                <w:rFonts w:hint="eastAsia" w:ascii="宋体" w:hAnsi="宋体"/>
                <w:color w:val="auto"/>
                <w:szCs w:val="21"/>
                <w:highlight w:val="none"/>
              </w:rPr>
            </w:pPr>
          </w:p>
        </w:tc>
      </w:tr>
      <w:tr w14:paraId="26E37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797E3E9E">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7B7A66C4">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522E268B">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035DE843">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1C99D8D1">
            <w:pPr>
              <w:jc w:val="center"/>
              <w:rPr>
                <w:rFonts w:hint="eastAsia" w:ascii="宋体" w:hAnsi="宋体"/>
                <w:color w:val="auto"/>
                <w:szCs w:val="21"/>
                <w:highlight w:val="none"/>
              </w:rPr>
            </w:pPr>
          </w:p>
        </w:tc>
      </w:tr>
      <w:tr w14:paraId="3D376C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5" w:hRule="atLeast"/>
        </w:trPr>
        <w:tc>
          <w:tcPr>
            <w:tcW w:w="1563" w:type="dxa"/>
            <w:tcBorders>
              <w:top w:val="single" w:color="auto" w:sz="4" w:space="0"/>
              <w:left w:val="single" w:color="auto" w:sz="4" w:space="0"/>
              <w:bottom w:val="single" w:color="auto" w:sz="4" w:space="0"/>
              <w:right w:val="single" w:color="auto" w:sz="4" w:space="0"/>
            </w:tcBorders>
            <w:noWrap w:val="0"/>
            <w:vAlign w:val="center"/>
          </w:tcPr>
          <w:p w14:paraId="5DE5C4C9">
            <w:pPr>
              <w:jc w:val="center"/>
              <w:rPr>
                <w:rFonts w:hint="eastAsia" w:ascii="宋体" w:hAnsi="宋体"/>
                <w:color w:val="auto"/>
                <w:szCs w:val="21"/>
                <w:highlight w:val="none"/>
              </w:rPr>
            </w:pPr>
          </w:p>
        </w:tc>
        <w:tc>
          <w:tcPr>
            <w:tcW w:w="1691" w:type="dxa"/>
            <w:tcBorders>
              <w:top w:val="single" w:color="auto" w:sz="4" w:space="0"/>
              <w:left w:val="single" w:color="auto" w:sz="4" w:space="0"/>
              <w:bottom w:val="single" w:color="auto" w:sz="4" w:space="0"/>
              <w:right w:val="single" w:color="auto" w:sz="4" w:space="0"/>
            </w:tcBorders>
            <w:noWrap w:val="0"/>
            <w:vAlign w:val="center"/>
          </w:tcPr>
          <w:p w14:paraId="1CE214C6">
            <w:pPr>
              <w:jc w:val="center"/>
              <w:rPr>
                <w:rFonts w:hint="eastAsia" w:ascii="宋体" w:hAnsi="宋体"/>
                <w:color w:val="auto"/>
                <w:szCs w:val="21"/>
                <w:highlight w:val="none"/>
              </w:rPr>
            </w:pPr>
          </w:p>
        </w:tc>
        <w:tc>
          <w:tcPr>
            <w:tcW w:w="2145" w:type="dxa"/>
            <w:tcBorders>
              <w:top w:val="single" w:color="auto" w:sz="4" w:space="0"/>
              <w:left w:val="single" w:color="auto" w:sz="4" w:space="0"/>
              <w:bottom w:val="single" w:color="auto" w:sz="4" w:space="0"/>
              <w:right w:val="single" w:color="auto" w:sz="4" w:space="0"/>
            </w:tcBorders>
            <w:noWrap w:val="0"/>
            <w:vAlign w:val="center"/>
          </w:tcPr>
          <w:p w14:paraId="7CF6B1F3">
            <w:pPr>
              <w:jc w:val="center"/>
              <w:rPr>
                <w:rFonts w:hint="eastAsia" w:ascii="宋体" w:hAnsi="宋体"/>
                <w:color w:val="auto"/>
                <w:szCs w:val="21"/>
                <w:highlight w:val="none"/>
              </w:rPr>
            </w:pPr>
          </w:p>
        </w:tc>
        <w:tc>
          <w:tcPr>
            <w:tcW w:w="1930" w:type="dxa"/>
            <w:tcBorders>
              <w:top w:val="single" w:color="auto" w:sz="4" w:space="0"/>
              <w:left w:val="single" w:color="auto" w:sz="4" w:space="0"/>
              <w:bottom w:val="single" w:color="auto" w:sz="4" w:space="0"/>
              <w:right w:val="single" w:color="auto" w:sz="4" w:space="0"/>
            </w:tcBorders>
            <w:noWrap w:val="0"/>
            <w:vAlign w:val="center"/>
          </w:tcPr>
          <w:p w14:paraId="0C9E45F3">
            <w:pPr>
              <w:jc w:val="center"/>
              <w:rPr>
                <w:rFonts w:hint="eastAsia" w:ascii="宋体" w:hAnsi="宋体"/>
                <w:color w:val="auto"/>
                <w:szCs w:val="21"/>
                <w:highlight w:val="none"/>
              </w:rPr>
            </w:pPr>
          </w:p>
        </w:tc>
        <w:tc>
          <w:tcPr>
            <w:tcW w:w="2184" w:type="dxa"/>
            <w:tcBorders>
              <w:top w:val="single" w:color="auto" w:sz="4" w:space="0"/>
              <w:left w:val="single" w:color="auto" w:sz="4" w:space="0"/>
              <w:bottom w:val="single" w:color="auto" w:sz="4" w:space="0"/>
              <w:right w:val="single" w:color="auto" w:sz="4" w:space="0"/>
            </w:tcBorders>
            <w:noWrap w:val="0"/>
            <w:vAlign w:val="center"/>
          </w:tcPr>
          <w:p w14:paraId="64E1C209">
            <w:pPr>
              <w:jc w:val="center"/>
              <w:rPr>
                <w:rFonts w:hint="eastAsia" w:ascii="宋体" w:hAnsi="宋体"/>
                <w:color w:val="auto"/>
                <w:szCs w:val="21"/>
                <w:highlight w:val="none"/>
              </w:rPr>
            </w:pPr>
          </w:p>
        </w:tc>
      </w:tr>
    </w:tbl>
    <w:p w14:paraId="11356F93">
      <w:pPr>
        <w:rPr>
          <w:rFonts w:hint="eastAsia" w:ascii="宋体" w:hAnsi="宋体"/>
          <w:color w:val="auto"/>
          <w:sz w:val="24"/>
          <w:szCs w:val="28"/>
          <w:highlight w:val="none"/>
        </w:rPr>
      </w:pPr>
      <w:r>
        <w:rPr>
          <w:rFonts w:hint="eastAsia" w:ascii="宋体" w:hAnsi="宋体"/>
          <w:color w:val="auto"/>
          <w:sz w:val="24"/>
          <w:szCs w:val="28"/>
          <w:highlight w:val="none"/>
        </w:rPr>
        <w:t>注：本表可按同样格式扩展</w:t>
      </w:r>
    </w:p>
    <w:p w14:paraId="2D29F751">
      <w:pPr>
        <w:rPr>
          <w:rFonts w:hint="eastAsia" w:ascii="宋体" w:hAnsi="宋体" w:eastAsia="宋体"/>
          <w:color w:val="auto"/>
          <w:sz w:val="24"/>
          <w:szCs w:val="28"/>
          <w:highlight w:val="none"/>
          <w:lang w:eastAsia="zh-CN"/>
        </w:rPr>
      </w:pPr>
      <w:r>
        <w:rPr>
          <w:rFonts w:hint="eastAsia" w:ascii="宋体" w:hAnsi="宋体"/>
          <w:color w:val="auto"/>
          <w:sz w:val="24"/>
          <w:szCs w:val="28"/>
          <w:highlight w:val="none"/>
          <w:lang w:eastAsia="zh-CN"/>
        </w:rPr>
        <w:t>附：拟服务团队主要负责人、基本成员简历、简介</w:t>
      </w:r>
    </w:p>
    <w:p w14:paraId="483910DF">
      <w:pPr>
        <w:pStyle w:val="9"/>
        <w:spacing w:line="360" w:lineRule="auto"/>
        <w:ind w:firstLine="4380" w:firstLineChars="1825"/>
        <w:rPr>
          <w:rFonts w:hint="eastAsia" w:ascii="Arial" w:cs="Arial"/>
          <w:color w:val="auto"/>
          <w:sz w:val="24"/>
          <w:szCs w:val="24"/>
          <w:highlight w:val="none"/>
        </w:rPr>
      </w:pPr>
    </w:p>
    <w:p w14:paraId="19C71103">
      <w:pPr>
        <w:pStyle w:val="15"/>
        <w:rPr>
          <w:rFonts w:hint="eastAsia" w:hAnsi="宋体" w:eastAsia="宋体" w:cs="Times New Roman"/>
          <w:b/>
          <w:bCs/>
          <w:color w:val="auto"/>
          <w:szCs w:val="21"/>
          <w:highlight w:val="none"/>
        </w:rPr>
      </w:pPr>
    </w:p>
    <w:p w14:paraId="067B9BC7">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投标人：（盖章）</w:t>
      </w:r>
    </w:p>
    <w:p w14:paraId="7664D3E7">
      <w:pPr>
        <w:spacing w:line="660" w:lineRule="exact"/>
        <w:jc w:val="righ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0BEDAD44">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259A47AC">
      <w:pPr>
        <w:pStyle w:val="15"/>
        <w:spacing w:line="360" w:lineRule="auto"/>
        <w:rPr>
          <w:rFonts w:hint="eastAsia" w:ascii="宋体" w:hAnsi="宋体" w:eastAsia="宋体" w:cs="宋体"/>
          <w:b/>
          <w:bCs/>
          <w:color w:val="auto"/>
          <w:kern w:val="2"/>
          <w:sz w:val="32"/>
          <w:szCs w:val="32"/>
          <w:highlight w:val="none"/>
          <w:lang w:val="en-US" w:eastAsia="zh-CN" w:bidi="ar-SA"/>
        </w:rPr>
      </w:pPr>
    </w:p>
    <w:p w14:paraId="24E346F4">
      <w:pPr>
        <w:pStyle w:val="15"/>
        <w:spacing w:line="360" w:lineRule="auto"/>
        <w:rPr>
          <w:rFonts w:hint="eastAsia" w:ascii="宋体" w:hAnsi="宋体" w:eastAsia="宋体" w:cs="宋体"/>
          <w:b/>
          <w:bCs/>
          <w:color w:val="auto"/>
          <w:kern w:val="2"/>
          <w:sz w:val="32"/>
          <w:szCs w:val="32"/>
          <w:highlight w:val="none"/>
          <w:lang w:val="en-US" w:eastAsia="zh-CN" w:bidi="ar-SA"/>
        </w:rPr>
      </w:pPr>
    </w:p>
    <w:p w14:paraId="68C74C07">
      <w:pPr>
        <w:pStyle w:val="15"/>
        <w:spacing w:line="360" w:lineRule="auto"/>
        <w:rPr>
          <w:rFonts w:asciiTheme="minorEastAsia" w:hAnsiTheme="minorEastAsia" w:eastAsiaTheme="minorEastAsia"/>
          <w:b/>
          <w:bCs/>
          <w:color w:val="auto"/>
          <w:sz w:val="24"/>
          <w:szCs w:val="24"/>
          <w:highlight w:val="none"/>
        </w:rPr>
      </w:pPr>
      <w:r>
        <w:rPr>
          <w:rFonts w:hint="eastAsia" w:ascii="宋体" w:hAnsi="宋体" w:eastAsia="宋体" w:cs="宋体"/>
          <w:b/>
          <w:bCs/>
          <w:color w:val="auto"/>
          <w:kern w:val="2"/>
          <w:sz w:val="32"/>
          <w:szCs w:val="32"/>
          <w:highlight w:val="none"/>
          <w:lang w:val="en-US" w:eastAsia="zh-CN" w:bidi="ar-SA"/>
        </w:rPr>
        <w:t>附件5</w:t>
      </w:r>
    </w:p>
    <w:p w14:paraId="182053A1">
      <w:pPr>
        <w:snapToGrid w:val="0"/>
        <w:spacing w:before="240" w:beforeLines="100" w:after="240" w:afterLines="100"/>
        <w:jc w:val="center"/>
        <w:rPr>
          <w:rFonts w:hint="eastAsia" w:ascii="宋体" w:hAnsi="宋体" w:eastAsia="宋体" w:cs="Times New Roman"/>
          <w:b/>
          <w:bCs w:val="0"/>
          <w:color w:val="auto"/>
          <w:sz w:val="28"/>
          <w:szCs w:val="28"/>
          <w:highlight w:val="none"/>
        </w:rPr>
      </w:pPr>
      <w:r>
        <w:rPr>
          <w:rFonts w:hint="eastAsia" w:ascii="宋体" w:hAnsi="宋体" w:eastAsia="宋体" w:cs="Times New Roman"/>
          <w:b/>
          <w:bCs w:val="0"/>
          <w:color w:val="auto"/>
          <w:sz w:val="28"/>
          <w:szCs w:val="28"/>
          <w:highlight w:val="none"/>
        </w:rPr>
        <w:t>技术</w:t>
      </w:r>
      <w:r>
        <w:rPr>
          <w:rFonts w:hint="eastAsia" w:ascii="宋体" w:hAnsi="宋体" w:eastAsia="宋体" w:cs="Times New Roman"/>
          <w:b/>
          <w:bCs w:val="0"/>
          <w:color w:val="auto"/>
          <w:sz w:val="28"/>
          <w:szCs w:val="28"/>
          <w:highlight w:val="none"/>
          <w:lang w:val="en-US" w:eastAsia="zh-CN"/>
        </w:rPr>
        <w:t>条款</w:t>
      </w:r>
      <w:r>
        <w:rPr>
          <w:rFonts w:hint="eastAsia" w:ascii="宋体" w:hAnsi="宋体" w:eastAsia="宋体" w:cs="Times New Roman"/>
          <w:b/>
          <w:bCs w:val="0"/>
          <w:color w:val="auto"/>
          <w:sz w:val="28"/>
          <w:szCs w:val="28"/>
          <w:highlight w:val="none"/>
        </w:rPr>
        <w:t>偏离表</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2C627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0C807E3B">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序号</w:t>
            </w:r>
          </w:p>
        </w:tc>
        <w:tc>
          <w:tcPr>
            <w:tcW w:w="3971" w:type="dxa"/>
            <w:gridSpan w:val="2"/>
            <w:vAlign w:val="center"/>
          </w:tcPr>
          <w:p w14:paraId="6F880539">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招标文件条款</w:t>
            </w:r>
          </w:p>
        </w:tc>
        <w:tc>
          <w:tcPr>
            <w:tcW w:w="3723" w:type="dxa"/>
            <w:gridSpan w:val="2"/>
            <w:vAlign w:val="center"/>
          </w:tcPr>
          <w:p w14:paraId="2AC33A35">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投标书条款</w:t>
            </w:r>
          </w:p>
        </w:tc>
      </w:tr>
      <w:tr w14:paraId="3AD4C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1EA638A9">
            <w:pPr>
              <w:rPr>
                <w:rFonts w:asciiTheme="minorEastAsia" w:hAnsiTheme="minorEastAsia" w:eastAsiaTheme="minorEastAsia"/>
                <w:color w:val="auto"/>
                <w:sz w:val="24"/>
                <w:szCs w:val="24"/>
                <w:highlight w:val="none"/>
              </w:rPr>
            </w:pPr>
          </w:p>
        </w:tc>
        <w:tc>
          <w:tcPr>
            <w:tcW w:w="1080" w:type="dxa"/>
            <w:vAlign w:val="center"/>
          </w:tcPr>
          <w:p w14:paraId="0F6A9990">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设备</w:t>
            </w:r>
          </w:p>
          <w:p w14:paraId="5A0E6A50">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型号</w:t>
            </w:r>
          </w:p>
        </w:tc>
        <w:tc>
          <w:tcPr>
            <w:tcW w:w="2891" w:type="dxa"/>
            <w:vAlign w:val="center"/>
          </w:tcPr>
          <w:p w14:paraId="1F6AE710">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偏离</w:t>
            </w:r>
          </w:p>
        </w:tc>
        <w:tc>
          <w:tcPr>
            <w:tcW w:w="1110" w:type="dxa"/>
            <w:vAlign w:val="center"/>
          </w:tcPr>
          <w:p w14:paraId="2F97E83F">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设备</w:t>
            </w:r>
          </w:p>
          <w:p w14:paraId="6E852DE0">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型号</w:t>
            </w:r>
          </w:p>
        </w:tc>
        <w:tc>
          <w:tcPr>
            <w:tcW w:w="2613" w:type="dxa"/>
            <w:vAlign w:val="center"/>
          </w:tcPr>
          <w:p w14:paraId="20427A09">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偏离</w:t>
            </w:r>
          </w:p>
        </w:tc>
      </w:tr>
      <w:tr w14:paraId="42A23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5F56745">
            <w:pPr>
              <w:jc w:val="center"/>
              <w:rPr>
                <w:rFonts w:asciiTheme="minorEastAsia" w:hAnsiTheme="minorEastAsia" w:eastAsiaTheme="minorEastAsia"/>
                <w:color w:val="auto"/>
                <w:sz w:val="24"/>
                <w:szCs w:val="24"/>
                <w:highlight w:val="none"/>
              </w:rPr>
            </w:pPr>
          </w:p>
        </w:tc>
        <w:tc>
          <w:tcPr>
            <w:tcW w:w="1080" w:type="dxa"/>
            <w:vAlign w:val="center"/>
          </w:tcPr>
          <w:p w14:paraId="3E76AD0E">
            <w:pPr>
              <w:rPr>
                <w:rFonts w:asciiTheme="minorEastAsia" w:hAnsiTheme="minorEastAsia" w:eastAsiaTheme="minorEastAsia"/>
                <w:color w:val="auto"/>
                <w:sz w:val="24"/>
                <w:szCs w:val="24"/>
                <w:highlight w:val="none"/>
              </w:rPr>
            </w:pPr>
          </w:p>
        </w:tc>
        <w:tc>
          <w:tcPr>
            <w:tcW w:w="2891" w:type="dxa"/>
            <w:vAlign w:val="center"/>
          </w:tcPr>
          <w:p w14:paraId="495ABE47">
            <w:pPr>
              <w:rPr>
                <w:rFonts w:asciiTheme="minorEastAsia" w:hAnsiTheme="minorEastAsia" w:eastAsiaTheme="minorEastAsia"/>
                <w:color w:val="auto"/>
                <w:sz w:val="24"/>
                <w:szCs w:val="24"/>
                <w:highlight w:val="none"/>
              </w:rPr>
            </w:pPr>
          </w:p>
        </w:tc>
        <w:tc>
          <w:tcPr>
            <w:tcW w:w="1110" w:type="dxa"/>
            <w:vAlign w:val="center"/>
          </w:tcPr>
          <w:p w14:paraId="2052CCD5">
            <w:pPr>
              <w:rPr>
                <w:rFonts w:asciiTheme="minorEastAsia" w:hAnsiTheme="minorEastAsia" w:eastAsiaTheme="minorEastAsia"/>
                <w:color w:val="auto"/>
                <w:sz w:val="24"/>
                <w:szCs w:val="24"/>
                <w:highlight w:val="none"/>
              </w:rPr>
            </w:pPr>
          </w:p>
        </w:tc>
        <w:tc>
          <w:tcPr>
            <w:tcW w:w="2613" w:type="dxa"/>
            <w:vAlign w:val="center"/>
          </w:tcPr>
          <w:p w14:paraId="5F677430">
            <w:pPr>
              <w:rPr>
                <w:rFonts w:asciiTheme="minorEastAsia" w:hAnsiTheme="minorEastAsia" w:eastAsiaTheme="minorEastAsia"/>
                <w:color w:val="auto"/>
                <w:sz w:val="24"/>
                <w:szCs w:val="24"/>
                <w:highlight w:val="none"/>
              </w:rPr>
            </w:pPr>
          </w:p>
        </w:tc>
      </w:tr>
      <w:tr w14:paraId="5A8F7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AD8BA6B">
            <w:pPr>
              <w:jc w:val="center"/>
              <w:rPr>
                <w:rFonts w:asciiTheme="minorEastAsia" w:hAnsiTheme="minorEastAsia" w:eastAsiaTheme="minorEastAsia"/>
                <w:color w:val="auto"/>
                <w:sz w:val="24"/>
                <w:szCs w:val="24"/>
                <w:highlight w:val="none"/>
              </w:rPr>
            </w:pPr>
          </w:p>
        </w:tc>
        <w:tc>
          <w:tcPr>
            <w:tcW w:w="1080" w:type="dxa"/>
            <w:vAlign w:val="center"/>
          </w:tcPr>
          <w:p w14:paraId="3A7DF233">
            <w:pPr>
              <w:rPr>
                <w:rFonts w:asciiTheme="minorEastAsia" w:hAnsiTheme="minorEastAsia" w:eastAsiaTheme="minorEastAsia"/>
                <w:color w:val="auto"/>
                <w:sz w:val="24"/>
                <w:szCs w:val="24"/>
                <w:highlight w:val="none"/>
              </w:rPr>
            </w:pPr>
          </w:p>
        </w:tc>
        <w:tc>
          <w:tcPr>
            <w:tcW w:w="2891" w:type="dxa"/>
            <w:vAlign w:val="center"/>
          </w:tcPr>
          <w:p w14:paraId="75A52E33">
            <w:pPr>
              <w:rPr>
                <w:rFonts w:asciiTheme="minorEastAsia" w:hAnsiTheme="minorEastAsia" w:eastAsiaTheme="minorEastAsia"/>
                <w:color w:val="auto"/>
                <w:sz w:val="24"/>
                <w:szCs w:val="24"/>
                <w:highlight w:val="none"/>
              </w:rPr>
            </w:pPr>
          </w:p>
        </w:tc>
        <w:tc>
          <w:tcPr>
            <w:tcW w:w="1110" w:type="dxa"/>
            <w:vAlign w:val="center"/>
          </w:tcPr>
          <w:p w14:paraId="11E80950">
            <w:pPr>
              <w:rPr>
                <w:rFonts w:asciiTheme="minorEastAsia" w:hAnsiTheme="minorEastAsia" w:eastAsiaTheme="minorEastAsia"/>
                <w:color w:val="auto"/>
                <w:sz w:val="24"/>
                <w:szCs w:val="24"/>
                <w:highlight w:val="none"/>
              </w:rPr>
            </w:pPr>
          </w:p>
        </w:tc>
        <w:tc>
          <w:tcPr>
            <w:tcW w:w="2613" w:type="dxa"/>
            <w:vAlign w:val="center"/>
          </w:tcPr>
          <w:p w14:paraId="6DD6B8F5">
            <w:pPr>
              <w:rPr>
                <w:rFonts w:asciiTheme="minorEastAsia" w:hAnsiTheme="minorEastAsia" w:eastAsiaTheme="minorEastAsia"/>
                <w:color w:val="auto"/>
                <w:sz w:val="24"/>
                <w:szCs w:val="24"/>
                <w:highlight w:val="none"/>
              </w:rPr>
            </w:pPr>
          </w:p>
        </w:tc>
      </w:tr>
      <w:tr w14:paraId="62067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D0A73D1">
            <w:pPr>
              <w:jc w:val="center"/>
              <w:rPr>
                <w:rFonts w:asciiTheme="minorEastAsia" w:hAnsiTheme="minorEastAsia" w:eastAsiaTheme="minorEastAsia"/>
                <w:color w:val="auto"/>
                <w:sz w:val="24"/>
                <w:szCs w:val="24"/>
                <w:highlight w:val="none"/>
              </w:rPr>
            </w:pPr>
          </w:p>
        </w:tc>
        <w:tc>
          <w:tcPr>
            <w:tcW w:w="1080" w:type="dxa"/>
            <w:vAlign w:val="center"/>
          </w:tcPr>
          <w:p w14:paraId="2BC69E23">
            <w:pPr>
              <w:rPr>
                <w:rFonts w:asciiTheme="minorEastAsia" w:hAnsiTheme="minorEastAsia" w:eastAsiaTheme="minorEastAsia"/>
                <w:color w:val="auto"/>
                <w:sz w:val="24"/>
                <w:szCs w:val="24"/>
                <w:highlight w:val="none"/>
              </w:rPr>
            </w:pPr>
          </w:p>
        </w:tc>
        <w:tc>
          <w:tcPr>
            <w:tcW w:w="2891" w:type="dxa"/>
            <w:vAlign w:val="center"/>
          </w:tcPr>
          <w:p w14:paraId="2E469A33">
            <w:pPr>
              <w:rPr>
                <w:rFonts w:asciiTheme="minorEastAsia" w:hAnsiTheme="minorEastAsia" w:eastAsiaTheme="minorEastAsia"/>
                <w:color w:val="auto"/>
                <w:sz w:val="24"/>
                <w:szCs w:val="24"/>
                <w:highlight w:val="none"/>
              </w:rPr>
            </w:pPr>
          </w:p>
        </w:tc>
        <w:tc>
          <w:tcPr>
            <w:tcW w:w="1110" w:type="dxa"/>
            <w:vAlign w:val="center"/>
          </w:tcPr>
          <w:p w14:paraId="175C958F">
            <w:pPr>
              <w:rPr>
                <w:rFonts w:asciiTheme="minorEastAsia" w:hAnsiTheme="minorEastAsia" w:eastAsiaTheme="minorEastAsia"/>
                <w:color w:val="auto"/>
                <w:sz w:val="24"/>
                <w:szCs w:val="24"/>
                <w:highlight w:val="none"/>
              </w:rPr>
            </w:pPr>
          </w:p>
        </w:tc>
        <w:tc>
          <w:tcPr>
            <w:tcW w:w="2613" w:type="dxa"/>
            <w:vAlign w:val="center"/>
          </w:tcPr>
          <w:p w14:paraId="0146F046">
            <w:pPr>
              <w:rPr>
                <w:rFonts w:asciiTheme="minorEastAsia" w:hAnsiTheme="minorEastAsia" w:eastAsiaTheme="minorEastAsia"/>
                <w:color w:val="auto"/>
                <w:sz w:val="24"/>
                <w:szCs w:val="24"/>
                <w:highlight w:val="none"/>
              </w:rPr>
            </w:pPr>
          </w:p>
        </w:tc>
      </w:tr>
      <w:tr w14:paraId="32507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784CB3">
            <w:pPr>
              <w:jc w:val="center"/>
              <w:rPr>
                <w:rFonts w:asciiTheme="minorEastAsia" w:hAnsiTheme="minorEastAsia" w:eastAsiaTheme="minorEastAsia"/>
                <w:color w:val="auto"/>
                <w:sz w:val="24"/>
                <w:szCs w:val="24"/>
                <w:highlight w:val="none"/>
              </w:rPr>
            </w:pPr>
          </w:p>
        </w:tc>
        <w:tc>
          <w:tcPr>
            <w:tcW w:w="1080" w:type="dxa"/>
            <w:vAlign w:val="center"/>
          </w:tcPr>
          <w:p w14:paraId="5F02BD4F">
            <w:pPr>
              <w:rPr>
                <w:rFonts w:asciiTheme="minorEastAsia" w:hAnsiTheme="minorEastAsia" w:eastAsiaTheme="minorEastAsia"/>
                <w:color w:val="auto"/>
                <w:sz w:val="24"/>
                <w:szCs w:val="24"/>
                <w:highlight w:val="none"/>
              </w:rPr>
            </w:pPr>
          </w:p>
        </w:tc>
        <w:tc>
          <w:tcPr>
            <w:tcW w:w="2891" w:type="dxa"/>
            <w:vAlign w:val="center"/>
          </w:tcPr>
          <w:p w14:paraId="1306EFED">
            <w:pPr>
              <w:rPr>
                <w:rFonts w:asciiTheme="minorEastAsia" w:hAnsiTheme="minorEastAsia" w:eastAsiaTheme="minorEastAsia"/>
                <w:color w:val="auto"/>
                <w:sz w:val="24"/>
                <w:szCs w:val="24"/>
                <w:highlight w:val="none"/>
              </w:rPr>
            </w:pPr>
          </w:p>
        </w:tc>
        <w:tc>
          <w:tcPr>
            <w:tcW w:w="1110" w:type="dxa"/>
            <w:vAlign w:val="center"/>
          </w:tcPr>
          <w:p w14:paraId="32615015">
            <w:pPr>
              <w:rPr>
                <w:rFonts w:asciiTheme="minorEastAsia" w:hAnsiTheme="minorEastAsia" w:eastAsiaTheme="minorEastAsia"/>
                <w:color w:val="auto"/>
                <w:sz w:val="24"/>
                <w:szCs w:val="24"/>
                <w:highlight w:val="none"/>
              </w:rPr>
            </w:pPr>
          </w:p>
        </w:tc>
        <w:tc>
          <w:tcPr>
            <w:tcW w:w="2613" w:type="dxa"/>
            <w:vAlign w:val="center"/>
          </w:tcPr>
          <w:p w14:paraId="6D6BBC76">
            <w:pPr>
              <w:rPr>
                <w:rFonts w:asciiTheme="minorEastAsia" w:hAnsiTheme="minorEastAsia" w:eastAsiaTheme="minorEastAsia"/>
                <w:color w:val="auto"/>
                <w:sz w:val="24"/>
                <w:szCs w:val="24"/>
                <w:highlight w:val="none"/>
              </w:rPr>
            </w:pPr>
          </w:p>
        </w:tc>
      </w:tr>
      <w:tr w14:paraId="469DBE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67E639">
            <w:pPr>
              <w:jc w:val="center"/>
              <w:rPr>
                <w:rFonts w:asciiTheme="minorEastAsia" w:hAnsiTheme="minorEastAsia" w:eastAsiaTheme="minorEastAsia"/>
                <w:color w:val="auto"/>
                <w:sz w:val="24"/>
                <w:szCs w:val="24"/>
                <w:highlight w:val="none"/>
              </w:rPr>
            </w:pPr>
          </w:p>
        </w:tc>
        <w:tc>
          <w:tcPr>
            <w:tcW w:w="1080" w:type="dxa"/>
            <w:vAlign w:val="center"/>
          </w:tcPr>
          <w:p w14:paraId="6F4B35E8">
            <w:pPr>
              <w:rPr>
                <w:rFonts w:asciiTheme="minorEastAsia" w:hAnsiTheme="minorEastAsia" w:eastAsiaTheme="minorEastAsia"/>
                <w:color w:val="auto"/>
                <w:sz w:val="24"/>
                <w:szCs w:val="24"/>
                <w:highlight w:val="none"/>
              </w:rPr>
            </w:pPr>
          </w:p>
        </w:tc>
        <w:tc>
          <w:tcPr>
            <w:tcW w:w="2891" w:type="dxa"/>
            <w:vAlign w:val="center"/>
          </w:tcPr>
          <w:p w14:paraId="6076CFCC">
            <w:pPr>
              <w:rPr>
                <w:rFonts w:asciiTheme="minorEastAsia" w:hAnsiTheme="minorEastAsia" w:eastAsiaTheme="minorEastAsia"/>
                <w:color w:val="auto"/>
                <w:sz w:val="24"/>
                <w:szCs w:val="24"/>
                <w:highlight w:val="none"/>
              </w:rPr>
            </w:pPr>
          </w:p>
        </w:tc>
        <w:tc>
          <w:tcPr>
            <w:tcW w:w="1110" w:type="dxa"/>
            <w:vAlign w:val="center"/>
          </w:tcPr>
          <w:p w14:paraId="4062BF5B">
            <w:pPr>
              <w:rPr>
                <w:rFonts w:asciiTheme="minorEastAsia" w:hAnsiTheme="minorEastAsia" w:eastAsiaTheme="minorEastAsia"/>
                <w:color w:val="auto"/>
                <w:sz w:val="24"/>
                <w:szCs w:val="24"/>
                <w:highlight w:val="none"/>
              </w:rPr>
            </w:pPr>
          </w:p>
        </w:tc>
        <w:tc>
          <w:tcPr>
            <w:tcW w:w="2613" w:type="dxa"/>
            <w:vAlign w:val="center"/>
          </w:tcPr>
          <w:p w14:paraId="1E9F9D2A">
            <w:pPr>
              <w:rPr>
                <w:rFonts w:asciiTheme="minorEastAsia" w:hAnsiTheme="minorEastAsia" w:eastAsiaTheme="minorEastAsia"/>
                <w:color w:val="auto"/>
                <w:sz w:val="24"/>
                <w:szCs w:val="24"/>
                <w:highlight w:val="none"/>
              </w:rPr>
            </w:pPr>
          </w:p>
        </w:tc>
      </w:tr>
    </w:tbl>
    <w:p w14:paraId="21F80028">
      <w:pPr>
        <w:ind w:left="235" w:leftChars="112"/>
        <w:rPr>
          <w:rFonts w:cs="宋体" w:asciiTheme="minorEastAsia" w:hAnsiTheme="minorEastAsia" w:eastAsiaTheme="minorEastAsia"/>
          <w:b/>
          <w:bCs/>
          <w:color w:val="auto"/>
          <w:sz w:val="24"/>
          <w:szCs w:val="24"/>
          <w:highlight w:val="none"/>
        </w:rPr>
      </w:pPr>
      <w:r>
        <w:rPr>
          <w:rFonts w:hint="eastAsia" w:asciiTheme="minorEastAsia" w:hAnsiTheme="minorEastAsia" w:eastAsiaTheme="minorEastAsia"/>
          <w:b/>
          <w:color w:val="auto"/>
          <w:sz w:val="24"/>
          <w:szCs w:val="24"/>
          <w:highlight w:val="none"/>
        </w:rPr>
        <w:t>注：</w:t>
      </w:r>
      <w:r>
        <w:rPr>
          <w:rFonts w:hint="eastAsia" w:asciiTheme="minorEastAsia" w:hAnsiTheme="minorEastAsia" w:eastAsiaTheme="minorEastAsia"/>
          <w:color w:val="auto"/>
          <w:sz w:val="24"/>
          <w:szCs w:val="24"/>
          <w:highlight w:val="none"/>
        </w:rPr>
        <w:t>为避免歧义，无偏离也应要提报该表，并注明“无”字。如无该表则即使在其它部分已反映，将也被视为“无偏离”。</w:t>
      </w:r>
    </w:p>
    <w:p w14:paraId="2C218DBA">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投标人：（盖章）</w:t>
      </w:r>
    </w:p>
    <w:p w14:paraId="36EEBF3D">
      <w:pPr>
        <w:spacing w:line="660" w:lineRule="exact"/>
        <w:jc w:val="righ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55C23E2B">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2DCE5917">
      <w:pPr>
        <w:pStyle w:val="15"/>
        <w:spacing w:line="360" w:lineRule="auto"/>
        <w:jc w:val="center"/>
        <w:rPr>
          <w:rFonts w:cs="宋体" w:asciiTheme="minorEastAsia" w:hAnsiTheme="minorEastAsia" w:eastAsiaTheme="minorEastAsia"/>
          <w:b/>
          <w:bCs/>
          <w:color w:val="auto"/>
          <w:sz w:val="24"/>
          <w:szCs w:val="24"/>
          <w:highlight w:val="none"/>
        </w:rPr>
      </w:pPr>
    </w:p>
    <w:p w14:paraId="19AC3ED3">
      <w:pPr>
        <w:pStyle w:val="15"/>
        <w:spacing w:line="360" w:lineRule="auto"/>
        <w:jc w:val="center"/>
        <w:rPr>
          <w:rFonts w:cs="宋体" w:asciiTheme="minorEastAsia" w:hAnsiTheme="minorEastAsia" w:eastAsiaTheme="minorEastAsia"/>
          <w:b/>
          <w:bCs/>
          <w:color w:val="auto"/>
          <w:sz w:val="24"/>
          <w:szCs w:val="24"/>
          <w:highlight w:val="none"/>
        </w:rPr>
      </w:pPr>
    </w:p>
    <w:p w14:paraId="3EAAD83E">
      <w:pPr>
        <w:pStyle w:val="15"/>
        <w:spacing w:line="360" w:lineRule="auto"/>
        <w:jc w:val="center"/>
        <w:rPr>
          <w:rFonts w:cs="宋体" w:asciiTheme="minorEastAsia" w:hAnsiTheme="minorEastAsia" w:eastAsiaTheme="minorEastAsia"/>
          <w:b/>
          <w:bCs/>
          <w:color w:val="auto"/>
          <w:sz w:val="24"/>
          <w:szCs w:val="24"/>
          <w:highlight w:val="none"/>
        </w:rPr>
      </w:pPr>
    </w:p>
    <w:p w14:paraId="1156DDFC">
      <w:pPr>
        <w:pStyle w:val="15"/>
        <w:spacing w:line="360" w:lineRule="auto"/>
        <w:jc w:val="center"/>
        <w:rPr>
          <w:rFonts w:cs="宋体" w:asciiTheme="minorEastAsia" w:hAnsiTheme="minorEastAsia" w:eastAsiaTheme="minorEastAsia"/>
          <w:b/>
          <w:bCs/>
          <w:color w:val="auto"/>
          <w:sz w:val="24"/>
          <w:szCs w:val="24"/>
          <w:highlight w:val="none"/>
        </w:rPr>
      </w:pPr>
    </w:p>
    <w:p w14:paraId="3A326AA7">
      <w:pPr>
        <w:pStyle w:val="15"/>
        <w:spacing w:line="360" w:lineRule="auto"/>
        <w:jc w:val="center"/>
        <w:rPr>
          <w:rFonts w:cs="宋体" w:asciiTheme="minorEastAsia" w:hAnsiTheme="minorEastAsia" w:eastAsiaTheme="minorEastAsia"/>
          <w:b/>
          <w:bCs/>
          <w:color w:val="auto"/>
          <w:sz w:val="24"/>
          <w:szCs w:val="24"/>
          <w:highlight w:val="none"/>
        </w:rPr>
      </w:pPr>
    </w:p>
    <w:p w14:paraId="6AC3700B">
      <w:pPr>
        <w:tabs>
          <w:tab w:val="left" w:pos="764"/>
        </w:tabs>
        <w:ind w:leftChars="0"/>
        <w:rPr>
          <w:color w:val="auto"/>
          <w:highlight w:val="none"/>
        </w:rPr>
      </w:pPr>
    </w:p>
    <w:p w14:paraId="16C08A42">
      <w:pPr>
        <w:pStyle w:val="15"/>
        <w:spacing w:line="360" w:lineRule="auto"/>
        <w:jc w:val="both"/>
        <w:rPr>
          <w:rFonts w:hint="eastAsia" w:ascii="宋体" w:hAnsi="宋体" w:eastAsia="宋体" w:cs="宋体"/>
          <w:b/>
          <w:bCs/>
          <w:color w:val="auto"/>
          <w:kern w:val="2"/>
          <w:sz w:val="32"/>
          <w:szCs w:val="32"/>
          <w:highlight w:val="none"/>
          <w:lang w:val="en-US" w:eastAsia="zh-CN" w:bidi="ar-SA"/>
        </w:rPr>
      </w:pPr>
      <w:r>
        <w:rPr>
          <w:rFonts w:hint="eastAsia" w:ascii="宋体" w:hAnsi="宋体" w:eastAsia="宋体" w:cs="宋体"/>
          <w:b/>
          <w:bCs/>
          <w:color w:val="auto"/>
          <w:kern w:val="2"/>
          <w:sz w:val="32"/>
          <w:szCs w:val="32"/>
          <w:highlight w:val="none"/>
          <w:lang w:val="en-US" w:eastAsia="zh-CN" w:bidi="ar-SA"/>
        </w:rPr>
        <w:t>附件6</w:t>
      </w:r>
    </w:p>
    <w:p w14:paraId="11AA76CD">
      <w:pPr>
        <w:snapToGrid w:val="0"/>
        <w:spacing w:before="240" w:beforeLines="100" w:after="240" w:afterLines="100"/>
        <w:jc w:val="center"/>
        <w:rPr>
          <w:rFonts w:hint="eastAsia" w:ascii="宋体" w:hAnsi="宋体" w:eastAsia="宋体" w:cs="Times New Roman"/>
          <w:b/>
          <w:bCs w:val="0"/>
          <w:color w:val="auto"/>
          <w:sz w:val="28"/>
          <w:szCs w:val="28"/>
          <w:highlight w:val="none"/>
        </w:rPr>
      </w:pPr>
      <w:r>
        <w:rPr>
          <w:rFonts w:hint="eastAsia" w:ascii="宋体" w:hAnsi="宋体" w:eastAsia="宋体" w:cs="Times New Roman"/>
          <w:b/>
          <w:bCs w:val="0"/>
          <w:color w:val="auto"/>
          <w:sz w:val="28"/>
          <w:szCs w:val="28"/>
          <w:highlight w:val="none"/>
        </w:rPr>
        <w:t>商务条款偏离表</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1080"/>
        <w:gridCol w:w="2474"/>
      </w:tblGrid>
      <w:tr w14:paraId="177C0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EBB7E8A">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序号</w:t>
            </w:r>
          </w:p>
        </w:tc>
        <w:tc>
          <w:tcPr>
            <w:tcW w:w="4140" w:type="dxa"/>
            <w:gridSpan w:val="2"/>
            <w:vAlign w:val="center"/>
          </w:tcPr>
          <w:p w14:paraId="1045146F">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招标文件条款</w:t>
            </w:r>
          </w:p>
        </w:tc>
        <w:tc>
          <w:tcPr>
            <w:tcW w:w="3554" w:type="dxa"/>
            <w:gridSpan w:val="2"/>
            <w:vAlign w:val="center"/>
          </w:tcPr>
          <w:p w14:paraId="12642EFF">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投标书条款</w:t>
            </w:r>
          </w:p>
        </w:tc>
      </w:tr>
      <w:tr w14:paraId="2711A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4614F709">
            <w:pPr>
              <w:rPr>
                <w:rFonts w:asciiTheme="minorEastAsia" w:hAnsiTheme="minorEastAsia" w:eastAsiaTheme="minorEastAsia"/>
                <w:color w:val="auto"/>
                <w:sz w:val="24"/>
                <w:szCs w:val="24"/>
                <w:highlight w:val="none"/>
              </w:rPr>
            </w:pPr>
          </w:p>
        </w:tc>
        <w:tc>
          <w:tcPr>
            <w:tcW w:w="1080" w:type="dxa"/>
            <w:vAlign w:val="center"/>
          </w:tcPr>
          <w:p w14:paraId="6D3F8538">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条款号</w:t>
            </w:r>
          </w:p>
        </w:tc>
        <w:tc>
          <w:tcPr>
            <w:tcW w:w="3060" w:type="dxa"/>
            <w:vAlign w:val="center"/>
          </w:tcPr>
          <w:p w14:paraId="09B8C4A4">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条款内容</w:t>
            </w:r>
          </w:p>
        </w:tc>
        <w:tc>
          <w:tcPr>
            <w:tcW w:w="1080" w:type="dxa"/>
            <w:vAlign w:val="center"/>
          </w:tcPr>
          <w:p w14:paraId="393F07AE">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条款号</w:t>
            </w:r>
          </w:p>
        </w:tc>
        <w:tc>
          <w:tcPr>
            <w:tcW w:w="2474" w:type="dxa"/>
            <w:vAlign w:val="center"/>
          </w:tcPr>
          <w:p w14:paraId="27F03D58">
            <w:pPr>
              <w:jc w:val="center"/>
              <w:rPr>
                <w:rFonts w:asciiTheme="minorEastAsia" w:hAnsiTheme="minorEastAsia" w:eastAsiaTheme="minorEastAsia"/>
                <w:color w:val="auto"/>
                <w:sz w:val="24"/>
                <w:szCs w:val="24"/>
                <w:highlight w:val="none"/>
              </w:rPr>
            </w:pPr>
            <w:r>
              <w:rPr>
                <w:rFonts w:hint="eastAsia" w:asciiTheme="minorEastAsia" w:hAnsiTheme="minorEastAsia" w:eastAsiaTheme="minorEastAsia"/>
                <w:color w:val="auto"/>
                <w:sz w:val="24"/>
                <w:szCs w:val="24"/>
                <w:highlight w:val="none"/>
              </w:rPr>
              <w:t>条款内容</w:t>
            </w:r>
          </w:p>
        </w:tc>
      </w:tr>
      <w:tr w14:paraId="542C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4EF543A">
            <w:pPr>
              <w:jc w:val="center"/>
              <w:rPr>
                <w:rFonts w:asciiTheme="minorEastAsia" w:hAnsiTheme="minorEastAsia" w:eastAsiaTheme="minorEastAsia"/>
                <w:color w:val="auto"/>
                <w:sz w:val="24"/>
                <w:szCs w:val="24"/>
                <w:highlight w:val="none"/>
              </w:rPr>
            </w:pPr>
          </w:p>
        </w:tc>
        <w:tc>
          <w:tcPr>
            <w:tcW w:w="1080" w:type="dxa"/>
            <w:vAlign w:val="center"/>
          </w:tcPr>
          <w:p w14:paraId="1B0A5417">
            <w:pPr>
              <w:rPr>
                <w:rFonts w:asciiTheme="minorEastAsia" w:hAnsiTheme="minorEastAsia" w:eastAsiaTheme="minorEastAsia"/>
                <w:color w:val="auto"/>
                <w:sz w:val="24"/>
                <w:szCs w:val="24"/>
                <w:highlight w:val="none"/>
              </w:rPr>
            </w:pPr>
          </w:p>
        </w:tc>
        <w:tc>
          <w:tcPr>
            <w:tcW w:w="3060" w:type="dxa"/>
            <w:vAlign w:val="center"/>
          </w:tcPr>
          <w:p w14:paraId="584756FC">
            <w:pPr>
              <w:rPr>
                <w:rFonts w:asciiTheme="minorEastAsia" w:hAnsiTheme="minorEastAsia" w:eastAsiaTheme="minorEastAsia"/>
                <w:color w:val="auto"/>
                <w:sz w:val="24"/>
                <w:szCs w:val="24"/>
                <w:highlight w:val="none"/>
              </w:rPr>
            </w:pPr>
          </w:p>
        </w:tc>
        <w:tc>
          <w:tcPr>
            <w:tcW w:w="1080" w:type="dxa"/>
            <w:vAlign w:val="center"/>
          </w:tcPr>
          <w:p w14:paraId="17747FD7">
            <w:pPr>
              <w:rPr>
                <w:rFonts w:asciiTheme="minorEastAsia" w:hAnsiTheme="minorEastAsia" w:eastAsiaTheme="minorEastAsia"/>
                <w:color w:val="auto"/>
                <w:sz w:val="24"/>
                <w:szCs w:val="24"/>
                <w:highlight w:val="none"/>
              </w:rPr>
            </w:pPr>
          </w:p>
        </w:tc>
        <w:tc>
          <w:tcPr>
            <w:tcW w:w="2474" w:type="dxa"/>
            <w:vAlign w:val="center"/>
          </w:tcPr>
          <w:p w14:paraId="1E1F20E5">
            <w:pPr>
              <w:rPr>
                <w:rFonts w:asciiTheme="minorEastAsia" w:hAnsiTheme="minorEastAsia" w:eastAsiaTheme="minorEastAsia"/>
                <w:color w:val="auto"/>
                <w:sz w:val="24"/>
                <w:szCs w:val="24"/>
                <w:highlight w:val="none"/>
              </w:rPr>
            </w:pPr>
          </w:p>
        </w:tc>
      </w:tr>
      <w:tr w14:paraId="576A1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AA51ED9">
            <w:pPr>
              <w:jc w:val="center"/>
              <w:rPr>
                <w:rFonts w:asciiTheme="minorEastAsia" w:hAnsiTheme="minorEastAsia" w:eastAsiaTheme="minorEastAsia"/>
                <w:color w:val="auto"/>
                <w:sz w:val="24"/>
                <w:szCs w:val="24"/>
                <w:highlight w:val="none"/>
              </w:rPr>
            </w:pPr>
          </w:p>
        </w:tc>
        <w:tc>
          <w:tcPr>
            <w:tcW w:w="1080" w:type="dxa"/>
            <w:vAlign w:val="center"/>
          </w:tcPr>
          <w:p w14:paraId="5FB88C48">
            <w:pPr>
              <w:rPr>
                <w:rFonts w:asciiTheme="minorEastAsia" w:hAnsiTheme="minorEastAsia" w:eastAsiaTheme="minorEastAsia"/>
                <w:color w:val="auto"/>
                <w:sz w:val="24"/>
                <w:szCs w:val="24"/>
                <w:highlight w:val="none"/>
              </w:rPr>
            </w:pPr>
          </w:p>
        </w:tc>
        <w:tc>
          <w:tcPr>
            <w:tcW w:w="3060" w:type="dxa"/>
            <w:vAlign w:val="center"/>
          </w:tcPr>
          <w:p w14:paraId="0DB2173E">
            <w:pPr>
              <w:rPr>
                <w:rFonts w:asciiTheme="minorEastAsia" w:hAnsiTheme="minorEastAsia" w:eastAsiaTheme="minorEastAsia"/>
                <w:color w:val="auto"/>
                <w:sz w:val="24"/>
                <w:szCs w:val="24"/>
                <w:highlight w:val="none"/>
              </w:rPr>
            </w:pPr>
          </w:p>
        </w:tc>
        <w:tc>
          <w:tcPr>
            <w:tcW w:w="1080" w:type="dxa"/>
            <w:vAlign w:val="center"/>
          </w:tcPr>
          <w:p w14:paraId="10FDB602">
            <w:pPr>
              <w:rPr>
                <w:rFonts w:asciiTheme="minorEastAsia" w:hAnsiTheme="minorEastAsia" w:eastAsiaTheme="minorEastAsia"/>
                <w:color w:val="auto"/>
                <w:sz w:val="24"/>
                <w:szCs w:val="24"/>
                <w:highlight w:val="none"/>
              </w:rPr>
            </w:pPr>
          </w:p>
        </w:tc>
        <w:tc>
          <w:tcPr>
            <w:tcW w:w="2474" w:type="dxa"/>
            <w:vAlign w:val="center"/>
          </w:tcPr>
          <w:p w14:paraId="057B5F64">
            <w:pPr>
              <w:rPr>
                <w:rFonts w:asciiTheme="minorEastAsia" w:hAnsiTheme="minorEastAsia" w:eastAsiaTheme="minorEastAsia"/>
                <w:color w:val="auto"/>
                <w:sz w:val="24"/>
                <w:szCs w:val="24"/>
                <w:highlight w:val="none"/>
              </w:rPr>
            </w:pPr>
          </w:p>
        </w:tc>
      </w:tr>
      <w:tr w14:paraId="16E37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A0E54F8">
            <w:pPr>
              <w:jc w:val="center"/>
              <w:rPr>
                <w:rFonts w:asciiTheme="minorEastAsia" w:hAnsiTheme="minorEastAsia" w:eastAsiaTheme="minorEastAsia"/>
                <w:color w:val="auto"/>
                <w:sz w:val="24"/>
                <w:szCs w:val="24"/>
                <w:highlight w:val="none"/>
              </w:rPr>
            </w:pPr>
          </w:p>
        </w:tc>
        <w:tc>
          <w:tcPr>
            <w:tcW w:w="1080" w:type="dxa"/>
            <w:vAlign w:val="center"/>
          </w:tcPr>
          <w:p w14:paraId="6CDED36F">
            <w:pPr>
              <w:rPr>
                <w:rFonts w:asciiTheme="minorEastAsia" w:hAnsiTheme="minorEastAsia" w:eastAsiaTheme="minorEastAsia"/>
                <w:color w:val="auto"/>
                <w:sz w:val="24"/>
                <w:szCs w:val="24"/>
                <w:highlight w:val="none"/>
              </w:rPr>
            </w:pPr>
          </w:p>
        </w:tc>
        <w:tc>
          <w:tcPr>
            <w:tcW w:w="3060" w:type="dxa"/>
            <w:vAlign w:val="center"/>
          </w:tcPr>
          <w:p w14:paraId="21B0FC29">
            <w:pPr>
              <w:rPr>
                <w:rFonts w:asciiTheme="minorEastAsia" w:hAnsiTheme="minorEastAsia" w:eastAsiaTheme="minorEastAsia"/>
                <w:color w:val="auto"/>
                <w:sz w:val="24"/>
                <w:szCs w:val="24"/>
                <w:highlight w:val="none"/>
              </w:rPr>
            </w:pPr>
          </w:p>
        </w:tc>
        <w:tc>
          <w:tcPr>
            <w:tcW w:w="1080" w:type="dxa"/>
            <w:vAlign w:val="center"/>
          </w:tcPr>
          <w:p w14:paraId="1FDA27A5">
            <w:pPr>
              <w:rPr>
                <w:rFonts w:asciiTheme="minorEastAsia" w:hAnsiTheme="minorEastAsia" w:eastAsiaTheme="minorEastAsia"/>
                <w:color w:val="auto"/>
                <w:sz w:val="24"/>
                <w:szCs w:val="24"/>
                <w:highlight w:val="none"/>
              </w:rPr>
            </w:pPr>
          </w:p>
        </w:tc>
        <w:tc>
          <w:tcPr>
            <w:tcW w:w="2474" w:type="dxa"/>
            <w:vAlign w:val="center"/>
          </w:tcPr>
          <w:p w14:paraId="2F3506AB">
            <w:pPr>
              <w:rPr>
                <w:rFonts w:asciiTheme="minorEastAsia" w:hAnsiTheme="minorEastAsia" w:eastAsiaTheme="minorEastAsia"/>
                <w:color w:val="auto"/>
                <w:sz w:val="24"/>
                <w:szCs w:val="24"/>
                <w:highlight w:val="none"/>
              </w:rPr>
            </w:pPr>
          </w:p>
        </w:tc>
      </w:tr>
      <w:tr w14:paraId="46B08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0EC673F">
            <w:pPr>
              <w:jc w:val="center"/>
              <w:rPr>
                <w:rFonts w:asciiTheme="minorEastAsia" w:hAnsiTheme="minorEastAsia" w:eastAsiaTheme="minorEastAsia"/>
                <w:color w:val="auto"/>
                <w:sz w:val="24"/>
                <w:szCs w:val="24"/>
                <w:highlight w:val="none"/>
              </w:rPr>
            </w:pPr>
          </w:p>
        </w:tc>
        <w:tc>
          <w:tcPr>
            <w:tcW w:w="1080" w:type="dxa"/>
            <w:vAlign w:val="center"/>
          </w:tcPr>
          <w:p w14:paraId="69EB8332">
            <w:pPr>
              <w:rPr>
                <w:rFonts w:asciiTheme="minorEastAsia" w:hAnsiTheme="minorEastAsia" w:eastAsiaTheme="minorEastAsia"/>
                <w:color w:val="auto"/>
                <w:sz w:val="24"/>
                <w:szCs w:val="24"/>
                <w:highlight w:val="none"/>
              </w:rPr>
            </w:pPr>
          </w:p>
        </w:tc>
        <w:tc>
          <w:tcPr>
            <w:tcW w:w="3060" w:type="dxa"/>
            <w:vAlign w:val="center"/>
          </w:tcPr>
          <w:p w14:paraId="678E62AD">
            <w:pPr>
              <w:rPr>
                <w:rFonts w:asciiTheme="minorEastAsia" w:hAnsiTheme="minorEastAsia" w:eastAsiaTheme="minorEastAsia"/>
                <w:color w:val="auto"/>
                <w:sz w:val="24"/>
                <w:szCs w:val="24"/>
                <w:highlight w:val="none"/>
              </w:rPr>
            </w:pPr>
          </w:p>
        </w:tc>
        <w:tc>
          <w:tcPr>
            <w:tcW w:w="1080" w:type="dxa"/>
            <w:vAlign w:val="center"/>
          </w:tcPr>
          <w:p w14:paraId="7AC76869">
            <w:pPr>
              <w:rPr>
                <w:rFonts w:asciiTheme="minorEastAsia" w:hAnsiTheme="minorEastAsia" w:eastAsiaTheme="minorEastAsia"/>
                <w:color w:val="auto"/>
                <w:sz w:val="24"/>
                <w:szCs w:val="24"/>
                <w:highlight w:val="none"/>
              </w:rPr>
            </w:pPr>
          </w:p>
        </w:tc>
        <w:tc>
          <w:tcPr>
            <w:tcW w:w="2474" w:type="dxa"/>
            <w:vAlign w:val="center"/>
          </w:tcPr>
          <w:p w14:paraId="6766D5A1">
            <w:pPr>
              <w:rPr>
                <w:rFonts w:asciiTheme="minorEastAsia" w:hAnsiTheme="minorEastAsia" w:eastAsiaTheme="minorEastAsia"/>
                <w:color w:val="auto"/>
                <w:sz w:val="24"/>
                <w:szCs w:val="24"/>
                <w:highlight w:val="none"/>
              </w:rPr>
            </w:pPr>
          </w:p>
        </w:tc>
      </w:tr>
    </w:tbl>
    <w:p w14:paraId="58069210">
      <w:pPr>
        <w:ind w:firstLine="240" w:firstLineChars="100"/>
        <w:rPr>
          <w:rFonts w:hint="eastAsia" w:asciiTheme="minorEastAsia" w:hAnsiTheme="minorEastAsia" w:eastAsiaTheme="minorEastAsia"/>
          <w:color w:val="auto"/>
          <w:sz w:val="24"/>
          <w:szCs w:val="24"/>
          <w:highlight w:val="none"/>
        </w:rPr>
      </w:pPr>
    </w:p>
    <w:p w14:paraId="14C11CB7">
      <w:pPr>
        <w:ind w:left="235" w:leftChars="112"/>
        <w:rPr>
          <w:rFonts w:asciiTheme="minorEastAsia" w:hAnsiTheme="minorEastAsia" w:eastAsiaTheme="minorEastAsia"/>
          <w:color w:val="auto"/>
          <w:sz w:val="24"/>
          <w:szCs w:val="24"/>
          <w:highlight w:val="none"/>
        </w:rPr>
      </w:pPr>
      <w:r>
        <w:rPr>
          <w:rFonts w:hint="eastAsia" w:asciiTheme="minorEastAsia" w:hAnsiTheme="minorEastAsia" w:eastAsiaTheme="minorEastAsia"/>
          <w:b/>
          <w:color w:val="auto"/>
          <w:sz w:val="24"/>
          <w:szCs w:val="24"/>
          <w:highlight w:val="none"/>
        </w:rPr>
        <w:t>注：</w:t>
      </w:r>
      <w:r>
        <w:rPr>
          <w:rFonts w:hint="eastAsia" w:asciiTheme="minorEastAsia" w:hAnsiTheme="minorEastAsia" w:eastAsiaTheme="minorEastAsia"/>
          <w:color w:val="auto"/>
          <w:sz w:val="24"/>
          <w:szCs w:val="24"/>
          <w:highlight w:val="none"/>
        </w:rPr>
        <w:t>为避免歧义，无偏离也应要提报该表，并注明“无”字。如无该表则即使在其它部分已反映，将也被视为“无偏离”。</w:t>
      </w:r>
    </w:p>
    <w:p w14:paraId="438077E2">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投标人：（盖章）</w:t>
      </w:r>
    </w:p>
    <w:p w14:paraId="69371106">
      <w:pPr>
        <w:spacing w:line="660" w:lineRule="exact"/>
        <w:jc w:val="right"/>
        <w:rPr>
          <w:rFonts w:ascii="宋体" w:hAnsi="Calibri" w:eastAsia="宋体" w:cs="Times New Roman"/>
          <w:color w:val="auto"/>
          <w:sz w:val="24"/>
          <w:szCs w:val="20"/>
          <w:highlight w:val="none"/>
        </w:rPr>
      </w:pPr>
      <w:r>
        <w:rPr>
          <w:rFonts w:hint="eastAsia" w:ascii="宋体" w:hAnsi="宋体" w:eastAsia="宋体" w:cs="Times New Roman"/>
          <w:color w:val="auto"/>
          <w:sz w:val="24"/>
          <w:szCs w:val="20"/>
          <w:highlight w:val="none"/>
        </w:rPr>
        <w:t>法定代表人（委托代理人）：（签字）</w:t>
      </w:r>
    </w:p>
    <w:p w14:paraId="05726F8F">
      <w:pPr>
        <w:spacing w:line="660" w:lineRule="exact"/>
        <w:jc w:val="center"/>
        <w:rPr>
          <w:rFonts w:ascii="宋体" w:hAnsi="Calibri" w:eastAsia="宋体" w:cs="Times New Roman"/>
          <w:color w:val="auto"/>
          <w:sz w:val="24"/>
          <w:szCs w:val="20"/>
          <w:highlight w:val="none"/>
        </w:rPr>
      </w:pPr>
      <w:r>
        <w:rPr>
          <w:rFonts w:hint="eastAsia" w:ascii="宋体" w:hAnsi="宋体" w:cs="Times New Roman"/>
          <w:color w:val="auto"/>
          <w:sz w:val="24"/>
          <w:szCs w:val="20"/>
          <w:highlight w:val="none"/>
          <w:lang w:val="en-US" w:eastAsia="zh-CN"/>
        </w:rPr>
        <w:t xml:space="preserve">                                     </w:t>
      </w:r>
      <w:r>
        <w:rPr>
          <w:rFonts w:hint="eastAsia" w:ascii="宋体" w:hAnsi="宋体" w:eastAsia="宋体" w:cs="Times New Roman"/>
          <w:color w:val="auto"/>
          <w:sz w:val="24"/>
          <w:szCs w:val="20"/>
          <w:highlight w:val="none"/>
        </w:rPr>
        <w:t>日</w:t>
      </w:r>
      <w:r>
        <w:rPr>
          <w:rFonts w:ascii="宋体" w:hAnsi="宋体" w:eastAsia="宋体" w:cs="Times New Roman"/>
          <w:color w:val="auto"/>
          <w:sz w:val="24"/>
          <w:szCs w:val="20"/>
          <w:highlight w:val="none"/>
        </w:rPr>
        <w:t xml:space="preserve">  </w:t>
      </w:r>
      <w:r>
        <w:rPr>
          <w:rFonts w:hint="eastAsia" w:ascii="宋体" w:hAnsi="宋体" w:eastAsia="宋体" w:cs="Times New Roman"/>
          <w:color w:val="auto"/>
          <w:sz w:val="24"/>
          <w:szCs w:val="20"/>
          <w:highlight w:val="none"/>
        </w:rPr>
        <w:t>期：</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年</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月</w:t>
      </w:r>
      <w:r>
        <w:rPr>
          <w:rFonts w:ascii="宋体" w:hAnsi="宋体" w:eastAsia="宋体" w:cs="Times New Roman"/>
          <w:color w:val="auto"/>
          <w:sz w:val="24"/>
          <w:szCs w:val="20"/>
          <w:highlight w:val="none"/>
          <w:u w:val="single"/>
        </w:rPr>
        <w:t xml:space="preserve">    </w:t>
      </w:r>
      <w:r>
        <w:rPr>
          <w:rFonts w:hint="eastAsia" w:ascii="宋体" w:hAnsi="宋体" w:eastAsia="宋体" w:cs="Times New Roman"/>
          <w:color w:val="auto"/>
          <w:sz w:val="24"/>
          <w:szCs w:val="20"/>
          <w:highlight w:val="none"/>
        </w:rPr>
        <w:t>日</w:t>
      </w:r>
    </w:p>
    <w:p w14:paraId="4BA5579B">
      <w:pPr>
        <w:rPr>
          <w:rFonts w:asciiTheme="minorEastAsia" w:hAnsiTheme="minorEastAsia" w:eastAsiaTheme="minorEastAsia"/>
          <w:b/>
          <w:bCs/>
          <w:color w:val="auto"/>
          <w:sz w:val="24"/>
          <w:szCs w:val="24"/>
          <w:highlight w:val="none"/>
        </w:rPr>
      </w:pPr>
    </w:p>
    <w:p w14:paraId="170A27D0">
      <w:pPr>
        <w:rPr>
          <w:color w:val="auto"/>
          <w:highlight w:val="none"/>
        </w:rPr>
      </w:pPr>
    </w:p>
    <w:sectPr>
      <w:headerReference r:id="rId7" w:type="first"/>
      <w:footerReference r:id="rId9" w:type="first"/>
      <w:footerReference r:id="rId8"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5"/>
      </w:rPr>
    </w:pPr>
    <w:r>
      <w:fldChar w:fldCharType="begin"/>
    </w:r>
    <w:r>
      <w:rPr>
        <w:rStyle w:val="35"/>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0B86F5">
    <w:pPr>
      <w:pStyle w:val="19"/>
      <w:jc w:val="both"/>
      <w:rPr>
        <w:rFonts w:hint="eastAsia"/>
        <w:u w:val="single"/>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F83918D">
                          <w:pPr>
                            <w:pStyle w:val="19"/>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6F83918D">
                    <w:pPr>
                      <w:pStyle w:val="19"/>
                    </w:pPr>
                    <w:r>
                      <w:fldChar w:fldCharType="begin"/>
                    </w:r>
                    <w:r>
                      <w:instrText xml:space="preserve"> PAGE  \* MERGEFORMAT </w:instrText>
                    </w:r>
                    <w:r>
                      <w:fldChar w:fldCharType="separate"/>
                    </w:r>
                    <w:r>
                      <w:t>1</w:t>
                    </w:r>
                    <w:r>
                      <w:fldChar w:fldCharType="end"/>
                    </w:r>
                  </w:p>
                </w:txbxContent>
              </v:textbox>
            </v:shape>
          </w:pict>
        </mc:Fallback>
      </mc:AlternateContent>
    </w:r>
  </w:p>
  <w:p w14:paraId="7589EC9A">
    <w:pPr>
      <w:pStyle w:val="19"/>
      <w:jc w:val="center"/>
      <w:rPr>
        <w:rFonts w:hint="eastAsia"/>
      </w:rPr>
    </w:pPr>
    <w:r>
      <w:rPr>
        <w:rFonts w:hint="eastAsia"/>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重汽汽车金融有限公司催收合作服务商入库</w:t>
    </w:r>
    <w:r>
      <w:rPr>
        <w:rFonts w:hint="eastAsia"/>
        <w:lang w:val="en-US" w:eastAsia="zh-CN"/>
      </w:rPr>
      <w:t>采购</w:t>
    </w:r>
    <w:r>
      <w:rPr>
        <w:rFonts w:hint="eastAsia"/>
      </w:rPr>
      <w:t>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7B71E7F"/>
    <w:multiLevelType w:val="singleLevel"/>
    <w:tmpl w:val="87B71E7F"/>
    <w:lvl w:ilvl="0" w:tentative="0">
      <w:start w:val="1"/>
      <w:numFmt w:val="decimal"/>
      <w:lvlText w:val="%1."/>
      <w:lvlJc w:val="left"/>
      <w:pPr>
        <w:ind w:left="425" w:hanging="425"/>
      </w:pPr>
      <w:rPr>
        <w:rFonts w:hint="default"/>
      </w:rPr>
    </w:lvl>
  </w:abstractNum>
  <w:abstractNum w:abstractNumId="3">
    <w:nsid w:val="8AC49A9E"/>
    <w:multiLevelType w:val="multilevel"/>
    <w:tmpl w:val="8AC49A9E"/>
    <w:lvl w:ilvl="0" w:tentative="0">
      <w:start w:val="1"/>
      <w:numFmt w:val="decimal"/>
      <w:isLgl/>
      <w:suff w:val="space"/>
      <w:lvlText w:val="%1"/>
      <w:lvlJc w:val="left"/>
      <w:pPr>
        <w:ind w:left="2127" w:firstLine="0"/>
      </w:pPr>
      <w:rPr>
        <w:rFonts w:hint="eastAsia"/>
      </w:rPr>
    </w:lvl>
    <w:lvl w:ilvl="1" w:tentative="0">
      <w:start w:val="1"/>
      <w:numFmt w:val="decimal"/>
      <w:pStyle w:val="114"/>
      <w:isLgl/>
      <w:suff w:val="space"/>
      <w:lvlText w:val="%1.%2"/>
      <w:lvlJc w:val="left"/>
      <w:pPr>
        <w:ind w:left="0" w:firstLine="0"/>
      </w:pPr>
      <w:rPr>
        <w:rFonts w:hint="eastAsia"/>
      </w:rPr>
    </w:lvl>
    <w:lvl w:ilvl="2" w:tentative="0">
      <w:start w:val="1"/>
      <w:numFmt w:val="decimal"/>
      <w:isLgl/>
      <w:suff w:val="space"/>
      <w:lvlText w:val="%1.%2.%3"/>
      <w:lvlJc w:val="left"/>
      <w:pPr>
        <w:ind w:left="0" w:firstLine="0"/>
      </w:pPr>
      <w:rPr>
        <w:rFonts w:hint="eastAsia"/>
      </w:rPr>
    </w:lvl>
    <w:lvl w:ilvl="3" w:tentative="0">
      <w:start w:val="1"/>
      <w:numFmt w:val="decimal"/>
      <w:isLgl/>
      <w:suff w:val="space"/>
      <w:lvlText w:val="%1.%2.%3.%4"/>
      <w:lvlJc w:val="left"/>
      <w:pPr>
        <w:ind w:left="0" w:firstLine="0"/>
      </w:pPr>
      <w:rPr>
        <w:rFonts w:hint="eastAsia"/>
      </w:rPr>
    </w:lvl>
    <w:lvl w:ilvl="4" w:tentative="0">
      <w:start w:val="1"/>
      <w:numFmt w:val="decimal"/>
      <w:isLgl/>
      <w:suff w:val="space"/>
      <w:lvlText w:val="%1.%2.%3.%4.%5"/>
      <w:lvlJc w:val="left"/>
      <w:pPr>
        <w:ind w:left="0" w:firstLine="0"/>
      </w:pPr>
      <w:rPr>
        <w:rFonts w:hint="eastAsia"/>
      </w:rPr>
    </w:lvl>
    <w:lvl w:ilvl="5" w:tentative="0">
      <w:start w:val="1"/>
      <w:numFmt w:val="decimal"/>
      <w:suff w:val="space"/>
      <w:lvlText w:val="%1.%2.%3.%4.%5.%6"/>
      <w:lvlJc w:val="left"/>
      <w:pPr>
        <w:ind w:left="0" w:firstLine="0"/>
      </w:pPr>
      <w:rPr>
        <w:rFonts w:hint="eastAsia"/>
      </w:rPr>
    </w:lvl>
    <w:lvl w:ilvl="6" w:tentative="0">
      <w:start w:val="1"/>
      <w:numFmt w:val="decimal"/>
      <w:isLgl/>
      <w:suff w:val="space"/>
      <w:lvlText w:val="%1.%2.%3.%4.%5.%6.%7"/>
      <w:lvlJc w:val="left"/>
      <w:pPr>
        <w:ind w:left="0" w:firstLine="0"/>
      </w:pPr>
      <w:rPr>
        <w:rFonts w:hint="eastAsia"/>
      </w:rPr>
    </w:lvl>
    <w:lvl w:ilvl="7" w:tentative="0">
      <w:start w:val="1"/>
      <w:numFmt w:val="decimal"/>
      <w:isLgl/>
      <w:suff w:val="space"/>
      <w:lvlText w:val="图%1"/>
      <w:lvlJc w:val="center"/>
      <w:pPr>
        <w:ind w:left="0" w:firstLine="0"/>
      </w:pPr>
      <w:rPr>
        <w:rFonts w:hint="eastAsia"/>
      </w:rPr>
    </w:lvl>
    <w:lvl w:ilvl="8" w:tentative="0">
      <w:start w:val="1"/>
      <w:numFmt w:val="decimal"/>
      <w:isLgl/>
      <w:suff w:val="space"/>
      <w:lvlText w:val="%9表%1"/>
      <w:lvlJc w:val="center"/>
      <w:pPr>
        <w:ind w:left="0" w:firstLine="0"/>
      </w:pPr>
      <w:rPr>
        <w:rFonts w:hint="eastAsia"/>
      </w:rPr>
    </w:lvl>
  </w:abstractNum>
  <w:abstractNum w:abstractNumId="4">
    <w:nsid w:val="91A7B131"/>
    <w:multiLevelType w:val="singleLevel"/>
    <w:tmpl w:val="91A7B131"/>
    <w:lvl w:ilvl="0" w:tentative="0">
      <w:start w:val="1"/>
      <w:numFmt w:val="decimal"/>
      <w:lvlText w:val="(%1)"/>
      <w:lvlJc w:val="left"/>
      <w:pPr>
        <w:ind w:left="425" w:hanging="425"/>
      </w:pPr>
      <w:rPr>
        <w:rFonts w:hint="default"/>
      </w:rPr>
    </w:lvl>
  </w:abstractNum>
  <w:abstractNum w:abstractNumId="5">
    <w:nsid w:val="93852671"/>
    <w:multiLevelType w:val="singleLevel"/>
    <w:tmpl w:val="93852671"/>
    <w:lvl w:ilvl="0" w:tentative="0">
      <w:start w:val="1"/>
      <w:numFmt w:val="decimal"/>
      <w:lvlText w:val="%1."/>
      <w:lvlJc w:val="left"/>
      <w:pPr>
        <w:ind w:left="425" w:hanging="425"/>
      </w:pPr>
      <w:rPr>
        <w:rFonts w:hint="default"/>
      </w:rPr>
    </w:lvl>
  </w:abstractNum>
  <w:abstractNum w:abstractNumId="6">
    <w:nsid w:val="9E0A6A31"/>
    <w:multiLevelType w:val="multilevel"/>
    <w:tmpl w:val="9E0A6A31"/>
    <w:lvl w:ilvl="0" w:tentative="0">
      <w:start w:val="1"/>
      <w:numFmt w:val="decimal"/>
      <w:pStyle w:val="112"/>
      <w:lvlText w:val="%1）"/>
      <w:lvlJc w:val="left"/>
      <w:pPr>
        <w:ind w:left="840" w:hanging="420"/>
      </w:pPr>
      <w:rPr>
        <w:rFonts w:hint="eastAsia" w:ascii="Times New Roman" w:hAnsi="Times New Roman" w:eastAsia="宋体" w:cs="Times New Roman"/>
        <w:b/>
      </w:rPr>
    </w:lvl>
    <w:lvl w:ilvl="1" w:tentative="0">
      <w:start w:val="1"/>
      <w:numFmt w:val="decimal"/>
      <w:lvlText w:val="%2)"/>
      <w:lvlJc w:val="left"/>
      <w:pPr>
        <w:tabs>
          <w:tab w:val="left" w:pos="1113"/>
        </w:tabs>
        <w:ind w:left="1113" w:hanging="420"/>
      </w:pPr>
    </w:lvl>
    <w:lvl w:ilvl="2" w:tentative="0">
      <w:start w:val="1"/>
      <w:numFmt w:val="lowerRoman"/>
      <w:lvlText w:val="%3."/>
      <w:lvlJc w:val="right"/>
      <w:pPr>
        <w:ind w:left="1533" w:hanging="420"/>
      </w:pPr>
    </w:lvl>
    <w:lvl w:ilvl="3" w:tentative="0">
      <w:start w:val="1"/>
      <w:numFmt w:val="decimal"/>
      <w:lvlText w:val="%4."/>
      <w:lvlJc w:val="left"/>
      <w:pPr>
        <w:ind w:left="1953" w:hanging="420"/>
      </w:pPr>
    </w:lvl>
    <w:lvl w:ilvl="4" w:tentative="0">
      <w:start w:val="1"/>
      <w:numFmt w:val="lowerLetter"/>
      <w:lvlText w:val="%5)"/>
      <w:lvlJc w:val="left"/>
      <w:pPr>
        <w:ind w:left="2373" w:hanging="420"/>
      </w:pPr>
    </w:lvl>
    <w:lvl w:ilvl="5" w:tentative="0">
      <w:start w:val="1"/>
      <w:numFmt w:val="lowerRoman"/>
      <w:lvlText w:val="%6."/>
      <w:lvlJc w:val="right"/>
      <w:pPr>
        <w:ind w:left="2793" w:hanging="420"/>
      </w:pPr>
    </w:lvl>
    <w:lvl w:ilvl="6" w:tentative="0">
      <w:start w:val="1"/>
      <w:numFmt w:val="decimal"/>
      <w:lvlText w:val="%7."/>
      <w:lvlJc w:val="left"/>
      <w:pPr>
        <w:ind w:left="3213" w:hanging="420"/>
      </w:pPr>
    </w:lvl>
    <w:lvl w:ilvl="7" w:tentative="0">
      <w:start w:val="1"/>
      <w:numFmt w:val="lowerLetter"/>
      <w:lvlText w:val="%8)"/>
      <w:lvlJc w:val="left"/>
      <w:pPr>
        <w:ind w:left="3633" w:hanging="420"/>
      </w:pPr>
    </w:lvl>
    <w:lvl w:ilvl="8" w:tentative="0">
      <w:start w:val="1"/>
      <w:numFmt w:val="lowerRoman"/>
      <w:lvlText w:val="%9."/>
      <w:lvlJc w:val="right"/>
      <w:pPr>
        <w:ind w:left="4053" w:hanging="420"/>
      </w:pPr>
    </w:lvl>
  </w:abstractNum>
  <w:abstractNum w:abstractNumId="7">
    <w:nsid w:val="9E1BA4F3"/>
    <w:multiLevelType w:val="singleLevel"/>
    <w:tmpl w:val="9E1BA4F3"/>
    <w:lvl w:ilvl="0" w:tentative="0">
      <w:start w:val="1"/>
      <w:numFmt w:val="decimal"/>
      <w:lvlText w:val="%1."/>
      <w:lvlJc w:val="left"/>
      <w:pPr>
        <w:tabs>
          <w:tab w:val="left" w:pos="312"/>
        </w:tabs>
      </w:pPr>
    </w:lvl>
  </w:abstractNum>
  <w:abstractNum w:abstractNumId="8">
    <w:nsid w:val="B12C4597"/>
    <w:multiLevelType w:val="singleLevel"/>
    <w:tmpl w:val="B12C4597"/>
    <w:lvl w:ilvl="0" w:tentative="0">
      <w:start w:val="1"/>
      <w:numFmt w:val="decimal"/>
      <w:lvlText w:val="%1."/>
      <w:lvlJc w:val="left"/>
      <w:pPr>
        <w:ind w:left="425" w:hanging="425"/>
      </w:pPr>
      <w:rPr>
        <w:rFonts w:hint="default"/>
      </w:rPr>
    </w:lvl>
  </w:abstractNum>
  <w:abstractNum w:abstractNumId="9">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10">
    <w:nsid w:val="BD4C6742"/>
    <w:multiLevelType w:val="singleLevel"/>
    <w:tmpl w:val="BD4C6742"/>
    <w:lvl w:ilvl="0" w:tentative="0">
      <w:start w:val="1"/>
      <w:numFmt w:val="decimal"/>
      <w:lvlText w:val="%1."/>
      <w:lvlJc w:val="left"/>
      <w:pPr>
        <w:ind w:left="425" w:hanging="425"/>
      </w:pPr>
      <w:rPr>
        <w:rFonts w:hint="default"/>
      </w:rPr>
    </w:lvl>
  </w:abstractNum>
  <w:abstractNum w:abstractNumId="11">
    <w:nsid w:val="BF8C79E3"/>
    <w:multiLevelType w:val="singleLevel"/>
    <w:tmpl w:val="BF8C79E3"/>
    <w:lvl w:ilvl="0" w:tentative="0">
      <w:start w:val="1"/>
      <w:numFmt w:val="decimal"/>
      <w:lvlText w:val="%1."/>
      <w:lvlJc w:val="left"/>
      <w:pPr>
        <w:tabs>
          <w:tab w:val="left" w:pos="312"/>
        </w:tabs>
      </w:pPr>
    </w:lvl>
  </w:abstractNum>
  <w:abstractNum w:abstractNumId="12">
    <w:nsid w:val="CA70C5AE"/>
    <w:multiLevelType w:val="singleLevel"/>
    <w:tmpl w:val="CA70C5AE"/>
    <w:lvl w:ilvl="0" w:tentative="0">
      <w:start w:val="1"/>
      <w:numFmt w:val="decimal"/>
      <w:lvlText w:val="%1."/>
      <w:lvlJc w:val="left"/>
      <w:pPr>
        <w:ind w:left="425" w:hanging="425"/>
      </w:pPr>
      <w:rPr>
        <w:rFonts w:hint="default"/>
      </w:rPr>
    </w:lvl>
  </w:abstractNum>
  <w:abstractNum w:abstractNumId="13">
    <w:nsid w:val="D9A4530E"/>
    <w:multiLevelType w:val="singleLevel"/>
    <w:tmpl w:val="D9A4530E"/>
    <w:lvl w:ilvl="0" w:tentative="0">
      <w:start w:val="1"/>
      <w:numFmt w:val="decimal"/>
      <w:lvlText w:val="(%1)"/>
      <w:lvlJc w:val="left"/>
      <w:pPr>
        <w:ind w:left="425" w:hanging="425"/>
      </w:pPr>
      <w:rPr>
        <w:rFonts w:hint="default"/>
      </w:rPr>
    </w:lvl>
  </w:abstractNum>
  <w:abstractNum w:abstractNumId="14">
    <w:nsid w:val="DC3F8C8B"/>
    <w:multiLevelType w:val="singleLevel"/>
    <w:tmpl w:val="DC3F8C8B"/>
    <w:lvl w:ilvl="0" w:tentative="0">
      <w:start w:val="1"/>
      <w:numFmt w:val="decimal"/>
      <w:lvlText w:val="%1."/>
      <w:lvlJc w:val="left"/>
      <w:pPr>
        <w:ind w:left="425" w:hanging="425"/>
      </w:pPr>
      <w:rPr>
        <w:rFonts w:hint="default"/>
      </w:rPr>
    </w:lvl>
  </w:abstractNum>
  <w:abstractNum w:abstractNumId="15">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6">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7">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8">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6B2E774F"/>
    <w:multiLevelType w:val="singleLevel"/>
    <w:tmpl w:val="6B2E774F"/>
    <w:lvl w:ilvl="0" w:tentative="0">
      <w:start w:val="1"/>
      <w:numFmt w:val="decimal"/>
      <w:lvlText w:val="(%1)"/>
      <w:lvlJc w:val="left"/>
      <w:pPr>
        <w:ind w:left="425" w:hanging="425"/>
      </w:pPr>
      <w:rPr>
        <w:rFonts w:hint="default"/>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6"/>
  </w:num>
  <w:num w:numId="6">
    <w:abstractNumId w:val="17"/>
  </w:num>
  <w:num w:numId="7">
    <w:abstractNumId w:val="18"/>
  </w:num>
  <w:num w:numId="8">
    <w:abstractNumId w:val="22"/>
  </w:num>
  <w:num w:numId="9">
    <w:abstractNumId w:val="6"/>
  </w:num>
  <w:num w:numId="10">
    <w:abstractNumId w:val="3"/>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8"/>
  </w:num>
  <w:num w:numId="15">
    <w:abstractNumId w:val="0"/>
  </w:num>
  <w:num w:numId="16">
    <w:abstractNumId w:val="5"/>
  </w:num>
  <w:num w:numId="17">
    <w:abstractNumId w:val="24"/>
  </w:num>
  <w:num w:numId="18">
    <w:abstractNumId w:val="27"/>
  </w:num>
  <w:num w:numId="19">
    <w:abstractNumId w:val="26"/>
  </w:num>
  <w:num w:numId="20">
    <w:abstractNumId w:val="13"/>
  </w:num>
  <w:num w:numId="21">
    <w:abstractNumId w:val="12"/>
  </w:num>
  <w:num w:numId="22">
    <w:abstractNumId w:val="7"/>
  </w:num>
  <w:num w:numId="23">
    <w:abstractNumId w:val="1"/>
  </w:num>
  <w:num w:numId="24">
    <w:abstractNumId w:val="9"/>
  </w:num>
  <w:num w:numId="25">
    <w:abstractNumId w:val="15"/>
  </w:num>
  <w:num w:numId="26">
    <w:abstractNumId w:val="14"/>
  </w:num>
  <w:num w:numId="27">
    <w:abstractNumId w:val="19"/>
  </w:num>
  <w:num w:numId="28">
    <w:abstractNumId w:val="4"/>
  </w:num>
  <w:num w:numId="29">
    <w:abstractNumId w:val="2"/>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C78B2"/>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E4D31E3"/>
    <w:rsid w:val="10DC2AA3"/>
    <w:rsid w:val="10FA7C8C"/>
    <w:rsid w:val="130B198F"/>
    <w:rsid w:val="17D966D6"/>
    <w:rsid w:val="1BC71D3B"/>
    <w:rsid w:val="1FB23E60"/>
    <w:rsid w:val="227755F0"/>
    <w:rsid w:val="24D42836"/>
    <w:rsid w:val="268B0052"/>
    <w:rsid w:val="272251AF"/>
    <w:rsid w:val="27743C90"/>
    <w:rsid w:val="29CA2459"/>
    <w:rsid w:val="2B271A58"/>
    <w:rsid w:val="2B6304A7"/>
    <w:rsid w:val="2CF6734C"/>
    <w:rsid w:val="2D663463"/>
    <w:rsid w:val="2EF96EE4"/>
    <w:rsid w:val="2F015931"/>
    <w:rsid w:val="30256199"/>
    <w:rsid w:val="30386CF8"/>
    <w:rsid w:val="30590093"/>
    <w:rsid w:val="372F61E0"/>
    <w:rsid w:val="39322FCA"/>
    <w:rsid w:val="3AB90991"/>
    <w:rsid w:val="3B706131"/>
    <w:rsid w:val="3E3E1383"/>
    <w:rsid w:val="3E6F041E"/>
    <w:rsid w:val="40E34A44"/>
    <w:rsid w:val="4275481E"/>
    <w:rsid w:val="42D249EF"/>
    <w:rsid w:val="433D7BDC"/>
    <w:rsid w:val="437E1813"/>
    <w:rsid w:val="45BD47FC"/>
    <w:rsid w:val="45CC5FB2"/>
    <w:rsid w:val="46B75BA8"/>
    <w:rsid w:val="46D45FF8"/>
    <w:rsid w:val="48C97955"/>
    <w:rsid w:val="49880C8F"/>
    <w:rsid w:val="4B592E71"/>
    <w:rsid w:val="52353558"/>
    <w:rsid w:val="52B9239A"/>
    <w:rsid w:val="54BD78FD"/>
    <w:rsid w:val="58A86DDE"/>
    <w:rsid w:val="59154AD7"/>
    <w:rsid w:val="597A402D"/>
    <w:rsid w:val="5ADF548D"/>
    <w:rsid w:val="5AEF2946"/>
    <w:rsid w:val="5D4F6796"/>
    <w:rsid w:val="63F04A69"/>
    <w:rsid w:val="63F32D86"/>
    <w:rsid w:val="66A50B1E"/>
    <w:rsid w:val="67912C26"/>
    <w:rsid w:val="67B2063C"/>
    <w:rsid w:val="67C97AC3"/>
    <w:rsid w:val="67E30EC1"/>
    <w:rsid w:val="6A4E3B2B"/>
    <w:rsid w:val="6A563E93"/>
    <w:rsid w:val="6CA84BC1"/>
    <w:rsid w:val="6D3E4756"/>
    <w:rsid w:val="6FC523EB"/>
    <w:rsid w:val="725466FB"/>
    <w:rsid w:val="72895F2E"/>
    <w:rsid w:val="72C02EBE"/>
    <w:rsid w:val="72C507AD"/>
    <w:rsid w:val="72D028D8"/>
    <w:rsid w:val="77030071"/>
    <w:rsid w:val="7A10392E"/>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4"/>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42"/>
    <w:semiHidden/>
    <w:qFormat/>
    <w:uiPriority w:val="98"/>
    <w:rPr>
      <w:rFonts w:ascii="仿宋_GB2312" w:eastAsia="仿宋_GB2312"/>
      <w:sz w:val="32"/>
    </w:r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Normal Indent"/>
    <w:basedOn w:val="1"/>
    <w:qFormat/>
    <w:uiPriority w:val="0"/>
    <w:pPr>
      <w:ind w:firstLine="420"/>
    </w:pPr>
    <w:rPr>
      <w:szCs w:val="20"/>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6"/>
    <w:qFormat/>
    <w:uiPriority w:val="99"/>
    <w:pPr>
      <w:jc w:val="left"/>
    </w:pPr>
  </w:style>
  <w:style w:type="paragraph" w:styleId="13">
    <w:name w:val="Body Text Indent"/>
    <w:basedOn w:val="1"/>
    <w:next w:val="1"/>
    <w:link w:val="49"/>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1"/>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8"/>
    <w:semiHidden/>
    <w:qFormat/>
    <w:uiPriority w:val="0"/>
    <w:rPr>
      <w:sz w:val="18"/>
      <w:szCs w:val="18"/>
    </w:rPr>
  </w:style>
  <w:style w:type="paragraph" w:styleId="19">
    <w:name w:val="footer"/>
    <w:basedOn w:val="1"/>
    <w:link w:val="43"/>
    <w:semiHidden/>
    <w:qFormat/>
    <w:uiPriority w:val="0"/>
    <w:pPr>
      <w:tabs>
        <w:tab w:val="center" w:pos="4153"/>
        <w:tab w:val="right" w:pos="8306"/>
      </w:tabs>
      <w:snapToGrid w:val="0"/>
      <w:jc w:val="left"/>
    </w:pPr>
    <w:rPr>
      <w:sz w:val="18"/>
      <w:szCs w:val="18"/>
    </w:rPr>
  </w:style>
  <w:style w:type="paragraph" w:styleId="20">
    <w:name w:val="header"/>
    <w:basedOn w:val="1"/>
    <w:link w:val="53"/>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2"/>
    <w:next w:val="12"/>
    <w:link w:val="54"/>
    <w:semiHidden/>
    <w:qFormat/>
    <w:uiPriority w:val="98"/>
    <w:rPr>
      <w:b/>
      <w:bCs/>
    </w:rPr>
  </w:style>
  <w:style w:type="paragraph" w:styleId="30">
    <w:name w:val="Body Text First Indent 2"/>
    <w:basedOn w:val="13"/>
    <w:next w:val="25"/>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qFormat/>
    <w:uiPriority w:val="99"/>
    <w:rPr>
      <w:rFonts w:cs="Times New Roman"/>
      <w:color w:val="1F4F88"/>
      <w:u w:val="none"/>
    </w:rPr>
  </w:style>
  <w:style w:type="character" w:styleId="39">
    <w:name w:val="annotation reference"/>
    <w:semiHidden/>
    <w:qFormat/>
    <w:uiPriority w:val="98"/>
    <w:rPr>
      <w:sz w:val="21"/>
      <w:szCs w:val="21"/>
    </w:rPr>
  </w:style>
  <w:style w:type="character" w:customStyle="1" w:styleId="40">
    <w:name w:val="Char Char3"/>
    <w:semiHidden/>
    <w:qFormat/>
    <w:uiPriority w:val="98"/>
    <w:rPr>
      <w:rFonts w:ascii="宋体" w:hAnsi="Courier New" w:eastAsia="宋体"/>
      <w:kern w:val="2"/>
      <w:sz w:val="21"/>
      <w:lang w:val="en-US" w:eastAsia="zh-CN" w:bidi="ar-SA"/>
    </w:rPr>
  </w:style>
  <w:style w:type="character" w:customStyle="1" w:styleId="41">
    <w:name w:val="纯文本 Char"/>
    <w:semiHidden/>
    <w:qFormat/>
    <w:uiPriority w:val="98"/>
    <w:rPr>
      <w:rFonts w:ascii="宋体" w:hAnsi="Courier New" w:eastAsia="宋体"/>
      <w:kern w:val="2"/>
      <w:sz w:val="21"/>
      <w:lang w:val="en-US" w:eastAsia="zh-CN" w:bidi="ar-SA"/>
    </w:rPr>
  </w:style>
  <w:style w:type="character" w:customStyle="1" w:styleId="42">
    <w:name w:val="正文文本 字符"/>
    <w:link w:val="2"/>
    <w:semiHidden/>
    <w:qFormat/>
    <w:uiPriority w:val="98"/>
    <w:rPr>
      <w:rFonts w:ascii="仿宋_GB2312" w:eastAsia="仿宋_GB2312"/>
      <w:kern w:val="2"/>
      <w:sz w:val="32"/>
    </w:rPr>
  </w:style>
  <w:style w:type="character" w:customStyle="1" w:styleId="43">
    <w:name w:val="页脚 字符"/>
    <w:link w:val="19"/>
    <w:semiHidden/>
    <w:qFormat/>
    <w:uiPriority w:val="0"/>
    <w:rPr>
      <w:kern w:val="2"/>
      <w:sz w:val="18"/>
      <w:szCs w:val="18"/>
    </w:rPr>
  </w:style>
  <w:style w:type="character" w:customStyle="1" w:styleId="44">
    <w:name w:val="标题 3 字符"/>
    <w:link w:val="5"/>
    <w:semiHidden/>
    <w:qFormat/>
    <w:uiPriority w:val="0"/>
    <w:rPr>
      <w:b/>
      <w:bCs/>
      <w:kern w:val="2"/>
      <w:sz w:val="32"/>
      <w:szCs w:val="32"/>
    </w:rPr>
  </w:style>
  <w:style w:type="character" w:customStyle="1" w:styleId="45">
    <w:name w:val="正文文本 Char"/>
    <w:semiHidden/>
    <w:qFormat/>
    <w:uiPriority w:val="98"/>
    <w:rPr>
      <w:rFonts w:ascii="仿宋_GB2312" w:eastAsia="仿宋_GB2312"/>
      <w:kern w:val="2"/>
      <w:sz w:val="32"/>
    </w:rPr>
  </w:style>
  <w:style w:type="character" w:customStyle="1" w:styleId="46">
    <w:name w:val="批注文字 字符"/>
    <w:link w:val="12"/>
    <w:qFormat/>
    <w:uiPriority w:val="99"/>
    <w:rPr>
      <w:kern w:val="2"/>
      <w:sz w:val="21"/>
    </w:rPr>
  </w:style>
  <w:style w:type="character" w:customStyle="1" w:styleId="47">
    <w:name w:val="apple-converted-space"/>
    <w:basedOn w:val="33"/>
    <w:semiHidden/>
    <w:qFormat/>
    <w:uiPriority w:val="98"/>
  </w:style>
  <w:style w:type="character" w:customStyle="1" w:styleId="48">
    <w:name w:val="批注框文本 字符"/>
    <w:link w:val="18"/>
    <w:semiHidden/>
    <w:qFormat/>
    <w:uiPriority w:val="98"/>
    <w:rPr>
      <w:kern w:val="2"/>
      <w:sz w:val="18"/>
      <w:szCs w:val="18"/>
    </w:rPr>
  </w:style>
  <w:style w:type="character" w:customStyle="1" w:styleId="49">
    <w:name w:val="正文文本缩进 字符"/>
    <w:link w:val="13"/>
    <w:semiHidden/>
    <w:qFormat/>
    <w:uiPriority w:val="0"/>
    <w:rPr>
      <w:rFonts w:ascii="Calibri" w:hAnsi="Calibri"/>
      <w:kern w:val="2"/>
      <w:sz w:val="21"/>
      <w:szCs w:val="22"/>
    </w:rPr>
  </w:style>
  <w:style w:type="character" w:customStyle="1" w:styleId="50">
    <w:name w:val="Char Char5"/>
    <w:semiHidden/>
    <w:qFormat/>
    <w:uiPriority w:val="98"/>
    <w:rPr>
      <w:rFonts w:ascii="宋体" w:hAnsi="Courier New" w:eastAsia="宋体"/>
      <w:kern w:val="2"/>
      <w:sz w:val="21"/>
      <w:lang w:val="en-US" w:eastAsia="zh-CN" w:bidi="ar-SA"/>
    </w:rPr>
  </w:style>
  <w:style w:type="character" w:customStyle="1" w:styleId="51">
    <w:name w:val="纯文本 字符1"/>
    <w:link w:val="15"/>
    <w:semiHidden/>
    <w:qFormat/>
    <w:uiPriority w:val="0"/>
    <w:rPr>
      <w:rFonts w:ascii="宋体" w:hAnsi="Courier New"/>
      <w:kern w:val="2"/>
      <w:sz w:val="21"/>
    </w:rPr>
  </w:style>
  <w:style w:type="character" w:customStyle="1" w:styleId="52">
    <w:name w:val="纯文本 字符"/>
    <w:semiHidden/>
    <w:qFormat/>
    <w:uiPriority w:val="98"/>
    <w:rPr>
      <w:rFonts w:ascii="宋体" w:hAnsi="Courier New" w:eastAsia="宋体"/>
    </w:rPr>
  </w:style>
  <w:style w:type="character" w:customStyle="1" w:styleId="53">
    <w:name w:val="页眉 字符"/>
    <w:link w:val="20"/>
    <w:semiHidden/>
    <w:qFormat/>
    <w:uiPriority w:val="0"/>
    <w:rPr>
      <w:kern w:val="2"/>
      <w:sz w:val="18"/>
      <w:szCs w:val="18"/>
    </w:rPr>
  </w:style>
  <w:style w:type="character" w:customStyle="1" w:styleId="54">
    <w:name w:val="批注主题 字符"/>
    <w:link w:val="29"/>
    <w:semiHidden/>
    <w:qFormat/>
    <w:uiPriority w:val="98"/>
    <w:rPr>
      <w:b/>
      <w:bCs/>
      <w:kern w:val="2"/>
      <w:sz w:val="21"/>
    </w:rPr>
  </w:style>
  <w:style w:type="character" w:customStyle="1" w:styleId="55">
    <w:name w:val="Char Char2"/>
    <w:semiHidden/>
    <w:qFormat/>
    <w:uiPriority w:val="98"/>
    <w:rPr>
      <w:rFonts w:ascii="宋体" w:hAnsi="Courier New" w:cs="宋体"/>
      <w:kern w:val="2"/>
      <w:sz w:val="21"/>
      <w:szCs w:val="21"/>
    </w:rPr>
  </w:style>
  <w:style w:type="character" w:customStyle="1" w:styleId="56">
    <w:name w:val="HTML Markup"/>
    <w:semiHidden/>
    <w:qFormat/>
    <w:uiPriority w:val="98"/>
    <w:rPr>
      <w:vanish/>
      <w:color w:val="FF0000"/>
    </w:rPr>
  </w:style>
  <w:style w:type="character" w:customStyle="1" w:styleId="57">
    <w:name w:val="纯文本 Char3"/>
    <w:semiHidden/>
    <w:qFormat/>
    <w:uiPriority w:val="98"/>
    <w:rPr>
      <w:rFonts w:ascii="宋体" w:hAnsi="Courier New" w:eastAsia="宋体"/>
      <w:kern w:val="2"/>
      <w:sz w:val="21"/>
      <w:lang w:val="en-US" w:eastAsia="zh-CN" w:bidi="ar-SA"/>
    </w:rPr>
  </w:style>
  <w:style w:type="character" w:customStyle="1" w:styleId="58">
    <w:name w:val="正文文本缩进 Char"/>
    <w:link w:val="59"/>
    <w:semiHidden/>
    <w:qFormat/>
    <w:uiPriority w:val="98"/>
    <w:rPr>
      <w:kern w:val="2"/>
      <w:sz w:val="21"/>
    </w:rPr>
  </w:style>
  <w:style w:type="paragraph" w:customStyle="1" w:styleId="59">
    <w:name w:val="正文文本缩进1"/>
    <w:basedOn w:val="1"/>
    <w:link w:val="58"/>
    <w:semiHidden/>
    <w:qFormat/>
    <w:uiPriority w:val="98"/>
    <w:pPr>
      <w:spacing w:after="120"/>
      <w:ind w:left="420" w:leftChars="200"/>
    </w:pPr>
  </w:style>
  <w:style w:type="paragraph" w:customStyle="1" w:styleId="60">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1">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3">
    <w:name w:val="List Paragraph"/>
    <w:basedOn w:val="1"/>
    <w:semiHidden/>
    <w:qFormat/>
    <w:uiPriority w:val="98"/>
    <w:pPr>
      <w:ind w:firstLine="420" w:firstLineChars="200"/>
    </w:pPr>
    <w:rPr>
      <w:rFonts w:ascii="Calibri" w:hAnsi="Calibri"/>
      <w:szCs w:val="22"/>
    </w:rPr>
  </w:style>
  <w:style w:type="paragraph" w:customStyle="1" w:styleId="64">
    <w:name w:val="列出段落1"/>
    <w:basedOn w:val="1"/>
    <w:semiHidden/>
    <w:qFormat/>
    <w:uiPriority w:val="98"/>
    <w:pPr>
      <w:ind w:firstLine="420" w:firstLineChars="200"/>
    </w:pPr>
    <w:rPr>
      <w:rFonts w:ascii="Calibri" w:hAnsi="Calibri"/>
      <w:szCs w:val="22"/>
    </w:rPr>
  </w:style>
  <w:style w:type="paragraph" w:customStyle="1" w:styleId="65">
    <w:name w:val="二级列表 Char"/>
    <w:basedOn w:val="1"/>
    <w:semiHidden/>
    <w:qFormat/>
    <w:uiPriority w:val="98"/>
    <w:rPr>
      <w:rFonts w:ascii="Calibri" w:hAnsi="Calibri"/>
    </w:rPr>
  </w:style>
  <w:style w:type="paragraph" w:customStyle="1" w:styleId="66">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7">
    <w:name w:val="style61"/>
    <w:semiHidden/>
    <w:qFormat/>
    <w:uiPriority w:val="98"/>
  </w:style>
  <w:style w:type="character" w:customStyle="1" w:styleId="68">
    <w:name w:val="标题 1 字符"/>
    <w:basedOn w:val="33"/>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6"/>
    <w:semiHidden/>
    <w:qFormat/>
    <w:uiPriority w:val="0"/>
    <w:rPr>
      <w:rFonts w:ascii="Arial" w:hAnsi="Arial"/>
      <w:b/>
      <w:bCs/>
      <w:kern w:val="2"/>
      <w:sz w:val="21"/>
      <w:szCs w:val="28"/>
    </w:rPr>
  </w:style>
  <w:style w:type="character" w:customStyle="1" w:styleId="79">
    <w:name w:val="标题 5 字符"/>
    <w:basedOn w:val="33"/>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1"/>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1"/>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1"/>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文档正文一级标题"/>
    <w:basedOn w:val="113"/>
    <w:qFormat/>
    <w:uiPriority w:val="0"/>
    <w:pPr>
      <w:numPr>
        <w:ilvl w:val="0"/>
        <w:numId w:val="9"/>
      </w:numPr>
      <w:ind w:firstLine="0" w:firstLineChars="0"/>
    </w:pPr>
  </w:style>
  <w:style w:type="paragraph" w:customStyle="1" w:styleId="113">
    <w:name w:val="文档正文-1"/>
    <w:basedOn w:val="1"/>
    <w:qFormat/>
    <w:uiPriority w:val="0"/>
    <w:pPr>
      <w:spacing w:line="360" w:lineRule="auto"/>
      <w:ind w:firstLine="200" w:firstLineChars="200"/>
    </w:pPr>
    <w:rPr>
      <w:rFonts w:ascii="Times New Roman" w:hAnsi="Times New Roman" w:eastAsia="宋体" w:cs="Times New Roman"/>
      <w:sz w:val="24"/>
      <w:szCs w:val="22"/>
    </w:rPr>
  </w:style>
  <w:style w:type="paragraph" w:customStyle="1" w:styleId="114">
    <w:name w:val="文档标题2"/>
    <w:link w:val="115"/>
    <w:qFormat/>
    <w:uiPriority w:val="0"/>
    <w:pPr>
      <w:numPr>
        <w:ilvl w:val="1"/>
        <w:numId w:val="10"/>
      </w:numPr>
      <w:spacing w:before="0" w:after="0" w:line="360" w:lineRule="auto"/>
      <w:jc w:val="left"/>
    </w:pPr>
    <w:rPr>
      <w:rFonts w:ascii="Times New Roman" w:hAnsi="Times New Roman" w:eastAsia="宋体" w:cs="Times New Roman"/>
      <w:sz w:val="28"/>
      <w:szCs w:val="32"/>
    </w:rPr>
  </w:style>
  <w:style w:type="character" w:customStyle="1" w:styleId="115">
    <w:name w:val="文档标题2 Char"/>
    <w:basedOn w:val="33"/>
    <w:link w:val="114"/>
    <w:qFormat/>
    <w:uiPriority w:val="0"/>
    <w:rPr>
      <w:rFonts w:ascii="Times New Roman" w:hAnsi="Times New Roman" w:eastAsia="宋体" w:cs="Times New Roman"/>
      <w:sz w:val="28"/>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22</Pages>
  <Words>1499</Words>
  <Characters>1602</Characters>
  <Lines>127</Lines>
  <Paragraphs>35</Paragraphs>
  <TotalTime>8</TotalTime>
  <ScaleCrop>false</ScaleCrop>
  <LinksUpToDate>false</LinksUpToDate>
  <CharactersWithSpaces>1640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曲尧</cp:lastModifiedBy>
  <cp:lastPrinted>2020-06-28T02:28:00Z</cp:lastPrinted>
  <dcterms:modified xsi:type="dcterms:W3CDTF">2026-06-09T00:56:39Z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8857F36312B3465681F2676543DEBC87_13</vt:lpwstr>
  </property>
  <property fmtid="{D5CDD505-2E9C-101B-9397-08002B2CF9AE}" pid="4" name="KSOTemplateDocerSaveRecord">
    <vt:lpwstr>eyJoZGlkIjoiMjBmYjc4MzEwYWNlYjk5MTgzY2U3N2Y5NTA2YmM3NDEiLCJ1c2VySWQiOiI0NTIxMDEzMzEifQ==</vt:lpwstr>
  </property>
</Properties>
</file>