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D1BE1">
      <w:pPr>
        <w:pStyle w:val="3"/>
        <w:widowControl/>
        <w:jc w:val="center"/>
        <w:rPr>
          <w:rFonts w:hint="eastAsia" w:cs="宋体"/>
          <w:i w:val="0"/>
          <w:sz w:val="32"/>
          <w:szCs w:val="32"/>
        </w:rPr>
      </w:pPr>
      <w:bookmarkStart w:id="0" w:name="_Toc12866"/>
      <w:r>
        <w:rPr>
          <w:rFonts w:hint="eastAsia" w:cs="宋体"/>
          <w:i w:val="0"/>
          <w:sz w:val="32"/>
          <w:szCs w:val="32"/>
        </w:rPr>
        <w:t>盛瑞传动2026年变速箱运输业务</w:t>
      </w:r>
    </w:p>
    <w:p w14:paraId="76CA1B93">
      <w:pPr>
        <w:pStyle w:val="3"/>
        <w:widowControl/>
        <w:jc w:val="center"/>
        <w:rPr>
          <w:i w:val="0"/>
          <w:sz w:val="32"/>
          <w:szCs w:val="32"/>
        </w:rPr>
      </w:pPr>
      <w:r>
        <w:rPr>
          <w:rFonts w:hint="eastAsia" w:cs="宋体"/>
          <w:i w:val="0"/>
          <w:sz w:val="32"/>
          <w:szCs w:val="32"/>
        </w:rPr>
        <w:t>招标公告</w:t>
      </w:r>
      <w:bookmarkEnd w:id="0"/>
    </w:p>
    <w:p w14:paraId="751C21DF">
      <w:pPr>
        <w:pStyle w:val="3"/>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ZBGL2026050165</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2"/>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5</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11</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rPr>
          <w:rFonts w:hint="eastAsia" w:asciiTheme="majorEastAsia" w:hAnsiTheme="majorEastAsia" w:eastAsiaTheme="majorEastAsia" w:cstheme="majorEastAsia"/>
          <w:b w:val="0"/>
          <w:bCs w:val="0"/>
          <w:sz w:val="24"/>
        </w:rPr>
      </w:pPr>
      <w:r>
        <w:rPr>
          <w:rFonts w:hint="eastAsia" w:asciiTheme="majorEastAsia" w:hAnsiTheme="majorEastAsia" w:eastAsiaTheme="majorEastAsia" w:cstheme="majorEastAsia"/>
          <w:b w:val="0"/>
          <w:bCs w:val="0"/>
          <w:sz w:val="24"/>
        </w:rPr>
        <w:t>为做好公司货物发运任务，降低物流成本，提高货物运输质量以及物流管理体制水平，盛瑞传动股份有限公司将对2026年物流运输业务进行公开招标，其主要路线为潍坊至重庆、济南、南京、保定等整车、配货业务，主要产品为变速箱、车桥、配件及工位器具的返空等，通过公开招标选择有实力、管理规范的货运公司进行合作， 本次招标确定2026年6月1日——2027年5月31日的合同期，根据招标结果确定中标单位并签定年度合同。</w:t>
      </w:r>
    </w:p>
    <w:p w14:paraId="26F7CEEF">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二、项目基本情况  </w:t>
      </w:r>
    </w:p>
    <w:p w14:paraId="5BF58651">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1.项目名称：盛瑞传动2026年变速箱运输业务</w:t>
      </w:r>
    </w:p>
    <w:p w14:paraId="47585DA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2.项目类别：非固定资产服务</w:t>
      </w:r>
    </w:p>
    <w:p w14:paraId="2731EC7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3.采购方式：公开招标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6D0CF929">
      <w:pPr>
        <w:spacing w:line="360" w:lineRule="auto"/>
        <w:ind w:firstLine="480" w:firstLineChars="200"/>
        <w:rPr>
          <w:rFonts w:ascii="宋体" w:hAnsi="宋体" w:cs="宋体"/>
          <w:color w:val="auto"/>
          <w:sz w:val="24"/>
          <w:szCs w:val="24"/>
          <w:highlight w:val="none"/>
        </w:rPr>
      </w:pPr>
      <w:bookmarkStart w:id="2" w:name="_Toc212369516"/>
      <w:r>
        <w:rPr>
          <w:rFonts w:hint="eastAsia" w:ascii="宋体" w:hAnsi="宋体" w:cs="宋体"/>
          <w:color w:val="auto"/>
          <w:sz w:val="24"/>
          <w:szCs w:val="24"/>
          <w:highlight w:val="none"/>
        </w:rPr>
        <w:t>（1）投标人须遵守《中华人民共和国招标投标法》、《中华人民共和国民法典》及其它有关的法律和法规；为中华人民共和国境内注册的独立法人机构，具有独立承担民事责任的能力；经营范围满足竞价项目需求；</w:t>
      </w:r>
    </w:p>
    <w:p w14:paraId="77563E5C">
      <w:pPr>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（2）注册资金不少于</w:t>
      </w:r>
      <w:r>
        <w:rPr>
          <w:rFonts w:hint="eastAsia" w:ascii="宋体" w:hAnsi="宋体" w:cs="宋体"/>
          <w:color w:val="auto"/>
          <w:sz w:val="24"/>
          <w:szCs w:val="24"/>
          <w:highlight w:val="none"/>
          <w:lang w:val="en-US" w:eastAsia="zh-CN"/>
        </w:rPr>
        <w:t>20</w:t>
      </w:r>
      <w:r>
        <w:rPr>
          <w:rFonts w:hint="eastAsia" w:ascii="宋体" w:hAnsi="宋体" w:cs="宋体"/>
          <w:color w:val="auto"/>
          <w:sz w:val="24"/>
          <w:szCs w:val="24"/>
          <w:highlight w:val="none"/>
        </w:rPr>
        <w:t>0万</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现供方不受该条件限制）</w:t>
      </w:r>
      <w:r>
        <w:rPr>
          <w:rFonts w:hint="eastAsia" w:ascii="宋体" w:hAnsi="宋体" w:cs="宋体"/>
          <w:color w:val="auto"/>
          <w:sz w:val="24"/>
          <w:szCs w:val="24"/>
          <w:highlight w:val="none"/>
        </w:rPr>
        <w:t>，投标人须于投标时</w:t>
      </w:r>
      <w:r>
        <w:rPr>
          <w:rFonts w:hint="eastAsia" w:ascii="宋体" w:hAnsi="宋体" w:cs="宋体"/>
          <w:color w:val="auto"/>
          <w:sz w:val="24"/>
          <w:szCs w:val="24"/>
          <w:highlight w:val="none"/>
          <w:lang w:val="en-US" w:eastAsia="zh-CN"/>
        </w:rPr>
        <w:t>上传</w:t>
      </w:r>
      <w:r>
        <w:rPr>
          <w:rFonts w:hint="eastAsia" w:ascii="宋体" w:hAnsi="宋体" w:cs="宋体"/>
          <w:color w:val="auto"/>
          <w:sz w:val="24"/>
          <w:szCs w:val="24"/>
          <w:highlight w:val="none"/>
        </w:rPr>
        <w:t>具有统一社会信用代码的</w:t>
      </w:r>
      <w:r>
        <w:rPr>
          <w:rFonts w:hint="eastAsia" w:ascii="宋体" w:hAnsi="宋体" w:cs="宋体"/>
          <w:color w:val="auto"/>
          <w:sz w:val="24"/>
          <w:szCs w:val="24"/>
          <w:highlight w:val="none"/>
          <w:lang w:val="en-US" w:eastAsia="zh-CN"/>
        </w:rPr>
        <w:t>三证合一的</w:t>
      </w:r>
      <w:r>
        <w:rPr>
          <w:rFonts w:hint="eastAsia" w:ascii="宋体" w:hAnsi="宋体" w:cs="宋体"/>
          <w:color w:val="auto"/>
          <w:sz w:val="24"/>
          <w:szCs w:val="24"/>
          <w:highlight w:val="none"/>
        </w:rPr>
        <w:t>营业执照副本原件</w:t>
      </w:r>
      <w:r>
        <w:rPr>
          <w:rFonts w:hint="eastAsia" w:ascii="宋体" w:hAnsi="宋体" w:cs="宋体"/>
          <w:color w:val="auto"/>
          <w:sz w:val="24"/>
          <w:szCs w:val="24"/>
          <w:highlight w:val="none"/>
          <w:lang w:val="en-US" w:eastAsia="zh-CN"/>
        </w:rPr>
        <w:t>及</w:t>
      </w:r>
      <w:r>
        <w:rPr>
          <w:rFonts w:hint="eastAsia" w:ascii="宋体" w:hAnsi="宋体" w:cs="宋体"/>
          <w:color w:val="auto"/>
          <w:sz w:val="24"/>
          <w:szCs w:val="24"/>
          <w:highlight w:val="none"/>
        </w:rPr>
        <w:t>复印件(加盖公章)；</w:t>
      </w:r>
    </w:p>
    <w:p w14:paraId="242FD8FE">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rPr>
        <w:t>（3）投标人需提供</w:t>
      </w:r>
      <w:r>
        <w:rPr>
          <w:rFonts w:hint="eastAsia" w:ascii="宋体" w:hAnsi="宋体" w:cs="宋体"/>
          <w:color w:val="auto"/>
          <w:sz w:val="24"/>
          <w:szCs w:val="24"/>
          <w:highlight w:val="none"/>
          <w:lang w:eastAsia="zh-CN"/>
        </w:rPr>
        <w:t>：</w:t>
      </w:r>
    </w:p>
    <w:p w14:paraId="2EA3B6C2">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《道路运输经营许可证》原件及复印件(加盖公章)，并保证行政许可在有效期内；</w:t>
      </w:r>
    </w:p>
    <w:p w14:paraId="5D8954D7">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②</w:t>
      </w:r>
      <w:r>
        <w:rPr>
          <w:rFonts w:hint="eastAsia" w:ascii="宋体" w:hAnsi="宋体" w:eastAsia="宋体" w:cs="宋体"/>
          <w:color w:val="auto"/>
          <w:kern w:val="2"/>
          <w:sz w:val="24"/>
          <w:szCs w:val="24"/>
          <w:highlight w:val="none"/>
        </w:rPr>
        <w:t>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50E93AD9">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③</w:t>
      </w:r>
      <w:r>
        <w:rPr>
          <w:rFonts w:hint="eastAsia" w:ascii="宋体" w:hAnsi="宋体" w:eastAsia="宋体" w:cs="宋体"/>
          <w:color w:val="auto"/>
          <w:kern w:val="2"/>
          <w:sz w:val="24"/>
          <w:szCs w:val="24"/>
          <w:highlight w:val="none"/>
        </w:rPr>
        <w:t xml:space="preserve">应提供中文版本的财务报表； </w:t>
      </w:r>
    </w:p>
    <w:p w14:paraId="3A5D1974">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④</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301EE97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cs="宋体"/>
          <w:color w:val="auto"/>
          <w:kern w:val="2"/>
          <w:sz w:val="24"/>
          <w:szCs w:val="24"/>
          <w:highlight w:val="none"/>
          <w:lang w:val="en-US" w:eastAsia="zh-CN"/>
        </w:rPr>
        <w:t>⑤</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6C9E02E8">
      <w:pPr>
        <w:widowControl w:val="0"/>
        <w:numPr>
          <w:ilvl w:val="0"/>
          <w:numId w:val="0"/>
        </w:numPr>
        <w:spacing w:line="360" w:lineRule="auto"/>
        <w:ind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cs="宋体"/>
          <w:color w:val="auto"/>
          <w:kern w:val="2"/>
          <w:sz w:val="24"/>
          <w:szCs w:val="24"/>
          <w:highlight w:val="none"/>
          <w:lang w:val="en-US" w:eastAsia="zh-CN"/>
        </w:rPr>
        <w:t>⑥</w:t>
      </w:r>
      <w:r>
        <w:rPr>
          <w:rFonts w:hint="eastAsia" w:ascii="宋体" w:hAnsi="宋体" w:eastAsia="宋体" w:cs="宋体"/>
          <w:color w:val="auto"/>
          <w:kern w:val="2"/>
          <w:sz w:val="24"/>
          <w:szCs w:val="24"/>
          <w:highlight w:val="none"/>
        </w:rPr>
        <w:t>企业对外担保说明（写明贵单位对外有无对外担保和质押业务，需加盖公章）</w:t>
      </w:r>
      <w:r>
        <w:rPr>
          <w:rFonts w:hint="eastAsia" w:ascii="宋体" w:hAnsi="宋体" w:eastAsia="宋体" w:cs="宋体"/>
          <w:color w:val="auto"/>
          <w:kern w:val="2"/>
          <w:sz w:val="24"/>
          <w:szCs w:val="24"/>
          <w:highlight w:val="none"/>
          <w:lang w:eastAsia="zh-CN"/>
        </w:rPr>
        <w:t>；</w:t>
      </w:r>
    </w:p>
    <w:p w14:paraId="13258AB2">
      <w:pPr>
        <w:pStyle w:val="2"/>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（4）投标人须确保具有良好的商业信誉和诚实的职业道德，</w:t>
      </w:r>
      <w:r>
        <w:rPr>
          <w:rFonts w:hint="eastAsia" w:ascii="宋体" w:hAnsi="宋体" w:eastAsia="宋体" w:cs="宋体"/>
          <w:color w:val="auto"/>
          <w:sz w:val="24"/>
          <w:szCs w:val="24"/>
          <w:highlight w:val="none"/>
        </w:rPr>
        <w:t>在近三年内或成立以来在经营活动中无重大违法、违规的不良记录</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2"/>
          <w:sz w:val="24"/>
          <w:szCs w:val="24"/>
          <w:highlight w:val="none"/>
          <w:lang w:val="en-US" w:eastAsia="zh-CN" w:bidi="ar-SA"/>
        </w:rPr>
        <w:t>在国家企业信用信息公示系统中无行政处罚、列入经营异常名录和列入严重违法失信企业名单（黑名单）信息或上述信息已被移除的声明；</w:t>
      </w:r>
    </w:p>
    <w:p w14:paraId="0453025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）投标人竞价承运商应能提供其正在或曾经从事过类似相关行业产品或服务经历的从业证明（可使用正在或曾经从事过的服务合同文本原件或复印件加盖公章加以证明）；</w:t>
      </w:r>
    </w:p>
    <w:p w14:paraId="49CF20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rPr>
        <w:t>具有健全的财务会计制度，财务状况和市场行为良好。没有处于被有权机关吊销营业执照、吊销资质、停业整顿、取消投标资格以及财产被接管、冻结或进入破产程序等，资信良好；</w:t>
      </w:r>
    </w:p>
    <w:p w14:paraId="18B19E6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7）投标人在以往的招投标活动中没有违纪、违规、违约等不良行为，</w:t>
      </w:r>
      <w:r>
        <w:rPr>
          <w:rFonts w:hint="eastAsia" w:ascii="宋体" w:hAnsi="宋体" w:eastAsia="宋体" w:cs="宋体"/>
          <w:color w:val="auto"/>
          <w:sz w:val="24"/>
          <w:szCs w:val="24"/>
          <w:highlight w:val="none"/>
        </w:rPr>
        <w:t>没有被列入相关权属公司（业务单位）处《黑名单》（《黑名单》指竞价承运商与相关权属公司（业务单位）在以往或正在进行的合作中，存在相关权属公司（业务单位）认为的违反合同约定或违反法律法规等的失信行为）的；</w:t>
      </w:r>
    </w:p>
    <w:p w14:paraId="22DE72BD">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8）投标人</w:t>
      </w:r>
      <w:r>
        <w:rPr>
          <w:rFonts w:hint="eastAsia" w:ascii="宋体" w:hAnsi="宋体" w:eastAsia="宋体" w:cs="宋体"/>
          <w:color w:val="auto"/>
          <w:sz w:val="24"/>
          <w:szCs w:val="24"/>
          <w:highlight w:val="none"/>
        </w:rPr>
        <w:t>须提供法人授权委托书原件（在投标文件副本中可用复印件并加盖公章）及投标单位的法定代表人或授权代表的身份证原件；法人到场的，提供法定代表人身份证；</w:t>
      </w:r>
    </w:p>
    <w:p w14:paraId="26B393A5">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9）投标人</w:t>
      </w:r>
      <w:r>
        <w:rPr>
          <w:rFonts w:hint="eastAsia" w:ascii="宋体" w:hAnsi="宋体" w:eastAsia="宋体" w:cs="宋体"/>
          <w:color w:val="auto"/>
          <w:sz w:val="24"/>
          <w:szCs w:val="24"/>
          <w:highlight w:val="none"/>
        </w:rPr>
        <w:t>须具有履行合同所必须的设备、财务、技术、服务等方面的资质和能力，并具有以</w:t>
      </w:r>
      <w:r>
        <w:rPr>
          <w:rFonts w:hint="eastAsia" w:ascii="宋体" w:hAnsi="宋体" w:cs="宋体"/>
          <w:color w:val="auto"/>
          <w:sz w:val="24"/>
          <w:szCs w:val="24"/>
          <w:highlight w:val="none"/>
          <w:lang w:val="en-US" w:eastAsia="zh-CN"/>
        </w:rPr>
        <w:t>投标人</w:t>
      </w:r>
      <w:r>
        <w:rPr>
          <w:rFonts w:hint="eastAsia" w:ascii="宋体" w:hAnsi="宋体" w:eastAsia="宋体" w:cs="宋体"/>
          <w:color w:val="auto"/>
          <w:sz w:val="24"/>
          <w:szCs w:val="24"/>
          <w:highlight w:val="none"/>
        </w:rPr>
        <w:t>的名义开具正规运输业务增值税专用发票的资质（税率 9%）；</w:t>
      </w:r>
    </w:p>
    <w:p w14:paraId="569550D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10）投标人</w:t>
      </w:r>
      <w:r>
        <w:rPr>
          <w:rFonts w:hint="eastAsia" w:ascii="宋体" w:hAnsi="宋体" w:eastAsia="宋体" w:cs="宋体"/>
          <w:color w:val="auto"/>
          <w:sz w:val="24"/>
          <w:szCs w:val="24"/>
          <w:highlight w:val="none"/>
        </w:rPr>
        <w:t>须具有完全履行招标文件的所有要求的能力；</w:t>
      </w:r>
    </w:p>
    <w:p w14:paraId="6E9745A1">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11）投标人</w:t>
      </w:r>
      <w:r>
        <w:rPr>
          <w:rFonts w:hint="eastAsia" w:ascii="宋体" w:hAnsi="宋体" w:eastAsia="宋体" w:cs="宋体"/>
          <w:color w:val="auto"/>
          <w:sz w:val="24"/>
          <w:szCs w:val="24"/>
          <w:highlight w:val="none"/>
        </w:rPr>
        <w:t>须负责提供合理的便于运输的包装物，并承担相关费用；</w:t>
      </w:r>
    </w:p>
    <w:p w14:paraId="02B1895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12）投标人</w:t>
      </w:r>
      <w:r>
        <w:rPr>
          <w:rFonts w:hint="eastAsia" w:ascii="宋体" w:hAnsi="宋体" w:eastAsia="宋体" w:cs="宋体"/>
          <w:color w:val="auto"/>
          <w:sz w:val="24"/>
          <w:szCs w:val="24"/>
          <w:highlight w:val="none"/>
        </w:rPr>
        <w:t>须认可</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的工作指令，包括节假日能正常开展工作的要求；</w:t>
      </w:r>
    </w:p>
    <w:p w14:paraId="14BA407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13）投标人</w:t>
      </w:r>
      <w:r>
        <w:rPr>
          <w:rFonts w:hint="eastAsia" w:ascii="宋体" w:hAnsi="宋体" w:eastAsia="宋体" w:cs="宋体"/>
          <w:color w:val="auto"/>
          <w:sz w:val="24"/>
          <w:szCs w:val="24"/>
          <w:highlight w:val="none"/>
        </w:rPr>
        <w:t>须认可</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终止合同后 3个月无息退还履约保证金的招标要求；</w:t>
      </w:r>
    </w:p>
    <w:p w14:paraId="6D5AC8D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14）投标人</w:t>
      </w:r>
      <w:r>
        <w:rPr>
          <w:rFonts w:hint="eastAsia" w:ascii="宋体" w:hAnsi="宋体" w:eastAsia="宋体" w:cs="宋体"/>
          <w:color w:val="auto"/>
          <w:sz w:val="24"/>
          <w:szCs w:val="24"/>
          <w:highlight w:val="none"/>
        </w:rPr>
        <w:t>必须是最终投标、签订合同的单位，不得以任何理由将已中标项目以任何形式转包给其他单位；</w:t>
      </w:r>
    </w:p>
    <w:p w14:paraId="799E811E">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15）</w:t>
      </w:r>
      <w:r>
        <w:rPr>
          <w:rFonts w:hint="eastAsia" w:ascii="宋体" w:hAnsi="宋体" w:eastAsia="宋体" w:cs="宋体"/>
          <w:color w:val="auto"/>
          <w:sz w:val="24"/>
          <w:szCs w:val="24"/>
          <w:highlight w:val="none"/>
        </w:rPr>
        <w:t>本次招标项目不接受联合体投标；</w:t>
      </w:r>
    </w:p>
    <w:p w14:paraId="660ECDB3">
      <w:pPr>
        <w:spacing w:line="360" w:lineRule="auto"/>
        <w:ind w:firstLine="480" w:firstLineChars="200"/>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16）投标人</w:t>
      </w:r>
      <w:r>
        <w:rPr>
          <w:rFonts w:hint="eastAsia" w:ascii="宋体" w:hAnsi="宋体" w:eastAsia="宋体" w:cs="宋体"/>
          <w:color w:val="auto"/>
          <w:sz w:val="24"/>
          <w:szCs w:val="24"/>
          <w:highlight w:val="none"/>
        </w:rPr>
        <w:t>需承诺严格在运输过程中对运输产品的安全及</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的形象负责，不做任何有损</w:t>
      </w:r>
      <w:r>
        <w:rPr>
          <w:rFonts w:hint="eastAsia" w:ascii="宋体" w:hAnsi="宋体" w:cs="宋体"/>
          <w:color w:val="auto"/>
          <w:sz w:val="24"/>
          <w:szCs w:val="24"/>
          <w:highlight w:val="none"/>
          <w:lang w:val="en-US" w:eastAsia="zh-CN"/>
        </w:rPr>
        <w:t>招标单位</w:t>
      </w:r>
      <w:r>
        <w:rPr>
          <w:rFonts w:hint="eastAsia" w:ascii="宋体" w:hAnsi="宋体" w:eastAsia="宋体" w:cs="宋体"/>
          <w:color w:val="auto"/>
          <w:sz w:val="24"/>
          <w:szCs w:val="24"/>
          <w:highlight w:val="none"/>
        </w:rPr>
        <w:t>形象的事情</w:t>
      </w:r>
      <w:r>
        <w:rPr>
          <w:rFonts w:hint="eastAsia" w:ascii="宋体" w:hAnsi="宋体" w:cs="宋体"/>
          <w:color w:val="auto"/>
          <w:sz w:val="24"/>
          <w:szCs w:val="24"/>
          <w:highlight w:val="none"/>
          <w:lang w:eastAsia="zh-CN"/>
        </w:rPr>
        <w:t>；</w:t>
      </w:r>
    </w:p>
    <w:p w14:paraId="60AF6D8A">
      <w:pPr>
        <w:pStyle w:val="2"/>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17）投标人须按要求缴纳投标保证金；</w:t>
      </w:r>
    </w:p>
    <w:p w14:paraId="21591B99">
      <w:pPr>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18）投标人须于招标人中标结果发出三日内与招标人指定联系人沟通合同签订事宜，二十日内完成合同签订，并应当按照合同约定的履约责任，于合同签订前向招标单位缴纳履约保证金：标的额的5%，最多不超过 200 万元，并接受合同履行期间保证金不计利息的要求，如中标承运商未按合同及其附件约定履行应承担的责任，招标单位有权从应付中标承运商的运费中予以扣除或抵销，或从招标方所属集团公司内其他任何一家关联单位收到的中标承运商的风险抵押金或保证金中进行相应划扣，不足部分招标方有权通过其它方式向中标承运商追偿，中标承运商对此无异议；</w:t>
      </w: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2"/>
    </w:p>
    <w:p w14:paraId="147A8F99">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（1）有统一社会信用代码的新版营业执照复印件，并加盖公章；</w:t>
      </w:r>
    </w:p>
    <w:p w14:paraId="6574BDD8">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（2）法定代表人授权书；法定代表人参加投标的，需提供法人身份证复印件；委托授权人参加投标的，需提供法定代表人授权委托书、法定代表人身份证复印件、被授权人身份证复印件；</w:t>
      </w:r>
    </w:p>
    <w:p w14:paraId="7BDEF60A">
      <w:pPr>
        <w:spacing w:line="360" w:lineRule="auto"/>
        <w:ind w:firstLine="480" w:firstLineChars="200"/>
        <w:rPr>
          <w:rFonts w:hint="eastAsia" w:ascii="宋体" w:hAnsi="宋体" w:eastAsia="宋体" w:cs="宋体"/>
          <w:i w:val="0"/>
          <w:iCs w:val="0"/>
          <w:caps w:val="0"/>
          <w:color w:val="auto"/>
          <w:spacing w:val="0"/>
          <w:sz w:val="24"/>
          <w:szCs w:val="24"/>
          <w:highlight w:val="none"/>
          <w:shd w:val="clear"/>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《道路运输经营许可证》原件及复印件(加盖公章)，并保证行政许可在有效期内；</w:t>
      </w:r>
    </w:p>
    <w:p w14:paraId="0FFED6FF">
      <w:pPr>
        <w:widowControl w:val="0"/>
        <w:numPr>
          <w:ilvl w:val="0"/>
          <w:numId w:val="0"/>
        </w:numPr>
        <w:spacing w:line="360" w:lineRule="auto"/>
        <w:ind w:left="0" w:leftChars="0" w:firstLine="480" w:firstLineChars="200"/>
        <w:jc w:val="both"/>
        <w:rPr>
          <w:rFonts w:hint="eastAsia" w:ascii="宋体" w:hAnsi="宋体" w:eastAsia="宋体" w:cs="宋体"/>
          <w:color w:val="auto"/>
          <w:kern w:val="2"/>
          <w:sz w:val="24"/>
          <w:szCs w:val="24"/>
          <w:highlight w:val="none"/>
          <w:lang w:eastAsia="zh-CN"/>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4）</w:t>
      </w:r>
      <w:r>
        <w:rPr>
          <w:rFonts w:hint="eastAsia" w:ascii="宋体" w:hAnsi="宋体" w:eastAsia="宋体" w:cs="宋体"/>
          <w:color w:val="auto"/>
          <w:kern w:val="2"/>
          <w:sz w:val="24"/>
          <w:szCs w:val="24"/>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cs="宋体"/>
          <w:color w:val="auto"/>
          <w:kern w:val="2"/>
          <w:sz w:val="24"/>
          <w:szCs w:val="24"/>
          <w:highlight w:val="none"/>
          <w:lang w:eastAsia="zh-CN"/>
        </w:rPr>
        <w:t>；</w:t>
      </w:r>
    </w:p>
    <w:p w14:paraId="7394967C">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5）</w:t>
      </w:r>
      <w:r>
        <w:rPr>
          <w:rFonts w:hint="eastAsia" w:ascii="宋体" w:hAnsi="宋体" w:eastAsia="宋体" w:cs="宋体"/>
          <w:color w:val="auto"/>
          <w:kern w:val="2"/>
          <w:sz w:val="24"/>
          <w:szCs w:val="24"/>
          <w:highlight w:val="none"/>
        </w:rPr>
        <w:t xml:space="preserve">应提供中文版本的审计报告或财务报表； </w:t>
      </w:r>
    </w:p>
    <w:p w14:paraId="0E33C60A">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6）</w:t>
      </w:r>
      <w:r>
        <w:rPr>
          <w:rFonts w:hint="eastAsia" w:ascii="宋体" w:hAnsi="宋体" w:eastAsia="宋体" w:cs="宋体"/>
          <w:color w:val="auto"/>
          <w:kern w:val="2"/>
          <w:sz w:val="24"/>
          <w:szCs w:val="24"/>
          <w:highlight w:val="none"/>
        </w:rPr>
        <w:t xml:space="preserve">企业最近半年完税证明、信用证明材料（中国人民银行信用代码证+征信报告）； </w:t>
      </w:r>
    </w:p>
    <w:p w14:paraId="60C136A7">
      <w:pPr>
        <w:widowControl w:val="0"/>
        <w:numPr>
          <w:ilvl w:val="0"/>
          <w:numId w:val="0"/>
        </w:numPr>
        <w:spacing w:line="360" w:lineRule="auto"/>
        <w:ind w:left="480" w:leftChars="0"/>
        <w:jc w:val="both"/>
        <w:rPr>
          <w:rFonts w:hint="eastAsia" w:ascii="宋体" w:hAnsi="宋体" w:eastAsia="宋体" w:cs="宋体"/>
          <w:color w:val="auto"/>
          <w:kern w:val="2"/>
          <w:sz w:val="24"/>
          <w:szCs w:val="24"/>
          <w:highlight w:val="none"/>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7）</w:t>
      </w:r>
      <w:r>
        <w:rPr>
          <w:rFonts w:hint="eastAsia" w:ascii="宋体" w:hAnsi="宋体" w:eastAsia="宋体" w:cs="宋体"/>
          <w:color w:val="auto"/>
          <w:kern w:val="2"/>
          <w:sz w:val="24"/>
          <w:szCs w:val="24"/>
          <w:highlight w:val="none"/>
        </w:rPr>
        <w:t xml:space="preserve">年度纳税信用评价信息（可从电子税务局查询截图，需加盖公章）； </w:t>
      </w:r>
    </w:p>
    <w:p w14:paraId="7C40EA4A">
      <w:pPr>
        <w:widowControl w:val="0"/>
        <w:numPr>
          <w:ilvl w:val="0"/>
          <w:numId w:val="0"/>
        </w:numPr>
        <w:spacing w:line="360" w:lineRule="auto"/>
        <w:ind w:left="480" w:firstLine="0" w:firstLineChars="0"/>
        <w:jc w:val="both"/>
        <w:rPr>
          <w:rFonts w:hint="eastAsia" w:ascii="宋体" w:hAnsi="宋体" w:eastAsia="宋体" w:cs="宋体"/>
          <w:color w:val="000000"/>
          <w:sz w:val="24"/>
          <w:szCs w:val="24"/>
          <w:lang w:val="en-US" w:eastAsia="zh-CN"/>
        </w:rPr>
      </w:pPr>
      <w:r>
        <w:rPr>
          <w:rFonts w:hint="eastAsia" w:ascii="宋体" w:hAnsi="宋体" w:eastAsia="宋体" w:cs="宋体"/>
          <w:color w:val="auto"/>
          <w:kern w:val="2"/>
          <w:sz w:val="24"/>
          <w:szCs w:val="24"/>
          <w:highlight w:val="none"/>
          <w:lang w:eastAsia="zh-CN"/>
        </w:rPr>
        <w:t>（</w:t>
      </w:r>
      <w:r>
        <w:rPr>
          <w:rFonts w:hint="eastAsia" w:ascii="宋体" w:hAnsi="宋体" w:eastAsia="宋体" w:cs="宋体"/>
          <w:color w:val="auto"/>
          <w:kern w:val="2"/>
          <w:sz w:val="24"/>
          <w:szCs w:val="24"/>
          <w:highlight w:val="none"/>
          <w:lang w:val="en-US" w:eastAsia="zh-CN"/>
        </w:rPr>
        <w:t>8）</w:t>
      </w:r>
      <w:r>
        <w:rPr>
          <w:rFonts w:hint="eastAsia" w:ascii="宋体" w:hAnsi="宋体" w:eastAsia="宋体" w:cs="宋体"/>
          <w:color w:val="auto"/>
          <w:kern w:val="2"/>
          <w:sz w:val="24"/>
          <w:szCs w:val="24"/>
          <w:highlight w:val="none"/>
        </w:rPr>
        <w:t>企业对外担保说明（写明贵单位对外有无对外担保和质押业务，需加盖公章）</w:t>
      </w:r>
      <w:r>
        <w:rPr>
          <w:rFonts w:hint="eastAsia" w:ascii="宋体" w:hAnsi="宋体" w:cs="宋体"/>
          <w:color w:val="auto"/>
          <w:kern w:val="2"/>
          <w:sz w:val="24"/>
          <w:szCs w:val="24"/>
          <w:highlight w:val="none"/>
          <w:lang w:eastAsia="zh-CN"/>
        </w:rPr>
        <w:t>；</w:t>
      </w:r>
    </w:p>
    <w:p w14:paraId="42000129">
      <w:pPr>
        <w:pStyle w:val="7"/>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11</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17</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17</w:t>
      </w:r>
      <w:bookmarkStart w:id="6" w:name="_GoBack"/>
      <w:bookmarkEnd w:id="6"/>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311AD31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技术联系人：</w:t>
      </w:r>
      <w:r>
        <w:rPr>
          <w:rFonts w:hint="eastAsia" w:ascii="宋体" w:hAnsi="宋体" w:eastAsia="宋体" w:cs="宋体"/>
          <w:bCs/>
          <w:snapToGrid w:val="0"/>
          <w:kern w:val="0"/>
          <w:sz w:val="24"/>
        </w:rPr>
        <w:t>王刚</w:t>
      </w:r>
    </w:p>
    <w:p w14:paraId="7319FC0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w:t>
      </w:r>
      <w:r>
        <w:rPr>
          <w:rFonts w:hint="eastAsia" w:ascii="宋体" w:hAnsi="宋体" w:eastAsia="宋体" w:cs="宋体"/>
          <w:bCs/>
          <w:snapToGrid w:val="0"/>
          <w:kern w:val="0"/>
          <w:sz w:val="24"/>
        </w:rPr>
        <w:t>13173167439</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1BA87104">
      <w:pPr>
        <w:keepNext/>
        <w:keepLines/>
        <w:outlineLvl w:val="2"/>
        <w:rPr>
          <w:rFonts w:ascii="Times New Roman" w:hAnsi="Times New Roman" w:eastAsia="宋体" w:cs="Times New Roman"/>
          <w:b/>
          <w:bCs/>
          <w:color w:val="000000"/>
          <w:sz w:val="24"/>
          <w:szCs w:val="24"/>
        </w:rPr>
      </w:pPr>
      <w:bookmarkStart w:id="3" w:name="_Toc15143"/>
      <w:bookmarkStart w:id="4" w:name="_Toc56676964"/>
      <w:bookmarkStart w:id="5" w:name="_Toc8168"/>
      <w:r>
        <w:br w:type="page"/>
      </w: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646CB3F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致：中国重汽集团济南商用车有限公司</w:t>
      </w:r>
      <w:r>
        <w:rPr>
          <w:rFonts w:hint="eastAsia" w:ascii="宋体" w:hAnsi="宋体" w:eastAsia="宋体" w:cs="Times New Roman"/>
          <w:color w:val="000000"/>
          <w:sz w:val="24"/>
          <w:szCs w:val="24"/>
          <w:highlight w:val="none"/>
        </w:rPr>
        <w:t>：</w:t>
      </w:r>
    </w:p>
    <w:p w14:paraId="17967FE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529053C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258F55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92C96A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1BF82E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2C4A97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0E72010">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246A42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8B1EC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0A0654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289478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33EB60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BF30C2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6ECEF0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CD118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E125CA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2CB7A6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08DB278">
      <w:pPr>
        <w:rPr>
          <w:rFonts w:ascii="黑体" w:hAnsi="Calibri" w:eastAsia="黑体" w:cs="Times New Roman"/>
          <w:color w:val="000000"/>
          <w:sz w:val="24"/>
          <w:szCs w:val="24"/>
        </w:rPr>
      </w:pPr>
    </w:p>
    <w:p w14:paraId="52222F4E">
      <w:pPr>
        <w:rPr>
          <w:rFonts w:ascii="黑体" w:hAnsi="Calibri" w:eastAsia="黑体" w:cs="Times New Roman"/>
          <w:color w:val="000000"/>
          <w:sz w:val="24"/>
          <w:szCs w:val="24"/>
        </w:rPr>
      </w:pPr>
    </w:p>
    <w:p w14:paraId="27D24098">
      <w:pPr>
        <w:pStyle w:val="7"/>
        <w:rPr>
          <w:rFonts w:ascii="黑体" w:hAnsi="Calibri" w:eastAsia="黑体" w:cs="Times New Roman"/>
          <w:color w:val="000000"/>
          <w:sz w:val="24"/>
          <w:szCs w:val="24"/>
        </w:rPr>
      </w:pPr>
    </w:p>
    <w:p w14:paraId="661FABD3">
      <w:pPr>
        <w:pStyle w:val="7"/>
        <w:rPr>
          <w:rFonts w:ascii="黑体" w:hAnsi="Calibri" w:eastAsia="黑体" w:cs="Times New Roman"/>
          <w:color w:val="000000"/>
          <w:sz w:val="24"/>
          <w:szCs w:val="24"/>
        </w:rPr>
      </w:pPr>
    </w:p>
    <w:p w14:paraId="61D55ADF">
      <w:pPr>
        <w:pStyle w:val="7"/>
        <w:rPr>
          <w:rFonts w:ascii="黑体" w:hAnsi="Calibri" w:eastAsia="黑体" w:cs="Times New Roman"/>
          <w:color w:val="000000"/>
          <w:sz w:val="24"/>
          <w:szCs w:val="24"/>
        </w:rPr>
      </w:pPr>
    </w:p>
    <w:p w14:paraId="7E153DE6">
      <w:pPr>
        <w:pStyle w:val="7"/>
        <w:rPr>
          <w:rFonts w:ascii="黑体" w:hAnsi="Calibri" w:eastAsia="黑体" w:cs="Times New Roman"/>
          <w:color w:val="000000"/>
          <w:sz w:val="24"/>
          <w:szCs w:val="24"/>
        </w:rPr>
      </w:pPr>
    </w:p>
    <w:p w14:paraId="16B3D95D">
      <w:pPr>
        <w:rPr>
          <w:rFonts w:ascii="黑体" w:hAnsi="Calibri" w:eastAsia="黑体" w:cs="Times New Roman"/>
          <w:color w:val="000000"/>
          <w:sz w:val="24"/>
          <w:szCs w:val="24"/>
        </w:rPr>
      </w:pPr>
    </w:p>
    <w:p w14:paraId="20F1FB2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0E7EA41">
      <w:pPr>
        <w:adjustRightInd w:val="0"/>
        <w:snapToGrid w:val="0"/>
        <w:spacing w:before="93" w:beforeLines="30" w:line="240" w:lineRule="exact"/>
        <w:jc w:val="center"/>
        <w:rPr>
          <w:rFonts w:ascii="宋体" w:hAnsi="Calibri" w:eastAsia="宋体" w:cs="Times New Roman"/>
          <w:sz w:val="24"/>
          <w:szCs w:val="20"/>
        </w:rPr>
      </w:pPr>
    </w:p>
    <w:p w14:paraId="42AE67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2E107F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66BC4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8AF55B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EE4DFED">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43C88D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3C4106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16642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B1EBF4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9E2B43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6A995E9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519D09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B221BDA">
      <w:pPr>
        <w:rPr>
          <w:rFonts w:ascii="Calibri" w:hAnsi="Calibri" w:eastAsia="黑体" w:cs="Times New Roman"/>
          <w:b/>
          <w:bCs/>
          <w:color w:val="000000"/>
          <w:sz w:val="28"/>
          <w:szCs w:val="20"/>
        </w:rPr>
      </w:pPr>
    </w:p>
    <w:p w14:paraId="0156B42C">
      <w:pPr>
        <w:pStyle w:val="7"/>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524CFEA">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D84E4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2A06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597567F">
            <w:pPr>
              <w:pStyle w:val="27"/>
              <w:spacing w:before="114"/>
              <w:ind w:left="720"/>
              <w:rPr>
                <w:rFonts w:hint="eastAsia"/>
              </w:rPr>
            </w:pPr>
            <w:r>
              <w:t xml:space="preserve">企业名称 </w:t>
            </w:r>
          </w:p>
        </w:tc>
        <w:tc>
          <w:tcPr>
            <w:tcW w:w="4680" w:type="dxa"/>
            <w:gridSpan w:val="4"/>
            <w:vAlign w:val="center"/>
          </w:tcPr>
          <w:p w14:paraId="3DD560B6">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C8B2439">
            <w:pPr>
              <w:pStyle w:val="2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6D9889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19E3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781029DC">
            <w:pPr>
              <w:pStyle w:val="27"/>
              <w:spacing w:before="114"/>
              <w:ind w:left="720"/>
              <w:rPr>
                <w:rFonts w:hint="eastAsia"/>
              </w:rPr>
            </w:pPr>
            <w:r>
              <w:t xml:space="preserve">企业地址 </w:t>
            </w:r>
          </w:p>
        </w:tc>
        <w:tc>
          <w:tcPr>
            <w:tcW w:w="4680" w:type="dxa"/>
            <w:gridSpan w:val="4"/>
            <w:vAlign w:val="center"/>
          </w:tcPr>
          <w:p w14:paraId="4823495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456481">
            <w:pPr>
              <w:pStyle w:val="2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E68B9F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D2DA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A1745F0">
            <w:pPr>
              <w:pStyle w:val="27"/>
              <w:spacing w:before="111"/>
              <w:ind w:left="720"/>
              <w:rPr>
                <w:rFonts w:hint="eastAsia"/>
              </w:rPr>
            </w:pPr>
            <w:r>
              <w:t xml:space="preserve">企业性质 </w:t>
            </w:r>
          </w:p>
        </w:tc>
        <w:tc>
          <w:tcPr>
            <w:tcW w:w="4680" w:type="dxa"/>
            <w:gridSpan w:val="4"/>
            <w:vAlign w:val="center"/>
          </w:tcPr>
          <w:p w14:paraId="38315AB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A1EE5C1">
            <w:pPr>
              <w:pStyle w:val="2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AA5BD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DE5A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157500D">
            <w:pPr>
              <w:pStyle w:val="27"/>
              <w:spacing w:before="111"/>
              <w:ind w:left="509"/>
              <w:rPr>
                <w:rFonts w:hint="eastAsia"/>
                <w:highlight w:val="yellow"/>
              </w:rPr>
            </w:pPr>
            <w:r>
              <w:t xml:space="preserve">企业法人代表  </w:t>
            </w:r>
          </w:p>
        </w:tc>
        <w:tc>
          <w:tcPr>
            <w:tcW w:w="4680" w:type="dxa"/>
            <w:gridSpan w:val="4"/>
          </w:tcPr>
          <w:p w14:paraId="32F73471">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75BD13A3">
            <w:pPr>
              <w:pStyle w:val="2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453487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9086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FD940A7">
            <w:pPr>
              <w:pStyle w:val="27"/>
              <w:spacing w:before="114"/>
              <w:ind w:left="720"/>
              <w:rPr>
                <w:rFonts w:hint="eastAsia"/>
              </w:rPr>
            </w:pPr>
            <w:r>
              <w:t xml:space="preserve">品牌区分 </w:t>
            </w:r>
          </w:p>
        </w:tc>
        <w:tc>
          <w:tcPr>
            <w:tcW w:w="7500" w:type="dxa"/>
            <w:gridSpan w:val="6"/>
          </w:tcPr>
          <w:p w14:paraId="2D3E33C6">
            <w:pPr>
              <w:pStyle w:val="2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2E1C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1291E">
            <w:pPr>
              <w:pStyle w:val="27"/>
              <w:spacing w:before="178"/>
              <w:ind w:left="720"/>
              <w:rPr>
                <w:rFonts w:hint="eastAsia"/>
              </w:rPr>
            </w:pPr>
            <w:r>
              <w:t xml:space="preserve">品牌名称 </w:t>
            </w:r>
          </w:p>
        </w:tc>
        <w:tc>
          <w:tcPr>
            <w:tcW w:w="3583" w:type="dxa"/>
            <w:gridSpan w:val="3"/>
            <w:vAlign w:val="center"/>
          </w:tcPr>
          <w:p w14:paraId="7F68D32E">
            <w:pPr>
              <w:widowControl/>
              <w:rPr>
                <w:rFonts w:hint="eastAsia" w:ascii="宋体" w:hAnsi="宋体" w:eastAsia="仿宋_GB2312"/>
                <w:kern w:val="0"/>
                <w:szCs w:val="21"/>
                <w:lang w:bidi="ar"/>
              </w:rPr>
            </w:pPr>
          </w:p>
        </w:tc>
        <w:tc>
          <w:tcPr>
            <w:tcW w:w="1097" w:type="dxa"/>
          </w:tcPr>
          <w:p w14:paraId="104DC0BA">
            <w:pPr>
              <w:pStyle w:val="27"/>
              <w:spacing w:before="15"/>
              <w:ind w:left="279"/>
              <w:rPr>
                <w:rFonts w:hint="eastAsia"/>
              </w:rPr>
            </w:pPr>
            <w:r>
              <w:rPr>
                <w:spacing w:val="-2"/>
              </w:rPr>
              <w:t>质量</w:t>
            </w:r>
            <w:r>
              <w:t xml:space="preserve"> </w:t>
            </w:r>
          </w:p>
          <w:p w14:paraId="09BB524A">
            <w:pPr>
              <w:pStyle w:val="27"/>
              <w:spacing w:before="30" w:line="277" w:lineRule="exact"/>
              <w:ind w:left="279"/>
              <w:rPr>
                <w:rFonts w:hint="eastAsia"/>
              </w:rPr>
            </w:pPr>
            <w:r>
              <w:rPr>
                <w:rFonts w:hint="eastAsia"/>
              </w:rPr>
              <w:t>体系</w:t>
            </w:r>
          </w:p>
        </w:tc>
        <w:tc>
          <w:tcPr>
            <w:tcW w:w="2820" w:type="dxa"/>
            <w:gridSpan w:val="2"/>
          </w:tcPr>
          <w:p w14:paraId="79BCDD00">
            <w:pPr>
              <w:pStyle w:val="27"/>
              <w:spacing w:before="158"/>
              <w:jc w:val="center"/>
              <w:rPr>
                <w:rFonts w:hint="eastAsia"/>
                <w:sz w:val="24"/>
              </w:rPr>
            </w:pPr>
            <w:r>
              <w:rPr>
                <w:rFonts w:hint="eastAsia"/>
                <w:kern w:val="0"/>
                <w:szCs w:val="21"/>
                <w:lang w:bidi="ar"/>
              </w:rPr>
              <w:t>/</w:t>
            </w:r>
          </w:p>
        </w:tc>
      </w:tr>
      <w:tr w14:paraId="202B8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E5CF86C">
            <w:pPr>
              <w:pStyle w:val="27"/>
              <w:spacing w:before="149"/>
              <w:ind w:left="3345" w:right="3223"/>
              <w:jc w:val="center"/>
              <w:rPr>
                <w:rFonts w:hint="eastAsia"/>
              </w:rPr>
            </w:pPr>
            <w:r>
              <w:rPr>
                <w:rFonts w:hint="eastAsia"/>
                <w:szCs w:val="21"/>
              </w:rPr>
              <w:t>单位概况</w:t>
            </w:r>
          </w:p>
        </w:tc>
      </w:tr>
      <w:tr w14:paraId="708F5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763F039">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DB6BF7B">
            <w:pPr>
              <w:widowControl/>
              <w:textAlignment w:val="center"/>
              <w:rPr>
                <w:rFonts w:hint="eastAsia" w:ascii="宋体" w:hAnsi="宋体" w:eastAsia="宋体" w:cs="宋体"/>
                <w:szCs w:val="21"/>
              </w:rPr>
            </w:pPr>
          </w:p>
        </w:tc>
        <w:tc>
          <w:tcPr>
            <w:tcW w:w="1530" w:type="dxa"/>
            <w:vAlign w:val="center"/>
          </w:tcPr>
          <w:p w14:paraId="7CC2842C">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915FD15">
            <w:pPr>
              <w:widowControl/>
              <w:jc w:val="center"/>
              <w:textAlignment w:val="center"/>
              <w:rPr>
                <w:rFonts w:hint="eastAsia" w:ascii="宋体" w:hAnsi="宋体" w:eastAsia="宋体" w:cs="宋体"/>
                <w:szCs w:val="21"/>
              </w:rPr>
            </w:pPr>
          </w:p>
        </w:tc>
        <w:tc>
          <w:tcPr>
            <w:tcW w:w="1097" w:type="dxa"/>
            <w:vAlign w:val="center"/>
          </w:tcPr>
          <w:p w14:paraId="1D6D8B37">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8504743">
            <w:pPr>
              <w:widowControl/>
              <w:jc w:val="center"/>
              <w:textAlignment w:val="center"/>
              <w:rPr>
                <w:rFonts w:hint="eastAsia" w:ascii="宋体" w:hAnsi="宋体" w:eastAsia="宋体" w:cs="宋体"/>
                <w:szCs w:val="21"/>
              </w:rPr>
            </w:pPr>
          </w:p>
        </w:tc>
      </w:tr>
      <w:tr w14:paraId="61ED6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5E3467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1733AB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FF21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00B9D1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D456CA">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8392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67CA1F45">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58FD7E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6D82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02F29E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8A97E7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049A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DD38E8B">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6E8E25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2D8D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B9C4918">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053CDCF5">
            <w:pPr>
              <w:widowControl/>
              <w:jc w:val="left"/>
              <w:rPr>
                <w:rFonts w:hint="eastAsia" w:ascii="宋体" w:hAnsi="宋体" w:eastAsia="宋体" w:cs="宋体"/>
                <w:kern w:val="0"/>
                <w:szCs w:val="21"/>
                <w:lang w:bidi="ar"/>
              </w:rPr>
            </w:pPr>
          </w:p>
        </w:tc>
      </w:tr>
    </w:tbl>
    <w:p w14:paraId="724AD873">
      <w:pPr>
        <w:pStyle w:val="7"/>
        <w:rPr>
          <w:rFonts w:ascii="Times New Roman" w:hAnsi="Times New Roman" w:eastAsia="宋体" w:cs="Times New Roman"/>
          <w:b/>
          <w:bCs/>
          <w:color w:val="000000"/>
          <w:sz w:val="24"/>
          <w:szCs w:val="24"/>
        </w:rPr>
      </w:pPr>
    </w:p>
    <w:p w14:paraId="6F0B8C04">
      <w:pPr>
        <w:pStyle w:val="7"/>
        <w:rPr>
          <w:rFonts w:ascii="Times New Roman" w:hAnsi="Times New Roman" w:eastAsia="宋体" w:cs="Times New Roman"/>
          <w:b/>
          <w:bCs/>
          <w:color w:val="000000"/>
          <w:sz w:val="24"/>
          <w:szCs w:val="24"/>
        </w:rPr>
      </w:pPr>
    </w:p>
    <w:p w14:paraId="67A599AB">
      <w:pPr>
        <w:pStyle w:val="7"/>
        <w:rPr>
          <w:rFonts w:ascii="Times New Roman" w:hAnsi="Times New Roman" w:eastAsia="宋体" w:cs="Times New Roman"/>
          <w:b/>
          <w:bCs/>
          <w:color w:val="000000"/>
          <w:sz w:val="24"/>
          <w:szCs w:val="24"/>
        </w:rPr>
      </w:pPr>
    </w:p>
    <w:p w14:paraId="68655CB7">
      <w:pPr>
        <w:pStyle w:val="7"/>
        <w:rPr>
          <w:rFonts w:ascii="Times New Roman" w:hAnsi="Times New Roman" w:eastAsia="宋体" w:cs="Times New Roman"/>
          <w:b/>
          <w:bCs/>
          <w:color w:val="000000"/>
          <w:sz w:val="24"/>
          <w:szCs w:val="24"/>
        </w:rPr>
      </w:pPr>
    </w:p>
    <w:p w14:paraId="3D0A8B47">
      <w:pPr>
        <w:pStyle w:val="7"/>
        <w:rPr>
          <w:rFonts w:ascii="Times New Roman" w:hAnsi="Times New Roman" w:eastAsia="宋体" w:cs="Times New Roman"/>
          <w:b/>
          <w:bCs/>
          <w:color w:val="000000"/>
          <w:sz w:val="24"/>
          <w:szCs w:val="24"/>
        </w:rPr>
      </w:pPr>
    </w:p>
    <w:p w14:paraId="5FB6C3C6">
      <w:pPr>
        <w:pStyle w:val="7"/>
        <w:rPr>
          <w:rFonts w:ascii="Times New Roman" w:hAnsi="Times New Roman" w:eastAsia="宋体" w:cs="Times New Roman"/>
          <w:b/>
          <w:bCs/>
          <w:color w:val="000000"/>
          <w:sz w:val="24"/>
          <w:szCs w:val="24"/>
        </w:rPr>
      </w:pPr>
    </w:p>
    <w:p w14:paraId="41831603">
      <w:pPr>
        <w:pStyle w:val="7"/>
        <w:rPr>
          <w:rFonts w:ascii="Times New Roman" w:hAnsi="Times New Roman" w:eastAsia="宋体" w:cs="Times New Roman"/>
          <w:b/>
          <w:bCs/>
          <w:color w:val="000000"/>
          <w:sz w:val="24"/>
          <w:szCs w:val="24"/>
        </w:rPr>
      </w:pPr>
    </w:p>
    <w:p w14:paraId="277E12CF">
      <w:pPr>
        <w:pStyle w:val="7"/>
        <w:rPr>
          <w:rFonts w:ascii="Times New Roman" w:hAnsi="Times New Roman" w:eastAsia="宋体" w:cs="Times New Roman"/>
          <w:b/>
          <w:bCs/>
          <w:color w:val="000000"/>
          <w:sz w:val="24"/>
          <w:szCs w:val="24"/>
        </w:rPr>
      </w:pPr>
    </w:p>
    <w:p w14:paraId="1F0D7ED7">
      <w:pPr>
        <w:pStyle w:val="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2C6A7F2C">
      <w:pPr>
        <w:pStyle w:val="7"/>
        <w:rPr>
          <w:rFonts w:ascii="Times New Roman" w:hAnsi="Times New Roman" w:eastAsia="宋体" w:cs="Times New Roman"/>
          <w:b/>
          <w:bCs/>
          <w:color w:val="000000"/>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59B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0E88299">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A05A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131D9A">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2D6B2371">
            <w:pPr>
              <w:spacing w:line="440" w:lineRule="exact"/>
              <w:jc w:val="center"/>
              <w:rPr>
                <w:rFonts w:hint="eastAsia" w:ascii="宋体" w:hAnsi="宋体"/>
                <w:color w:val="000000"/>
                <w:sz w:val="24"/>
                <w:szCs w:val="24"/>
              </w:rPr>
            </w:pPr>
          </w:p>
        </w:tc>
      </w:tr>
      <w:tr w14:paraId="436F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4A56FC">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7215D749">
            <w:pPr>
              <w:spacing w:line="440" w:lineRule="exact"/>
              <w:jc w:val="center"/>
              <w:rPr>
                <w:rFonts w:hint="eastAsia" w:ascii="宋体" w:hAnsi="宋体"/>
                <w:color w:val="000000"/>
                <w:sz w:val="24"/>
                <w:szCs w:val="24"/>
              </w:rPr>
            </w:pPr>
          </w:p>
        </w:tc>
      </w:tr>
      <w:tr w14:paraId="40FA6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27FEA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FD0608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78B4D63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28FBE0F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79104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BE0E1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D111343">
            <w:pPr>
              <w:spacing w:line="440" w:lineRule="exact"/>
              <w:jc w:val="center"/>
              <w:rPr>
                <w:rFonts w:hint="eastAsia" w:ascii="宋体" w:hAnsi="宋体"/>
                <w:color w:val="000000"/>
                <w:sz w:val="24"/>
                <w:szCs w:val="24"/>
              </w:rPr>
            </w:pPr>
          </w:p>
        </w:tc>
        <w:tc>
          <w:tcPr>
            <w:tcW w:w="1288" w:type="dxa"/>
          </w:tcPr>
          <w:p w14:paraId="706A6725">
            <w:pPr>
              <w:spacing w:line="440" w:lineRule="exact"/>
              <w:jc w:val="center"/>
              <w:rPr>
                <w:rFonts w:hint="eastAsia" w:ascii="宋体" w:hAnsi="宋体"/>
                <w:color w:val="000000"/>
                <w:sz w:val="24"/>
                <w:szCs w:val="24"/>
              </w:rPr>
            </w:pPr>
          </w:p>
        </w:tc>
        <w:tc>
          <w:tcPr>
            <w:tcW w:w="1288" w:type="dxa"/>
          </w:tcPr>
          <w:p w14:paraId="7A7FD20D">
            <w:pPr>
              <w:spacing w:line="440" w:lineRule="exact"/>
              <w:jc w:val="center"/>
              <w:rPr>
                <w:rFonts w:hint="eastAsia" w:ascii="宋体" w:hAnsi="宋体"/>
                <w:color w:val="000000"/>
                <w:sz w:val="24"/>
                <w:szCs w:val="24"/>
              </w:rPr>
            </w:pPr>
          </w:p>
        </w:tc>
      </w:tr>
      <w:tr w14:paraId="7982D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3B51A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84D5D0C">
            <w:pPr>
              <w:spacing w:line="440" w:lineRule="exact"/>
              <w:jc w:val="center"/>
              <w:rPr>
                <w:rFonts w:hint="eastAsia" w:ascii="宋体" w:hAnsi="宋体"/>
                <w:color w:val="000000"/>
                <w:sz w:val="24"/>
                <w:szCs w:val="24"/>
              </w:rPr>
            </w:pPr>
          </w:p>
        </w:tc>
        <w:tc>
          <w:tcPr>
            <w:tcW w:w="1288" w:type="dxa"/>
          </w:tcPr>
          <w:p w14:paraId="6AC8926B">
            <w:pPr>
              <w:spacing w:line="440" w:lineRule="exact"/>
              <w:jc w:val="center"/>
              <w:rPr>
                <w:rFonts w:hint="eastAsia" w:ascii="宋体" w:hAnsi="宋体"/>
                <w:color w:val="000000"/>
                <w:sz w:val="24"/>
                <w:szCs w:val="24"/>
              </w:rPr>
            </w:pPr>
          </w:p>
        </w:tc>
        <w:tc>
          <w:tcPr>
            <w:tcW w:w="1288" w:type="dxa"/>
          </w:tcPr>
          <w:p w14:paraId="76C16E5F">
            <w:pPr>
              <w:spacing w:line="440" w:lineRule="exact"/>
              <w:jc w:val="center"/>
              <w:rPr>
                <w:rFonts w:hint="eastAsia" w:ascii="宋体" w:hAnsi="宋体"/>
                <w:color w:val="000000"/>
                <w:sz w:val="24"/>
                <w:szCs w:val="24"/>
              </w:rPr>
            </w:pPr>
          </w:p>
        </w:tc>
      </w:tr>
      <w:tr w14:paraId="3A34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447EE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005A3FC">
            <w:pPr>
              <w:spacing w:line="440" w:lineRule="exact"/>
              <w:jc w:val="center"/>
              <w:rPr>
                <w:rFonts w:hint="eastAsia" w:ascii="宋体" w:hAnsi="宋体"/>
                <w:color w:val="000000"/>
                <w:sz w:val="24"/>
                <w:szCs w:val="24"/>
                <w:highlight w:val="yellow"/>
              </w:rPr>
            </w:pPr>
          </w:p>
        </w:tc>
        <w:tc>
          <w:tcPr>
            <w:tcW w:w="1288" w:type="dxa"/>
          </w:tcPr>
          <w:p w14:paraId="270B3B75">
            <w:pPr>
              <w:spacing w:line="440" w:lineRule="exact"/>
              <w:jc w:val="center"/>
              <w:rPr>
                <w:rFonts w:hint="eastAsia" w:ascii="宋体" w:hAnsi="宋体"/>
                <w:color w:val="000000"/>
                <w:sz w:val="24"/>
                <w:szCs w:val="24"/>
                <w:highlight w:val="yellow"/>
              </w:rPr>
            </w:pPr>
          </w:p>
        </w:tc>
        <w:tc>
          <w:tcPr>
            <w:tcW w:w="1288" w:type="dxa"/>
          </w:tcPr>
          <w:p w14:paraId="25CE1F95">
            <w:pPr>
              <w:spacing w:line="440" w:lineRule="exact"/>
              <w:jc w:val="center"/>
              <w:rPr>
                <w:rFonts w:hint="eastAsia" w:ascii="宋体" w:hAnsi="宋体"/>
                <w:color w:val="000000"/>
                <w:sz w:val="24"/>
                <w:szCs w:val="24"/>
                <w:highlight w:val="yellow"/>
              </w:rPr>
            </w:pPr>
          </w:p>
        </w:tc>
      </w:tr>
      <w:tr w14:paraId="1CB1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8487CC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D944FF6">
            <w:pPr>
              <w:spacing w:line="440" w:lineRule="exact"/>
              <w:jc w:val="center"/>
              <w:rPr>
                <w:rFonts w:hint="eastAsia" w:ascii="宋体" w:hAnsi="宋体"/>
                <w:color w:val="000000"/>
                <w:sz w:val="24"/>
                <w:szCs w:val="24"/>
              </w:rPr>
            </w:pPr>
          </w:p>
        </w:tc>
        <w:tc>
          <w:tcPr>
            <w:tcW w:w="1288" w:type="dxa"/>
          </w:tcPr>
          <w:p w14:paraId="15BE40F9">
            <w:pPr>
              <w:spacing w:line="440" w:lineRule="exact"/>
              <w:jc w:val="center"/>
              <w:rPr>
                <w:rFonts w:hint="eastAsia" w:ascii="宋体" w:hAnsi="宋体"/>
                <w:color w:val="000000"/>
                <w:sz w:val="24"/>
                <w:szCs w:val="24"/>
              </w:rPr>
            </w:pPr>
          </w:p>
        </w:tc>
        <w:tc>
          <w:tcPr>
            <w:tcW w:w="1288" w:type="dxa"/>
          </w:tcPr>
          <w:p w14:paraId="2F90BCEA">
            <w:pPr>
              <w:spacing w:line="440" w:lineRule="exact"/>
              <w:jc w:val="center"/>
              <w:rPr>
                <w:rFonts w:hint="eastAsia" w:ascii="宋体" w:hAnsi="宋体"/>
                <w:color w:val="000000"/>
                <w:sz w:val="24"/>
                <w:szCs w:val="24"/>
              </w:rPr>
            </w:pPr>
          </w:p>
        </w:tc>
      </w:tr>
      <w:tr w14:paraId="3CDFF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6A5D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A16DE46">
            <w:pPr>
              <w:spacing w:line="440" w:lineRule="exact"/>
              <w:jc w:val="center"/>
              <w:rPr>
                <w:rFonts w:hint="eastAsia" w:ascii="宋体" w:hAnsi="宋体"/>
                <w:color w:val="000000"/>
                <w:sz w:val="24"/>
                <w:szCs w:val="24"/>
              </w:rPr>
            </w:pPr>
          </w:p>
        </w:tc>
        <w:tc>
          <w:tcPr>
            <w:tcW w:w="1288" w:type="dxa"/>
          </w:tcPr>
          <w:p w14:paraId="5C3BEA7C">
            <w:pPr>
              <w:spacing w:line="440" w:lineRule="exact"/>
              <w:jc w:val="center"/>
              <w:rPr>
                <w:rFonts w:hint="eastAsia" w:ascii="宋体" w:hAnsi="宋体"/>
                <w:color w:val="000000"/>
                <w:sz w:val="24"/>
                <w:szCs w:val="24"/>
              </w:rPr>
            </w:pPr>
          </w:p>
        </w:tc>
        <w:tc>
          <w:tcPr>
            <w:tcW w:w="1288" w:type="dxa"/>
          </w:tcPr>
          <w:p w14:paraId="175F2AB4">
            <w:pPr>
              <w:spacing w:line="440" w:lineRule="exact"/>
              <w:jc w:val="center"/>
              <w:rPr>
                <w:rFonts w:hint="eastAsia" w:ascii="宋体" w:hAnsi="宋体"/>
                <w:color w:val="000000"/>
                <w:sz w:val="24"/>
                <w:szCs w:val="24"/>
              </w:rPr>
            </w:pPr>
          </w:p>
        </w:tc>
      </w:tr>
      <w:tr w14:paraId="0194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BF1A0C">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7703EAD4">
            <w:pPr>
              <w:spacing w:line="440" w:lineRule="exact"/>
              <w:jc w:val="center"/>
              <w:rPr>
                <w:rFonts w:hint="eastAsia" w:ascii="宋体" w:hAnsi="宋体"/>
                <w:color w:val="000000"/>
                <w:sz w:val="24"/>
                <w:szCs w:val="24"/>
                <w:highlight w:val="yellow"/>
              </w:rPr>
            </w:pPr>
          </w:p>
        </w:tc>
        <w:tc>
          <w:tcPr>
            <w:tcW w:w="1288" w:type="dxa"/>
          </w:tcPr>
          <w:p w14:paraId="7B2C144C">
            <w:pPr>
              <w:spacing w:line="440" w:lineRule="exact"/>
              <w:jc w:val="center"/>
              <w:rPr>
                <w:rFonts w:hint="eastAsia" w:ascii="宋体" w:hAnsi="宋体"/>
                <w:color w:val="000000"/>
                <w:sz w:val="24"/>
                <w:szCs w:val="24"/>
                <w:highlight w:val="yellow"/>
              </w:rPr>
            </w:pPr>
          </w:p>
        </w:tc>
        <w:tc>
          <w:tcPr>
            <w:tcW w:w="1288" w:type="dxa"/>
          </w:tcPr>
          <w:p w14:paraId="3D816E1B">
            <w:pPr>
              <w:spacing w:line="440" w:lineRule="exact"/>
              <w:jc w:val="center"/>
              <w:rPr>
                <w:rFonts w:hint="eastAsia" w:ascii="宋体" w:hAnsi="宋体"/>
                <w:color w:val="000000"/>
                <w:sz w:val="24"/>
                <w:szCs w:val="24"/>
                <w:highlight w:val="yellow"/>
              </w:rPr>
            </w:pPr>
          </w:p>
        </w:tc>
      </w:tr>
      <w:tr w14:paraId="7AC0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5ED005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93A1EA5">
            <w:pPr>
              <w:spacing w:line="440" w:lineRule="exact"/>
              <w:jc w:val="center"/>
              <w:rPr>
                <w:rFonts w:hint="eastAsia" w:ascii="宋体" w:hAnsi="宋体"/>
                <w:color w:val="000000"/>
                <w:sz w:val="24"/>
                <w:szCs w:val="24"/>
                <w:highlight w:val="yellow"/>
              </w:rPr>
            </w:pPr>
          </w:p>
        </w:tc>
        <w:tc>
          <w:tcPr>
            <w:tcW w:w="1288" w:type="dxa"/>
          </w:tcPr>
          <w:p w14:paraId="37CEFAF9">
            <w:pPr>
              <w:spacing w:line="440" w:lineRule="exact"/>
              <w:jc w:val="center"/>
              <w:rPr>
                <w:rFonts w:hint="eastAsia" w:ascii="宋体" w:hAnsi="宋体"/>
                <w:color w:val="000000"/>
                <w:sz w:val="24"/>
                <w:szCs w:val="24"/>
                <w:highlight w:val="yellow"/>
              </w:rPr>
            </w:pPr>
          </w:p>
        </w:tc>
        <w:tc>
          <w:tcPr>
            <w:tcW w:w="1288" w:type="dxa"/>
          </w:tcPr>
          <w:p w14:paraId="5BEB27C3">
            <w:pPr>
              <w:spacing w:line="440" w:lineRule="exact"/>
              <w:jc w:val="center"/>
              <w:rPr>
                <w:rFonts w:hint="eastAsia" w:ascii="宋体" w:hAnsi="宋体"/>
                <w:color w:val="000000"/>
                <w:sz w:val="24"/>
                <w:szCs w:val="24"/>
                <w:highlight w:val="yellow"/>
              </w:rPr>
            </w:pPr>
          </w:p>
        </w:tc>
      </w:tr>
      <w:tr w14:paraId="3539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5C4AF6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64C2CC8">
            <w:pPr>
              <w:spacing w:line="440" w:lineRule="exact"/>
              <w:jc w:val="center"/>
              <w:rPr>
                <w:rFonts w:hint="eastAsia" w:ascii="宋体" w:hAnsi="宋体"/>
                <w:color w:val="000000"/>
                <w:sz w:val="24"/>
                <w:szCs w:val="24"/>
              </w:rPr>
            </w:pPr>
          </w:p>
        </w:tc>
        <w:tc>
          <w:tcPr>
            <w:tcW w:w="1288" w:type="dxa"/>
          </w:tcPr>
          <w:p w14:paraId="28EF0DBD">
            <w:pPr>
              <w:spacing w:line="440" w:lineRule="exact"/>
              <w:jc w:val="center"/>
              <w:rPr>
                <w:rFonts w:hint="eastAsia" w:ascii="宋体" w:hAnsi="宋体"/>
                <w:color w:val="000000"/>
                <w:sz w:val="24"/>
                <w:szCs w:val="24"/>
              </w:rPr>
            </w:pPr>
          </w:p>
        </w:tc>
        <w:tc>
          <w:tcPr>
            <w:tcW w:w="1288" w:type="dxa"/>
          </w:tcPr>
          <w:p w14:paraId="4134D834">
            <w:pPr>
              <w:spacing w:line="440" w:lineRule="exact"/>
              <w:jc w:val="center"/>
              <w:rPr>
                <w:rFonts w:hint="eastAsia" w:ascii="宋体" w:hAnsi="宋体"/>
                <w:color w:val="000000"/>
                <w:sz w:val="24"/>
                <w:szCs w:val="24"/>
              </w:rPr>
            </w:pPr>
          </w:p>
        </w:tc>
      </w:tr>
      <w:tr w14:paraId="5F0C2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B921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FE74266">
            <w:pPr>
              <w:spacing w:line="440" w:lineRule="exact"/>
              <w:jc w:val="center"/>
              <w:rPr>
                <w:rFonts w:hint="eastAsia" w:ascii="宋体" w:hAnsi="宋体"/>
                <w:color w:val="000000"/>
                <w:sz w:val="24"/>
                <w:szCs w:val="24"/>
              </w:rPr>
            </w:pPr>
          </w:p>
        </w:tc>
        <w:tc>
          <w:tcPr>
            <w:tcW w:w="1288" w:type="dxa"/>
          </w:tcPr>
          <w:p w14:paraId="02FB40AB">
            <w:pPr>
              <w:spacing w:line="440" w:lineRule="exact"/>
              <w:jc w:val="center"/>
              <w:rPr>
                <w:rFonts w:hint="eastAsia" w:ascii="宋体" w:hAnsi="宋体"/>
                <w:color w:val="000000"/>
                <w:sz w:val="24"/>
                <w:szCs w:val="24"/>
              </w:rPr>
            </w:pPr>
          </w:p>
        </w:tc>
        <w:tc>
          <w:tcPr>
            <w:tcW w:w="1288" w:type="dxa"/>
          </w:tcPr>
          <w:p w14:paraId="0752C29B">
            <w:pPr>
              <w:spacing w:line="440" w:lineRule="exact"/>
              <w:jc w:val="center"/>
              <w:rPr>
                <w:rFonts w:hint="eastAsia" w:ascii="宋体" w:hAnsi="宋体"/>
                <w:color w:val="000000"/>
                <w:sz w:val="24"/>
                <w:szCs w:val="24"/>
              </w:rPr>
            </w:pPr>
          </w:p>
        </w:tc>
      </w:tr>
      <w:tr w14:paraId="03640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5848A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CD2CBFA">
            <w:pPr>
              <w:spacing w:line="440" w:lineRule="exact"/>
              <w:jc w:val="center"/>
              <w:rPr>
                <w:rFonts w:hint="eastAsia" w:ascii="宋体" w:hAnsi="宋体"/>
                <w:color w:val="000000"/>
                <w:sz w:val="24"/>
                <w:szCs w:val="24"/>
              </w:rPr>
            </w:pPr>
          </w:p>
        </w:tc>
        <w:tc>
          <w:tcPr>
            <w:tcW w:w="1288" w:type="dxa"/>
          </w:tcPr>
          <w:p w14:paraId="2C2B55B9">
            <w:pPr>
              <w:spacing w:line="440" w:lineRule="exact"/>
              <w:jc w:val="center"/>
              <w:rPr>
                <w:rFonts w:hint="eastAsia" w:ascii="宋体" w:hAnsi="宋体"/>
                <w:color w:val="000000"/>
                <w:sz w:val="24"/>
                <w:szCs w:val="24"/>
              </w:rPr>
            </w:pPr>
          </w:p>
        </w:tc>
        <w:tc>
          <w:tcPr>
            <w:tcW w:w="1288" w:type="dxa"/>
          </w:tcPr>
          <w:p w14:paraId="2F39B6FC">
            <w:pPr>
              <w:spacing w:line="440" w:lineRule="exact"/>
              <w:jc w:val="center"/>
              <w:rPr>
                <w:rFonts w:hint="eastAsia" w:ascii="宋体" w:hAnsi="宋体"/>
                <w:color w:val="000000"/>
                <w:sz w:val="24"/>
                <w:szCs w:val="24"/>
              </w:rPr>
            </w:pPr>
          </w:p>
        </w:tc>
      </w:tr>
    </w:tbl>
    <w:p w14:paraId="73F9628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2EAA541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775BFB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E8E27E4">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5CFD24E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A1DEE35">
      <w:pPr>
        <w:spacing w:line="240" w:lineRule="exact"/>
        <w:jc w:val="center"/>
        <w:rPr>
          <w:rFonts w:ascii="宋体" w:hAnsi="Calibri" w:eastAsia="宋体" w:cs="Times New Roman"/>
          <w:b/>
          <w:bCs/>
          <w:sz w:val="36"/>
          <w:szCs w:val="20"/>
        </w:rPr>
      </w:pPr>
    </w:p>
    <w:p w14:paraId="7AA14724">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46CEFC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w:t>
      </w:r>
      <w:r>
        <w:rPr>
          <w:rFonts w:hint="eastAsia" w:ascii="宋体" w:hAnsi="宋体" w:eastAsia="宋体" w:cs="Times New Roman"/>
          <w:b/>
          <w:bCs/>
          <w:sz w:val="24"/>
          <w:szCs w:val="20"/>
          <w:highlight w:val="none"/>
          <w:lang w:val="en-US" w:eastAsia="zh-CN"/>
        </w:rPr>
        <w:t>商用车</w:t>
      </w:r>
      <w:r>
        <w:rPr>
          <w:rFonts w:hint="eastAsia" w:ascii="宋体" w:hAnsi="宋体" w:eastAsia="宋体" w:cs="Times New Roman"/>
          <w:b/>
          <w:bCs/>
          <w:sz w:val="24"/>
          <w:szCs w:val="20"/>
          <w:highlight w:val="none"/>
        </w:rPr>
        <w:t>有限公司：</w:t>
      </w:r>
    </w:p>
    <w:p w14:paraId="7EB13BB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17D65439">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377E30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9A401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73FA9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71E2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29DB3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98F0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E7A2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F6FF7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3F293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20399F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6567E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5695AA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673D8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ADCC39">
      <w:pPr>
        <w:spacing w:line="360" w:lineRule="auto"/>
        <w:ind w:firstLine="480" w:firstLineChars="200"/>
        <w:rPr>
          <w:rFonts w:hint="eastAsia" w:ascii="宋体" w:hAnsi="宋体" w:eastAsia="宋体" w:cs="Times New Roman"/>
          <w:sz w:val="24"/>
          <w:szCs w:val="20"/>
          <w:u w:val="single"/>
        </w:rPr>
      </w:pPr>
    </w:p>
    <w:p w14:paraId="7A6F214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2DB05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0AA0712">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3"/>
    <w:bookmarkEnd w:id="4"/>
    <w:bookmarkEnd w:id="5"/>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7"/>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7"/>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4"/>
                    <a:stretch>
                      <a:fillRect/>
                    </a:stretch>
                  </pic:blipFill>
                  <pic:spPr>
                    <a:xfrm>
                      <a:off x="0" y="0"/>
                      <a:ext cx="5760085" cy="2810122"/>
                    </a:xfrm>
                    <a:prstGeom prst="rect">
                      <a:avLst/>
                    </a:prstGeom>
                  </pic:spPr>
                </pic:pic>
              </a:graphicData>
            </a:graphic>
          </wp:inline>
        </w:drawing>
      </w:r>
    </w:p>
    <w:p w14:paraId="6FD361BF">
      <w:pPr>
        <w:pStyle w:val="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5"/>
                    <a:stretch>
                      <a:fillRect/>
                    </a:stretch>
                  </pic:blipFill>
                  <pic:spPr>
                    <a:xfrm>
                      <a:off x="0" y="0"/>
                      <a:ext cx="5760085" cy="2820042"/>
                    </a:xfrm>
                    <a:prstGeom prst="rect">
                      <a:avLst/>
                    </a:prstGeom>
                  </pic:spPr>
                </pic:pic>
              </a:graphicData>
            </a:graphic>
          </wp:inline>
        </w:drawing>
      </w:r>
    </w:p>
    <w:p w14:paraId="271DBF1E">
      <w:pPr>
        <w:pStyle w:val="7"/>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7"/>
      </w:pPr>
      <w:r>
        <w:rPr>
          <w:rFonts w:hint="eastAsia" w:hAnsi="宋体" w:eastAsia="宋体" w:cs="宋体"/>
          <w:b/>
          <w:bCs/>
          <w:color w:val="000000"/>
          <w:sz w:val="24"/>
          <w:szCs w:val="28"/>
          <w:highlight w:val="yellow"/>
        </w:rPr>
        <w:t>2.配套能力“供货类别”填“直管单位非生产招标 / 服务 / 物流运输（车辆租赁）”，业务主管部门选择“智能物流中心”。</w:t>
      </w:r>
    </w:p>
    <w:p w14:paraId="0DA375D4">
      <w:pPr>
        <w:pStyle w:val="7"/>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11487A31">
      <w:pPr>
        <w:pStyle w:val="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1"/>
          <w:rFonts w:hint="eastAsia" w:ascii="宋体" w:hAnsi="宋体" w:eastAsia="宋体" w:cs="宋体"/>
          <w:sz w:val="24"/>
        </w:rPr>
        <w:t>https://ecaitong.sinotruk.com:8012/</w:t>
      </w:r>
      <w:r>
        <w:rPr>
          <w:rStyle w:val="21"/>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7"/>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14:paraId="6310C61D">
      <w:pPr>
        <w:pStyle w:val="7"/>
        <w:rPr>
          <w:rFonts w:hAnsi="宋体" w:eastAsia="宋体" w:cs="Times New Roman"/>
          <w:b/>
          <w:color w:val="000000"/>
          <w:sz w:val="24"/>
          <w:szCs w:val="24"/>
        </w:rPr>
      </w:pPr>
    </w:p>
    <w:p w14:paraId="0B98B7E3">
      <w:pPr>
        <w:pStyle w:val="7"/>
        <w:rPr>
          <w:rFonts w:hAnsi="宋体" w:eastAsia="宋体" w:cs="Times New Roman"/>
          <w:b/>
          <w:color w:val="000000"/>
          <w:sz w:val="24"/>
          <w:szCs w:val="24"/>
        </w:rPr>
      </w:pPr>
    </w:p>
    <w:p w14:paraId="1D7933F5">
      <w:pPr>
        <w:pStyle w:val="7"/>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71255">
    <w:pPr>
      <w:pStyle w:val="9"/>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BB958">
    <w:pPr>
      <w:pStyle w:val="9"/>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87B68">
    <w:pPr>
      <w:pStyle w:val="9"/>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227">
    <w:pPr>
      <w:pStyle w:val="9"/>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1"/>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8024857"/>
    <w:multiLevelType w:val="singleLevel"/>
    <w:tmpl w:val="F8024857"/>
    <w:lvl w:ilvl="0" w:tentative="0">
      <w:start w:val="1"/>
      <w:numFmt w:val="chineseCounting"/>
      <w:suff w:val="nothing"/>
      <w:lvlText w:val="%1、"/>
      <w:lvlJc w:val="left"/>
      <w:rPr>
        <w:rFonts w:hint="eastAsia"/>
      </w:rPr>
    </w:lvl>
  </w:abstractNum>
  <w:abstractNum w:abstractNumId="2">
    <w:nsid w:val="346C6C97"/>
    <w:multiLevelType w:val="singleLevel"/>
    <w:tmpl w:val="346C6C97"/>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3">
    <w:nsid w:val="56D20133"/>
    <w:multiLevelType w:val="multilevel"/>
    <w:tmpl w:val="56D20133"/>
    <w:lvl w:ilvl="0" w:tentative="0">
      <w:start w:val="1"/>
      <w:numFmt w:val="chineseCountingThousand"/>
      <w:pStyle w:val="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92F44B4"/>
    <w:rsid w:val="0FF61F83"/>
    <w:rsid w:val="12F116C7"/>
    <w:rsid w:val="12F24CD6"/>
    <w:rsid w:val="1490034C"/>
    <w:rsid w:val="15711640"/>
    <w:rsid w:val="169D08E8"/>
    <w:rsid w:val="21E716D2"/>
    <w:rsid w:val="27516871"/>
    <w:rsid w:val="331039D5"/>
    <w:rsid w:val="344305EA"/>
    <w:rsid w:val="373B05AC"/>
    <w:rsid w:val="373C2E22"/>
    <w:rsid w:val="3D7D7D5D"/>
    <w:rsid w:val="3E1622DC"/>
    <w:rsid w:val="42EE0B0F"/>
    <w:rsid w:val="44907102"/>
    <w:rsid w:val="48EF075C"/>
    <w:rsid w:val="4FAC3B7D"/>
    <w:rsid w:val="518A658B"/>
    <w:rsid w:val="52EC41E8"/>
    <w:rsid w:val="53442BBA"/>
    <w:rsid w:val="53DF4881"/>
    <w:rsid w:val="545D2BAA"/>
    <w:rsid w:val="558946E0"/>
    <w:rsid w:val="55FF6EE2"/>
    <w:rsid w:val="591B5C37"/>
    <w:rsid w:val="59CE123B"/>
    <w:rsid w:val="5E6E1B79"/>
    <w:rsid w:val="6A2E5C0F"/>
    <w:rsid w:val="6F1C43D6"/>
    <w:rsid w:val="729775F9"/>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Plain Text"/>
    <w:basedOn w:val="1"/>
    <w:qFormat/>
    <w:uiPriority w:val="0"/>
    <w:rPr>
      <w:rFonts w:ascii="宋体"/>
      <w:szCs w:val="20"/>
    </w:rPr>
  </w:style>
  <w:style w:type="paragraph" w:styleId="8">
    <w:name w:val="List Bullet 5"/>
    <w:basedOn w:val="1"/>
    <w:qFormat/>
    <w:uiPriority w:val="0"/>
    <w:pPr>
      <w:numPr>
        <w:ilvl w:val="0"/>
        <w:numId w:val="1"/>
      </w:numPr>
    </w:p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14">
    <w:name w:val="Strong"/>
    <w:basedOn w:val="13"/>
    <w:qFormat/>
    <w:uiPriority w:val="0"/>
    <w:rPr>
      <w:b/>
    </w:rPr>
  </w:style>
  <w:style w:type="character" w:styleId="15">
    <w:name w:val="page number"/>
    <w:basedOn w:val="13"/>
    <w:semiHidden/>
    <w:qFormat/>
    <w:uiPriority w:val="0"/>
  </w:style>
  <w:style w:type="character" w:styleId="16">
    <w:name w:val="FollowedHyperlink"/>
    <w:basedOn w:val="13"/>
    <w:qFormat/>
    <w:uiPriority w:val="0"/>
    <w:rPr>
      <w:color w:val="800080"/>
      <w:u w:val="none"/>
    </w:rPr>
  </w:style>
  <w:style w:type="character" w:styleId="17">
    <w:name w:val="HTML Definition"/>
    <w:basedOn w:val="13"/>
    <w:qFormat/>
    <w:uiPriority w:val="0"/>
  </w:style>
  <w:style w:type="character" w:styleId="18">
    <w:name w:val="HTML Typewriter"/>
    <w:basedOn w:val="13"/>
    <w:qFormat/>
    <w:uiPriority w:val="0"/>
    <w:rPr>
      <w:rFonts w:hint="default" w:ascii="monospace" w:hAnsi="monospace" w:eastAsia="monospace" w:cs="monospace"/>
      <w:sz w:val="20"/>
    </w:rPr>
  </w:style>
  <w:style w:type="character" w:styleId="19">
    <w:name w:val="HTML Acronym"/>
    <w:basedOn w:val="13"/>
    <w:qFormat/>
    <w:uiPriority w:val="0"/>
  </w:style>
  <w:style w:type="character" w:styleId="20">
    <w:name w:val="HTML Variable"/>
    <w:basedOn w:val="13"/>
    <w:qFormat/>
    <w:uiPriority w:val="0"/>
  </w:style>
  <w:style w:type="character" w:styleId="21">
    <w:name w:val="Hyperlink"/>
    <w:basedOn w:val="13"/>
    <w:qFormat/>
    <w:uiPriority w:val="0"/>
    <w:rPr>
      <w:color w:val="0000FF"/>
      <w:u w:val="none"/>
    </w:rPr>
  </w:style>
  <w:style w:type="character" w:styleId="22">
    <w:name w:val="HTML Code"/>
    <w:basedOn w:val="13"/>
    <w:qFormat/>
    <w:uiPriority w:val="0"/>
    <w:rPr>
      <w:rFonts w:hint="default" w:ascii="monospace" w:hAnsi="monospace" w:eastAsia="monospace" w:cs="monospace"/>
      <w:sz w:val="20"/>
    </w:rPr>
  </w:style>
  <w:style w:type="character" w:styleId="23">
    <w:name w:val="HTML Cite"/>
    <w:basedOn w:val="13"/>
    <w:qFormat/>
    <w:uiPriority w:val="0"/>
  </w:style>
  <w:style w:type="character" w:styleId="24">
    <w:name w:val="HTML Keyboard"/>
    <w:basedOn w:val="13"/>
    <w:qFormat/>
    <w:uiPriority w:val="0"/>
    <w:rPr>
      <w:rFonts w:ascii="monospace" w:hAnsi="monospace" w:eastAsia="monospace" w:cs="monospace"/>
      <w:sz w:val="20"/>
    </w:rPr>
  </w:style>
  <w:style w:type="character" w:styleId="25">
    <w:name w:val="HTML Sample"/>
    <w:basedOn w:val="13"/>
    <w:qFormat/>
    <w:uiPriority w:val="0"/>
    <w:rPr>
      <w:rFonts w:hint="default" w:ascii="monospace" w:hAnsi="monospace" w:eastAsia="monospace" w:cs="monospace"/>
    </w:rPr>
  </w:style>
  <w:style w:type="paragraph" w:customStyle="1" w:styleId="26">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7">
    <w:name w:val="Table Paragraph"/>
    <w:basedOn w:val="1"/>
    <w:qFormat/>
    <w:uiPriority w:val="1"/>
    <w:rPr>
      <w:rFonts w:ascii="宋体" w:hAnsi="宋体" w:eastAsia="宋体" w:cs="宋体"/>
    </w:r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二）级标题"/>
    <w:basedOn w:val="7"/>
    <w:qFormat/>
    <w:uiPriority w:val="2"/>
    <w:pPr>
      <w:numPr>
        <w:ilvl w:val="0"/>
        <w:numId w:val="2"/>
      </w:numPr>
      <w:spacing w:line="360" w:lineRule="auto"/>
      <w:outlineLvl w:val="2"/>
    </w:pPr>
    <w:rPr>
      <w:b/>
    </w:rPr>
  </w:style>
  <w:style w:type="paragraph" w:customStyle="1" w:styleId="30">
    <w:name w:val="标书正文"/>
    <w:basedOn w:val="7"/>
    <w:qFormat/>
    <w:uiPriority w:val="9"/>
    <w:pPr>
      <w:spacing w:line="360" w:lineRule="auto"/>
      <w:jc w:val="left"/>
    </w:pPr>
  </w:style>
  <w:style w:type="paragraph" w:customStyle="1" w:styleId="31">
    <w:name w:val="一级标题"/>
    <w:basedOn w:val="7"/>
    <w:qFormat/>
    <w:uiPriority w:val="0"/>
    <w:pPr>
      <w:numPr>
        <w:ilvl w:val="0"/>
        <w:numId w:val="3"/>
      </w:numPr>
      <w:spacing w:line="360" w:lineRule="auto"/>
      <w:outlineLvl w:val="1"/>
    </w:pPr>
    <w:rPr>
      <w:rFonts w:ascii="黑体" w:eastAsia="黑体"/>
      <w:b/>
      <w:bCs/>
      <w:sz w:val="28"/>
    </w:rPr>
  </w:style>
  <w:style w:type="paragraph" w:customStyle="1" w:styleId="32">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33">
    <w:name w:val="标书三级标题"/>
    <w:basedOn w:val="4"/>
    <w:next w:val="32"/>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4">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15</Pages>
  <Words>4597</Words>
  <Characters>4874</Characters>
  <Lines>23</Lines>
  <Paragraphs>6</Paragraphs>
  <TotalTime>9</TotalTime>
  <ScaleCrop>false</ScaleCrop>
  <LinksUpToDate>false</LinksUpToDate>
  <CharactersWithSpaces>6412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2026-06-05T06:18:32Z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748F3B331CBB4C26AF8B40A8776A91A9_13</vt:lpwstr>
  </property>
</Properties>
</file>